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9" name="Picture 1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ind w:left="570" w:right="59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Home Building Contracts Act 1991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25 May 2012</w:t>
            </w:r>
            <w:r>
              <w:rPr>
                <w:b/>
                <w:sz w:val="22"/>
              </w:rPr>
              <w:fldChar w:fldCharType="end"/>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Home Building Contracts Act 1991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_Toc326309537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_Toc326309538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_Toc326309539 \h </w:instrText>
      </w:r>
      <w:r>
        <w:fldChar w:fldCharType="separate"/>
      </w:r>
      <w:r>
        <w:t>2</w:t>
      </w:r>
      <w:r>
        <w:fldChar w:fldCharType="end"/>
      </w:r>
    </w:p>
    <w:p>
      <w:pPr>
        <w:pStyle w:val="TOC2"/>
        <w:tabs>
          <w:tab w:val="right" w:leader="dot" w:pos="7086"/>
        </w:tabs>
        <w:rPr>
          <w:b w:val="0"/>
          <w:sz w:val="24"/>
          <w:szCs w:val="24"/>
          <w:lang w:val="en-US"/>
        </w:rPr>
      </w:pPr>
      <w:r>
        <w:t>Part 2 — Home building work contracts</w:t>
      </w:r>
    </w:p>
    <w:p>
      <w:pPr>
        <w:pStyle w:val="TOC8"/>
        <w:rPr>
          <w:sz w:val="24"/>
          <w:szCs w:val="24"/>
          <w:lang w:val="en-US"/>
        </w:rPr>
      </w:pPr>
      <w:r>
        <w:t>4</w:t>
      </w:r>
      <w:r>
        <w:rPr>
          <w:snapToGrid w:val="0"/>
        </w:rPr>
        <w:t>.</w:t>
      </w:r>
      <w:r>
        <w:rPr>
          <w:snapToGrid w:val="0"/>
        </w:rPr>
        <w:tab/>
        <w:t>Contracts to be in writing; prescribed explanatory notice to be given</w:t>
      </w:r>
      <w:r>
        <w:tab/>
      </w:r>
      <w:r>
        <w:fldChar w:fldCharType="begin"/>
      </w:r>
      <w:r>
        <w:instrText xml:space="preserve"> PAGEREF _Toc326309541 \h </w:instrText>
      </w:r>
      <w:r>
        <w:fldChar w:fldCharType="separate"/>
      </w:r>
      <w:r>
        <w:t>6</w:t>
      </w:r>
      <w:r>
        <w:fldChar w:fldCharType="end"/>
      </w:r>
    </w:p>
    <w:p>
      <w:pPr>
        <w:pStyle w:val="TOC8"/>
        <w:rPr>
          <w:sz w:val="24"/>
          <w:szCs w:val="24"/>
          <w:lang w:val="en-US"/>
        </w:rPr>
      </w:pPr>
      <w:r>
        <w:t>5</w:t>
      </w:r>
      <w:r>
        <w:rPr>
          <w:snapToGrid w:val="0"/>
        </w:rPr>
        <w:t>.</w:t>
      </w:r>
      <w:r>
        <w:rPr>
          <w:snapToGrid w:val="0"/>
        </w:rPr>
        <w:tab/>
        <w:t>Owner to be given copy of contract</w:t>
      </w:r>
      <w:r>
        <w:tab/>
      </w:r>
      <w:r>
        <w:fldChar w:fldCharType="begin"/>
      </w:r>
      <w:r>
        <w:instrText xml:space="preserve"> PAGEREF _Toc326309542 \h </w:instrText>
      </w:r>
      <w:r>
        <w:fldChar w:fldCharType="separate"/>
      </w:r>
      <w:r>
        <w:t>6</w:t>
      </w:r>
      <w:r>
        <w:fldChar w:fldCharType="end"/>
      </w:r>
    </w:p>
    <w:p>
      <w:pPr>
        <w:pStyle w:val="TOC8"/>
        <w:rPr>
          <w:sz w:val="24"/>
          <w:szCs w:val="24"/>
          <w:lang w:val="en-US"/>
        </w:rPr>
      </w:pPr>
      <w:r>
        <w:t>6</w:t>
      </w:r>
      <w:r>
        <w:rPr>
          <w:snapToGrid w:val="0"/>
        </w:rPr>
        <w:t>.</w:t>
      </w:r>
      <w:r>
        <w:rPr>
          <w:snapToGrid w:val="0"/>
        </w:rPr>
        <w:tab/>
        <w:t>Receipt of documents by owner, proof of</w:t>
      </w:r>
      <w:r>
        <w:tab/>
      </w:r>
      <w:r>
        <w:fldChar w:fldCharType="begin"/>
      </w:r>
      <w:r>
        <w:instrText xml:space="preserve"> PAGEREF _Toc326309543 \h </w:instrText>
      </w:r>
      <w:r>
        <w:fldChar w:fldCharType="separate"/>
      </w:r>
      <w:r>
        <w:t>7</w:t>
      </w:r>
      <w:r>
        <w:fldChar w:fldCharType="end"/>
      </w:r>
    </w:p>
    <w:p>
      <w:pPr>
        <w:pStyle w:val="TOC8"/>
        <w:rPr>
          <w:sz w:val="24"/>
          <w:szCs w:val="24"/>
          <w:lang w:val="en-US"/>
        </w:rPr>
      </w:pPr>
      <w:r>
        <w:t>7</w:t>
      </w:r>
      <w:r>
        <w:rPr>
          <w:snapToGrid w:val="0"/>
        </w:rPr>
        <w:t>.</w:t>
      </w:r>
      <w:r>
        <w:rPr>
          <w:snapToGrid w:val="0"/>
        </w:rPr>
        <w:tab/>
        <w:t>Variation of contract to be in writing and given to owner</w:t>
      </w:r>
      <w:r>
        <w:tab/>
      </w:r>
      <w:r>
        <w:fldChar w:fldCharType="begin"/>
      </w:r>
      <w:r>
        <w:instrText xml:space="preserve"> PAGEREF _Toc326309544 \h </w:instrText>
      </w:r>
      <w:r>
        <w:fldChar w:fldCharType="separate"/>
      </w:r>
      <w:r>
        <w:t>7</w:t>
      </w:r>
      <w:r>
        <w:fldChar w:fldCharType="end"/>
      </w:r>
    </w:p>
    <w:p>
      <w:pPr>
        <w:pStyle w:val="TOC8"/>
        <w:rPr>
          <w:sz w:val="24"/>
          <w:szCs w:val="24"/>
          <w:lang w:val="en-US"/>
        </w:rPr>
      </w:pPr>
      <w:r>
        <w:t>8</w:t>
      </w:r>
      <w:r>
        <w:rPr>
          <w:snapToGrid w:val="0"/>
        </w:rPr>
        <w:t>.</w:t>
      </w:r>
      <w:r>
        <w:rPr>
          <w:snapToGrid w:val="0"/>
        </w:rPr>
        <w:tab/>
        <w:t>Exceptions to s. 7 and related provisions</w:t>
      </w:r>
      <w:r>
        <w:tab/>
      </w:r>
      <w:r>
        <w:fldChar w:fldCharType="begin"/>
      </w:r>
      <w:r>
        <w:instrText xml:space="preserve"> PAGEREF _Toc326309545 \h </w:instrText>
      </w:r>
      <w:r>
        <w:fldChar w:fldCharType="separate"/>
      </w:r>
      <w:r>
        <w:t>8</w:t>
      </w:r>
      <w:r>
        <w:fldChar w:fldCharType="end"/>
      </w:r>
    </w:p>
    <w:p>
      <w:pPr>
        <w:pStyle w:val="TOC8"/>
        <w:rPr>
          <w:sz w:val="24"/>
          <w:szCs w:val="24"/>
          <w:lang w:val="en-US"/>
        </w:rPr>
      </w:pPr>
      <w:r>
        <w:t>9</w:t>
      </w:r>
      <w:r>
        <w:rPr>
          <w:snapToGrid w:val="0"/>
        </w:rPr>
        <w:t>.</w:t>
      </w:r>
      <w:r>
        <w:rPr>
          <w:snapToGrid w:val="0"/>
        </w:rPr>
        <w:tab/>
        <w:t>Building permit etc., implied conditions and terms as to</w:t>
      </w:r>
      <w:r>
        <w:tab/>
      </w:r>
      <w:r>
        <w:fldChar w:fldCharType="begin"/>
      </w:r>
      <w:r>
        <w:instrText xml:space="preserve"> PAGEREF _Toc326309546 \h </w:instrText>
      </w:r>
      <w:r>
        <w:fldChar w:fldCharType="separate"/>
      </w:r>
      <w:r>
        <w:t>9</w:t>
      </w:r>
      <w:r>
        <w:fldChar w:fldCharType="end"/>
      </w:r>
    </w:p>
    <w:p>
      <w:pPr>
        <w:pStyle w:val="TOC8"/>
        <w:rPr>
          <w:sz w:val="24"/>
          <w:szCs w:val="24"/>
          <w:lang w:val="en-US"/>
        </w:rPr>
      </w:pPr>
      <w:r>
        <w:t>10</w:t>
      </w:r>
      <w:r>
        <w:rPr>
          <w:snapToGrid w:val="0"/>
        </w:rPr>
        <w:t>.</w:t>
      </w:r>
      <w:r>
        <w:rPr>
          <w:snapToGrid w:val="0"/>
        </w:rPr>
        <w:tab/>
        <w:t>Deposits and progress payments, limits on terms as to</w:t>
      </w:r>
      <w:r>
        <w:tab/>
      </w:r>
      <w:r>
        <w:fldChar w:fldCharType="begin"/>
      </w:r>
      <w:r>
        <w:instrText xml:space="preserve"> PAGEREF _Toc326309547 \h </w:instrText>
      </w:r>
      <w:r>
        <w:fldChar w:fldCharType="separate"/>
      </w:r>
      <w:r>
        <w:t>11</w:t>
      </w:r>
      <w:r>
        <w:fldChar w:fldCharType="end"/>
      </w:r>
    </w:p>
    <w:p>
      <w:pPr>
        <w:pStyle w:val="TOC8"/>
        <w:rPr>
          <w:sz w:val="24"/>
          <w:szCs w:val="24"/>
          <w:lang w:val="en-US"/>
        </w:rPr>
      </w:pPr>
      <w:r>
        <w:t>11</w:t>
      </w:r>
      <w:r>
        <w:rPr>
          <w:snapToGrid w:val="0"/>
        </w:rPr>
        <w:t>.</w:t>
      </w:r>
      <w:r>
        <w:rPr>
          <w:snapToGrid w:val="0"/>
        </w:rPr>
        <w:tab/>
        <w:t>Defects, implied condition as to liability for</w:t>
      </w:r>
      <w:r>
        <w:tab/>
      </w:r>
      <w:r>
        <w:fldChar w:fldCharType="begin"/>
      </w:r>
      <w:r>
        <w:instrText xml:space="preserve"> PAGEREF _Toc326309548 \h </w:instrText>
      </w:r>
      <w:r>
        <w:fldChar w:fldCharType="separate"/>
      </w:r>
      <w:r>
        <w:t>12</w:t>
      </w:r>
      <w:r>
        <w:fldChar w:fldCharType="end"/>
      </w:r>
    </w:p>
    <w:p>
      <w:pPr>
        <w:pStyle w:val="TOC8"/>
        <w:rPr>
          <w:sz w:val="24"/>
          <w:szCs w:val="24"/>
          <w:lang w:val="en-US"/>
        </w:rPr>
      </w:pPr>
      <w:r>
        <w:t>12</w:t>
      </w:r>
      <w:r>
        <w:rPr>
          <w:snapToGrid w:val="0"/>
        </w:rPr>
        <w:t>.</w:t>
      </w:r>
      <w:r>
        <w:rPr>
          <w:snapToGrid w:val="0"/>
        </w:rPr>
        <w:tab/>
        <w:t>Understatement of prime cost items etc. by builder, offence</w:t>
      </w:r>
      <w:r>
        <w:tab/>
      </w:r>
      <w:r>
        <w:fldChar w:fldCharType="begin"/>
      </w:r>
      <w:r>
        <w:instrText xml:space="preserve"> PAGEREF _Toc326309549 \h </w:instrText>
      </w:r>
      <w:r>
        <w:fldChar w:fldCharType="separate"/>
      </w:r>
      <w:r>
        <w:t>13</w:t>
      </w:r>
      <w:r>
        <w:fldChar w:fldCharType="end"/>
      </w:r>
    </w:p>
    <w:p>
      <w:pPr>
        <w:pStyle w:val="TOC8"/>
        <w:rPr>
          <w:sz w:val="24"/>
          <w:szCs w:val="24"/>
          <w:lang w:val="en-US"/>
        </w:rPr>
      </w:pPr>
      <w:r>
        <w:t>13</w:t>
      </w:r>
      <w:r>
        <w:rPr>
          <w:snapToGrid w:val="0"/>
        </w:rPr>
        <w:t>.</w:t>
      </w:r>
      <w:r>
        <w:rPr>
          <w:snapToGrid w:val="0"/>
        </w:rPr>
        <w:tab/>
        <w:t>Rise</w:t>
      </w:r>
      <w:r>
        <w:rPr>
          <w:snapToGrid w:val="0"/>
        </w:rPr>
        <w:noBreakHyphen/>
        <w:t>and</w:t>
      </w:r>
      <w:r>
        <w:rPr>
          <w:snapToGrid w:val="0"/>
        </w:rPr>
        <w:noBreakHyphen/>
        <w:t>fall clause prohibited</w:t>
      </w:r>
      <w:r>
        <w:tab/>
      </w:r>
      <w:r>
        <w:fldChar w:fldCharType="begin"/>
      </w:r>
      <w:r>
        <w:instrText xml:space="preserve"> PAGEREF _Toc326309550 \h </w:instrText>
      </w:r>
      <w:r>
        <w:fldChar w:fldCharType="separate"/>
      </w:r>
      <w:r>
        <w:t>14</w:t>
      </w:r>
      <w:r>
        <w:fldChar w:fldCharType="end"/>
      </w:r>
    </w:p>
    <w:p>
      <w:pPr>
        <w:pStyle w:val="TOC8"/>
        <w:rPr>
          <w:sz w:val="24"/>
          <w:szCs w:val="24"/>
          <w:lang w:val="en-US"/>
        </w:rPr>
      </w:pPr>
      <w:r>
        <w:t>14</w:t>
      </w:r>
      <w:r>
        <w:rPr>
          <w:snapToGrid w:val="0"/>
        </w:rPr>
        <w:t>.</w:t>
      </w:r>
      <w:r>
        <w:rPr>
          <w:snapToGrid w:val="0"/>
        </w:rPr>
        <w:tab/>
        <w:t>Cost plus contracts, requirements as to</w:t>
      </w:r>
      <w:r>
        <w:tab/>
      </w:r>
      <w:r>
        <w:fldChar w:fldCharType="begin"/>
      </w:r>
      <w:r>
        <w:instrText xml:space="preserve"> PAGEREF _Toc326309551 \h </w:instrText>
      </w:r>
      <w:r>
        <w:fldChar w:fldCharType="separate"/>
      </w:r>
      <w:r>
        <w:t>15</w:t>
      </w:r>
      <w:r>
        <w:fldChar w:fldCharType="end"/>
      </w:r>
    </w:p>
    <w:p>
      <w:pPr>
        <w:pStyle w:val="TOC8"/>
        <w:rPr>
          <w:sz w:val="24"/>
          <w:szCs w:val="24"/>
          <w:lang w:val="en-US"/>
        </w:rPr>
      </w:pPr>
      <w:r>
        <w:t>15</w:t>
      </w:r>
      <w:r>
        <w:rPr>
          <w:snapToGrid w:val="0"/>
        </w:rPr>
        <w:t>.</w:t>
      </w:r>
      <w:r>
        <w:rPr>
          <w:snapToGrid w:val="0"/>
        </w:rPr>
        <w:tab/>
        <w:t>Unconscionable etc. conduct by builder as to contract etc.</w:t>
      </w:r>
      <w:r>
        <w:tab/>
      </w:r>
      <w:r>
        <w:fldChar w:fldCharType="begin"/>
      </w:r>
      <w:r>
        <w:instrText xml:space="preserve"> PAGEREF _Toc326309552 \h </w:instrText>
      </w:r>
      <w:r>
        <w:fldChar w:fldCharType="separate"/>
      </w:r>
      <w:r>
        <w:t>15</w:t>
      </w:r>
      <w:r>
        <w:fldChar w:fldCharType="end"/>
      </w:r>
    </w:p>
    <w:p>
      <w:pPr>
        <w:pStyle w:val="TOC8"/>
        <w:rPr>
          <w:sz w:val="24"/>
          <w:szCs w:val="24"/>
          <w:lang w:val="en-US"/>
        </w:rPr>
      </w:pPr>
      <w:r>
        <w:t>15A.</w:t>
      </w:r>
      <w:r>
        <w:tab/>
        <w:t>Misleading or deceptive conduct by builder or owner as to contract</w:t>
      </w:r>
      <w:r>
        <w:tab/>
      </w:r>
      <w:r>
        <w:fldChar w:fldCharType="begin"/>
      </w:r>
      <w:r>
        <w:instrText xml:space="preserve"> PAGEREF _Toc326309553 \h </w:instrText>
      </w:r>
      <w:r>
        <w:fldChar w:fldCharType="separate"/>
      </w:r>
      <w:r>
        <w:t>17</w:t>
      </w:r>
      <w:r>
        <w:fldChar w:fldCharType="end"/>
      </w:r>
    </w:p>
    <w:p>
      <w:pPr>
        <w:pStyle w:val="TOC2"/>
        <w:tabs>
          <w:tab w:val="right" w:leader="dot" w:pos="7086"/>
        </w:tabs>
        <w:rPr>
          <w:b w:val="0"/>
          <w:sz w:val="24"/>
          <w:szCs w:val="24"/>
          <w:lang w:val="en-US"/>
        </w:rPr>
      </w:pPr>
      <w:r>
        <w:t>Part 3 — Remedies</w:t>
      </w:r>
    </w:p>
    <w:p>
      <w:pPr>
        <w:pStyle w:val="TOC8"/>
        <w:rPr>
          <w:sz w:val="24"/>
          <w:szCs w:val="24"/>
          <w:lang w:val="en-US"/>
        </w:rPr>
      </w:pPr>
      <w:r>
        <w:t>17.</w:t>
      </w:r>
      <w:r>
        <w:tab/>
        <w:t>Breach of contract or Part 2, or entitlement to compensation, procedure in case of</w:t>
      </w:r>
      <w:r>
        <w:tab/>
      </w:r>
      <w:r>
        <w:fldChar w:fldCharType="begin"/>
      </w:r>
      <w:r>
        <w:instrText xml:space="preserve"> PAGEREF _Toc326309555 \h </w:instrText>
      </w:r>
      <w:r>
        <w:fldChar w:fldCharType="separate"/>
      </w:r>
      <w:r>
        <w:t>18</w:t>
      </w:r>
      <w:r>
        <w:fldChar w:fldCharType="end"/>
      </w:r>
    </w:p>
    <w:p>
      <w:pPr>
        <w:pStyle w:val="TOC8"/>
        <w:rPr>
          <w:sz w:val="24"/>
          <w:szCs w:val="24"/>
          <w:lang w:val="en-US"/>
        </w:rPr>
      </w:pPr>
      <w:r>
        <w:t>19</w:t>
      </w:r>
      <w:r>
        <w:rPr>
          <w:snapToGrid w:val="0"/>
        </w:rPr>
        <w:t>.</w:t>
      </w:r>
      <w:r>
        <w:rPr>
          <w:snapToGrid w:val="0"/>
        </w:rPr>
        <w:tab/>
        <w:t>How contract terminated</w:t>
      </w:r>
      <w:r>
        <w:tab/>
      </w:r>
      <w:r>
        <w:fldChar w:fldCharType="begin"/>
      </w:r>
      <w:r>
        <w:instrText xml:space="preserve"> PAGEREF _Toc326309556 \h </w:instrText>
      </w:r>
      <w:r>
        <w:fldChar w:fldCharType="separate"/>
      </w:r>
      <w:r>
        <w:t>18</w:t>
      </w:r>
      <w:r>
        <w:fldChar w:fldCharType="end"/>
      </w:r>
    </w:p>
    <w:p>
      <w:pPr>
        <w:pStyle w:val="TOC8"/>
        <w:rPr>
          <w:sz w:val="24"/>
          <w:szCs w:val="24"/>
          <w:lang w:val="en-US"/>
        </w:rPr>
      </w:pPr>
      <w:r>
        <w:t>20.</w:t>
      </w:r>
      <w:r>
        <w:tab/>
        <w:t>Adjustment of rights in certain cases</w:t>
      </w:r>
      <w:r>
        <w:tab/>
      </w:r>
      <w:r>
        <w:fldChar w:fldCharType="begin"/>
      </w:r>
      <w:r>
        <w:instrText xml:space="preserve"> PAGEREF _Toc326309557 \h </w:instrText>
      </w:r>
      <w:r>
        <w:fldChar w:fldCharType="separate"/>
      </w:r>
      <w:r>
        <w:t>19</w:t>
      </w:r>
      <w:r>
        <w:fldChar w:fldCharType="end"/>
      </w:r>
    </w:p>
    <w:p>
      <w:pPr>
        <w:pStyle w:val="TOC2"/>
        <w:tabs>
          <w:tab w:val="right" w:leader="dot" w:pos="7086"/>
        </w:tabs>
        <w:rPr>
          <w:b w:val="0"/>
          <w:sz w:val="24"/>
          <w:szCs w:val="24"/>
          <w:lang w:val="en-US"/>
        </w:rPr>
      </w:pPr>
      <w:r>
        <w:t>Part 3A — Home indemnity insurance and corresponding cover</w:t>
      </w:r>
    </w:p>
    <w:p>
      <w:pPr>
        <w:pStyle w:val="TOC4"/>
        <w:tabs>
          <w:tab w:val="right" w:leader="dot" w:pos="7086"/>
        </w:tabs>
        <w:rPr>
          <w:b w:val="0"/>
          <w:sz w:val="24"/>
          <w:szCs w:val="24"/>
          <w:lang w:val="en-US"/>
        </w:rPr>
      </w:pPr>
      <w:r>
        <w:t>Division 1</w:t>
      </w:r>
      <w:r>
        <w:rPr>
          <w:snapToGrid w:val="0"/>
        </w:rPr>
        <w:t> — </w:t>
      </w:r>
      <w:r>
        <w:t>Introduction</w:t>
      </w:r>
    </w:p>
    <w:p>
      <w:pPr>
        <w:pStyle w:val="TOC8"/>
        <w:rPr>
          <w:sz w:val="24"/>
          <w:szCs w:val="24"/>
          <w:lang w:val="en-US"/>
        </w:rPr>
      </w:pPr>
      <w:r>
        <w:t>25A</w:t>
      </w:r>
      <w:r>
        <w:rPr>
          <w:snapToGrid w:val="0"/>
        </w:rPr>
        <w:t>.</w:t>
      </w:r>
      <w:r>
        <w:rPr>
          <w:snapToGrid w:val="0"/>
        </w:rPr>
        <w:tab/>
        <w:t>Terms used</w:t>
      </w:r>
      <w:r>
        <w:tab/>
      </w:r>
      <w:r>
        <w:fldChar w:fldCharType="begin"/>
      </w:r>
      <w:r>
        <w:instrText xml:space="preserve"> PAGEREF _Toc326309560 \h </w:instrText>
      </w:r>
      <w:r>
        <w:fldChar w:fldCharType="separate"/>
      </w:r>
      <w:r>
        <w:t>20</w:t>
      </w:r>
      <w:r>
        <w:fldChar w:fldCharType="end"/>
      </w:r>
    </w:p>
    <w:p>
      <w:pPr>
        <w:pStyle w:val="TOC4"/>
        <w:tabs>
          <w:tab w:val="right" w:leader="dot" w:pos="7086"/>
        </w:tabs>
        <w:rPr>
          <w:b w:val="0"/>
          <w:sz w:val="24"/>
          <w:szCs w:val="24"/>
          <w:lang w:val="en-US"/>
        </w:rPr>
      </w:pPr>
      <w:r>
        <w:t>Division 2</w:t>
      </w:r>
      <w:r>
        <w:rPr>
          <w:snapToGrid w:val="0"/>
        </w:rPr>
        <w:t> — </w:t>
      </w:r>
      <w:r>
        <w:t>Builders</w:t>
      </w:r>
    </w:p>
    <w:p>
      <w:pPr>
        <w:pStyle w:val="TOC8"/>
        <w:rPr>
          <w:sz w:val="24"/>
          <w:szCs w:val="24"/>
          <w:lang w:val="en-US"/>
        </w:rPr>
      </w:pPr>
      <w:r>
        <w:t>25B</w:t>
      </w:r>
      <w:r>
        <w:rPr>
          <w:snapToGrid w:val="0"/>
        </w:rPr>
        <w:t xml:space="preserve">. </w:t>
      </w:r>
      <w:r>
        <w:rPr>
          <w:snapToGrid w:val="0"/>
        </w:rPr>
        <w:tab/>
        <w:t>Application of this Division</w:t>
      </w:r>
      <w:r>
        <w:tab/>
      </w:r>
      <w:r>
        <w:fldChar w:fldCharType="begin"/>
      </w:r>
      <w:r>
        <w:instrText xml:space="preserve"> PAGEREF _Toc326309562 \h </w:instrText>
      </w:r>
      <w:r>
        <w:fldChar w:fldCharType="separate"/>
      </w:r>
      <w:r>
        <w:t>24</w:t>
      </w:r>
      <w:r>
        <w:fldChar w:fldCharType="end"/>
      </w:r>
    </w:p>
    <w:p>
      <w:pPr>
        <w:pStyle w:val="TOC8"/>
        <w:rPr>
          <w:sz w:val="24"/>
          <w:szCs w:val="24"/>
          <w:lang w:val="en-US"/>
        </w:rPr>
      </w:pPr>
      <w:r>
        <w:t>25C</w:t>
      </w:r>
      <w:r>
        <w:rPr>
          <w:snapToGrid w:val="0"/>
        </w:rPr>
        <w:t xml:space="preserve">. </w:t>
      </w:r>
      <w:r>
        <w:rPr>
          <w:snapToGrid w:val="0"/>
        </w:rPr>
        <w:tab/>
        <w:t>Builder doing residential building work without insurance or corresponding cover, offence</w:t>
      </w:r>
      <w:r>
        <w:tab/>
      </w:r>
      <w:r>
        <w:fldChar w:fldCharType="begin"/>
      </w:r>
      <w:r>
        <w:instrText xml:space="preserve"> PAGEREF _Toc326309563 \h </w:instrText>
      </w:r>
      <w:r>
        <w:fldChar w:fldCharType="separate"/>
      </w:r>
      <w:r>
        <w:t>25</w:t>
      </w:r>
      <w:r>
        <w:fldChar w:fldCharType="end"/>
      </w:r>
    </w:p>
    <w:p>
      <w:pPr>
        <w:pStyle w:val="TOC8"/>
        <w:rPr>
          <w:sz w:val="24"/>
          <w:szCs w:val="24"/>
          <w:lang w:val="en-US"/>
        </w:rPr>
      </w:pPr>
      <w:r>
        <w:t>25D</w:t>
      </w:r>
      <w:r>
        <w:rPr>
          <w:snapToGrid w:val="0"/>
        </w:rPr>
        <w:t xml:space="preserve">. </w:t>
      </w:r>
      <w:r>
        <w:rPr>
          <w:snapToGrid w:val="0"/>
        </w:rPr>
        <w:tab/>
        <w:t>Insurance policy for this Division, terms of</w:t>
      </w:r>
      <w:r>
        <w:tab/>
      </w:r>
      <w:r>
        <w:fldChar w:fldCharType="begin"/>
      </w:r>
      <w:r>
        <w:instrText xml:space="preserve"> PAGEREF _Toc326309564 \h </w:instrText>
      </w:r>
      <w:r>
        <w:fldChar w:fldCharType="separate"/>
      </w:r>
      <w:r>
        <w:t>26</w:t>
      </w:r>
      <w:r>
        <w:fldChar w:fldCharType="end"/>
      </w:r>
    </w:p>
    <w:p>
      <w:pPr>
        <w:pStyle w:val="TOC8"/>
        <w:rPr>
          <w:sz w:val="24"/>
          <w:szCs w:val="24"/>
          <w:lang w:val="en-US"/>
        </w:rPr>
      </w:pPr>
      <w:r>
        <w:t>25DA.</w:t>
      </w:r>
      <w:r>
        <w:tab/>
        <w:t>Corresponding cover by an approved fund for builders</w:t>
      </w:r>
      <w:r>
        <w:tab/>
      </w:r>
      <w:r>
        <w:fldChar w:fldCharType="begin"/>
      </w:r>
      <w:r>
        <w:instrText xml:space="preserve"> PAGEREF _Toc326309565 \h </w:instrText>
      </w:r>
      <w:r>
        <w:fldChar w:fldCharType="separate"/>
      </w:r>
      <w:r>
        <w:t>28</w:t>
      </w:r>
      <w:r>
        <w:fldChar w:fldCharType="end"/>
      </w:r>
    </w:p>
    <w:p>
      <w:pPr>
        <w:pStyle w:val="TOC4"/>
        <w:tabs>
          <w:tab w:val="right" w:leader="dot" w:pos="7086"/>
        </w:tabs>
        <w:rPr>
          <w:b w:val="0"/>
          <w:sz w:val="24"/>
          <w:szCs w:val="24"/>
          <w:lang w:val="en-US"/>
        </w:rPr>
      </w:pPr>
      <w:r>
        <w:t>Division 3</w:t>
      </w:r>
      <w:r>
        <w:rPr>
          <w:snapToGrid w:val="0"/>
        </w:rPr>
        <w:t> — </w:t>
      </w:r>
      <w:r>
        <w:t>Owner</w:t>
      </w:r>
      <w:r>
        <w:noBreakHyphen/>
        <w:t>builders</w:t>
      </w:r>
    </w:p>
    <w:p>
      <w:pPr>
        <w:pStyle w:val="TOC8"/>
        <w:rPr>
          <w:sz w:val="24"/>
          <w:szCs w:val="24"/>
          <w:lang w:val="en-US"/>
        </w:rPr>
      </w:pPr>
      <w:r>
        <w:t>25E</w:t>
      </w:r>
      <w:r>
        <w:rPr>
          <w:snapToGrid w:val="0"/>
        </w:rPr>
        <w:t xml:space="preserve">. </w:t>
      </w:r>
      <w:r>
        <w:rPr>
          <w:snapToGrid w:val="0"/>
        </w:rPr>
        <w:tab/>
        <w:t>Application of this Division</w:t>
      </w:r>
      <w:r>
        <w:tab/>
      </w:r>
      <w:r>
        <w:fldChar w:fldCharType="begin"/>
      </w:r>
      <w:r>
        <w:instrText xml:space="preserve"> PAGEREF _Toc326309567 \h </w:instrText>
      </w:r>
      <w:r>
        <w:fldChar w:fldCharType="separate"/>
      </w:r>
      <w:r>
        <w:t>29</w:t>
      </w:r>
      <w:r>
        <w:fldChar w:fldCharType="end"/>
      </w:r>
    </w:p>
    <w:p>
      <w:pPr>
        <w:pStyle w:val="TOC8"/>
        <w:rPr>
          <w:sz w:val="24"/>
          <w:szCs w:val="24"/>
          <w:lang w:val="en-US"/>
        </w:rPr>
      </w:pPr>
      <w:r>
        <w:t>25F.</w:t>
      </w:r>
      <w:r>
        <w:tab/>
        <w:t>Sale by owner</w:t>
      </w:r>
      <w:r>
        <w:noBreakHyphen/>
        <w:t>builder, restrictions on</w:t>
      </w:r>
      <w:r>
        <w:tab/>
      </w:r>
      <w:r>
        <w:fldChar w:fldCharType="begin"/>
      </w:r>
      <w:r>
        <w:instrText xml:space="preserve"> PAGEREF _Toc326309568 \h </w:instrText>
      </w:r>
      <w:r>
        <w:fldChar w:fldCharType="separate"/>
      </w:r>
      <w:r>
        <w:t>29</w:t>
      </w:r>
      <w:r>
        <w:fldChar w:fldCharType="end"/>
      </w:r>
    </w:p>
    <w:p>
      <w:pPr>
        <w:pStyle w:val="TOC8"/>
        <w:rPr>
          <w:sz w:val="24"/>
          <w:szCs w:val="24"/>
          <w:lang w:val="en-US"/>
        </w:rPr>
      </w:pPr>
      <w:r>
        <w:t>25FA.</w:t>
      </w:r>
      <w:r>
        <w:tab/>
        <w:t>Sale by certain owner-builders, further restrictions on</w:t>
      </w:r>
      <w:r>
        <w:tab/>
      </w:r>
      <w:r>
        <w:fldChar w:fldCharType="begin"/>
      </w:r>
      <w:r>
        <w:instrText xml:space="preserve"> PAGEREF _Toc326309569 \h </w:instrText>
      </w:r>
      <w:r>
        <w:fldChar w:fldCharType="separate"/>
      </w:r>
      <w:r>
        <w:t>30</w:t>
      </w:r>
      <w:r>
        <w:fldChar w:fldCharType="end"/>
      </w:r>
    </w:p>
    <w:p>
      <w:pPr>
        <w:pStyle w:val="TOC8"/>
        <w:rPr>
          <w:sz w:val="24"/>
          <w:szCs w:val="24"/>
          <w:lang w:val="en-US"/>
        </w:rPr>
      </w:pPr>
      <w:r>
        <w:t>25G</w:t>
      </w:r>
      <w:r>
        <w:rPr>
          <w:snapToGrid w:val="0"/>
        </w:rPr>
        <w:t xml:space="preserve">. </w:t>
      </w:r>
      <w:r>
        <w:rPr>
          <w:snapToGrid w:val="0"/>
        </w:rPr>
        <w:tab/>
        <w:t>Insurance policy for this Division, terms of</w:t>
      </w:r>
      <w:r>
        <w:tab/>
      </w:r>
      <w:r>
        <w:fldChar w:fldCharType="begin"/>
      </w:r>
      <w:r>
        <w:instrText xml:space="preserve"> PAGEREF _Toc326309570 \h </w:instrText>
      </w:r>
      <w:r>
        <w:fldChar w:fldCharType="separate"/>
      </w:r>
      <w:r>
        <w:t>31</w:t>
      </w:r>
      <w:r>
        <w:fldChar w:fldCharType="end"/>
      </w:r>
    </w:p>
    <w:p>
      <w:pPr>
        <w:pStyle w:val="TOC8"/>
        <w:rPr>
          <w:sz w:val="24"/>
          <w:szCs w:val="24"/>
          <w:lang w:val="en-US"/>
        </w:rPr>
      </w:pPr>
      <w:r>
        <w:t>25GA.</w:t>
      </w:r>
      <w:r>
        <w:tab/>
        <w:t>Corresponding cover by an approved fund for owner</w:t>
      </w:r>
      <w:r>
        <w:noBreakHyphen/>
        <w:t>builders</w:t>
      </w:r>
      <w:r>
        <w:tab/>
      </w:r>
      <w:r>
        <w:fldChar w:fldCharType="begin"/>
      </w:r>
      <w:r>
        <w:instrText xml:space="preserve"> PAGEREF _Toc326309571 \h </w:instrText>
      </w:r>
      <w:r>
        <w:fldChar w:fldCharType="separate"/>
      </w:r>
      <w:r>
        <w:t>32</w:t>
      </w:r>
      <w:r>
        <w:fldChar w:fldCharType="end"/>
      </w:r>
    </w:p>
    <w:p>
      <w:pPr>
        <w:pStyle w:val="TOC4"/>
        <w:tabs>
          <w:tab w:val="right" w:leader="dot" w:pos="7086"/>
        </w:tabs>
        <w:rPr>
          <w:b w:val="0"/>
          <w:sz w:val="24"/>
          <w:szCs w:val="24"/>
          <w:lang w:val="en-US"/>
        </w:rPr>
      </w:pPr>
      <w:r>
        <w:t>Division 3A — Approved funds</w:t>
      </w:r>
    </w:p>
    <w:p>
      <w:pPr>
        <w:pStyle w:val="TOC8"/>
        <w:rPr>
          <w:sz w:val="24"/>
          <w:szCs w:val="24"/>
          <w:lang w:val="en-US"/>
        </w:rPr>
      </w:pPr>
      <w:r>
        <w:t>25GB.</w:t>
      </w:r>
      <w:r>
        <w:tab/>
        <w:t>Approval of fund by Minister</w:t>
      </w:r>
      <w:r>
        <w:tab/>
      </w:r>
      <w:r>
        <w:fldChar w:fldCharType="begin"/>
      </w:r>
      <w:r>
        <w:instrText xml:space="preserve"> PAGEREF _Toc326309573 \h </w:instrText>
      </w:r>
      <w:r>
        <w:fldChar w:fldCharType="separate"/>
      </w:r>
      <w:r>
        <w:t>33</w:t>
      </w:r>
      <w:r>
        <w:fldChar w:fldCharType="end"/>
      </w:r>
    </w:p>
    <w:p>
      <w:pPr>
        <w:pStyle w:val="TOC8"/>
        <w:rPr>
          <w:sz w:val="24"/>
          <w:szCs w:val="24"/>
          <w:lang w:val="en-US"/>
        </w:rPr>
      </w:pPr>
      <w:r>
        <w:t>25GC.</w:t>
      </w:r>
      <w:r>
        <w:tab/>
        <w:t>Certain changes to approved fund require Minister’s consent</w:t>
      </w:r>
      <w:r>
        <w:tab/>
      </w:r>
      <w:r>
        <w:fldChar w:fldCharType="begin"/>
      </w:r>
      <w:r>
        <w:instrText xml:space="preserve"> PAGEREF _Toc326309574 \h </w:instrText>
      </w:r>
      <w:r>
        <w:fldChar w:fldCharType="separate"/>
      </w:r>
      <w:r>
        <w:t>34</w:t>
      </w:r>
      <w:r>
        <w:fldChar w:fldCharType="end"/>
      </w:r>
    </w:p>
    <w:p>
      <w:pPr>
        <w:pStyle w:val="TOC8"/>
        <w:rPr>
          <w:sz w:val="24"/>
          <w:szCs w:val="24"/>
          <w:lang w:val="en-US"/>
        </w:rPr>
      </w:pPr>
      <w:r>
        <w:t>25GD.</w:t>
      </w:r>
      <w:r>
        <w:tab/>
        <w:t>Approval of fund, revoking</w:t>
      </w:r>
      <w:r>
        <w:tab/>
      </w:r>
      <w:r>
        <w:fldChar w:fldCharType="begin"/>
      </w:r>
      <w:r>
        <w:instrText xml:space="preserve"> PAGEREF _Toc326309575 \h </w:instrText>
      </w:r>
      <w:r>
        <w:fldChar w:fldCharType="separate"/>
      </w:r>
      <w:r>
        <w:t>34</w:t>
      </w:r>
      <w:r>
        <w:fldChar w:fldCharType="end"/>
      </w:r>
    </w:p>
    <w:p>
      <w:pPr>
        <w:pStyle w:val="TOC4"/>
        <w:tabs>
          <w:tab w:val="right" w:leader="dot" w:pos="7086"/>
        </w:tabs>
        <w:rPr>
          <w:b w:val="0"/>
          <w:sz w:val="24"/>
          <w:szCs w:val="24"/>
          <w:lang w:val="en-US"/>
        </w:rPr>
      </w:pPr>
      <w:r>
        <w:t>Division 4</w:t>
      </w:r>
      <w:r>
        <w:rPr>
          <w:snapToGrid w:val="0"/>
        </w:rPr>
        <w:t> — </w:t>
      </w:r>
      <w:r>
        <w:t>Review</w:t>
      </w:r>
    </w:p>
    <w:p>
      <w:pPr>
        <w:pStyle w:val="TOC8"/>
        <w:rPr>
          <w:sz w:val="24"/>
          <w:szCs w:val="24"/>
          <w:lang w:val="en-US"/>
        </w:rPr>
      </w:pPr>
      <w:r>
        <w:t>25H</w:t>
      </w:r>
      <w:r>
        <w:rPr>
          <w:snapToGrid w:val="0"/>
        </w:rPr>
        <w:t xml:space="preserve">. </w:t>
      </w:r>
      <w:r>
        <w:rPr>
          <w:snapToGrid w:val="0"/>
        </w:rPr>
        <w:tab/>
        <w:t>Review of this Part by Minister</w:t>
      </w:r>
      <w:r>
        <w:tab/>
      </w:r>
      <w:r>
        <w:fldChar w:fldCharType="begin"/>
      </w:r>
      <w:r>
        <w:instrText xml:space="preserve"> PAGEREF _Toc326309577 \h </w:instrText>
      </w:r>
      <w:r>
        <w:fldChar w:fldCharType="separate"/>
      </w:r>
      <w:r>
        <w:t>34</w:t>
      </w:r>
      <w:r>
        <w:fldChar w:fldCharType="end"/>
      </w:r>
    </w:p>
    <w:p>
      <w:pPr>
        <w:pStyle w:val="TOC4"/>
        <w:tabs>
          <w:tab w:val="right" w:leader="dot" w:pos="7086"/>
        </w:tabs>
        <w:rPr>
          <w:b w:val="0"/>
          <w:sz w:val="24"/>
          <w:szCs w:val="24"/>
          <w:lang w:val="en-US"/>
        </w:rPr>
      </w:pPr>
      <w:r>
        <w:t>Division 5 — Provisions about non</w:t>
      </w:r>
      <w:r>
        <w:noBreakHyphen/>
        <w:t>application of sections 25C(1) and (2) and 25F(1)</w:t>
      </w:r>
    </w:p>
    <w:p>
      <w:pPr>
        <w:pStyle w:val="TOC8"/>
        <w:rPr>
          <w:sz w:val="24"/>
          <w:szCs w:val="24"/>
          <w:lang w:val="en-US"/>
        </w:rPr>
      </w:pPr>
      <w:r>
        <w:t>25I.</w:t>
      </w:r>
      <w:r>
        <w:tab/>
        <w:t>Periods for s. 25C(3) and 25F(2), Minister may specify</w:t>
      </w:r>
      <w:r>
        <w:tab/>
      </w:r>
      <w:r>
        <w:fldChar w:fldCharType="begin"/>
      </w:r>
      <w:r>
        <w:instrText xml:space="preserve"> PAGEREF _Toc326309579 \h </w:instrText>
      </w:r>
      <w:r>
        <w:fldChar w:fldCharType="separate"/>
      </w:r>
      <w:r>
        <w:t>35</w:t>
      </w:r>
      <w:r>
        <w:fldChar w:fldCharType="end"/>
      </w:r>
    </w:p>
    <w:p>
      <w:pPr>
        <w:pStyle w:val="TOC8"/>
        <w:rPr>
          <w:sz w:val="24"/>
          <w:szCs w:val="24"/>
          <w:lang w:val="en-US"/>
        </w:rPr>
      </w:pPr>
      <w:r>
        <w:t>25J.</w:t>
      </w:r>
      <w:r>
        <w:tab/>
        <w:t>Contracts with builders, builders to give prescribed notice to other party</w:t>
      </w:r>
      <w:r>
        <w:tab/>
      </w:r>
      <w:r>
        <w:fldChar w:fldCharType="begin"/>
      </w:r>
      <w:r>
        <w:instrText xml:space="preserve"> PAGEREF _Toc326309580 \h </w:instrText>
      </w:r>
      <w:r>
        <w:fldChar w:fldCharType="separate"/>
      </w:r>
      <w:r>
        <w:t>35</w:t>
      </w:r>
      <w:r>
        <w:fldChar w:fldCharType="end"/>
      </w:r>
    </w:p>
    <w:p>
      <w:pPr>
        <w:pStyle w:val="TOC8"/>
        <w:rPr>
          <w:sz w:val="24"/>
          <w:szCs w:val="24"/>
          <w:lang w:val="en-US"/>
        </w:rPr>
      </w:pPr>
      <w:r>
        <w:t>25K.</w:t>
      </w:r>
      <w:r>
        <w:tab/>
        <w:t>Sale contract with owner-builder, owner-builder to give prescribed notice to other party</w:t>
      </w:r>
      <w:r>
        <w:tab/>
      </w:r>
      <w:r>
        <w:fldChar w:fldCharType="begin"/>
      </w:r>
      <w:r>
        <w:instrText xml:space="preserve"> PAGEREF _Toc326309581 \h </w:instrText>
      </w:r>
      <w:r>
        <w:fldChar w:fldCharType="separate"/>
      </w:r>
      <w:r>
        <w:t>37</w:t>
      </w:r>
      <w:r>
        <w:fldChar w:fldCharType="end"/>
      </w:r>
    </w:p>
    <w:p>
      <w:pPr>
        <w:pStyle w:val="TOC8"/>
        <w:rPr>
          <w:sz w:val="24"/>
          <w:szCs w:val="24"/>
          <w:lang w:val="en-US"/>
        </w:rPr>
      </w:pPr>
      <w:r>
        <w:t>25L.</w:t>
      </w:r>
      <w:r>
        <w:tab/>
        <w:t>Subsequent purchaser to be given notice given under s. 25J in some cases</w:t>
      </w:r>
      <w:r>
        <w:tab/>
      </w:r>
      <w:r>
        <w:fldChar w:fldCharType="begin"/>
      </w:r>
      <w:r>
        <w:instrText xml:space="preserve"> PAGEREF _Toc326309582 \h </w:instrText>
      </w:r>
      <w:r>
        <w:fldChar w:fldCharType="separate"/>
      </w:r>
      <w:r>
        <w:t>37</w:t>
      </w:r>
      <w:r>
        <w:fldChar w:fldCharType="end"/>
      </w:r>
    </w:p>
    <w:p>
      <w:pPr>
        <w:pStyle w:val="TOC2"/>
        <w:tabs>
          <w:tab w:val="right" w:leader="dot" w:pos="7086"/>
        </w:tabs>
        <w:rPr>
          <w:b w:val="0"/>
          <w:sz w:val="24"/>
          <w:szCs w:val="24"/>
          <w:lang w:val="en-US"/>
        </w:rPr>
      </w:pPr>
      <w:r>
        <w:t>Part 4 — General</w:t>
      </w:r>
    </w:p>
    <w:p>
      <w:pPr>
        <w:pStyle w:val="TOC8"/>
        <w:rPr>
          <w:sz w:val="24"/>
          <w:szCs w:val="24"/>
          <w:lang w:val="en-US"/>
        </w:rPr>
      </w:pPr>
      <w:r>
        <w:t>26</w:t>
      </w:r>
      <w:r>
        <w:rPr>
          <w:snapToGrid w:val="0"/>
        </w:rPr>
        <w:t>.</w:t>
      </w:r>
      <w:r>
        <w:rPr>
          <w:snapToGrid w:val="0"/>
        </w:rPr>
        <w:tab/>
        <w:t>Inspection by owner etc. of building work, prevention of etc.</w:t>
      </w:r>
      <w:r>
        <w:tab/>
      </w:r>
      <w:r>
        <w:fldChar w:fldCharType="begin"/>
      </w:r>
      <w:r>
        <w:instrText xml:space="preserve"> PAGEREF _Toc326309584 \h </w:instrText>
      </w:r>
      <w:r>
        <w:fldChar w:fldCharType="separate"/>
      </w:r>
      <w:r>
        <w:t>38</w:t>
      </w:r>
      <w:r>
        <w:fldChar w:fldCharType="end"/>
      </w:r>
    </w:p>
    <w:p>
      <w:pPr>
        <w:pStyle w:val="TOC8"/>
        <w:rPr>
          <w:sz w:val="24"/>
          <w:szCs w:val="24"/>
          <w:lang w:val="en-US"/>
        </w:rPr>
      </w:pPr>
      <w:r>
        <w:t>27</w:t>
      </w:r>
      <w:r>
        <w:rPr>
          <w:snapToGrid w:val="0"/>
        </w:rPr>
        <w:t>.</w:t>
      </w:r>
      <w:r>
        <w:rPr>
          <w:snapToGrid w:val="0"/>
        </w:rPr>
        <w:tab/>
        <w:t>Breach of Act, effect of on contract</w:t>
      </w:r>
      <w:r>
        <w:tab/>
      </w:r>
      <w:r>
        <w:fldChar w:fldCharType="begin"/>
      </w:r>
      <w:r>
        <w:instrText xml:space="preserve"> PAGEREF _Toc326309585 \h </w:instrText>
      </w:r>
      <w:r>
        <w:fldChar w:fldCharType="separate"/>
      </w:r>
      <w:r>
        <w:t>38</w:t>
      </w:r>
      <w:r>
        <w:fldChar w:fldCharType="end"/>
      </w:r>
    </w:p>
    <w:p>
      <w:pPr>
        <w:pStyle w:val="TOC8"/>
        <w:rPr>
          <w:sz w:val="24"/>
          <w:szCs w:val="24"/>
          <w:lang w:val="en-US"/>
        </w:rPr>
      </w:pPr>
      <w:r>
        <w:t>28</w:t>
      </w:r>
      <w:r>
        <w:rPr>
          <w:snapToGrid w:val="0"/>
        </w:rPr>
        <w:t>.</w:t>
      </w:r>
      <w:r>
        <w:rPr>
          <w:snapToGrid w:val="0"/>
        </w:rPr>
        <w:tab/>
        <w:t>Contracting out prohibited</w:t>
      </w:r>
      <w:r>
        <w:tab/>
      </w:r>
      <w:r>
        <w:fldChar w:fldCharType="begin"/>
      </w:r>
      <w:r>
        <w:instrText xml:space="preserve"> PAGEREF _Toc326309586 \h </w:instrText>
      </w:r>
      <w:r>
        <w:fldChar w:fldCharType="separate"/>
      </w:r>
      <w:r>
        <w:t>39</w:t>
      </w:r>
      <w:r>
        <w:fldChar w:fldCharType="end"/>
      </w:r>
    </w:p>
    <w:p>
      <w:pPr>
        <w:pStyle w:val="TOC8"/>
        <w:rPr>
          <w:sz w:val="24"/>
          <w:szCs w:val="24"/>
          <w:lang w:val="en-US"/>
        </w:rPr>
      </w:pPr>
      <w:r>
        <w:t>29</w:t>
      </w:r>
      <w:r>
        <w:rPr>
          <w:snapToGrid w:val="0"/>
        </w:rPr>
        <w:t>.</w:t>
      </w:r>
      <w:r>
        <w:rPr>
          <w:snapToGrid w:val="0"/>
        </w:rPr>
        <w:tab/>
        <w:t>Other laws not affected</w:t>
      </w:r>
      <w:r>
        <w:tab/>
      </w:r>
      <w:r>
        <w:fldChar w:fldCharType="begin"/>
      </w:r>
      <w:r>
        <w:instrText xml:space="preserve"> PAGEREF _Toc326309587 \h </w:instrText>
      </w:r>
      <w:r>
        <w:fldChar w:fldCharType="separate"/>
      </w:r>
      <w:r>
        <w:t>39</w:t>
      </w:r>
      <w:r>
        <w:fldChar w:fldCharType="end"/>
      </w:r>
    </w:p>
    <w:p>
      <w:pPr>
        <w:pStyle w:val="TOC8"/>
        <w:rPr>
          <w:sz w:val="24"/>
          <w:szCs w:val="24"/>
          <w:lang w:val="en-US"/>
        </w:rPr>
      </w:pPr>
      <w:r>
        <w:t>30</w:t>
      </w:r>
      <w:r>
        <w:rPr>
          <w:snapToGrid w:val="0"/>
        </w:rPr>
        <w:t>.</w:t>
      </w:r>
      <w:r>
        <w:rPr>
          <w:snapToGrid w:val="0"/>
        </w:rPr>
        <w:tab/>
        <w:t>Offences by body corporate, liability of officers for</w:t>
      </w:r>
      <w:r>
        <w:tab/>
      </w:r>
      <w:r>
        <w:fldChar w:fldCharType="begin"/>
      </w:r>
      <w:r>
        <w:instrText xml:space="preserve"> PAGEREF _Toc326309588 \h </w:instrText>
      </w:r>
      <w:r>
        <w:fldChar w:fldCharType="separate"/>
      </w:r>
      <w:r>
        <w:t>39</w:t>
      </w:r>
      <w:r>
        <w:fldChar w:fldCharType="end"/>
      </w:r>
    </w:p>
    <w:p>
      <w:pPr>
        <w:pStyle w:val="TOC8"/>
        <w:rPr>
          <w:sz w:val="24"/>
          <w:szCs w:val="24"/>
          <w:lang w:val="en-US"/>
        </w:rPr>
      </w:pPr>
      <w:r>
        <w:t>31.</w:t>
      </w:r>
      <w:r>
        <w:tab/>
        <w:t>Prosecutions</w:t>
      </w:r>
      <w:r>
        <w:tab/>
      </w:r>
      <w:r>
        <w:fldChar w:fldCharType="begin"/>
      </w:r>
      <w:r>
        <w:instrText xml:space="preserve"> PAGEREF _Toc326309589 \h </w:instrText>
      </w:r>
      <w:r>
        <w:fldChar w:fldCharType="separate"/>
      </w:r>
      <w:r>
        <w:t>39</w:t>
      </w:r>
      <w:r>
        <w:fldChar w:fldCharType="end"/>
      </w:r>
    </w:p>
    <w:p>
      <w:pPr>
        <w:pStyle w:val="TOC8"/>
        <w:rPr>
          <w:sz w:val="24"/>
          <w:szCs w:val="24"/>
          <w:lang w:val="en-US"/>
        </w:rPr>
      </w:pPr>
      <w:r>
        <w:t>31B.</w:t>
      </w:r>
      <w:r>
        <w:tab/>
      </w:r>
      <w:r>
        <w:rPr>
          <w:snapToGrid w:val="0"/>
        </w:rPr>
        <w:t>Infringement notices</w:t>
      </w:r>
      <w:r>
        <w:tab/>
      </w:r>
      <w:r>
        <w:fldChar w:fldCharType="begin"/>
      </w:r>
      <w:r>
        <w:instrText xml:space="preserve"> PAGEREF _Toc326309590 \h </w:instrText>
      </w:r>
      <w:r>
        <w:fldChar w:fldCharType="separate"/>
      </w:r>
      <w:r>
        <w:t>40</w:t>
      </w:r>
      <w:r>
        <w:fldChar w:fldCharType="end"/>
      </w:r>
    </w:p>
    <w:p>
      <w:pPr>
        <w:pStyle w:val="TOC8"/>
        <w:rPr>
          <w:sz w:val="24"/>
          <w:szCs w:val="24"/>
          <w:lang w:val="en-US"/>
        </w:rPr>
      </w:pPr>
      <w:r>
        <w:t>32</w:t>
      </w:r>
      <w:r>
        <w:rPr>
          <w:snapToGrid w:val="0"/>
        </w:rPr>
        <w:t>.</w:t>
      </w:r>
      <w:r>
        <w:rPr>
          <w:snapToGrid w:val="0"/>
        </w:rPr>
        <w:tab/>
        <w:t>Regulations</w:t>
      </w:r>
      <w:r>
        <w:tab/>
      </w:r>
      <w:r>
        <w:fldChar w:fldCharType="begin"/>
      </w:r>
      <w:r>
        <w:instrText xml:space="preserve"> PAGEREF _Toc326309591 \h </w:instrText>
      </w:r>
      <w:r>
        <w:fldChar w:fldCharType="separate"/>
      </w:r>
      <w:r>
        <w:t>42</w:t>
      </w:r>
      <w:r>
        <w:fldChar w:fldCharType="end"/>
      </w:r>
    </w:p>
    <w:p>
      <w:pPr>
        <w:pStyle w:val="TOC8"/>
        <w:rPr>
          <w:sz w:val="24"/>
          <w:szCs w:val="24"/>
          <w:lang w:val="en-US"/>
        </w:rPr>
      </w:pPr>
      <w:r>
        <w:t>33</w:t>
      </w:r>
      <w:r>
        <w:rPr>
          <w:snapToGrid w:val="0"/>
        </w:rPr>
        <w:t>.</w:t>
      </w:r>
      <w:r>
        <w:rPr>
          <w:snapToGrid w:val="0"/>
        </w:rPr>
        <w:tab/>
        <w:t>Retrospectivity of Act</w:t>
      </w:r>
      <w:r>
        <w:tab/>
      </w:r>
      <w:r>
        <w:fldChar w:fldCharType="begin"/>
      </w:r>
      <w:r>
        <w:instrText xml:space="preserve"> PAGEREF _Toc326309592 \h </w:instrText>
      </w:r>
      <w:r>
        <w:fldChar w:fldCharType="separate"/>
      </w:r>
      <w:r>
        <w:t>43</w:t>
      </w:r>
      <w:r>
        <w:fldChar w:fldCharType="end"/>
      </w:r>
    </w:p>
    <w:p>
      <w:pPr>
        <w:pStyle w:val="TOC8"/>
        <w:rPr>
          <w:sz w:val="24"/>
          <w:szCs w:val="24"/>
          <w:lang w:val="en-US"/>
        </w:rPr>
      </w:pPr>
      <w:r>
        <w:t>34</w:t>
      </w:r>
      <w:r>
        <w:rPr>
          <w:snapToGrid w:val="0"/>
        </w:rPr>
        <w:t>.</w:t>
      </w:r>
      <w:r>
        <w:rPr>
          <w:snapToGrid w:val="0"/>
        </w:rPr>
        <w:tab/>
        <w:t>Review of Act</w:t>
      </w:r>
      <w:r>
        <w:tab/>
      </w:r>
      <w:r>
        <w:fldChar w:fldCharType="begin"/>
      </w:r>
      <w:r>
        <w:instrText xml:space="preserve"> PAGEREF _Toc326309593 \h </w:instrText>
      </w:r>
      <w:r>
        <w:fldChar w:fldCharType="separate"/>
      </w:r>
      <w:r>
        <w:t>43</w:t>
      </w:r>
      <w:r>
        <w:fldChar w:fldCharType="end"/>
      </w:r>
    </w:p>
    <w:p>
      <w:pPr>
        <w:pStyle w:val="TOC2"/>
        <w:tabs>
          <w:tab w:val="right" w:leader="dot" w:pos="7086"/>
        </w:tabs>
        <w:rPr>
          <w:b w:val="0"/>
          <w:sz w:val="24"/>
          <w:szCs w:val="24"/>
          <w:lang w:val="en-US"/>
        </w:rPr>
      </w:pPr>
      <w:r>
        <w:t>Schedule 1 — Consequences of non</w:t>
      </w:r>
      <w:r>
        <w:noBreakHyphen/>
        <w:t>fulfilment of conditions</w:t>
      </w:r>
    </w:p>
    <w:p>
      <w:pPr>
        <w:pStyle w:val="TOC8"/>
        <w:rPr>
          <w:sz w:val="24"/>
          <w:szCs w:val="24"/>
          <w:lang w:val="en-US"/>
        </w:rPr>
      </w:pPr>
      <w:r>
        <w:t>1</w:t>
      </w:r>
      <w:r>
        <w:rPr>
          <w:snapToGrid w:val="0"/>
        </w:rPr>
        <w:t>.</w:t>
      </w:r>
      <w:r>
        <w:rPr>
          <w:snapToGrid w:val="0"/>
        </w:rPr>
        <w:tab/>
        <w:t>Condition in s. 9(1), non-fulfilment of by builder</w:t>
      </w:r>
      <w:r>
        <w:tab/>
      </w:r>
      <w:r>
        <w:fldChar w:fldCharType="begin"/>
      </w:r>
      <w:r>
        <w:instrText xml:space="preserve"> PAGEREF _Toc326309595 \h </w:instrText>
      </w:r>
      <w:r>
        <w:fldChar w:fldCharType="separate"/>
      </w:r>
      <w:r>
        <w:t>44</w:t>
      </w:r>
      <w:r>
        <w:fldChar w:fldCharType="end"/>
      </w:r>
    </w:p>
    <w:p>
      <w:pPr>
        <w:pStyle w:val="TOC8"/>
        <w:rPr>
          <w:sz w:val="24"/>
          <w:szCs w:val="24"/>
          <w:lang w:val="en-US"/>
        </w:rPr>
      </w:pPr>
      <w:r>
        <w:t>2</w:t>
      </w:r>
      <w:r>
        <w:rPr>
          <w:snapToGrid w:val="0"/>
        </w:rPr>
        <w:t>.</w:t>
      </w:r>
      <w:r>
        <w:rPr>
          <w:snapToGrid w:val="0"/>
        </w:rPr>
        <w:tab/>
        <w:t>Condition in s. 9(1), non-fulfilment of by owner</w:t>
      </w:r>
      <w:r>
        <w:tab/>
      </w:r>
      <w:r>
        <w:fldChar w:fldCharType="begin"/>
      </w:r>
      <w:r>
        <w:instrText xml:space="preserve"> PAGEREF _Toc326309596 \h </w:instrText>
      </w:r>
      <w:r>
        <w:fldChar w:fldCharType="separate"/>
      </w:r>
      <w:r>
        <w:t>44</w:t>
      </w:r>
      <w:r>
        <w:fldChar w:fldCharType="end"/>
      </w:r>
    </w:p>
    <w:p>
      <w:pPr>
        <w:pStyle w:val="TOC8"/>
        <w:rPr>
          <w:sz w:val="24"/>
          <w:szCs w:val="24"/>
          <w:lang w:val="en-US"/>
        </w:rPr>
      </w:pPr>
      <w:r>
        <w:t>3</w:t>
      </w:r>
      <w:r>
        <w:rPr>
          <w:snapToGrid w:val="0"/>
        </w:rPr>
        <w:t>.</w:t>
      </w:r>
      <w:r>
        <w:rPr>
          <w:snapToGrid w:val="0"/>
        </w:rPr>
        <w:tab/>
        <w:t>Condition in s. 9(1), non-fulfilment of by builder and owner</w:t>
      </w:r>
      <w:r>
        <w:tab/>
      </w:r>
      <w:r>
        <w:fldChar w:fldCharType="begin"/>
      </w:r>
      <w:r>
        <w:instrText xml:space="preserve"> PAGEREF _Toc326309597 \h </w:instrText>
      </w:r>
      <w:r>
        <w:fldChar w:fldCharType="separate"/>
      </w:r>
      <w:r>
        <w:t>44</w:t>
      </w:r>
      <w:r>
        <w:fldChar w:fldCharType="end"/>
      </w:r>
    </w:p>
    <w:p>
      <w:pPr>
        <w:pStyle w:val="TOC8"/>
        <w:rPr>
          <w:sz w:val="24"/>
          <w:szCs w:val="24"/>
          <w:lang w:val="en-US"/>
        </w:rPr>
      </w:pPr>
      <w:r>
        <w:t>4</w:t>
      </w:r>
      <w:r>
        <w:rPr>
          <w:snapToGrid w:val="0"/>
        </w:rPr>
        <w:t>.</w:t>
      </w:r>
      <w:r>
        <w:rPr>
          <w:snapToGrid w:val="0"/>
        </w:rPr>
        <w:tab/>
        <w:t>Rights of builder and owner if cl. 2 or 3 or s. 13(4)(c) applies</w:t>
      </w:r>
      <w:r>
        <w:tab/>
      </w:r>
      <w:r>
        <w:fldChar w:fldCharType="begin"/>
      </w:r>
      <w:r>
        <w:instrText xml:space="preserve"> PAGEREF _Toc326309598 \h </w:instrText>
      </w:r>
      <w:r>
        <w:fldChar w:fldCharType="separate"/>
      </w:r>
      <w:r>
        <w:t>44</w:t>
      </w:r>
      <w:r>
        <w:fldChar w:fldCharType="end"/>
      </w:r>
    </w:p>
    <w:p>
      <w:pPr>
        <w:pStyle w:val="TOC8"/>
        <w:rPr>
          <w:sz w:val="24"/>
          <w:szCs w:val="24"/>
          <w:lang w:val="en-US"/>
        </w:rPr>
      </w:pPr>
      <w:r>
        <w:t>5</w:t>
      </w:r>
      <w:r>
        <w:rPr>
          <w:snapToGrid w:val="0"/>
        </w:rPr>
        <w:t>.</w:t>
      </w:r>
      <w:r>
        <w:rPr>
          <w:snapToGrid w:val="0"/>
        </w:rPr>
        <w:tab/>
        <w:t>Price increase, review of</w:t>
      </w:r>
      <w:r>
        <w:tab/>
      </w:r>
      <w:r>
        <w:fldChar w:fldCharType="begin"/>
      </w:r>
      <w:r>
        <w:instrText xml:space="preserve"> PAGEREF _Toc326309599 \h </w:instrText>
      </w:r>
      <w:r>
        <w:fldChar w:fldCharType="separate"/>
      </w:r>
      <w:r>
        <w:t>45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_Toc326309601 \h </w:instrText>
      </w:r>
      <w:r>
        <w:fldChar w:fldCharType="separate"/>
      </w:r>
      <w:r>
        <w:t>46</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25</w:t>
            </w:r>
            <w:r>
              <w:rPr>
                <w:b/>
                <w:snapToGrid w:val="0"/>
                <w:sz w:val="22"/>
              </w:rPr>
              <w:t xml:space="preserve"> May 2012</w:t>
            </w:r>
            <w:r>
              <w:rPr>
                <w:b/>
                <w:sz w:val="22"/>
              </w:rPr>
              <w:fldChar w:fldCharType="end"/>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spacing w:after="840"/>
      </w:pPr>
      <w:smartTag w:uri="urn:schemas-microsoft-com:office:smarttags" w:element="place">
        <w:smartTag w:uri="urn:schemas-microsoft-com:office:smarttags" w:element="PlaceType">
          <w:r>
            <w:t>Home</w:t>
          </w:r>
        </w:smartTag>
        <w:r>
          <w:t xml:space="preserve"> </w:t>
        </w:r>
        <w:smartTag w:uri="urn:schemas-microsoft-com:office:smarttags" w:element="PlaceType">
          <w:r>
            <w:t>Building</w:t>
          </w:r>
        </w:smartTag>
      </w:smartTag>
      <w:r>
        <w:t xml:space="preserve"> Contracts Act 1991</w:t>
      </w:r>
    </w:p>
    <w:p>
      <w:pPr>
        <w:pStyle w:val="LongTitle"/>
        <w:rPr>
          <w:snapToGrid w:val="0"/>
        </w:rPr>
      </w:pPr>
      <w:r>
        <w:rPr>
          <w:snapToGrid w:val="0"/>
        </w:rPr>
        <w:t>An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pPr>
        <w:pStyle w:val="Footnotelongtitle"/>
      </w:pPr>
      <w:r>
        <w:tab/>
        <w:t>[Long title amended by No. 72 of 1996 s. 4; No. 37 of 2002 s. 4; No. 59 of 2004 s. 141.]</w:t>
      </w:r>
    </w:p>
    <w:p>
      <w:pPr>
        <w:pStyle w:val="Heading2"/>
      </w:pPr>
      <w:bookmarkStart w:id="1" w:name="_Toc89521524"/>
      <w:bookmarkStart w:id="2" w:name="_Toc89521593"/>
      <w:bookmarkStart w:id="3" w:name="_Toc96246639"/>
      <w:bookmarkStart w:id="4" w:name="_Toc97107108"/>
      <w:bookmarkStart w:id="5" w:name="_Toc102365957"/>
      <w:bookmarkStart w:id="6" w:name="_Toc103066980"/>
      <w:bookmarkStart w:id="7" w:name="_Toc124730077"/>
      <w:bookmarkStart w:id="8" w:name="_Toc124734130"/>
      <w:bookmarkStart w:id="9" w:name="_Toc124748212"/>
      <w:bookmarkStart w:id="10" w:name="_Toc127681761"/>
      <w:bookmarkStart w:id="11" w:name="_Toc129579973"/>
      <w:bookmarkStart w:id="12" w:name="_Toc211745910"/>
      <w:bookmarkStart w:id="13" w:name="_Toc268266224"/>
      <w:bookmarkStart w:id="14" w:name="_Toc268688289"/>
      <w:bookmarkStart w:id="15" w:name="_Toc272150869"/>
      <w:bookmarkStart w:id="16" w:name="_Toc294177233"/>
      <w:bookmarkStart w:id="17" w:name="_Toc296609886"/>
      <w:bookmarkStart w:id="18" w:name="_Toc298424888"/>
      <w:bookmarkStart w:id="19" w:name="_Toc298424962"/>
      <w:bookmarkStart w:id="20" w:name="_Toc302113261"/>
      <w:bookmarkStart w:id="21" w:name="_Toc302127905"/>
      <w:bookmarkStart w:id="22" w:name="_Toc307408816"/>
      <w:bookmarkStart w:id="23" w:name="_Toc320776880"/>
      <w:bookmarkStart w:id="24" w:name="_Toc320777326"/>
      <w:bookmarkStart w:id="25" w:name="_Toc320790080"/>
      <w:bookmarkStart w:id="26" w:name="_Toc321396973"/>
      <w:bookmarkStart w:id="27" w:name="_Toc321400232"/>
      <w:bookmarkStart w:id="28" w:name="_Toc325102674"/>
      <w:bookmarkStart w:id="29" w:name="_Toc325103768"/>
      <w:bookmarkStart w:id="30" w:name="_Toc326224227"/>
      <w:bookmarkStart w:id="31" w:name="_Toc32630953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spacing w:before="200"/>
        <w:rPr>
          <w:snapToGrid w:val="0"/>
        </w:rPr>
      </w:pPr>
      <w:bookmarkStart w:id="32" w:name="_Toc521487139"/>
      <w:bookmarkStart w:id="33" w:name="_Toc522337167"/>
      <w:bookmarkStart w:id="34" w:name="_Toc527365385"/>
      <w:bookmarkStart w:id="35" w:name="_Toc530458593"/>
      <w:bookmarkStart w:id="36" w:name="_Toc530460455"/>
      <w:bookmarkStart w:id="37" w:name="_Toc326309537"/>
      <w:r>
        <w:rPr>
          <w:rStyle w:val="CharSectno"/>
        </w:rPr>
        <w:t>1</w:t>
      </w:r>
      <w:r>
        <w:rPr>
          <w:snapToGrid w:val="0"/>
        </w:rPr>
        <w:t>.</w:t>
      </w:r>
      <w:r>
        <w:rPr>
          <w:snapToGrid w:val="0"/>
        </w:rPr>
        <w:tab/>
        <w:t>Short title</w:t>
      </w:r>
      <w:bookmarkEnd w:id="32"/>
      <w:bookmarkEnd w:id="33"/>
      <w:bookmarkEnd w:id="34"/>
      <w:bookmarkEnd w:id="35"/>
      <w:bookmarkEnd w:id="36"/>
      <w:bookmarkEnd w:id="37"/>
    </w:p>
    <w:p>
      <w:pPr>
        <w:pStyle w:val="Subsection"/>
        <w:spacing w:before="120"/>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r>
        <w:rPr>
          <w:snapToGrid w:val="0"/>
          <w:vertAlign w:val="superscript"/>
        </w:rPr>
        <w:t>1</w:t>
      </w:r>
      <w:r>
        <w:rPr>
          <w:snapToGrid w:val="0"/>
        </w:rPr>
        <w:t>.</w:t>
      </w:r>
    </w:p>
    <w:p>
      <w:pPr>
        <w:pStyle w:val="Heading5"/>
        <w:spacing w:before="200"/>
        <w:rPr>
          <w:snapToGrid w:val="0"/>
        </w:rPr>
      </w:pPr>
      <w:bookmarkStart w:id="38" w:name="_Toc521487140"/>
      <w:bookmarkStart w:id="39" w:name="_Toc522337168"/>
      <w:bookmarkStart w:id="40" w:name="_Toc527365386"/>
      <w:bookmarkStart w:id="41" w:name="_Toc530458594"/>
      <w:bookmarkStart w:id="42" w:name="_Toc530460456"/>
      <w:bookmarkStart w:id="43" w:name="_Toc326309538"/>
      <w:r>
        <w:rPr>
          <w:rStyle w:val="CharSectno"/>
        </w:rPr>
        <w:t>2</w:t>
      </w:r>
      <w:r>
        <w:rPr>
          <w:snapToGrid w:val="0"/>
        </w:rPr>
        <w:t>.</w:t>
      </w:r>
      <w:r>
        <w:rPr>
          <w:snapToGrid w:val="0"/>
        </w:rPr>
        <w:tab/>
        <w:t>Commencement</w:t>
      </w:r>
      <w:bookmarkEnd w:id="38"/>
      <w:bookmarkEnd w:id="39"/>
      <w:bookmarkEnd w:id="40"/>
      <w:bookmarkEnd w:id="41"/>
      <w:bookmarkEnd w:id="42"/>
      <w:bookmarkEnd w:id="43"/>
    </w:p>
    <w:p>
      <w:pPr>
        <w:pStyle w:val="Subsection"/>
        <w:spacing w:before="120"/>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spacing w:before="200"/>
        <w:rPr>
          <w:snapToGrid w:val="0"/>
        </w:rPr>
      </w:pPr>
      <w:bookmarkStart w:id="44" w:name="_Toc521487141"/>
      <w:bookmarkStart w:id="45" w:name="_Toc522337169"/>
      <w:bookmarkStart w:id="46" w:name="_Toc527365387"/>
      <w:bookmarkStart w:id="47" w:name="_Toc530458595"/>
      <w:bookmarkStart w:id="48" w:name="_Toc530460457"/>
      <w:bookmarkStart w:id="49" w:name="_Toc326309539"/>
      <w:r>
        <w:rPr>
          <w:rStyle w:val="CharSectno"/>
        </w:rPr>
        <w:t>3</w:t>
      </w:r>
      <w:r>
        <w:rPr>
          <w:snapToGrid w:val="0"/>
        </w:rPr>
        <w:t>.</w:t>
      </w:r>
      <w:r>
        <w:rPr>
          <w:snapToGrid w:val="0"/>
        </w:rPr>
        <w:tab/>
      </w:r>
      <w:bookmarkEnd w:id="44"/>
      <w:bookmarkEnd w:id="45"/>
      <w:bookmarkEnd w:id="46"/>
      <w:bookmarkEnd w:id="47"/>
      <w:bookmarkEnd w:id="48"/>
      <w:r>
        <w:rPr>
          <w:snapToGrid w:val="0"/>
        </w:rPr>
        <w:t>Terms used</w:t>
      </w:r>
      <w:bookmarkEnd w:id="49"/>
    </w:p>
    <w:p>
      <w:pPr>
        <w:pStyle w:val="Subsection"/>
        <w:spacing w:before="120"/>
        <w:rPr>
          <w:snapToGrid w:val="0"/>
        </w:rPr>
      </w:pPr>
      <w:r>
        <w:rPr>
          <w:snapToGrid w:val="0"/>
        </w:rPr>
        <w:tab/>
        <w:t>(1)</w:t>
      </w:r>
      <w:r>
        <w:rPr>
          <w:snapToGrid w:val="0"/>
        </w:rPr>
        <w:tab/>
        <w:t>In this Act unless the contrary intention appears —</w:t>
      </w:r>
    </w:p>
    <w:p>
      <w:pPr>
        <w:pStyle w:val="Defstart"/>
        <w:spacing w:before="60"/>
      </w:pPr>
      <w:r>
        <w:rPr>
          <w:b/>
        </w:rPr>
        <w:tab/>
      </w:r>
      <w:r>
        <w:rPr>
          <w:rStyle w:val="CharDefText"/>
        </w:rPr>
        <w:t>associated work</w:t>
      </w:r>
      <w:r>
        <w:t xml:space="preserve"> includes site works, swimming pools, spas, pergolas, carports, garages, sheds, fencing, retaining walls, paving, driveways, landscaping and other like works;</w:t>
      </w:r>
    </w:p>
    <w:p>
      <w:pPr>
        <w:pStyle w:val="Defstart"/>
        <w:spacing w:before="60"/>
      </w:pPr>
      <w:r>
        <w:rPr>
          <w:b/>
        </w:rPr>
        <w:tab/>
      </w:r>
      <w:r>
        <w:rPr>
          <w:rStyle w:val="CharDefText"/>
        </w:rPr>
        <w:t>builder</w:t>
      </w:r>
      <w:r>
        <w:t xml:space="preserve"> means a person who carries on, or 2 or more persons who together carry on, a business which consists of or includes the performing of home building work for others;</w:t>
      </w:r>
    </w:p>
    <w:p>
      <w:pPr>
        <w:pStyle w:val="Defstart"/>
        <w:spacing w:before="60"/>
      </w:pPr>
      <w:r>
        <w:tab/>
      </w:r>
      <w:r>
        <w:rPr>
          <w:rStyle w:val="CharDefText"/>
        </w:rPr>
        <w:t>Builders’ Registration Board</w:t>
      </w:r>
      <w:r>
        <w:t xml:space="preserve"> means the Builders’ Registration Board constituted under the repealed Act</w:t>
      </w:r>
      <w:r>
        <w:rPr>
          <w:iCs/>
        </w:rPr>
        <w:t>;</w:t>
      </w:r>
    </w:p>
    <w:p>
      <w:pPr>
        <w:pStyle w:val="Defstart"/>
        <w:spacing w:before="60"/>
      </w:pPr>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p>
    <w:p>
      <w:pPr>
        <w:pStyle w:val="Defstart"/>
        <w:spacing w:before="60"/>
      </w:pPr>
      <w:r>
        <w:tab/>
      </w:r>
      <w:r>
        <w:rPr>
          <w:rStyle w:val="CharDefText"/>
        </w:rPr>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Defstart"/>
        <w:spacing w:before="60"/>
      </w:pPr>
      <w:r>
        <w:tab/>
      </w:r>
      <w:r>
        <w:rPr>
          <w:rStyle w:val="CharDefText"/>
        </w:rPr>
        <w:t>building permit</w:t>
      </w:r>
      <w:r>
        <w:t xml:space="preserve"> means building permit as defined in the </w:t>
      </w:r>
      <w:r>
        <w:rPr>
          <w:i/>
        </w:rPr>
        <w:t>Building Act 2011</w:t>
      </w:r>
      <w:r>
        <w:t xml:space="preserve"> section 3;</w:t>
      </w:r>
    </w:p>
    <w:p>
      <w:pPr>
        <w:pStyle w:val="Defstart"/>
        <w:spacing w:before="60"/>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pPr>
        <w:pStyle w:val="Defpara"/>
        <w:spacing w:before="60"/>
      </w:pPr>
      <w:r>
        <w:tab/>
        <w:t>(a)</w:t>
      </w:r>
      <w:r>
        <w:tab/>
        <w:t>painting where that is part of the work included in a contract; and</w:t>
      </w:r>
    </w:p>
    <w:p>
      <w:pPr>
        <w:pStyle w:val="Defpara"/>
      </w:pPr>
      <w:r>
        <w:tab/>
        <w:t>(b)</w:t>
      </w:r>
      <w:r>
        <w:tab/>
        <w:t>the provision of lighting, heating, water supply, drainage, sewerage, gas and other like services;</w:t>
      </w:r>
    </w:p>
    <w:p>
      <w:pPr>
        <w:pStyle w:val="Defstart"/>
      </w:pPr>
      <w:r>
        <w:rPr>
          <w:b/>
        </w:rPr>
        <w:tab/>
      </w:r>
      <w:r>
        <w:rPr>
          <w:rStyle w:val="CharDefText"/>
        </w:rPr>
        <w:t>contract</w:t>
      </w:r>
      <w:r>
        <w:t xml:space="preserve"> means a home building work contract;</w:t>
      </w:r>
    </w:p>
    <w:p>
      <w:pPr>
        <w:pStyle w:val="Defstart"/>
      </w:pPr>
      <w:r>
        <w:rPr>
          <w:b/>
        </w:rPr>
        <w:tab/>
      </w:r>
      <w:r>
        <w:rPr>
          <w:rStyle w:val="CharDefText"/>
        </w:rPr>
        <w:t>cost plus contract</w:t>
      </w:r>
      <w:r>
        <w:t xml:space="preserve"> means a contract under which a builder is entitled to recover an amount excluding prime cost items and provisional sums that is not determined at the time when the contract is entered into, being an amount that includes the actual cost to be incurred in —</w:t>
      </w:r>
    </w:p>
    <w:p>
      <w:pPr>
        <w:pStyle w:val="Defpara"/>
      </w:pPr>
      <w:r>
        <w:tab/>
        <w:t>(a)</w:t>
      </w:r>
      <w:r>
        <w:tab/>
        <w:t>acquiring materials; and</w:t>
      </w:r>
    </w:p>
    <w:p>
      <w:pPr>
        <w:pStyle w:val="Defpara"/>
      </w:pPr>
      <w:r>
        <w:tab/>
        <w:t>(b)</w:t>
      </w:r>
      <w:r>
        <w:tab/>
        <w:t>performing work,</w:t>
      </w:r>
    </w:p>
    <w:p>
      <w:pPr>
        <w:pStyle w:val="Defstart"/>
      </w:pPr>
      <w:r>
        <w:tab/>
        <w:t>specified in the contract, together with an additional amount that comprises either —</w:t>
      </w:r>
    </w:p>
    <w:p>
      <w:pPr>
        <w:pStyle w:val="Defpara"/>
      </w:pPr>
      <w:r>
        <w:tab/>
        <w:t>(c)</w:t>
      </w:r>
      <w:r>
        <w:tab/>
        <w:t>a sum calculated as a percentage of that cost; or</w:t>
      </w:r>
    </w:p>
    <w:p>
      <w:pPr>
        <w:pStyle w:val="Defpara"/>
      </w:pPr>
      <w:r>
        <w:tab/>
        <w:t>(d)</w:t>
      </w:r>
      <w:r>
        <w:tab/>
        <w:t>a specified sum,</w:t>
      </w:r>
    </w:p>
    <w:p>
      <w:pPr>
        <w:pStyle w:val="Defstart"/>
      </w:pPr>
      <w:r>
        <w:tab/>
        <w:t>or both;</w:t>
      </w:r>
    </w:p>
    <w:p>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pPr>
        <w:pStyle w:val="Defstart"/>
      </w:pPr>
      <w:r>
        <w:rPr>
          <w:b/>
        </w:rPr>
        <w:tab/>
      </w:r>
      <w:r>
        <w:rPr>
          <w:rStyle w:val="CharDefText"/>
        </w:rPr>
        <w:t>dwelling</w:t>
      </w:r>
      <w:r>
        <w:t xml:space="preserve"> means a building occupied or intended for occupation solely or mainly as a place of residence;</w:t>
      </w:r>
    </w:p>
    <w:p>
      <w:pPr>
        <w:pStyle w:val="Defstart"/>
      </w:pPr>
      <w:r>
        <w:rPr>
          <w:b/>
        </w:rPr>
        <w:tab/>
      </w:r>
      <w:r>
        <w:rPr>
          <w:rStyle w:val="CharDefText"/>
        </w:rPr>
        <w:t>home building work</w:t>
      </w:r>
      <w:r>
        <w:t xml:space="preserve"> means the whole or part of the work of —</w:t>
      </w:r>
    </w:p>
    <w:p>
      <w:pPr>
        <w:pStyle w:val="Defpara"/>
      </w:pPr>
      <w:r>
        <w:tab/>
        <w:t>(a)</w:t>
      </w:r>
      <w:r>
        <w:tab/>
        <w:t>constructing or re</w:t>
      </w:r>
      <w:r>
        <w:noBreakHyphen/>
        <w:t>constructing a dwelling including an existing dwelling and/or strata</w:t>
      </w:r>
      <w:r>
        <w:noBreakHyphen/>
        <w:t>titled dwelling; or</w:t>
      </w:r>
    </w:p>
    <w:p>
      <w:pPr>
        <w:pStyle w:val="Defpara"/>
      </w:pPr>
      <w:r>
        <w:tab/>
        <w:t>(b)</w:t>
      </w:r>
      <w:r>
        <w:tab/>
        <w:t>placing a dwelling on land; or</w:t>
      </w:r>
    </w:p>
    <w:p>
      <w:pPr>
        <w:pStyle w:val="Defpara"/>
      </w:pPr>
      <w:r>
        <w:tab/>
        <w:t>(c)</w:t>
      </w:r>
      <w:r>
        <w:tab/>
        <w:t>altering, improving or repairing a dwelling, including a strata</w:t>
      </w:r>
      <w:r>
        <w:noBreakHyphen/>
        <w:t>titled dwelling; or</w:t>
      </w:r>
    </w:p>
    <w:p>
      <w:pPr>
        <w:pStyle w:val="Defpara"/>
      </w:pPr>
      <w:r>
        <w:tab/>
        <w:t>(d)</w:t>
      </w:r>
      <w:r>
        <w:tab/>
        <w:t>constructing or carrying out any associated work in connection with —</w:t>
      </w:r>
    </w:p>
    <w:p>
      <w:pPr>
        <w:pStyle w:val="Defsubpara"/>
        <w:rPr>
          <w:snapToGrid w:val="0"/>
        </w:rPr>
      </w:pPr>
      <w:r>
        <w:rPr>
          <w:snapToGrid w:val="0"/>
        </w:rPr>
        <w:tab/>
        <w:t>(i)</w:t>
      </w:r>
      <w:r>
        <w:rPr>
          <w:snapToGrid w:val="0"/>
        </w:rPr>
        <w:tab/>
        <w:t>any work referred to in paragraph (a) or (b); or</w:t>
      </w:r>
    </w:p>
    <w:p>
      <w:pPr>
        <w:pStyle w:val="Defsubpara"/>
        <w:rPr>
          <w:snapToGrid w:val="0"/>
        </w:rPr>
      </w:pPr>
      <w:r>
        <w:rPr>
          <w:snapToGrid w:val="0"/>
        </w:rPr>
        <w:tab/>
        <w:t>(ii)</w:t>
      </w:r>
      <w:r>
        <w:rPr>
          <w:snapToGrid w:val="0"/>
        </w:rPr>
        <w:tab/>
        <w:t>an existing dwelling, including a strata</w:t>
      </w:r>
      <w:r>
        <w:rPr>
          <w:snapToGrid w:val="0"/>
        </w:rPr>
        <w:noBreakHyphen/>
        <w:t>titled dwelling;</w:t>
      </w:r>
    </w:p>
    <w:p>
      <w:pPr>
        <w:pStyle w:val="Defstart"/>
      </w:pPr>
      <w:r>
        <w:rPr>
          <w:b/>
        </w:rPr>
        <w:tab/>
      </w:r>
      <w:r>
        <w:rPr>
          <w:rStyle w:val="CharDefText"/>
        </w:rPr>
        <w:t>home building work contract</w:t>
      </w:r>
      <w:r>
        <w:t xml:space="preserve"> means a contract between a builder and an owner for the performance by the builder of home building work, but does not include —</w:t>
      </w:r>
    </w:p>
    <w:p>
      <w:pPr>
        <w:pStyle w:val="Defpara"/>
      </w:pPr>
      <w:r>
        <w:tab/>
        <w:t>(a)</w:t>
      </w:r>
      <w:r>
        <w:tab/>
        <w:t>a cost plus contract;</w:t>
      </w:r>
    </w:p>
    <w:p>
      <w:pPr>
        <w:pStyle w:val="Defpara"/>
        <w:keepNext/>
      </w:pPr>
      <w:r>
        <w:tab/>
        <w:t>(b)</w:t>
      </w:r>
      <w:r>
        <w:tab/>
        <w:t>a contract for the performance of home building work —</w:t>
      </w:r>
    </w:p>
    <w:p>
      <w:pPr>
        <w:pStyle w:val="Defsubpara"/>
        <w:rPr>
          <w:snapToGrid w:val="0"/>
        </w:rPr>
      </w:pPr>
      <w:r>
        <w:rPr>
          <w:snapToGrid w:val="0"/>
        </w:rPr>
        <w:tab/>
        <w:t>(i)</w:t>
      </w:r>
      <w:r>
        <w:rPr>
          <w:snapToGrid w:val="0"/>
        </w:rPr>
        <w:tab/>
        <w:t>for a builder who is in turn obliged to perform the work under another contract; or</w:t>
      </w:r>
    </w:p>
    <w:p>
      <w:pPr>
        <w:pStyle w:val="Defsubpara"/>
        <w:rPr>
          <w:snapToGrid w:val="0"/>
        </w:rPr>
      </w:pPr>
      <w:r>
        <w:rPr>
          <w:snapToGrid w:val="0"/>
        </w:rPr>
        <w:tab/>
        <w:t>(ii)</w:t>
      </w:r>
      <w:r>
        <w:rPr>
          <w:snapToGrid w:val="0"/>
        </w:rPr>
        <w:tab/>
        <w:t xml:space="preserve">if the amount </w:t>
      </w:r>
      <w:r>
        <w:t xml:space="preserve">stated in the contract as being </w:t>
      </w:r>
      <w:r>
        <w:rPr>
          <w:snapToGrid w:val="0"/>
        </w:rPr>
        <w:t>payable under the contract for the work is $6 000, or such other amount as is prescribed, or less; or</w:t>
      </w:r>
    </w:p>
    <w:p>
      <w:pPr>
        <w:pStyle w:val="Defsubpara"/>
        <w:rPr>
          <w:snapToGrid w:val="0"/>
        </w:rPr>
      </w:pPr>
      <w:r>
        <w:rPr>
          <w:snapToGrid w:val="0"/>
        </w:rPr>
        <w:tab/>
        <w:t>(iii)</w:t>
      </w:r>
      <w:r>
        <w:rPr>
          <w:snapToGrid w:val="0"/>
        </w:rPr>
        <w:tab/>
        <w:t xml:space="preserve">if the amount </w:t>
      </w:r>
      <w:r>
        <w:t xml:space="preserve">stated in the contract as being </w:t>
      </w:r>
      <w:r>
        <w:rPr>
          <w:snapToGrid w:val="0"/>
        </w:rPr>
        <w:t>payable under the contract for the work is $200 000, or such other amount as is prescribed, or more;</w:t>
      </w:r>
    </w:p>
    <w:p>
      <w:pPr>
        <w:pStyle w:val="Defstart"/>
      </w:pPr>
      <w:r>
        <w:rPr>
          <w:b/>
        </w:rPr>
        <w:tab/>
      </w:r>
      <w:r>
        <w:rPr>
          <w:rStyle w:val="CharDefText"/>
        </w:rPr>
        <w:t>owner</w:t>
      </w:r>
      <w:r>
        <w:t xml:space="preserve"> in relation to a contract means the person for whom or which home building work is to be performed under the contract;</w:t>
      </w:r>
    </w:p>
    <w:p>
      <w:pPr>
        <w:pStyle w:val="Defstart"/>
      </w:pPr>
      <w:r>
        <w:rPr>
          <w:b/>
        </w:rPr>
        <w:tab/>
      </w:r>
      <w:r>
        <w:rPr>
          <w:rStyle w:val="CharDefText"/>
        </w:rPr>
        <w:t>perform</w:t>
      </w:r>
      <w:r>
        <w:t xml:space="preserve"> in relation to home building work includes —</w:t>
      </w:r>
    </w:p>
    <w:p>
      <w:pPr>
        <w:pStyle w:val="Defpara"/>
      </w:pPr>
      <w:r>
        <w:tab/>
        <w:t>(a)</w:t>
      </w:r>
      <w:r>
        <w:tab/>
        <w:t>causing the work to be performed; and</w:t>
      </w:r>
    </w:p>
    <w:p>
      <w:pPr>
        <w:pStyle w:val="Defpara"/>
      </w:pPr>
      <w:r>
        <w:tab/>
        <w:t>(b)</w:t>
      </w:r>
      <w:r>
        <w:tab/>
        <w:t>organizing or arranging for the performance of the work;</w:t>
      </w:r>
    </w:p>
    <w:p>
      <w:pPr>
        <w:pStyle w:val="Defstart"/>
      </w:pPr>
      <w:r>
        <w:rPr>
          <w:b/>
        </w:rPr>
        <w:tab/>
      </w:r>
      <w:r>
        <w:rPr>
          <w:rStyle w:val="CharDefText"/>
        </w:rPr>
        <w:t>prescribed</w:t>
      </w:r>
      <w:r>
        <w:t xml:space="preserve"> means prescribed by regulations;</w:t>
      </w:r>
    </w:p>
    <w:p>
      <w:pPr>
        <w:pStyle w:val="Defstart"/>
      </w:pPr>
      <w:r>
        <w:tab/>
      </w:r>
      <w:r>
        <w:rPr>
          <w:rStyle w:val="CharDefText"/>
        </w:rPr>
        <w:t>repealed Act</w:t>
      </w:r>
      <w:r>
        <w:t xml:space="preserve"> means the </w:t>
      </w:r>
      <w:r>
        <w:rPr>
          <w:i/>
        </w:rPr>
        <w:t>Builders’ Registration Act 1939</w:t>
      </w:r>
      <w:r>
        <w:t>;</w:t>
      </w:r>
    </w:p>
    <w:p>
      <w:pPr>
        <w:pStyle w:val="Defstart"/>
      </w:pPr>
      <w:r>
        <w:rPr>
          <w:b/>
        </w:rPr>
        <w:tab/>
      </w:r>
      <w:r>
        <w:rPr>
          <w:rStyle w:val="CharDefText"/>
        </w:rPr>
        <w:t>strata</w:t>
      </w:r>
      <w:r>
        <w:rPr>
          <w:rStyle w:val="CharDefText"/>
        </w:rPr>
        <w:noBreakHyphen/>
        <w:t>titled dwelling</w:t>
      </w:r>
      <w:r>
        <w:t xml:space="preserve"> means a building or part of a building, occupied or intended for occupation solely or mainly as a place of residence, that is erected on a lot in respect of which a plan is registered under the </w:t>
      </w:r>
      <w:r>
        <w:rPr>
          <w:i/>
        </w:rPr>
        <w:t>Strata Titles Act 1985</w:t>
      </w:r>
      <w:r>
        <w:t>;</w:t>
      </w:r>
    </w:p>
    <w:p>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pPr>
        <w:pStyle w:val="Subsection"/>
        <w:rPr>
          <w:snapToGrid w:val="0"/>
        </w:rPr>
      </w:pPr>
      <w:r>
        <w:rPr>
          <w:snapToGrid w:val="0"/>
        </w:rPr>
        <w:tab/>
        <w:t>(2)</w:t>
      </w:r>
      <w:r>
        <w:rPr>
          <w:snapToGrid w:val="0"/>
        </w:rPr>
        <w:tab/>
        <w:t xml:space="preserve">It is immaterial, for the purposes of the definition of </w:t>
      </w:r>
      <w:r>
        <w:rPr>
          <w:b/>
          <w:i/>
          <w:snapToGrid w:val="0"/>
        </w:rPr>
        <w:t>home building work contract</w:t>
      </w:r>
      <w:r>
        <w:rPr>
          <w:snapToGrid w:val="0"/>
        </w:rPr>
        <w:t>, that a contract between a builder and an owner for the performance of home building work also includes work that is not home building work.</w:t>
      </w:r>
    </w:p>
    <w:p>
      <w:pPr>
        <w:pStyle w:val="Footnotesection"/>
      </w:pPr>
      <w:r>
        <w:tab/>
        <w:t>[Section 3 amended by No. 58 of 1995 s. 97; No. 76 of 2000 s. 44; No. 37 of 2002 s. 5; No. 16 of 2011 s. 113; No. 19 of 2011 s. 148.]</w:t>
      </w:r>
    </w:p>
    <w:p>
      <w:pPr>
        <w:pStyle w:val="Heading2"/>
      </w:pPr>
      <w:bookmarkStart w:id="50" w:name="_Toc89521528"/>
      <w:bookmarkStart w:id="51" w:name="_Toc89521597"/>
      <w:bookmarkStart w:id="52" w:name="_Toc96246643"/>
      <w:bookmarkStart w:id="53" w:name="_Toc97107112"/>
      <w:bookmarkStart w:id="54" w:name="_Toc102365961"/>
      <w:bookmarkStart w:id="55" w:name="_Toc103066984"/>
      <w:bookmarkStart w:id="56" w:name="_Toc124730081"/>
      <w:bookmarkStart w:id="57" w:name="_Toc124734134"/>
      <w:bookmarkStart w:id="58" w:name="_Toc124748216"/>
      <w:bookmarkStart w:id="59" w:name="_Toc127681765"/>
      <w:bookmarkStart w:id="60" w:name="_Toc129579977"/>
      <w:bookmarkStart w:id="61" w:name="_Toc211745914"/>
      <w:bookmarkStart w:id="62" w:name="_Toc268266228"/>
      <w:bookmarkStart w:id="63" w:name="_Toc268688293"/>
      <w:bookmarkStart w:id="64" w:name="_Toc272150873"/>
      <w:bookmarkStart w:id="65" w:name="_Toc294177237"/>
      <w:bookmarkStart w:id="66" w:name="_Toc296609890"/>
      <w:bookmarkStart w:id="67" w:name="_Toc298424892"/>
      <w:bookmarkStart w:id="68" w:name="_Toc298424966"/>
      <w:bookmarkStart w:id="69" w:name="_Toc302113265"/>
      <w:bookmarkStart w:id="70" w:name="_Toc302127909"/>
      <w:bookmarkStart w:id="71" w:name="_Toc307408820"/>
      <w:bookmarkStart w:id="72" w:name="_Toc320776884"/>
      <w:bookmarkStart w:id="73" w:name="_Toc320777330"/>
      <w:bookmarkStart w:id="74" w:name="_Toc320790084"/>
      <w:bookmarkStart w:id="75" w:name="_Toc321396977"/>
      <w:bookmarkStart w:id="76" w:name="_Toc321400236"/>
      <w:bookmarkStart w:id="77" w:name="_Toc325102678"/>
      <w:bookmarkStart w:id="78" w:name="_Toc325103772"/>
      <w:bookmarkStart w:id="79" w:name="_Toc326224231"/>
      <w:bookmarkStart w:id="80" w:name="_Toc326309540"/>
      <w:r>
        <w:rPr>
          <w:rStyle w:val="CharPartNo"/>
        </w:rPr>
        <w:t>Part 2</w:t>
      </w:r>
      <w:r>
        <w:rPr>
          <w:rStyle w:val="CharDivNo"/>
        </w:rPr>
        <w:t> </w:t>
      </w:r>
      <w:r>
        <w:t>—</w:t>
      </w:r>
      <w:r>
        <w:rPr>
          <w:rStyle w:val="CharDivText"/>
        </w:rPr>
        <w:t> </w:t>
      </w:r>
      <w:r>
        <w:rPr>
          <w:rStyle w:val="CharPartText"/>
        </w:rPr>
        <w:t>Home building work contracts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spacing w:before="160"/>
        <w:rPr>
          <w:snapToGrid w:val="0"/>
        </w:rPr>
      </w:pPr>
      <w:bookmarkStart w:id="81" w:name="_Toc521487142"/>
      <w:bookmarkStart w:id="82" w:name="_Toc522337170"/>
      <w:bookmarkStart w:id="83" w:name="_Toc527365388"/>
      <w:bookmarkStart w:id="84" w:name="_Toc530458596"/>
      <w:bookmarkStart w:id="85" w:name="_Toc530460458"/>
      <w:bookmarkStart w:id="86" w:name="_Toc326309541"/>
      <w:r>
        <w:rPr>
          <w:rStyle w:val="CharSectno"/>
        </w:rPr>
        <w:t>4</w:t>
      </w:r>
      <w:r>
        <w:rPr>
          <w:snapToGrid w:val="0"/>
        </w:rPr>
        <w:t>.</w:t>
      </w:r>
      <w:r>
        <w:rPr>
          <w:snapToGrid w:val="0"/>
        </w:rPr>
        <w:tab/>
        <w:t>Contracts to be in writing; prescribed explanatory notice to be given</w:t>
      </w:r>
      <w:bookmarkEnd w:id="81"/>
      <w:bookmarkEnd w:id="82"/>
      <w:bookmarkEnd w:id="83"/>
      <w:bookmarkEnd w:id="84"/>
      <w:bookmarkEnd w:id="85"/>
      <w:bookmarkEnd w:id="86"/>
    </w:p>
    <w:p>
      <w:pPr>
        <w:pStyle w:val="Subsection"/>
        <w:spacing w:before="100"/>
        <w:rPr>
          <w:snapToGrid w:val="0"/>
        </w:rPr>
      </w:pPr>
      <w:r>
        <w:rPr>
          <w:snapToGrid w:val="0"/>
        </w:rPr>
        <w:tab/>
        <w:t>(1)</w:t>
      </w:r>
      <w:r>
        <w:rPr>
          <w:snapToGrid w:val="0"/>
        </w:rPr>
        <w:tab/>
        <w:t>A contract —</w:t>
      </w:r>
    </w:p>
    <w:p>
      <w:pPr>
        <w:pStyle w:val="Indenta"/>
        <w:spacing w:before="70"/>
        <w:rPr>
          <w:snapToGrid w:val="0"/>
        </w:rPr>
      </w:pPr>
      <w:r>
        <w:rPr>
          <w:snapToGrid w:val="0"/>
        </w:rPr>
        <w:tab/>
        <w:t>(a)</w:t>
      </w:r>
      <w:r>
        <w:rPr>
          <w:snapToGrid w:val="0"/>
        </w:rPr>
        <w:tab/>
        <w:t>must be in writing —</w:t>
      </w:r>
    </w:p>
    <w:p>
      <w:pPr>
        <w:pStyle w:val="Indenti"/>
        <w:spacing w:before="70"/>
        <w:rPr>
          <w:snapToGrid w:val="0"/>
        </w:rPr>
      </w:pPr>
      <w:r>
        <w:rPr>
          <w:snapToGrid w:val="0"/>
        </w:rPr>
        <w:tab/>
        <w:t>(i)</w:t>
      </w:r>
      <w:r>
        <w:rPr>
          <w:snapToGrid w:val="0"/>
        </w:rPr>
        <w:tab/>
        <w:t>setting out all of the terms, conditions and provisions of the contract; and</w:t>
      </w:r>
    </w:p>
    <w:p>
      <w:pPr>
        <w:pStyle w:val="Indenti"/>
        <w:spacing w:before="70"/>
        <w:rPr>
          <w:snapToGrid w:val="0"/>
        </w:rPr>
      </w:pPr>
      <w:r>
        <w:rPr>
          <w:snapToGrid w:val="0"/>
        </w:rPr>
        <w:tab/>
        <w:t>(ii)</w:t>
      </w:r>
      <w:r>
        <w:rPr>
          <w:snapToGrid w:val="0"/>
        </w:rPr>
        <w:tab/>
        <w:t>showing the date of the contract;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must be signed by the builder and the owner or their respective agents.</w:t>
      </w:r>
    </w:p>
    <w:p>
      <w:pPr>
        <w:pStyle w:val="Subsection"/>
        <w:spacing w:before="100"/>
        <w:rPr>
          <w:snapToGrid w:val="0"/>
        </w:rPr>
      </w:pPr>
      <w:r>
        <w:rPr>
          <w:snapToGrid w:val="0"/>
        </w:rPr>
        <w:tab/>
        <w:t>(2)</w:t>
      </w:r>
      <w:r>
        <w:rPr>
          <w:snapToGrid w:val="0"/>
        </w:rPr>
        <w:tab/>
        <w:t>A notice containing an explanation of the relevant provisions of this Act is to be prescribed.</w:t>
      </w:r>
    </w:p>
    <w:p>
      <w:pPr>
        <w:pStyle w:val="Subsection"/>
        <w:spacing w:before="100"/>
        <w:rPr>
          <w:snapToGrid w:val="0"/>
        </w:rPr>
      </w:pPr>
      <w:r>
        <w:rPr>
          <w:snapToGrid w:val="0"/>
        </w:rPr>
        <w:tab/>
        <w:t>(3)</w:t>
      </w:r>
      <w:r>
        <w:rPr>
          <w:snapToGrid w:val="0"/>
        </w:rPr>
        <w:tab/>
        <w:t>The owner must be given a notice referred to in subsection (2) before the owner signs a contract.</w:t>
      </w:r>
    </w:p>
    <w:p>
      <w:pPr>
        <w:pStyle w:val="Subsection"/>
        <w:spacing w:before="100"/>
        <w:rPr>
          <w:snapToGrid w:val="0"/>
        </w:rPr>
      </w:pPr>
      <w:r>
        <w:rPr>
          <w:snapToGrid w:val="0"/>
        </w:rPr>
        <w:tab/>
        <w:t>(4)</w:t>
      </w:r>
      <w:r>
        <w:rPr>
          <w:snapToGrid w:val="0"/>
        </w:rPr>
        <w:tab/>
        <w:t>A builder who is a party to a contract must ensure that the requirements of subsections (1) and (3) are complied with in respect of that contract.</w:t>
      </w:r>
    </w:p>
    <w:p>
      <w:pPr>
        <w:pStyle w:val="Penstart"/>
        <w:rPr>
          <w:snapToGrid w:val="0"/>
        </w:rPr>
      </w:pPr>
      <w:r>
        <w:rPr>
          <w:snapToGrid w:val="0"/>
        </w:rPr>
        <w:tab/>
        <w:t>Penalty: $2 000.</w:t>
      </w:r>
    </w:p>
    <w:p>
      <w:pPr>
        <w:pStyle w:val="Subsection"/>
        <w:spacing w:before="100"/>
        <w:rPr>
          <w:snapToGrid w:val="0"/>
        </w:rPr>
      </w:pPr>
      <w:r>
        <w:rPr>
          <w:snapToGrid w:val="0"/>
        </w:rPr>
        <w:tab/>
        <w:t>(5)</w:t>
      </w:r>
      <w:r>
        <w:rPr>
          <w:snapToGrid w:val="0"/>
        </w:rPr>
        <w:tab/>
        <w:t>If any requirement of subsection (1) is not complied with by the builder the contract may be terminated by the owner in accordance with section 19.</w:t>
      </w:r>
    </w:p>
    <w:p>
      <w:pPr>
        <w:pStyle w:val="Heading5"/>
        <w:rPr>
          <w:snapToGrid w:val="0"/>
        </w:rPr>
      </w:pPr>
      <w:bookmarkStart w:id="87" w:name="_Toc521487143"/>
      <w:bookmarkStart w:id="88" w:name="_Toc522337171"/>
      <w:bookmarkStart w:id="89" w:name="_Toc527365389"/>
      <w:bookmarkStart w:id="90" w:name="_Toc530458597"/>
      <w:bookmarkStart w:id="91" w:name="_Toc530460459"/>
      <w:bookmarkStart w:id="92" w:name="_Toc326309542"/>
      <w:r>
        <w:rPr>
          <w:rStyle w:val="CharSectno"/>
        </w:rPr>
        <w:t>5</w:t>
      </w:r>
      <w:r>
        <w:rPr>
          <w:snapToGrid w:val="0"/>
        </w:rPr>
        <w:t>.</w:t>
      </w:r>
      <w:r>
        <w:rPr>
          <w:snapToGrid w:val="0"/>
        </w:rPr>
        <w:tab/>
        <w:t>Owner to be given copy of contract</w:t>
      </w:r>
      <w:bookmarkEnd w:id="87"/>
      <w:bookmarkEnd w:id="88"/>
      <w:bookmarkEnd w:id="89"/>
      <w:bookmarkEnd w:id="90"/>
      <w:bookmarkEnd w:id="91"/>
      <w:bookmarkEnd w:id="92"/>
    </w:p>
    <w:p>
      <w:pPr>
        <w:pStyle w:val="Subsection"/>
        <w:spacing w:before="100"/>
        <w:rPr>
          <w:snapToGrid w:val="0"/>
        </w:rPr>
      </w:pPr>
      <w:r>
        <w:rPr>
          <w:snapToGrid w:val="0"/>
        </w:rPr>
        <w:tab/>
        <w:t>(1)</w:t>
      </w:r>
      <w:r>
        <w:rPr>
          <w:snapToGrid w:val="0"/>
        </w:rPr>
        <w:tab/>
        <w:t>The owner must be given a copy of the signed contract —</w:t>
      </w:r>
    </w:p>
    <w:p>
      <w:pPr>
        <w:pStyle w:val="Indenta"/>
        <w:spacing w:before="60"/>
        <w:rPr>
          <w:snapToGrid w:val="0"/>
        </w:rPr>
      </w:pPr>
      <w:r>
        <w:rPr>
          <w:snapToGrid w:val="0"/>
        </w:rPr>
        <w:tab/>
        <w:t>(a)</w:t>
      </w:r>
      <w:r>
        <w:rPr>
          <w:snapToGrid w:val="0"/>
        </w:rPr>
        <w:tab/>
        <w:t>as soon as is reasonably practicable after a contract has been signed by both parties; and</w:t>
      </w:r>
    </w:p>
    <w:p>
      <w:pPr>
        <w:pStyle w:val="Indenta"/>
        <w:spacing w:before="60"/>
        <w:rPr>
          <w:snapToGrid w:val="0"/>
        </w:rPr>
      </w:pPr>
      <w:r>
        <w:rPr>
          <w:snapToGrid w:val="0"/>
        </w:rPr>
        <w:tab/>
        <w:t>(b)</w:t>
      </w:r>
      <w:r>
        <w:rPr>
          <w:snapToGrid w:val="0"/>
        </w:rPr>
        <w:tab/>
        <w:t>before the home building work is commenced.</w:t>
      </w:r>
    </w:p>
    <w:p>
      <w:pPr>
        <w:pStyle w:val="Subsection"/>
        <w:spacing w:before="100"/>
        <w:rPr>
          <w:snapToGrid w:val="0"/>
        </w:rPr>
      </w:pPr>
      <w:r>
        <w:rPr>
          <w:snapToGrid w:val="0"/>
        </w:rPr>
        <w:tab/>
        <w:t>(2)</w:t>
      </w:r>
      <w:r>
        <w:rPr>
          <w:snapToGrid w:val="0"/>
        </w:rPr>
        <w:tab/>
        <w:t>A builder who is a party to a contract must ensure that the requirements of subsection (1) are complied with in respect of that contract.</w:t>
      </w:r>
    </w:p>
    <w:p>
      <w:pPr>
        <w:pStyle w:val="Penstart"/>
        <w:rPr>
          <w:snapToGrid w:val="0"/>
        </w:rPr>
      </w:pPr>
      <w:r>
        <w:rPr>
          <w:snapToGrid w:val="0"/>
        </w:rPr>
        <w:tab/>
        <w:t>Penalty: $500.</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subsection (1) is not complied with by a builder in respect of a signed contract; and</w:t>
      </w:r>
    </w:p>
    <w:p>
      <w:pPr>
        <w:pStyle w:val="Indenta"/>
        <w:rPr>
          <w:snapToGrid w:val="0"/>
        </w:rPr>
      </w:pPr>
      <w:r>
        <w:rPr>
          <w:snapToGrid w:val="0"/>
        </w:rPr>
        <w:tab/>
        <w:t>(b)</w:t>
      </w:r>
      <w:r>
        <w:rPr>
          <w:snapToGrid w:val="0"/>
        </w:rPr>
        <w:tab/>
        <w:t>the owner in writing requests the builder to give to the owner a copy of the contract,</w:t>
      </w:r>
    </w:p>
    <w:p>
      <w:pPr>
        <w:pStyle w:val="Subsection"/>
        <w:rPr>
          <w:snapToGrid w:val="0"/>
        </w:rPr>
      </w:pPr>
      <w:r>
        <w:rPr>
          <w:snapToGrid w:val="0"/>
        </w:rPr>
        <w:tab/>
      </w:r>
      <w:r>
        <w:rPr>
          <w:snapToGrid w:val="0"/>
        </w:rPr>
        <w:tab/>
        <w:t>the builder must comply with that request within 10 working days of receiving it.</w:t>
      </w:r>
    </w:p>
    <w:p>
      <w:pPr>
        <w:pStyle w:val="Penstart"/>
      </w:pPr>
      <w:r>
        <w:tab/>
        <w:t>Penalty: $10 000.</w:t>
      </w:r>
    </w:p>
    <w:p>
      <w:pPr>
        <w:pStyle w:val="Footnotesection"/>
      </w:pPr>
      <w:r>
        <w:tab/>
        <w:t>[Section 5 amended by No. 76 of 2000 s. 45.]</w:t>
      </w:r>
    </w:p>
    <w:p>
      <w:pPr>
        <w:pStyle w:val="Heading5"/>
        <w:rPr>
          <w:snapToGrid w:val="0"/>
        </w:rPr>
      </w:pPr>
      <w:bookmarkStart w:id="93" w:name="_Toc521487144"/>
      <w:bookmarkStart w:id="94" w:name="_Toc522337172"/>
      <w:bookmarkStart w:id="95" w:name="_Toc527365390"/>
      <w:bookmarkStart w:id="96" w:name="_Toc530458598"/>
      <w:bookmarkStart w:id="97" w:name="_Toc530460460"/>
      <w:bookmarkStart w:id="98" w:name="_Toc326309543"/>
      <w:r>
        <w:rPr>
          <w:rStyle w:val="CharSectno"/>
        </w:rPr>
        <w:t>6</w:t>
      </w:r>
      <w:r>
        <w:rPr>
          <w:snapToGrid w:val="0"/>
        </w:rPr>
        <w:t>.</w:t>
      </w:r>
      <w:r>
        <w:rPr>
          <w:snapToGrid w:val="0"/>
        </w:rPr>
        <w:tab/>
        <w:t>Receipt of documents</w:t>
      </w:r>
      <w:bookmarkEnd w:id="93"/>
      <w:bookmarkEnd w:id="94"/>
      <w:bookmarkEnd w:id="95"/>
      <w:bookmarkEnd w:id="96"/>
      <w:bookmarkEnd w:id="97"/>
      <w:r>
        <w:rPr>
          <w:snapToGrid w:val="0"/>
        </w:rPr>
        <w:t xml:space="preserve"> by owner, proof of</w:t>
      </w:r>
      <w:bookmarkEnd w:id="98"/>
    </w:p>
    <w:p>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pPr>
        <w:pStyle w:val="Heading5"/>
        <w:rPr>
          <w:snapToGrid w:val="0"/>
        </w:rPr>
      </w:pPr>
      <w:bookmarkStart w:id="99" w:name="_Toc521487145"/>
      <w:bookmarkStart w:id="100" w:name="_Toc522337173"/>
      <w:bookmarkStart w:id="101" w:name="_Toc527365391"/>
      <w:bookmarkStart w:id="102" w:name="_Toc530458599"/>
      <w:bookmarkStart w:id="103" w:name="_Toc530460461"/>
      <w:bookmarkStart w:id="104" w:name="_Toc326309544"/>
      <w:r>
        <w:rPr>
          <w:rStyle w:val="CharSectno"/>
        </w:rPr>
        <w:t>7</w:t>
      </w:r>
      <w:r>
        <w:rPr>
          <w:snapToGrid w:val="0"/>
        </w:rPr>
        <w:t>.</w:t>
      </w:r>
      <w:r>
        <w:rPr>
          <w:snapToGrid w:val="0"/>
        </w:rPr>
        <w:tab/>
        <w:t>Variation of contract</w:t>
      </w:r>
      <w:bookmarkEnd w:id="99"/>
      <w:bookmarkEnd w:id="100"/>
      <w:bookmarkEnd w:id="101"/>
      <w:bookmarkEnd w:id="102"/>
      <w:bookmarkEnd w:id="103"/>
      <w:r>
        <w:rPr>
          <w:snapToGrid w:val="0"/>
        </w:rPr>
        <w:t xml:space="preserve"> to be in writing and given to owner</w:t>
      </w:r>
      <w:bookmarkEnd w:id="104"/>
    </w:p>
    <w:p>
      <w:pPr>
        <w:pStyle w:val="Subsection"/>
        <w:rPr>
          <w:snapToGrid w:val="0"/>
        </w:rPr>
      </w:pPr>
      <w:r>
        <w:rPr>
          <w:snapToGrid w:val="0"/>
        </w:rPr>
        <w:tab/>
        <w:t>(1)</w:t>
      </w:r>
      <w:r>
        <w:rPr>
          <w:snapToGrid w:val="0"/>
        </w:rPr>
        <w:tab/>
        <w:t>A variation of 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of, and the cost of, the variation;</w:t>
      </w:r>
    </w:p>
    <w:p>
      <w:pPr>
        <w:pStyle w:val="Indenti"/>
        <w:rPr>
          <w:snapToGrid w:val="0"/>
        </w:rPr>
      </w:pPr>
      <w:r>
        <w:rPr>
          <w:snapToGrid w:val="0"/>
        </w:rPr>
        <w:tab/>
        <w:t>(ii)</w:t>
      </w:r>
      <w:r>
        <w:rPr>
          <w:snapToGrid w:val="0"/>
        </w:rPr>
        <w:tab/>
        <w:t>showing the date of the variation;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keepNext/>
        <w:rPr>
          <w:snapToGrid w:val="0"/>
        </w:rPr>
      </w:pPr>
      <w:r>
        <w:rPr>
          <w:snapToGrid w:val="0"/>
        </w:rPr>
        <w:tab/>
        <w:t>(2)</w:t>
      </w:r>
      <w:r>
        <w:rPr>
          <w:snapToGrid w:val="0"/>
        </w:rPr>
        <w:tab/>
        <w:t>The owner or his agent must be given a copy of the signed variation —</w:t>
      </w:r>
    </w:p>
    <w:p>
      <w:pPr>
        <w:pStyle w:val="Indenta"/>
        <w:rPr>
          <w:snapToGrid w:val="0"/>
        </w:rPr>
      </w:pPr>
      <w:r>
        <w:rPr>
          <w:snapToGrid w:val="0"/>
        </w:rPr>
        <w:tab/>
        <w:t>(a)</w:t>
      </w:r>
      <w:r>
        <w:rPr>
          <w:snapToGrid w:val="0"/>
        </w:rPr>
        <w:tab/>
        <w:t>as soon as is reasonably practicable after it has been signed by both parties; and</w:t>
      </w:r>
    </w:p>
    <w:p>
      <w:pPr>
        <w:pStyle w:val="Indenta"/>
        <w:rPr>
          <w:snapToGrid w:val="0"/>
        </w:rPr>
      </w:pPr>
      <w:r>
        <w:rPr>
          <w:snapToGrid w:val="0"/>
        </w:rPr>
        <w:tab/>
        <w:t>(b)</w:t>
      </w:r>
      <w:r>
        <w:rPr>
          <w:snapToGrid w:val="0"/>
        </w:rPr>
        <w:tab/>
        <w:t>before the work to which the variation relates is commenced.</w:t>
      </w:r>
    </w:p>
    <w:p>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pPr>
        <w:pStyle w:val="Penstart"/>
        <w:rPr>
          <w:snapToGrid w:val="0"/>
        </w:rPr>
      </w:pPr>
      <w:r>
        <w:rPr>
          <w:snapToGrid w:val="0"/>
        </w:rPr>
        <w:tab/>
        <w:t>Penalty: $500.</w:t>
      </w:r>
    </w:p>
    <w:p>
      <w:pPr>
        <w:pStyle w:val="Subsection"/>
        <w:rPr>
          <w:snapToGrid w:val="0"/>
        </w:rPr>
      </w:pPr>
      <w:r>
        <w:rPr>
          <w:snapToGrid w:val="0"/>
        </w:rPr>
        <w:tab/>
        <w:t>(4)</w:t>
      </w:r>
      <w:r>
        <w:rPr>
          <w:snapToGrid w:val="0"/>
        </w:rPr>
        <w:tab/>
        <w:t>This section has effect subject to sections 8 and 13(4) and clause 5 of Schedule 1.</w:t>
      </w:r>
    </w:p>
    <w:p>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pPr>
        <w:pStyle w:val="Heading5"/>
        <w:rPr>
          <w:snapToGrid w:val="0"/>
        </w:rPr>
      </w:pPr>
      <w:bookmarkStart w:id="105" w:name="_Toc521487146"/>
      <w:bookmarkStart w:id="106" w:name="_Toc522337174"/>
      <w:bookmarkStart w:id="107" w:name="_Toc527365392"/>
      <w:bookmarkStart w:id="108" w:name="_Toc530458600"/>
      <w:bookmarkStart w:id="109" w:name="_Toc530460462"/>
      <w:bookmarkStart w:id="110" w:name="_Toc326309545"/>
      <w:r>
        <w:rPr>
          <w:rStyle w:val="CharSectno"/>
        </w:rPr>
        <w:t>8</w:t>
      </w:r>
      <w:r>
        <w:rPr>
          <w:snapToGrid w:val="0"/>
        </w:rPr>
        <w:t>.</w:t>
      </w:r>
      <w:r>
        <w:rPr>
          <w:snapToGrid w:val="0"/>
        </w:rPr>
        <w:tab/>
        <w:t>Exceptions to s. 7 and related provisions</w:t>
      </w:r>
      <w:bookmarkEnd w:id="105"/>
      <w:bookmarkEnd w:id="106"/>
      <w:bookmarkEnd w:id="107"/>
      <w:bookmarkEnd w:id="108"/>
      <w:bookmarkEnd w:id="109"/>
      <w:bookmarkEnd w:id="110"/>
    </w:p>
    <w:p>
      <w:pPr>
        <w:pStyle w:val="Subsection"/>
        <w:rPr>
          <w:snapToGrid w:val="0"/>
        </w:rPr>
      </w:pPr>
      <w:r>
        <w:rPr>
          <w:snapToGrid w:val="0"/>
        </w:rPr>
        <w:tab/>
        <w:t>(1)</w:t>
      </w:r>
      <w:r>
        <w:rPr>
          <w:snapToGrid w:val="0"/>
        </w:rPr>
        <w:tab/>
        <w:t>Section 7(1) and (2) does not apply to a variation of a contract that is made necessary by —</w:t>
      </w:r>
    </w:p>
    <w:p>
      <w:pPr>
        <w:pStyle w:val="Indenta"/>
        <w:rPr>
          <w:snapToGrid w:val="0"/>
        </w:rPr>
      </w:pPr>
      <w:r>
        <w:rPr>
          <w:snapToGrid w:val="0"/>
        </w:rPr>
        <w:tab/>
        <w:t>(a)</w:t>
      </w:r>
      <w:r>
        <w:rPr>
          <w:snapToGrid w:val="0"/>
        </w:rPr>
        <w:tab/>
        <w:t>any written direction lawfully given by a person acting under a written law; or</w:t>
      </w:r>
    </w:p>
    <w:p>
      <w:pPr>
        <w:pStyle w:val="Indenta"/>
        <w:rPr>
          <w:snapToGrid w:val="0"/>
        </w:rPr>
      </w:pPr>
      <w:r>
        <w:rPr>
          <w:snapToGrid w:val="0"/>
        </w:rPr>
        <w:tab/>
        <w:t>(b)</w:t>
      </w:r>
      <w:r>
        <w:rPr>
          <w:snapToGrid w:val="0"/>
        </w:rPr>
        <w:tab/>
        <w:t>circumstances that could not reasonably have been foreseen by the builder at the time when the contract was entered into,</w:t>
      </w:r>
    </w:p>
    <w:p>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pPr>
        <w:pStyle w:val="Subsection"/>
        <w:rPr>
          <w:snapToGrid w:val="0"/>
        </w:rPr>
      </w:pPr>
      <w:r>
        <w:rPr>
          <w:snapToGrid w:val="0"/>
        </w:rPr>
        <w:tab/>
        <w:t>(2)</w:t>
      </w:r>
      <w:r>
        <w:rPr>
          <w:snapToGrid w:val="0"/>
        </w:rPr>
        <w:tab/>
        <w:t>A statement under subsection (1) must be given within 10 working days after the builder —</w:t>
      </w:r>
    </w:p>
    <w:p>
      <w:pPr>
        <w:pStyle w:val="Indenta"/>
        <w:rPr>
          <w:snapToGrid w:val="0"/>
        </w:rPr>
      </w:pPr>
      <w:r>
        <w:rPr>
          <w:snapToGrid w:val="0"/>
        </w:rPr>
        <w:tab/>
        <w:t>(a)</w:t>
      </w:r>
      <w:r>
        <w:rPr>
          <w:snapToGrid w:val="0"/>
        </w:rPr>
        <w:tab/>
        <w:t>received notice of the direction under paragraph (a); or</w:t>
      </w:r>
    </w:p>
    <w:p>
      <w:pPr>
        <w:pStyle w:val="Indenta"/>
        <w:rPr>
          <w:snapToGrid w:val="0"/>
        </w:rPr>
      </w:pPr>
      <w:r>
        <w:rPr>
          <w:snapToGrid w:val="0"/>
        </w:rPr>
        <w:tab/>
        <w:t>(b)</w:t>
      </w:r>
      <w:r>
        <w:rPr>
          <w:snapToGrid w:val="0"/>
        </w:rPr>
        <w:tab/>
        <w:t>became aware, or should reasonably have become aware, of the circumstances referred to in paragraph (b),</w:t>
      </w:r>
    </w:p>
    <w:p>
      <w:pPr>
        <w:pStyle w:val="Subsection"/>
        <w:rPr>
          <w:snapToGrid w:val="0"/>
        </w:rPr>
      </w:pPr>
      <w:r>
        <w:rPr>
          <w:snapToGrid w:val="0"/>
        </w:rPr>
        <w:tab/>
      </w:r>
      <w:r>
        <w:rPr>
          <w:snapToGrid w:val="0"/>
        </w:rPr>
        <w:tab/>
        <w:t>of that subsection, as the case may be.</w:t>
      </w:r>
    </w:p>
    <w:p>
      <w:pPr>
        <w:pStyle w:val="Subsection"/>
      </w:pPr>
      <w:r>
        <w:tab/>
        <w:t>(3)</w:t>
      </w:r>
      <w:r>
        <w:tab/>
        <w:t xml:space="preserve">Where — </w:t>
      </w:r>
    </w:p>
    <w:p>
      <w:pPr>
        <w:pStyle w:val="Indenta"/>
      </w:pPr>
      <w:r>
        <w:tab/>
        <w:t>(a)</w:t>
      </w:r>
      <w:r>
        <w:tab/>
        <w:t>a statement is given to the owner by the builder for the purposes of subsection (1)(b); and</w:t>
      </w:r>
    </w:p>
    <w:p>
      <w:pPr>
        <w:pStyle w:val="Indenta"/>
      </w:pPr>
      <w:r>
        <w:tab/>
        <w:t>(b)</w:t>
      </w:r>
      <w:r>
        <w:tab/>
        <w:t>the owner considers that the variation is not one to which subsection (1) applies,</w:t>
      </w:r>
    </w:p>
    <w:p>
      <w:pPr>
        <w:pStyle w:val="Subsection"/>
      </w:pPr>
      <w:r>
        <w:tab/>
      </w:r>
      <w:r>
        <w:tab/>
        <w:t>the owner cannot make a complaint as provided in section 17 unless the owner makes the complaint within 10 working days after the statement was given to the owner.</w:t>
      </w:r>
    </w:p>
    <w:p>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pPr>
        <w:pStyle w:val="Footnotesection"/>
      </w:pPr>
      <w:r>
        <w:tab/>
        <w:t>[Section 8 amended by No. 14 of 1996 s. 4; No. 76 of 2000 s. 46; No. 16 of 2011 s. 114; No. 24 of 2011 s. 163(2) and (3).]</w:t>
      </w:r>
    </w:p>
    <w:p>
      <w:pPr>
        <w:pStyle w:val="Heading5"/>
        <w:rPr>
          <w:snapToGrid w:val="0"/>
        </w:rPr>
      </w:pPr>
      <w:bookmarkStart w:id="111" w:name="_Toc521487147"/>
      <w:bookmarkStart w:id="112" w:name="_Toc522337175"/>
      <w:bookmarkStart w:id="113" w:name="_Toc527365393"/>
      <w:bookmarkStart w:id="114" w:name="_Toc530458601"/>
      <w:bookmarkStart w:id="115" w:name="_Toc530460463"/>
      <w:bookmarkStart w:id="116" w:name="_Toc326309546"/>
      <w:r>
        <w:rPr>
          <w:rStyle w:val="CharSectno"/>
        </w:rPr>
        <w:t>9</w:t>
      </w:r>
      <w:r>
        <w:rPr>
          <w:snapToGrid w:val="0"/>
        </w:rPr>
        <w:t>.</w:t>
      </w:r>
      <w:r>
        <w:rPr>
          <w:snapToGrid w:val="0"/>
        </w:rPr>
        <w:tab/>
      </w:r>
      <w:bookmarkEnd w:id="111"/>
      <w:bookmarkEnd w:id="112"/>
      <w:bookmarkEnd w:id="113"/>
      <w:bookmarkEnd w:id="114"/>
      <w:bookmarkEnd w:id="115"/>
      <w:r>
        <w:rPr>
          <w:snapToGrid w:val="0"/>
        </w:rPr>
        <w:t>Building permit etc., implied conditions and terms as to</w:t>
      </w:r>
      <w:bookmarkEnd w:id="116"/>
    </w:p>
    <w:p>
      <w:pPr>
        <w:pStyle w:val="Subsection"/>
        <w:rPr>
          <w:snapToGrid w:val="0"/>
        </w:rPr>
      </w:pPr>
      <w:r>
        <w:rPr>
          <w:snapToGrid w:val="0"/>
        </w:rPr>
        <w:tab/>
        <w:t>(1)</w:t>
      </w:r>
      <w:r>
        <w:rPr>
          <w:snapToGrid w:val="0"/>
        </w:rPr>
        <w:tab/>
        <w:t>Subject to subsection (5) every contract is conditional upon —</w:t>
      </w:r>
    </w:p>
    <w:p>
      <w:pPr>
        <w:pStyle w:val="Indenta"/>
        <w:rPr>
          <w:snapToGrid w:val="0"/>
        </w:rPr>
      </w:pPr>
      <w:r>
        <w:rPr>
          <w:snapToGrid w:val="0"/>
        </w:rPr>
        <w:tab/>
        <w:t>(a)</w:t>
      </w:r>
      <w:r>
        <w:rPr>
          <w:snapToGrid w:val="0"/>
        </w:rPr>
        <w:tab/>
      </w:r>
      <w:r>
        <w:rPr>
          <w:snapToGrid w:val="0"/>
          <w:spacing w:val="-4"/>
        </w:rPr>
        <w:t xml:space="preserve">a building </w:t>
      </w:r>
      <w:r>
        <w:t xml:space="preserve">permit being granted, </w:t>
      </w:r>
      <w:r>
        <w:rPr>
          <w:snapToGrid w:val="0"/>
          <w:spacing w:val="-4"/>
        </w:rPr>
        <w:t>in respect of the home building work included in the contract, within 45 working days from the date of the contract; and</w:t>
      </w:r>
    </w:p>
    <w:p>
      <w:pPr>
        <w:pStyle w:val="Indenta"/>
        <w:rPr>
          <w:snapToGrid w:val="0"/>
        </w:rPr>
      </w:pPr>
      <w:r>
        <w:rPr>
          <w:snapToGrid w:val="0"/>
        </w:rPr>
        <w:tab/>
        <w:t>(b)</w:t>
      </w:r>
      <w:r>
        <w:rPr>
          <w:snapToGrid w:val="0"/>
        </w:rPr>
        <w:tab/>
      </w:r>
      <w:r>
        <w:t>where a condition is attached to the permit which will result in a variation of the contract, the owner and the builder acknowledging in writing within that period that each of them accepts that condition; and</w:t>
      </w:r>
    </w:p>
    <w:p>
      <w:pPr>
        <w:pStyle w:val="Indenta"/>
        <w:rPr>
          <w:snapToGrid w:val="0"/>
        </w:rPr>
      </w:pPr>
      <w:r>
        <w:rPr>
          <w:snapToGrid w:val="0"/>
        </w:rPr>
        <w:tab/>
        <w:t>(c)</w:t>
      </w:r>
      <w:r>
        <w:rPr>
          <w:snapToGrid w:val="0"/>
        </w:rPr>
        <w:tab/>
        <w:t>it becoming lawful under the Water Act, within 45 working days from the date of the contract, for the home building work to be commenced; and</w:t>
      </w:r>
    </w:p>
    <w:p>
      <w:pPr>
        <w:pStyle w:val="Indenta"/>
      </w:pPr>
      <w:r>
        <w:rPr>
          <w:snapToGrid w:val="0"/>
        </w:rPr>
        <w:tab/>
        <w:t>(d)</w:t>
      </w:r>
      <w:r>
        <w:rPr>
          <w:snapToGrid w:val="0"/>
        </w:rPr>
        <w:tab/>
      </w:r>
      <w:r>
        <w:t xml:space="preserve">where a direction is given under the Water Act by the Water Corporation (established by the </w:t>
      </w:r>
      <w:r>
        <w:rPr>
          <w:i/>
        </w:rPr>
        <w:t>Water Corporation Act 1995</w:t>
      </w:r>
      <w:r>
        <w:t>) in connection with the carrying out of the work which will result in a variation of the contract, the owner and the builder acknowledging in writing within that period that each of them accepts that direction.</w:t>
      </w:r>
    </w:p>
    <w:p>
      <w:pPr>
        <w:pStyle w:val="Subsection"/>
        <w:keepNext/>
        <w:rPr>
          <w:snapToGrid w:val="0"/>
        </w:rPr>
      </w:pPr>
      <w:r>
        <w:rPr>
          <w:snapToGrid w:val="0"/>
        </w:rPr>
        <w:tab/>
        <w:t>(2)</w:t>
      </w:r>
      <w:r>
        <w:rPr>
          <w:snapToGrid w:val="0"/>
        </w:rPr>
        <w:tab/>
        <w:t>It is a term of every contract that —</w:t>
      </w:r>
    </w:p>
    <w:p>
      <w:pPr>
        <w:pStyle w:val="Indenta"/>
        <w:keepNext/>
        <w:rPr>
          <w:snapToGrid w:val="0"/>
        </w:rPr>
      </w:pPr>
      <w:r>
        <w:rPr>
          <w:snapToGrid w:val="0"/>
        </w:rPr>
        <w:tab/>
        <w:t>(a)</w:t>
      </w:r>
      <w:r>
        <w:rPr>
          <w:snapToGrid w:val="0"/>
        </w:rPr>
        <w:tab/>
        <w:t>the builder will —</w:t>
      </w:r>
    </w:p>
    <w:p>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Indenta"/>
        <w:rPr>
          <w:snapToGrid w:val="0"/>
        </w:rPr>
      </w:pPr>
      <w:r>
        <w:rPr>
          <w:snapToGrid w:val="0"/>
        </w:rPr>
        <w:tab/>
        <w:t>(b)</w:t>
      </w:r>
      <w:r>
        <w:rPr>
          <w:snapToGrid w:val="0"/>
        </w:rPr>
        <w:tab/>
        <w:t>the owner will —</w:t>
      </w:r>
    </w:p>
    <w:p>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pPr>
        <w:pStyle w:val="Subsection"/>
        <w:rPr>
          <w:snapToGrid w:val="0"/>
        </w:rPr>
      </w:pPr>
      <w:r>
        <w:rPr>
          <w:snapToGrid w:val="0"/>
        </w:rPr>
        <w:tab/>
        <w:t>(5)</w:t>
      </w:r>
      <w:r>
        <w:rPr>
          <w:snapToGrid w:val="0"/>
        </w:rPr>
        <w:tab/>
        <w:t>A condition referred to in a paragraph of subsection (1) does not apply to a contract —</w:t>
      </w:r>
    </w:p>
    <w:p>
      <w:pPr>
        <w:pStyle w:val="Indenta"/>
        <w:spacing w:before="60"/>
        <w:rPr>
          <w:snapToGrid w:val="0"/>
        </w:rPr>
      </w:pPr>
      <w:r>
        <w:rPr>
          <w:snapToGrid w:val="0"/>
        </w:rPr>
        <w:tab/>
        <w:t>(a)</w:t>
      </w:r>
      <w:r>
        <w:rPr>
          <w:snapToGrid w:val="0"/>
        </w:rPr>
        <w:tab/>
        <w:t>to the extent that the subject matter of the condition was completed before the contract was entered into; or</w:t>
      </w:r>
    </w:p>
    <w:p>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pPr>
        <w:pStyle w:val="Indenta"/>
        <w:spacing w:before="60"/>
        <w:rPr>
          <w:snapToGrid w:val="0"/>
        </w:rPr>
      </w:pPr>
      <w:r>
        <w:rPr>
          <w:snapToGrid w:val="0"/>
        </w:rPr>
        <w:tab/>
        <w:t>(c)</w:t>
      </w:r>
      <w:r>
        <w:rPr>
          <w:snapToGrid w:val="0"/>
        </w:rPr>
        <w:tab/>
        <w:t>for any other prescribed home building work.</w:t>
      </w:r>
    </w:p>
    <w:p>
      <w:pPr>
        <w:pStyle w:val="Subsection"/>
        <w:rPr>
          <w:snapToGrid w:val="0"/>
        </w:rPr>
      </w:pPr>
      <w:r>
        <w:rPr>
          <w:snapToGrid w:val="0"/>
        </w:rPr>
        <w:tab/>
        <w:t>(6)</w:t>
      </w:r>
      <w:r>
        <w:rPr>
          <w:snapToGrid w:val="0"/>
        </w:rPr>
        <w:tab/>
        <w:t>In this section </w:t>
      </w:r>
      <w:r>
        <w:t xml:space="preserve">the </w:t>
      </w:r>
      <w:r>
        <w:rPr>
          <w:rStyle w:val="CharDefText"/>
        </w:rPr>
        <w:t>Water Act</w:t>
      </w:r>
      <w:r>
        <w:rPr>
          <w:snapToGrid w:val="0"/>
        </w:rPr>
        <w:t xml:space="preserve"> means the </w:t>
      </w:r>
      <w:r>
        <w:rPr>
          <w:i/>
          <w:snapToGrid w:val="0"/>
        </w:rPr>
        <w:t>Metropolitan Water Supply, Sewerage, and Drainage Act 1909</w:t>
      </w:r>
      <w:r>
        <w:rPr>
          <w:snapToGrid w:val="0"/>
        </w:rPr>
        <w:t xml:space="preserve">, the </w:t>
      </w:r>
      <w:r>
        <w:rPr>
          <w:i/>
          <w:snapToGrid w:val="0"/>
        </w:rPr>
        <w:t>Country Towns Sewerage Act 1948</w:t>
      </w:r>
      <w:r>
        <w:rPr>
          <w:snapToGrid w:val="0"/>
        </w:rPr>
        <w:t xml:space="preserve">, the </w:t>
      </w:r>
      <w:r>
        <w:rPr>
          <w:i/>
          <w:snapToGrid w:val="0"/>
        </w:rPr>
        <w:t>Country Areas Water Supply Act 1947</w:t>
      </w:r>
      <w:r>
        <w:rPr>
          <w:snapToGrid w:val="0"/>
        </w:rPr>
        <w:t xml:space="preserve"> or any Act passed in substitution for those Acts or any of them and any subsidiary legislation made under any of those Acts, but does not include any provision of any such written law that requires a licensed plumber to give notice of intention to commence any work to the Water Corporation (established by the </w:t>
      </w:r>
      <w:r>
        <w:rPr>
          <w:i/>
          <w:snapToGrid w:val="0"/>
        </w:rPr>
        <w:t>Water Corporation Act 1995</w:t>
      </w:r>
      <w:r>
        <w:rPr>
          <w:snapToGrid w:val="0"/>
        </w:rPr>
        <w:t>).</w:t>
      </w:r>
    </w:p>
    <w:p>
      <w:pPr>
        <w:pStyle w:val="Footnotesection"/>
        <w:spacing w:before="100"/>
        <w:ind w:left="890" w:hanging="890"/>
        <w:rPr>
          <w:spacing w:val="-4"/>
        </w:rPr>
      </w:pPr>
      <w:r>
        <w:rPr>
          <w:spacing w:val="-4"/>
        </w:rPr>
        <w:tab/>
        <w:t>[Section 9 amended by No. 73 of 1995 s. 188; No. 14 of 1996 s. 4; No. 76 of 2000 s. 47; No. 37 of 2002 s. 6; No. 24 of 2011 s. 163(4) and (5).]</w:t>
      </w:r>
    </w:p>
    <w:p>
      <w:pPr>
        <w:pStyle w:val="Heading5"/>
        <w:spacing w:before="240"/>
        <w:rPr>
          <w:snapToGrid w:val="0"/>
        </w:rPr>
      </w:pPr>
      <w:bookmarkStart w:id="117" w:name="_Toc521487148"/>
      <w:bookmarkStart w:id="118" w:name="_Toc522337176"/>
      <w:bookmarkStart w:id="119" w:name="_Toc527365394"/>
      <w:bookmarkStart w:id="120" w:name="_Toc530458602"/>
      <w:bookmarkStart w:id="121" w:name="_Toc530460464"/>
      <w:bookmarkStart w:id="122" w:name="_Toc326309547"/>
      <w:r>
        <w:rPr>
          <w:rStyle w:val="CharSectno"/>
        </w:rPr>
        <w:t>10</w:t>
      </w:r>
      <w:r>
        <w:rPr>
          <w:snapToGrid w:val="0"/>
        </w:rPr>
        <w:t>.</w:t>
      </w:r>
      <w:r>
        <w:rPr>
          <w:snapToGrid w:val="0"/>
        </w:rPr>
        <w:tab/>
        <w:t>Deposits and progress payments</w:t>
      </w:r>
      <w:bookmarkEnd w:id="117"/>
      <w:bookmarkEnd w:id="118"/>
      <w:bookmarkEnd w:id="119"/>
      <w:bookmarkEnd w:id="120"/>
      <w:bookmarkEnd w:id="121"/>
      <w:r>
        <w:rPr>
          <w:snapToGrid w:val="0"/>
        </w:rPr>
        <w:t>, limits on terms as to</w:t>
      </w:r>
      <w:bookmarkEnd w:id="122"/>
    </w:p>
    <w:p>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pPr>
        <w:pStyle w:val="Indenta"/>
        <w:rPr>
          <w:snapToGrid w:val="0"/>
        </w:rPr>
      </w:pPr>
      <w:r>
        <w:rPr>
          <w:snapToGrid w:val="0"/>
        </w:rPr>
        <w:tab/>
        <w:t>(a)</w:t>
      </w:r>
      <w:r>
        <w:rPr>
          <w:snapToGrid w:val="0"/>
        </w:rPr>
        <w:tab/>
        <w:t>before the commencement of the home building work to which the contract relates unless the payment is —</w:t>
      </w:r>
    </w:p>
    <w:p>
      <w:pPr>
        <w:pStyle w:val="Indenti"/>
        <w:rPr>
          <w:snapToGrid w:val="0"/>
        </w:rPr>
      </w:pPr>
      <w:r>
        <w:rPr>
          <w:snapToGrid w:val="0"/>
        </w:rPr>
        <w:tab/>
        <w:t>(i)</w:t>
      </w:r>
      <w:r>
        <w:rPr>
          <w:snapToGrid w:val="0"/>
        </w:rPr>
        <w:tab/>
        <w:t>a deposit of not more than 6.5% of the total amount payable to the builder under the contract for the home building work; or</w:t>
      </w:r>
    </w:p>
    <w:p>
      <w:pPr>
        <w:pStyle w:val="Indenti"/>
        <w:rPr>
          <w:snapToGrid w:val="0"/>
        </w:rPr>
      </w:pPr>
      <w:r>
        <w:rPr>
          <w:snapToGrid w:val="0"/>
        </w:rPr>
        <w:tab/>
        <w:t>(ii)</w:t>
      </w:r>
      <w:r>
        <w:rPr>
          <w:snapToGrid w:val="0"/>
        </w:rPr>
        <w:tab/>
        <w:t>of a prescribed kind;</w:t>
      </w:r>
    </w:p>
    <w:p>
      <w:pPr>
        <w:pStyle w:val="Indenta"/>
        <w:rPr>
          <w:snapToGrid w:val="0"/>
        </w:rPr>
      </w:pPr>
      <w:r>
        <w:rPr>
          <w:snapToGrid w:val="0"/>
        </w:rPr>
        <w:tab/>
        <w:t>(b)</w:t>
      </w:r>
      <w:r>
        <w:rPr>
          <w:snapToGrid w:val="0"/>
        </w:rPr>
        <w:tab/>
        <w:t>after the commencement of the home building work unless the payment is —</w:t>
      </w:r>
    </w:p>
    <w:p>
      <w:pPr>
        <w:pStyle w:val="Indenti"/>
        <w:rPr>
          <w:snapToGrid w:val="0"/>
        </w:rPr>
      </w:pPr>
      <w:r>
        <w:rPr>
          <w:snapToGrid w:val="0"/>
        </w:rPr>
        <w:tab/>
        <w:t>(i)</w:t>
      </w:r>
      <w:r>
        <w:rPr>
          <w:snapToGrid w:val="0"/>
        </w:rPr>
        <w:tab/>
        <w:t>a genuine progress payment for work already performed or materials or services already supplied; or</w:t>
      </w:r>
    </w:p>
    <w:p>
      <w:pPr>
        <w:pStyle w:val="Indenti"/>
        <w:rPr>
          <w:snapToGrid w:val="0"/>
        </w:rPr>
      </w:pPr>
      <w:r>
        <w:rPr>
          <w:snapToGrid w:val="0"/>
        </w:rPr>
        <w:tab/>
        <w:t>(ii)</w:t>
      </w:r>
      <w:r>
        <w:rPr>
          <w:snapToGrid w:val="0"/>
        </w:rPr>
        <w:tab/>
        <w:t>is of a prescribed kind.</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pPr>
        <w:pStyle w:val="Indenta"/>
        <w:rPr>
          <w:snapToGrid w:val="0"/>
        </w:rPr>
      </w:pPr>
      <w:r>
        <w:rPr>
          <w:snapToGrid w:val="0"/>
        </w:rPr>
        <w:tab/>
        <w:t>(a)</w:t>
      </w:r>
      <w:r>
        <w:rPr>
          <w:snapToGrid w:val="0"/>
        </w:rPr>
        <w:tab/>
        <w:t>if property in the materials or dwelling passes absolutely to the owner on the payment being made; and</w:t>
      </w:r>
    </w:p>
    <w:p>
      <w:pPr>
        <w:pStyle w:val="Indenta"/>
        <w:rPr>
          <w:snapToGrid w:val="0"/>
        </w:rPr>
      </w:pPr>
      <w:r>
        <w:rPr>
          <w:snapToGrid w:val="0"/>
        </w:rPr>
        <w:tab/>
        <w:t>(b)</w:t>
      </w:r>
      <w:r>
        <w:rPr>
          <w:snapToGrid w:val="0"/>
        </w:rPr>
        <w:tab/>
        <w:t>notwithstanding that the materials or dwelling are not placed on or affixed to the land of the owner.</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contract sets out a schedule of payments due at specified stages of the home building work; and</w:t>
      </w:r>
    </w:p>
    <w:p>
      <w:pPr>
        <w:pStyle w:val="Indenta"/>
        <w:rPr>
          <w:snapToGrid w:val="0"/>
        </w:rPr>
      </w:pPr>
      <w:r>
        <w:rPr>
          <w:snapToGrid w:val="0"/>
        </w:rPr>
        <w:tab/>
        <w:t>(b)</w:t>
      </w:r>
      <w:r>
        <w:rPr>
          <w:snapToGrid w:val="0"/>
        </w:rPr>
        <w:tab/>
        <w:t>a payment is demanded or required in accordance with that schedule,</w:t>
      </w:r>
    </w:p>
    <w:p>
      <w:pPr>
        <w:pStyle w:val="Subsection"/>
        <w:rPr>
          <w:snapToGrid w:val="0"/>
        </w:rPr>
      </w:pPr>
      <w:r>
        <w:rPr>
          <w:snapToGrid w:val="0"/>
        </w:rPr>
        <w:tab/>
      </w:r>
      <w:r>
        <w:rPr>
          <w:snapToGrid w:val="0"/>
        </w:rPr>
        <w:tab/>
        <w:t>the payment is to be taken to be a genuine progress payment for the purposes of subsection (1)(b)(i) until the contrary is shown.</w:t>
      </w:r>
    </w:p>
    <w:p>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pPr>
        <w:pStyle w:val="Penstart"/>
      </w:pPr>
      <w:r>
        <w:tab/>
        <w:t>Penalty: $10 000.</w:t>
      </w:r>
    </w:p>
    <w:p>
      <w:pPr>
        <w:pStyle w:val="Footnotesection"/>
        <w:rPr>
          <w:i w:val="0"/>
        </w:rPr>
      </w:pPr>
      <w:r>
        <w:tab/>
        <w:t>[Section 10 amended by No. 76 of 2000 s. 48.]</w:t>
      </w:r>
    </w:p>
    <w:p>
      <w:pPr>
        <w:pStyle w:val="Heading5"/>
        <w:rPr>
          <w:snapToGrid w:val="0"/>
        </w:rPr>
      </w:pPr>
      <w:bookmarkStart w:id="123" w:name="_Toc521487149"/>
      <w:bookmarkStart w:id="124" w:name="_Toc522337177"/>
      <w:bookmarkStart w:id="125" w:name="_Toc527365395"/>
      <w:bookmarkStart w:id="126" w:name="_Toc530458603"/>
      <w:bookmarkStart w:id="127" w:name="_Toc530460465"/>
      <w:bookmarkStart w:id="128" w:name="_Toc326309548"/>
      <w:r>
        <w:rPr>
          <w:rStyle w:val="CharSectno"/>
        </w:rPr>
        <w:t>11</w:t>
      </w:r>
      <w:r>
        <w:rPr>
          <w:snapToGrid w:val="0"/>
        </w:rPr>
        <w:t>.</w:t>
      </w:r>
      <w:r>
        <w:rPr>
          <w:snapToGrid w:val="0"/>
        </w:rPr>
        <w:tab/>
      </w:r>
      <w:bookmarkEnd w:id="123"/>
      <w:bookmarkEnd w:id="124"/>
      <w:bookmarkEnd w:id="125"/>
      <w:bookmarkEnd w:id="126"/>
      <w:bookmarkEnd w:id="127"/>
      <w:r>
        <w:rPr>
          <w:snapToGrid w:val="0"/>
        </w:rPr>
        <w:t>Defects, implied condition as to liability for</w:t>
      </w:r>
      <w:bookmarkEnd w:id="128"/>
    </w:p>
    <w:p>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pPr>
        <w:pStyle w:val="Subsection"/>
      </w:pPr>
      <w:r>
        <w:tab/>
        <w:t>(1a)</w:t>
      </w:r>
      <w:r>
        <w:tab/>
        <w:t>Nothing in subsection (1) prevents a contract from providing for a period greater than 4 months as the period within which the notification referred to in that subsection must be given.</w:t>
      </w:r>
    </w:p>
    <w:p>
      <w:pPr>
        <w:pStyle w:val="Subsection"/>
        <w:rPr>
          <w:snapToGrid w:val="0"/>
        </w:rPr>
      </w:pPr>
      <w:r>
        <w:rPr>
          <w:snapToGrid w:val="0"/>
        </w:rPr>
        <w:tab/>
        <w:t>(2)</w:t>
      </w:r>
      <w:r>
        <w:rPr>
          <w:snapToGrid w:val="0"/>
        </w:rPr>
        <w:tab/>
        <w:t>In subsection (1) —</w:t>
      </w:r>
    </w:p>
    <w:p>
      <w:pPr>
        <w:pStyle w:val="Defstart"/>
      </w:pPr>
      <w:r>
        <w:rPr>
          <w:b/>
        </w:rPr>
        <w:tab/>
      </w:r>
      <w:r>
        <w:rPr>
          <w:rStyle w:val="CharDefText"/>
        </w:rPr>
        <w:t>defect</w:t>
      </w:r>
      <w:r>
        <w:t xml:space="preserve"> means a failure —</w:t>
      </w:r>
    </w:p>
    <w:p>
      <w:pPr>
        <w:pStyle w:val="Defpara"/>
      </w:pPr>
      <w:r>
        <w:tab/>
        <w:t>(a)</w:t>
      </w:r>
      <w:r>
        <w:tab/>
        <w:t>to perform the home building work in a proper and workmanlike manner and in accordance with the contract; or</w:t>
      </w:r>
    </w:p>
    <w:p>
      <w:pPr>
        <w:pStyle w:val="Defpara"/>
      </w:pPr>
      <w:r>
        <w:tab/>
        <w:t>(b)</w:t>
      </w:r>
      <w:r>
        <w:tab/>
        <w:t>to supply materials that are of merchantable quality and reasonably fit for the purpose for which the owner required the home building work to be performed,</w:t>
      </w:r>
    </w:p>
    <w:p>
      <w:pPr>
        <w:pStyle w:val="Defstart"/>
      </w:pPr>
      <w:r>
        <w:tab/>
        <w:t>not being a failure for which the builder is specifically declared by the contract to be not liable;</w:t>
      </w:r>
    </w:p>
    <w:p>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pPr>
        <w:pStyle w:val="Subsection"/>
        <w:rPr>
          <w:snapToGrid w:val="0"/>
        </w:rPr>
      </w:pPr>
      <w:r>
        <w:rPr>
          <w:snapToGrid w:val="0"/>
        </w:rPr>
        <w:tab/>
        <w:t>(3)</w:t>
      </w:r>
      <w:r>
        <w:rPr>
          <w:snapToGrid w:val="0"/>
        </w:rPr>
        <w:tab/>
        <w:t>The regulations may provide for exemptions from the requirements of this section.</w:t>
      </w:r>
    </w:p>
    <w:p>
      <w:pPr>
        <w:pStyle w:val="Footnotesection"/>
      </w:pPr>
      <w:r>
        <w:tab/>
        <w:t>[Section 11 amended by No. 76 of 2000 s. 49.]</w:t>
      </w:r>
    </w:p>
    <w:p>
      <w:pPr>
        <w:pStyle w:val="Heading5"/>
        <w:rPr>
          <w:snapToGrid w:val="0"/>
        </w:rPr>
      </w:pPr>
      <w:bookmarkStart w:id="129" w:name="_Toc521487150"/>
      <w:bookmarkStart w:id="130" w:name="_Toc522337178"/>
      <w:bookmarkStart w:id="131" w:name="_Toc527365396"/>
      <w:bookmarkStart w:id="132" w:name="_Toc530458604"/>
      <w:bookmarkStart w:id="133" w:name="_Toc530460466"/>
      <w:bookmarkStart w:id="134" w:name="_Toc326309549"/>
      <w:r>
        <w:rPr>
          <w:rStyle w:val="CharSectno"/>
        </w:rPr>
        <w:t>12</w:t>
      </w:r>
      <w:r>
        <w:rPr>
          <w:snapToGrid w:val="0"/>
        </w:rPr>
        <w:t>.</w:t>
      </w:r>
      <w:r>
        <w:rPr>
          <w:snapToGrid w:val="0"/>
        </w:rPr>
        <w:tab/>
        <w:t>Understatement of prime cost items etc.</w:t>
      </w:r>
      <w:bookmarkEnd w:id="129"/>
      <w:bookmarkEnd w:id="130"/>
      <w:bookmarkEnd w:id="131"/>
      <w:bookmarkEnd w:id="132"/>
      <w:bookmarkEnd w:id="133"/>
      <w:r>
        <w:rPr>
          <w:snapToGrid w:val="0"/>
        </w:rPr>
        <w:t xml:space="preserve"> by builder, offence</w:t>
      </w:r>
      <w:bookmarkEnd w:id="134"/>
    </w:p>
    <w:p>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pPr>
        <w:pStyle w:val="Heading5"/>
        <w:rPr>
          <w:snapToGrid w:val="0"/>
        </w:rPr>
      </w:pPr>
      <w:bookmarkStart w:id="135" w:name="_Toc521487151"/>
      <w:bookmarkStart w:id="136" w:name="_Toc522337179"/>
      <w:bookmarkStart w:id="137" w:name="_Toc527365397"/>
      <w:bookmarkStart w:id="138" w:name="_Toc530458605"/>
      <w:bookmarkStart w:id="139" w:name="_Toc530460467"/>
      <w:bookmarkStart w:id="140" w:name="_Toc326309550"/>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135"/>
      <w:bookmarkEnd w:id="136"/>
      <w:bookmarkEnd w:id="137"/>
      <w:bookmarkEnd w:id="138"/>
      <w:bookmarkEnd w:id="139"/>
      <w:bookmarkEnd w:id="140"/>
    </w:p>
    <w:p>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pPr>
        <w:pStyle w:val="Subsection"/>
        <w:rPr>
          <w:snapToGrid w:val="0"/>
        </w:rPr>
      </w:pPr>
      <w:r>
        <w:rPr>
          <w:snapToGrid w:val="0"/>
        </w:rPr>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pPr>
        <w:pStyle w:val="Indenta"/>
        <w:rPr>
          <w:snapToGrid w:val="0"/>
        </w:rPr>
      </w:pPr>
      <w:r>
        <w:rPr>
          <w:snapToGrid w:val="0"/>
        </w:rPr>
        <w:tab/>
        <w:t>(a)</w:t>
      </w:r>
      <w:r>
        <w:rPr>
          <w:snapToGrid w:val="0"/>
        </w:rPr>
        <w:tab/>
        <w:t>as a direct consequence of a written law of the State or the Commonwealth; or</w:t>
      </w:r>
    </w:p>
    <w:p>
      <w:pPr>
        <w:pStyle w:val="Indenta"/>
        <w:rPr>
          <w:snapToGrid w:val="0"/>
        </w:rPr>
      </w:pPr>
      <w:r>
        <w:rPr>
          <w:snapToGrid w:val="0"/>
        </w:rPr>
        <w:tab/>
        <w:t>(b)</w:t>
      </w:r>
      <w:r>
        <w:rPr>
          <w:snapToGrid w:val="0"/>
        </w:rPr>
        <w:tab/>
        <w:t>on account of an increase in any tax, duty or other charge imposed under any such law after the date of the contract; or</w:t>
      </w:r>
    </w:p>
    <w:p>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pPr>
        <w:pStyle w:val="Subsection"/>
        <w:rPr>
          <w:rFonts w:ascii="Times" w:hAnsi="Times"/>
          <w:snapToGrid w:val="0"/>
        </w:rPr>
      </w:pPr>
      <w:r>
        <w:rPr>
          <w:snapToGrid w:val="0"/>
          <w:spacing w:val="-6"/>
        </w:rPr>
        <w:tab/>
        <w:t>(5)</w:t>
      </w:r>
      <w:r>
        <w:rPr>
          <w:snapToGrid w:val="0"/>
          <w:spacing w:val="-6"/>
        </w:rPr>
        <w:tab/>
      </w:r>
      <w:r>
        <w:rPr>
          <w:rFonts w:ascii="Times" w:hAnsi="Times"/>
          <w:snapToGrid w:val="0"/>
        </w:rPr>
        <w:t>Where subsection (4)(c) applies the consequences to, and the rights and remedies of, the parties are as set out in clauses 4 and 5 of Schedule 1.</w:t>
      </w:r>
    </w:p>
    <w:p>
      <w:pPr>
        <w:pStyle w:val="Heading5"/>
        <w:rPr>
          <w:snapToGrid w:val="0"/>
        </w:rPr>
      </w:pPr>
      <w:bookmarkStart w:id="141" w:name="_Toc521487152"/>
      <w:bookmarkStart w:id="142" w:name="_Toc522337180"/>
      <w:bookmarkStart w:id="143" w:name="_Toc527365398"/>
      <w:bookmarkStart w:id="144" w:name="_Toc530458606"/>
      <w:bookmarkStart w:id="145" w:name="_Toc530460468"/>
      <w:bookmarkStart w:id="146" w:name="_Toc326309551"/>
      <w:r>
        <w:rPr>
          <w:rStyle w:val="CharSectno"/>
        </w:rPr>
        <w:t>14</w:t>
      </w:r>
      <w:r>
        <w:rPr>
          <w:snapToGrid w:val="0"/>
        </w:rPr>
        <w:t>.</w:t>
      </w:r>
      <w:r>
        <w:rPr>
          <w:snapToGrid w:val="0"/>
        </w:rPr>
        <w:tab/>
        <w:t>Cost plus contracts</w:t>
      </w:r>
      <w:bookmarkEnd w:id="141"/>
      <w:bookmarkEnd w:id="142"/>
      <w:bookmarkEnd w:id="143"/>
      <w:bookmarkEnd w:id="144"/>
      <w:bookmarkEnd w:id="145"/>
      <w:r>
        <w:rPr>
          <w:snapToGrid w:val="0"/>
        </w:rPr>
        <w:t>, requirements as to</w:t>
      </w:r>
      <w:bookmarkEnd w:id="146"/>
    </w:p>
    <w:p>
      <w:pPr>
        <w:pStyle w:val="Subsection"/>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pPr>
        <w:pStyle w:val="Indenta"/>
        <w:rPr>
          <w:snapToGrid w:val="0"/>
        </w:rPr>
      </w:pPr>
      <w:r>
        <w:rPr>
          <w:snapToGrid w:val="0"/>
        </w:rPr>
        <w:tab/>
        <w:t>(a)</w:t>
      </w:r>
      <w:r>
        <w:rPr>
          <w:snapToGrid w:val="0"/>
        </w:rPr>
        <w:tab/>
        <w:t>has a heading at the beginning that includes the words “cost plus contract”; and</w:t>
      </w:r>
    </w:p>
    <w:p>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Subsection (1) does not apply to a cost plus contract that comes within paragraph (b) of the definition of </w:t>
      </w:r>
      <w:r>
        <w:rPr>
          <w:b/>
          <w:i/>
          <w:snapToGrid w:val="0"/>
        </w:rPr>
        <w:t>home building work contract</w:t>
      </w:r>
      <w:r>
        <w:rPr>
          <w:snapToGrid w:val="0"/>
        </w:rPr>
        <w:t xml:space="preserve"> in section 3.</w:t>
      </w:r>
    </w:p>
    <w:p>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pPr>
        <w:pStyle w:val="Footnotesection"/>
      </w:pPr>
      <w:r>
        <w:tab/>
        <w:t>[Section 14 amended by No. 37 of 2002 s. 7.]</w:t>
      </w:r>
    </w:p>
    <w:p>
      <w:pPr>
        <w:pStyle w:val="Heading5"/>
        <w:rPr>
          <w:snapToGrid w:val="0"/>
        </w:rPr>
      </w:pPr>
      <w:bookmarkStart w:id="147" w:name="_Toc521487153"/>
      <w:bookmarkStart w:id="148" w:name="_Toc522337181"/>
      <w:bookmarkStart w:id="149" w:name="_Toc527365399"/>
      <w:bookmarkStart w:id="150" w:name="_Toc530458607"/>
      <w:bookmarkStart w:id="151" w:name="_Toc530460469"/>
      <w:bookmarkStart w:id="152" w:name="_Toc326309552"/>
      <w:r>
        <w:rPr>
          <w:rStyle w:val="CharSectno"/>
        </w:rPr>
        <w:t>15</w:t>
      </w:r>
      <w:r>
        <w:rPr>
          <w:snapToGrid w:val="0"/>
        </w:rPr>
        <w:t>.</w:t>
      </w:r>
      <w:r>
        <w:rPr>
          <w:snapToGrid w:val="0"/>
        </w:rPr>
        <w:tab/>
        <w:t>Unconscionable etc.</w:t>
      </w:r>
      <w:bookmarkEnd w:id="147"/>
      <w:bookmarkEnd w:id="148"/>
      <w:bookmarkEnd w:id="149"/>
      <w:bookmarkEnd w:id="150"/>
      <w:bookmarkEnd w:id="151"/>
      <w:r>
        <w:rPr>
          <w:snapToGrid w:val="0"/>
        </w:rPr>
        <w:t xml:space="preserve"> conduct by builder as to contract etc.</w:t>
      </w:r>
      <w:bookmarkEnd w:id="152"/>
    </w:p>
    <w:p>
      <w:pPr>
        <w:pStyle w:val="Subsection"/>
        <w:rPr>
          <w:snapToGrid w:val="0"/>
        </w:rPr>
      </w:pPr>
      <w:r>
        <w:rPr>
          <w:snapToGrid w:val="0"/>
        </w:rPr>
        <w:tab/>
        <w:t>(1)</w:t>
      </w:r>
      <w:r>
        <w:rPr>
          <w:snapToGrid w:val="0"/>
        </w:rPr>
        <w:tab/>
        <w:t>A builder must not —</w:t>
      </w:r>
    </w:p>
    <w:p>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pPr>
        <w:pStyle w:val="Indenta"/>
        <w:rPr>
          <w:snapToGrid w:val="0"/>
        </w:rPr>
      </w:pPr>
      <w:r>
        <w:rPr>
          <w:snapToGrid w:val="0"/>
        </w:rPr>
        <w:tab/>
        <w:t>(b)</w:t>
      </w:r>
      <w:r>
        <w:rPr>
          <w:snapToGrid w:val="0"/>
        </w:rPr>
        <w:tab/>
        <w:t>enter into a contract that contains any provision that is unconscionable, harsh or oppressive.</w:t>
      </w:r>
    </w:p>
    <w:p>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pPr>
        <w:pStyle w:val="Indenta"/>
        <w:rPr>
          <w:snapToGrid w:val="0"/>
        </w:rPr>
      </w:pPr>
      <w:r>
        <w:rPr>
          <w:snapToGrid w:val="0"/>
        </w:rPr>
        <w:tab/>
        <w:t>(a)</w:t>
      </w:r>
      <w:r>
        <w:rPr>
          <w:snapToGrid w:val="0"/>
        </w:rPr>
        <w:tab/>
        <w:t>the relative strengths of the bargaining positions of the builder and the owner; and</w:t>
      </w:r>
    </w:p>
    <w:p>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 and</w:t>
      </w:r>
    </w:p>
    <w:p>
      <w:pPr>
        <w:pStyle w:val="Indenta"/>
        <w:rPr>
          <w:snapToGrid w:val="0"/>
        </w:rPr>
      </w:pPr>
      <w:r>
        <w:rPr>
          <w:snapToGrid w:val="0"/>
        </w:rPr>
        <w:tab/>
        <w:t>(c)</w:t>
      </w:r>
      <w:r>
        <w:rPr>
          <w:snapToGrid w:val="0"/>
        </w:rPr>
        <w:tab/>
        <w:t>whether the owner was able to understand the contract; and</w:t>
      </w:r>
    </w:p>
    <w:p>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pPr>
        <w:pStyle w:val="Indenti"/>
        <w:rPr>
          <w:snapToGrid w:val="0"/>
        </w:rPr>
      </w:pPr>
      <w:r>
        <w:rPr>
          <w:snapToGrid w:val="0"/>
        </w:rPr>
        <w:tab/>
        <w:t>(i)</w:t>
      </w:r>
      <w:r>
        <w:rPr>
          <w:snapToGrid w:val="0"/>
        </w:rPr>
        <w:tab/>
        <w:t>that the owner has title to the land on which the work is to be performed; and</w:t>
      </w:r>
    </w:p>
    <w:p>
      <w:pPr>
        <w:pStyle w:val="Indenti"/>
        <w:rPr>
          <w:snapToGrid w:val="0"/>
        </w:rPr>
      </w:pPr>
      <w:r>
        <w:rPr>
          <w:snapToGrid w:val="0"/>
        </w:rPr>
        <w:tab/>
        <w:t>(ii)</w:t>
      </w:r>
      <w:r>
        <w:rPr>
          <w:snapToGrid w:val="0"/>
        </w:rPr>
        <w:tab/>
        <w:t>by production of evidence in writing, that the owner is able to pay the contract price;</w:t>
      </w:r>
    </w:p>
    <w:p>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pPr>
        <w:pStyle w:val="Subsection"/>
        <w:rPr>
          <w:snapToGrid w:val="0"/>
        </w:rPr>
      </w:pPr>
      <w:r>
        <w:rPr>
          <w:snapToGrid w:val="0"/>
        </w:rPr>
        <w:tab/>
        <w:t>(4)</w:t>
      </w:r>
      <w:r>
        <w:rPr>
          <w:snapToGrid w:val="0"/>
        </w:rPr>
        <w:tab/>
        <w:t xml:space="preserve">The </w:t>
      </w:r>
      <w:r>
        <w:t>State Administrative Tribunal may approve a form of contract submitted to the Building Commissioner for an</w:t>
      </w:r>
      <w:r>
        <w:rPr>
          <w:snapToGrid w:val="0"/>
        </w:rPr>
        <w:t xml:space="preserve"> opinion on whether any provision is in breach of subsection (1)(b) and a provision in a form so approved </w:t>
      </w:r>
      <w:r>
        <w:t>must</w:t>
      </w:r>
      <w:r>
        <w:rPr>
          <w:snapToGrid w:val="0"/>
        </w:rPr>
        <w:t xml:space="preserve"> not be called in question under that subsection.</w:t>
      </w:r>
    </w:p>
    <w:p>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pPr>
        <w:pStyle w:val="Subsection"/>
        <w:rPr>
          <w:snapToGrid w:val="0"/>
        </w:rPr>
      </w:pPr>
      <w:r>
        <w:rPr>
          <w:snapToGrid w:val="0"/>
        </w:rPr>
        <w:tab/>
        <w:t>(6)</w:t>
      </w:r>
      <w:r>
        <w:rPr>
          <w:snapToGrid w:val="0"/>
        </w:rPr>
        <w:tab/>
        <w:t xml:space="preserve">This section is enforceable </w:t>
      </w:r>
      <w:r>
        <w:t xml:space="preserve">as referred to in section 17 </w:t>
      </w:r>
      <w:r>
        <w:rPr>
          <w:snapToGrid w:val="0"/>
        </w:rPr>
        <w:t>and not otherwise.</w:t>
      </w:r>
    </w:p>
    <w:p>
      <w:pPr>
        <w:pStyle w:val="Footnotesection"/>
      </w:pPr>
      <w:r>
        <w:tab/>
        <w:t>[Section 15 amended by No. 76 of 2000 s. 50 and 57; No. 37 of 2002 s. 20; No. 16 of 2011 s. 115.]</w:t>
      </w:r>
    </w:p>
    <w:p>
      <w:pPr>
        <w:pStyle w:val="Heading5"/>
      </w:pPr>
      <w:bookmarkStart w:id="153" w:name="_Toc521487154"/>
      <w:bookmarkStart w:id="154" w:name="_Toc522337182"/>
      <w:bookmarkStart w:id="155" w:name="_Toc527365400"/>
      <w:bookmarkStart w:id="156" w:name="_Toc530458608"/>
      <w:bookmarkStart w:id="157" w:name="_Toc530460470"/>
      <w:bookmarkStart w:id="158" w:name="_Toc326309553"/>
      <w:r>
        <w:rPr>
          <w:rStyle w:val="CharSectno"/>
        </w:rPr>
        <w:t>15A</w:t>
      </w:r>
      <w:r>
        <w:t>.</w:t>
      </w:r>
      <w:r>
        <w:tab/>
        <w:t>Misleading or deceptive conduct</w:t>
      </w:r>
      <w:bookmarkEnd w:id="153"/>
      <w:bookmarkEnd w:id="154"/>
      <w:bookmarkEnd w:id="155"/>
      <w:bookmarkEnd w:id="156"/>
      <w:bookmarkEnd w:id="157"/>
      <w:r>
        <w:t xml:space="preserve"> by builder or owner as to contract</w:t>
      </w:r>
      <w:bookmarkEnd w:id="158"/>
    </w:p>
    <w:p>
      <w:pPr>
        <w:pStyle w:val="Subsection"/>
      </w:pPr>
      <w:r>
        <w:tab/>
      </w:r>
      <w:r>
        <w:tab/>
        <w:t>A person who is a builder or an owner must not, in connection with —</w:t>
      </w:r>
    </w:p>
    <w:p>
      <w:pPr>
        <w:pStyle w:val="Indenta"/>
      </w:pPr>
      <w:r>
        <w:tab/>
        <w:t>(a)</w:t>
      </w:r>
      <w:r>
        <w:tab/>
        <w:t>the formation or execution of a contract; or</w:t>
      </w:r>
    </w:p>
    <w:p>
      <w:pPr>
        <w:pStyle w:val="Indenta"/>
      </w:pPr>
      <w:r>
        <w:tab/>
        <w:t>(b)</w:t>
      </w:r>
      <w:r>
        <w:tab/>
        <w:t>negotiations to vary a contract after execution; or</w:t>
      </w:r>
    </w:p>
    <w:p>
      <w:pPr>
        <w:pStyle w:val="Indenta"/>
      </w:pPr>
      <w:r>
        <w:tab/>
        <w:t>(c)</w:t>
      </w:r>
      <w:r>
        <w:tab/>
        <w:t>the circumstances in which a contract or variation of contract is entered into,</w:t>
      </w:r>
    </w:p>
    <w:p>
      <w:pPr>
        <w:pStyle w:val="Subsection"/>
      </w:pPr>
      <w:r>
        <w:tab/>
      </w:r>
      <w:r>
        <w:tab/>
        <w:t>engage in conduct that is misleading or deceptive.</w:t>
      </w:r>
    </w:p>
    <w:p>
      <w:pPr>
        <w:pStyle w:val="Footnotesection"/>
      </w:pPr>
      <w:r>
        <w:tab/>
        <w:t>[Section 15A inserted by No. 76 of 2000 s. 51.]</w:t>
      </w:r>
    </w:p>
    <w:p>
      <w:pPr>
        <w:pStyle w:val="Heading2"/>
      </w:pPr>
      <w:bookmarkStart w:id="159" w:name="_Toc89521542"/>
      <w:bookmarkStart w:id="160" w:name="_Toc89521611"/>
      <w:bookmarkStart w:id="161" w:name="_Toc96246657"/>
      <w:bookmarkStart w:id="162" w:name="_Toc97107126"/>
      <w:bookmarkStart w:id="163" w:name="_Toc102365975"/>
      <w:bookmarkStart w:id="164" w:name="_Toc103066998"/>
      <w:bookmarkStart w:id="165" w:name="_Toc124730095"/>
      <w:bookmarkStart w:id="166" w:name="_Toc124734148"/>
      <w:bookmarkStart w:id="167" w:name="_Toc124748230"/>
      <w:bookmarkStart w:id="168" w:name="_Toc127681779"/>
      <w:bookmarkStart w:id="169" w:name="_Toc129579991"/>
      <w:bookmarkStart w:id="170" w:name="_Toc211745928"/>
      <w:bookmarkStart w:id="171" w:name="_Toc268266242"/>
      <w:bookmarkStart w:id="172" w:name="_Toc268688307"/>
      <w:bookmarkStart w:id="173" w:name="_Toc272150887"/>
      <w:bookmarkStart w:id="174" w:name="_Toc294177251"/>
      <w:bookmarkStart w:id="175" w:name="_Toc296609904"/>
      <w:bookmarkStart w:id="176" w:name="_Toc298424906"/>
      <w:bookmarkStart w:id="177" w:name="_Toc298424980"/>
      <w:bookmarkStart w:id="178" w:name="_Toc302113279"/>
      <w:bookmarkStart w:id="179" w:name="_Toc302127923"/>
      <w:bookmarkStart w:id="180" w:name="_Toc307408834"/>
      <w:bookmarkStart w:id="181" w:name="_Toc320776898"/>
      <w:bookmarkStart w:id="182" w:name="_Toc320777344"/>
      <w:bookmarkStart w:id="183" w:name="_Toc320790098"/>
      <w:bookmarkStart w:id="184" w:name="_Toc321396991"/>
      <w:bookmarkStart w:id="185" w:name="_Toc321400250"/>
      <w:bookmarkStart w:id="186" w:name="_Toc325102692"/>
      <w:bookmarkStart w:id="187" w:name="_Toc325103786"/>
      <w:bookmarkStart w:id="188" w:name="_Toc326224245"/>
      <w:bookmarkStart w:id="189" w:name="_Toc326309554"/>
      <w:r>
        <w:rPr>
          <w:rStyle w:val="CharPartNo"/>
        </w:rPr>
        <w:t>Part 3</w:t>
      </w:r>
      <w:r>
        <w:rPr>
          <w:rStyle w:val="CharDivNo"/>
        </w:rPr>
        <w:t> </w:t>
      </w:r>
      <w:r>
        <w:t>—</w:t>
      </w:r>
      <w:r>
        <w:rPr>
          <w:rStyle w:val="CharDivText"/>
        </w:rPr>
        <w:t> </w:t>
      </w:r>
      <w:r>
        <w:rPr>
          <w:rStyle w:val="CharPartText"/>
        </w:rPr>
        <w:t>Remedies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Ednotesection"/>
      </w:pPr>
      <w:r>
        <w:t>[</w:t>
      </w:r>
      <w:r>
        <w:rPr>
          <w:b/>
        </w:rPr>
        <w:t>16.</w:t>
      </w:r>
      <w:r>
        <w:tab/>
        <w:t>Deleted by No. 16 of 2011 s. 116]</w:t>
      </w:r>
    </w:p>
    <w:p>
      <w:pPr>
        <w:pStyle w:val="Heading5"/>
      </w:pPr>
      <w:bookmarkStart w:id="190" w:name="_Toc294705366"/>
      <w:bookmarkStart w:id="191" w:name="_Toc302046924"/>
      <w:bookmarkStart w:id="192" w:name="_Toc326309555"/>
      <w:bookmarkStart w:id="193" w:name="_Toc521487156"/>
      <w:bookmarkStart w:id="194" w:name="_Toc522337184"/>
      <w:bookmarkStart w:id="195" w:name="_Toc527365402"/>
      <w:bookmarkStart w:id="196" w:name="_Toc530458610"/>
      <w:bookmarkStart w:id="197" w:name="_Toc530460472"/>
      <w:r>
        <w:rPr>
          <w:rStyle w:val="CharSectno"/>
        </w:rPr>
        <w:t>17</w:t>
      </w:r>
      <w:r>
        <w:t>.</w:t>
      </w:r>
      <w:r>
        <w:tab/>
        <w:t xml:space="preserve">Breach </w:t>
      </w:r>
      <w:bookmarkEnd w:id="190"/>
      <w:bookmarkEnd w:id="191"/>
      <w:r>
        <w:t>of contract or Part 2, or entitlement to compensation, procedure in case of</w:t>
      </w:r>
      <w:bookmarkEnd w:id="192"/>
    </w:p>
    <w:p>
      <w:pPr>
        <w:pStyle w:val="Subsection"/>
      </w:pPr>
      <w:r>
        <w:tab/>
      </w:r>
      <w:r>
        <w:tab/>
        <w:t xml:space="preserve">If an owner or builder under a contract claims that — </w:t>
      </w:r>
    </w:p>
    <w:p>
      <w:pPr>
        <w:pStyle w:val="Indenta"/>
      </w:pPr>
      <w:r>
        <w:tab/>
        <w:t>(a)</w:t>
      </w:r>
      <w:r>
        <w:tab/>
        <w:t xml:space="preserve">there has been a breach of — </w:t>
      </w:r>
    </w:p>
    <w:p>
      <w:pPr>
        <w:pStyle w:val="Indenti"/>
      </w:pPr>
      <w:r>
        <w:tab/>
        <w:t>(i)</w:t>
      </w:r>
      <w:r>
        <w:tab/>
        <w:t xml:space="preserve">the contract, not being a breach in respect of which a building remedy order may be made under the </w:t>
      </w:r>
      <w:r>
        <w:rPr>
          <w:i/>
        </w:rPr>
        <w:t>Building Services (Complaint Resolution and Administration) Act 2011</w:t>
      </w:r>
      <w:r>
        <w:t>; or</w:t>
      </w:r>
    </w:p>
    <w:p>
      <w:pPr>
        <w:pStyle w:val="Indenti"/>
      </w:pPr>
      <w:r>
        <w:tab/>
        <w:t>(ii)</w:t>
      </w:r>
      <w:r>
        <w:tab/>
        <w:t>a provision in Part 2;</w:t>
      </w:r>
    </w:p>
    <w:p>
      <w:pPr>
        <w:pStyle w:val="Indenta"/>
      </w:pPr>
      <w:r>
        <w:tab/>
      </w:r>
      <w:r>
        <w:tab/>
        <w:t>or</w:t>
      </w:r>
    </w:p>
    <w:p>
      <w:pPr>
        <w:pStyle w:val="Indenta"/>
      </w:pPr>
      <w:r>
        <w:tab/>
        <w:t>(b)</w:t>
      </w:r>
      <w:r>
        <w:tab/>
        <w:t>the owner or builder is entitled to compensation under Schedule 1,</w:t>
      </w:r>
    </w:p>
    <w:p>
      <w:pPr>
        <w:pStyle w:val="Subsection"/>
      </w:pPr>
      <w:r>
        <w:tab/>
      </w:r>
      <w:r>
        <w:tab/>
        <w:t xml:space="preserve">then, subject to the </w:t>
      </w:r>
      <w:r>
        <w:rPr>
          <w:i/>
        </w:rPr>
        <w:t>Building Services (Complaint Resolution and Administration) Act 2011</w:t>
      </w:r>
      <w:r>
        <w:t>, the owner or builder may make a complaint under section 5(2) of that Act.</w:t>
      </w:r>
    </w:p>
    <w:p>
      <w:pPr>
        <w:pStyle w:val="Footnotesection"/>
      </w:pPr>
      <w:r>
        <w:tab/>
        <w:t>[Section 17 inserted by No. 16 of 2011 s. 117.]</w:t>
      </w:r>
    </w:p>
    <w:bookmarkEnd w:id="193"/>
    <w:bookmarkEnd w:id="194"/>
    <w:bookmarkEnd w:id="195"/>
    <w:bookmarkEnd w:id="196"/>
    <w:bookmarkEnd w:id="197"/>
    <w:p>
      <w:pPr>
        <w:pStyle w:val="Ednotesection"/>
      </w:pPr>
      <w:r>
        <w:t>[</w:t>
      </w:r>
      <w:r>
        <w:rPr>
          <w:b/>
        </w:rPr>
        <w:t>18.</w:t>
      </w:r>
      <w:r>
        <w:tab/>
        <w:t>Deleted by No. 16 of 2011 s. 118]</w:t>
      </w:r>
    </w:p>
    <w:p>
      <w:pPr>
        <w:pStyle w:val="Heading5"/>
        <w:rPr>
          <w:snapToGrid w:val="0"/>
        </w:rPr>
      </w:pPr>
      <w:bookmarkStart w:id="198" w:name="_Toc521487158"/>
      <w:bookmarkStart w:id="199" w:name="_Toc522337186"/>
      <w:bookmarkStart w:id="200" w:name="_Toc527365404"/>
      <w:bookmarkStart w:id="201" w:name="_Toc530458612"/>
      <w:bookmarkStart w:id="202" w:name="_Toc530460474"/>
      <w:bookmarkStart w:id="203" w:name="_Toc326309556"/>
      <w:r>
        <w:rPr>
          <w:rStyle w:val="CharSectno"/>
        </w:rPr>
        <w:t>19</w:t>
      </w:r>
      <w:r>
        <w:rPr>
          <w:snapToGrid w:val="0"/>
        </w:rPr>
        <w:t>.</w:t>
      </w:r>
      <w:r>
        <w:rPr>
          <w:snapToGrid w:val="0"/>
        </w:rPr>
        <w:tab/>
        <w:t>How contract terminated</w:t>
      </w:r>
      <w:bookmarkEnd w:id="198"/>
      <w:bookmarkEnd w:id="199"/>
      <w:bookmarkEnd w:id="200"/>
      <w:bookmarkEnd w:id="201"/>
      <w:bookmarkEnd w:id="202"/>
      <w:bookmarkEnd w:id="203"/>
    </w:p>
    <w:p>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pPr>
        <w:pStyle w:val="Heading5"/>
      </w:pPr>
      <w:bookmarkStart w:id="204" w:name="_Toc294705369"/>
      <w:bookmarkStart w:id="205" w:name="_Toc302046927"/>
      <w:bookmarkStart w:id="206" w:name="_Toc326309557"/>
      <w:bookmarkStart w:id="207" w:name="_Toc521487159"/>
      <w:bookmarkStart w:id="208" w:name="_Toc522337187"/>
      <w:bookmarkStart w:id="209" w:name="_Toc527365405"/>
      <w:bookmarkStart w:id="210" w:name="_Toc530458613"/>
      <w:bookmarkStart w:id="211" w:name="_Toc530460475"/>
      <w:r>
        <w:rPr>
          <w:rStyle w:val="CharSectno"/>
        </w:rPr>
        <w:t>20</w:t>
      </w:r>
      <w:r>
        <w:t>.</w:t>
      </w:r>
      <w:r>
        <w:tab/>
        <w:t>Adjustment of rights in certain cases</w:t>
      </w:r>
      <w:bookmarkEnd w:id="204"/>
      <w:bookmarkEnd w:id="205"/>
      <w:bookmarkEnd w:id="206"/>
    </w:p>
    <w:p>
      <w:pPr>
        <w:pStyle w:val="Subsection"/>
      </w:pPr>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p>
    <w:p>
      <w:pPr>
        <w:pStyle w:val="Indenta"/>
      </w:pPr>
      <w:r>
        <w:tab/>
        <w:t>(a)</w:t>
      </w:r>
      <w:r>
        <w:tab/>
        <w:t>the return or repayment of the whole or part of any consideration, or the value of any consideration, given by the owner under or in relation to the contract; or</w:t>
      </w:r>
    </w:p>
    <w:p>
      <w:pPr>
        <w:pStyle w:val="Indenta"/>
      </w:pPr>
      <w:r>
        <w:tab/>
        <w:t>(b)</w:t>
      </w:r>
      <w:r>
        <w:tab/>
        <w:t xml:space="preserve">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a"/>
      </w:pPr>
      <w:r>
        <w:tab/>
      </w:r>
      <w:r>
        <w:tab/>
        <w:t>under or in relation to the contract.</w:t>
      </w:r>
    </w:p>
    <w:p>
      <w:pPr>
        <w:pStyle w:val="Footnotesection"/>
      </w:pPr>
      <w:r>
        <w:tab/>
        <w:t>[Section 20 inserted by No. 16 of 2011 s. 119.]</w:t>
      </w:r>
    </w:p>
    <w:bookmarkEnd w:id="207"/>
    <w:bookmarkEnd w:id="208"/>
    <w:bookmarkEnd w:id="209"/>
    <w:bookmarkEnd w:id="210"/>
    <w:bookmarkEnd w:id="211"/>
    <w:p>
      <w:pPr>
        <w:pStyle w:val="Ednotesection"/>
      </w:pPr>
      <w:r>
        <w:t>[</w:t>
      </w:r>
      <w:r>
        <w:rPr>
          <w:b/>
        </w:rPr>
        <w:t>21</w:t>
      </w:r>
      <w:r>
        <w:rPr>
          <w:b/>
        </w:rPr>
        <w:noBreakHyphen/>
        <w:t>24.</w:t>
      </w:r>
      <w:r>
        <w:tab/>
        <w:t>Deleted by No. 16 of 2011 s. 120]</w:t>
      </w:r>
    </w:p>
    <w:p>
      <w:pPr>
        <w:pStyle w:val="Ednotesection"/>
      </w:pPr>
      <w:r>
        <w:t>[</w:t>
      </w:r>
      <w:r>
        <w:rPr>
          <w:b/>
        </w:rPr>
        <w:t>25.</w:t>
      </w:r>
      <w:r>
        <w:tab/>
        <w:t>Deleted by No. 76 of 2000 s. 55.]</w:t>
      </w:r>
    </w:p>
    <w:p>
      <w:pPr>
        <w:pStyle w:val="Heading2"/>
      </w:pPr>
      <w:bookmarkStart w:id="212" w:name="_Toc89521552"/>
      <w:bookmarkStart w:id="213" w:name="_Toc89521621"/>
      <w:bookmarkStart w:id="214" w:name="_Toc96246667"/>
      <w:bookmarkStart w:id="215" w:name="_Toc97107136"/>
      <w:bookmarkStart w:id="216" w:name="_Toc102365985"/>
      <w:bookmarkStart w:id="217" w:name="_Toc103067008"/>
      <w:bookmarkStart w:id="218" w:name="_Toc124730105"/>
      <w:bookmarkStart w:id="219" w:name="_Toc124734158"/>
      <w:bookmarkStart w:id="220" w:name="_Toc124748240"/>
      <w:bookmarkStart w:id="221" w:name="_Toc127681789"/>
      <w:bookmarkStart w:id="222" w:name="_Toc129580001"/>
      <w:bookmarkStart w:id="223" w:name="_Toc211745938"/>
      <w:bookmarkStart w:id="224" w:name="_Toc268266252"/>
      <w:bookmarkStart w:id="225" w:name="_Toc268688317"/>
      <w:bookmarkStart w:id="226" w:name="_Toc272150897"/>
      <w:bookmarkStart w:id="227" w:name="_Toc294177261"/>
      <w:bookmarkStart w:id="228" w:name="_Toc296609914"/>
      <w:bookmarkStart w:id="229" w:name="_Toc298424916"/>
      <w:bookmarkStart w:id="230" w:name="_Toc298424990"/>
      <w:bookmarkStart w:id="231" w:name="_Toc302113283"/>
      <w:bookmarkStart w:id="232" w:name="_Toc302127927"/>
      <w:bookmarkStart w:id="233" w:name="_Toc307408838"/>
      <w:bookmarkStart w:id="234" w:name="_Toc320776902"/>
      <w:bookmarkStart w:id="235" w:name="_Toc320777348"/>
      <w:bookmarkStart w:id="236" w:name="_Toc320790102"/>
      <w:bookmarkStart w:id="237" w:name="_Toc321396995"/>
      <w:bookmarkStart w:id="238" w:name="_Toc321400254"/>
      <w:bookmarkStart w:id="239" w:name="_Toc325102696"/>
      <w:bookmarkStart w:id="240" w:name="_Toc325103790"/>
      <w:bookmarkStart w:id="241" w:name="_Toc326224249"/>
      <w:bookmarkStart w:id="242" w:name="_Toc326309558"/>
      <w:r>
        <w:rPr>
          <w:rStyle w:val="CharPartNo"/>
        </w:rPr>
        <w:t>Part 3A</w:t>
      </w:r>
      <w:r>
        <w:t> — </w:t>
      </w:r>
      <w:r>
        <w:rPr>
          <w:rStyle w:val="CharPartText"/>
        </w:rPr>
        <w:t>Home indemnity insurance and corresponding cover</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Footnoteheading"/>
        <w:rPr>
          <w:snapToGrid w:val="0"/>
        </w:rPr>
      </w:pPr>
      <w:r>
        <w:rPr>
          <w:snapToGrid w:val="0"/>
        </w:rPr>
        <w:tab/>
        <w:t>[Heading inserted by No. 72 of 1996 s. 5; amended by No. 37 of 2002 s. 8.]</w:t>
      </w:r>
    </w:p>
    <w:p>
      <w:pPr>
        <w:pStyle w:val="Heading3"/>
      </w:pPr>
      <w:bookmarkStart w:id="243" w:name="_Toc89521553"/>
      <w:bookmarkStart w:id="244" w:name="_Toc89521622"/>
      <w:bookmarkStart w:id="245" w:name="_Toc96246668"/>
      <w:bookmarkStart w:id="246" w:name="_Toc97107137"/>
      <w:bookmarkStart w:id="247" w:name="_Toc102365986"/>
      <w:bookmarkStart w:id="248" w:name="_Toc103067009"/>
      <w:bookmarkStart w:id="249" w:name="_Toc124730106"/>
      <w:bookmarkStart w:id="250" w:name="_Toc124734159"/>
      <w:bookmarkStart w:id="251" w:name="_Toc124748241"/>
      <w:bookmarkStart w:id="252" w:name="_Toc127681790"/>
      <w:bookmarkStart w:id="253" w:name="_Toc129580002"/>
      <w:bookmarkStart w:id="254" w:name="_Toc211745939"/>
      <w:bookmarkStart w:id="255" w:name="_Toc268266253"/>
      <w:bookmarkStart w:id="256" w:name="_Toc268688318"/>
      <w:bookmarkStart w:id="257" w:name="_Toc272150898"/>
      <w:bookmarkStart w:id="258" w:name="_Toc294177262"/>
      <w:bookmarkStart w:id="259" w:name="_Toc296609915"/>
      <w:bookmarkStart w:id="260" w:name="_Toc298424917"/>
      <w:bookmarkStart w:id="261" w:name="_Toc298424991"/>
      <w:bookmarkStart w:id="262" w:name="_Toc302113284"/>
      <w:bookmarkStart w:id="263" w:name="_Toc302127928"/>
      <w:bookmarkStart w:id="264" w:name="_Toc307408839"/>
      <w:bookmarkStart w:id="265" w:name="_Toc320776903"/>
      <w:bookmarkStart w:id="266" w:name="_Toc320777349"/>
      <w:bookmarkStart w:id="267" w:name="_Toc320790103"/>
      <w:bookmarkStart w:id="268" w:name="_Toc321396996"/>
      <w:bookmarkStart w:id="269" w:name="_Toc321400255"/>
      <w:bookmarkStart w:id="270" w:name="_Toc325102697"/>
      <w:bookmarkStart w:id="271" w:name="_Toc325103791"/>
      <w:bookmarkStart w:id="272" w:name="_Toc326224250"/>
      <w:bookmarkStart w:id="273" w:name="_Toc326309559"/>
      <w:r>
        <w:rPr>
          <w:rStyle w:val="CharDivNo"/>
        </w:rPr>
        <w:t>Division 1</w:t>
      </w:r>
      <w:r>
        <w:rPr>
          <w:snapToGrid w:val="0"/>
        </w:rPr>
        <w:t> — </w:t>
      </w:r>
      <w:r>
        <w:rPr>
          <w:rStyle w:val="CharDivText"/>
        </w:rPr>
        <w:t>Introduction</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Footnoteheading"/>
        <w:rPr>
          <w:snapToGrid w:val="0"/>
        </w:rPr>
      </w:pPr>
      <w:r>
        <w:rPr>
          <w:snapToGrid w:val="0"/>
        </w:rPr>
        <w:tab/>
        <w:t>[Heading inserted by No. 72 of 1996 s. 5.]</w:t>
      </w:r>
    </w:p>
    <w:p>
      <w:pPr>
        <w:pStyle w:val="Heading5"/>
        <w:rPr>
          <w:snapToGrid w:val="0"/>
        </w:rPr>
      </w:pPr>
      <w:bookmarkStart w:id="274" w:name="_Toc521487164"/>
      <w:bookmarkStart w:id="275" w:name="_Toc522337192"/>
      <w:bookmarkStart w:id="276" w:name="_Toc527365410"/>
      <w:bookmarkStart w:id="277" w:name="_Toc530458618"/>
      <w:bookmarkStart w:id="278" w:name="_Toc530460480"/>
      <w:bookmarkStart w:id="279" w:name="_Toc326309560"/>
      <w:r>
        <w:rPr>
          <w:rStyle w:val="CharSectno"/>
        </w:rPr>
        <w:t>25A</w:t>
      </w:r>
      <w:r>
        <w:rPr>
          <w:snapToGrid w:val="0"/>
        </w:rPr>
        <w:t>.</w:t>
      </w:r>
      <w:r>
        <w:rPr>
          <w:snapToGrid w:val="0"/>
        </w:rPr>
        <w:tab/>
      </w:r>
      <w:bookmarkEnd w:id="274"/>
      <w:bookmarkEnd w:id="275"/>
      <w:bookmarkEnd w:id="276"/>
      <w:bookmarkEnd w:id="277"/>
      <w:bookmarkEnd w:id="278"/>
      <w:r>
        <w:rPr>
          <w:snapToGrid w:val="0"/>
        </w:rPr>
        <w:t>Terms used</w:t>
      </w:r>
      <w:bookmarkEnd w:id="279"/>
    </w:p>
    <w:p>
      <w:pPr>
        <w:pStyle w:val="Subsection"/>
        <w:rPr>
          <w:snapToGrid w:val="0"/>
        </w:rPr>
      </w:pPr>
      <w:r>
        <w:rPr>
          <w:snapToGrid w:val="0"/>
        </w:rPr>
        <w:tab/>
      </w:r>
      <w:r>
        <w:rPr>
          <w:snapToGrid w:val="0"/>
        </w:rPr>
        <w:tab/>
        <w:t>In this Part —</w:t>
      </w:r>
    </w:p>
    <w:p>
      <w:pPr>
        <w:pStyle w:val="Defstart"/>
      </w:pPr>
      <w:r>
        <w:tab/>
      </w:r>
      <w:r>
        <w:rPr>
          <w:rStyle w:val="CharDefText"/>
        </w:rPr>
        <w:t>approved fund</w:t>
      </w:r>
      <w:r>
        <w:t xml:space="preserve"> means a fund that is approved under section 25GB;</w:t>
      </w:r>
    </w:p>
    <w:p>
      <w:pPr>
        <w:pStyle w:val="Defstart"/>
      </w:pPr>
      <w:r>
        <w:tab/>
      </w:r>
      <w:r>
        <w:rPr>
          <w:rStyle w:val="CharDefText"/>
        </w:rPr>
        <w:t>builder</w:t>
      </w:r>
      <w:r>
        <w:t xml:space="preserve"> includes, in addition to the meaning given by the definition in section 3(1), a person who — </w:t>
      </w:r>
    </w:p>
    <w:p>
      <w:pPr>
        <w:pStyle w:val="Defpara"/>
        <w:spacing w:before="60"/>
      </w:pPr>
      <w:r>
        <w:tab/>
        <w:t>(a)</w:t>
      </w:r>
      <w:r>
        <w:tab/>
        <w:t xml:space="preserve">was registered under the </w:t>
      </w:r>
      <w:r>
        <w:rPr>
          <w:iCs/>
        </w:rPr>
        <w:t>repealed Act</w:t>
      </w:r>
      <w:r>
        <w:t>; or</w:t>
      </w:r>
    </w:p>
    <w:p>
      <w:pPr>
        <w:pStyle w:val="Defpara"/>
        <w:spacing w:before="60"/>
      </w:pPr>
      <w:r>
        <w:tab/>
        <w:t>(b)</w:t>
      </w:r>
      <w:r>
        <w:tab/>
        <w:t>is a building service contractor in a class of building service contractor prescribed by the regulations,</w:t>
      </w:r>
    </w:p>
    <w:p>
      <w:pPr>
        <w:pStyle w:val="Defstart"/>
      </w:pPr>
      <w:r>
        <w:tab/>
        <w:t>whether or not the person carries on a business referred to in that definition;</w:t>
      </w:r>
    </w:p>
    <w:p>
      <w:pPr>
        <w:pStyle w:val="Defstart"/>
      </w:pPr>
      <w:r>
        <w:tab/>
      </w:r>
      <w:r>
        <w:rPr>
          <w:rStyle w:val="CharDefText"/>
        </w:rPr>
        <w:t>building contract</w:t>
      </w:r>
      <w:r>
        <w:t xml:space="preserve"> means —</w:t>
      </w:r>
    </w:p>
    <w:p>
      <w:pPr>
        <w:pStyle w:val="Defpara"/>
        <w:spacing w:before="60"/>
      </w:pPr>
      <w:r>
        <w:tab/>
        <w:t>(a)</w:t>
      </w:r>
      <w:r>
        <w:tab/>
        <w:t>a residential building work contract; or</w:t>
      </w:r>
    </w:p>
    <w:p>
      <w:pPr>
        <w:pStyle w:val="Defpara"/>
        <w:spacing w:before="60"/>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Defstart"/>
      </w:pPr>
      <w:r>
        <w:tab/>
      </w:r>
      <w:r>
        <w:rPr>
          <w:rStyle w:val="CharDefText"/>
        </w:rPr>
        <w:t>corresponding cover</w:t>
      </w:r>
      <w:r>
        <w:t> —</w:t>
      </w:r>
    </w:p>
    <w:p>
      <w:pPr>
        <w:pStyle w:val="Defpara"/>
        <w:spacing w:before="60"/>
      </w:pPr>
      <w:r>
        <w:tab/>
        <w:t>(a)</w:t>
      </w:r>
      <w:r>
        <w:tab/>
        <w:t>in relation to residential building work performed by a builder, means the cover referred to in section 25DA; and</w:t>
      </w:r>
    </w:p>
    <w:p>
      <w:pPr>
        <w:pStyle w:val="Defpara"/>
      </w:pPr>
      <w:r>
        <w:tab/>
        <w:t>(b)</w:t>
      </w:r>
      <w:r>
        <w:tab/>
        <w:t>in relation to residential building work performed by an owner</w:t>
      </w:r>
      <w:r>
        <w:noBreakHyphen/>
        <w:t>builder, means the cover referred to in section 25GA;</w:t>
      </w:r>
    </w:p>
    <w:p>
      <w:pPr>
        <w:pStyle w:val="Defstart"/>
        <w:keepNext/>
      </w:pPr>
      <w:r>
        <w:rPr>
          <w:b/>
        </w:rPr>
        <w:tab/>
      </w:r>
      <w:r>
        <w:rPr>
          <w:rStyle w:val="CharDefText"/>
        </w:rPr>
        <w:t>cost of the building work</w:t>
      </w:r>
      <w:r>
        <w:t xml:space="preserve"> means —</w:t>
      </w:r>
    </w:p>
    <w:p>
      <w:pPr>
        <w:pStyle w:val="Defpara"/>
      </w:pPr>
      <w:r>
        <w:tab/>
        <w:t>(a)</w:t>
      </w:r>
      <w:r>
        <w:tab/>
        <w:t>in relation to residential building work performed by a builder under a residential building work contract, the amount payable under the contract; or</w:t>
      </w:r>
    </w:p>
    <w:p>
      <w:pPr>
        <w:pStyle w:val="Defpara"/>
      </w:pPr>
      <w:r>
        <w:tab/>
        <w:t>(b)</w:t>
      </w:r>
      <w:r>
        <w:tab/>
        <w:t>in relation to residential building work performed —</w:t>
      </w:r>
    </w:p>
    <w:p>
      <w:pPr>
        <w:pStyle w:val="Defsubpara"/>
        <w:rPr>
          <w:snapToGrid w:val="0"/>
        </w:rPr>
      </w:pPr>
      <w:r>
        <w:rPr>
          <w:snapToGrid w:val="0"/>
        </w:rPr>
        <w:tab/>
        <w:t>(i)</w:t>
      </w:r>
      <w:r>
        <w:rPr>
          <w:snapToGrid w:val="0"/>
        </w:rPr>
        <w:tab/>
        <w:t>by a builder on behalf of another person where the work is not performed under a residential building work contract; or</w:t>
      </w:r>
    </w:p>
    <w:p>
      <w:pPr>
        <w:pStyle w:val="Defsubpara"/>
        <w:rPr>
          <w:snapToGrid w:val="0"/>
        </w:rPr>
      </w:pPr>
      <w:r>
        <w:rPr>
          <w:snapToGrid w:val="0"/>
        </w:rPr>
        <w:tab/>
        <w:t>(ii)</w:t>
      </w:r>
      <w:r>
        <w:rPr>
          <w:snapToGrid w:val="0"/>
        </w:rPr>
        <w:tab/>
        <w:t>by a builder on the builder’s own behalf; or</w:t>
      </w:r>
    </w:p>
    <w:p>
      <w:pPr>
        <w:pStyle w:val="Defsubpara"/>
        <w:rPr>
          <w:snapToGrid w:val="0"/>
        </w:rPr>
      </w:pPr>
      <w:r>
        <w:rPr>
          <w:snapToGrid w:val="0"/>
        </w:rPr>
        <w:tab/>
        <w:t>(iii)</w:t>
      </w:r>
      <w:r>
        <w:rPr>
          <w:snapToGrid w:val="0"/>
        </w:rPr>
        <w:tab/>
        <w:t>by an owner</w:t>
      </w:r>
      <w:r>
        <w:rPr>
          <w:snapToGrid w:val="0"/>
        </w:rPr>
        <w:noBreakHyphen/>
        <w:t>builder,</w:t>
      </w:r>
    </w:p>
    <w:p>
      <w:pPr>
        <w:pStyle w:val="Defpara"/>
      </w:pPr>
      <w:r>
        <w:tab/>
      </w:r>
      <w:r>
        <w:tab/>
        <w:t>the estimated cost of construction specified in the application for a building permit;</w:t>
      </w:r>
    </w:p>
    <w:p>
      <w:pPr>
        <w:pStyle w:val="Defstart"/>
      </w:pPr>
      <w:r>
        <w:tab/>
      </w:r>
      <w:r>
        <w:rPr>
          <w:rStyle w:val="CharDefText"/>
        </w:rPr>
        <w:t>developer</w:t>
      </w:r>
      <w:r>
        <w:t xml:space="preserve"> means a person for whom residential building work is performed under a building contract in relation to 4 or more dwellings;</w:t>
      </w:r>
    </w:p>
    <w:p>
      <w:pPr>
        <w:pStyle w:val="Defstart"/>
      </w:pPr>
      <w:r>
        <w:rPr>
          <w:b/>
        </w:rPr>
        <w:tab/>
      </w:r>
      <w:r>
        <w:rPr>
          <w:rStyle w:val="CharDefText"/>
        </w:rPr>
        <w:t>insolvency</w:t>
      </w:r>
      <w:r>
        <w:t xml:space="preserve"> means —</w:t>
      </w:r>
    </w:p>
    <w:p>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pPr>
        <w:pStyle w:val="Defpara"/>
      </w:pPr>
      <w:r>
        <w:tab/>
        <w:t>(b)</w:t>
      </w:r>
      <w:r>
        <w:tab/>
        <w:t xml:space="preserve">in relation to a body corporate, subject to external administration under the </w:t>
      </w:r>
      <w:r>
        <w:rPr>
          <w:i/>
        </w:rPr>
        <w:t>Corporations Act 2001</w:t>
      </w:r>
      <w:r>
        <w:t xml:space="preserve"> of the Commonwealth;</w:t>
      </w:r>
    </w:p>
    <w:p>
      <w:pPr>
        <w:pStyle w:val="Defstart"/>
      </w:pPr>
      <w:r>
        <w:rPr>
          <w:b/>
        </w:rPr>
        <w:tab/>
      </w:r>
      <w:r>
        <w:rPr>
          <w:rStyle w:val="CharDefText"/>
        </w:rPr>
        <w:t>minimum amount</w:t>
      </w:r>
      <w:r>
        <w:t xml:space="preserve"> means $10 000 or such other amount as is prescribed to be the minimum amount for the purposes of this section;</w:t>
      </w:r>
    </w:p>
    <w:p>
      <w:pPr>
        <w:pStyle w:val="Defstart"/>
      </w:pPr>
      <w:r>
        <w:tab/>
      </w:r>
      <w:r>
        <w:rPr>
          <w:rStyle w:val="CharDefText"/>
        </w:rPr>
        <w:t>owner-builder</w:t>
      </w:r>
      <w:r>
        <w:t>, in relation to a dwelling, means —</w:t>
      </w:r>
    </w:p>
    <w:p>
      <w:pPr>
        <w:pStyle w:val="Defpara"/>
      </w:pPr>
      <w:r>
        <w:tab/>
        <w:t>(a)</w:t>
      </w:r>
      <w:r>
        <w:tab/>
        <w:t>a person who constructs the dwelling under a building licence issued to that person in accordance with section 4A(1)(c) of the repealed Act</w:t>
      </w:r>
      <w:r>
        <w:rPr>
          <w:iCs/>
        </w:rPr>
        <w:t>; or</w:t>
      </w:r>
    </w:p>
    <w:p>
      <w:pPr>
        <w:pStyle w:val="Defpara"/>
        <w:keepNext/>
      </w:pPr>
      <w:r>
        <w:tab/>
        <w:t>(b)</w:t>
      </w:r>
      <w:r>
        <w:tab/>
        <w:t>a person who —</w:t>
      </w:r>
    </w:p>
    <w:p>
      <w:pPr>
        <w:pStyle w:val="Defsubpara"/>
        <w:spacing w:before="60"/>
      </w:pPr>
      <w:r>
        <w:tab/>
        <w:t>(i)</w:t>
      </w:r>
      <w:r>
        <w:tab/>
        <w:t xml:space="preserve">was registered under the </w:t>
      </w:r>
      <w:r>
        <w:rPr>
          <w:iCs/>
        </w:rPr>
        <w:t>repealed Act; and</w:t>
      </w:r>
    </w:p>
    <w:p>
      <w:pPr>
        <w:pStyle w:val="Defsubpara"/>
        <w:spacing w:before="60"/>
      </w:pPr>
      <w:r>
        <w:tab/>
        <w:t>(ii)</w:t>
      </w:r>
      <w:r>
        <w:tab/>
        <w:t>constructs the dwelling for himself or herself as his or her principal place of residence and not for immediate sale; and</w:t>
      </w:r>
    </w:p>
    <w:p>
      <w:pPr>
        <w:pStyle w:val="Defsubpara"/>
        <w:spacing w:before="60"/>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para"/>
        <w:spacing w:before="40"/>
      </w:pPr>
      <w:r>
        <w:tab/>
      </w:r>
      <w:r>
        <w:tab/>
        <w:t>or</w:t>
      </w:r>
    </w:p>
    <w:p>
      <w:pPr>
        <w:pStyle w:val="Defpara"/>
        <w:spacing w:before="60"/>
      </w:pPr>
      <w:r>
        <w:rPr>
          <w:b/>
        </w:rPr>
        <w:tab/>
      </w:r>
      <w:r>
        <w:t>(c)</w:t>
      </w:r>
      <w:r>
        <w:tab/>
        <w:t xml:space="preserve">a person who — </w:t>
      </w:r>
    </w:p>
    <w:p>
      <w:pPr>
        <w:pStyle w:val="Defsubpara"/>
        <w:spacing w:before="60"/>
      </w:pPr>
      <w:r>
        <w:tab/>
        <w:t>(i)</w:t>
      </w:r>
      <w:r>
        <w:tab/>
        <w:t>has owner</w:t>
      </w:r>
      <w:r>
        <w:noBreakHyphen/>
        <w:t xml:space="preserve">builder approval under </w:t>
      </w:r>
      <w:r>
        <w:rPr>
          <w:snapToGrid w:val="0"/>
        </w:rPr>
        <w:t>the</w:t>
      </w:r>
      <w:r>
        <w:rPr>
          <w:i/>
          <w:snapToGrid w:val="0"/>
        </w:rPr>
        <w:t xml:space="preserve"> </w:t>
      </w:r>
      <w:r>
        <w:rPr>
          <w:i/>
          <w:iCs/>
        </w:rPr>
        <w:t>Building Services (Registration) Act 2011</w:t>
      </w:r>
      <w:r>
        <w:rPr>
          <w:i/>
          <w:snapToGrid w:val="0"/>
        </w:rPr>
        <w:t xml:space="preserve"> </w:t>
      </w:r>
      <w:r>
        <w:rPr>
          <w:iCs/>
          <w:snapToGrid w:val="0"/>
        </w:rPr>
        <w:t>section</w:t>
      </w:r>
      <w:r>
        <w:t> 45 to carry out residential building work for the dwelling; and</w:t>
      </w:r>
    </w:p>
    <w:p>
      <w:pPr>
        <w:pStyle w:val="Defsubpara"/>
        <w:spacing w:before="60"/>
      </w:pPr>
      <w:r>
        <w:tab/>
        <w:t>(ii)</w:t>
      </w:r>
      <w:r>
        <w:tab/>
        <w:t>is issued a building licence or granted a building permit for the residential building work;</w:t>
      </w:r>
    </w:p>
    <w:p>
      <w:pPr>
        <w:pStyle w:val="Defpara"/>
        <w:spacing w:before="60"/>
      </w:pPr>
      <w:r>
        <w:tab/>
      </w:r>
      <w:r>
        <w:tab/>
        <w:t>or</w:t>
      </w:r>
    </w:p>
    <w:p>
      <w:pPr>
        <w:pStyle w:val="Defpara"/>
        <w:spacing w:before="60"/>
      </w:pPr>
      <w:r>
        <w:tab/>
        <w:t>(d)</w:t>
      </w:r>
      <w:r>
        <w:tab/>
        <w:t xml:space="preserve">a person who — </w:t>
      </w:r>
    </w:p>
    <w:p>
      <w:pPr>
        <w:pStyle w:val="Defsubpara"/>
        <w:spacing w:before="60"/>
      </w:pPr>
      <w:r>
        <w:tab/>
        <w:t>(i)</w:t>
      </w:r>
      <w:r>
        <w:tab/>
        <w:t>is a building service contractor in a class of building service contractor prescribed by the regulations for the purpose of this definition; and</w:t>
      </w:r>
    </w:p>
    <w:p>
      <w:pPr>
        <w:pStyle w:val="Defsubpara"/>
        <w:spacing w:before="60"/>
      </w:pPr>
      <w:r>
        <w:tab/>
        <w:t>(ii)</w:t>
      </w:r>
      <w:r>
        <w:tab/>
        <w:t>constructs the dwelling for himself or herself as his or her principal place of residence and not for immediate sale; and</w:t>
      </w:r>
    </w:p>
    <w:p>
      <w:pPr>
        <w:pStyle w:val="Defsubpara"/>
        <w:keepLines w:val="0"/>
        <w:spacing w:before="60"/>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start"/>
      </w:pPr>
      <w:r>
        <w:tab/>
      </w:r>
      <w:r>
        <w:rPr>
          <w:rStyle w:val="CharDefText"/>
        </w:rPr>
        <w:t>rescind</w:t>
      </w:r>
      <w:r>
        <w:t>, in relation to a contract, means to avoid the contract as from its beginning;</w:t>
      </w:r>
    </w:p>
    <w:p>
      <w:pPr>
        <w:pStyle w:val="Defstart"/>
      </w:pPr>
      <w:r>
        <w:tab/>
      </w:r>
      <w:r>
        <w:rPr>
          <w:rStyle w:val="CharDefText"/>
        </w:rPr>
        <w:t>residential building work</w:t>
      </w:r>
      <w:r>
        <w:t xml:space="preserve"> means home building work that is —</w:t>
      </w:r>
    </w:p>
    <w:p>
      <w:pPr>
        <w:pStyle w:val="Defpara"/>
      </w:pPr>
      <w:r>
        <w:tab/>
        <w:t>(a)</w:t>
      </w:r>
      <w:r>
        <w:tab/>
        <w:t>home building work described in paragraph (a), (b) or (c) of the definition of that term in section 3; or</w:t>
      </w:r>
    </w:p>
    <w:p>
      <w:pPr>
        <w:pStyle w:val="Defpara"/>
      </w:pPr>
      <w:r>
        <w:tab/>
        <w:t>(b)</w:t>
      </w:r>
      <w:r>
        <w:tab/>
        <w:t>home building work described in paragraph (d) of the definition of that term in section 3, when —</w:t>
      </w:r>
    </w:p>
    <w:p>
      <w:pPr>
        <w:pStyle w:val="Defsubpara"/>
      </w:pPr>
      <w:r>
        <w:tab/>
        <w:t>(i)</w:t>
      </w:r>
      <w:r>
        <w:tab/>
        <w:t>it is to be performed under a contract which also includes the performance of home building work described in paragraph (a), (b) or (c) of that definition; or</w:t>
      </w:r>
    </w:p>
    <w:p>
      <w:pPr>
        <w:pStyle w:val="Defsubpara"/>
      </w:pPr>
      <w:r>
        <w:tab/>
        <w:t>(ii)</w:t>
      </w:r>
      <w:r>
        <w:tab/>
        <w:t>it is associated work of a prescribed kind,</w:t>
      </w:r>
    </w:p>
    <w:p>
      <w:pPr>
        <w:pStyle w:val="Defstart"/>
      </w:pPr>
      <w:r>
        <w:tab/>
        <w:t>but does not include home building work where the cost of the building work is the minimum amount or less;</w:t>
      </w:r>
    </w:p>
    <w:p>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sale contract</w:t>
      </w:r>
      <w:r>
        <w:t>, in respect of residential building work performed by a builder or owner</w:t>
      </w:r>
      <w:r>
        <w:noBreakHyphen/>
        <w:t>builder, means a contract to sell or otherwise dispose of —</w:t>
      </w:r>
    </w:p>
    <w:p>
      <w:pPr>
        <w:pStyle w:val="Defpara"/>
      </w:pPr>
      <w:r>
        <w:tab/>
        <w:t>(a)</w:t>
      </w:r>
      <w:r>
        <w:tab/>
        <w:t>a dwelling constructed by the builder or the owner</w:t>
      </w:r>
      <w:r>
        <w:noBreakHyphen/>
        <w:t>builder; or</w:t>
      </w:r>
    </w:p>
    <w:p>
      <w:pPr>
        <w:pStyle w:val="Defpara"/>
      </w:pPr>
      <w:r>
        <w:tab/>
        <w:t>(b)</w:t>
      </w:r>
      <w:r>
        <w:tab/>
        <w:t>the land on which the building is constructed;</w:t>
      </w:r>
    </w:p>
    <w:p>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pPr>
        <w:pStyle w:val="Footnotesection"/>
      </w:pPr>
      <w:r>
        <w:tab/>
        <w:t>[Section 25A inserted by No. 72 of 1996 s. 5; amended by No. 10 of 2001 s. 220; No. 37 of 2002 s. 9; No. 19 of 2011 s. 149; No. 24 of 2011 s. 163(6)</w:t>
      </w:r>
      <w:r>
        <w:rPr>
          <w:spacing w:val="-4"/>
        </w:rPr>
        <w:t>; No. 47 of 2011 s.</w:t>
      </w:r>
      <w:r>
        <w:t> 22.]</w:t>
      </w:r>
    </w:p>
    <w:p>
      <w:pPr>
        <w:pStyle w:val="Heading3"/>
      </w:pPr>
      <w:bookmarkStart w:id="280" w:name="_Toc89521555"/>
      <w:bookmarkStart w:id="281" w:name="_Toc89521624"/>
      <w:bookmarkStart w:id="282" w:name="_Toc96246670"/>
      <w:bookmarkStart w:id="283" w:name="_Toc97107139"/>
      <w:bookmarkStart w:id="284" w:name="_Toc102365988"/>
      <w:bookmarkStart w:id="285" w:name="_Toc103067011"/>
      <w:bookmarkStart w:id="286" w:name="_Toc124730108"/>
      <w:bookmarkStart w:id="287" w:name="_Toc124734161"/>
      <w:bookmarkStart w:id="288" w:name="_Toc124748243"/>
      <w:bookmarkStart w:id="289" w:name="_Toc127681792"/>
      <w:bookmarkStart w:id="290" w:name="_Toc129580004"/>
      <w:bookmarkStart w:id="291" w:name="_Toc211745941"/>
      <w:bookmarkStart w:id="292" w:name="_Toc268266255"/>
      <w:bookmarkStart w:id="293" w:name="_Toc268688320"/>
      <w:bookmarkStart w:id="294" w:name="_Toc272150900"/>
      <w:bookmarkStart w:id="295" w:name="_Toc294177264"/>
      <w:bookmarkStart w:id="296" w:name="_Toc296609917"/>
      <w:bookmarkStart w:id="297" w:name="_Toc298424919"/>
      <w:bookmarkStart w:id="298" w:name="_Toc298424993"/>
      <w:bookmarkStart w:id="299" w:name="_Toc302113286"/>
      <w:bookmarkStart w:id="300" w:name="_Toc302127930"/>
      <w:bookmarkStart w:id="301" w:name="_Toc307408841"/>
      <w:bookmarkStart w:id="302" w:name="_Toc320776905"/>
      <w:bookmarkStart w:id="303" w:name="_Toc320777351"/>
      <w:bookmarkStart w:id="304" w:name="_Toc320790105"/>
      <w:bookmarkStart w:id="305" w:name="_Toc321396998"/>
      <w:bookmarkStart w:id="306" w:name="_Toc321400257"/>
      <w:bookmarkStart w:id="307" w:name="_Toc325102699"/>
      <w:bookmarkStart w:id="308" w:name="_Toc325103793"/>
      <w:bookmarkStart w:id="309" w:name="_Toc326224252"/>
      <w:bookmarkStart w:id="310" w:name="_Toc326309561"/>
      <w:r>
        <w:rPr>
          <w:rStyle w:val="CharDivNo"/>
        </w:rPr>
        <w:t>Division 2</w:t>
      </w:r>
      <w:r>
        <w:rPr>
          <w:snapToGrid w:val="0"/>
        </w:rPr>
        <w:t> — </w:t>
      </w:r>
      <w:r>
        <w:rPr>
          <w:rStyle w:val="CharDivText"/>
        </w:rPr>
        <w:t>Builders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Footnoteheading"/>
        <w:rPr>
          <w:snapToGrid w:val="0"/>
        </w:rPr>
      </w:pPr>
      <w:r>
        <w:rPr>
          <w:snapToGrid w:val="0"/>
        </w:rPr>
        <w:tab/>
        <w:t>[Heading inserted by No. 72 of 1996 s. 5.]</w:t>
      </w:r>
    </w:p>
    <w:p>
      <w:pPr>
        <w:pStyle w:val="Heading5"/>
        <w:rPr>
          <w:snapToGrid w:val="0"/>
        </w:rPr>
      </w:pPr>
      <w:bookmarkStart w:id="311" w:name="_Toc521487165"/>
      <w:bookmarkStart w:id="312" w:name="_Toc522337193"/>
      <w:bookmarkStart w:id="313" w:name="_Toc527365411"/>
      <w:bookmarkStart w:id="314" w:name="_Toc530458619"/>
      <w:bookmarkStart w:id="315" w:name="_Toc530460481"/>
      <w:bookmarkStart w:id="316" w:name="_Toc326309562"/>
      <w:r>
        <w:rPr>
          <w:rStyle w:val="CharSectno"/>
        </w:rPr>
        <w:t>25B</w:t>
      </w:r>
      <w:r>
        <w:rPr>
          <w:snapToGrid w:val="0"/>
        </w:rPr>
        <w:t xml:space="preserve">. </w:t>
      </w:r>
      <w:r>
        <w:rPr>
          <w:snapToGrid w:val="0"/>
        </w:rPr>
        <w:tab/>
        <w:t>Application of this Division</w:t>
      </w:r>
      <w:bookmarkEnd w:id="311"/>
      <w:bookmarkEnd w:id="312"/>
      <w:bookmarkEnd w:id="313"/>
      <w:bookmarkEnd w:id="314"/>
      <w:bookmarkEnd w:id="315"/>
      <w:bookmarkEnd w:id="316"/>
    </w:p>
    <w:p>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Amendment Act 1996</w:t>
      </w:r>
      <w:r>
        <w:rPr>
          <w:snapToGrid w:val="0"/>
        </w:rPr>
        <w:t>.</w:t>
      </w:r>
    </w:p>
    <w:p>
      <w:pPr>
        <w:pStyle w:val="Subsection"/>
      </w:pPr>
      <w:r>
        <w:tab/>
        <w:t>(3)</w:t>
      </w:r>
      <w:r>
        <w:tab/>
        <w:t>This Division does not apply to residential building work that is, or is to be, performed by a builder who is a natural person, if —</w:t>
      </w:r>
    </w:p>
    <w:p>
      <w:pPr>
        <w:pStyle w:val="Indenta"/>
      </w:pPr>
      <w:r>
        <w:tab/>
        <w:t>(a)</w:t>
      </w:r>
      <w:r>
        <w:tab/>
        <w:t>the residential building work is to construct a dwelling for the builder as his or her principal place of residence and not for immediate sale; and</w:t>
      </w:r>
    </w:p>
    <w:p>
      <w:pPr>
        <w:pStyle w:val="Indenta"/>
      </w:pPr>
      <w:r>
        <w:tab/>
        <w:t>(b)</w:t>
      </w:r>
      <w:r>
        <w:tab/>
        <w:t xml:space="preserve">the builder — </w:t>
      </w:r>
    </w:p>
    <w:p>
      <w:pPr>
        <w:pStyle w:val="Indenti"/>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Indenti"/>
      </w:pPr>
      <w:r>
        <w:tab/>
        <w:t>(ii)</w:t>
      </w:r>
      <w:r>
        <w:tab/>
        <w:t>has given to the Building Commissioner a statutory declaration verifying that he or she has not, within the last 6 years, obtained a building licence or a building permit for residential building work,</w:t>
      </w:r>
    </w:p>
    <w:p>
      <w:pPr>
        <w:pStyle w:val="Indenta"/>
      </w:pPr>
      <w:r>
        <w:tab/>
      </w:r>
      <w:r>
        <w:tab/>
        <w:t>in respect of which no insurance was required because of this subsection.</w:t>
      </w:r>
    </w:p>
    <w:p>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pPr>
        <w:pStyle w:val="Indenta"/>
        <w:rPr>
          <w:snapToGrid w:val="0"/>
        </w:rPr>
      </w:pPr>
      <w:r>
        <w:tab/>
        <w:t>(a)</w:t>
      </w:r>
      <w:r>
        <w:tab/>
      </w:r>
      <w:r>
        <w:rPr>
          <w:snapToGrid w:val="0"/>
        </w:rPr>
        <w:t>the application for the order arises from a change in the circumstances of the person; and</w:t>
      </w:r>
    </w:p>
    <w:p>
      <w:pPr>
        <w:pStyle w:val="Indenta"/>
        <w:rPr>
          <w:snapToGrid w:val="0"/>
        </w:rPr>
      </w:pPr>
      <w:r>
        <w:tab/>
        <w:t>(b)</w:t>
      </w:r>
      <w:r>
        <w:tab/>
      </w:r>
      <w:r>
        <w:rPr>
          <w:snapToGrid w:val="0"/>
        </w:rPr>
        <w:t>the person would suffer hardship if the application were refused.</w:t>
      </w:r>
    </w:p>
    <w:p>
      <w:pPr>
        <w:pStyle w:val="Subsection"/>
      </w:pPr>
      <w:r>
        <w:tab/>
        <w:t>(5)</w:t>
      </w:r>
      <w:r>
        <w:tab/>
        <w:t>In subsection (3) —</w:t>
      </w:r>
    </w:p>
    <w:p>
      <w:pPr>
        <w:pStyle w:val="Defstart"/>
      </w:pPr>
      <w:r>
        <w:rPr>
          <w:b/>
        </w:rPr>
        <w:tab/>
      </w:r>
      <w:r>
        <w:rPr>
          <w:rStyle w:val="CharDefText"/>
        </w:rPr>
        <w:t>insurance</w:t>
      </w:r>
      <w:r>
        <w:t xml:space="preserve"> means a policy of insurance that complies with Division 2, or corresponding cover provided by an approved fund.</w:t>
      </w:r>
    </w:p>
    <w:p>
      <w:pPr>
        <w:pStyle w:val="Footnotesection"/>
      </w:pPr>
      <w:r>
        <w:tab/>
        <w:t>[Section 25B inserted by No. 72 of 1996 s. 5; amended by No. 37 of 2002 s. 10; No. 19 of 2011 s. 150.]</w:t>
      </w:r>
    </w:p>
    <w:p>
      <w:pPr>
        <w:pStyle w:val="Heading5"/>
        <w:rPr>
          <w:snapToGrid w:val="0"/>
        </w:rPr>
      </w:pPr>
      <w:bookmarkStart w:id="317" w:name="_Toc521487166"/>
      <w:bookmarkStart w:id="318" w:name="_Toc522337194"/>
      <w:bookmarkStart w:id="319" w:name="_Toc527365412"/>
      <w:bookmarkStart w:id="320" w:name="_Toc530458620"/>
      <w:bookmarkStart w:id="321" w:name="_Toc530460482"/>
      <w:bookmarkStart w:id="322" w:name="_Toc326309563"/>
      <w:r>
        <w:rPr>
          <w:rStyle w:val="CharSectno"/>
        </w:rPr>
        <w:t>25C</w:t>
      </w:r>
      <w:r>
        <w:rPr>
          <w:snapToGrid w:val="0"/>
        </w:rPr>
        <w:t xml:space="preserve">. </w:t>
      </w:r>
      <w:r>
        <w:rPr>
          <w:snapToGrid w:val="0"/>
        </w:rPr>
        <w:tab/>
      </w:r>
      <w:bookmarkEnd w:id="317"/>
      <w:bookmarkEnd w:id="318"/>
      <w:bookmarkEnd w:id="319"/>
      <w:bookmarkEnd w:id="320"/>
      <w:bookmarkEnd w:id="321"/>
      <w:r>
        <w:rPr>
          <w:snapToGrid w:val="0"/>
        </w:rPr>
        <w:t>Builder doing residential building work without insurance or corresponding cover, offence</w:t>
      </w:r>
      <w:bookmarkEnd w:id="322"/>
    </w:p>
    <w:p>
      <w:pPr>
        <w:pStyle w:val="Subsection"/>
      </w:pPr>
      <w:r>
        <w:tab/>
        <w:t>(1)</w:t>
      </w:r>
      <w:r>
        <w:tab/>
        <w:t>A builder must not perform residential building work to which this Division applies unless —</w:t>
      </w:r>
    </w:p>
    <w:p>
      <w:pPr>
        <w:pStyle w:val="Indenta"/>
      </w:pPr>
      <w:r>
        <w:tab/>
        <w:t>(a)</w:t>
      </w:r>
      <w:r>
        <w:tab/>
        <w:t>a policy of insurance that complies with this Division is in force in relation to the residential building work; or</w:t>
      </w:r>
    </w:p>
    <w:p>
      <w:pPr>
        <w:pStyle w:val="Indenta"/>
      </w:pPr>
      <w:r>
        <w:tab/>
        <w:t>(b)</w:t>
      </w:r>
      <w:r>
        <w:tab/>
        <w:t>corresponding cover is provided by an approved fund in relation to the residential building work.</w:t>
      </w:r>
    </w:p>
    <w:p>
      <w:pPr>
        <w:pStyle w:val="Penstart"/>
      </w:pPr>
      <w:r>
        <w:tab/>
        <w:t>Penalty: $10 000.</w:t>
      </w:r>
    </w:p>
    <w:p>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the policy referred to in subsection (1)(a) or the provision of the cover referred to in subsection (1)(b)</w:t>
      </w:r>
      <w:r>
        <w:rPr>
          <w:snapToGrid w:val="0"/>
        </w:rPr>
        <w:t>.</w:t>
      </w:r>
    </w:p>
    <w:p>
      <w:pPr>
        <w:pStyle w:val="Penstart"/>
        <w:rPr>
          <w:snapToGrid w:val="0"/>
        </w:rPr>
      </w:pPr>
      <w:r>
        <w:rPr>
          <w:snapToGrid w:val="0"/>
        </w:rPr>
        <w:tab/>
        <w:t>Penalty: $10 000.</w:t>
      </w:r>
    </w:p>
    <w:p>
      <w:pPr>
        <w:pStyle w:val="Subsection"/>
      </w:pPr>
      <w:r>
        <w:tab/>
        <w:t>(3)</w:t>
      </w:r>
      <w:r>
        <w:tab/>
        <w:t>Subsections (1) and (2) do not apply to a builder who performs residential building work to which this Division applies if —</w:t>
      </w:r>
    </w:p>
    <w:p>
      <w:pPr>
        <w:pStyle w:val="Indenta"/>
      </w:pPr>
      <w:r>
        <w:tab/>
        <w:t>(a)</w:t>
      </w:r>
      <w:r>
        <w:tab/>
        <w:t>the builder performs the residential building work during a period specified in an order made under section 25I for the purposes of this subsection; or</w:t>
      </w:r>
    </w:p>
    <w:p>
      <w:pPr>
        <w:pStyle w:val="Indenta"/>
        <w:keepNext/>
      </w:pPr>
      <w:r>
        <w:tab/>
        <w:t>(b)</w:t>
      </w:r>
      <w:r>
        <w:tab/>
        <w:t>the builder performs the residential building work —</w:t>
      </w:r>
    </w:p>
    <w:p>
      <w:pPr>
        <w:pStyle w:val="Indenti"/>
      </w:pPr>
      <w:r>
        <w:tab/>
        <w:t>(i)</w:t>
      </w:r>
      <w:r>
        <w:tab/>
        <w:t>after the end of a period specified in an order made under section 25I for the purposes of this subsection; and</w:t>
      </w:r>
    </w:p>
    <w:p>
      <w:pPr>
        <w:pStyle w:val="Indenti"/>
      </w:pPr>
      <w:r>
        <w:tab/>
        <w:t>(ii)</w:t>
      </w:r>
      <w:r>
        <w:tab/>
        <w:t>under a building permit granted before or during that period.</w:t>
      </w:r>
    </w:p>
    <w:p>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pPr>
        <w:pStyle w:val="Footnotesection"/>
      </w:pPr>
      <w:r>
        <w:tab/>
        <w:t>[Section 25C inserted by No. 72 of 1996 s. 5; amended by No. 37 of 2002 s. 11 and 20; No. 24 of 2011 s. 163(7).]</w:t>
      </w:r>
    </w:p>
    <w:p>
      <w:pPr>
        <w:pStyle w:val="Heading5"/>
        <w:rPr>
          <w:snapToGrid w:val="0"/>
        </w:rPr>
      </w:pPr>
      <w:bookmarkStart w:id="323" w:name="_Toc521487167"/>
      <w:bookmarkStart w:id="324" w:name="_Toc522337195"/>
      <w:bookmarkStart w:id="325" w:name="_Toc527365413"/>
      <w:bookmarkStart w:id="326" w:name="_Toc530458621"/>
      <w:bookmarkStart w:id="327" w:name="_Toc530460483"/>
      <w:bookmarkStart w:id="328" w:name="_Toc326309564"/>
      <w:r>
        <w:rPr>
          <w:rStyle w:val="CharSectno"/>
        </w:rPr>
        <w:t>25D</w:t>
      </w:r>
      <w:r>
        <w:rPr>
          <w:snapToGrid w:val="0"/>
        </w:rPr>
        <w:t xml:space="preserve">. </w:t>
      </w:r>
      <w:r>
        <w:rPr>
          <w:snapToGrid w:val="0"/>
        </w:rPr>
        <w:tab/>
        <w:t>Insurance policy</w:t>
      </w:r>
      <w:bookmarkEnd w:id="323"/>
      <w:bookmarkEnd w:id="324"/>
      <w:bookmarkEnd w:id="325"/>
      <w:bookmarkEnd w:id="326"/>
      <w:bookmarkEnd w:id="327"/>
      <w:r>
        <w:rPr>
          <w:snapToGrid w:val="0"/>
        </w:rPr>
        <w:t xml:space="preserve"> for this Division, terms of</w:t>
      </w:r>
      <w:bookmarkEnd w:id="328"/>
    </w:p>
    <w:p>
      <w:pPr>
        <w:pStyle w:val="Subsection"/>
        <w:rPr>
          <w:snapToGrid w:val="0"/>
        </w:rPr>
      </w:pPr>
      <w:r>
        <w:rPr>
          <w:snapToGrid w:val="0"/>
        </w:rPr>
        <w:tab/>
        <w:t>(1)</w:t>
      </w:r>
      <w:r>
        <w:rPr>
          <w:snapToGrid w:val="0"/>
        </w:rPr>
        <w:tab/>
        <w:t>A policy of insurance complies with this Division if —</w:t>
      </w:r>
    </w:p>
    <w:p>
      <w:pPr>
        <w:pStyle w:val="Indenta"/>
        <w:rPr>
          <w:snapToGrid w:val="0"/>
        </w:rPr>
      </w:pPr>
      <w:r>
        <w:rPr>
          <w:snapToGrid w:val="0"/>
        </w:rPr>
        <w:tab/>
        <w:t>(a)</w:t>
      </w:r>
      <w:r>
        <w:rPr>
          <w:snapToGrid w:val="0"/>
        </w:rPr>
        <w:tab/>
        <w:t>in the case of residential building work to be performed by a builder on behalf of another person</w:t>
      </w:r>
      <w:r>
        <w:t>, other than a developer,</w:t>
      </w:r>
      <w:r>
        <w:rPr>
          <w:snapToGrid w:val="0"/>
        </w:rPr>
        <w:t xml:space="preserve"> under a residential building work contract, it insures that person and that person’s successors in title against —</w:t>
      </w:r>
    </w:p>
    <w:p>
      <w:pPr>
        <w:pStyle w:val="Indenti"/>
        <w:rPr>
          <w:snapToGrid w:val="0"/>
        </w:rPr>
      </w:pPr>
      <w:r>
        <w:rPr>
          <w:snapToGrid w:val="0"/>
        </w:rPr>
        <w:tab/>
        <w:t>(i)</w:t>
      </w:r>
      <w:r>
        <w:rPr>
          <w:snapToGrid w:val="0"/>
        </w:rPr>
        <w:tab/>
        <w:t>the risk of losing an amount paid by way of deposit under the residential building work contract, up to a limit of $13 000 or such other limit as is prescribed; and</w:t>
      </w:r>
    </w:p>
    <w:p>
      <w:pPr>
        <w:pStyle w:val="Indenti"/>
        <w:rPr>
          <w:snapToGrid w:val="0"/>
        </w:rPr>
      </w:pPr>
      <w:r>
        <w:rPr>
          <w:snapToGrid w:val="0"/>
        </w:rPr>
        <w:tab/>
        <w:t>(ii)</w:t>
      </w:r>
      <w:r>
        <w:rPr>
          <w:snapToGrid w:val="0"/>
        </w:rPr>
        <w:tab/>
        <w:t>the risk of loss, other than indirect, incidental or consequential loss, resulting from non</w:t>
      </w:r>
      <w:r>
        <w:rPr>
          <w:snapToGrid w:val="0"/>
        </w:rPr>
        <w:noBreakHyphen/>
        <w:t>completion of the residential building work,</w:t>
      </w:r>
    </w:p>
    <w:p>
      <w:pPr>
        <w:pStyle w:val="Indenta"/>
        <w:rPr>
          <w:snapToGrid w:val="0"/>
        </w:rPr>
      </w:pPr>
      <w:r>
        <w:rPr>
          <w:snapToGrid w:val="0"/>
        </w:rPr>
        <w:tab/>
      </w:r>
      <w:r>
        <w:rPr>
          <w:snapToGrid w:val="0"/>
        </w:rPr>
        <w:tab/>
        <w:t>by reason of the insolvency or death of the builder or by reason of the fact that, after due search and enquiry, the builder cannot be found; and</w:t>
      </w:r>
    </w:p>
    <w:p>
      <w:pPr>
        <w:pStyle w:val="Indenta"/>
        <w:keepNext/>
        <w:keepLines/>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builder or by reason of the fact that, after due search and enquiry, the builder cannot be found; and</w:t>
      </w:r>
    </w:p>
    <w:p>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 and</w:t>
      </w:r>
    </w:p>
    <w:p>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 and</w:t>
      </w:r>
    </w:p>
    <w:p>
      <w:pPr>
        <w:pStyle w:val="Indenta"/>
        <w:rPr>
          <w:snapToGrid w:val="0"/>
        </w:rPr>
      </w:pPr>
      <w:r>
        <w:rPr>
          <w:snapToGrid w:val="0"/>
        </w:rPr>
        <w:tab/>
        <w:t>(e)</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 and</w:t>
      </w:r>
    </w:p>
    <w:p>
      <w:pPr>
        <w:pStyle w:val="Indenta"/>
        <w:rPr>
          <w:snapToGrid w:val="0"/>
        </w:rPr>
      </w:pPr>
      <w:r>
        <w:rPr>
          <w:snapToGrid w:val="0"/>
        </w:rPr>
        <w:tab/>
        <w:t>(f)</w:t>
      </w:r>
      <w:r>
        <w:rPr>
          <w:snapToGrid w:val="0"/>
        </w:rPr>
        <w:tab/>
        <w:t>it is issued by or on behalf of an insurer who is —</w:t>
      </w:r>
    </w:p>
    <w:p>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pPr>
        <w:pStyle w:val="Indenti"/>
        <w:keepNext/>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it complies with any other prescribed requirements.</w:t>
      </w:r>
    </w:p>
    <w:p>
      <w:pPr>
        <w:pStyle w:val="Subsection"/>
        <w:rPr>
          <w:snapToGrid w:val="0"/>
        </w:rPr>
      </w:pPr>
      <w:r>
        <w:rPr>
          <w:snapToGrid w:val="0"/>
        </w:rPr>
        <w:tab/>
        <w:t>(2)</w:t>
      </w:r>
      <w:r>
        <w:rPr>
          <w:snapToGrid w:val="0"/>
        </w:rPr>
        <w:tab/>
        <w:t xml:space="preserve">Subject to subsection (3), where the policy of insurance relates to work described in paragraph (b) of the definition of </w:t>
      </w:r>
      <w:r>
        <w:rPr>
          <w:b/>
          <w:i/>
          <w:snapToGrid w:val="0"/>
        </w:rPr>
        <w:t>home building work</w:t>
      </w:r>
      <w:r>
        <w:rPr>
          <w:snapToGrid w:val="0"/>
        </w:rPr>
        <w:t xml:space="preserve"> in section 3, the cost of the residential building work for the purposes of subsection (1)(e)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w:t>
      </w:r>
    </w:p>
    <w:p>
      <w:pPr>
        <w:pStyle w:val="Indenta"/>
        <w:rPr>
          <w:snapToGrid w:val="0"/>
        </w:rPr>
      </w:pPr>
      <w:r>
        <w:rPr>
          <w:snapToGrid w:val="0"/>
        </w:rPr>
        <w:tab/>
        <w:t>(a)</w:t>
      </w:r>
      <w:r>
        <w:rPr>
          <w:snapToGrid w:val="0"/>
        </w:rPr>
        <w:tab/>
        <w:t>the dwelling; and</w:t>
      </w:r>
    </w:p>
    <w:p>
      <w:pPr>
        <w:pStyle w:val="Indenta"/>
        <w:rPr>
          <w:snapToGrid w:val="0"/>
        </w:rPr>
      </w:pPr>
      <w:r>
        <w:rPr>
          <w:snapToGrid w:val="0"/>
        </w:rPr>
        <w:tab/>
        <w:t>(b)</w:t>
      </w:r>
      <w:r>
        <w:rPr>
          <w:snapToGrid w:val="0"/>
        </w:rPr>
        <w:tab/>
        <w:t>placing the dwelling on the land including siting, stumping and any other work in connection with that placement; and</w:t>
      </w:r>
    </w:p>
    <w:p>
      <w:pPr>
        <w:pStyle w:val="Indenta"/>
        <w:rPr>
          <w:snapToGrid w:val="0"/>
        </w:rPr>
      </w:pPr>
      <w:r>
        <w:rPr>
          <w:snapToGrid w:val="0"/>
        </w:rPr>
        <w:tab/>
        <w:t>(c)</w:t>
      </w:r>
      <w:r>
        <w:rPr>
          <w:snapToGrid w:val="0"/>
        </w:rPr>
        <w:tab/>
        <w:t>any building work to the dwelling after placement.</w:t>
      </w:r>
    </w:p>
    <w:p>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pPr>
        <w:pStyle w:val="Indenta"/>
        <w:rPr>
          <w:snapToGrid w:val="0"/>
        </w:rPr>
      </w:pPr>
      <w:r>
        <w:rPr>
          <w:snapToGrid w:val="0"/>
        </w:rPr>
        <w:tab/>
        <w:t>(a)</w:t>
      </w:r>
      <w:r>
        <w:rPr>
          <w:snapToGrid w:val="0"/>
        </w:rPr>
        <w:tab/>
        <w:t>by the builder; or</w:t>
      </w:r>
    </w:p>
    <w:p>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pPr>
        <w:pStyle w:val="Footnotesection"/>
      </w:pPr>
      <w:r>
        <w:tab/>
        <w:t>[Section 25D inserted by No. 72 of 1996 s. 5; amended by No. 37 of 2002 s. 12; No. 16 of 2011 s. 121.]</w:t>
      </w:r>
    </w:p>
    <w:p>
      <w:pPr>
        <w:pStyle w:val="Heading5"/>
      </w:pPr>
      <w:bookmarkStart w:id="329" w:name="_Toc326309565"/>
      <w:r>
        <w:rPr>
          <w:rStyle w:val="CharSectno"/>
        </w:rPr>
        <w:t>25DA</w:t>
      </w:r>
      <w:r>
        <w:t>.</w:t>
      </w:r>
      <w:r>
        <w:tab/>
        <w:t>Corresponding cover by an approved fund for builders</w:t>
      </w:r>
      <w:bookmarkEnd w:id="329"/>
    </w:p>
    <w:p>
      <w:pPr>
        <w:pStyle w:val="Subsection"/>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25DA inserted by No. 37 of 2002 s. 13.]</w:t>
      </w:r>
    </w:p>
    <w:p>
      <w:pPr>
        <w:pStyle w:val="Heading3"/>
      </w:pPr>
      <w:bookmarkStart w:id="330" w:name="_Toc89521560"/>
      <w:bookmarkStart w:id="331" w:name="_Toc89521629"/>
      <w:bookmarkStart w:id="332" w:name="_Toc96246675"/>
      <w:bookmarkStart w:id="333" w:name="_Toc97107144"/>
      <w:bookmarkStart w:id="334" w:name="_Toc102365993"/>
      <w:bookmarkStart w:id="335" w:name="_Toc103067016"/>
      <w:bookmarkStart w:id="336" w:name="_Toc124730113"/>
      <w:bookmarkStart w:id="337" w:name="_Toc124734166"/>
      <w:bookmarkStart w:id="338" w:name="_Toc124748248"/>
      <w:bookmarkStart w:id="339" w:name="_Toc127681797"/>
      <w:bookmarkStart w:id="340" w:name="_Toc129580009"/>
      <w:bookmarkStart w:id="341" w:name="_Toc211745946"/>
      <w:bookmarkStart w:id="342" w:name="_Toc268266260"/>
      <w:bookmarkStart w:id="343" w:name="_Toc268688325"/>
      <w:bookmarkStart w:id="344" w:name="_Toc272150905"/>
      <w:bookmarkStart w:id="345" w:name="_Toc294177269"/>
      <w:bookmarkStart w:id="346" w:name="_Toc296609922"/>
      <w:bookmarkStart w:id="347" w:name="_Toc298424924"/>
      <w:bookmarkStart w:id="348" w:name="_Toc298424998"/>
      <w:bookmarkStart w:id="349" w:name="_Toc302113291"/>
      <w:bookmarkStart w:id="350" w:name="_Toc302127935"/>
      <w:bookmarkStart w:id="351" w:name="_Toc307408846"/>
      <w:bookmarkStart w:id="352" w:name="_Toc320776910"/>
      <w:bookmarkStart w:id="353" w:name="_Toc320777356"/>
      <w:bookmarkStart w:id="354" w:name="_Toc320790110"/>
      <w:bookmarkStart w:id="355" w:name="_Toc321397003"/>
      <w:bookmarkStart w:id="356" w:name="_Toc321400262"/>
      <w:bookmarkStart w:id="357" w:name="_Toc325102704"/>
      <w:bookmarkStart w:id="358" w:name="_Toc325103798"/>
      <w:bookmarkStart w:id="359" w:name="_Toc326224257"/>
      <w:bookmarkStart w:id="360" w:name="_Toc326309566"/>
      <w:r>
        <w:rPr>
          <w:rStyle w:val="CharDivNo"/>
        </w:rPr>
        <w:t>Division 3</w:t>
      </w:r>
      <w:r>
        <w:rPr>
          <w:snapToGrid w:val="0"/>
        </w:rPr>
        <w:t> — </w:t>
      </w:r>
      <w:r>
        <w:rPr>
          <w:rStyle w:val="CharDivText"/>
        </w:rPr>
        <w:t>Owner</w:t>
      </w:r>
      <w:r>
        <w:rPr>
          <w:rStyle w:val="CharDivText"/>
        </w:rPr>
        <w:noBreakHyphen/>
        <w:t>builders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keepNext/>
        <w:rPr>
          <w:snapToGrid w:val="0"/>
        </w:rPr>
      </w:pPr>
      <w:r>
        <w:rPr>
          <w:snapToGrid w:val="0"/>
        </w:rPr>
        <w:tab/>
        <w:t>[Heading inserted by No. 72 of 1996 s. 5.]</w:t>
      </w:r>
    </w:p>
    <w:p>
      <w:pPr>
        <w:pStyle w:val="Heading5"/>
        <w:rPr>
          <w:snapToGrid w:val="0"/>
        </w:rPr>
      </w:pPr>
      <w:bookmarkStart w:id="361" w:name="_Toc521487168"/>
      <w:bookmarkStart w:id="362" w:name="_Toc522337196"/>
      <w:bookmarkStart w:id="363" w:name="_Toc527365414"/>
      <w:bookmarkStart w:id="364" w:name="_Toc530458622"/>
      <w:bookmarkStart w:id="365" w:name="_Toc530460484"/>
      <w:bookmarkStart w:id="366" w:name="_Toc326309567"/>
      <w:r>
        <w:rPr>
          <w:rStyle w:val="CharSectno"/>
        </w:rPr>
        <w:t>25E</w:t>
      </w:r>
      <w:r>
        <w:rPr>
          <w:snapToGrid w:val="0"/>
        </w:rPr>
        <w:t xml:space="preserve">. </w:t>
      </w:r>
      <w:r>
        <w:rPr>
          <w:snapToGrid w:val="0"/>
        </w:rPr>
        <w:tab/>
        <w:t>Application of this Division</w:t>
      </w:r>
      <w:bookmarkEnd w:id="361"/>
      <w:bookmarkEnd w:id="362"/>
      <w:bookmarkEnd w:id="363"/>
      <w:bookmarkEnd w:id="364"/>
      <w:bookmarkEnd w:id="365"/>
      <w:bookmarkEnd w:id="366"/>
    </w:p>
    <w:p>
      <w:pPr>
        <w:pStyle w:val="Subsection"/>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pPr>
        <w:pStyle w:val="Subsection"/>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Amendment Act 1996</w:t>
      </w:r>
      <w:r>
        <w:t>.</w:t>
      </w:r>
    </w:p>
    <w:p>
      <w:pPr>
        <w:pStyle w:val="Footnotesection"/>
      </w:pPr>
      <w:r>
        <w:tab/>
        <w:t>[Section 25E inserted by No. 72 of 1996 s. 5; amended by No. 74 of 2003 s. 66; No. 8 of 2009 s. 75.]</w:t>
      </w:r>
    </w:p>
    <w:p>
      <w:pPr>
        <w:pStyle w:val="Heading5"/>
      </w:pPr>
      <w:bookmarkStart w:id="367" w:name="_Toc326309568"/>
      <w:bookmarkStart w:id="368" w:name="_Toc521487170"/>
      <w:bookmarkStart w:id="369" w:name="_Toc522337198"/>
      <w:bookmarkStart w:id="370" w:name="_Toc527365416"/>
      <w:bookmarkStart w:id="371" w:name="_Toc530458624"/>
      <w:bookmarkStart w:id="372" w:name="_Toc530460486"/>
      <w:r>
        <w:rPr>
          <w:rStyle w:val="CharSectno"/>
        </w:rPr>
        <w:t>25F</w:t>
      </w:r>
      <w:r>
        <w:t>.</w:t>
      </w:r>
      <w:r>
        <w:tab/>
      </w:r>
      <w:smartTag w:uri="urn:schemas-microsoft-com:office:smarttags" w:element="place">
        <w:smartTag w:uri="urn:schemas-microsoft-com:office:smarttags" w:element="City">
          <w:r>
            <w:t>Sale</w:t>
          </w:r>
        </w:smartTag>
      </w:smartTag>
      <w:r>
        <w:t xml:space="preserve"> by owner</w:t>
      </w:r>
      <w:r>
        <w:noBreakHyphen/>
        <w:t>builder, restrictions on</w:t>
      </w:r>
      <w:bookmarkEnd w:id="367"/>
    </w:p>
    <w:p>
      <w:pPr>
        <w:pStyle w:val="Subsection"/>
      </w:pPr>
      <w:r>
        <w:tab/>
        <w:t>(1)</w:t>
      </w:r>
      <w:r>
        <w:tab/>
        <w:t>An owner</w:t>
      </w:r>
      <w:r>
        <w:noBreakHyphen/>
        <w:t>builder must not, within 7 years of the date of issue of the relevant building licence, or the date of grant of the relevant building permit, to the owner</w:t>
      </w:r>
      <w:r>
        <w:noBreakHyphen/>
        <w:t>builder, enter into a sale contract unless —</w:t>
      </w:r>
    </w:p>
    <w:p>
      <w:pPr>
        <w:pStyle w:val="Indenta"/>
      </w:pPr>
      <w:r>
        <w:tab/>
        <w:t>(a)</w:t>
      </w:r>
      <w:r>
        <w:tab/>
        <w:t>either —</w:t>
      </w:r>
    </w:p>
    <w:p>
      <w:pPr>
        <w:pStyle w:val="Indenti"/>
      </w:pPr>
      <w:r>
        <w:tab/>
        <w:t>(i)</w:t>
      </w:r>
      <w:r>
        <w:tab/>
        <w:t>a policy of insurance that complies with this Division is in force in relation to the residential building work; or</w:t>
      </w:r>
    </w:p>
    <w:p>
      <w:pPr>
        <w:pStyle w:val="Indenti"/>
      </w:pPr>
      <w:r>
        <w:tab/>
        <w:t>(ii)</w:t>
      </w:r>
      <w:r>
        <w:tab/>
        <w:t>corresponding cover is provided by an approved fund in relation to the residential building work;</w:t>
      </w:r>
    </w:p>
    <w:p>
      <w:pPr>
        <w:pStyle w:val="Indenta"/>
      </w:pPr>
      <w:r>
        <w:tab/>
      </w:r>
      <w:r>
        <w:tab/>
        <w:t>and</w:t>
      </w:r>
    </w:p>
    <w:p>
      <w:pPr>
        <w:pStyle w:val="Indenta"/>
      </w:pPr>
      <w:r>
        <w:tab/>
        <w:t>(b)</w:t>
      </w:r>
      <w:r>
        <w:tab/>
        <w:t>the purchaser has been given a certificate, in a form approved by the Minister, that evidences the taking out of the policy referred to in paragraph (a)(i) or the provision of the cover referred to in paragraph (a)(ii).</w:t>
      </w:r>
    </w:p>
    <w:p>
      <w:pPr>
        <w:pStyle w:val="Penstart"/>
      </w:pPr>
      <w:r>
        <w:tab/>
        <w:t>Penalty: $10 000.</w:t>
      </w:r>
    </w:p>
    <w:p>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pPr>
        <w:pStyle w:val="Footnotesection"/>
      </w:pPr>
      <w:r>
        <w:tab/>
        <w:t>[Section 25F inserted by No. 37 of 2002 s. 14; amended by No. 19 of 2011 s. 151.]</w:t>
      </w:r>
    </w:p>
    <w:p>
      <w:pPr>
        <w:pStyle w:val="Heading5"/>
      </w:pPr>
      <w:bookmarkStart w:id="373" w:name="_Toc326309569"/>
      <w:r>
        <w:rPr>
          <w:rStyle w:val="CharSectno"/>
        </w:rPr>
        <w:t>25FA</w:t>
      </w:r>
      <w:r>
        <w:t>.</w:t>
      </w:r>
      <w:r>
        <w:tab/>
      </w:r>
      <w:smartTag w:uri="urn:schemas-microsoft-com:office:smarttags" w:element="place">
        <w:smartTag w:uri="urn:schemas-microsoft-com:office:smarttags" w:element="City">
          <w:r>
            <w:t>Sale</w:t>
          </w:r>
        </w:smartTag>
      </w:smartTag>
      <w:r>
        <w:t xml:space="preserve"> by certain owner-builders, </w:t>
      </w:r>
      <w:smartTag w:uri="urn:schemas-microsoft-com:office:smarttags" w:element="City">
        <w:r>
          <w:t>furth</w:t>
        </w:r>
      </w:smartTag>
      <w:r>
        <w:t>er restrictions on</w:t>
      </w:r>
      <w:bookmarkEnd w:id="373"/>
    </w:p>
    <w:p>
      <w:pPr>
        <w:pStyle w:val="Subsection"/>
      </w:pPr>
      <w:r>
        <w:tab/>
        <w:t>(1)</w:t>
      </w:r>
      <w:r>
        <w:tab/>
        <w:t xml:space="preserve">A person to whom paragraph (b) of the definition of </w:t>
      </w:r>
      <w:r>
        <w:rPr>
          <w:b/>
          <w:i/>
        </w:rPr>
        <w:t>owner</w:t>
      </w:r>
      <w:r>
        <w:rPr>
          <w:b/>
          <w:i/>
        </w:rPr>
        <w:noBreakHyphen/>
        <w:t>builder</w:t>
      </w:r>
      <w:r>
        <w:t xml:space="preserve"> applies in relation to a dwelling must not, within 3 years of the date of issue of the building licence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Penstart"/>
      </w:pPr>
      <w:r>
        <w:tab/>
        <w:t>Penalty: a fine of $10 000.</w:t>
      </w:r>
    </w:p>
    <w:p>
      <w:pPr>
        <w:pStyle w:val="Subsection"/>
      </w:pPr>
      <w:r>
        <w:tab/>
        <w:t>(2)</w:t>
      </w:r>
      <w:r>
        <w:tab/>
        <w:t>Before making an order under subsection (1) or (2A), the Minister is to be satisfied that —</w:t>
      </w:r>
    </w:p>
    <w:p>
      <w:pPr>
        <w:pStyle w:val="Indenta"/>
      </w:pPr>
      <w:r>
        <w:tab/>
        <w:t>(a)</w:t>
      </w:r>
      <w:r>
        <w:tab/>
      </w:r>
      <w:r>
        <w:rPr>
          <w:snapToGrid w:val="0"/>
        </w:rPr>
        <w:t xml:space="preserve">the application for the order arises from a change in </w:t>
      </w:r>
      <w:r>
        <w:t>the circumstances of the person; and</w:t>
      </w:r>
    </w:p>
    <w:p>
      <w:pPr>
        <w:pStyle w:val="Indenta"/>
        <w:rPr>
          <w:snapToGrid w:val="0"/>
        </w:rPr>
      </w:pPr>
      <w:r>
        <w:tab/>
        <w:t>(b)</w:t>
      </w:r>
      <w:r>
        <w:tab/>
        <w:t>the person would</w:t>
      </w:r>
      <w:r>
        <w:rPr>
          <w:snapToGrid w:val="0"/>
        </w:rPr>
        <w:t xml:space="preserve"> suffer hardship if the application were refused.</w:t>
      </w:r>
    </w:p>
    <w:p>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pPr>
        <w:pStyle w:val="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Footnotesection"/>
      </w:pPr>
      <w:r>
        <w:tab/>
        <w:t>[Section 25FA inserted by No. 37 of 2002 s. 14; amended by No. 19 of 2011 s. 152.]</w:t>
      </w:r>
    </w:p>
    <w:p>
      <w:pPr>
        <w:pStyle w:val="Heading5"/>
        <w:rPr>
          <w:snapToGrid w:val="0"/>
        </w:rPr>
      </w:pPr>
      <w:bookmarkStart w:id="374" w:name="_Toc326309570"/>
      <w:r>
        <w:rPr>
          <w:rStyle w:val="CharSectno"/>
        </w:rPr>
        <w:t>25G</w:t>
      </w:r>
      <w:r>
        <w:rPr>
          <w:snapToGrid w:val="0"/>
        </w:rPr>
        <w:t xml:space="preserve">. </w:t>
      </w:r>
      <w:r>
        <w:rPr>
          <w:snapToGrid w:val="0"/>
        </w:rPr>
        <w:tab/>
        <w:t>Insurance policy</w:t>
      </w:r>
      <w:bookmarkEnd w:id="368"/>
      <w:bookmarkEnd w:id="369"/>
      <w:bookmarkEnd w:id="370"/>
      <w:bookmarkEnd w:id="371"/>
      <w:bookmarkEnd w:id="372"/>
      <w:r>
        <w:rPr>
          <w:snapToGrid w:val="0"/>
        </w:rPr>
        <w:t xml:space="preserve"> for this Division, terms of</w:t>
      </w:r>
      <w:bookmarkEnd w:id="374"/>
    </w:p>
    <w:p>
      <w:pPr>
        <w:pStyle w:val="Subsection"/>
        <w:rPr>
          <w:snapToGrid w:val="0"/>
        </w:rPr>
      </w:pPr>
      <w:r>
        <w:rPr>
          <w:snapToGrid w:val="0"/>
        </w:rPr>
        <w:tab/>
        <w:t>(1)</w:t>
      </w:r>
      <w:r>
        <w:rPr>
          <w:snapToGrid w:val="0"/>
        </w:rPr>
        <w:tab/>
        <w:t>A policy of insurance complies with this Division if —</w:t>
      </w:r>
    </w:p>
    <w:p>
      <w:pPr>
        <w:pStyle w:val="Indenta"/>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owner</w:t>
      </w:r>
      <w:r>
        <w:rPr>
          <w:snapToGrid w:val="0"/>
        </w:rPr>
        <w:noBreakHyphen/>
        <w:t>builder or by reason of the fact that, after due search and enquiry, the owner</w:t>
      </w:r>
      <w:r>
        <w:rPr>
          <w:snapToGrid w:val="0"/>
        </w:rPr>
        <w:noBreakHyphen/>
        <w:t>builder cannot be found; and</w:t>
      </w:r>
    </w:p>
    <w:p>
      <w:pPr>
        <w:pStyle w:val="Indenta"/>
      </w:pPr>
      <w:r>
        <w:tab/>
        <w:t>(b)</w:t>
      </w:r>
      <w:r>
        <w:tab/>
        <w:t xml:space="preserve">it provides that claims may be made under it at any time before the expiration of a period of 7 years from — </w:t>
      </w:r>
    </w:p>
    <w:p>
      <w:pPr>
        <w:pStyle w:val="Indenti"/>
      </w:pPr>
      <w:r>
        <w:tab/>
        <w:t>(i)</w:t>
      </w:r>
      <w:r>
        <w:tab/>
        <w:t>the date of issue to the owner</w:t>
      </w:r>
      <w:r>
        <w:noBreakHyphen/>
        <w:t>builder of the relevant building licence for the building work; or</w:t>
      </w:r>
    </w:p>
    <w:p>
      <w:pPr>
        <w:pStyle w:val="Indenti"/>
      </w:pPr>
      <w:r>
        <w:tab/>
        <w:t>(ii)</w:t>
      </w:r>
      <w:r>
        <w:tab/>
        <w:t>the date of grant to the owner</w:t>
      </w:r>
      <w:r>
        <w:noBreakHyphen/>
        <w:t>builder of the relevant building permit for the building work;</w:t>
      </w:r>
    </w:p>
    <w:p>
      <w:pPr>
        <w:pStyle w:val="Indenta"/>
      </w:pPr>
      <w:r>
        <w:tab/>
      </w:r>
      <w:r>
        <w:tab/>
        <w:t>and</w:t>
      </w:r>
    </w:p>
    <w:p>
      <w:pPr>
        <w:pStyle w:val="Indenta"/>
        <w:rPr>
          <w:snapToGrid w:val="0"/>
        </w:rPr>
      </w:pPr>
      <w:r>
        <w:rPr>
          <w:snapToGrid w:val="0"/>
        </w:rPr>
        <w:tab/>
        <w:t>(c)</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 and</w:t>
      </w:r>
    </w:p>
    <w:p>
      <w:pPr>
        <w:pStyle w:val="Indenta"/>
        <w:keepNext/>
        <w:rPr>
          <w:snapToGrid w:val="0"/>
        </w:rPr>
      </w:pPr>
      <w:r>
        <w:rPr>
          <w:snapToGrid w:val="0"/>
        </w:rPr>
        <w:tab/>
        <w:t>(d)</w:t>
      </w:r>
      <w:r>
        <w:rPr>
          <w:snapToGrid w:val="0"/>
        </w:rPr>
        <w:tab/>
        <w:t>it is issued by or on behalf of an insurer who is —</w:t>
      </w:r>
    </w:p>
    <w:p>
      <w:pPr>
        <w:pStyle w:val="Indenti"/>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it complies with any other prescribed requirements.</w:t>
      </w:r>
    </w:p>
    <w:p>
      <w:pPr>
        <w:pStyle w:val="Subsection"/>
        <w:rPr>
          <w:snapToGrid w:val="0"/>
        </w:rPr>
      </w:pPr>
      <w:r>
        <w:rPr>
          <w:snapToGrid w:val="0"/>
        </w:rPr>
        <w:tab/>
        <w:t>(2)</w:t>
      </w:r>
      <w:r>
        <w:rPr>
          <w:snapToGrid w:val="0"/>
        </w:rPr>
        <w:tab/>
        <w:t xml:space="preserve">Where the policy of insurance relates to work described in paragraph (b) of the definition of </w:t>
      </w:r>
      <w:r>
        <w:rPr>
          <w:b/>
          <w:i/>
        </w:rPr>
        <w:t>home building work</w:t>
      </w:r>
      <w:r>
        <w:rPr>
          <w:snapToGrid w:val="0"/>
        </w:rPr>
        <w:t xml:space="preserve"> in section 3, the cost of the building work for the purposes of subsection (1)(c)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pPr>
        <w:pStyle w:val="Footnotesection"/>
      </w:pPr>
      <w:r>
        <w:tab/>
        <w:t>[Section 25G inserted by No. 72 of 1996 s. 5; amended by No. 16 of 2011 s. 122; No. 19 of 2011 s. 153.]</w:t>
      </w:r>
    </w:p>
    <w:p>
      <w:pPr>
        <w:pStyle w:val="Heading5"/>
      </w:pPr>
      <w:bookmarkStart w:id="375" w:name="_Toc326309571"/>
      <w:r>
        <w:rPr>
          <w:rStyle w:val="CharSectno"/>
        </w:rPr>
        <w:t>25GA</w:t>
      </w:r>
      <w:r>
        <w:t>.</w:t>
      </w:r>
      <w:r>
        <w:tab/>
        <w:t>Corresponding cover by an approved fund for owner</w:t>
      </w:r>
      <w:r>
        <w:noBreakHyphen/>
        <w:t>builders</w:t>
      </w:r>
      <w:bookmarkEnd w:id="375"/>
    </w:p>
    <w:p>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25GA inserted by No. 37 of 2002 s. 15.]</w:t>
      </w:r>
    </w:p>
    <w:p>
      <w:pPr>
        <w:pStyle w:val="Heading3"/>
      </w:pPr>
      <w:bookmarkStart w:id="376" w:name="_Toc89521566"/>
      <w:bookmarkStart w:id="377" w:name="_Toc89521635"/>
      <w:bookmarkStart w:id="378" w:name="_Toc96246681"/>
      <w:bookmarkStart w:id="379" w:name="_Toc97107150"/>
      <w:bookmarkStart w:id="380" w:name="_Toc102365999"/>
      <w:bookmarkStart w:id="381" w:name="_Toc103067022"/>
      <w:bookmarkStart w:id="382" w:name="_Toc124730119"/>
      <w:bookmarkStart w:id="383" w:name="_Toc124734172"/>
      <w:bookmarkStart w:id="384" w:name="_Toc124748254"/>
      <w:bookmarkStart w:id="385" w:name="_Toc127681803"/>
      <w:bookmarkStart w:id="386" w:name="_Toc129580015"/>
      <w:bookmarkStart w:id="387" w:name="_Toc211745952"/>
      <w:bookmarkStart w:id="388" w:name="_Toc268266266"/>
      <w:bookmarkStart w:id="389" w:name="_Toc268688331"/>
      <w:bookmarkStart w:id="390" w:name="_Toc272150911"/>
      <w:bookmarkStart w:id="391" w:name="_Toc294177275"/>
      <w:bookmarkStart w:id="392" w:name="_Toc296609928"/>
      <w:bookmarkStart w:id="393" w:name="_Toc298424930"/>
      <w:bookmarkStart w:id="394" w:name="_Toc298425004"/>
      <w:bookmarkStart w:id="395" w:name="_Toc302113297"/>
      <w:bookmarkStart w:id="396" w:name="_Toc302127941"/>
      <w:bookmarkStart w:id="397" w:name="_Toc307408852"/>
      <w:bookmarkStart w:id="398" w:name="_Toc320776916"/>
      <w:bookmarkStart w:id="399" w:name="_Toc320777362"/>
      <w:bookmarkStart w:id="400" w:name="_Toc320790116"/>
      <w:bookmarkStart w:id="401" w:name="_Toc321397009"/>
      <w:bookmarkStart w:id="402" w:name="_Toc321400268"/>
      <w:bookmarkStart w:id="403" w:name="_Toc325102710"/>
      <w:bookmarkStart w:id="404" w:name="_Toc325103804"/>
      <w:bookmarkStart w:id="405" w:name="_Toc326224263"/>
      <w:bookmarkStart w:id="406" w:name="_Toc326309572"/>
      <w:r>
        <w:rPr>
          <w:rStyle w:val="CharDivNo"/>
        </w:rPr>
        <w:t>Division 3A</w:t>
      </w:r>
      <w:r>
        <w:t> — </w:t>
      </w:r>
      <w:r>
        <w:rPr>
          <w:rStyle w:val="CharDivText"/>
        </w:rPr>
        <w:t>Approved funds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Footnoteheading"/>
        <w:keepNext/>
        <w:rPr>
          <w:snapToGrid w:val="0"/>
        </w:rPr>
      </w:pPr>
      <w:r>
        <w:rPr>
          <w:snapToGrid w:val="0"/>
        </w:rPr>
        <w:tab/>
        <w:t>[Heading inserted by No. 37 of 2002 s. 16.]</w:t>
      </w:r>
    </w:p>
    <w:p>
      <w:pPr>
        <w:pStyle w:val="Heading5"/>
      </w:pPr>
      <w:bookmarkStart w:id="407" w:name="_Toc326309573"/>
      <w:r>
        <w:rPr>
          <w:rStyle w:val="CharSectno"/>
        </w:rPr>
        <w:t>25GB</w:t>
      </w:r>
      <w:r>
        <w:t>.</w:t>
      </w:r>
      <w:r>
        <w:tab/>
        <w:t>Approval of fund by Minister</w:t>
      </w:r>
      <w:bookmarkEnd w:id="407"/>
    </w:p>
    <w:p>
      <w:pPr>
        <w:pStyle w:val="Subsection"/>
      </w:pPr>
      <w:r>
        <w:tab/>
        <w:t>(1)</w:t>
      </w:r>
      <w:r>
        <w:tab/>
        <w:t xml:space="preserve">The Minister may, by order published in the </w:t>
      </w:r>
      <w:r>
        <w:rPr>
          <w:i/>
        </w:rPr>
        <w:t>Gazette</w:t>
      </w:r>
      <w:r>
        <w:t>, approve a fund for the purposes of this Part.</w:t>
      </w:r>
    </w:p>
    <w:p>
      <w:pPr>
        <w:pStyle w:val="Subsection"/>
      </w:pPr>
      <w:r>
        <w:tab/>
        <w:t>(2)</w:t>
      </w:r>
      <w:r>
        <w:tab/>
        <w:t>The Minister is not to approve a fund unless —</w:t>
      </w:r>
    </w:p>
    <w:p>
      <w:pPr>
        <w:pStyle w:val="Indenta"/>
      </w:pPr>
      <w:r>
        <w:tab/>
        <w:t>(a)</w:t>
      </w:r>
      <w:r>
        <w:tab/>
        <w:t>the fund is, or is similar to, a mutual fund; and</w:t>
      </w:r>
    </w:p>
    <w:p>
      <w:pPr>
        <w:pStyle w:val="Indenta"/>
      </w:pPr>
      <w:r>
        <w:tab/>
        <w:t>(b)</w:t>
      </w:r>
      <w:r>
        <w:tab/>
        <w:t>the rules of the fund (however described) are approved by the Minister; and</w:t>
      </w:r>
    </w:p>
    <w:p>
      <w:pPr>
        <w:pStyle w:val="Indenta"/>
      </w:pPr>
      <w:r>
        <w:tab/>
        <w:t>(c)</w:t>
      </w:r>
      <w:r>
        <w:tab/>
        <w:t>each person responsible for the management of the fund is approved by the Minister in relation to the fund; and</w:t>
      </w:r>
    </w:p>
    <w:p>
      <w:pPr>
        <w:pStyle w:val="Indenta"/>
      </w:pPr>
      <w:r>
        <w:tab/>
        <w:t>(d)</w:t>
      </w:r>
      <w:r>
        <w:tab/>
        <w:t>the Minister is satisfied that there is, or will be, adequate insurance or other provision for excess losses of the fund; and</w:t>
      </w:r>
    </w:p>
    <w:p>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pPr>
        <w:pStyle w:val="Subsection"/>
      </w:pPr>
      <w:r>
        <w:tab/>
        <w:t>(3)</w:t>
      </w:r>
      <w:r>
        <w:tab/>
        <w:t>In deciding whether to approve a fund, the Minister may take into account —</w:t>
      </w:r>
    </w:p>
    <w:p>
      <w:pPr>
        <w:pStyle w:val="Indenta"/>
      </w:pPr>
      <w:r>
        <w:tab/>
        <w:t>(a)</w:t>
      </w:r>
      <w:r>
        <w:tab/>
        <w:t>the independence of the persons involved in, or responsible for, the management, provision for excess losses and auditing of the fund; and</w:t>
      </w:r>
    </w:p>
    <w:p>
      <w:pPr>
        <w:pStyle w:val="Indenta"/>
      </w:pPr>
      <w:r>
        <w:tab/>
        <w:t>(b)</w:t>
      </w:r>
      <w:r>
        <w:tab/>
        <w:t>matters that do not necessarily relate to the particular fund but which relate to the building or insurance industries generally; and</w:t>
      </w:r>
    </w:p>
    <w:p>
      <w:pPr>
        <w:pStyle w:val="Indenta"/>
      </w:pPr>
      <w:r>
        <w:tab/>
        <w:t>(c)</w:t>
      </w:r>
      <w:r>
        <w:tab/>
        <w:t>any other relevant matter.</w:t>
      </w:r>
    </w:p>
    <w:p>
      <w:pPr>
        <w:pStyle w:val="Subsection"/>
      </w:pPr>
      <w:r>
        <w:tab/>
        <w:t>(4)</w:t>
      </w:r>
      <w:r>
        <w:tab/>
        <w:t>The Minister may impose conditions on the approval and vary those conditions at any time.</w:t>
      </w:r>
    </w:p>
    <w:p>
      <w:pPr>
        <w:pStyle w:val="Footnotesection"/>
      </w:pPr>
      <w:r>
        <w:tab/>
        <w:t>[Section 25GB inserted by No. 37 of 2002 s. 16.]</w:t>
      </w:r>
    </w:p>
    <w:p>
      <w:pPr>
        <w:pStyle w:val="Heading5"/>
      </w:pPr>
      <w:bookmarkStart w:id="408" w:name="_Toc326309574"/>
      <w:r>
        <w:rPr>
          <w:rStyle w:val="CharSectno"/>
        </w:rPr>
        <w:t>25GC</w:t>
      </w:r>
      <w:r>
        <w:t>.</w:t>
      </w:r>
      <w:r>
        <w:tab/>
        <w:t>Certain changes to approved fund require Minister’s consent</w:t>
      </w:r>
      <w:bookmarkEnd w:id="408"/>
    </w:p>
    <w:p>
      <w:pPr>
        <w:pStyle w:val="Subsection"/>
      </w:pPr>
      <w:r>
        <w:tab/>
      </w:r>
      <w:r>
        <w:tab/>
        <w:t>The matters set out in section 25GB(2)(a), (b) and (c), as they apply to an approved fund, must not change in respect of the fund without the Minister’s written consent.</w:t>
      </w:r>
    </w:p>
    <w:p>
      <w:pPr>
        <w:pStyle w:val="Footnotesection"/>
      </w:pPr>
      <w:r>
        <w:tab/>
        <w:t>[Section 25GC inserted by No. 37 of 2002 s. 16.]</w:t>
      </w:r>
    </w:p>
    <w:p>
      <w:pPr>
        <w:pStyle w:val="Heading5"/>
      </w:pPr>
      <w:bookmarkStart w:id="409" w:name="_Toc326309575"/>
      <w:r>
        <w:rPr>
          <w:rStyle w:val="CharSectno"/>
        </w:rPr>
        <w:t>25GD</w:t>
      </w:r>
      <w:r>
        <w:t>.</w:t>
      </w:r>
      <w:r>
        <w:tab/>
        <w:t>Approval of fund, revoking</w:t>
      </w:r>
      <w:bookmarkEnd w:id="409"/>
    </w:p>
    <w:p>
      <w:pPr>
        <w:pStyle w:val="Subsection"/>
      </w:pPr>
      <w:r>
        <w:tab/>
      </w:r>
      <w:r>
        <w:tab/>
        <w:t xml:space="preserve">The Minister may, by order published in the </w:t>
      </w:r>
      <w:r>
        <w:rPr>
          <w:i/>
        </w:rPr>
        <w:t>Gazette</w:t>
      </w:r>
      <w:r>
        <w:t>, revoke the Minister’s approval of a fund if —</w:t>
      </w:r>
    </w:p>
    <w:p>
      <w:pPr>
        <w:pStyle w:val="Indenta"/>
      </w:pPr>
      <w:r>
        <w:tab/>
        <w:t>(a)</w:t>
      </w:r>
      <w:r>
        <w:tab/>
        <w:t>a matter, as it applies to an approved fund, has changed in contravention of section 25GC; or</w:t>
      </w:r>
    </w:p>
    <w:p>
      <w:pPr>
        <w:pStyle w:val="Indenta"/>
      </w:pPr>
      <w:r>
        <w:tab/>
        <w:t>(b)</w:t>
      </w:r>
      <w:r>
        <w:tab/>
        <w:t>the Minister is no longer satisfied that there is adequate insurance or other provision for excess losses of the fund as referred to in section 25GB(2)(d); or</w:t>
      </w:r>
    </w:p>
    <w:p>
      <w:pPr>
        <w:pStyle w:val="Indenta"/>
        <w:keepNext/>
      </w:pPr>
      <w:r>
        <w:tab/>
        <w:t>(c)</w:t>
      </w:r>
      <w:r>
        <w:tab/>
        <w:t>an insurer referred to in section 25GB(2)(e) —</w:t>
      </w:r>
    </w:p>
    <w:p>
      <w:pPr>
        <w:pStyle w:val="Indenti"/>
      </w:pPr>
      <w:r>
        <w:tab/>
        <w:t>(i)</w:t>
      </w:r>
      <w:r>
        <w:tab/>
        <w:t>is not, or is no longer, authorised; or</w:t>
      </w:r>
    </w:p>
    <w:p>
      <w:pPr>
        <w:pStyle w:val="Indenti"/>
      </w:pPr>
      <w:r>
        <w:tab/>
        <w:t>(ii)</w:t>
      </w:r>
      <w:r>
        <w:tab/>
        <w:t>is not, or is no longer, approved,</w:t>
      </w:r>
    </w:p>
    <w:p>
      <w:pPr>
        <w:pStyle w:val="Indenta"/>
      </w:pPr>
      <w:r>
        <w:tab/>
      </w:r>
      <w:r>
        <w:tab/>
        <w:t>as required by that provision.</w:t>
      </w:r>
    </w:p>
    <w:p>
      <w:pPr>
        <w:pStyle w:val="Footnotesection"/>
      </w:pPr>
      <w:r>
        <w:tab/>
        <w:t>[Section 25GD inserted by No. 37 of 2002 s. 16.]</w:t>
      </w:r>
    </w:p>
    <w:p>
      <w:pPr>
        <w:pStyle w:val="Heading3"/>
      </w:pPr>
      <w:bookmarkStart w:id="410" w:name="_Toc89521570"/>
      <w:bookmarkStart w:id="411" w:name="_Toc89521639"/>
      <w:bookmarkStart w:id="412" w:name="_Toc96246685"/>
      <w:bookmarkStart w:id="413" w:name="_Toc97107154"/>
      <w:bookmarkStart w:id="414" w:name="_Toc102366003"/>
      <w:bookmarkStart w:id="415" w:name="_Toc103067026"/>
      <w:bookmarkStart w:id="416" w:name="_Toc124730123"/>
      <w:bookmarkStart w:id="417" w:name="_Toc124734176"/>
      <w:bookmarkStart w:id="418" w:name="_Toc124748258"/>
      <w:bookmarkStart w:id="419" w:name="_Toc127681807"/>
      <w:bookmarkStart w:id="420" w:name="_Toc129580019"/>
      <w:bookmarkStart w:id="421" w:name="_Toc211745956"/>
      <w:bookmarkStart w:id="422" w:name="_Toc268266270"/>
      <w:bookmarkStart w:id="423" w:name="_Toc268688335"/>
      <w:bookmarkStart w:id="424" w:name="_Toc272150915"/>
      <w:bookmarkStart w:id="425" w:name="_Toc294177279"/>
      <w:bookmarkStart w:id="426" w:name="_Toc296609932"/>
      <w:bookmarkStart w:id="427" w:name="_Toc298424934"/>
      <w:bookmarkStart w:id="428" w:name="_Toc298425008"/>
      <w:bookmarkStart w:id="429" w:name="_Toc302113301"/>
      <w:bookmarkStart w:id="430" w:name="_Toc302127945"/>
      <w:bookmarkStart w:id="431" w:name="_Toc307408856"/>
      <w:bookmarkStart w:id="432" w:name="_Toc320776920"/>
      <w:bookmarkStart w:id="433" w:name="_Toc320777366"/>
      <w:bookmarkStart w:id="434" w:name="_Toc320790120"/>
      <w:bookmarkStart w:id="435" w:name="_Toc321397013"/>
      <w:bookmarkStart w:id="436" w:name="_Toc321400272"/>
      <w:bookmarkStart w:id="437" w:name="_Toc325102714"/>
      <w:bookmarkStart w:id="438" w:name="_Toc325103808"/>
      <w:bookmarkStart w:id="439" w:name="_Toc326224267"/>
      <w:bookmarkStart w:id="440" w:name="_Toc326309576"/>
      <w:r>
        <w:rPr>
          <w:rStyle w:val="CharDivNo"/>
        </w:rPr>
        <w:t>Division 4</w:t>
      </w:r>
      <w:r>
        <w:rPr>
          <w:snapToGrid w:val="0"/>
        </w:rPr>
        <w:t> — </w:t>
      </w:r>
      <w:r>
        <w:rPr>
          <w:rStyle w:val="CharDivText"/>
        </w:rPr>
        <w:t>Review</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Footnoteheading"/>
        <w:keepNext/>
        <w:rPr>
          <w:snapToGrid w:val="0"/>
        </w:rPr>
      </w:pPr>
      <w:r>
        <w:rPr>
          <w:snapToGrid w:val="0"/>
        </w:rPr>
        <w:tab/>
        <w:t>[Heading inserted by No. 72 of 1996 s. 5.]</w:t>
      </w:r>
    </w:p>
    <w:p>
      <w:pPr>
        <w:pStyle w:val="Heading5"/>
        <w:rPr>
          <w:snapToGrid w:val="0"/>
        </w:rPr>
      </w:pPr>
      <w:bookmarkStart w:id="441" w:name="_Toc521487171"/>
      <w:bookmarkStart w:id="442" w:name="_Toc522337199"/>
      <w:bookmarkStart w:id="443" w:name="_Toc527365417"/>
      <w:bookmarkStart w:id="444" w:name="_Toc530458625"/>
      <w:bookmarkStart w:id="445" w:name="_Toc530460487"/>
      <w:bookmarkStart w:id="446" w:name="_Toc326309577"/>
      <w:r>
        <w:rPr>
          <w:rStyle w:val="CharSectno"/>
        </w:rPr>
        <w:t>25H</w:t>
      </w:r>
      <w:r>
        <w:rPr>
          <w:snapToGrid w:val="0"/>
        </w:rPr>
        <w:t xml:space="preserve">. </w:t>
      </w:r>
      <w:r>
        <w:rPr>
          <w:snapToGrid w:val="0"/>
        </w:rPr>
        <w:tab/>
        <w:t xml:space="preserve">Review of </w:t>
      </w:r>
      <w:bookmarkEnd w:id="441"/>
      <w:bookmarkEnd w:id="442"/>
      <w:bookmarkEnd w:id="443"/>
      <w:bookmarkEnd w:id="444"/>
      <w:bookmarkEnd w:id="445"/>
      <w:r>
        <w:rPr>
          <w:snapToGrid w:val="0"/>
        </w:rPr>
        <w:t>this Part by Minister</w:t>
      </w:r>
      <w:bookmarkEnd w:id="446"/>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pPr>
        <w:pStyle w:val="Indenta"/>
        <w:rPr>
          <w:snapToGrid w:val="0"/>
        </w:rPr>
      </w:pPr>
      <w:r>
        <w:rPr>
          <w:snapToGrid w:val="0"/>
        </w:rPr>
        <w:tab/>
        <w:t>(a)</w:t>
      </w:r>
      <w:r>
        <w:rPr>
          <w:snapToGrid w:val="0"/>
        </w:rPr>
        <w:tab/>
        <w:t>the effectiveness of the scheme of insurance under this Part; and</w:t>
      </w:r>
    </w:p>
    <w:p>
      <w:pPr>
        <w:pStyle w:val="Indenta"/>
        <w:rPr>
          <w:snapToGrid w:val="0"/>
        </w:rPr>
      </w:pPr>
      <w:r>
        <w:rPr>
          <w:snapToGrid w:val="0"/>
        </w:rPr>
        <w:tab/>
        <w:t>(b)</w:t>
      </w:r>
      <w:r>
        <w:rPr>
          <w:snapToGrid w:val="0"/>
        </w:rPr>
        <w:tab/>
        <w:t>such other matters as appear to the Minister to be relevant to the operation and effectiveness of this Part.</w:t>
      </w:r>
    </w:p>
    <w:p>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25H inserted by No. 72 of 1996 s. 5; amended by No. 37 of 2002 s. 20.]</w:t>
      </w:r>
    </w:p>
    <w:p>
      <w:pPr>
        <w:pStyle w:val="Heading3"/>
      </w:pPr>
      <w:bookmarkStart w:id="447" w:name="_Toc89521572"/>
      <w:bookmarkStart w:id="448" w:name="_Toc89521641"/>
      <w:bookmarkStart w:id="449" w:name="_Toc96246687"/>
      <w:bookmarkStart w:id="450" w:name="_Toc97107156"/>
      <w:bookmarkStart w:id="451" w:name="_Toc102366005"/>
      <w:bookmarkStart w:id="452" w:name="_Toc103067028"/>
      <w:bookmarkStart w:id="453" w:name="_Toc124730125"/>
      <w:bookmarkStart w:id="454" w:name="_Toc124734178"/>
      <w:bookmarkStart w:id="455" w:name="_Toc124748260"/>
      <w:bookmarkStart w:id="456" w:name="_Toc127681809"/>
      <w:bookmarkStart w:id="457" w:name="_Toc129580021"/>
      <w:bookmarkStart w:id="458" w:name="_Toc211745958"/>
      <w:bookmarkStart w:id="459" w:name="_Toc268266272"/>
      <w:bookmarkStart w:id="460" w:name="_Toc268688337"/>
      <w:bookmarkStart w:id="461" w:name="_Toc272150917"/>
      <w:bookmarkStart w:id="462" w:name="_Toc294177281"/>
      <w:bookmarkStart w:id="463" w:name="_Toc296609934"/>
      <w:bookmarkStart w:id="464" w:name="_Toc298424936"/>
      <w:bookmarkStart w:id="465" w:name="_Toc298425010"/>
      <w:bookmarkStart w:id="466" w:name="_Toc302113303"/>
      <w:bookmarkStart w:id="467" w:name="_Toc302127947"/>
      <w:bookmarkStart w:id="468" w:name="_Toc307408858"/>
      <w:bookmarkStart w:id="469" w:name="_Toc320776922"/>
      <w:bookmarkStart w:id="470" w:name="_Toc320777368"/>
      <w:bookmarkStart w:id="471" w:name="_Toc320790122"/>
      <w:bookmarkStart w:id="472" w:name="_Toc321397015"/>
      <w:bookmarkStart w:id="473" w:name="_Toc321400274"/>
      <w:bookmarkStart w:id="474" w:name="_Toc325102716"/>
      <w:bookmarkStart w:id="475" w:name="_Toc325103810"/>
      <w:bookmarkStart w:id="476" w:name="_Toc326224269"/>
      <w:bookmarkStart w:id="477" w:name="_Toc326309578"/>
      <w:r>
        <w:rPr>
          <w:rStyle w:val="CharDivNo"/>
        </w:rPr>
        <w:t>Division 5</w:t>
      </w:r>
      <w:r>
        <w:t> — </w:t>
      </w:r>
      <w:r>
        <w:rPr>
          <w:rStyle w:val="CharDivText"/>
        </w:rPr>
        <w:t>Provisions about non</w:t>
      </w:r>
      <w:r>
        <w:rPr>
          <w:rStyle w:val="CharDivText"/>
        </w:rPr>
        <w:noBreakHyphen/>
        <w:t>application of sections 25C(1) and (2) and 25F(1)</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Footnoteheading"/>
        <w:keepNext/>
        <w:rPr>
          <w:snapToGrid w:val="0"/>
        </w:rPr>
      </w:pPr>
      <w:r>
        <w:rPr>
          <w:snapToGrid w:val="0"/>
        </w:rPr>
        <w:tab/>
        <w:t>[Heading inserted by No. 37 of 2002 s. 17.]</w:t>
      </w:r>
    </w:p>
    <w:p>
      <w:pPr>
        <w:pStyle w:val="Heading5"/>
      </w:pPr>
      <w:bookmarkStart w:id="478" w:name="_Toc326309579"/>
      <w:r>
        <w:rPr>
          <w:rStyle w:val="CharSectno"/>
        </w:rPr>
        <w:t>25I</w:t>
      </w:r>
      <w:r>
        <w:t>.</w:t>
      </w:r>
      <w:r>
        <w:tab/>
        <w:t>Periods for s. 25C(3) and 25F(2), Minister may specify</w:t>
      </w:r>
      <w:bookmarkEnd w:id="478"/>
    </w:p>
    <w:p>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pPr>
        <w:pStyle w:val="Subsection"/>
      </w:pPr>
      <w:r>
        <w:tab/>
        <w:t>(2)</w:t>
      </w:r>
      <w:r>
        <w:tab/>
        <w:t>The Minister may make no more than 4 orders for the purposes of section 25C(3) and no more than 4 orders for the purposes of section 25F(2).</w:t>
      </w:r>
    </w:p>
    <w:p>
      <w:pPr>
        <w:pStyle w:val="Footnotesection"/>
      </w:pPr>
      <w:r>
        <w:tab/>
        <w:t>[Section 25I inserted by No. 37 of 2002 s. 17.]</w:t>
      </w:r>
    </w:p>
    <w:p>
      <w:pPr>
        <w:pStyle w:val="Heading5"/>
      </w:pPr>
      <w:bookmarkStart w:id="479" w:name="_Toc326309580"/>
      <w:r>
        <w:rPr>
          <w:rStyle w:val="CharSectno"/>
        </w:rPr>
        <w:t>25J</w:t>
      </w:r>
      <w:r>
        <w:t>.</w:t>
      </w:r>
      <w:r>
        <w:tab/>
        <w:t>Contracts with builders, builders to give prescribed notice to other party</w:t>
      </w:r>
      <w:bookmarkEnd w:id="479"/>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25C(3).</w:t>
      </w:r>
    </w:p>
    <w:p>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pPr>
        <w:pStyle w:val="Penstart"/>
      </w:pPr>
      <w:r>
        <w:tab/>
        <w:t>Penalty: $10 000.</w:t>
      </w:r>
    </w:p>
    <w:p>
      <w:pPr>
        <w:pStyle w:val="Subsection"/>
      </w:pPr>
      <w:r>
        <w:tab/>
        <w:t>(3)</w:t>
      </w:r>
      <w:r>
        <w:tab/>
        <w:t>A builder must not, after the end of a specified period, enter into a building contract or sale contract in respect of residential building work performed by the builder under a building permit granted before or during that specified period unless the builder has given the other party to the contract a notice in the form prescribed by the regulations.</w:t>
      </w:r>
    </w:p>
    <w:p>
      <w:pPr>
        <w:pStyle w:val="Penstart"/>
      </w:pPr>
      <w:r>
        <w:tab/>
        <w:t>Penalty: $10 000.</w:t>
      </w:r>
    </w:p>
    <w:p>
      <w:pPr>
        <w:pStyle w:val="Subsection"/>
      </w:pPr>
      <w:r>
        <w:tab/>
        <w:t>(4)</w:t>
      </w:r>
      <w:r>
        <w:tab/>
        <w:t>A failure to provide a notice in accordance with subsection (2) or (3) does not, of itself, invalidate a contract.</w:t>
      </w:r>
    </w:p>
    <w:p>
      <w:pPr>
        <w:pStyle w:val="Subsection"/>
      </w:pPr>
      <w:r>
        <w:tab/>
        <w:t>(5)</w:t>
      </w:r>
      <w:r>
        <w:tab/>
        <w:t>If —</w:t>
      </w:r>
    </w:p>
    <w:p>
      <w:pPr>
        <w:pStyle w:val="Indenta"/>
      </w:pPr>
      <w:r>
        <w:tab/>
        <w:t>(a)</w:t>
      </w:r>
      <w:r>
        <w:tab/>
        <w:t>at a time that is not during a specified period, a builder enters into a building contract or sale contract in respect of residential building work; and</w:t>
      </w:r>
    </w:p>
    <w:p>
      <w:pPr>
        <w:pStyle w:val="Indenta"/>
      </w:pPr>
      <w:r>
        <w:tab/>
        <w:t>(b)</w:t>
      </w:r>
      <w:r>
        <w:tab/>
        <w:t>a specified period commences before a building permit for the residential building work is granted,</w:t>
      </w:r>
    </w:p>
    <w:p>
      <w:pPr>
        <w:pStyle w:val="Subsection"/>
      </w:pPr>
      <w:r>
        <w:tab/>
      </w:r>
      <w:r>
        <w:tab/>
        <w:t>the builder must give the other party to the contract a notice in the form prescribed by the regulations as soon as practicable after the specified period commences.</w:t>
      </w:r>
    </w:p>
    <w:p>
      <w:pPr>
        <w:pStyle w:val="Penstart"/>
      </w:pPr>
      <w:r>
        <w:tab/>
        <w:t>Penalty: $10 000.</w:t>
      </w:r>
    </w:p>
    <w:p>
      <w:pPr>
        <w:pStyle w:val="Subsection"/>
      </w:pPr>
      <w:r>
        <w:tab/>
        <w:t>(6)</w:t>
      </w:r>
      <w:r>
        <w:tab/>
        <w:t>If the party to whom a notice must be given under subsection (5) is not a developer, the party may rescind the contract.</w:t>
      </w:r>
    </w:p>
    <w:p>
      <w:pPr>
        <w:pStyle w:val="Subsection"/>
      </w:pPr>
      <w:r>
        <w:tab/>
        <w:t>(7)</w:t>
      </w:r>
      <w:r>
        <w:tab/>
        <w:t>To rescind the contract, the party must give notice of the exercise of the right to rescind to the builder before the earlier of —</w:t>
      </w:r>
    </w:p>
    <w:p>
      <w:pPr>
        <w:pStyle w:val="Indenta"/>
      </w:pPr>
      <w:r>
        <w:tab/>
        <w:t>(a)</w:t>
      </w:r>
      <w:r>
        <w:tab/>
        <w:t>the expiration of one month after the day on which the notice referred to in subsection (5) is received by the party; or</w:t>
      </w:r>
    </w:p>
    <w:p>
      <w:pPr>
        <w:pStyle w:val="Indenta"/>
      </w:pPr>
      <w:r>
        <w:tab/>
        <w:t>(b)</w:t>
      </w:r>
      <w:r>
        <w:tab/>
        <w:t>settlement (in the case of a sale contract) or practical completion (in all other cases).</w:t>
      </w:r>
    </w:p>
    <w:p>
      <w:pPr>
        <w:pStyle w:val="Footnotesection"/>
      </w:pPr>
      <w:r>
        <w:tab/>
        <w:t>[Section 25J inserted by No. 37 of 2002 s. 17; amended by No. 24 of 2011 s. 163(8) and (9).]</w:t>
      </w:r>
    </w:p>
    <w:p>
      <w:pPr>
        <w:pStyle w:val="Heading5"/>
      </w:pPr>
      <w:bookmarkStart w:id="480" w:name="_Toc326309581"/>
      <w:r>
        <w:rPr>
          <w:rStyle w:val="CharSectno"/>
        </w:rPr>
        <w:t>25K</w:t>
      </w:r>
      <w:r>
        <w:t>.</w:t>
      </w:r>
      <w:r>
        <w:tab/>
      </w:r>
      <w:smartTag w:uri="urn:schemas-microsoft-com:office:smarttags" w:element="place">
        <w:smartTag w:uri="urn:schemas-microsoft-com:office:smarttags" w:element="City">
          <w:r>
            <w:t>Sale</w:t>
          </w:r>
        </w:smartTag>
      </w:smartTag>
      <w:r>
        <w:t xml:space="preserve"> contract with owner-builder, owner-builder to give prescribed notice to other party</w:t>
      </w:r>
      <w:bookmarkEnd w:id="480"/>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25F(2).</w:t>
      </w:r>
    </w:p>
    <w:p>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pPr>
        <w:pStyle w:val="Penstart"/>
      </w:pPr>
      <w:r>
        <w:tab/>
        <w:t>Penalty: $10 000.</w:t>
      </w:r>
    </w:p>
    <w:p>
      <w:pPr>
        <w:pStyle w:val="Subsection"/>
      </w:pPr>
      <w:bookmarkStart w:id="481" w:name="_Toc6213681"/>
      <w:r>
        <w:tab/>
        <w:t>(3)</w:t>
      </w:r>
      <w:r>
        <w:tab/>
        <w:t>A failure to provide a notice in accordance with subsection (2) does not, of itself, invalidate a contract.</w:t>
      </w:r>
    </w:p>
    <w:p>
      <w:pPr>
        <w:pStyle w:val="Footnotesection"/>
      </w:pPr>
      <w:r>
        <w:tab/>
        <w:t>[Section 25K inserted by No. 37 of 2002 s. 17.]</w:t>
      </w:r>
    </w:p>
    <w:p>
      <w:pPr>
        <w:pStyle w:val="Heading5"/>
      </w:pPr>
      <w:bookmarkStart w:id="482" w:name="_Toc326309582"/>
      <w:r>
        <w:rPr>
          <w:rStyle w:val="CharSectno"/>
        </w:rPr>
        <w:t>25L</w:t>
      </w:r>
      <w:r>
        <w:t>.</w:t>
      </w:r>
      <w:r>
        <w:tab/>
        <w:t>Subsequent purchaser</w:t>
      </w:r>
      <w:bookmarkEnd w:id="481"/>
      <w:r>
        <w:t xml:space="preserve"> to be given notice given under s. 25J in some cases</w:t>
      </w:r>
      <w:bookmarkEnd w:id="482"/>
    </w:p>
    <w:p>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pPr>
        <w:pStyle w:val="Penstart"/>
      </w:pPr>
      <w:r>
        <w:tab/>
        <w:t>Penalty: $10 000.</w:t>
      </w:r>
    </w:p>
    <w:p>
      <w:pPr>
        <w:pStyle w:val="Subsection"/>
      </w:pPr>
      <w:r>
        <w:tab/>
        <w:t>(2)</w:t>
      </w:r>
      <w:r>
        <w:tab/>
        <w:t>A failure to provide a notice in accordance with subsection (1) does not, of itself, invalidate a contract.</w:t>
      </w:r>
    </w:p>
    <w:p>
      <w:pPr>
        <w:pStyle w:val="Footnotesection"/>
      </w:pPr>
      <w:r>
        <w:tab/>
        <w:t>[Section 25L inserted by No. 37 of 2002 s. 17.]</w:t>
      </w:r>
    </w:p>
    <w:p>
      <w:pPr>
        <w:pStyle w:val="Heading2"/>
      </w:pPr>
      <w:bookmarkStart w:id="483" w:name="_Toc89521577"/>
      <w:bookmarkStart w:id="484" w:name="_Toc89521646"/>
      <w:bookmarkStart w:id="485" w:name="_Toc96246692"/>
      <w:bookmarkStart w:id="486" w:name="_Toc97107161"/>
      <w:bookmarkStart w:id="487" w:name="_Toc102366010"/>
      <w:bookmarkStart w:id="488" w:name="_Toc103067033"/>
      <w:bookmarkStart w:id="489" w:name="_Toc124730130"/>
      <w:bookmarkStart w:id="490" w:name="_Toc124734183"/>
      <w:bookmarkStart w:id="491" w:name="_Toc124748265"/>
      <w:bookmarkStart w:id="492" w:name="_Toc127681814"/>
      <w:bookmarkStart w:id="493" w:name="_Toc129580026"/>
      <w:bookmarkStart w:id="494" w:name="_Toc211745963"/>
      <w:bookmarkStart w:id="495" w:name="_Toc268266277"/>
      <w:bookmarkStart w:id="496" w:name="_Toc268688342"/>
      <w:bookmarkStart w:id="497" w:name="_Toc272150922"/>
      <w:bookmarkStart w:id="498" w:name="_Toc294177286"/>
      <w:bookmarkStart w:id="499" w:name="_Toc296609939"/>
      <w:bookmarkStart w:id="500" w:name="_Toc298424941"/>
      <w:bookmarkStart w:id="501" w:name="_Toc298425015"/>
      <w:bookmarkStart w:id="502" w:name="_Toc302113308"/>
      <w:bookmarkStart w:id="503" w:name="_Toc302127952"/>
      <w:bookmarkStart w:id="504" w:name="_Toc307408863"/>
      <w:bookmarkStart w:id="505" w:name="_Toc320776927"/>
      <w:bookmarkStart w:id="506" w:name="_Toc320777373"/>
      <w:bookmarkStart w:id="507" w:name="_Toc320790127"/>
      <w:bookmarkStart w:id="508" w:name="_Toc321397020"/>
      <w:bookmarkStart w:id="509" w:name="_Toc321400279"/>
      <w:bookmarkStart w:id="510" w:name="_Toc325102721"/>
      <w:bookmarkStart w:id="511" w:name="_Toc325103815"/>
      <w:bookmarkStart w:id="512" w:name="_Toc326224274"/>
      <w:bookmarkStart w:id="513" w:name="_Toc326309583"/>
      <w:r>
        <w:rPr>
          <w:rStyle w:val="CharPartNo"/>
        </w:rPr>
        <w:t>Part 4</w:t>
      </w:r>
      <w:r>
        <w:rPr>
          <w:rStyle w:val="CharDivNo"/>
        </w:rPr>
        <w:t> </w:t>
      </w:r>
      <w:r>
        <w:t>—</w:t>
      </w:r>
      <w:r>
        <w:rPr>
          <w:rStyle w:val="CharDivText"/>
        </w:rPr>
        <w:t> </w:t>
      </w:r>
      <w:r>
        <w:rPr>
          <w:rStyle w:val="CharPartText"/>
        </w:rPr>
        <w:t>General</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5"/>
        <w:rPr>
          <w:snapToGrid w:val="0"/>
        </w:rPr>
      </w:pPr>
      <w:bookmarkStart w:id="514" w:name="_Toc521487172"/>
      <w:bookmarkStart w:id="515" w:name="_Toc522337200"/>
      <w:bookmarkStart w:id="516" w:name="_Toc527365418"/>
      <w:bookmarkStart w:id="517" w:name="_Toc530458626"/>
      <w:bookmarkStart w:id="518" w:name="_Toc530460488"/>
      <w:bookmarkStart w:id="519" w:name="_Toc326309584"/>
      <w:r>
        <w:rPr>
          <w:rStyle w:val="CharSectno"/>
        </w:rPr>
        <w:t>26</w:t>
      </w:r>
      <w:r>
        <w:rPr>
          <w:snapToGrid w:val="0"/>
        </w:rPr>
        <w:t>.</w:t>
      </w:r>
      <w:r>
        <w:rPr>
          <w:snapToGrid w:val="0"/>
        </w:rPr>
        <w:tab/>
      </w:r>
      <w:bookmarkEnd w:id="514"/>
      <w:bookmarkEnd w:id="515"/>
      <w:bookmarkEnd w:id="516"/>
      <w:bookmarkEnd w:id="517"/>
      <w:bookmarkEnd w:id="518"/>
      <w:r>
        <w:rPr>
          <w:snapToGrid w:val="0"/>
        </w:rPr>
        <w:t>Inspection by owner etc. of building work, prevention of etc.</w:t>
      </w:r>
      <w:bookmarkEnd w:id="519"/>
    </w:p>
    <w:p>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pPr>
        <w:pStyle w:val="Indenta"/>
        <w:rPr>
          <w:snapToGrid w:val="0"/>
        </w:rPr>
      </w:pPr>
      <w:r>
        <w:rPr>
          <w:snapToGrid w:val="0"/>
        </w:rPr>
        <w:tab/>
        <w:t>(a)</w:t>
      </w:r>
      <w:r>
        <w:rPr>
          <w:snapToGrid w:val="0"/>
        </w:rPr>
        <w:tab/>
        <w:t>the contract; and</w:t>
      </w:r>
    </w:p>
    <w:p>
      <w:pPr>
        <w:pStyle w:val="Indenta"/>
        <w:rPr>
          <w:snapToGrid w:val="0"/>
        </w:rPr>
      </w:pPr>
      <w:r>
        <w:rPr>
          <w:snapToGrid w:val="0"/>
        </w:rPr>
        <w:tab/>
        <w:t>(b)</w:t>
      </w:r>
      <w:r>
        <w:rPr>
          <w:snapToGrid w:val="0"/>
        </w:rPr>
        <w:tab/>
        <w:t>such provisions as are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pPr>
        <w:pStyle w:val="Indenta"/>
        <w:rPr>
          <w:snapToGrid w:val="0"/>
        </w:rPr>
      </w:pPr>
      <w:r>
        <w:rPr>
          <w:snapToGrid w:val="0"/>
        </w:rPr>
        <w:tab/>
        <w:t>(a)</w:t>
      </w:r>
      <w:r>
        <w:rPr>
          <w:snapToGrid w:val="0"/>
        </w:rPr>
        <w:tab/>
        <w:t>restricts inspection to the builder’s normal working hours; or</w:t>
      </w:r>
    </w:p>
    <w:p>
      <w:pPr>
        <w:pStyle w:val="Indenta"/>
        <w:rPr>
          <w:snapToGrid w:val="0"/>
        </w:rPr>
      </w:pPr>
      <w:r>
        <w:rPr>
          <w:snapToGrid w:val="0"/>
        </w:rPr>
        <w:tab/>
        <w:t>(b)</w:t>
      </w:r>
      <w:r>
        <w:rPr>
          <w:snapToGrid w:val="0"/>
        </w:rPr>
        <w:tab/>
        <w:t>precludes inspection that would unreasonably impede or interfere with the building work.</w:t>
      </w:r>
    </w:p>
    <w:p>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pPr>
        <w:pStyle w:val="Indenta"/>
        <w:rPr>
          <w:snapToGrid w:val="0"/>
        </w:rPr>
      </w:pPr>
      <w:r>
        <w:rPr>
          <w:snapToGrid w:val="0"/>
        </w:rPr>
        <w:tab/>
        <w:t>(a)</w:t>
      </w:r>
      <w:r>
        <w:rPr>
          <w:snapToGrid w:val="0"/>
        </w:rPr>
        <w:tab/>
        <w:t>a person acting on behalf of the owner under an authority in writing; and</w:t>
      </w:r>
    </w:p>
    <w:p>
      <w:pPr>
        <w:pStyle w:val="Indenta"/>
        <w:rPr>
          <w:snapToGrid w:val="0"/>
        </w:rPr>
      </w:pPr>
      <w:r>
        <w:rPr>
          <w:snapToGrid w:val="0"/>
        </w:rPr>
        <w:tab/>
        <w:t>(b)</w:t>
      </w:r>
      <w:r>
        <w:rPr>
          <w:snapToGrid w:val="0"/>
        </w:rPr>
        <w:tab/>
        <w:t>a person who is providing finance for the home building work or a person acting on behalf of such a person.</w:t>
      </w:r>
    </w:p>
    <w:p>
      <w:pPr>
        <w:pStyle w:val="Heading5"/>
        <w:rPr>
          <w:snapToGrid w:val="0"/>
        </w:rPr>
      </w:pPr>
      <w:bookmarkStart w:id="520" w:name="_Toc521487173"/>
      <w:bookmarkStart w:id="521" w:name="_Toc522337201"/>
      <w:bookmarkStart w:id="522" w:name="_Toc527365419"/>
      <w:bookmarkStart w:id="523" w:name="_Toc530458627"/>
      <w:bookmarkStart w:id="524" w:name="_Toc530460489"/>
      <w:bookmarkStart w:id="525" w:name="_Toc326309585"/>
      <w:r>
        <w:rPr>
          <w:rStyle w:val="CharSectno"/>
        </w:rPr>
        <w:t>27</w:t>
      </w:r>
      <w:r>
        <w:rPr>
          <w:snapToGrid w:val="0"/>
        </w:rPr>
        <w:t>.</w:t>
      </w:r>
      <w:r>
        <w:rPr>
          <w:snapToGrid w:val="0"/>
        </w:rPr>
        <w:tab/>
        <w:t>Breach of Act, effect of on contract</w:t>
      </w:r>
      <w:bookmarkEnd w:id="520"/>
      <w:bookmarkEnd w:id="521"/>
      <w:bookmarkEnd w:id="522"/>
      <w:bookmarkEnd w:id="523"/>
      <w:bookmarkEnd w:id="524"/>
      <w:bookmarkEnd w:id="525"/>
    </w:p>
    <w:p>
      <w:pPr>
        <w:pStyle w:val="Subsection"/>
        <w:rPr>
          <w:snapToGrid w:val="0"/>
        </w:rPr>
      </w:pPr>
      <w:r>
        <w:rPr>
          <w:snapToGrid w:val="0"/>
        </w:rPr>
        <w:tab/>
        <w:t>(1)</w:t>
      </w:r>
      <w:r>
        <w:rPr>
          <w:snapToGrid w:val="0"/>
        </w:rPr>
        <w:tab/>
        <w:t xml:space="preserve">Except as provided in section 13(2), </w:t>
      </w:r>
      <w:r>
        <w:t xml:space="preserve">or 26(2) or by an order referred to in the </w:t>
      </w:r>
      <w:r>
        <w:rPr>
          <w:i/>
          <w:iCs/>
        </w:rPr>
        <w:t>Building Services (Complaint Resolution and Administration) Act 2011</w:t>
      </w:r>
      <w:r>
        <w:t xml:space="preserve"> </w:t>
      </w:r>
      <w:r>
        <w:rPr>
          <w:iCs/>
        </w:rPr>
        <w:t>section 41(3)(a), a</w:t>
      </w:r>
      <w:r>
        <w:rPr>
          <w:snapToGrid w:val="0"/>
        </w:rPr>
        <w:t xml:space="preserve"> contract or a provision of a contract is not illegal, void or unenforceable only because a requirement of this Act is not complied with.</w:t>
      </w:r>
    </w:p>
    <w:p>
      <w:pPr>
        <w:pStyle w:val="Subsection"/>
        <w:rPr>
          <w:snapToGrid w:val="0"/>
        </w:rPr>
      </w:pPr>
      <w:r>
        <w:rPr>
          <w:snapToGrid w:val="0"/>
        </w:rPr>
        <w:tab/>
        <w:t>(2)</w:t>
      </w:r>
      <w:r>
        <w:rPr>
          <w:snapToGrid w:val="0"/>
        </w:rPr>
        <w:tab/>
        <w:t>Nothing in subsection (1) affects the operation of section 28.</w:t>
      </w:r>
    </w:p>
    <w:p>
      <w:pPr>
        <w:pStyle w:val="Footnotesection"/>
      </w:pPr>
      <w:r>
        <w:tab/>
        <w:t>[Section 27 amended by No. 16 of 2011 s. 123.]</w:t>
      </w:r>
    </w:p>
    <w:p>
      <w:pPr>
        <w:pStyle w:val="Heading5"/>
        <w:rPr>
          <w:snapToGrid w:val="0"/>
        </w:rPr>
      </w:pPr>
      <w:bookmarkStart w:id="526" w:name="_Toc521487174"/>
      <w:bookmarkStart w:id="527" w:name="_Toc522337202"/>
      <w:bookmarkStart w:id="528" w:name="_Toc527365420"/>
      <w:bookmarkStart w:id="529" w:name="_Toc530458628"/>
      <w:bookmarkStart w:id="530" w:name="_Toc530460490"/>
      <w:bookmarkStart w:id="531" w:name="_Toc326309586"/>
      <w:r>
        <w:rPr>
          <w:rStyle w:val="CharSectno"/>
        </w:rPr>
        <w:t>28</w:t>
      </w:r>
      <w:r>
        <w:rPr>
          <w:snapToGrid w:val="0"/>
        </w:rPr>
        <w:t>.</w:t>
      </w:r>
      <w:r>
        <w:rPr>
          <w:snapToGrid w:val="0"/>
        </w:rPr>
        <w:tab/>
        <w:t xml:space="preserve">Contracting out </w:t>
      </w:r>
      <w:bookmarkEnd w:id="526"/>
      <w:bookmarkEnd w:id="527"/>
      <w:bookmarkEnd w:id="528"/>
      <w:bookmarkEnd w:id="529"/>
      <w:bookmarkEnd w:id="530"/>
      <w:r>
        <w:rPr>
          <w:snapToGrid w:val="0"/>
        </w:rPr>
        <w:t>prohibited</w:t>
      </w:r>
      <w:bookmarkEnd w:id="531"/>
    </w:p>
    <w:p>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pPr>
        <w:pStyle w:val="Subsection"/>
        <w:spacing w:before="120"/>
        <w:rPr>
          <w:snapToGrid w:val="0"/>
        </w:rPr>
      </w:pPr>
      <w:r>
        <w:rPr>
          <w:snapToGrid w:val="0"/>
        </w:rPr>
        <w:tab/>
        <w:t>(2)</w:t>
      </w:r>
      <w:r>
        <w:rPr>
          <w:snapToGrid w:val="0"/>
        </w:rPr>
        <w:tab/>
        <w:t>A purported waiver of a right conferred by or under this Act is void.</w:t>
      </w:r>
    </w:p>
    <w:p>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pPr>
        <w:pStyle w:val="Penstart"/>
        <w:rPr>
          <w:snapToGrid w:val="0"/>
        </w:rPr>
      </w:pPr>
      <w:r>
        <w:rPr>
          <w:snapToGrid w:val="0"/>
        </w:rPr>
        <w:tab/>
        <w:t>Penalty: $10 000.</w:t>
      </w:r>
    </w:p>
    <w:p>
      <w:pPr>
        <w:pStyle w:val="Heading5"/>
        <w:spacing w:before="180"/>
        <w:rPr>
          <w:snapToGrid w:val="0"/>
        </w:rPr>
      </w:pPr>
      <w:bookmarkStart w:id="532" w:name="_Toc521487175"/>
      <w:bookmarkStart w:id="533" w:name="_Toc522337203"/>
      <w:bookmarkStart w:id="534" w:name="_Toc527365421"/>
      <w:bookmarkStart w:id="535" w:name="_Toc530458629"/>
      <w:bookmarkStart w:id="536" w:name="_Toc530460491"/>
      <w:bookmarkStart w:id="537" w:name="_Toc326309587"/>
      <w:r>
        <w:rPr>
          <w:rStyle w:val="CharSectno"/>
        </w:rPr>
        <w:t>29</w:t>
      </w:r>
      <w:r>
        <w:rPr>
          <w:snapToGrid w:val="0"/>
        </w:rPr>
        <w:t>.</w:t>
      </w:r>
      <w:r>
        <w:rPr>
          <w:snapToGrid w:val="0"/>
        </w:rPr>
        <w:tab/>
      </w:r>
      <w:bookmarkEnd w:id="532"/>
      <w:bookmarkEnd w:id="533"/>
      <w:bookmarkEnd w:id="534"/>
      <w:bookmarkEnd w:id="535"/>
      <w:bookmarkEnd w:id="536"/>
      <w:r>
        <w:rPr>
          <w:snapToGrid w:val="0"/>
        </w:rPr>
        <w:t>Other laws not affected</w:t>
      </w:r>
      <w:bookmarkEnd w:id="537"/>
    </w:p>
    <w:p>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pPr>
        <w:pStyle w:val="Subsection"/>
        <w:spacing w:before="120"/>
        <w:rPr>
          <w:snapToGrid w:val="0"/>
        </w:rPr>
      </w:pPr>
      <w:r>
        <w:rPr>
          <w:snapToGrid w:val="0"/>
        </w:rPr>
        <w:tab/>
        <w:t>(2)</w:t>
      </w:r>
      <w:r>
        <w:rPr>
          <w:snapToGrid w:val="0"/>
        </w:rPr>
        <w:tab/>
        <w:t>This Act does not limit or derogate from any civil remedy at law or in equity.</w:t>
      </w:r>
    </w:p>
    <w:p>
      <w:pPr>
        <w:pStyle w:val="Heading5"/>
        <w:spacing w:before="180"/>
        <w:rPr>
          <w:snapToGrid w:val="0"/>
        </w:rPr>
      </w:pPr>
      <w:bookmarkStart w:id="538" w:name="_Toc521487176"/>
      <w:bookmarkStart w:id="539" w:name="_Toc522337204"/>
      <w:bookmarkStart w:id="540" w:name="_Toc527365422"/>
      <w:bookmarkStart w:id="541" w:name="_Toc530458630"/>
      <w:bookmarkStart w:id="542" w:name="_Toc530460492"/>
      <w:bookmarkStart w:id="543" w:name="_Toc326309588"/>
      <w:r>
        <w:rPr>
          <w:rStyle w:val="CharSectno"/>
        </w:rPr>
        <w:t>30</w:t>
      </w:r>
      <w:r>
        <w:rPr>
          <w:snapToGrid w:val="0"/>
        </w:rPr>
        <w:t>.</w:t>
      </w:r>
      <w:r>
        <w:rPr>
          <w:snapToGrid w:val="0"/>
        </w:rPr>
        <w:tab/>
      </w:r>
      <w:bookmarkEnd w:id="538"/>
      <w:bookmarkEnd w:id="539"/>
      <w:bookmarkEnd w:id="540"/>
      <w:bookmarkEnd w:id="541"/>
      <w:bookmarkEnd w:id="542"/>
      <w:r>
        <w:rPr>
          <w:snapToGrid w:val="0"/>
        </w:rPr>
        <w:t>Offences by body corporate, liability of officers for</w:t>
      </w:r>
      <w:bookmarkEnd w:id="543"/>
    </w:p>
    <w:p>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spacing w:before="120"/>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pPr>
        <w:pStyle w:val="Footnotesection"/>
      </w:pPr>
      <w:r>
        <w:tab/>
        <w:t>[Section 30 amended by No. 10 of 2001 s. 220.]</w:t>
      </w:r>
    </w:p>
    <w:p>
      <w:pPr>
        <w:pStyle w:val="Heading5"/>
      </w:pPr>
      <w:bookmarkStart w:id="544" w:name="_Toc294705375"/>
      <w:bookmarkStart w:id="545" w:name="_Toc302046933"/>
      <w:bookmarkStart w:id="546" w:name="_Toc326309589"/>
      <w:bookmarkStart w:id="547" w:name="_Toc521487177"/>
      <w:bookmarkStart w:id="548" w:name="_Toc522337205"/>
      <w:bookmarkStart w:id="549" w:name="_Toc527365423"/>
      <w:bookmarkStart w:id="550" w:name="_Toc530458631"/>
      <w:bookmarkStart w:id="551" w:name="_Toc530460493"/>
      <w:r>
        <w:rPr>
          <w:rStyle w:val="CharSectno"/>
        </w:rPr>
        <w:t>31</w:t>
      </w:r>
      <w:r>
        <w:t>.</w:t>
      </w:r>
      <w:r>
        <w:tab/>
        <w:t>Prosecutions</w:t>
      </w:r>
      <w:bookmarkEnd w:id="544"/>
      <w:bookmarkEnd w:id="545"/>
      <w:bookmarkEnd w:id="546"/>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Subsection"/>
      </w:pPr>
      <w:r>
        <w:tab/>
        <w:t>(5)</w:t>
      </w:r>
      <w:r>
        <w:tab/>
        <w:t xml:space="preserve">In the absence of evidence to the contrary, proof is not required in any proceeding for an offence against this Act — </w:t>
      </w:r>
    </w:p>
    <w:p>
      <w:pPr>
        <w:pStyle w:val="Indenta"/>
      </w:pPr>
      <w:r>
        <w:tab/>
        <w:t>(a)</w:t>
      </w:r>
      <w:r>
        <w:tab/>
        <w:t>of the authority of a person to take the proceeding; or</w:t>
      </w:r>
    </w:p>
    <w:p>
      <w:pPr>
        <w:pStyle w:val="Indenta"/>
      </w:pPr>
      <w:r>
        <w:tab/>
        <w:t>(b)</w:t>
      </w:r>
      <w:r>
        <w:tab/>
        <w:t>that a signature on a prosecution notice alleging the offence is the signature of a person authorised to take the proceeding.</w:t>
      </w:r>
    </w:p>
    <w:p>
      <w:pPr>
        <w:pStyle w:val="Footnotesection"/>
      </w:pPr>
      <w:r>
        <w:tab/>
        <w:t>[Section 31 inserted by No. 16 of 2011 s. 124.]</w:t>
      </w:r>
    </w:p>
    <w:bookmarkEnd w:id="547"/>
    <w:bookmarkEnd w:id="548"/>
    <w:bookmarkEnd w:id="549"/>
    <w:bookmarkEnd w:id="550"/>
    <w:bookmarkEnd w:id="551"/>
    <w:p>
      <w:pPr>
        <w:pStyle w:val="Ednotesection"/>
      </w:pPr>
      <w:r>
        <w:t>[</w:t>
      </w:r>
      <w:r>
        <w:rPr>
          <w:b/>
        </w:rPr>
        <w:t>31A.</w:t>
      </w:r>
      <w:r>
        <w:tab/>
        <w:t>Deleted by No. 16 of 2011 s. 125]</w:t>
      </w:r>
    </w:p>
    <w:p>
      <w:pPr>
        <w:pStyle w:val="Heading5"/>
        <w:rPr>
          <w:snapToGrid w:val="0"/>
        </w:rPr>
      </w:pPr>
      <w:bookmarkStart w:id="552" w:name="_Toc521487179"/>
      <w:bookmarkStart w:id="553" w:name="_Toc522337207"/>
      <w:bookmarkStart w:id="554" w:name="_Toc527365425"/>
      <w:bookmarkStart w:id="555" w:name="_Toc530458633"/>
      <w:bookmarkStart w:id="556" w:name="_Toc530460495"/>
      <w:bookmarkStart w:id="557" w:name="_Toc326309590"/>
      <w:r>
        <w:rPr>
          <w:rStyle w:val="CharSectno"/>
        </w:rPr>
        <w:t>31B</w:t>
      </w:r>
      <w:r>
        <w:t>.</w:t>
      </w:r>
      <w:r>
        <w:tab/>
      </w:r>
      <w:r>
        <w:rPr>
          <w:snapToGrid w:val="0"/>
        </w:rPr>
        <w:t>Infringement notices</w:t>
      </w:r>
      <w:bookmarkEnd w:id="552"/>
      <w:bookmarkEnd w:id="553"/>
      <w:bookmarkEnd w:id="554"/>
      <w:bookmarkEnd w:id="555"/>
      <w:bookmarkEnd w:id="556"/>
      <w:bookmarkEnd w:id="557"/>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 xml:space="preserve">The </w:t>
      </w:r>
      <w:r>
        <w:t>Building Commissioner</w:t>
      </w:r>
      <w:r>
        <w:rPr>
          <w:snapToGrid w:val="0"/>
        </w:rPr>
        <w:t xml:space="preserve">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 xml:space="preserve">The </w:t>
      </w:r>
      <w:r>
        <w:t>Building Commissioner</w:t>
      </w:r>
      <w:r>
        <w:rPr>
          <w:snapToGrid w:val="0"/>
        </w:rPr>
        <w:t xml:space="preserve">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spacing w:before="100"/>
        <w:ind w:left="890" w:hanging="890"/>
      </w:pPr>
      <w:r>
        <w:tab/>
        <w:t>[Section 31B inserted by No. 76 of 2000 s. 56; amended by No. 37 of 2002 s. 20; No. 84 of 2004 s. 80; No. 19 of 2011 s. 154.]</w:t>
      </w:r>
    </w:p>
    <w:p>
      <w:pPr>
        <w:pStyle w:val="Heading5"/>
        <w:rPr>
          <w:snapToGrid w:val="0"/>
        </w:rPr>
      </w:pPr>
      <w:bookmarkStart w:id="558" w:name="_Toc521487180"/>
      <w:bookmarkStart w:id="559" w:name="_Toc522337208"/>
      <w:bookmarkStart w:id="560" w:name="_Toc527365426"/>
      <w:bookmarkStart w:id="561" w:name="_Toc530458634"/>
      <w:bookmarkStart w:id="562" w:name="_Toc530460496"/>
      <w:bookmarkStart w:id="563" w:name="_Toc326309591"/>
      <w:r>
        <w:rPr>
          <w:rStyle w:val="CharSectno"/>
        </w:rPr>
        <w:t>32</w:t>
      </w:r>
      <w:r>
        <w:rPr>
          <w:snapToGrid w:val="0"/>
        </w:rPr>
        <w:t>.</w:t>
      </w:r>
      <w:r>
        <w:rPr>
          <w:snapToGrid w:val="0"/>
        </w:rPr>
        <w:tab/>
        <w:t>Regulations</w:t>
      </w:r>
      <w:bookmarkEnd w:id="558"/>
      <w:bookmarkEnd w:id="559"/>
      <w:bookmarkEnd w:id="560"/>
      <w:bookmarkEnd w:id="561"/>
      <w:bookmarkEnd w:id="562"/>
      <w:bookmarkEnd w:id="56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 and</w:t>
      </w:r>
    </w:p>
    <w:p>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pPr>
        <w:pStyle w:val="Subsection"/>
      </w:pPr>
      <w:r>
        <w:tab/>
        <w:t>(3)</w:t>
      </w:r>
      <w:r>
        <w:tab/>
        <w:t>The regulations may provide that a contravention of a regulation or a provision of a regulation constitutes an offence and provide for penalties not exceeding a fine of $5 000.</w:t>
      </w:r>
    </w:p>
    <w:p>
      <w:pPr>
        <w:pStyle w:val="Footnotesection"/>
        <w:ind w:left="890" w:hanging="890"/>
      </w:pPr>
      <w:r>
        <w:tab/>
        <w:t>[Section 32 amended by No. 72 of 1996 s. 6; No. 37 of 2002 s. 18.]</w:t>
      </w:r>
    </w:p>
    <w:p>
      <w:pPr>
        <w:pStyle w:val="Heading5"/>
        <w:rPr>
          <w:snapToGrid w:val="0"/>
        </w:rPr>
      </w:pPr>
      <w:bookmarkStart w:id="564" w:name="_Toc521487181"/>
      <w:bookmarkStart w:id="565" w:name="_Toc522337209"/>
      <w:bookmarkStart w:id="566" w:name="_Toc527365427"/>
      <w:bookmarkStart w:id="567" w:name="_Toc530458635"/>
      <w:bookmarkStart w:id="568" w:name="_Toc530460497"/>
      <w:bookmarkStart w:id="569" w:name="_Toc326309592"/>
      <w:r>
        <w:rPr>
          <w:rStyle w:val="CharSectno"/>
        </w:rPr>
        <w:t>33</w:t>
      </w:r>
      <w:r>
        <w:rPr>
          <w:snapToGrid w:val="0"/>
        </w:rPr>
        <w:t>.</w:t>
      </w:r>
      <w:r>
        <w:rPr>
          <w:snapToGrid w:val="0"/>
        </w:rPr>
        <w:tab/>
        <w:t>Retrospectiv</w:t>
      </w:r>
      <w:bookmarkEnd w:id="564"/>
      <w:bookmarkEnd w:id="565"/>
      <w:bookmarkEnd w:id="566"/>
      <w:bookmarkEnd w:id="567"/>
      <w:bookmarkEnd w:id="568"/>
      <w:r>
        <w:rPr>
          <w:snapToGrid w:val="0"/>
        </w:rPr>
        <w:t>ity of Act</w:t>
      </w:r>
      <w:bookmarkEnd w:id="569"/>
    </w:p>
    <w:p>
      <w:pPr>
        <w:pStyle w:val="Subsection"/>
        <w:rPr>
          <w:snapToGrid w:val="0"/>
        </w:rPr>
      </w:pPr>
      <w:r>
        <w:rPr>
          <w:snapToGrid w:val="0"/>
        </w:rPr>
        <w:tab/>
      </w:r>
      <w:r>
        <w:rPr>
          <w:snapToGrid w:val="0"/>
        </w:rPr>
        <w:tab/>
        <w:t xml:space="preserve">A provision of this Act </w:t>
      </w:r>
      <w:r>
        <w:t xml:space="preserve">(other than section 25J(5), (6) and (7)) </w:t>
      </w:r>
      <w:r>
        <w:rPr>
          <w:snapToGrid w:val="0"/>
        </w:rPr>
        <w:t>does not apply to any contract entered into before the commencement of that provision.</w:t>
      </w:r>
    </w:p>
    <w:p>
      <w:pPr>
        <w:pStyle w:val="Footnotesection"/>
      </w:pPr>
      <w:r>
        <w:tab/>
        <w:t>[Section 33 amended by No. 37 of 2002 s. 19.]</w:t>
      </w:r>
    </w:p>
    <w:p>
      <w:pPr>
        <w:pStyle w:val="Heading5"/>
        <w:rPr>
          <w:snapToGrid w:val="0"/>
        </w:rPr>
      </w:pPr>
      <w:bookmarkStart w:id="570" w:name="_Toc521487182"/>
      <w:bookmarkStart w:id="571" w:name="_Toc522337210"/>
      <w:bookmarkStart w:id="572" w:name="_Toc527365428"/>
      <w:bookmarkStart w:id="573" w:name="_Toc530458636"/>
      <w:bookmarkStart w:id="574" w:name="_Toc530460498"/>
      <w:bookmarkStart w:id="575" w:name="_Toc326309593"/>
      <w:r>
        <w:rPr>
          <w:rStyle w:val="CharSectno"/>
        </w:rPr>
        <w:t>34</w:t>
      </w:r>
      <w:r>
        <w:rPr>
          <w:snapToGrid w:val="0"/>
        </w:rPr>
        <w:t>.</w:t>
      </w:r>
      <w:r>
        <w:rPr>
          <w:snapToGrid w:val="0"/>
        </w:rPr>
        <w:tab/>
        <w:t>Review of Act</w:t>
      </w:r>
      <w:bookmarkEnd w:id="570"/>
      <w:bookmarkEnd w:id="571"/>
      <w:bookmarkEnd w:id="572"/>
      <w:bookmarkEnd w:id="573"/>
      <w:bookmarkEnd w:id="574"/>
      <w:bookmarkEnd w:id="575"/>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pPr>
        <w:pStyle w:val="Subsection"/>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pPr>
        <w:pStyle w:val="Subsection"/>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34 amended by No. 37 of 2002 s. 20.]</w:t>
      </w:r>
    </w:p>
    <w:p>
      <w:pPr>
        <w:pStyle w:val="Ednotesection"/>
        <w:ind w:left="890" w:hanging="890"/>
      </w:pPr>
      <w:r>
        <w:t>[</w:t>
      </w:r>
      <w:r>
        <w:rPr>
          <w:b/>
        </w:rPr>
        <w:t>35.</w:t>
      </w:r>
      <w:r>
        <w:tab/>
        <w:t>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576" w:name="_Toc527365429"/>
      <w:bookmarkStart w:id="577" w:name="_Toc530458637"/>
      <w:bookmarkStart w:id="578" w:name="_Toc530460499"/>
      <w:bookmarkStart w:id="579" w:name="_Toc124730142"/>
      <w:bookmarkStart w:id="580" w:name="_Toc124734195"/>
      <w:bookmarkStart w:id="581" w:name="_Toc124748277"/>
      <w:bookmarkStart w:id="582" w:name="_Toc127681826"/>
      <w:bookmarkStart w:id="583" w:name="_Toc129580038"/>
      <w:bookmarkStart w:id="584" w:name="_Toc211745975"/>
      <w:bookmarkStart w:id="585" w:name="_Toc268266289"/>
      <w:bookmarkStart w:id="586" w:name="_Toc268688354"/>
      <w:bookmarkStart w:id="587" w:name="_Toc272150934"/>
      <w:bookmarkStart w:id="588" w:name="_Toc294177298"/>
      <w:bookmarkStart w:id="589" w:name="_Toc296609951"/>
      <w:bookmarkStart w:id="590" w:name="_Toc298424953"/>
      <w:bookmarkStart w:id="591" w:name="_Toc298425027"/>
      <w:bookmarkStart w:id="592" w:name="_Toc302113319"/>
      <w:bookmarkStart w:id="593" w:name="_Toc302127963"/>
      <w:bookmarkStart w:id="594" w:name="_Toc307408874"/>
      <w:bookmarkStart w:id="595" w:name="_Toc320776938"/>
      <w:bookmarkStart w:id="596" w:name="_Toc320777384"/>
      <w:bookmarkStart w:id="597" w:name="_Toc320790138"/>
      <w:bookmarkStart w:id="598" w:name="_Toc321397031"/>
      <w:bookmarkStart w:id="599" w:name="_Toc321400290"/>
      <w:bookmarkStart w:id="600" w:name="_Toc325102732"/>
      <w:bookmarkStart w:id="601" w:name="_Toc325103826"/>
      <w:bookmarkStart w:id="602" w:name="_Toc326224285"/>
      <w:bookmarkStart w:id="603" w:name="_Toc326309594"/>
      <w:r>
        <w:rPr>
          <w:rStyle w:val="CharSchNo"/>
        </w:rPr>
        <w:t>Schedule 1</w:t>
      </w:r>
      <w:bookmarkEnd w:id="576"/>
      <w:bookmarkEnd w:id="577"/>
      <w:bookmarkEnd w:id="578"/>
      <w:bookmarkEnd w:id="579"/>
      <w:bookmarkEnd w:id="580"/>
      <w:bookmarkEnd w:id="581"/>
      <w:bookmarkEnd w:id="582"/>
      <w:bookmarkEnd w:id="583"/>
      <w:bookmarkEnd w:id="584"/>
      <w:r>
        <w:t xml:space="preserve"> — </w:t>
      </w:r>
      <w:r>
        <w:rPr>
          <w:rStyle w:val="CharSchText"/>
        </w:rPr>
        <w:t>Consequences of non</w:t>
      </w:r>
      <w:r>
        <w:rPr>
          <w:rStyle w:val="CharSchText"/>
        </w:rPr>
        <w:noBreakHyphen/>
        <w:t>fulfilment of conditions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yShoulderClause"/>
        <w:rPr>
          <w:snapToGrid w:val="0"/>
        </w:rPr>
      </w:pPr>
      <w:r>
        <w:rPr>
          <w:snapToGrid w:val="0"/>
        </w:rPr>
        <w:t>[s. 7(4), 8(4), 9(4), 13(5), 19 and 20]</w:t>
      </w:r>
    </w:p>
    <w:p>
      <w:pPr>
        <w:pStyle w:val="yFootnoteheading"/>
      </w:pPr>
      <w:r>
        <w:tab/>
        <w:t>[Heading amended by No. 19 of 2010 s. 4.]</w:t>
      </w:r>
    </w:p>
    <w:p>
      <w:pPr>
        <w:pStyle w:val="yHeading5"/>
        <w:rPr>
          <w:snapToGrid w:val="0"/>
        </w:rPr>
      </w:pPr>
      <w:bookmarkStart w:id="604" w:name="_Toc326309595"/>
      <w:r>
        <w:rPr>
          <w:rStyle w:val="CharSClsNo"/>
        </w:rPr>
        <w:t>1</w:t>
      </w:r>
      <w:r>
        <w:rPr>
          <w:snapToGrid w:val="0"/>
        </w:rPr>
        <w:t>.</w:t>
      </w:r>
      <w:r>
        <w:rPr>
          <w:snapToGrid w:val="0"/>
        </w:rPr>
        <w:tab/>
        <w:t>Condition in s. 9(1), non-fulfilment of by builder</w:t>
      </w:r>
      <w:bookmarkEnd w:id="604"/>
    </w:p>
    <w:p>
      <w:pPr>
        <w:pStyle w:val="ySubsection"/>
        <w:rPr>
          <w:snapToGrid w:val="0"/>
        </w:rPr>
      </w:pPr>
      <w:r>
        <w:rPr>
          <w:snapToGrid w:val="0"/>
        </w:rPr>
        <w:tab/>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pPr>
        <w:pStyle w:val="yFootnotesection"/>
      </w:pPr>
      <w:r>
        <w:tab/>
        <w:t>[Clause 1 amended by No. 19 of 2010 s. 51.]</w:t>
      </w:r>
    </w:p>
    <w:p>
      <w:pPr>
        <w:pStyle w:val="yHeading5"/>
        <w:rPr>
          <w:snapToGrid w:val="0"/>
        </w:rPr>
      </w:pPr>
      <w:bookmarkStart w:id="605" w:name="_Toc326309596"/>
      <w:r>
        <w:rPr>
          <w:rStyle w:val="CharSClsNo"/>
        </w:rPr>
        <w:t>2</w:t>
      </w:r>
      <w:r>
        <w:rPr>
          <w:snapToGrid w:val="0"/>
        </w:rPr>
        <w:t>.</w:t>
      </w:r>
      <w:r>
        <w:rPr>
          <w:snapToGrid w:val="0"/>
        </w:rPr>
        <w:tab/>
        <w:t>Condition in s. 9(1), non-fulfilment of by owner</w:t>
      </w:r>
      <w:bookmarkEnd w:id="605"/>
    </w:p>
    <w:p>
      <w:pPr>
        <w:pStyle w:val="ySubsection"/>
        <w:rPr>
          <w:snapToGrid w:val="0"/>
        </w:rPr>
      </w:pPr>
      <w:r>
        <w:rPr>
          <w:snapToGrid w:val="0"/>
        </w:rPr>
        <w:tab/>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pPr>
        <w:pStyle w:val="yFootnotesection"/>
      </w:pPr>
      <w:r>
        <w:tab/>
        <w:t>[Clause 2 amended by No. 76 of 2000 s. 58(a); No. 19 of 2010 s. 51.]</w:t>
      </w:r>
    </w:p>
    <w:p>
      <w:pPr>
        <w:pStyle w:val="yHeading5"/>
        <w:rPr>
          <w:snapToGrid w:val="0"/>
        </w:rPr>
      </w:pPr>
      <w:bookmarkStart w:id="606" w:name="_Toc326309597"/>
      <w:r>
        <w:rPr>
          <w:rStyle w:val="CharSClsNo"/>
        </w:rPr>
        <w:t>3</w:t>
      </w:r>
      <w:r>
        <w:rPr>
          <w:snapToGrid w:val="0"/>
        </w:rPr>
        <w:t>.</w:t>
      </w:r>
      <w:r>
        <w:rPr>
          <w:snapToGrid w:val="0"/>
        </w:rPr>
        <w:tab/>
        <w:t>Condition in s. 9(1), non-fulfilment of by builder and owner</w:t>
      </w:r>
      <w:bookmarkEnd w:id="606"/>
    </w:p>
    <w:p>
      <w:pPr>
        <w:pStyle w:val="ySubsection"/>
        <w:rPr>
          <w:snapToGrid w:val="0"/>
        </w:rPr>
      </w:pPr>
      <w:r>
        <w:rPr>
          <w:snapToGrid w:val="0"/>
        </w:rPr>
        <w:tab/>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pPr>
        <w:pStyle w:val="yFootnotesection"/>
      </w:pPr>
      <w:r>
        <w:tab/>
        <w:t>[Clause 3 amended by No. 76 of 2000 s. 58(b); No. 19 of 2010 s. 51.]</w:t>
      </w:r>
    </w:p>
    <w:p>
      <w:pPr>
        <w:pStyle w:val="yHeading5"/>
        <w:rPr>
          <w:snapToGrid w:val="0"/>
        </w:rPr>
      </w:pPr>
      <w:bookmarkStart w:id="607" w:name="_Toc326309598"/>
      <w:r>
        <w:rPr>
          <w:rStyle w:val="CharSClsNo"/>
        </w:rPr>
        <w:t>4</w:t>
      </w:r>
      <w:r>
        <w:rPr>
          <w:snapToGrid w:val="0"/>
        </w:rPr>
        <w:t>.</w:t>
      </w:r>
      <w:r>
        <w:rPr>
          <w:snapToGrid w:val="0"/>
        </w:rPr>
        <w:tab/>
        <w:t>Rights of builder and owner if cl. 2 or 3 or s. 13(4)(c) applies</w:t>
      </w:r>
      <w:bookmarkEnd w:id="607"/>
    </w:p>
    <w:p>
      <w:pPr>
        <w:pStyle w:val="ySubsection"/>
        <w:rPr>
          <w:snapToGrid w:val="0"/>
        </w:rPr>
      </w:pPr>
      <w:r>
        <w:rPr>
          <w:snapToGrid w:val="0"/>
        </w:rPr>
        <w:tab/>
      </w:r>
      <w:r>
        <w:rPr>
          <w:snapToGrid w:val="0"/>
        </w:rPr>
        <w:tab/>
        <w:t>Where clause 2 or 3 or section 13(4)(c) applies —</w:t>
      </w:r>
    </w:p>
    <w:p>
      <w:pPr>
        <w:pStyle w:val="yIndenta"/>
        <w:rPr>
          <w:snapToGrid w:val="0"/>
        </w:rPr>
      </w:pPr>
      <w:r>
        <w:rPr>
          <w:snapToGrid w:val="0"/>
        </w:rPr>
        <w:tab/>
        <w:t>(a)</w:t>
      </w:r>
      <w:r>
        <w:rPr>
          <w:snapToGrid w:val="0"/>
        </w:rPr>
        <w:tab/>
        <w:t>the builder may by notice in writing to the owner —</w:t>
      </w:r>
    </w:p>
    <w:p>
      <w:pPr>
        <w:pStyle w:val="yIndenti0"/>
        <w:rPr>
          <w:snapToGrid w:val="0"/>
        </w:rPr>
      </w:pPr>
      <w:r>
        <w:rPr>
          <w:snapToGrid w:val="0"/>
        </w:rPr>
        <w:tab/>
        <w:t>(i)</w:t>
      </w:r>
      <w:r>
        <w:rPr>
          <w:snapToGrid w:val="0"/>
        </w:rPr>
        <w:tab/>
        <w:t>increase the price stipulated in the contract by an amount set out in the notice; and</w:t>
      </w:r>
    </w:p>
    <w:p>
      <w:pPr>
        <w:pStyle w:val="yIndenti0"/>
        <w:rPr>
          <w:snapToGrid w:val="0"/>
        </w:rPr>
      </w:pPr>
      <w:r>
        <w:rPr>
          <w:snapToGrid w:val="0"/>
        </w:rPr>
        <w:tab/>
        <w:t>(ii)</w:t>
      </w:r>
      <w:r>
        <w:rPr>
          <w:snapToGrid w:val="0"/>
        </w:rPr>
        <w:tab/>
        <w:t>specify when any increased amount is payable, which must be either —</w:t>
      </w:r>
    </w:p>
    <w:p>
      <w:pPr>
        <w:pStyle w:val="yIndentI"/>
        <w:rPr>
          <w:snapToGrid w:val="0"/>
        </w:rPr>
      </w:pPr>
      <w:r>
        <w:rPr>
          <w:snapToGrid w:val="0"/>
        </w:rPr>
        <w:tab/>
        <w:t>(A)</w:t>
      </w:r>
      <w:r>
        <w:rPr>
          <w:snapToGrid w:val="0"/>
        </w:rPr>
        <w:tab/>
        <w:t>not later than 10 working days after the notice is given; or</w:t>
      </w:r>
    </w:p>
    <w:p>
      <w:pPr>
        <w:pStyle w:val="yIndentI"/>
        <w:rPr>
          <w:snapToGrid w:val="0"/>
        </w:rPr>
      </w:pPr>
      <w:r>
        <w:rPr>
          <w:snapToGrid w:val="0"/>
        </w:rPr>
        <w:tab/>
        <w:t>(B)</w:t>
      </w:r>
      <w:r>
        <w:rPr>
          <w:snapToGrid w:val="0"/>
        </w:rPr>
        <w:tab/>
        <w:t>at the time of a progress payment;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pPr>
        <w:pStyle w:val="yFootnotesection"/>
      </w:pPr>
      <w:r>
        <w:tab/>
        <w:t>[Clause 4 amended by No. 57 of 1997 s. 73; No. 19 of 2010 s. 51.]</w:t>
      </w:r>
    </w:p>
    <w:p>
      <w:pPr>
        <w:pStyle w:val="yHeading5"/>
        <w:rPr>
          <w:snapToGrid w:val="0"/>
        </w:rPr>
      </w:pPr>
      <w:bookmarkStart w:id="608" w:name="_Toc326309599"/>
      <w:r>
        <w:rPr>
          <w:rStyle w:val="CharSClsNo"/>
        </w:rPr>
        <w:t>5</w:t>
      </w:r>
      <w:r>
        <w:rPr>
          <w:snapToGrid w:val="0"/>
        </w:rPr>
        <w:t>.</w:t>
      </w:r>
      <w:r>
        <w:rPr>
          <w:snapToGrid w:val="0"/>
        </w:rPr>
        <w:tab/>
        <w:t>Price increase, review of</w:t>
      </w:r>
      <w:bookmarkEnd w:id="608"/>
    </w:p>
    <w:p>
      <w:pPr>
        <w:pStyle w:val="ySubsection"/>
      </w:pPr>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p>
    <w:p>
      <w:pPr>
        <w:pStyle w:val="ySubsection"/>
        <w:rPr>
          <w:snapToGrid w:val="0"/>
        </w:rPr>
      </w:pPr>
      <w:r>
        <w:rPr>
          <w:snapToGrid w:val="0"/>
        </w:rPr>
        <w:tab/>
        <w:t>(2)</w:t>
      </w:r>
      <w:r>
        <w:rPr>
          <w:snapToGrid w:val="0"/>
        </w:rPr>
        <w:tab/>
        <w:t xml:space="preserve">On a </w:t>
      </w:r>
      <w:r>
        <w:t xml:space="preserve">complaint referred to in subclause (1) </w:t>
      </w:r>
      <w:r>
        <w:rPr>
          <w:snapToGrid w:val="0"/>
        </w:rPr>
        <w:t>the builder is required to show that the price has been increased to reflect actual increases in costs between the date of the contract and the date of the notice under clause 4(a).</w:t>
      </w:r>
    </w:p>
    <w:p>
      <w:pPr>
        <w:pStyle w:val="yFootnotesection"/>
      </w:pPr>
      <w:r>
        <w:tab/>
        <w:t>[Clause 5 amended by No. 76 of 2000 s. 57 and 58(c); No. 37 of 2002 s. 20; No. 19 of 2010 s. 51; No. 16 of 2011 s. 126.]</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609" w:name="_Toc89521590"/>
      <w:bookmarkStart w:id="610" w:name="_Toc89521659"/>
      <w:bookmarkStart w:id="611" w:name="_Toc96246705"/>
      <w:bookmarkStart w:id="612" w:name="_Toc97107174"/>
      <w:bookmarkStart w:id="613" w:name="_Toc102366023"/>
      <w:bookmarkStart w:id="614" w:name="_Toc103067046"/>
      <w:bookmarkStart w:id="615" w:name="_Toc124730147"/>
      <w:bookmarkStart w:id="616" w:name="_Toc124734196"/>
      <w:bookmarkStart w:id="617" w:name="_Toc124748278"/>
      <w:bookmarkStart w:id="618" w:name="_Toc127681827"/>
      <w:bookmarkStart w:id="619" w:name="_Toc129580039"/>
      <w:bookmarkStart w:id="620" w:name="_Toc211745976"/>
      <w:bookmarkStart w:id="621" w:name="_Toc268266295"/>
      <w:bookmarkStart w:id="622" w:name="_Toc268688360"/>
      <w:bookmarkStart w:id="623" w:name="_Toc272150940"/>
      <w:bookmarkStart w:id="624" w:name="_Toc294177304"/>
      <w:bookmarkStart w:id="625" w:name="_Toc296609957"/>
      <w:bookmarkStart w:id="626" w:name="_Toc298424959"/>
      <w:bookmarkStart w:id="627" w:name="_Toc298425033"/>
      <w:bookmarkStart w:id="628" w:name="_Toc302113325"/>
      <w:bookmarkStart w:id="629" w:name="_Toc302127969"/>
      <w:bookmarkStart w:id="630" w:name="_Toc307408880"/>
      <w:bookmarkStart w:id="631" w:name="_Toc320776944"/>
      <w:bookmarkStart w:id="632" w:name="_Toc320777390"/>
      <w:bookmarkStart w:id="633" w:name="_Toc320790144"/>
      <w:bookmarkStart w:id="634" w:name="_Toc321397037"/>
      <w:bookmarkStart w:id="635" w:name="_Toc321400296"/>
      <w:bookmarkStart w:id="636" w:name="_Toc325102738"/>
      <w:bookmarkStart w:id="637" w:name="_Toc325103832"/>
      <w:bookmarkStart w:id="638" w:name="_Toc326224291"/>
      <w:bookmarkStart w:id="639" w:name="_Toc326309600"/>
      <w:r>
        <w:t>Notes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nSubsection"/>
        <w:rPr>
          <w:snapToGrid w:val="0"/>
        </w:rPr>
      </w:pPr>
      <w:r>
        <w:rPr>
          <w:snapToGrid w:val="0"/>
          <w:vertAlign w:val="superscript"/>
        </w:rPr>
        <w:t>1</w:t>
      </w:r>
      <w:r>
        <w:rPr>
          <w:snapToGrid w:val="0"/>
        </w:rPr>
        <w:tab/>
        <w:t xml:space="preserve">This reprint is a compilation as at 25 May 2012 of the </w:t>
      </w:r>
      <w:smartTag w:uri="urn:schemas-microsoft-com:office:smarttags" w:element="place">
        <w:smartTag w:uri="urn:schemas-microsoft-com:office:smarttags" w:element="PlaceType">
          <w:r>
            <w:rPr>
              <w:i/>
              <w:noProof/>
              <w:snapToGrid w:val="0"/>
            </w:rPr>
            <w:t>Home</w:t>
          </w:r>
        </w:smartTag>
        <w:r>
          <w:rPr>
            <w:i/>
            <w:noProof/>
            <w:snapToGrid w:val="0"/>
          </w:rPr>
          <w:t xml:space="preserve"> </w:t>
        </w:r>
        <w:smartTag w:uri="urn:schemas-microsoft-com:office:smarttags" w:element="PlaceType">
          <w:r>
            <w:rPr>
              <w:i/>
              <w:noProof/>
              <w:snapToGrid w:val="0"/>
            </w:rPr>
            <w:t>Building</w:t>
          </w:r>
        </w:smartTag>
      </w:smartTag>
      <w:r>
        <w:rPr>
          <w:i/>
          <w:noProof/>
          <w:snapToGrid w:val="0"/>
        </w:rPr>
        <w:t xml:space="preserve"> Contracts Act 1991</w:t>
      </w:r>
      <w:r>
        <w:rPr>
          <w:snapToGrid w:val="0"/>
        </w:rPr>
        <w:t xml:space="preserve"> and includes the amendments made by the other written laws referred to in the following table</w:t>
      </w:r>
      <w:r>
        <w:rPr>
          <w:caps/>
          <w:snapToGrid w:val="0"/>
          <w:vertAlign w:val="superscript"/>
        </w:rPr>
        <w:t> 2</w:t>
      </w:r>
      <w:r>
        <w:rPr>
          <w:snapToGrid w:val="0"/>
        </w:rPr>
        <w:t>.  The table also contains information about any reprint.</w:t>
      </w:r>
    </w:p>
    <w:p>
      <w:pPr>
        <w:pStyle w:val="nHeading3"/>
        <w:spacing w:before="180"/>
        <w:rPr>
          <w:snapToGrid w:val="0"/>
        </w:rPr>
      </w:pPr>
      <w:bookmarkStart w:id="640" w:name="_Toc326309601"/>
      <w:r>
        <w:rPr>
          <w:snapToGrid w:val="0"/>
        </w:rPr>
        <w:t>Compilation table</w:t>
      </w:r>
      <w:bookmarkEnd w:id="6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Act 1991</w:t>
            </w:r>
          </w:p>
        </w:tc>
        <w:tc>
          <w:tcPr>
            <w:tcW w:w="1134" w:type="dxa"/>
            <w:tcBorders>
              <w:top w:val="single" w:sz="8" w:space="0" w:color="auto"/>
            </w:tcBorders>
          </w:tcPr>
          <w:p>
            <w:pPr>
              <w:pStyle w:val="nTable"/>
              <w:spacing w:after="40"/>
              <w:rPr>
                <w:sz w:val="19"/>
              </w:rPr>
            </w:pPr>
            <w:r>
              <w:rPr>
                <w:sz w:val="19"/>
              </w:rPr>
              <w:t>61 of 1991</w:t>
            </w:r>
          </w:p>
        </w:tc>
        <w:tc>
          <w:tcPr>
            <w:tcW w:w="1134" w:type="dxa"/>
            <w:tcBorders>
              <w:top w:val="single" w:sz="8" w:space="0" w:color="auto"/>
            </w:tcBorders>
          </w:tcPr>
          <w:p>
            <w:pPr>
              <w:pStyle w:val="nTable"/>
              <w:spacing w:after="40"/>
              <w:rPr>
                <w:sz w:val="19"/>
              </w:rPr>
            </w:pPr>
            <w:r>
              <w:rPr>
                <w:sz w:val="19"/>
              </w:rPr>
              <w:t>30 Dec 1991</w:t>
            </w:r>
          </w:p>
        </w:tc>
        <w:tc>
          <w:tcPr>
            <w:tcW w:w="2552" w:type="dxa"/>
            <w:tcBorders>
              <w:top w:val="single" w:sz="8" w:space="0" w:color="auto"/>
            </w:tcBorders>
          </w:tcPr>
          <w:p>
            <w:pPr>
              <w:pStyle w:val="nTable"/>
              <w:spacing w:after="40"/>
              <w:rPr>
                <w:sz w:val="19"/>
              </w:rPr>
            </w:pPr>
            <w:r>
              <w:rPr>
                <w:sz w:val="19"/>
              </w:rPr>
              <w:t>s. 1 and 2: 30 Dec 1991;</w:t>
            </w:r>
            <w:r>
              <w:rPr>
                <w:sz w:val="19"/>
              </w:rPr>
              <w:br/>
              <w:t xml:space="preserve">Act other than s. 1 and 2: 4 Apr 1992 (see s. 2 and </w:t>
            </w:r>
            <w:r>
              <w:rPr>
                <w:i/>
                <w:sz w:val="19"/>
              </w:rPr>
              <w:t>Gazette</w:t>
            </w:r>
            <w:r>
              <w:rPr>
                <w:sz w:val="19"/>
              </w:rPr>
              <w:t xml:space="preserve"> 3 Apr 1992 p. 1461)</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97</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1996</w:t>
            </w:r>
          </w:p>
        </w:tc>
        <w:tc>
          <w:tcPr>
            <w:tcW w:w="1134" w:type="dxa"/>
          </w:tcPr>
          <w:p>
            <w:pPr>
              <w:pStyle w:val="nTable"/>
              <w:spacing w:after="40"/>
              <w:rPr>
                <w:sz w:val="19"/>
              </w:rPr>
            </w:pPr>
            <w:r>
              <w:rPr>
                <w:sz w:val="19"/>
              </w:rPr>
              <w:t>72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s. 1 and 2: 13 Nov 1996;</w:t>
            </w:r>
            <w:r>
              <w:rPr>
                <w:sz w:val="19"/>
              </w:rPr>
              <w:br/>
              <w:t xml:space="preserve">Act other than s. 1 and 2: 1 Feb 1997 (see s. 2 and </w:t>
            </w:r>
            <w:r>
              <w:rPr>
                <w:i/>
                <w:sz w:val="19"/>
              </w:rPr>
              <w:t>Gazette</w:t>
            </w:r>
            <w:r>
              <w:rPr>
                <w:sz w:val="19"/>
              </w:rPr>
              <w:t xml:space="preserve"> 24 Jan 1997 p. 543)</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sz w:val="19"/>
              </w:rPr>
              <w:br w:type="page"/>
            </w:r>
            <w:r>
              <w:rPr>
                <w:i/>
                <w:sz w:val="19"/>
              </w:rPr>
              <w:t xml:space="preserve">Statutes (Repeals and Minor Amendments) Act 1997 </w:t>
            </w:r>
            <w:r>
              <w:rPr>
                <w:sz w:val="19"/>
              </w:rPr>
              <w:t>s. 73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30 Oct 1998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Building Legislation Amendment Act 2000 </w:t>
            </w:r>
            <w:r>
              <w:rPr>
                <w:sz w:val="19"/>
              </w:rPr>
              <w:t>Pt. 3 and s. 59 and 62 </w:t>
            </w:r>
            <w:r>
              <w:rPr>
                <w:sz w:val="19"/>
                <w:vertAlign w:val="superscript"/>
              </w:rPr>
              <w:t>3</w:t>
            </w:r>
          </w:p>
        </w:tc>
        <w:tc>
          <w:tcPr>
            <w:tcW w:w="1134" w:type="dxa"/>
          </w:tcPr>
          <w:p>
            <w:pPr>
              <w:pStyle w:val="nTable"/>
              <w:spacing w:after="40"/>
              <w:rPr>
                <w:sz w:val="19"/>
              </w:rPr>
            </w:pPr>
            <w:r>
              <w:rPr>
                <w:sz w:val="19"/>
              </w:rPr>
              <w:t>76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s. 43, 44, 48, 49(2), 50(1), 51</w:t>
            </w:r>
            <w:r>
              <w:rPr>
                <w:sz w:val="19"/>
              </w:rPr>
              <w:noBreakHyphen/>
              <w:t xml:space="preserve">53, 55-57, 58(c), 59 and 62: 1 Aug 2001 (see s. 2 and </w:t>
            </w:r>
            <w:r>
              <w:rPr>
                <w:i/>
                <w:sz w:val="19"/>
              </w:rPr>
              <w:t>Gazette</w:t>
            </w:r>
            <w:r>
              <w:rPr>
                <w:sz w:val="19"/>
              </w:rPr>
              <w:t xml:space="preserve"> 31 Jul 2001 p. 3907);</w:t>
            </w:r>
            <w:r>
              <w:rPr>
                <w:sz w:val="19"/>
              </w:rPr>
              <w:br/>
              <w:t xml:space="preserve">s. 45-47, 49(1), 50(2), 54, 58(a) and (b): 1 Nov 2001 (see s. 2 and </w:t>
            </w:r>
            <w:r>
              <w:rPr>
                <w:i/>
                <w:sz w:val="19"/>
              </w:rPr>
              <w:t>Gazette</w:t>
            </w:r>
            <w:r>
              <w:rPr>
                <w:sz w:val="19"/>
              </w:rPr>
              <w:t xml:space="preserve"> 31 Jul 2001 p. 3907)</w:t>
            </w:r>
          </w:p>
        </w:tc>
      </w:tr>
      <w:tr>
        <w:trPr>
          <w:cantSplit/>
        </w:trPr>
        <w:tc>
          <w:tcPr>
            <w:tcW w:w="2268" w:type="dxa"/>
          </w:tcPr>
          <w:p>
            <w:pPr>
              <w:pStyle w:val="nTable"/>
              <w:keepNext/>
              <w:spacing w:before="60" w:after="60"/>
              <w:ind w:right="113"/>
              <w:rPr>
                <w:sz w:val="19"/>
              </w:rPr>
            </w:pPr>
            <w:r>
              <w:rPr>
                <w:i/>
                <w:sz w:val="19"/>
              </w:rPr>
              <w:t xml:space="preserve">Corporations (Consequential Amendments) Act 2001 </w:t>
            </w:r>
            <w:r>
              <w:rPr>
                <w:sz w:val="19"/>
              </w:rPr>
              <w:t>s. 220</w:t>
            </w:r>
          </w:p>
        </w:tc>
        <w:tc>
          <w:tcPr>
            <w:tcW w:w="1134" w:type="dxa"/>
          </w:tcPr>
          <w:p>
            <w:pPr>
              <w:pStyle w:val="nTable"/>
              <w:keepNext/>
              <w:spacing w:before="60" w:after="60"/>
              <w:rPr>
                <w:sz w:val="19"/>
              </w:rPr>
            </w:pPr>
            <w:r>
              <w:rPr>
                <w:sz w:val="19"/>
              </w:rPr>
              <w:t>10 of 2001</w:t>
            </w:r>
          </w:p>
        </w:tc>
        <w:tc>
          <w:tcPr>
            <w:tcW w:w="1134" w:type="dxa"/>
          </w:tcPr>
          <w:p>
            <w:pPr>
              <w:pStyle w:val="nTable"/>
              <w:keepNext/>
              <w:spacing w:before="60" w:after="60"/>
              <w:rPr>
                <w:sz w:val="19"/>
              </w:rPr>
            </w:pPr>
            <w:r>
              <w:rPr>
                <w:sz w:val="19"/>
              </w:rPr>
              <w:t>28 Jun 2001</w:t>
            </w:r>
          </w:p>
        </w:tc>
        <w:tc>
          <w:tcPr>
            <w:tcW w:w="2552" w:type="dxa"/>
          </w:tcPr>
          <w:p>
            <w:pPr>
              <w:pStyle w:val="nTable"/>
              <w:keepNext/>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before="60" w:after="60"/>
              <w:rPr>
                <w:sz w:val="19"/>
              </w:rPr>
            </w:pPr>
            <w:r>
              <w:rPr>
                <w:b/>
                <w:sz w:val="19"/>
              </w:rPr>
              <w:t xml:space="preserve">Reprint of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9 Nov 2001 </w:t>
            </w:r>
            <w:r>
              <w:rPr>
                <w:sz w:val="19"/>
              </w:rPr>
              <w:t>(includes amendments listed above)</w:t>
            </w:r>
          </w:p>
        </w:tc>
      </w:tr>
      <w:tr>
        <w:trPr>
          <w:cantSplit/>
        </w:trPr>
        <w:tc>
          <w:tcPr>
            <w:tcW w:w="2268" w:type="dxa"/>
          </w:tcPr>
          <w:p>
            <w:pPr>
              <w:pStyle w:val="nTable"/>
              <w:spacing w:before="60" w:after="60"/>
              <w:ind w:right="113"/>
              <w:rPr>
                <w:sz w:val="19"/>
              </w:rPr>
            </w:pPr>
            <w:smartTag w:uri="urn:schemas-microsoft-com:office:smarttags" w:element="place">
              <w:smartTag w:uri="urn:schemas-microsoft-com:office:smarttags" w:element="PlaceType">
                <w:r>
                  <w:rPr>
                    <w:i/>
                    <w:sz w:val="19"/>
                  </w:rPr>
                  <w:t>Home</w:t>
                </w:r>
              </w:smartTag>
              <w:r>
                <w:rPr>
                  <w:i/>
                  <w:sz w:val="19"/>
                </w:rPr>
                <w:t xml:space="preserve"> </w:t>
              </w:r>
              <w:smartTag w:uri="urn:schemas-microsoft-com:office:smarttags" w:element="PlaceType">
                <w:r>
                  <w:rPr>
                    <w:i/>
                    <w:sz w:val="19"/>
                  </w:rPr>
                  <w:t>Building</w:t>
                </w:r>
              </w:smartTag>
            </w:smartTag>
            <w:r>
              <w:rPr>
                <w:i/>
                <w:sz w:val="19"/>
              </w:rPr>
              <w:t xml:space="preserve"> Contracts Amendment Act 2002</w:t>
            </w:r>
          </w:p>
        </w:tc>
        <w:tc>
          <w:tcPr>
            <w:tcW w:w="1134" w:type="dxa"/>
          </w:tcPr>
          <w:p>
            <w:pPr>
              <w:pStyle w:val="nTable"/>
              <w:spacing w:before="60" w:after="60"/>
              <w:rPr>
                <w:sz w:val="19"/>
              </w:rPr>
            </w:pPr>
            <w:r>
              <w:rPr>
                <w:sz w:val="19"/>
              </w:rPr>
              <w:t>37 of 2002</w:t>
            </w:r>
          </w:p>
        </w:tc>
        <w:tc>
          <w:tcPr>
            <w:tcW w:w="1134" w:type="dxa"/>
          </w:tcPr>
          <w:p>
            <w:pPr>
              <w:pStyle w:val="nTable"/>
              <w:spacing w:before="60" w:after="60"/>
              <w:rPr>
                <w:sz w:val="19"/>
              </w:rPr>
            </w:pPr>
            <w:r>
              <w:rPr>
                <w:sz w:val="19"/>
              </w:rPr>
              <w:t>20 Nov 2002</w:t>
            </w:r>
          </w:p>
        </w:tc>
        <w:tc>
          <w:tcPr>
            <w:tcW w:w="2552" w:type="dxa"/>
          </w:tcPr>
          <w:p>
            <w:pPr>
              <w:pStyle w:val="nTable"/>
              <w:spacing w:before="60" w:after="60"/>
              <w:rPr>
                <w:sz w:val="19"/>
              </w:rPr>
            </w:pPr>
            <w:r>
              <w:rPr>
                <w:sz w:val="19"/>
              </w:rPr>
              <w:t>20 Nov 2002 (see s. 2)</w:t>
            </w:r>
          </w:p>
        </w:tc>
      </w:tr>
      <w:tr>
        <w:trPr>
          <w:cantSplit/>
        </w:trPr>
        <w:tc>
          <w:tcPr>
            <w:tcW w:w="2268" w:type="dxa"/>
          </w:tcPr>
          <w:p>
            <w:pPr>
              <w:pStyle w:val="nTable"/>
              <w:spacing w:before="60" w:after="60"/>
              <w:ind w:right="113"/>
              <w:rPr>
                <w:sz w:val="19"/>
              </w:rPr>
            </w:pPr>
            <w:r>
              <w:rPr>
                <w:i/>
                <w:sz w:val="19"/>
              </w:rPr>
              <w:t>Statutes (Repeals and Minor Amendments) Act 2003</w:t>
            </w:r>
            <w:r>
              <w:rPr>
                <w:sz w:val="19"/>
              </w:rPr>
              <w:t xml:space="preserve"> s. 66</w:t>
            </w:r>
          </w:p>
        </w:tc>
        <w:tc>
          <w:tcPr>
            <w:tcW w:w="1134" w:type="dxa"/>
          </w:tcPr>
          <w:p>
            <w:pPr>
              <w:pStyle w:val="nTable"/>
              <w:spacing w:before="60" w:after="60"/>
              <w:rPr>
                <w:sz w:val="19"/>
              </w:rPr>
            </w:pPr>
            <w:r>
              <w:rPr>
                <w:sz w:val="19"/>
              </w:rPr>
              <w:t>74 of 2003</w:t>
            </w:r>
          </w:p>
        </w:tc>
        <w:tc>
          <w:tcPr>
            <w:tcW w:w="1134" w:type="dxa"/>
          </w:tcPr>
          <w:p>
            <w:pPr>
              <w:pStyle w:val="nTable"/>
              <w:spacing w:before="60" w:after="60"/>
              <w:rPr>
                <w:sz w:val="19"/>
              </w:rPr>
            </w:pPr>
            <w:r>
              <w:rPr>
                <w:sz w:val="19"/>
              </w:rPr>
              <w:t>15 Dec 2003</w:t>
            </w:r>
          </w:p>
        </w:tc>
        <w:tc>
          <w:tcPr>
            <w:tcW w:w="2552" w:type="dxa"/>
          </w:tcPr>
          <w:p>
            <w:pPr>
              <w:pStyle w:val="nTable"/>
              <w:spacing w:before="60" w:after="60"/>
              <w:rPr>
                <w:sz w:val="19"/>
              </w:rPr>
            </w:pPr>
            <w:r>
              <w:rPr>
                <w:spacing w:val="-2"/>
                <w:sz w:val="19"/>
              </w:rPr>
              <w:t>15 Dec 2003 (see s. 2)</w:t>
            </w:r>
          </w:p>
        </w:tc>
      </w:tr>
      <w:tr>
        <w:trPr>
          <w:cantSplit/>
        </w:trPr>
        <w:tc>
          <w:tcPr>
            <w:tcW w:w="2268" w:type="dxa"/>
          </w:tcPr>
          <w:p>
            <w:pPr>
              <w:pStyle w:val="nTable"/>
              <w:spacing w:before="60" w:after="6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after="60"/>
              <w:rPr>
                <w:sz w:val="19"/>
              </w:rPr>
            </w:pPr>
            <w:r>
              <w:rPr>
                <w:snapToGrid w:val="0"/>
                <w:sz w:val="19"/>
                <w:lang w:val="en-US"/>
              </w:rPr>
              <w:t>59 of 2004</w:t>
            </w:r>
          </w:p>
        </w:tc>
        <w:tc>
          <w:tcPr>
            <w:tcW w:w="1134" w:type="dxa"/>
          </w:tcPr>
          <w:p>
            <w:pPr>
              <w:pStyle w:val="nTable"/>
              <w:spacing w:before="60" w:after="60"/>
              <w:rPr>
                <w:sz w:val="19"/>
              </w:rPr>
            </w:pPr>
            <w:r>
              <w:rPr>
                <w:snapToGrid w:val="0"/>
                <w:sz w:val="19"/>
                <w:lang w:val="en-US"/>
              </w:rPr>
              <w:t>23 Nov 2004</w:t>
            </w:r>
          </w:p>
        </w:tc>
        <w:tc>
          <w:tcPr>
            <w:tcW w:w="2552" w:type="dxa"/>
          </w:tcPr>
          <w:p>
            <w:pPr>
              <w:pStyle w:val="nTable"/>
              <w:spacing w:before="60" w:after="6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before="60" w:after="6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60" w:after="60"/>
              <w:rPr>
                <w:snapToGrid w:val="0"/>
                <w:sz w:val="19"/>
                <w:lang w:val="en-US"/>
              </w:rPr>
            </w:pPr>
            <w:r>
              <w:rPr>
                <w:snapToGrid w:val="0"/>
                <w:sz w:val="19"/>
                <w:lang w:val="en-US"/>
              </w:rPr>
              <w:t>84 of 2004</w:t>
            </w:r>
          </w:p>
        </w:tc>
        <w:tc>
          <w:tcPr>
            <w:tcW w:w="1134" w:type="dxa"/>
          </w:tcPr>
          <w:p>
            <w:pPr>
              <w:pStyle w:val="nTable"/>
              <w:spacing w:before="60" w:after="60"/>
              <w:rPr>
                <w:snapToGrid w:val="0"/>
                <w:sz w:val="19"/>
                <w:lang w:val="en-US"/>
              </w:rPr>
            </w:pPr>
            <w:r>
              <w:rPr>
                <w:sz w:val="19"/>
              </w:rPr>
              <w:t>16 Dec 2004</w:t>
            </w:r>
          </w:p>
        </w:tc>
        <w:tc>
          <w:tcPr>
            <w:tcW w:w="2552" w:type="dxa"/>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before="60" w:after="60"/>
              <w:rPr>
                <w:snapToGrid w:val="0"/>
                <w:sz w:val="19"/>
                <w:lang w:val="en-US"/>
              </w:rPr>
            </w:pPr>
            <w:r>
              <w:rPr>
                <w:b/>
                <w:sz w:val="19"/>
              </w:rPr>
              <w:t xml:space="preserve">Reprint 3: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10 Feb 2006 </w:t>
            </w:r>
            <w:r>
              <w:rPr>
                <w:sz w:val="19"/>
              </w:rPr>
              <w:t>(includes amendments listed above)</w:t>
            </w:r>
          </w:p>
        </w:tc>
      </w:tr>
      <w:tr>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75</w:t>
            </w:r>
          </w:p>
        </w:tc>
        <w:tc>
          <w:tcPr>
            <w:tcW w:w="1134" w:type="dxa"/>
          </w:tcPr>
          <w:p>
            <w:pPr>
              <w:pStyle w:val="nTable"/>
              <w:spacing w:before="60" w:after="60"/>
              <w:rPr>
                <w:sz w:val="19"/>
              </w:rPr>
            </w:pPr>
            <w:r>
              <w:rPr>
                <w:sz w:val="19"/>
              </w:rPr>
              <w:t xml:space="preserve">8 of 2009 </w:t>
            </w:r>
          </w:p>
        </w:tc>
        <w:tc>
          <w:tcPr>
            <w:tcW w:w="1134" w:type="dxa"/>
          </w:tcPr>
          <w:p>
            <w:pPr>
              <w:pStyle w:val="nTable"/>
              <w:spacing w:before="60" w:after="60"/>
              <w:rPr>
                <w:sz w:val="19"/>
              </w:rPr>
            </w:pPr>
            <w:r>
              <w:rPr>
                <w:sz w:val="19"/>
              </w:rPr>
              <w:t>21 May 2009</w:t>
            </w:r>
          </w:p>
        </w:tc>
        <w:tc>
          <w:tcPr>
            <w:tcW w:w="2552" w:type="dxa"/>
          </w:tcPr>
          <w:p>
            <w:pPr>
              <w:pStyle w:val="nTable"/>
              <w:spacing w:before="60" w:after="60"/>
              <w:rPr>
                <w:sz w:val="19"/>
              </w:rPr>
            </w:pPr>
            <w:r>
              <w:rPr>
                <w:sz w:val="19"/>
              </w:rPr>
              <w:t>22 May 2009 (see s. 2(b))</w:t>
            </w:r>
          </w:p>
        </w:tc>
      </w:tr>
      <w:tr>
        <w:trPr>
          <w:cantSplit/>
        </w:trPr>
        <w:tc>
          <w:tcPr>
            <w:tcW w:w="2268" w:type="dxa"/>
          </w:tcPr>
          <w:p>
            <w:pPr>
              <w:pStyle w:val="nTable"/>
              <w:spacing w:before="60" w:after="60"/>
              <w:ind w:right="113"/>
              <w:rPr>
                <w:sz w:val="19"/>
              </w:rPr>
            </w:pPr>
            <w:r>
              <w:rPr>
                <w:i/>
                <w:snapToGrid w:val="0"/>
                <w:sz w:val="19"/>
                <w:lang w:val="en-US"/>
              </w:rPr>
              <w:t>Standardisation of Formatting Act 2010</w:t>
            </w:r>
            <w:r>
              <w:rPr>
                <w:i/>
                <w:iCs/>
                <w:snapToGrid w:val="0"/>
                <w:sz w:val="19"/>
                <w:lang w:val="en-US"/>
              </w:rPr>
              <w:t xml:space="preserve"> </w:t>
            </w:r>
            <w:r>
              <w:rPr>
                <w:snapToGrid w:val="0"/>
                <w:sz w:val="19"/>
                <w:lang w:val="en-US"/>
              </w:rPr>
              <w:t>s. 4 and 51</w:t>
            </w:r>
          </w:p>
        </w:tc>
        <w:tc>
          <w:tcPr>
            <w:tcW w:w="1134" w:type="dxa"/>
          </w:tcPr>
          <w:p>
            <w:pPr>
              <w:pStyle w:val="nTable"/>
              <w:spacing w:before="60" w:after="60"/>
              <w:rPr>
                <w:sz w:val="19"/>
              </w:rPr>
            </w:pPr>
            <w:r>
              <w:rPr>
                <w:snapToGrid w:val="0"/>
                <w:sz w:val="19"/>
                <w:lang w:val="en-US"/>
              </w:rPr>
              <w:t>19 of 2010</w:t>
            </w:r>
          </w:p>
        </w:tc>
        <w:tc>
          <w:tcPr>
            <w:tcW w:w="1134" w:type="dxa"/>
          </w:tcPr>
          <w:p>
            <w:pPr>
              <w:pStyle w:val="nTable"/>
              <w:spacing w:before="60" w:after="60"/>
              <w:rPr>
                <w:sz w:val="19"/>
              </w:rPr>
            </w:pPr>
            <w:r>
              <w:rPr>
                <w:snapToGrid w:val="0"/>
                <w:sz w:val="19"/>
                <w:lang w:val="en-US"/>
              </w:rPr>
              <w:t>28 Jun 2010</w:t>
            </w:r>
          </w:p>
        </w:tc>
        <w:tc>
          <w:tcPr>
            <w:tcW w:w="2552" w:type="dxa"/>
          </w:tcPr>
          <w:p>
            <w:pPr>
              <w:pStyle w:val="nTable"/>
              <w:spacing w:before="60" w:after="6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before="60" w:after="60"/>
              <w:ind w:right="113"/>
              <w:rPr>
                <w:i/>
                <w:snapToGrid w:val="0"/>
                <w:sz w:val="19"/>
                <w:lang w:val="en-US"/>
              </w:rPr>
            </w:pPr>
            <w:r>
              <w:rPr>
                <w:i/>
                <w:snapToGrid w:val="0"/>
                <w:sz w:val="19"/>
                <w:lang w:val="en-US"/>
              </w:rPr>
              <w:t xml:space="preserve">Building Services (Complaint Resolution and Administration) Act 2011 </w:t>
            </w:r>
            <w:r>
              <w:rPr>
                <w:snapToGrid w:val="0"/>
                <w:sz w:val="19"/>
                <w:lang w:val="en-US"/>
              </w:rPr>
              <w:t>Pt. 10 Div. 1 </w:t>
            </w:r>
          </w:p>
        </w:tc>
        <w:tc>
          <w:tcPr>
            <w:tcW w:w="1134" w:type="dxa"/>
          </w:tcPr>
          <w:p>
            <w:pPr>
              <w:pStyle w:val="nTable"/>
              <w:spacing w:before="60" w:after="60"/>
              <w:rPr>
                <w:snapToGrid w:val="0"/>
                <w:sz w:val="19"/>
                <w:lang w:val="en-US"/>
              </w:rPr>
            </w:pPr>
            <w:r>
              <w:rPr>
                <w:snapToGrid w:val="0"/>
                <w:sz w:val="19"/>
                <w:lang w:val="en-US"/>
              </w:rPr>
              <w:t>16 of 2011</w:t>
            </w:r>
          </w:p>
        </w:tc>
        <w:tc>
          <w:tcPr>
            <w:tcW w:w="1134" w:type="dxa"/>
          </w:tcPr>
          <w:p>
            <w:pPr>
              <w:pStyle w:val="nTable"/>
              <w:spacing w:before="60" w:after="60"/>
              <w:rPr>
                <w:snapToGrid w:val="0"/>
                <w:sz w:val="19"/>
                <w:lang w:val="en-US"/>
              </w:rPr>
            </w:pPr>
            <w:r>
              <w:rPr>
                <w:snapToGrid w:val="0"/>
                <w:sz w:val="19"/>
                <w:lang w:val="en-US"/>
              </w:rPr>
              <w:t>25 May 2011</w:t>
            </w:r>
          </w:p>
        </w:tc>
        <w:tc>
          <w:tcPr>
            <w:tcW w:w="2552" w:type="dxa"/>
          </w:tcPr>
          <w:p>
            <w:pPr>
              <w:pStyle w:val="nTable"/>
              <w:spacing w:before="60" w:after="60"/>
              <w:rPr>
                <w:snapToGrid w:val="0"/>
                <w:sz w:val="19"/>
                <w:lang w:val="en-US"/>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p>
        </w:tc>
      </w:tr>
      <w:tr>
        <w:trPr>
          <w:cantSplit/>
        </w:trPr>
        <w:tc>
          <w:tcPr>
            <w:tcW w:w="2268" w:type="dxa"/>
          </w:tcPr>
          <w:p>
            <w:pPr>
              <w:pStyle w:val="nTable"/>
              <w:spacing w:before="60" w:after="60"/>
              <w:ind w:right="113"/>
              <w:rPr>
                <w:i/>
                <w:snapToGrid w:val="0"/>
                <w:sz w:val="19"/>
                <w:lang w:val="en-US"/>
              </w:rPr>
            </w:pPr>
            <w:r>
              <w:rPr>
                <w:i/>
                <w:snapToGrid w:val="0"/>
                <w:sz w:val="19"/>
                <w:lang w:val="en-US"/>
              </w:rPr>
              <w:t xml:space="preserve">Building Services (Registration) Act 2011 </w:t>
            </w:r>
            <w:r>
              <w:rPr>
                <w:snapToGrid w:val="0"/>
                <w:sz w:val="19"/>
                <w:lang w:val="en-US"/>
              </w:rPr>
              <w:t>Pt. 10 Div. 1</w:t>
            </w:r>
          </w:p>
        </w:tc>
        <w:tc>
          <w:tcPr>
            <w:tcW w:w="1134" w:type="dxa"/>
          </w:tcPr>
          <w:p>
            <w:pPr>
              <w:pStyle w:val="nTable"/>
              <w:spacing w:before="60" w:after="60"/>
              <w:rPr>
                <w:snapToGrid w:val="0"/>
                <w:sz w:val="19"/>
                <w:lang w:val="en-US"/>
              </w:rPr>
            </w:pPr>
            <w:r>
              <w:rPr>
                <w:snapToGrid w:val="0"/>
                <w:sz w:val="19"/>
                <w:lang w:val="en-US"/>
              </w:rPr>
              <w:t>19 of 2011</w:t>
            </w:r>
          </w:p>
        </w:tc>
        <w:tc>
          <w:tcPr>
            <w:tcW w:w="1134" w:type="dxa"/>
          </w:tcPr>
          <w:p>
            <w:pPr>
              <w:pStyle w:val="nTable"/>
              <w:spacing w:before="60" w:after="60"/>
              <w:rPr>
                <w:snapToGrid w:val="0"/>
                <w:sz w:val="19"/>
                <w:lang w:val="en-US"/>
              </w:rPr>
            </w:pPr>
            <w:r>
              <w:rPr>
                <w:snapToGrid w:val="0"/>
                <w:sz w:val="19"/>
                <w:lang w:val="en-US"/>
              </w:rPr>
              <w:t>22 Jun 2011</w:t>
            </w:r>
          </w:p>
        </w:tc>
        <w:tc>
          <w:tcPr>
            <w:tcW w:w="2552" w:type="dxa"/>
          </w:tcPr>
          <w:p>
            <w:pPr>
              <w:pStyle w:val="nTable"/>
              <w:spacing w:before="60" w:after="60"/>
              <w:rPr>
                <w:snapToGrid w:val="0"/>
                <w:sz w:val="19"/>
                <w:lang w:val="en-US"/>
              </w:rPr>
            </w:pPr>
            <w:r>
              <w:rPr>
                <w:snapToGrid w:val="0"/>
                <w:sz w:val="19"/>
                <w:lang w:val="en-US"/>
              </w:rPr>
              <w:t xml:space="preserve">29 Aug 2011 (see s. 2(b) and </w:t>
            </w:r>
            <w:r>
              <w:rPr>
                <w:i/>
                <w:snapToGrid w:val="0"/>
                <w:sz w:val="19"/>
                <w:lang w:val="en-US"/>
              </w:rPr>
              <w:t xml:space="preserve">Gazette </w:t>
            </w:r>
            <w:r>
              <w:rPr>
                <w:snapToGrid w:val="0"/>
                <w:sz w:val="19"/>
                <w:lang w:val="en-US"/>
              </w:rPr>
              <w:t>26 Aug 2011 p. 3475</w:t>
            </w:r>
            <w:r>
              <w:rPr>
                <w:snapToGrid w:val="0"/>
                <w:sz w:val="19"/>
                <w:lang w:val="en-US"/>
              </w:rPr>
              <w:noBreakHyphen/>
              <w:t>6)</w:t>
            </w:r>
          </w:p>
        </w:tc>
      </w:tr>
      <w:tr>
        <w:trPr>
          <w:cantSplit/>
        </w:trPr>
        <w:tc>
          <w:tcPr>
            <w:tcW w:w="2268" w:type="dxa"/>
          </w:tcPr>
          <w:p>
            <w:pPr>
              <w:pStyle w:val="nTable"/>
              <w:spacing w:before="60" w:after="60"/>
              <w:ind w:right="113"/>
              <w:rPr>
                <w:i/>
                <w:snapToGrid w:val="0"/>
                <w:sz w:val="19"/>
                <w:lang w:val="en-US"/>
              </w:rPr>
            </w:pPr>
            <w:r>
              <w:rPr>
                <w:i/>
                <w:snapToGrid w:val="0"/>
                <w:sz w:val="19"/>
                <w:lang w:val="en-US"/>
              </w:rPr>
              <w:t>Building Act 2011</w:t>
            </w:r>
            <w:r>
              <w:rPr>
                <w:snapToGrid w:val="0"/>
                <w:sz w:val="19"/>
                <w:lang w:val="en-US"/>
              </w:rPr>
              <w:t xml:space="preserve"> s. 163</w:t>
            </w:r>
          </w:p>
        </w:tc>
        <w:tc>
          <w:tcPr>
            <w:tcW w:w="1134" w:type="dxa"/>
          </w:tcPr>
          <w:p>
            <w:pPr>
              <w:pStyle w:val="nTable"/>
              <w:spacing w:before="60" w:after="60"/>
              <w:rPr>
                <w:snapToGrid w:val="0"/>
                <w:sz w:val="19"/>
                <w:lang w:val="en-US"/>
              </w:rPr>
            </w:pPr>
            <w:r>
              <w:rPr>
                <w:snapToGrid w:val="0"/>
                <w:sz w:val="19"/>
                <w:lang w:val="en-US"/>
              </w:rPr>
              <w:t>24 of 2011</w:t>
            </w:r>
          </w:p>
        </w:tc>
        <w:tc>
          <w:tcPr>
            <w:tcW w:w="1134" w:type="dxa"/>
          </w:tcPr>
          <w:p>
            <w:pPr>
              <w:pStyle w:val="nTable"/>
              <w:spacing w:before="60" w:after="60"/>
              <w:rPr>
                <w:snapToGrid w:val="0"/>
                <w:sz w:val="19"/>
                <w:lang w:val="en-US"/>
              </w:rPr>
            </w:pPr>
            <w:r>
              <w:rPr>
                <w:snapToGrid w:val="0"/>
                <w:sz w:val="19"/>
                <w:lang w:val="en-US"/>
              </w:rPr>
              <w:t>11 Jul 2011</w:t>
            </w:r>
          </w:p>
        </w:tc>
        <w:tc>
          <w:tcPr>
            <w:tcW w:w="2552" w:type="dxa"/>
          </w:tcPr>
          <w:p>
            <w:pPr>
              <w:pStyle w:val="nTable"/>
              <w:spacing w:before="60" w:after="6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rPr>
          <w:cantSplit/>
        </w:trPr>
        <w:tc>
          <w:tcPr>
            <w:tcW w:w="2268" w:type="dxa"/>
            <w:shd w:val="clear" w:color="auto" w:fill="auto"/>
          </w:tcPr>
          <w:p>
            <w:pPr>
              <w:pStyle w:val="nTable"/>
              <w:spacing w:after="40"/>
              <w:ind w:right="113"/>
              <w:rPr>
                <w:snapToGrid w:val="0"/>
                <w:sz w:val="19"/>
                <w:lang w:val="en-US"/>
              </w:rPr>
            </w:pPr>
            <w:r>
              <w:rPr>
                <w:i/>
                <w:snapToGrid w:val="0"/>
                <w:sz w:val="19"/>
                <w:lang w:val="en-US"/>
              </w:rPr>
              <w:t>Statutes (Repeals and Minor Amendments) Act 2011</w:t>
            </w:r>
            <w:r>
              <w:rPr>
                <w:snapToGrid w:val="0"/>
                <w:sz w:val="19"/>
                <w:lang w:val="en-US"/>
              </w:rPr>
              <w:t xml:space="preserve"> s. 22</w:t>
            </w:r>
          </w:p>
        </w:tc>
        <w:tc>
          <w:tcPr>
            <w:tcW w:w="1134" w:type="dxa"/>
            <w:shd w:val="clear" w:color="auto" w:fill="auto"/>
          </w:tcPr>
          <w:p>
            <w:pPr>
              <w:pStyle w:val="nTable"/>
              <w:spacing w:after="40"/>
              <w:rPr>
                <w:snapToGrid w:val="0"/>
                <w:sz w:val="19"/>
                <w:lang w:val="en-US"/>
              </w:rPr>
            </w:pPr>
            <w:r>
              <w:rPr>
                <w:snapToGrid w:val="0"/>
                <w:sz w:val="19"/>
                <w:lang w:val="en-US"/>
              </w:rPr>
              <w:t>47 of 2011</w:t>
            </w:r>
          </w:p>
        </w:tc>
        <w:tc>
          <w:tcPr>
            <w:tcW w:w="1134" w:type="dxa"/>
            <w:shd w:val="clear" w:color="auto" w:fill="auto"/>
          </w:tcPr>
          <w:p>
            <w:pPr>
              <w:pStyle w:val="nTable"/>
              <w:spacing w:after="40"/>
              <w:rPr>
                <w:snapToGrid w:val="0"/>
                <w:sz w:val="19"/>
                <w:lang w:val="en-US"/>
              </w:rPr>
            </w:pPr>
            <w:r>
              <w:rPr>
                <w:snapToGrid w:val="0"/>
                <w:sz w:val="19"/>
                <w:lang w:val="en-US"/>
              </w:rPr>
              <w:t>25 Oct 2011</w:t>
            </w:r>
          </w:p>
        </w:tc>
        <w:tc>
          <w:tcPr>
            <w:tcW w:w="2552" w:type="dxa"/>
            <w:shd w:val="clear" w:color="auto" w:fill="auto"/>
          </w:tcPr>
          <w:p>
            <w:pPr>
              <w:pStyle w:val="nTable"/>
              <w:spacing w:after="40"/>
              <w:rPr>
                <w:snapToGrid w:val="0"/>
                <w:sz w:val="19"/>
                <w:lang w:val="en-US"/>
              </w:rPr>
            </w:pPr>
            <w:r>
              <w:rPr>
                <w:snapToGrid w:val="0"/>
                <w:sz w:val="19"/>
                <w:lang w:val="en-US"/>
              </w:rPr>
              <w:t>26 Oct 2011 (see s. 2(b))</w:t>
            </w:r>
          </w:p>
        </w:tc>
      </w:tr>
      <w:tr>
        <w:trPr>
          <w:cantSplit/>
        </w:trPr>
        <w:tc>
          <w:tcPr>
            <w:tcW w:w="7088" w:type="dxa"/>
            <w:gridSpan w:val="4"/>
            <w:tcBorders>
              <w:bottom w:val="single" w:sz="8" w:space="0" w:color="auto"/>
            </w:tcBorders>
            <w:shd w:val="clear" w:color="auto" w:fill="auto"/>
          </w:tcPr>
          <w:p>
            <w:pPr>
              <w:pStyle w:val="nTable"/>
              <w:spacing w:after="40"/>
              <w:rPr>
                <w:snapToGrid w:val="0"/>
                <w:sz w:val="19"/>
                <w:lang w:val="en-US"/>
              </w:rPr>
            </w:pPr>
            <w:r>
              <w:rPr>
                <w:b/>
                <w:sz w:val="19"/>
              </w:rPr>
              <w:t xml:space="preserve">Reprint 4: The </w:t>
            </w:r>
            <w:smartTag w:uri="urn:schemas-microsoft-com:office:smarttags" w:element="place">
              <w:smartTag w:uri="urn:schemas-microsoft-com:office:smarttags" w:element="PlaceType">
                <w:r>
                  <w:rPr>
                    <w:b/>
                    <w:i/>
                    <w:sz w:val="19"/>
                  </w:rPr>
                  <w:t>Home</w:t>
                </w:r>
              </w:smartTag>
              <w:r>
                <w:rPr>
                  <w:b/>
                  <w:i/>
                  <w:sz w:val="19"/>
                </w:rPr>
                <w:t xml:space="preserve"> </w:t>
              </w:r>
              <w:smartTag w:uri="urn:schemas-microsoft-com:office:smarttags" w:element="PlaceType">
                <w:r>
                  <w:rPr>
                    <w:b/>
                    <w:i/>
                    <w:sz w:val="19"/>
                  </w:rPr>
                  <w:t>Building</w:t>
                </w:r>
              </w:smartTag>
            </w:smartTag>
            <w:r>
              <w:rPr>
                <w:b/>
                <w:i/>
                <w:sz w:val="19"/>
              </w:rPr>
              <w:t xml:space="preserve"> Contracts Act 1991</w:t>
            </w:r>
            <w:r>
              <w:rPr>
                <w:b/>
                <w:sz w:val="19"/>
              </w:rPr>
              <w:t xml:space="preserve"> as at 25 May 2012 </w:t>
            </w:r>
            <w:r>
              <w:rPr>
                <w:sz w:val="19"/>
              </w:rPr>
              <w:t>(includes amendments listed above)</w:t>
            </w:r>
          </w:p>
        </w:tc>
      </w:tr>
    </w:tbl>
    <w:p>
      <w:pPr>
        <w:pStyle w:val="nSubsection"/>
        <w:keepNext/>
        <w:keepLines/>
      </w:pPr>
      <w:r>
        <w:rPr>
          <w:vertAlign w:val="superscript"/>
        </w:rPr>
        <w:t>2</w:t>
      </w:r>
      <w:r>
        <w:rPr>
          <w:vertAlign w:val="superscript"/>
        </w:rPr>
        <w:tab/>
      </w:r>
      <w:r>
        <w:t>The amendment in the</w:t>
      </w:r>
      <w:r>
        <w:rPr>
          <w:iCs/>
        </w:rPr>
        <w:t xml:space="preserv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rPr>
          <w:iCs/>
        </w:rPr>
        <w:t xml:space="preserve"> </w:t>
      </w:r>
      <w:r>
        <w:t xml:space="preserve">Sch. 2 it. 3 had not come into operation when it was deleted by the </w:t>
      </w:r>
      <w:r>
        <w:rPr>
          <w:i/>
        </w:rPr>
        <w:t>Statutes (Repeals and Miscellaneous Amendments) Act 2009</w:t>
      </w:r>
      <w:r>
        <w:t xml:space="preserve"> s. 26(3).</w:t>
      </w:r>
    </w:p>
    <w:p>
      <w:pPr>
        <w:pStyle w:val="nSubsection"/>
      </w:pPr>
      <w:r>
        <w:rPr>
          <w:vertAlign w:val="superscript"/>
        </w:rPr>
        <w:t>3</w:t>
      </w:r>
      <w:r>
        <w:tab/>
        <w:t xml:space="preserve">The </w:t>
      </w:r>
      <w:r>
        <w:rPr>
          <w:i/>
        </w:rPr>
        <w:t xml:space="preserve">Building Legislation Amendment Act 2000 </w:t>
      </w:r>
      <w:r>
        <w:t>s. 59 and 62 read as follows:</w:t>
      </w:r>
    </w:p>
    <w:p>
      <w:pPr>
        <w:pStyle w:val="BlankOpen"/>
      </w:pPr>
    </w:p>
    <w:p>
      <w:pPr>
        <w:pStyle w:val="nzHeading5"/>
        <w:spacing w:before="60"/>
        <w:rPr>
          <w:snapToGrid w:val="0"/>
        </w:rPr>
      </w:pPr>
      <w:bookmarkStart w:id="641" w:name="_Toc450021088"/>
      <w:bookmarkStart w:id="642" w:name="_Toc482608244"/>
      <w:r>
        <w:rPr>
          <w:rStyle w:val="CharSectno"/>
        </w:rPr>
        <w:t>59</w:t>
      </w:r>
      <w:r>
        <w:rPr>
          <w:snapToGrid w:val="0"/>
        </w:rPr>
        <w:t>.</w:t>
      </w:r>
      <w:r>
        <w:rPr>
          <w:snapToGrid w:val="0"/>
        </w:rPr>
        <w:tab/>
        <w:t>References to Committee in other written laws</w:t>
      </w:r>
      <w:bookmarkEnd w:id="641"/>
      <w:bookmarkEnd w:id="642"/>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bookmarkStart w:id="643" w:name="_Toc482608247"/>
      <w:r>
        <w:rPr>
          <w:rStyle w:val="CharSectno"/>
        </w:rPr>
        <w:t>62</w:t>
      </w:r>
      <w:r>
        <w:t>.</w:t>
      </w:r>
      <w:r>
        <w:tab/>
        <w:t>Review</w:t>
      </w:r>
      <w:bookmarkEnd w:id="643"/>
    </w:p>
    <w:p>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BlankClose"/>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644" w:name="_Toc321400299"/>
      <w:bookmarkStart w:id="645" w:name="_Toc325102740"/>
      <w:bookmarkStart w:id="646" w:name="_Toc325103834"/>
      <w:bookmarkStart w:id="647" w:name="_Toc326224293"/>
      <w:bookmarkStart w:id="648" w:name="_Toc326309602"/>
      <w:r>
        <w:rPr>
          <w:sz w:val="28"/>
        </w:rPr>
        <w:t>Defined Terms</w:t>
      </w:r>
      <w:bookmarkEnd w:id="644"/>
      <w:bookmarkEnd w:id="645"/>
      <w:bookmarkEnd w:id="646"/>
      <w:bookmarkEnd w:id="647"/>
      <w:bookmarkEnd w:id="6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49" w:name="DefinedTerms"/>
      <w:bookmarkEnd w:id="649"/>
      <w:r>
        <w:t>approved fund</w:t>
      </w:r>
      <w:r>
        <w:tab/>
        <w:t>25A</w:t>
      </w:r>
    </w:p>
    <w:p>
      <w:pPr>
        <w:pStyle w:val="DefinedTerms"/>
      </w:pPr>
      <w:r>
        <w:t>associated work</w:t>
      </w:r>
      <w:r>
        <w:tab/>
        <w:t>3(1)</w:t>
      </w:r>
    </w:p>
    <w:p>
      <w:pPr>
        <w:pStyle w:val="DefinedTerms"/>
      </w:pPr>
      <w:r>
        <w:t>authorised person</w:t>
      </w:r>
      <w:r>
        <w:tab/>
        <w:t>26(3), 31B(1)</w:t>
      </w:r>
    </w:p>
    <w:p>
      <w:pPr>
        <w:pStyle w:val="DefinedTerms"/>
      </w:pPr>
      <w:r>
        <w:t>builder</w:t>
      </w:r>
      <w:r>
        <w:tab/>
        <w:t>3(1), 25A</w:t>
      </w:r>
    </w:p>
    <w:p>
      <w:pPr>
        <w:pStyle w:val="DefinedTerms"/>
      </w:pPr>
      <w:r>
        <w:t>Builders’ Registration Board</w:t>
      </w:r>
      <w:r>
        <w:tab/>
        <w:t>3(1)</w:t>
      </w:r>
    </w:p>
    <w:p>
      <w:pPr>
        <w:pStyle w:val="DefinedTerms"/>
      </w:pPr>
      <w:r>
        <w:t>Building Commissioner</w:t>
      </w:r>
      <w:r>
        <w:tab/>
        <w:t>3(1)</w:t>
      </w:r>
    </w:p>
    <w:p>
      <w:pPr>
        <w:pStyle w:val="DefinedTerms"/>
      </w:pPr>
      <w:r>
        <w:t>building contract</w:t>
      </w:r>
      <w:r>
        <w:tab/>
        <w:t>25A</w:t>
      </w:r>
    </w:p>
    <w:p>
      <w:pPr>
        <w:pStyle w:val="DefinedTerms"/>
      </w:pPr>
      <w:r>
        <w:t>building licence</w:t>
      </w:r>
      <w:r>
        <w:tab/>
        <w:t>3(1)</w:t>
      </w:r>
    </w:p>
    <w:p>
      <w:pPr>
        <w:pStyle w:val="DefinedTerms"/>
      </w:pPr>
      <w:r>
        <w:t>building permit</w:t>
      </w:r>
      <w:r>
        <w:tab/>
        <w:t>3(1)</w:t>
      </w:r>
    </w:p>
    <w:p>
      <w:pPr>
        <w:pStyle w:val="DefinedTerms"/>
      </w:pPr>
      <w:r>
        <w:t>building service contractor</w:t>
      </w:r>
      <w:r>
        <w:tab/>
        <w:t>25A</w:t>
      </w:r>
    </w:p>
    <w:p>
      <w:pPr>
        <w:pStyle w:val="DefinedTerms"/>
      </w:pPr>
      <w:r>
        <w:t>construct</w:t>
      </w:r>
      <w:r>
        <w:tab/>
        <w:t>3(1)</w:t>
      </w:r>
    </w:p>
    <w:p>
      <w:pPr>
        <w:pStyle w:val="DefinedTerms"/>
      </w:pPr>
      <w:r>
        <w:t>contract</w:t>
      </w:r>
      <w:r>
        <w:tab/>
        <w:t>3(1), 7(5)</w:t>
      </w:r>
    </w:p>
    <w:p>
      <w:pPr>
        <w:pStyle w:val="DefinedTerms"/>
      </w:pPr>
      <w:r>
        <w:t>corresponding cover</w:t>
      </w:r>
      <w:r>
        <w:tab/>
        <w:t>25A</w:t>
      </w:r>
    </w:p>
    <w:p>
      <w:pPr>
        <w:pStyle w:val="DefinedTerms"/>
      </w:pPr>
      <w:r>
        <w:t>cost of the building work</w:t>
      </w:r>
      <w:r>
        <w:tab/>
        <w:t>25A</w:t>
      </w:r>
    </w:p>
    <w:p>
      <w:pPr>
        <w:pStyle w:val="DefinedTerms"/>
      </w:pPr>
      <w:r>
        <w:t>cost plus contract</w:t>
      </w:r>
      <w:r>
        <w:tab/>
        <w:t>3(1)</w:t>
      </w:r>
    </w:p>
    <w:p>
      <w:pPr>
        <w:pStyle w:val="DefinedTerms"/>
      </w:pPr>
      <w:r>
        <w:t>date of the contract</w:t>
      </w:r>
      <w:r>
        <w:tab/>
        <w:t>3(1)</w:t>
      </w:r>
    </w:p>
    <w:p>
      <w:pPr>
        <w:pStyle w:val="DefinedTerms"/>
      </w:pPr>
      <w:r>
        <w:t>date of the variation</w:t>
      </w:r>
      <w:r>
        <w:tab/>
        <w:t>3(1)</w:t>
      </w:r>
    </w:p>
    <w:p>
      <w:pPr>
        <w:pStyle w:val="DefinedTerms"/>
      </w:pPr>
      <w:r>
        <w:t>defect</w:t>
      </w:r>
      <w:r>
        <w:tab/>
        <w:t>11(2)</w:t>
      </w:r>
    </w:p>
    <w:p>
      <w:pPr>
        <w:pStyle w:val="DefinedTerms"/>
      </w:pPr>
      <w:r>
        <w:t>developer</w:t>
      </w:r>
      <w:r>
        <w:tab/>
        <w:t>25A, 25L(1)</w:t>
      </w:r>
    </w:p>
    <w:p>
      <w:pPr>
        <w:pStyle w:val="DefinedTerms"/>
      </w:pPr>
      <w:r>
        <w:t>dwelling</w:t>
      </w:r>
      <w:r>
        <w:tab/>
        <w:t>3(1)</w:t>
      </w:r>
    </w:p>
    <w:p>
      <w:pPr>
        <w:pStyle w:val="DefinedTerms"/>
      </w:pPr>
      <w:r>
        <w:t>home building work</w:t>
      </w:r>
      <w:r>
        <w:tab/>
        <w:t>3(1)</w:t>
      </w:r>
    </w:p>
    <w:p>
      <w:pPr>
        <w:pStyle w:val="DefinedTerms"/>
      </w:pPr>
      <w:r>
        <w:t>home building work contract</w:t>
      </w:r>
      <w:r>
        <w:tab/>
        <w:t>3(1)</w:t>
      </w:r>
    </w:p>
    <w:p>
      <w:pPr>
        <w:pStyle w:val="DefinedTerms"/>
      </w:pPr>
      <w:r>
        <w:t>insolvency</w:t>
      </w:r>
      <w:r>
        <w:tab/>
        <w:t>25A</w:t>
      </w:r>
    </w:p>
    <w:p>
      <w:pPr>
        <w:pStyle w:val="DefinedTerms"/>
      </w:pPr>
      <w:r>
        <w:t>insurance</w:t>
      </w:r>
      <w:r>
        <w:tab/>
        <w:t>25B(5)</w:t>
      </w:r>
    </w:p>
    <w:p>
      <w:pPr>
        <w:pStyle w:val="DefinedTerms"/>
      </w:pPr>
      <w:r>
        <w:t>minimum amount</w:t>
      </w:r>
      <w:r>
        <w:tab/>
        <w:t>25A</w:t>
      </w:r>
    </w:p>
    <w:p>
      <w:pPr>
        <w:pStyle w:val="DefinedTerms"/>
      </w:pPr>
      <w:r>
        <w:t>officer</w:t>
      </w:r>
      <w:r>
        <w:tab/>
        <w:t>30(2)</w:t>
      </w:r>
    </w:p>
    <w:p>
      <w:pPr>
        <w:pStyle w:val="DefinedTerms"/>
      </w:pPr>
      <w:r>
        <w:t>owner</w:t>
      </w:r>
      <w:r>
        <w:tab/>
        <w:t>3(1)</w:t>
      </w:r>
    </w:p>
    <w:p>
      <w:pPr>
        <w:pStyle w:val="DefinedTerms"/>
      </w:pPr>
      <w:r>
        <w:t>owner-builder</w:t>
      </w:r>
      <w:r>
        <w:tab/>
        <w:t>25A</w:t>
      </w:r>
    </w:p>
    <w:p>
      <w:pPr>
        <w:pStyle w:val="DefinedTerms"/>
      </w:pPr>
      <w:r>
        <w:t>perform</w:t>
      </w:r>
      <w:r>
        <w:tab/>
        <w:t>3(1)</w:t>
      </w:r>
    </w:p>
    <w:p>
      <w:pPr>
        <w:pStyle w:val="DefinedTerms"/>
      </w:pPr>
      <w:r>
        <w:t>practical completion</w:t>
      </w:r>
      <w:r>
        <w:tab/>
        <w:t>11(2)</w:t>
      </w:r>
    </w:p>
    <w:p>
      <w:pPr>
        <w:pStyle w:val="DefinedTerms"/>
      </w:pPr>
      <w:r>
        <w:t>prescribed</w:t>
      </w:r>
      <w:r>
        <w:tab/>
        <w:t>3(1)</w:t>
      </w:r>
    </w:p>
    <w:p>
      <w:pPr>
        <w:pStyle w:val="DefinedTerms"/>
      </w:pPr>
      <w:r>
        <w:t>purchaser</w:t>
      </w:r>
      <w:r>
        <w:tab/>
        <w:t>25L(1)</w:t>
      </w:r>
    </w:p>
    <w:p>
      <w:pPr>
        <w:pStyle w:val="DefinedTerms"/>
      </w:pPr>
      <w:r>
        <w:t>repealed Act</w:t>
      </w:r>
      <w:r>
        <w:tab/>
        <w:t>3(1)</w:t>
      </w:r>
    </w:p>
    <w:p>
      <w:pPr>
        <w:pStyle w:val="DefinedTerms"/>
      </w:pPr>
      <w:r>
        <w:t>rescind</w:t>
      </w:r>
      <w:r>
        <w:tab/>
        <w:t>25A</w:t>
      </w:r>
    </w:p>
    <w:p>
      <w:pPr>
        <w:pStyle w:val="DefinedTerms"/>
      </w:pPr>
      <w:r>
        <w:t>residential building work</w:t>
      </w:r>
      <w:r>
        <w:tab/>
        <w:t>25A</w:t>
      </w:r>
    </w:p>
    <w:p>
      <w:pPr>
        <w:pStyle w:val="DefinedTerms"/>
      </w:pPr>
      <w:r>
        <w:t>residential building work contract</w:t>
      </w:r>
      <w:r>
        <w:tab/>
        <w:t>25A</w:t>
      </w:r>
    </w:p>
    <w:p>
      <w:pPr>
        <w:pStyle w:val="DefinedTerms"/>
      </w:pPr>
      <w:r>
        <w:t>rise</w:t>
      </w:r>
      <w:r>
        <w:noBreakHyphen/>
        <w:t>and</w:t>
      </w:r>
      <w:r>
        <w:noBreakHyphen/>
        <w:t>fall clause</w:t>
      </w:r>
      <w:r>
        <w:tab/>
        <w:t>13(3)</w:t>
      </w:r>
    </w:p>
    <w:p>
      <w:pPr>
        <w:pStyle w:val="DefinedTerms"/>
      </w:pPr>
      <w:r>
        <w:t>sale contract</w:t>
      </w:r>
      <w:r>
        <w:tab/>
        <w:t>25A</w:t>
      </w:r>
    </w:p>
    <w:p>
      <w:pPr>
        <w:pStyle w:val="DefinedTerms"/>
      </w:pPr>
      <w:r>
        <w:t>settlement</w:t>
      </w:r>
      <w:r>
        <w:tab/>
        <w:t>25A</w:t>
      </w:r>
    </w:p>
    <w:p>
      <w:pPr>
        <w:pStyle w:val="DefinedTerms"/>
      </w:pPr>
      <w:r>
        <w:t>specified period</w:t>
      </w:r>
      <w:r>
        <w:tab/>
        <w:t>25J(1), 25K(1)</w:t>
      </w:r>
    </w:p>
    <w:p>
      <w:pPr>
        <w:pStyle w:val="DefinedTerms"/>
      </w:pPr>
      <w:r>
        <w:t>strata</w:t>
      </w:r>
      <w:r>
        <w:noBreakHyphen/>
        <w:t>titled dwelling</w:t>
      </w:r>
      <w:r>
        <w:tab/>
        <w:t>3(1)</w:t>
      </w:r>
    </w:p>
    <w:p>
      <w:pPr>
        <w:pStyle w:val="DefinedTerms"/>
      </w:pPr>
      <w:r>
        <w:t>Water Act</w:t>
      </w:r>
      <w:r>
        <w:tab/>
        <w:t>9(6)</w:t>
      </w:r>
    </w:p>
    <w:p>
      <w:pPr>
        <w:pStyle w:val="DefinedTerms"/>
      </w:pPr>
      <w:r>
        <w:t>working days</w:t>
      </w:r>
      <w:r>
        <w:tab/>
        <w:t>3(1)</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Home Building Contracts Act 1991</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8"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Home Building Contracts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60"/>
      <w:gridCol w:w="1494"/>
    </w:tblGrid>
    <w:tr>
      <w:trPr>
        <w:cantSplit/>
      </w:trPr>
      <w:tc>
        <w:tcPr>
          <w:tcW w:w="7254"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494" w:type="dxa"/>
        </w:tcPr>
        <w:p>
          <w:pPr>
            <w:pStyle w:val="HeaderNumberRight"/>
          </w:pPr>
        </w:p>
      </w:tc>
    </w:tr>
    <w:tr>
      <w:tc>
        <w:tcPr>
          <w:tcW w:w="5760" w:type="dxa"/>
        </w:tcPr>
        <w:p>
          <w:pPr>
            <w:pStyle w:val="HeaderTextRight"/>
          </w:pPr>
        </w:p>
      </w:tc>
      <w:tc>
        <w:tcPr>
          <w:tcW w:w="1494" w:type="dxa"/>
        </w:tcPr>
        <w:p>
          <w:pPr>
            <w:pStyle w:val="HeaderNumberRight"/>
          </w:pPr>
        </w:p>
      </w:tc>
    </w:tr>
    <w:tr>
      <w:trPr>
        <w:cantSplit/>
      </w:trPr>
      <w:tc>
        <w:tcPr>
          <w:tcW w:w="7254"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7C4B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5208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3E71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B009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6F6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66F7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98AB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DD229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6E0B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CD8AB3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5D2B5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C2808C0"/>
    <w:multiLevelType w:val="singleLevel"/>
    <w:tmpl w:val="3FFAB93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19"/>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13277</Words>
  <Characters>62142</Characters>
  <Application>Microsoft Office Word</Application>
  <DocSecurity>0</DocSecurity>
  <Lines>1775</Lines>
  <Paragraphs>1005</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74414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1991 - 04-a0-01</dc:title>
  <dc:subject/>
  <dc:creator/>
  <cp:keywords/>
  <dc:description/>
  <cp:lastModifiedBy>svcMRProcess</cp:lastModifiedBy>
  <cp:revision>4</cp:revision>
  <cp:lastPrinted>2012-06-01T02:25:00Z</cp:lastPrinted>
  <dcterms:created xsi:type="dcterms:W3CDTF">2018-09-03T01:17:00Z</dcterms:created>
  <dcterms:modified xsi:type="dcterms:W3CDTF">2018-09-03T01:17:00Z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CommencementDate">
    <vt:lpwstr>20120525</vt:lpwstr>
  </property>
  <property fmtid="{D5CDD505-2E9C-101B-9397-08002B2CF9AE}" pid="4" name="DocumentType">
    <vt:lpwstr>Act</vt:lpwstr>
  </property>
  <property fmtid="{D5CDD505-2E9C-101B-9397-08002B2CF9AE}" pid="5" name="OwlsUID">
    <vt:i4>352</vt:i4>
  </property>
  <property fmtid="{D5CDD505-2E9C-101B-9397-08002B2CF9AE}" pid="6" name="AsAtDate">
    <vt:lpwstr>25 May 2012</vt:lpwstr>
  </property>
  <property fmtid="{D5CDD505-2E9C-101B-9397-08002B2CF9AE}" pid="7" name="Suffix">
    <vt:lpwstr>04-a0-01</vt:lpwstr>
  </property>
  <property fmtid="{D5CDD505-2E9C-101B-9397-08002B2CF9AE}" pid="8" name="ReprintNo">
    <vt:lpwstr>4</vt:lpwstr>
  </property>
  <property fmtid="{D5CDD505-2E9C-101B-9397-08002B2CF9AE}" pid="9" name="ReprintedAsAt">
    <vt:filetime>2012-05-24T16:00:00Z</vt:filetime>
  </property>
</Properties>
</file>