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Building Act 2011</w:t>
      </w:r>
    </w:p>
    <w:p>
      <w:pPr>
        <w:pStyle w:val="NameofActRegPage1"/>
        <w:spacing w:before="1800" w:after="4200"/>
        <w:ind w:left="570" w:right="598"/>
      </w:pPr>
      <w:r>
        <w:fldChar w:fldCharType="begin"/>
      </w:r>
      <w:r>
        <w:instrText xml:space="preserve"> STYLEREF "Name Of Act/Reg"</w:instrText>
      </w:r>
      <w:r>
        <w:fldChar w:fldCharType="separate"/>
      </w:r>
      <w:r>
        <w:rPr>
          <w:noProof/>
        </w:rPr>
        <w:t>Building Regulations 2012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spacing w:after="48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_Toc327450523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_Toc327450524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_Toc327450525 \h </w:instrText>
      </w:r>
      <w:r>
        <w:fldChar w:fldCharType="separate"/>
      </w:r>
      <w:r>
        <w:t>1</w:t>
      </w:r>
      <w:r>
        <w:fldChar w:fldCharType="end"/>
      </w:r>
    </w:p>
    <w:p>
      <w:pPr>
        <w:pStyle w:val="TOC2"/>
        <w:tabs>
          <w:tab w:val="right" w:leader="dot" w:pos="7086"/>
        </w:tabs>
        <w:rPr>
          <w:b w:val="0"/>
          <w:sz w:val="24"/>
          <w:szCs w:val="24"/>
          <w:lang w:val="en-US"/>
        </w:rPr>
      </w:pPr>
      <w:r>
        <w:t>Part 2 — General matters</w:t>
      </w:r>
    </w:p>
    <w:p>
      <w:pPr>
        <w:pStyle w:val="TOC8"/>
        <w:rPr>
          <w:sz w:val="24"/>
          <w:szCs w:val="24"/>
          <w:lang w:val="en-US"/>
        </w:rPr>
      </w:pPr>
      <w:r>
        <w:t>4.</w:t>
      </w:r>
      <w:r>
        <w:tab/>
        <w:t>Approval of manner or form of things (s. 3)</w:t>
      </w:r>
      <w:r>
        <w:tab/>
      </w:r>
      <w:r>
        <w:fldChar w:fldCharType="begin"/>
      </w:r>
      <w:r>
        <w:instrText xml:space="preserve"> PAGEREF _Toc327450527 \h </w:instrText>
      </w:r>
      <w:r>
        <w:fldChar w:fldCharType="separate"/>
      </w:r>
      <w:r>
        <w:t>3</w:t>
      </w:r>
      <w:r>
        <w:fldChar w:fldCharType="end"/>
      </w:r>
    </w:p>
    <w:p>
      <w:pPr>
        <w:pStyle w:val="TOC8"/>
        <w:rPr>
          <w:sz w:val="24"/>
          <w:szCs w:val="24"/>
          <w:lang w:val="en-US"/>
        </w:rPr>
      </w:pPr>
      <w:r>
        <w:t>5.</w:t>
      </w:r>
      <w:r>
        <w:tab/>
        <w:t>Building surveyors (s. 3)</w:t>
      </w:r>
      <w:r>
        <w:tab/>
      </w:r>
      <w:r>
        <w:fldChar w:fldCharType="begin"/>
      </w:r>
      <w:r>
        <w:instrText xml:space="preserve"> PAGEREF _Toc327450528 \h </w:instrText>
      </w:r>
      <w:r>
        <w:fldChar w:fldCharType="separate"/>
      </w:r>
      <w:r>
        <w:t>4</w:t>
      </w:r>
      <w:r>
        <w:fldChar w:fldCharType="end"/>
      </w:r>
    </w:p>
    <w:p>
      <w:pPr>
        <w:pStyle w:val="TOC8"/>
        <w:rPr>
          <w:sz w:val="24"/>
          <w:szCs w:val="24"/>
          <w:lang w:val="en-US"/>
        </w:rPr>
      </w:pPr>
      <w:r>
        <w:t>6.</w:t>
      </w:r>
      <w:r>
        <w:tab/>
        <w:t>Classification of buildings and incidental structures (s. 3)</w:t>
      </w:r>
      <w:r>
        <w:tab/>
      </w:r>
      <w:r>
        <w:fldChar w:fldCharType="begin"/>
      </w:r>
      <w:r>
        <w:instrText xml:space="preserve"> PAGEREF _Toc327450529 \h </w:instrText>
      </w:r>
      <w:r>
        <w:fldChar w:fldCharType="separate"/>
      </w:r>
      <w:r>
        <w:t>5</w:t>
      </w:r>
      <w:r>
        <w:fldChar w:fldCharType="end"/>
      </w:r>
    </w:p>
    <w:p>
      <w:pPr>
        <w:pStyle w:val="TOC8"/>
        <w:rPr>
          <w:sz w:val="24"/>
          <w:szCs w:val="24"/>
          <w:lang w:val="en-US"/>
        </w:rPr>
      </w:pPr>
      <w:r>
        <w:t>7.</w:t>
      </w:r>
      <w:r>
        <w:tab/>
        <w:t>Building standards in relation to construction (s. 3)</w:t>
      </w:r>
      <w:r>
        <w:tab/>
      </w:r>
      <w:r>
        <w:fldChar w:fldCharType="begin"/>
      </w:r>
      <w:r>
        <w:instrText xml:space="preserve"> PAGEREF _Toc327450530 \h </w:instrText>
      </w:r>
      <w:r>
        <w:fldChar w:fldCharType="separate"/>
      </w:r>
      <w:r>
        <w:t>5</w:t>
      </w:r>
      <w:r>
        <w:fldChar w:fldCharType="end"/>
      </w:r>
    </w:p>
    <w:p>
      <w:pPr>
        <w:pStyle w:val="TOC8"/>
        <w:rPr>
          <w:sz w:val="24"/>
          <w:szCs w:val="24"/>
          <w:lang w:val="en-US"/>
        </w:rPr>
      </w:pPr>
      <w:r>
        <w:t>8.</w:t>
      </w:r>
      <w:r>
        <w:tab/>
        <w:t>Building standards in relation to demolition (s. 3)</w:t>
      </w:r>
      <w:r>
        <w:tab/>
      </w:r>
      <w:r>
        <w:fldChar w:fldCharType="begin"/>
      </w:r>
      <w:r>
        <w:instrText xml:space="preserve"> PAGEREF _Toc327450531 \h </w:instrText>
      </w:r>
      <w:r>
        <w:fldChar w:fldCharType="separate"/>
      </w:r>
      <w:r>
        <w:t>8</w:t>
      </w:r>
      <w:r>
        <w:fldChar w:fldCharType="end"/>
      </w:r>
    </w:p>
    <w:p>
      <w:pPr>
        <w:pStyle w:val="TOC8"/>
        <w:rPr>
          <w:sz w:val="24"/>
          <w:szCs w:val="24"/>
          <w:lang w:val="en-US"/>
        </w:rPr>
      </w:pPr>
      <w:r>
        <w:t>9.</w:t>
      </w:r>
      <w:r>
        <w:tab/>
        <w:t>Compliance with building standards — CodeMark certificates</w:t>
      </w:r>
      <w:r>
        <w:tab/>
      </w:r>
      <w:r>
        <w:fldChar w:fldCharType="begin"/>
      </w:r>
      <w:r>
        <w:instrText xml:space="preserve"> PAGEREF _Toc327450532 \h </w:instrText>
      </w:r>
      <w:r>
        <w:fldChar w:fldCharType="separate"/>
      </w:r>
      <w:r>
        <w:t>8</w:t>
      </w:r>
      <w:r>
        <w:fldChar w:fldCharType="end"/>
      </w:r>
    </w:p>
    <w:p>
      <w:pPr>
        <w:pStyle w:val="TOC8"/>
        <w:rPr>
          <w:sz w:val="24"/>
          <w:szCs w:val="24"/>
          <w:lang w:val="en-US"/>
        </w:rPr>
      </w:pPr>
      <w:r>
        <w:t>10.</w:t>
      </w:r>
      <w:r>
        <w:tab/>
        <w:t>Owners of land (s. 5(1))</w:t>
      </w:r>
      <w:r>
        <w:tab/>
      </w:r>
      <w:r>
        <w:fldChar w:fldCharType="begin"/>
      </w:r>
      <w:r>
        <w:instrText xml:space="preserve"> PAGEREF _Toc327450533 \h </w:instrText>
      </w:r>
      <w:r>
        <w:fldChar w:fldCharType="separate"/>
      </w:r>
      <w:r>
        <w:t>9</w:t>
      </w:r>
      <w:r>
        <w:fldChar w:fldCharType="end"/>
      </w:r>
    </w:p>
    <w:p>
      <w:pPr>
        <w:pStyle w:val="TOC8"/>
        <w:rPr>
          <w:sz w:val="24"/>
          <w:szCs w:val="24"/>
          <w:lang w:val="en-US"/>
        </w:rPr>
      </w:pPr>
      <w:r>
        <w:t>11A.</w:t>
      </w:r>
      <w:r>
        <w:tab/>
        <w:t>Restriction on circumstances where person treated as owner (s. 5(2))</w:t>
      </w:r>
      <w:r>
        <w:tab/>
      </w:r>
      <w:r>
        <w:fldChar w:fldCharType="begin"/>
      </w:r>
      <w:r>
        <w:instrText xml:space="preserve"> PAGEREF _Toc327450534 \h </w:instrText>
      </w:r>
      <w:r>
        <w:fldChar w:fldCharType="separate"/>
      </w:r>
      <w:r>
        <w:t>9</w:t>
      </w:r>
      <w:r>
        <w:fldChar w:fldCharType="end"/>
      </w:r>
    </w:p>
    <w:p>
      <w:pPr>
        <w:pStyle w:val="TOC8"/>
        <w:rPr>
          <w:sz w:val="24"/>
          <w:szCs w:val="24"/>
          <w:lang w:val="en-US"/>
        </w:rPr>
      </w:pPr>
      <w:r>
        <w:t>11.</w:t>
      </w:r>
      <w:r>
        <w:tab/>
        <w:t>Fees</w:t>
      </w:r>
      <w:r>
        <w:tab/>
      </w:r>
      <w:r>
        <w:fldChar w:fldCharType="begin"/>
      </w:r>
      <w:r>
        <w:instrText xml:space="preserve"> PAGEREF _Toc327450535 \h </w:instrText>
      </w:r>
      <w:r>
        <w:fldChar w:fldCharType="separate"/>
      </w:r>
      <w:r>
        <w:t>10</w:t>
      </w:r>
      <w:r>
        <w:fldChar w:fldCharType="end"/>
      </w:r>
    </w:p>
    <w:p>
      <w:pPr>
        <w:pStyle w:val="TOC8"/>
        <w:rPr>
          <w:sz w:val="24"/>
          <w:szCs w:val="24"/>
          <w:lang w:val="en-US"/>
        </w:rPr>
      </w:pPr>
      <w:r>
        <w:t>12.</w:t>
      </w:r>
      <w:r>
        <w:tab/>
        <w:t>Building records to be kept (s. 130)</w:t>
      </w:r>
      <w:r>
        <w:tab/>
      </w:r>
      <w:r>
        <w:fldChar w:fldCharType="begin"/>
      </w:r>
      <w:r>
        <w:instrText xml:space="preserve"> PAGEREF _Toc327450536 \h </w:instrText>
      </w:r>
      <w:r>
        <w:fldChar w:fldCharType="separate"/>
      </w:r>
      <w:r>
        <w:t>10</w:t>
      </w:r>
      <w:r>
        <w:fldChar w:fldCharType="end"/>
      </w:r>
    </w:p>
    <w:p>
      <w:pPr>
        <w:pStyle w:val="TOC8"/>
        <w:rPr>
          <w:sz w:val="24"/>
          <w:szCs w:val="24"/>
          <w:lang w:val="en-US"/>
        </w:rPr>
      </w:pPr>
      <w:r>
        <w:t>13.</w:t>
      </w:r>
      <w:r>
        <w:tab/>
        <w:t>Inspection, copies of building records (s. 131)</w:t>
      </w:r>
      <w:r>
        <w:tab/>
      </w:r>
      <w:r>
        <w:fldChar w:fldCharType="begin"/>
      </w:r>
      <w:r>
        <w:instrText xml:space="preserve"> PAGEREF _Toc327450537 \h </w:instrText>
      </w:r>
      <w:r>
        <w:fldChar w:fldCharType="separate"/>
      </w:r>
      <w:r>
        <w:t>10</w:t>
      </w:r>
      <w:r>
        <w:fldChar w:fldCharType="end"/>
      </w:r>
    </w:p>
    <w:p>
      <w:pPr>
        <w:pStyle w:val="TOC8"/>
        <w:rPr>
          <w:sz w:val="24"/>
          <w:szCs w:val="24"/>
          <w:lang w:val="en-US"/>
        </w:rPr>
      </w:pPr>
      <w:r>
        <w:t>14.</w:t>
      </w:r>
      <w:r>
        <w:tab/>
        <w:t>Provision of information to Building Commissioner (s. 132)</w:t>
      </w:r>
      <w:r>
        <w:tab/>
      </w:r>
      <w:r>
        <w:fldChar w:fldCharType="begin"/>
      </w:r>
      <w:r>
        <w:instrText xml:space="preserve"> PAGEREF _Toc327450538 \h </w:instrText>
      </w:r>
      <w:r>
        <w:fldChar w:fldCharType="separate"/>
      </w:r>
      <w:r>
        <w:t>11</w:t>
      </w:r>
      <w:r>
        <w:fldChar w:fldCharType="end"/>
      </w:r>
    </w:p>
    <w:p>
      <w:pPr>
        <w:pStyle w:val="TOC2"/>
        <w:tabs>
          <w:tab w:val="right" w:leader="dot" w:pos="7086"/>
        </w:tabs>
        <w:rPr>
          <w:b w:val="0"/>
          <w:sz w:val="24"/>
          <w:szCs w:val="24"/>
          <w:lang w:val="en-US"/>
        </w:rPr>
      </w:pPr>
      <w:r>
        <w:t>Part 3 — Building and demolition permits</w:t>
      </w:r>
    </w:p>
    <w:p>
      <w:pPr>
        <w:pStyle w:val="TOC8"/>
        <w:rPr>
          <w:sz w:val="24"/>
          <w:szCs w:val="24"/>
          <w:lang w:val="en-US"/>
        </w:rPr>
      </w:pPr>
      <w:r>
        <w:t>15.</w:t>
      </w:r>
      <w:r>
        <w:tab/>
        <w:t>Uncertified applications (s. 14(2))</w:t>
      </w:r>
      <w:r>
        <w:tab/>
      </w:r>
      <w:r>
        <w:fldChar w:fldCharType="begin"/>
      </w:r>
      <w:r>
        <w:instrText xml:space="preserve"> PAGEREF _Toc327450540 \h </w:instrText>
      </w:r>
      <w:r>
        <w:fldChar w:fldCharType="separate"/>
      </w:r>
      <w:r>
        <w:t>12</w:t>
      </w:r>
      <w:r>
        <w:fldChar w:fldCharType="end"/>
      </w:r>
    </w:p>
    <w:p>
      <w:pPr>
        <w:pStyle w:val="TOC8"/>
        <w:rPr>
          <w:sz w:val="24"/>
          <w:szCs w:val="24"/>
          <w:lang w:val="en-US"/>
        </w:rPr>
      </w:pPr>
      <w:r>
        <w:t>16.</w:t>
      </w:r>
      <w:r>
        <w:tab/>
        <w:t>Application for building and demolition permits (s. 16)</w:t>
      </w:r>
      <w:r>
        <w:tab/>
      </w:r>
      <w:r>
        <w:fldChar w:fldCharType="begin"/>
      </w:r>
      <w:r>
        <w:instrText xml:space="preserve"> PAGEREF _Toc327450541 \h </w:instrText>
      </w:r>
      <w:r>
        <w:fldChar w:fldCharType="separate"/>
      </w:r>
      <w:r>
        <w:t>12</w:t>
      </w:r>
      <w:r>
        <w:fldChar w:fldCharType="end"/>
      </w:r>
    </w:p>
    <w:p>
      <w:pPr>
        <w:pStyle w:val="TOC8"/>
        <w:rPr>
          <w:sz w:val="24"/>
          <w:szCs w:val="24"/>
          <w:lang w:val="en-US"/>
        </w:rPr>
      </w:pPr>
      <w:r>
        <w:t>17.</w:t>
      </w:r>
      <w:r>
        <w:tab/>
        <w:t>Certificate of design compliance (s. 19)</w:t>
      </w:r>
      <w:r>
        <w:tab/>
      </w:r>
      <w:r>
        <w:fldChar w:fldCharType="begin"/>
      </w:r>
      <w:r>
        <w:instrText xml:space="preserve"> PAGEREF _Toc327450542 \h </w:instrText>
      </w:r>
      <w:r>
        <w:fldChar w:fldCharType="separate"/>
      </w:r>
      <w:r>
        <w:t>14</w:t>
      </w:r>
      <w:r>
        <w:fldChar w:fldCharType="end"/>
      </w:r>
    </w:p>
    <w:p>
      <w:pPr>
        <w:pStyle w:val="TOC8"/>
        <w:rPr>
          <w:sz w:val="24"/>
          <w:szCs w:val="24"/>
          <w:lang w:val="en-US"/>
        </w:rPr>
      </w:pPr>
      <w:r>
        <w:t>18.</w:t>
      </w:r>
      <w:r>
        <w:tab/>
        <w:t>Grant of building permit (s. 20)</w:t>
      </w:r>
      <w:r>
        <w:tab/>
      </w:r>
      <w:r>
        <w:fldChar w:fldCharType="begin"/>
      </w:r>
      <w:r>
        <w:instrText xml:space="preserve"> PAGEREF _Toc327450543 \h </w:instrText>
      </w:r>
      <w:r>
        <w:fldChar w:fldCharType="separate"/>
      </w:r>
      <w:r>
        <w:t>15</w:t>
      </w:r>
      <w:r>
        <w:fldChar w:fldCharType="end"/>
      </w:r>
    </w:p>
    <w:p>
      <w:pPr>
        <w:pStyle w:val="TOC8"/>
        <w:rPr>
          <w:sz w:val="24"/>
          <w:szCs w:val="24"/>
          <w:lang w:val="en-US"/>
        </w:rPr>
      </w:pPr>
      <w:r>
        <w:t>19.</w:t>
      </w:r>
      <w:r>
        <w:tab/>
        <w:t>Grant of demolition permit (s. 21)</w:t>
      </w:r>
      <w:r>
        <w:tab/>
      </w:r>
      <w:r>
        <w:fldChar w:fldCharType="begin"/>
      </w:r>
      <w:r>
        <w:instrText xml:space="preserve"> PAGEREF _Toc327450544 \h </w:instrText>
      </w:r>
      <w:r>
        <w:fldChar w:fldCharType="separate"/>
      </w:r>
      <w:r>
        <w:t>16</w:t>
      </w:r>
      <w:r>
        <w:fldChar w:fldCharType="end"/>
      </w:r>
    </w:p>
    <w:p>
      <w:pPr>
        <w:pStyle w:val="TOC8"/>
        <w:rPr>
          <w:sz w:val="24"/>
          <w:szCs w:val="24"/>
          <w:lang w:val="en-US"/>
        </w:rPr>
      </w:pPr>
      <w:r>
        <w:t>20.</w:t>
      </w:r>
      <w:r>
        <w:tab/>
        <w:t>Time for deciding application for building or demolition permit (s. 23)</w:t>
      </w:r>
      <w:r>
        <w:tab/>
      </w:r>
      <w:r>
        <w:fldChar w:fldCharType="begin"/>
      </w:r>
      <w:r>
        <w:instrText xml:space="preserve"> PAGEREF _Toc327450545 \h </w:instrText>
      </w:r>
      <w:r>
        <w:fldChar w:fldCharType="separate"/>
      </w:r>
      <w:r>
        <w:t>17</w:t>
      </w:r>
      <w:r>
        <w:fldChar w:fldCharType="end"/>
      </w:r>
    </w:p>
    <w:p>
      <w:pPr>
        <w:pStyle w:val="TOC8"/>
        <w:rPr>
          <w:sz w:val="24"/>
          <w:szCs w:val="24"/>
          <w:lang w:val="en-US"/>
        </w:rPr>
      </w:pPr>
      <w:r>
        <w:t>21.</w:t>
      </w:r>
      <w:r>
        <w:tab/>
        <w:t>Form and content of building permit (s. 25)</w:t>
      </w:r>
      <w:r>
        <w:tab/>
      </w:r>
      <w:r>
        <w:fldChar w:fldCharType="begin"/>
      </w:r>
      <w:r>
        <w:instrText xml:space="preserve"> PAGEREF _Toc327450546 \h </w:instrText>
      </w:r>
      <w:r>
        <w:fldChar w:fldCharType="separate"/>
      </w:r>
      <w:r>
        <w:t>18</w:t>
      </w:r>
      <w:r>
        <w:fldChar w:fldCharType="end"/>
      </w:r>
    </w:p>
    <w:p>
      <w:pPr>
        <w:pStyle w:val="TOC8"/>
        <w:rPr>
          <w:sz w:val="24"/>
          <w:szCs w:val="24"/>
          <w:lang w:val="en-US"/>
        </w:rPr>
      </w:pPr>
      <w:r>
        <w:t>22.</w:t>
      </w:r>
      <w:r>
        <w:tab/>
        <w:t>Form and content of demolition permit (s. 25)</w:t>
      </w:r>
      <w:r>
        <w:tab/>
      </w:r>
      <w:r>
        <w:fldChar w:fldCharType="begin"/>
      </w:r>
      <w:r>
        <w:instrText xml:space="preserve"> PAGEREF _Toc327450547 \h </w:instrText>
      </w:r>
      <w:r>
        <w:fldChar w:fldCharType="separate"/>
      </w:r>
      <w:r>
        <w:t>18</w:t>
      </w:r>
      <w:r>
        <w:fldChar w:fldCharType="end"/>
      </w:r>
    </w:p>
    <w:p>
      <w:pPr>
        <w:pStyle w:val="TOC8"/>
        <w:rPr>
          <w:sz w:val="24"/>
          <w:szCs w:val="24"/>
          <w:lang w:val="en-US"/>
        </w:rPr>
      </w:pPr>
      <w:r>
        <w:t>23.</w:t>
      </w:r>
      <w:r>
        <w:tab/>
        <w:t>Application to extend time during which permit has effect (s. 32)</w:t>
      </w:r>
      <w:r>
        <w:tab/>
      </w:r>
      <w:r>
        <w:fldChar w:fldCharType="begin"/>
      </w:r>
      <w:r>
        <w:instrText xml:space="preserve"> PAGEREF _Toc327450548 \h </w:instrText>
      </w:r>
      <w:r>
        <w:fldChar w:fldCharType="separate"/>
      </w:r>
      <w:r>
        <w:t>18</w:t>
      </w:r>
      <w:r>
        <w:fldChar w:fldCharType="end"/>
      </w:r>
    </w:p>
    <w:p>
      <w:pPr>
        <w:pStyle w:val="TOC8"/>
        <w:rPr>
          <w:sz w:val="24"/>
          <w:szCs w:val="24"/>
          <w:lang w:val="en-US"/>
        </w:rPr>
      </w:pPr>
      <w:r>
        <w:t>24.</w:t>
      </w:r>
      <w:r>
        <w:tab/>
        <w:t>Extension of time during which permit has effect (s. 32(3))</w:t>
      </w:r>
      <w:r>
        <w:tab/>
      </w:r>
      <w:r>
        <w:fldChar w:fldCharType="begin"/>
      </w:r>
      <w:r>
        <w:instrText xml:space="preserve"> PAGEREF _Toc327450549 \h </w:instrText>
      </w:r>
      <w:r>
        <w:fldChar w:fldCharType="separate"/>
      </w:r>
      <w:r>
        <w:t>20</w:t>
      </w:r>
      <w:r>
        <w:fldChar w:fldCharType="end"/>
      </w:r>
    </w:p>
    <w:p>
      <w:pPr>
        <w:pStyle w:val="TOC8"/>
        <w:rPr>
          <w:sz w:val="24"/>
          <w:szCs w:val="24"/>
          <w:lang w:val="en-US"/>
        </w:rPr>
      </w:pPr>
      <w:r>
        <w:t>25.</w:t>
      </w:r>
      <w:r>
        <w:tab/>
        <w:t>Review of decision to refuse to extend time during which permit has effect (s. 32(3))</w:t>
      </w:r>
      <w:r>
        <w:tab/>
      </w:r>
      <w:r>
        <w:fldChar w:fldCharType="begin"/>
      </w:r>
      <w:r>
        <w:instrText xml:space="preserve"> PAGEREF _Toc327450550 \h </w:instrText>
      </w:r>
      <w:r>
        <w:fldChar w:fldCharType="separate"/>
      </w:r>
      <w:r>
        <w:t>20</w:t>
      </w:r>
      <w:r>
        <w:fldChar w:fldCharType="end"/>
      </w:r>
    </w:p>
    <w:p>
      <w:pPr>
        <w:pStyle w:val="TOC8"/>
        <w:rPr>
          <w:sz w:val="24"/>
          <w:szCs w:val="24"/>
          <w:lang w:val="en-US"/>
        </w:rPr>
      </w:pPr>
      <w:r>
        <w:t>26.</w:t>
      </w:r>
      <w:r>
        <w:tab/>
        <w:t>Approval of new responsible person (s. 35(c))</w:t>
      </w:r>
      <w:r>
        <w:tab/>
      </w:r>
      <w:r>
        <w:fldChar w:fldCharType="begin"/>
      </w:r>
      <w:r>
        <w:instrText xml:space="preserve"> PAGEREF _Toc327450551 \h </w:instrText>
      </w:r>
      <w:r>
        <w:fldChar w:fldCharType="separate"/>
      </w:r>
      <w:r>
        <w:t>21</w:t>
      </w:r>
      <w:r>
        <w:fldChar w:fldCharType="end"/>
      </w:r>
    </w:p>
    <w:p>
      <w:pPr>
        <w:pStyle w:val="TOC8"/>
        <w:rPr>
          <w:sz w:val="24"/>
          <w:szCs w:val="24"/>
          <w:lang w:val="en-US"/>
        </w:rPr>
      </w:pPr>
      <w:r>
        <w:t>27.</w:t>
      </w:r>
      <w:r>
        <w:tab/>
        <w:t>Required inspection and tests: Class 2 to Class 9 buildings (s. 36(2)(a))</w:t>
      </w:r>
      <w:r>
        <w:tab/>
      </w:r>
      <w:r>
        <w:fldChar w:fldCharType="begin"/>
      </w:r>
      <w:r>
        <w:instrText xml:space="preserve"> PAGEREF _Toc327450552 \h </w:instrText>
      </w:r>
      <w:r>
        <w:fldChar w:fldCharType="separate"/>
      </w:r>
      <w:r>
        <w:t>21</w:t>
      </w:r>
      <w:r>
        <w:fldChar w:fldCharType="end"/>
      </w:r>
    </w:p>
    <w:p>
      <w:pPr>
        <w:pStyle w:val="TOC8"/>
        <w:rPr>
          <w:sz w:val="24"/>
          <w:szCs w:val="24"/>
          <w:lang w:val="en-US"/>
        </w:rPr>
      </w:pPr>
      <w:r>
        <w:t>28.</w:t>
      </w:r>
      <w:r>
        <w:tab/>
        <w:t>Required inspection: enclosure of private swimming pool (s. 36(2)(a))</w:t>
      </w:r>
      <w:r>
        <w:tab/>
      </w:r>
      <w:r>
        <w:fldChar w:fldCharType="begin"/>
      </w:r>
      <w:r>
        <w:instrText xml:space="preserve"> PAGEREF _Toc327450553 \h </w:instrText>
      </w:r>
      <w:r>
        <w:fldChar w:fldCharType="separate"/>
      </w:r>
      <w:r>
        <w:t>22</w:t>
      </w:r>
      <w:r>
        <w:fldChar w:fldCharType="end"/>
      </w:r>
    </w:p>
    <w:p>
      <w:pPr>
        <w:pStyle w:val="TOC8"/>
        <w:rPr>
          <w:sz w:val="24"/>
          <w:szCs w:val="24"/>
          <w:lang w:val="en-US"/>
        </w:rPr>
      </w:pPr>
      <w:r>
        <w:t>29.</w:t>
      </w:r>
      <w:r>
        <w:tab/>
        <w:t>Inspection certificates (s. 36(2)(h) and (j))</w:t>
      </w:r>
      <w:r>
        <w:tab/>
      </w:r>
      <w:r>
        <w:fldChar w:fldCharType="begin"/>
      </w:r>
      <w:r>
        <w:instrText xml:space="preserve"> PAGEREF _Toc327450554 \h </w:instrText>
      </w:r>
      <w:r>
        <w:fldChar w:fldCharType="separate"/>
      </w:r>
      <w:r>
        <w:t>22</w:t>
      </w:r>
      <w:r>
        <w:fldChar w:fldCharType="end"/>
      </w:r>
    </w:p>
    <w:p>
      <w:pPr>
        <w:pStyle w:val="TOC8"/>
        <w:rPr>
          <w:sz w:val="24"/>
          <w:szCs w:val="24"/>
          <w:lang w:val="en-US"/>
        </w:rPr>
      </w:pPr>
      <w:r>
        <w:t>30.</w:t>
      </w:r>
      <w:r>
        <w:tab/>
        <w:t>Transitional provisions (s. 203)</w:t>
      </w:r>
      <w:r>
        <w:tab/>
      </w:r>
      <w:r>
        <w:fldChar w:fldCharType="begin"/>
      </w:r>
      <w:r>
        <w:instrText xml:space="preserve"> PAGEREF _Toc327450555 \h </w:instrText>
      </w:r>
      <w:r>
        <w:fldChar w:fldCharType="separate"/>
      </w:r>
      <w:r>
        <w:t>22</w:t>
      </w:r>
      <w:r>
        <w:fldChar w:fldCharType="end"/>
      </w:r>
    </w:p>
    <w:p>
      <w:pPr>
        <w:pStyle w:val="TOC2"/>
        <w:tabs>
          <w:tab w:val="right" w:leader="dot" w:pos="7086"/>
        </w:tabs>
        <w:rPr>
          <w:b w:val="0"/>
          <w:sz w:val="24"/>
          <w:szCs w:val="24"/>
          <w:lang w:val="en-US"/>
        </w:rPr>
      </w:pPr>
      <w:r>
        <w:t>Part 4 — Building standards</w:t>
      </w:r>
    </w:p>
    <w:p>
      <w:pPr>
        <w:pStyle w:val="TOC8"/>
        <w:rPr>
          <w:sz w:val="24"/>
          <w:szCs w:val="24"/>
          <w:lang w:val="en-US"/>
        </w:rPr>
      </w:pPr>
      <w:r>
        <w:t>31.</w:t>
      </w:r>
      <w:r>
        <w:tab/>
        <w:t>Term used: application</w:t>
      </w:r>
      <w:r>
        <w:tab/>
      </w:r>
      <w:r>
        <w:fldChar w:fldCharType="begin"/>
      </w:r>
      <w:r>
        <w:instrText xml:space="preserve"> PAGEREF _Toc327450557 \h </w:instrText>
      </w:r>
      <w:r>
        <w:fldChar w:fldCharType="separate"/>
      </w:r>
      <w:r>
        <w:t>24</w:t>
      </w:r>
      <w:r>
        <w:fldChar w:fldCharType="end"/>
      </w:r>
    </w:p>
    <w:p>
      <w:pPr>
        <w:pStyle w:val="TOC8"/>
        <w:rPr>
          <w:sz w:val="24"/>
          <w:szCs w:val="24"/>
          <w:lang w:val="en-US"/>
        </w:rPr>
      </w:pPr>
      <w:r>
        <w:t>32.</w:t>
      </w:r>
      <w:r>
        <w:tab/>
        <w:t>Statements to accompany application (s. 39(8)(b))</w:t>
      </w:r>
      <w:r>
        <w:tab/>
      </w:r>
      <w:r>
        <w:fldChar w:fldCharType="begin"/>
      </w:r>
      <w:r>
        <w:instrText xml:space="preserve"> PAGEREF _Toc327450558 \h </w:instrText>
      </w:r>
      <w:r>
        <w:fldChar w:fldCharType="separate"/>
      </w:r>
      <w:r>
        <w:t>24</w:t>
      </w:r>
      <w:r>
        <w:fldChar w:fldCharType="end"/>
      </w:r>
    </w:p>
    <w:p>
      <w:pPr>
        <w:pStyle w:val="TOC8"/>
        <w:rPr>
          <w:sz w:val="24"/>
          <w:szCs w:val="24"/>
          <w:lang w:val="en-US"/>
        </w:rPr>
      </w:pPr>
      <w:r>
        <w:t>33.</w:t>
      </w:r>
      <w:r>
        <w:tab/>
        <w:t>Decisions on applications (s. 39(9)(a))</w:t>
      </w:r>
      <w:r>
        <w:tab/>
      </w:r>
      <w:r>
        <w:fldChar w:fldCharType="begin"/>
      </w:r>
      <w:r>
        <w:instrText xml:space="preserve"> PAGEREF _Toc327450559 \h </w:instrText>
      </w:r>
      <w:r>
        <w:fldChar w:fldCharType="separate"/>
      </w:r>
      <w:r>
        <w:t>25</w:t>
      </w:r>
      <w:r>
        <w:fldChar w:fldCharType="end"/>
      </w:r>
    </w:p>
    <w:p>
      <w:pPr>
        <w:pStyle w:val="TOC8"/>
        <w:rPr>
          <w:sz w:val="24"/>
          <w:szCs w:val="24"/>
          <w:lang w:val="en-US"/>
        </w:rPr>
      </w:pPr>
      <w:r>
        <w:t>34.</w:t>
      </w:r>
      <w:r>
        <w:tab/>
        <w:t>Revoking or amending declarations (s. 39(9)(b))</w:t>
      </w:r>
      <w:r>
        <w:tab/>
      </w:r>
      <w:r>
        <w:fldChar w:fldCharType="begin"/>
      </w:r>
      <w:r>
        <w:instrText xml:space="preserve"> PAGEREF _Toc327450560 \h </w:instrText>
      </w:r>
      <w:r>
        <w:fldChar w:fldCharType="separate"/>
      </w:r>
      <w:r>
        <w:t>26</w:t>
      </w:r>
      <w:r>
        <w:fldChar w:fldCharType="end"/>
      </w:r>
    </w:p>
    <w:p>
      <w:pPr>
        <w:pStyle w:val="TOC2"/>
        <w:tabs>
          <w:tab w:val="right" w:leader="dot" w:pos="7086"/>
        </w:tabs>
        <w:rPr>
          <w:b w:val="0"/>
          <w:sz w:val="24"/>
          <w:szCs w:val="24"/>
          <w:lang w:val="en-US"/>
        </w:rPr>
      </w:pPr>
      <w:r>
        <w:t>Part 5 — Occupancy permits and building approval certificates</w:t>
      </w:r>
    </w:p>
    <w:p>
      <w:pPr>
        <w:pStyle w:val="TOC8"/>
        <w:rPr>
          <w:sz w:val="24"/>
          <w:szCs w:val="24"/>
          <w:lang w:val="en-US"/>
        </w:rPr>
      </w:pPr>
      <w:r>
        <w:t>35.</w:t>
      </w:r>
      <w:r>
        <w:tab/>
        <w:t>Display of occupancy permit details (s. 42(a))</w:t>
      </w:r>
      <w:r>
        <w:tab/>
      </w:r>
      <w:r>
        <w:fldChar w:fldCharType="begin"/>
      </w:r>
      <w:r>
        <w:instrText xml:space="preserve"> PAGEREF _Toc327450562 \h </w:instrText>
      </w:r>
      <w:r>
        <w:fldChar w:fldCharType="separate"/>
      </w:r>
      <w:r>
        <w:t>27</w:t>
      </w:r>
      <w:r>
        <w:fldChar w:fldCharType="end"/>
      </w:r>
    </w:p>
    <w:p>
      <w:pPr>
        <w:pStyle w:val="TOC8"/>
        <w:rPr>
          <w:sz w:val="24"/>
          <w:szCs w:val="24"/>
          <w:lang w:val="en-US"/>
        </w:rPr>
      </w:pPr>
      <w:r>
        <w:t>36.</w:t>
      </w:r>
      <w:r>
        <w:tab/>
        <w:t>Certificate of building compliance (s. 57)</w:t>
      </w:r>
      <w:r>
        <w:tab/>
      </w:r>
      <w:r>
        <w:fldChar w:fldCharType="begin"/>
      </w:r>
      <w:r>
        <w:instrText xml:space="preserve"> PAGEREF _Toc327450563 \h </w:instrText>
      </w:r>
      <w:r>
        <w:fldChar w:fldCharType="separate"/>
      </w:r>
      <w:r>
        <w:t>27</w:t>
      </w:r>
      <w:r>
        <w:fldChar w:fldCharType="end"/>
      </w:r>
    </w:p>
    <w:p>
      <w:pPr>
        <w:pStyle w:val="TOC8"/>
        <w:rPr>
          <w:sz w:val="24"/>
          <w:szCs w:val="24"/>
          <w:lang w:val="en-US"/>
        </w:rPr>
      </w:pPr>
      <w:r>
        <w:t>37.</w:t>
      </w:r>
      <w:r>
        <w:tab/>
        <w:t>Grant of occupancy permit or building approval certificate (s. 58)</w:t>
      </w:r>
      <w:r>
        <w:tab/>
      </w:r>
      <w:r>
        <w:fldChar w:fldCharType="begin"/>
      </w:r>
      <w:r>
        <w:instrText xml:space="preserve"> PAGEREF _Toc327450564 \h </w:instrText>
      </w:r>
      <w:r>
        <w:fldChar w:fldCharType="separate"/>
      </w:r>
      <w:r>
        <w:t>28</w:t>
      </w:r>
      <w:r>
        <w:fldChar w:fldCharType="end"/>
      </w:r>
    </w:p>
    <w:p>
      <w:pPr>
        <w:pStyle w:val="TOC8"/>
        <w:rPr>
          <w:sz w:val="24"/>
          <w:szCs w:val="24"/>
          <w:lang w:val="en-US"/>
        </w:rPr>
      </w:pPr>
      <w:r>
        <w:t>38.</w:t>
      </w:r>
      <w:r>
        <w:tab/>
        <w:t>Time for granting occupancy permit or building approval certificate (s. 59)</w:t>
      </w:r>
      <w:r>
        <w:tab/>
      </w:r>
      <w:r>
        <w:fldChar w:fldCharType="begin"/>
      </w:r>
      <w:r>
        <w:instrText xml:space="preserve"> PAGEREF _Toc327450565 \h </w:instrText>
      </w:r>
      <w:r>
        <w:fldChar w:fldCharType="separate"/>
      </w:r>
      <w:r>
        <w:t>28</w:t>
      </w:r>
      <w:r>
        <w:fldChar w:fldCharType="end"/>
      </w:r>
    </w:p>
    <w:p>
      <w:pPr>
        <w:pStyle w:val="TOC8"/>
        <w:rPr>
          <w:sz w:val="24"/>
          <w:szCs w:val="24"/>
          <w:lang w:val="en-US"/>
        </w:rPr>
      </w:pPr>
      <w:r>
        <w:t>39.</w:t>
      </w:r>
      <w:r>
        <w:tab/>
        <w:t>Occupancy permit and building approval certificates (s. 61(2))</w:t>
      </w:r>
      <w:r>
        <w:tab/>
      </w:r>
      <w:r>
        <w:fldChar w:fldCharType="begin"/>
      </w:r>
      <w:r>
        <w:instrText xml:space="preserve"> PAGEREF _Toc327450566 \h </w:instrText>
      </w:r>
      <w:r>
        <w:fldChar w:fldCharType="separate"/>
      </w:r>
      <w:r>
        <w:t>29</w:t>
      </w:r>
      <w:r>
        <w:fldChar w:fldCharType="end"/>
      </w:r>
    </w:p>
    <w:p>
      <w:pPr>
        <w:pStyle w:val="TOC8"/>
        <w:rPr>
          <w:sz w:val="24"/>
          <w:szCs w:val="24"/>
          <w:lang w:val="en-US"/>
        </w:rPr>
      </w:pPr>
      <w:r>
        <w:t>40.</w:t>
      </w:r>
      <w:r>
        <w:tab/>
        <w:t>Extension of period of duration of time limited occupancy permit or building approval certificate (s. 65)</w:t>
      </w:r>
      <w:r>
        <w:tab/>
      </w:r>
      <w:r>
        <w:fldChar w:fldCharType="begin"/>
      </w:r>
      <w:r>
        <w:instrText xml:space="preserve"> PAGEREF _Toc327450567 \h </w:instrText>
      </w:r>
      <w:r>
        <w:fldChar w:fldCharType="separate"/>
      </w:r>
      <w:r>
        <w:t>29</w:t>
      </w:r>
      <w:r>
        <w:fldChar w:fldCharType="end"/>
      </w:r>
    </w:p>
    <w:p>
      <w:pPr>
        <w:pStyle w:val="TOC2"/>
        <w:tabs>
          <w:tab w:val="right" w:leader="dot" w:pos="7086"/>
        </w:tabs>
        <w:rPr>
          <w:b w:val="0"/>
          <w:sz w:val="24"/>
          <w:szCs w:val="24"/>
          <w:lang w:val="en-US"/>
        </w:rPr>
      </w:pPr>
      <w:r>
        <w:t>Part 6 — Circumstances in which building, demolition or occupancy permits not required</w:t>
      </w:r>
    </w:p>
    <w:p>
      <w:pPr>
        <w:pStyle w:val="TOC8"/>
        <w:rPr>
          <w:sz w:val="24"/>
          <w:szCs w:val="24"/>
          <w:lang w:val="en-US"/>
        </w:rPr>
      </w:pPr>
      <w:r>
        <w:t>41.</w:t>
      </w:r>
      <w:r>
        <w:tab/>
        <w:t>Building work for which building permit is not required (s. 9(1)(b))</w:t>
      </w:r>
      <w:r>
        <w:tab/>
      </w:r>
      <w:r>
        <w:fldChar w:fldCharType="begin"/>
      </w:r>
      <w:r>
        <w:instrText xml:space="preserve"> PAGEREF _Toc327450569 \h </w:instrText>
      </w:r>
      <w:r>
        <w:fldChar w:fldCharType="separate"/>
      </w:r>
      <w:r>
        <w:t>32</w:t>
      </w:r>
      <w:r>
        <w:fldChar w:fldCharType="end"/>
      </w:r>
    </w:p>
    <w:p>
      <w:pPr>
        <w:pStyle w:val="TOC8"/>
        <w:rPr>
          <w:sz w:val="24"/>
          <w:szCs w:val="24"/>
          <w:lang w:val="en-US"/>
        </w:rPr>
      </w:pPr>
      <w:r>
        <w:t>42.</w:t>
      </w:r>
      <w:r>
        <w:tab/>
        <w:t>Demolition work for which demolition permit not required (s. 10(c))</w:t>
      </w:r>
      <w:r>
        <w:tab/>
      </w:r>
      <w:r>
        <w:fldChar w:fldCharType="begin"/>
      </w:r>
      <w:r>
        <w:instrText xml:space="preserve"> PAGEREF _Toc327450570 \h </w:instrText>
      </w:r>
      <w:r>
        <w:fldChar w:fldCharType="separate"/>
      </w:r>
      <w:r>
        <w:t>33</w:t>
      </w:r>
      <w:r>
        <w:fldChar w:fldCharType="end"/>
      </w:r>
    </w:p>
    <w:p>
      <w:pPr>
        <w:pStyle w:val="TOC8"/>
        <w:rPr>
          <w:sz w:val="24"/>
          <w:szCs w:val="24"/>
          <w:lang w:val="en-US"/>
        </w:rPr>
      </w:pPr>
      <w:r>
        <w:t>43.</w:t>
      </w:r>
      <w:r>
        <w:tab/>
        <w:t>Buildings and incidental structures for which occupancy permit not required (s. 41(2))</w:t>
      </w:r>
      <w:r>
        <w:tab/>
      </w:r>
      <w:r>
        <w:fldChar w:fldCharType="begin"/>
      </w:r>
      <w:r>
        <w:instrText xml:space="preserve"> PAGEREF _Toc327450571 \h </w:instrText>
      </w:r>
      <w:r>
        <w:fldChar w:fldCharType="separate"/>
      </w:r>
      <w:r>
        <w:t>33</w:t>
      </w:r>
      <w:r>
        <w:fldChar w:fldCharType="end"/>
      </w:r>
    </w:p>
    <w:p>
      <w:pPr>
        <w:pStyle w:val="TOC2"/>
        <w:tabs>
          <w:tab w:val="right" w:leader="dot" w:pos="7086"/>
        </w:tabs>
        <w:rPr>
          <w:b w:val="0"/>
          <w:sz w:val="24"/>
          <w:szCs w:val="24"/>
          <w:lang w:val="en-US"/>
        </w:rPr>
      </w:pPr>
      <w:r>
        <w:t>Part 7 — Work affecting other land</w:t>
      </w:r>
    </w:p>
    <w:p>
      <w:pPr>
        <w:pStyle w:val="TOC8"/>
        <w:rPr>
          <w:sz w:val="24"/>
          <w:szCs w:val="24"/>
          <w:lang w:val="en-US"/>
        </w:rPr>
      </w:pPr>
      <w:r>
        <w:t>44.</w:t>
      </w:r>
      <w:r>
        <w:tab/>
        <w:t>Owner of land for purposes of Part 6 of Act</w:t>
      </w:r>
      <w:r>
        <w:tab/>
      </w:r>
      <w:r>
        <w:fldChar w:fldCharType="begin"/>
      </w:r>
      <w:r>
        <w:instrText xml:space="preserve"> PAGEREF _Toc327450573 \h </w:instrText>
      </w:r>
      <w:r>
        <w:fldChar w:fldCharType="separate"/>
      </w:r>
      <w:r>
        <w:t>34</w:t>
      </w:r>
      <w:r>
        <w:fldChar w:fldCharType="end"/>
      </w:r>
    </w:p>
    <w:p>
      <w:pPr>
        <w:pStyle w:val="TOC8"/>
        <w:rPr>
          <w:sz w:val="24"/>
          <w:szCs w:val="24"/>
          <w:lang w:val="en-US"/>
        </w:rPr>
      </w:pPr>
      <w:r>
        <w:t>45.</w:t>
      </w:r>
      <w:r>
        <w:tab/>
        <w:t>Content of notice about effect on other land (s. 85)</w:t>
      </w:r>
      <w:r>
        <w:tab/>
      </w:r>
      <w:r>
        <w:fldChar w:fldCharType="begin"/>
      </w:r>
      <w:r>
        <w:instrText xml:space="preserve"> PAGEREF _Toc327450574 \h </w:instrText>
      </w:r>
      <w:r>
        <w:fldChar w:fldCharType="separate"/>
      </w:r>
      <w:r>
        <w:t>34</w:t>
      </w:r>
      <w:r>
        <w:fldChar w:fldCharType="end"/>
      </w:r>
    </w:p>
    <w:p>
      <w:pPr>
        <w:pStyle w:val="TOC2"/>
        <w:tabs>
          <w:tab w:val="right" w:leader="dot" w:pos="7086"/>
        </w:tabs>
        <w:rPr>
          <w:b w:val="0"/>
          <w:sz w:val="24"/>
          <w:szCs w:val="24"/>
          <w:lang w:val="en-US"/>
        </w:rPr>
      </w:pPr>
      <w:r>
        <w:t>Part 8 — Existing buildings</w:t>
      </w:r>
    </w:p>
    <w:p>
      <w:pPr>
        <w:pStyle w:val="TOC4"/>
        <w:tabs>
          <w:tab w:val="right" w:leader="dot" w:pos="7086"/>
        </w:tabs>
        <w:rPr>
          <w:b w:val="0"/>
          <w:sz w:val="24"/>
          <w:szCs w:val="24"/>
          <w:lang w:val="en-US"/>
        </w:rPr>
      </w:pPr>
      <w:r>
        <w:t>Division 1 — General</w:t>
      </w:r>
    </w:p>
    <w:p>
      <w:pPr>
        <w:pStyle w:val="TOC8"/>
        <w:rPr>
          <w:sz w:val="24"/>
          <w:szCs w:val="24"/>
          <w:lang w:val="en-US"/>
        </w:rPr>
      </w:pPr>
      <w:r>
        <w:t>46.</w:t>
      </w:r>
      <w:r>
        <w:tab/>
        <w:t>Building standards to apply to relocated buildings and incidental structures</w:t>
      </w:r>
      <w:r>
        <w:tab/>
      </w:r>
      <w:r>
        <w:fldChar w:fldCharType="begin"/>
      </w:r>
      <w:r>
        <w:instrText xml:space="preserve"> PAGEREF _Toc327450577 \h </w:instrText>
      </w:r>
      <w:r>
        <w:fldChar w:fldCharType="separate"/>
      </w:r>
      <w:r>
        <w:t>35</w:t>
      </w:r>
      <w:r>
        <w:fldChar w:fldCharType="end"/>
      </w:r>
    </w:p>
    <w:p>
      <w:pPr>
        <w:pStyle w:val="TOC8"/>
        <w:rPr>
          <w:sz w:val="24"/>
          <w:szCs w:val="24"/>
          <w:lang w:val="en-US"/>
        </w:rPr>
      </w:pPr>
      <w:r>
        <w:t>47.</w:t>
      </w:r>
      <w:r>
        <w:tab/>
        <w:t>Notification of change of classification of certain buildings and incidental structures</w:t>
      </w:r>
      <w:r>
        <w:tab/>
      </w:r>
      <w:r>
        <w:fldChar w:fldCharType="begin"/>
      </w:r>
      <w:r>
        <w:instrText xml:space="preserve"> PAGEREF _Toc327450578 \h </w:instrText>
      </w:r>
      <w:r>
        <w:fldChar w:fldCharType="separate"/>
      </w:r>
      <w:r>
        <w:t>35</w:t>
      </w:r>
      <w:r>
        <w:fldChar w:fldCharType="end"/>
      </w:r>
    </w:p>
    <w:p>
      <w:pPr>
        <w:pStyle w:val="TOC4"/>
        <w:tabs>
          <w:tab w:val="right" w:leader="dot" w:pos="7086"/>
        </w:tabs>
        <w:rPr>
          <w:b w:val="0"/>
          <w:sz w:val="24"/>
          <w:szCs w:val="24"/>
          <w:lang w:val="en-US"/>
        </w:rPr>
      </w:pPr>
      <w:r>
        <w:t>Division 2 — Private swimming pools</w:t>
      </w:r>
    </w:p>
    <w:p>
      <w:pPr>
        <w:pStyle w:val="TOC8"/>
        <w:rPr>
          <w:sz w:val="24"/>
          <w:szCs w:val="24"/>
          <w:lang w:val="en-US"/>
        </w:rPr>
      </w:pPr>
      <w:r>
        <w:t>48.</w:t>
      </w:r>
      <w:r>
        <w:tab/>
        <w:t>Terms used</w:t>
      </w:r>
      <w:r>
        <w:tab/>
      </w:r>
      <w:r>
        <w:fldChar w:fldCharType="begin"/>
      </w:r>
      <w:r>
        <w:instrText xml:space="preserve"> PAGEREF _Toc327450580 \h </w:instrText>
      </w:r>
      <w:r>
        <w:fldChar w:fldCharType="separate"/>
      </w:r>
      <w:r>
        <w:t>36</w:t>
      </w:r>
      <w:r>
        <w:fldChar w:fldCharType="end"/>
      </w:r>
    </w:p>
    <w:p>
      <w:pPr>
        <w:pStyle w:val="TOC8"/>
        <w:rPr>
          <w:sz w:val="24"/>
          <w:szCs w:val="24"/>
          <w:lang w:val="en-US"/>
        </w:rPr>
      </w:pPr>
      <w:r>
        <w:t>49.</w:t>
      </w:r>
      <w:r>
        <w:tab/>
        <w:t>Application of this Division</w:t>
      </w:r>
      <w:r>
        <w:tab/>
      </w:r>
      <w:r>
        <w:fldChar w:fldCharType="begin"/>
      </w:r>
      <w:r>
        <w:instrText xml:space="preserve"> PAGEREF _Toc327450581 \h </w:instrText>
      </w:r>
      <w:r>
        <w:fldChar w:fldCharType="separate"/>
      </w:r>
      <w:r>
        <w:t>36</w:t>
      </w:r>
      <w:r>
        <w:fldChar w:fldCharType="end"/>
      </w:r>
    </w:p>
    <w:p>
      <w:pPr>
        <w:pStyle w:val="TOC8"/>
        <w:rPr>
          <w:sz w:val="24"/>
          <w:szCs w:val="24"/>
          <w:lang w:val="en-US"/>
        </w:rPr>
      </w:pPr>
      <w:r>
        <w:t>50.</w:t>
      </w:r>
      <w:r>
        <w:tab/>
        <w:t>Enclosure of private swimming pool</w:t>
      </w:r>
      <w:r>
        <w:tab/>
      </w:r>
      <w:r>
        <w:fldChar w:fldCharType="begin"/>
      </w:r>
      <w:r>
        <w:instrText xml:space="preserve"> PAGEREF _Toc327450582 \h </w:instrText>
      </w:r>
      <w:r>
        <w:fldChar w:fldCharType="separate"/>
      </w:r>
      <w:r>
        <w:t>36</w:t>
      </w:r>
      <w:r>
        <w:fldChar w:fldCharType="end"/>
      </w:r>
    </w:p>
    <w:p>
      <w:pPr>
        <w:pStyle w:val="TOC8"/>
        <w:rPr>
          <w:sz w:val="24"/>
          <w:szCs w:val="24"/>
          <w:lang w:val="en-US"/>
        </w:rPr>
      </w:pPr>
      <w:r>
        <w:t>51.</w:t>
      </w:r>
      <w:r>
        <w:tab/>
        <w:t>Approvals by permit authority</w:t>
      </w:r>
      <w:r>
        <w:tab/>
      </w:r>
      <w:r>
        <w:fldChar w:fldCharType="begin"/>
      </w:r>
      <w:r>
        <w:instrText xml:space="preserve"> PAGEREF _Toc327450583 \h </w:instrText>
      </w:r>
      <w:r>
        <w:fldChar w:fldCharType="separate"/>
      </w:r>
      <w:r>
        <w:t>37</w:t>
      </w:r>
      <w:r>
        <w:fldChar w:fldCharType="end"/>
      </w:r>
    </w:p>
    <w:p>
      <w:pPr>
        <w:pStyle w:val="TOC8"/>
        <w:rPr>
          <w:sz w:val="24"/>
          <w:szCs w:val="24"/>
          <w:lang w:val="en-US"/>
        </w:rPr>
      </w:pPr>
      <w:r>
        <w:t>52.</w:t>
      </w:r>
      <w:r>
        <w:tab/>
        <w:t>Concessions for pre</w:t>
      </w:r>
      <w:r>
        <w:noBreakHyphen/>
        <w:t>November 2001 private swimming pools</w:t>
      </w:r>
      <w:r>
        <w:tab/>
      </w:r>
      <w:r>
        <w:fldChar w:fldCharType="begin"/>
      </w:r>
      <w:r>
        <w:instrText xml:space="preserve"> PAGEREF _Toc327450584 \h </w:instrText>
      </w:r>
      <w:r>
        <w:fldChar w:fldCharType="separate"/>
      </w:r>
      <w:r>
        <w:t>39</w:t>
      </w:r>
      <w:r>
        <w:fldChar w:fldCharType="end"/>
      </w:r>
    </w:p>
    <w:p>
      <w:pPr>
        <w:pStyle w:val="TOC8"/>
        <w:rPr>
          <w:sz w:val="24"/>
          <w:szCs w:val="24"/>
          <w:lang w:val="en-US"/>
        </w:rPr>
      </w:pPr>
      <w:r>
        <w:t>53.</w:t>
      </w:r>
      <w:r>
        <w:tab/>
        <w:t>Inspections of pool enclosures</w:t>
      </w:r>
      <w:r>
        <w:tab/>
      </w:r>
      <w:r>
        <w:fldChar w:fldCharType="begin"/>
      </w:r>
      <w:r>
        <w:instrText xml:space="preserve"> PAGEREF _Toc327450585 \h </w:instrText>
      </w:r>
      <w:r>
        <w:fldChar w:fldCharType="separate"/>
      </w:r>
      <w:r>
        <w:t>39</w:t>
      </w:r>
      <w:r>
        <w:fldChar w:fldCharType="end"/>
      </w:r>
    </w:p>
    <w:p>
      <w:pPr>
        <w:pStyle w:val="TOC8"/>
        <w:rPr>
          <w:sz w:val="24"/>
          <w:szCs w:val="24"/>
          <w:lang w:val="en-US"/>
        </w:rPr>
      </w:pPr>
      <w:r>
        <w:t>54.</w:t>
      </w:r>
      <w:r>
        <w:tab/>
        <w:t>Transitional provisions — persons authorised to carry out inspections of private swimming pools</w:t>
      </w:r>
      <w:r>
        <w:tab/>
      </w:r>
      <w:r>
        <w:fldChar w:fldCharType="begin"/>
      </w:r>
      <w:r>
        <w:instrText xml:space="preserve"> PAGEREF _Toc327450586 \h </w:instrText>
      </w:r>
      <w:r>
        <w:fldChar w:fldCharType="separate"/>
      </w:r>
      <w:r>
        <w:t>40</w:t>
      </w:r>
      <w:r>
        <w:fldChar w:fldCharType="end"/>
      </w:r>
    </w:p>
    <w:p>
      <w:pPr>
        <w:pStyle w:val="TOC4"/>
        <w:tabs>
          <w:tab w:val="right" w:leader="dot" w:pos="7086"/>
        </w:tabs>
        <w:rPr>
          <w:b w:val="0"/>
          <w:sz w:val="24"/>
          <w:szCs w:val="24"/>
          <w:lang w:val="en-US"/>
        </w:rPr>
      </w:pPr>
      <w:r>
        <w:t>Division 3 — Smoke alarms</w:t>
      </w:r>
    </w:p>
    <w:p>
      <w:pPr>
        <w:pStyle w:val="TOC8"/>
        <w:rPr>
          <w:sz w:val="24"/>
          <w:szCs w:val="24"/>
          <w:lang w:val="en-US"/>
        </w:rPr>
      </w:pPr>
      <w:r>
        <w:t>55.</w:t>
      </w:r>
      <w:r>
        <w:tab/>
        <w:t>Terms used</w:t>
      </w:r>
      <w:r>
        <w:tab/>
      </w:r>
      <w:r>
        <w:fldChar w:fldCharType="begin"/>
      </w:r>
      <w:r>
        <w:instrText xml:space="preserve"> PAGEREF _Toc327450588 \h </w:instrText>
      </w:r>
      <w:r>
        <w:fldChar w:fldCharType="separate"/>
      </w:r>
      <w:r>
        <w:t>40</w:t>
      </w:r>
      <w:r>
        <w:fldChar w:fldCharType="end"/>
      </w:r>
    </w:p>
    <w:p>
      <w:pPr>
        <w:pStyle w:val="TOC8"/>
        <w:rPr>
          <w:sz w:val="24"/>
          <w:szCs w:val="24"/>
          <w:lang w:val="en-US"/>
        </w:rPr>
      </w:pPr>
      <w:r>
        <w:t>56.</w:t>
      </w:r>
      <w:r>
        <w:tab/>
        <w:t>Requirement to have smoke alarms or similar prior to transfer of dwelling</w:t>
      </w:r>
      <w:r>
        <w:tab/>
      </w:r>
      <w:r>
        <w:fldChar w:fldCharType="begin"/>
      </w:r>
      <w:r>
        <w:instrText xml:space="preserve"> PAGEREF _Toc327450589 \h </w:instrText>
      </w:r>
      <w:r>
        <w:fldChar w:fldCharType="separate"/>
      </w:r>
      <w:r>
        <w:t>42</w:t>
      </w:r>
      <w:r>
        <w:fldChar w:fldCharType="end"/>
      </w:r>
    </w:p>
    <w:p>
      <w:pPr>
        <w:pStyle w:val="TOC8"/>
        <w:rPr>
          <w:sz w:val="24"/>
          <w:szCs w:val="24"/>
          <w:lang w:val="en-US"/>
        </w:rPr>
      </w:pPr>
      <w:r>
        <w:t>57.</w:t>
      </w:r>
      <w:r>
        <w:tab/>
        <w:t>New owner must install smoke alarms or similar, and right to recover costs</w:t>
      </w:r>
      <w:r>
        <w:tab/>
      </w:r>
      <w:r>
        <w:fldChar w:fldCharType="begin"/>
      </w:r>
      <w:r>
        <w:instrText xml:space="preserve"> PAGEREF _Toc327450590 \h </w:instrText>
      </w:r>
      <w:r>
        <w:fldChar w:fldCharType="separate"/>
      </w:r>
      <w:r>
        <w:t>42</w:t>
      </w:r>
      <w:r>
        <w:fldChar w:fldCharType="end"/>
      </w:r>
    </w:p>
    <w:p>
      <w:pPr>
        <w:pStyle w:val="TOC8"/>
        <w:rPr>
          <w:sz w:val="24"/>
          <w:szCs w:val="24"/>
          <w:lang w:val="en-US"/>
        </w:rPr>
      </w:pPr>
      <w:r>
        <w:t>58.</w:t>
      </w:r>
      <w:r>
        <w:tab/>
        <w:t>Requirement to have smoke alarms or similar prior to tenancy</w:t>
      </w:r>
      <w:r>
        <w:tab/>
      </w:r>
      <w:r>
        <w:fldChar w:fldCharType="begin"/>
      </w:r>
      <w:r>
        <w:instrText xml:space="preserve"> PAGEREF _Toc327450591 \h </w:instrText>
      </w:r>
      <w:r>
        <w:fldChar w:fldCharType="separate"/>
      </w:r>
      <w:r>
        <w:t>43</w:t>
      </w:r>
      <w:r>
        <w:fldChar w:fldCharType="end"/>
      </w:r>
    </w:p>
    <w:p>
      <w:pPr>
        <w:pStyle w:val="TOC8"/>
        <w:rPr>
          <w:sz w:val="24"/>
          <w:szCs w:val="24"/>
          <w:lang w:val="en-US"/>
        </w:rPr>
      </w:pPr>
      <w:r>
        <w:t>59.</w:t>
      </w:r>
      <w:r>
        <w:tab/>
        <w:t>Requirement to have smoke alarms or similar prior to hire of dwelling</w:t>
      </w:r>
      <w:r>
        <w:tab/>
      </w:r>
      <w:r>
        <w:fldChar w:fldCharType="begin"/>
      </w:r>
      <w:r>
        <w:instrText xml:space="preserve"> PAGEREF _Toc327450592 \h </w:instrText>
      </w:r>
      <w:r>
        <w:fldChar w:fldCharType="separate"/>
      </w:r>
      <w:r>
        <w:t>43</w:t>
      </w:r>
      <w:r>
        <w:fldChar w:fldCharType="end"/>
      </w:r>
    </w:p>
    <w:p>
      <w:pPr>
        <w:pStyle w:val="TOC8"/>
        <w:rPr>
          <w:sz w:val="24"/>
          <w:szCs w:val="24"/>
          <w:lang w:val="en-US"/>
        </w:rPr>
      </w:pPr>
      <w:r>
        <w:t>60.</w:t>
      </w:r>
      <w:r>
        <w:tab/>
        <w:t>Requirements for smoke alarms</w:t>
      </w:r>
      <w:r>
        <w:tab/>
      </w:r>
      <w:r>
        <w:fldChar w:fldCharType="begin"/>
      </w:r>
      <w:r>
        <w:instrText xml:space="preserve"> PAGEREF _Toc327450593 \h </w:instrText>
      </w:r>
      <w:r>
        <w:fldChar w:fldCharType="separate"/>
      </w:r>
      <w:r>
        <w:t>43</w:t>
      </w:r>
      <w:r>
        <w:fldChar w:fldCharType="end"/>
      </w:r>
    </w:p>
    <w:p>
      <w:pPr>
        <w:pStyle w:val="TOC8"/>
        <w:rPr>
          <w:sz w:val="24"/>
          <w:szCs w:val="24"/>
          <w:lang w:val="en-US"/>
        </w:rPr>
      </w:pPr>
      <w:r>
        <w:t>61.</w:t>
      </w:r>
      <w:r>
        <w:tab/>
        <w:t>Local government approval of battery powered smoke alarms</w:t>
      </w:r>
      <w:r>
        <w:tab/>
      </w:r>
      <w:r>
        <w:fldChar w:fldCharType="begin"/>
      </w:r>
      <w:r>
        <w:instrText xml:space="preserve"> PAGEREF _Toc327450594 \h </w:instrText>
      </w:r>
      <w:r>
        <w:fldChar w:fldCharType="separate"/>
      </w:r>
      <w:r>
        <w:t>45</w:t>
      </w:r>
      <w:r>
        <w:fldChar w:fldCharType="end"/>
      </w:r>
    </w:p>
    <w:p>
      <w:pPr>
        <w:pStyle w:val="TOC8"/>
        <w:rPr>
          <w:sz w:val="24"/>
          <w:szCs w:val="24"/>
          <w:lang w:val="en-US"/>
        </w:rPr>
      </w:pPr>
      <w:r>
        <w:t>62.</w:t>
      </w:r>
      <w:r>
        <w:tab/>
        <w:t>Requirement to maintain certain smoke alarms</w:t>
      </w:r>
      <w:r>
        <w:tab/>
      </w:r>
      <w:r>
        <w:fldChar w:fldCharType="begin"/>
      </w:r>
      <w:r>
        <w:instrText xml:space="preserve"> PAGEREF _Toc327450595 \h </w:instrText>
      </w:r>
      <w:r>
        <w:fldChar w:fldCharType="separate"/>
      </w:r>
      <w:r>
        <w:t>46</w:t>
      </w:r>
      <w:r>
        <w:fldChar w:fldCharType="end"/>
      </w:r>
    </w:p>
    <w:p>
      <w:pPr>
        <w:pStyle w:val="TOC2"/>
        <w:tabs>
          <w:tab w:val="right" w:leader="dot" w:pos="7086"/>
        </w:tabs>
        <w:rPr>
          <w:b w:val="0"/>
          <w:sz w:val="24"/>
          <w:szCs w:val="24"/>
          <w:lang w:val="en-US"/>
        </w:rPr>
      </w:pPr>
      <w:r>
        <w:t xml:space="preserve">Part 9 — Transitional provisions relating to </w:t>
      </w:r>
      <w:r>
        <w:rPr>
          <w:i/>
        </w:rPr>
        <w:t>Local Government (Miscellaneous Provisions) Act 1960</w:t>
      </w:r>
    </w:p>
    <w:p>
      <w:pPr>
        <w:pStyle w:val="TOC8"/>
        <w:rPr>
          <w:sz w:val="24"/>
          <w:szCs w:val="24"/>
          <w:lang w:val="en-US"/>
        </w:rPr>
      </w:pPr>
      <w:r>
        <w:t>63.</w:t>
      </w:r>
      <w:r>
        <w:tab/>
      </w:r>
      <w:r>
        <w:rPr>
          <w:snapToGrid w:val="0"/>
        </w:rPr>
        <w:t>Notice to be given before commencing building or demolition work</w:t>
      </w:r>
      <w:r>
        <w:tab/>
      </w:r>
      <w:r>
        <w:fldChar w:fldCharType="begin"/>
      </w:r>
      <w:r>
        <w:instrText xml:space="preserve"> PAGEREF _Toc327450597 \h </w:instrText>
      </w:r>
      <w:r>
        <w:fldChar w:fldCharType="separate"/>
      </w:r>
      <w:r>
        <w:t>47</w:t>
      </w:r>
      <w:r>
        <w:fldChar w:fldCharType="end"/>
      </w:r>
    </w:p>
    <w:p>
      <w:pPr>
        <w:pStyle w:val="TOC8"/>
        <w:rPr>
          <w:sz w:val="24"/>
          <w:szCs w:val="24"/>
          <w:lang w:val="en-US"/>
        </w:rPr>
      </w:pPr>
      <w:r>
        <w:t>64.</w:t>
      </w:r>
      <w:r>
        <w:tab/>
      </w:r>
      <w:r>
        <w:rPr>
          <w:snapToGrid w:val="0"/>
        </w:rPr>
        <w:t>No materials to be deposited on streets without licence</w:t>
      </w:r>
      <w:r>
        <w:tab/>
      </w:r>
      <w:r>
        <w:fldChar w:fldCharType="begin"/>
      </w:r>
      <w:r>
        <w:instrText xml:space="preserve"> PAGEREF _Toc327450598 \h </w:instrText>
      </w:r>
      <w:r>
        <w:fldChar w:fldCharType="separate"/>
      </w:r>
      <w:r>
        <w:t>47</w:t>
      </w:r>
      <w:r>
        <w:fldChar w:fldCharType="end"/>
      </w:r>
    </w:p>
    <w:p>
      <w:pPr>
        <w:pStyle w:val="TOC8"/>
        <w:rPr>
          <w:sz w:val="24"/>
          <w:szCs w:val="24"/>
          <w:lang w:val="en-US"/>
        </w:rPr>
      </w:pPr>
      <w:r>
        <w:t>65.</w:t>
      </w:r>
      <w:r>
        <w:tab/>
      </w:r>
      <w:r>
        <w:rPr>
          <w:snapToGrid w:val="0"/>
        </w:rPr>
        <w:t>Hoardings erected and materials deposited otherwise than as permitted by licence may be removed</w:t>
      </w:r>
      <w:r>
        <w:tab/>
      </w:r>
      <w:r>
        <w:fldChar w:fldCharType="begin"/>
      </w:r>
      <w:r>
        <w:instrText xml:space="preserve"> PAGEREF _Toc327450599 \h </w:instrText>
      </w:r>
      <w:r>
        <w:fldChar w:fldCharType="separate"/>
      </w:r>
      <w:r>
        <w:t>49</w:t>
      </w:r>
      <w:r>
        <w:fldChar w:fldCharType="end"/>
      </w:r>
    </w:p>
    <w:p>
      <w:pPr>
        <w:pStyle w:val="TOC8"/>
        <w:rPr>
          <w:sz w:val="24"/>
          <w:szCs w:val="24"/>
          <w:lang w:val="en-US"/>
        </w:rPr>
      </w:pPr>
      <w:r>
        <w:t>66.</w:t>
      </w:r>
      <w:r>
        <w:tab/>
      </w:r>
      <w:r>
        <w:rPr>
          <w:snapToGrid w:val="0"/>
        </w:rPr>
        <w:t>Damage done to footpaths, drains etc. to be made good</w:t>
      </w:r>
      <w:r>
        <w:tab/>
      </w:r>
      <w:r>
        <w:fldChar w:fldCharType="begin"/>
      </w:r>
      <w:r>
        <w:instrText xml:space="preserve"> PAGEREF _Toc327450600 \h </w:instrText>
      </w:r>
      <w:r>
        <w:fldChar w:fldCharType="separate"/>
      </w:r>
      <w:r>
        <w:t>50</w:t>
      </w:r>
      <w:r>
        <w:fldChar w:fldCharType="end"/>
      </w:r>
    </w:p>
    <w:p>
      <w:pPr>
        <w:pStyle w:val="TOC8"/>
        <w:rPr>
          <w:sz w:val="24"/>
          <w:szCs w:val="24"/>
          <w:lang w:val="en-US"/>
        </w:rPr>
      </w:pPr>
      <w:r>
        <w:t>67.</w:t>
      </w:r>
      <w:r>
        <w:tab/>
      </w:r>
      <w:r>
        <w:rPr>
          <w:snapToGrid w:val="0"/>
        </w:rPr>
        <w:t>While building is in progress footpath to be covered</w:t>
      </w:r>
      <w:r>
        <w:tab/>
      </w:r>
      <w:r>
        <w:fldChar w:fldCharType="begin"/>
      </w:r>
      <w:r>
        <w:instrText xml:space="preserve"> PAGEREF _Toc327450601 \h </w:instrText>
      </w:r>
      <w:r>
        <w:fldChar w:fldCharType="separate"/>
      </w:r>
      <w:r>
        <w:t>51</w:t>
      </w:r>
      <w:r>
        <w:fldChar w:fldCharType="end"/>
      </w:r>
    </w:p>
    <w:p>
      <w:pPr>
        <w:pStyle w:val="TOC8"/>
        <w:rPr>
          <w:sz w:val="24"/>
          <w:szCs w:val="24"/>
          <w:lang w:val="en-US"/>
        </w:rPr>
      </w:pPr>
      <w:r>
        <w:t>68.</w:t>
      </w:r>
      <w:r>
        <w:tab/>
        <w:t>Expiry of Part</w:t>
      </w:r>
      <w:r>
        <w:tab/>
      </w:r>
      <w:r>
        <w:fldChar w:fldCharType="begin"/>
      </w:r>
      <w:r>
        <w:instrText xml:space="preserve"> PAGEREF _Toc327450602 \h </w:instrText>
      </w:r>
      <w:r>
        <w:fldChar w:fldCharType="separate"/>
      </w:r>
      <w:r>
        <w:t>52</w:t>
      </w:r>
      <w:r>
        <w:fldChar w:fldCharType="end"/>
      </w:r>
    </w:p>
    <w:p>
      <w:pPr>
        <w:pStyle w:val="TOC2"/>
        <w:tabs>
          <w:tab w:val="right" w:leader="dot" w:pos="7086"/>
        </w:tabs>
        <w:rPr>
          <w:b w:val="0"/>
          <w:sz w:val="24"/>
          <w:szCs w:val="24"/>
          <w:lang w:val="en-US"/>
        </w:rPr>
      </w:pPr>
      <w:r>
        <w:t>Schedule 1 — Estimated value of building work</w:t>
      </w:r>
    </w:p>
    <w:p>
      <w:pPr>
        <w:pStyle w:val="TOC8"/>
        <w:rPr>
          <w:sz w:val="24"/>
          <w:szCs w:val="24"/>
          <w:lang w:val="en-US"/>
        </w:rPr>
      </w:pPr>
      <w:r>
        <w:t>1.</w:t>
      </w:r>
      <w:r>
        <w:tab/>
        <w:t>Terms used</w:t>
      </w:r>
      <w:r>
        <w:tab/>
      </w:r>
      <w:r>
        <w:fldChar w:fldCharType="begin"/>
      </w:r>
      <w:r>
        <w:instrText xml:space="preserve"> PAGEREF _Toc327450604 \h </w:instrText>
      </w:r>
      <w:r>
        <w:fldChar w:fldCharType="separate"/>
      </w:r>
      <w:r>
        <w:t>53</w:t>
      </w:r>
      <w:r>
        <w:fldChar w:fldCharType="end"/>
      </w:r>
    </w:p>
    <w:p>
      <w:pPr>
        <w:pStyle w:val="TOC8"/>
        <w:rPr>
          <w:sz w:val="24"/>
          <w:szCs w:val="24"/>
          <w:lang w:val="en-US"/>
        </w:rPr>
      </w:pPr>
      <w:r>
        <w:t>2.</w:t>
      </w:r>
      <w:r>
        <w:tab/>
        <w:t>Estimated value of building work</w:t>
      </w:r>
      <w:r>
        <w:tab/>
      </w:r>
      <w:r>
        <w:fldChar w:fldCharType="begin"/>
      </w:r>
      <w:r>
        <w:instrText xml:space="preserve"> PAGEREF _Toc327450605 \h </w:instrText>
      </w:r>
      <w:r>
        <w:fldChar w:fldCharType="separate"/>
      </w:r>
      <w:r>
        <w:t>53</w:t>
      </w:r>
      <w:r>
        <w:fldChar w:fldCharType="end"/>
      </w:r>
    </w:p>
    <w:p>
      <w:pPr>
        <w:pStyle w:val="TOC8"/>
        <w:rPr>
          <w:sz w:val="24"/>
          <w:szCs w:val="24"/>
          <w:lang w:val="en-US"/>
        </w:rPr>
      </w:pPr>
      <w:r>
        <w:t>3.</w:t>
      </w:r>
      <w:r>
        <w:tab/>
        <w:t>Estimated value of unauthorised building work</w:t>
      </w:r>
      <w:r>
        <w:tab/>
      </w:r>
      <w:r>
        <w:fldChar w:fldCharType="begin"/>
      </w:r>
      <w:r>
        <w:instrText xml:space="preserve"> PAGEREF _Toc327450606 \h </w:instrText>
      </w:r>
      <w:r>
        <w:fldChar w:fldCharType="separate"/>
      </w:r>
      <w:r>
        <w:t>54</w:t>
      </w:r>
      <w:r>
        <w:fldChar w:fldCharType="end"/>
      </w:r>
    </w:p>
    <w:p>
      <w:pPr>
        <w:pStyle w:val="TOC2"/>
        <w:tabs>
          <w:tab w:val="right" w:leader="dot" w:pos="7086"/>
        </w:tabs>
        <w:rPr>
          <w:b w:val="0"/>
          <w:sz w:val="24"/>
          <w:szCs w:val="24"/>
          <w:lang w:val="en-US"/>
        </w:rPr>
      </w:pPr>
      <w:r>
        <w:t>Schedule 2 — Fees</w:t>
      </w:r>
    </w:p>
    <w:p>
      <w:pPr>
        <w:pStyle w:val="TOC4"/>
        <w:tabs>
          <w:tab w:val="right" w:leader="dot" w:pos="7086"/>
        </w:tabs>
        <w:rPr>
          <w:b w:val="0"/>
          <w:sz w:val="24"/>
          <w:szCs w:val="24"/>
          <w:lang w:val="en-US"/>
        </w:rPr>
      </w:pPr>
      <w:r>
        <w:t>Division 1 — Applications for building permits, demolition permits</w:t>
      </w:r>
    </w:p>
    <w:p>
      <w:pPr>
        <w:pStyle w:val="TOC4"/>
        <w:tabs>
          <w:tab w:val="right" w:leader="dot" w:pos="7086"/>
        </w:tabs>
        <w:rPr>
          <w:b w:val="0"/>
          <w:sz w:val="24"/>
          <w:szCs w:val="24"/>
          <w:lang w:val="en-US"/>
        </w:rPr>
      </w:pPr>
      <w:r>
        <w:t>Division 2 — Application for occupancy permits, building approval certificates</w:t>
      </w:r>
    </w:p>
    <w:p>
      <w:pPr>
        <w:pStyle w:val="TOC4"/>
        <w:tabs>
          <w:tab w:val="right" w:leader="dot" w:pos="7086"/>
        </w:tabs>
        <w:rPr>
          <w:b w:val="0"/>
          <w:sz w:val="24"/>
          <w:szCs w:val="24"/>
          <w:lang w:val="en-US"/>
        </w:rPr>
      </w:pPr>
      <w:r>
        <w:t>Division 3 — Other applications</w:t>
      </w:r>
    </w:p>
    <w:p>
      <w:pPr>
        <w:pStyle w:val="TOC2"/>
        <w:tabs>
          <w:tab w:val="right" w:leader="dot" w:pos="7086"/>
        </w:tabs>
        <w:rPr>
          <w:b w:val="0"/>
          <w:sz w:val="24"/>
          <w:szCs w:val="24"/>
          <w:lang w:val="en-US"/>
        </w:rPr>
      </w:pPr>
      <w:r>
        <w:t>Schedule 3 — Inspections or tests of systems</w:t>
      </w:r>
    </w:p>
    <w:p>
      <w:pPr>
        <w:pStyle w:val="TOC8"/>
        <w:rPr>
          <w:sz w:val="24"/>
          <w:szCs w:val="24"/>
          <w:lang w:val="en-US"/>
        </w:rPr>
      </w:pPr>
      <w:r>
        <w:t>1.</w:t>
      </w:r>
      <w:r>
        <w:tab/>
        <w:t>Term used: EP</w:t>
      </w:r>
      <w:r>
        <w:tab/>
      </w:r>
      <w:r>
        <w:fldChar w:fldCharType="begin"/>
      </w:r>
      <w:r>
        <w:instrText xml:space="preserve"> PAGEREF _Toc327450612 \h </w:instrText>
      </w:r>
      <w:r>
        <w:fldChar w:fldCharType="separate"/>
      </w:r>
      <w:r>
        <w:t>58</w:t>
      </w:r>
      <w:r>
        <w:fldChar w:fldCharType="end"/>
      </w:r>
    </w:p>
    <w:p>
      <w:pPr>
        <w:pStyle w:val="TOC2"/>
        <w:tabs>
          <w:tab w:val="right" w:leader="dot" w:pos="7086"/>
        </w:tabs>
        <w:rPr>
          <w:b w:val="0"/>
          <w:sz w:val="24"/>
          <w:szCs w:val="24"/>
          <w:lang w:val="en-US"/>
        </w:rPr>
      </w:pPr>
      <w:r>
        <w:t>Schedule 4 — Building work that does not require building permit</w:t>
      </w:r>
    </w:p>
    <w:p>
      <w:pPr>
        <w:pStyle w:val="TOC8"/>
        <w:rPr>
          <w:sz w:val="24"/>
          <w:szCs w:val="24"/>
          <w:lang w:val="en-US"/>
        </w:rPr>
      </w:pPr>
      <w:r>
        <w:t>1.</w:t>
      </w:r>
      <w:r>
        <w:tab/>
        <w:t>Areas where building permit not required for certain work</w:t>
      </w:r>
      <w:r>
        <w:tab/>
      </w:r>
      <w:r>
        <w:fldChar w:fldCharType="begin"/>
      </w:r>
      <w:r>
        <w:instrText xml:space="preserve"> PAGEREF _Toc327450614 \h </w:instrText>
      </w:r>
      <w:r>
        <w:fldChar w:fldCharType="separate"/>
      </w:r>
      <w:r>
        <w:t>59</w:t>
      </w:r>
      <w:r>
        <w:fldChar w:fldCharType="end"/>
      </w:r>
    </w:p>
    <w:p>
      <w:pPr>
        <w:pStyle w:val="TOC8"/>
        <w:rPr>
          <w:sz w:val="24"/>
          <w:szCs w:val="24"/>
          <w:lang w:val="en-US"/>
        </w:rPr>
      </w:pPr>
      <w:r>
        <w:t>2.</w:t>
      </w:r>
      <w:r>
        <w:tab/>
        <w:t>Kinds of building work for which a building permit is not required</w:t>
      </w:r>
      <w:r>
        <w:tab/>
      </w:r>
      <w:r>
        <w:fldChar w:fldCharType="begin"/>
      </w:r>
      <w:r>
        <w:instrText xml:space="preserve"> PAGEREF _Toc327450615 \h </w:instrText>
      </w:r>
      <w:r>
        <w:fldChar w:fldCharType="separate"/>
      </w:r>
      <w:r>
        <w:t>66</w:t>
      </w:r>
      <w:r>
        <w:fldChar w:fldCharType="end"/>
      </w:r>
    </w:p>
    <w:p>
      <w:pPr>
        <w:pStyle w:val="TOC2"/>
        <w:tabs>
          <w:tab w:val="right" w:leader="dot" w:pos="7086"/>
        </w:tabs>
        <w:rPr>
          <w:b w:val="0"/>
          <w:sz w:val="24"/>
          <w:szCs w:val="24"/>
          <w:lang w:val="en-US"/>
        </w:rPr>
      </w:pPr>
      <w:r>
        <w:t>Schedule 5 — Areas of State where Part 8 Division 2 applies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_Toc327450618 \h </w:instrText>
      </w:r>
      <w:r>
        <w:fldChar w:fldCharType="separate"/>
      </w:r>
      <w:r>
        <w:t>75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Building Act 2011</w:t>
      </w:r>
    </w:p>
    <w:p>
      <w:pPr>
        <w:pStyle w:val="NameofActReg"/>
      </w:pPr>
      <w:r>
        <w:t>Building Regulations 2012</w:t>
      </w:r>
    </w:p>
    <w:p>
      <w:pPr>
        <w:pStyle w:val="Heading2"/>
        <w:keepNext w:val="0"/>
        <w:pageBreakBefore w:val="0"/>
        <w:spacing w:before="240"/>
      </w:pPr>
      <w:bookmarkStart w:id="1" w:name="_Toc305750105"/>
      <w:bookmarkStart w:id="2" w:name="_Toc305766355"/>
      <w:bookmarkStart w:id="3" w:name="_Toc305767125"/>
      <w:bookmarkStart w:id="4" w:name="_Toc305768203"/>
      <w:bookmarkStart w:id="5" w:name="_Toc305768282"/>
      <w:bookmarkStart w:id="6" w:name="_Toc305768465"/>
      <w:bookmarkStart w:id="7" w:name="_Toc305768727"/>
      <w:bookmarkStart w:id="8" w:name="_Toc307926050"/>
      <w:bookmarkStart w:id="9" w:name="_Toc308018979"/>
      <w:bookmarkStart w:id="10" w:name="_Toc308019060"/>
      <w:bookmarkStart w:id="11" w:name="_Toc308019324"/>
      <w:bookmarkStart w:id="12" w:name="_Toc308074404"/>
      <w:bookmarkStart w:id="13" w:name="_Toc308089770"/>
      <w:bookmarkStart w:id="14" w:name="_Toc308173205"/>
      <w:bookmarkStart w:id="15" w:name="_Toc308173318"/>
      <w:bookmarkStart w:id="16" w:name="_Toc308181173"/>
      <w:bookmarkStart w:id="17" w:name="_Toc308532420"/>
      <w:bookmarkStart w:id="18" w:name="_Toc308532505"/>
      <w:bookmarkStart w:id="19" w:name="_Toc308601794"/>
      <w:bookmarkStart w:id="20" w:name="_Toc309051532"/>
      <w:bookmarkStart w:id="21" w:name="_Toc309907213"/>
      <w:bookmarkStart w:id="22" w:name="_Toc309907299"/>
      <w:bookmarkStart w:id="23" w:name="_Toc309911916"/>
      <w:bookmarkStart w:id="24" w:name="_Toc309914624"/>
      <w:bookmarkStart w:id="25" w:name="_Toc309985809"/>
      <w:bookmarkStart w:id="26" w:name="_Toc309987221"/>
      <w:bookmarkStart w:id="27" w:name="_Toc309987392"/>
      <w:bookmarkStart w:id="28" w:name="_Toc309994830"/>
      <w:bookmarkStart w:id="29" w:name="_Toc309995679"/>
      <w:bookmarkStart w:id="30" w:name="_Toc309995766"/>
      <w:bookmarkStart w:id="31" w:name="_Toc309995853"/>
      <w:bookmarkStart w:id="32" w:name="_Toc309996948"/>
      <w:bookmarkStart w:id="33" w:name="_Toc309997035"/>
      <w:bookmarkStart w:id="34" w:name="_Toc309998250"/>
      <w:bookmarkStart w:id="35" w:name="_Toc317504807"/>
      <w:bookmarkStart w:id="36" w:name="_Toc317504900"/>
      <w:bookmarkStart w:id="37" w:name="_Toc317516348"/>
      <w:bookmarkStart w:id="38" w:name="_Toc317843137"/>
      <w:bookmarkStart w:id="39" w:name="_Toc317852766"/>
      <w:bookmarkStart w:id="40" w:name="_Toc317853192"/>
      <w:bookmarkStart w:id="41" w:name="_Toc317854405"/>
      <w:bookmarkStart w:id="42" w:name="_Toc317856760"/>
      <w:bookmarkStart w:id="43" w:name="_Toc317856948"/>
      <w:bookmarkStart w:id="44" w:name="_Toc317857516"/>
      <w:bookmarkStart w:id="45" w:name="_Toc317858358"/>
      <w:bookmarkStart w:id="46" w:name="_Toc317858967"/>
      <w:bookmarkStart w:id="47" w:name="_Toc317861712"/>
      <w:bookmarkStart w:id="48" w:name="_Toc317862118"/>
      <w:bookmarkStart w:id="49" w:name="_Toc318116610"/>
      <w:bookmarkStart w:id="50" w:name="_Toc318120355"/>
      <w:bookmarkStart w:id="51" w:name="_Toc319068332"/>
      <w:bookmarkStart w:id="52" w:name="_Toc319068426"/>
      <w:bookmarkStart w:id="53" w:name="_Toc319322066"/>
      <w:bookmarkStart w:id="54" w:name="_Toc319403165"/>
      <w:bookmarkStart w:id="55" w:name="_Toc320625475"/>
      <w:bookmarkStart w:id="56" w:name="_Toc320625750"/>
      <w:bookmarkStart w:id="57" w:name="_Toc320697790"/>
      <w:bookmarkStart w:id="58" w:name="_Toc327448430"/>
      <w:bookmarkStart w:id="59" w:name="_Toc32745052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0" w:name="_Toc423332722"/>
      <w:bookmarkStart w:id="61" w:name="_Toc425219441"/>
      <w:bookmarkStart w:id="62" w:name="_Toc426249308"/>
      <w:bookmarkStart w:id="63" w:name="_Toc449924704"/>
      <w:bookmarkStart w:id="64" w:name="_Toc449947722"/>
      <w:bookmarkStart w:id="65" w:name="_Toc454185713"/>
      <w:bookmarkStart w:id="66" w:name="_Toc515958686"/>
      <w:bookmarkStart w:id="67" w:name="_Toc318120356"/>
      <w:bookmarkStart w:id="68" w:name="_Toc319068333"/>
      <w:bookmarkStart w:id="69" w:name="_Toc327450523"/>
      <w:r>
        <w:rPr>
          <w:rStyle w:val="CharSectno"/>
        </w:rPr>
        <w:t>1</w:t>
      </w:r>
      <w:r>
        <w:t>.</w:t>
      </w:r>
      <w:r>
        <w:tab/>
        <w:t>Citation</w:t>
      </w:r>
      <w:bookmarkEnd w:id="60"/>
      <w:bookmarkEnd w:id="61"/>
      <w:bookmarkEnd w:id="62"/>
      <w:bookmarkEnd w:id="63"/>
      <w:bookmarkEnd w:id="64"/>
      <w:bookmarkEnd w:id="65"/>
      <w:bookmarkEnd w:id="66"/>
      <w:bookmarkEnd w:id="67"/>
      <w:bookmarkEnd w:id="68"/>
      <w:bookmarkEnd w:id="69"/>
    </w:p>
    <w:p>
      <w:pPr>
        <w:pStyle w:val="Subsection"/>
        <w:rPr>
          <w:i/>
        </w:rPr>
      </w:pPr>
      <w:r>
        <w:tab/>
      </w:r>
      <w:r>
        <w:tab/>
      </w:r>
      <w:bookmarkStart w:id="70" w:name="Start_Cursor"/>
      <w:bookmarkEnd w:id="70"/>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71" w:name="_Toc423332723"/>
      <w:bookmarkStart w:id="72" w:name="_Toc425219442"/>
      <w:bookmarkStart w:id="73" w:name="_Toc426249309"/>
      <w:bookmarkStart w:id="74" w:name="_Toc449924705"/>
      <w:bookmarkStart w:id="75" w:name="_Toc449947723"/>
      <w:bookmarkStart w:id="76" w:name="_Toc454185714"/>
      <w:bookmarkStart w:id="77" w:name="_Toc515958687"/>
      <w:bookmarkStart w:id="78" w:name="_Toc318120357"/>
      <w:bookmarkStart w:id="79" w:name="_Toc319068334"/>
      <w:bookmarkStart w:id="80" w:name="_Toc327450524"/>
      <w:r>
        <w:rPr>
          <w:rStyle w:val="CharSectno"/>
        </w:rPr>
        <w:t>2</w:t>
      </w:r>
      <w:r>
        <w:rPr>
          <w:spacing w:val="-2"/>
        </w:rPr>
        <w:t>.</w:t>
      </w:r>
      <w:r>
        <w:rPr>
          <w:spacing w:val="-2"/>
        </w:rPr>
        <w:tab/>
        <w:t>Commencement</w:t>
      </w:r>
      <w:bookmarkEnd w:id="71"/>
      <w:bookmarkEnd w:id="72"/>
      <w:bookmarkEnd w:id="73"/>
      <w:bookmarkEnd w:id="74"/>
      <w:bookmarkEnd w:id="75"/>
      <w:bookmarkEnd w:id="76"/>
      <w:bookmarkEnd w:id="77"/>
      <w:bookmarkEnd w:id="78"/>
      <w:bookmarkEnd w:id="79"/>
      <w:bookmarkEnd w:id="8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81" w:name="_Toc320625114"/>
      <w:bookmarkStart w:id="82" w:name="_Toc327450525"/>
      <w:r>
        <w:rPr>
          <w:rStyle w:val="CharSectno"/>
        </w:rPr>
        <w:t>3</w:t>
      </w:r>
      <w:r>
        <w:t>.</w:t>
      </w:r>
      <w:r>
        <w:tab/>
        <w:t>Terms used</w:t>
      </w:r>
      <w:bookmarkEnd w:id="81"/>
      <w:bookmarkEnd w:id="82"/>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w:t>
      </w:r>
      <w:r>
        <w:rPr>
          <w:rStyle w:val="CharDefText"/>
          <w:b w:val="0"/>
          <w:i w:val="0"/>
        </w:rPr>
        <w:t>fo</w:t>
      </w:r>
      <w:r>
        <w:t>llowed by a designation refers to the Australian Standard having that designation that is published by Standards Australia;</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 xml:space="preserve">Building Code </w:t>
      </w:r>
      <w:r>
        <w:t>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rPr>
          <w:rStyle w:val="CharDefText"/>
          <w:b w:val="0"/>
          <w:i w:val="0"/>
        </w:rPr>
        <w:t>, in relation to building work,</w:t>
      </w:r>
      <w:r>
        <w:t xml:space="preserve"> means the value of the work estimated in accordance with Schedule 1;</w:t>
      </w:r>
    </w:p>
    <w:p>
      <w:pPr>
        <w:pStyle w:val="Defstart"/>
      </w:pPr>
      <w:r>
        <w:tab/>
      </w:r>
      <w:r>
        <w:rPr>
          <w:rStyle w:val="CharDefText"/>
        </w:rPr>
        <w:t>FESA</w:t>
      </w:r>
      <w:r>
        <w:t xml:space="preserve"> means the Fire and Emergency Services Authority of Western Australian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4;</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pPr>
      <w:r>
        <w:tab/>
        <w:t>(a)</w:t>
      </w:r>
      <w:r>
        <w:tab/>
        <w:t>which the public are not entitled to use; and</w:t>
      </w:r>
    </w:p>
    <w:p>
      <w:pPr>
        <w:pStyle w:val="Defpara"/>
      </w:pPr>
      <w:r>
        <w:tab/>
        <w:t>(b)</w:t>
      </w:r>
      <w:r>
        <w:tab/>
        <w:t>which has the capacity to contain water that is more than 300 mm deep;</w:t>
      </w:r>
    </w:p>
    <w:p>
      <w:pPr>
        <w:pStyle w:val="Defstart"/>
      </w:pPr>
      <w:r>
        <w:tab/>
      </w:r>
      <w:r>
        <w:rPr>
          <w:rStyle w:val="CharDefText"/>
        </w:rPr>
        <w:t>section</w:t>
      </w:r>
      <w:r>
        <w:t xml:space="preserve"> means section of the Act;</w:t>
      </w:r>
    </w:p>
    <w:p>
      <w:pPr>
        <w:pStyle w:val="Defstart"/>
      </w:pPr>
      <w:r>
        <w:tab/>
      </w:r>
      <w:r>
        <w:rPr>
          <w:rStyle w:val="CharDefText"/>
        </w:rPr>
        <w:t>townsite</w:t>
      </w:r>
      <w:r>
        <w:t xml:space="preserve"> means a townsite constituted under the </w:t>
      </w:r>
      <w:r>
        <w:rPr>
          <w:i/>
        </w:rPr>
        <w:t xml:space="preserve">Land Administration Act 1997 </w:t>
      </w:r>
      <w:r>
        <w:t>section 26(2).</w:t>
      </w:r>
    </w:p>
    <w:p>
      <w:pPr>
        <w:pStyle w:val="Heading2"/>
      </w:pPr>
      <w:bookmarkStart w:id="83" w:name="_Toc320625115"/>
      <w:bookmarkStart w:id="84" w:name="_Toc320625479"/>
      <w:bookmarkStart w:id="85" w:name="_Toc320625754"/>
      <w:bookmarkStart w:id="86" w:name="_Toc320697794"/>
      <w:bookmarkStart w:id="87" w:name="_Toc327448434"/>
      <w:bookmarkStart w:id="88" w:name="_Toc327450526"/>
      <w:r>
        <w:rPr>
          <w:rStyle w:val="CharPartNo"/>
        </w:rPr>
        <w:t>Part 2</w:t>
      </w:r>
      <w:r>
        <w:rPr>
          <w:rStyle w:val="CharDivNo"/>
        </w:rPr>
        <w:t> </w:t>
      </w:r>
      <w:r>
        <w:t>—</w:t>
      </w:r>
      <w:r>
        <w:rPr>
          <w:rStyle w:val="CharDivText"/>
        </w:rPr>
        <w:t> </w:t>
      </w:r>
      <w:r>
        <w:rPr>
          <w:rStyle w:val="CharPartText"/>
        </w:rPr>
        <w:t>General matters</w:t>
      </w:r>
      <w:bookmarkEnd w:id="83"/>
      <w:bookmarkEnd w:id="84"/>
      <w:bookmarkEnd w:id="85"/>
      <w:bookmarkEnd w:id="86"/>
      <w:bookmarkEnd w:id="87"/>
      <w:bookmarkEnd w:id="88"/>
    </w:p>
    <w:p>
      <w:pPr>
        <w:pStyle w:val="Heading5"/>
      </w:pPr>
      <w:bookmarkStart w:id="89" w:name="_Toc320625116"/>
      <w:bookmarkStart w:id="90" w:name="_Toc327450527"/>
      <w:r>
        <w:rPr>
          <w:rStyle w:val="CharSectno"/>
        </w:rPr>
        <w:t>4</w:t>
      </w:r>
      <w:r>
        <w:t>.</w:t>
      </w:r>
      <w:r>
        <w:tab/>
        <w:t>Approval of manner or form of things (s. 3)</w:t>
      </w:r>
      <w:bookmarkEnd w:id="89"/>
      <w:bookmarkEnd w:id="90"/>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jc w:val="center"/>
              <w:rPr>
                <w:b/>
                <w:bCs/>
              </w:rPr>
            </w:pPr>
            <w:r>
              <w:rPr>
                <w:b/>
                <w:bCs/>
              </w:rPr>
              <w:t>Section</w:t>
            </w:r>
          </w:p>
        </w:tc>
        <w:tc>
          <w:tcPr>
            <w:tcW w:w="4252" w:type="dxa"/>
          </w:tcPr>
          <w:p>
            <w:pPr>
              <w:pStyle w:val="TableNAm"/>
              <w:keepNext/>
              <w:keepLines/>
              <w:jc w:val="center"/>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91" w:name="_Toc320625117"/>
      <w:bookmarkStart w:id="92" w:name="_Toc327450528"/>
      <w:r>
        <w:rPr>
          <w:rStyle w:val="CharSectno"/>
        </w:rPr>
        <w:t>5</w:t>
      </w:r>
      <w:r>
        <w:t>.</w:t>
      </w:r>
      <w:r>
        <w:tab/>
        <w:t>Building surveyors (s. 3)</w:t>
      </w:r>
      <w:bookmarkEnd w:id="91"/>
      <w:bookmarkEnd w:id="92"/>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1"/>
        <w:gridCol w:w="2409"/>
        <w:gridCol w:w="2977"/>
      </w:tblGrid>
      <w:tr>
        <w:trPr>
          <w:cantSplit/>
          <w:tblHeader/>
        </w:trPr>
        <w:tc>
          <w:tcPr>
            <w:tcW w:w="681" w:type="dxa"/>
          </w:tcPr>
          <w:p>
            <w:pPr>
              <w:pStyle w:val="TableNAm"/>
              <w:tabs>
                <w:tab w:val="left" w:pos="6"/>
              </w:tabs>
              <w:ind w:left="6" w:hanging="142"/>
              <w:jc w:val="center"/>
              <w:rPr>
                <w:b/>
                <w:bCs/>
              </w:rPr>
            </w:pPr>
            <w:r>
              <w:rPr>
                <w:b/>
                <w:bCs/>
              </w:rPr>
              <w:t>Item</w:t>
            </w:r>
          </w:p>
        </w:tc>
        <w:tc>
          <w:tcPr>
            <w:tcW w:w="2409" w:type="dxa"/>
          </w:tcPr>
          <w:p>
            <w:pPr>
              <w:pStyle w:val="TableNAm"/>
              <w:jc w:val="center"/>
              <w:rPr>
                <w:b/>
                <w:bCs/>
              </w:rPr>
            </w:pPr>
            <w:r>
              <w:rPr>
                <w:b/>
                <w:bCs/>
              </w:rPr>
              <w:t>Class of building service practitioner</w:t>
            </w:r>
          </w:p>
        </w:tc>
        <w:tc>
          <w:tcPr>
            <w:tcW w:w="2977" w:type="dxa"/>
          </w:tcPr>
          <w:p>
            <w:pPr>
              <w:pStyle w:val="TableNAm"/>
              <w:jc w:val="center"/>
              <w:rPr>
                <w:b/>
                <w:bCs/>
              </w:rPr>
            </w:pPr>
            <w:r>
              <w:rPr>
                <w:b/>
                <w:bCs/>
              </w:rPr>
              <w:t>Type of building</w:t>
            </w:r>
          </w:p>
        </w:tc>
      </w:tr>
      <w:tr>
        <w:trPr>
          <w:cantSplit/>
        </w:trPr>
        <w:tc>
          <w:tcPr>
            <w:tcW w:w="681" w:type="dxa"/>
          </w:tcPr>
          <w:p>
            <w:pPr>
              <w:pStyle w:val="TableNAm"/>
            </w:pPr>
            <w:r>
              <w:t>1.</w:t>
            </w:r>
          </w:p>
        </w:tc>
        <w:tc>
          <w:tcPr>
            <w:tcW w:w="2409" w:type="dxa"/>
          </w:tcPr>
          <w:p>
            <w:pPr>
              <w:pStyle w:val="TableNAm"/>
            </w:pPr>
            <w:r>
              <w:t>Building surveying practitioner level 1</w:t>
            </w:r>
          </w:p>
        </w:tc>
        <w:tc>
          <w:tcPr>
            <w:tcW w:w="2977" w:type="dxa"/>
          </w:tcPr>
          <w:p>
            <w:pPr>
              <w:pStyle w:val="TableNAm"/>
            </w:pPr>
            <w:r>
              <w:t>Any type of building or incidental structure</w:t>
            </w:r>
          </w:p>
        </w:tc>
      </w:tr>
      <w:tr>
        <w:trPr>
          <w:cantSplit/>
        </w:trPr>
        <w:tc>
          <w:tcPr>
            <w:tcW w:w="681" w:type="dxa"/>
            <w:tcBorders>
              <w:bottom w:val="nil"/>
            </w:tcBorders>
          </w:tcPr>
          <w:p>
            <w:pPr>
              <w:pStyle w:val="TableNAm"/>
            </w:pPr>
            <w:r>
              <w:t>2.</w:t>
            </w:r>
          </w:p>
        </w:tc>
        <w:tc>
          <w:tcPr>
            <w:tcW w:w="2409" w:type="dxa"/>
            <w:tcBorders>
              <w:bottom w:val="nil"/>
            </w:tcBorders>
          </w:tcPr>
          <w:p>
            <w:pPr>
              <w:pStyle w:val="TableNAm"/>
            </w:pPr>
            <w:r>
              <w:t>Building surveying practitioner level 2</w:t>
            </w:r>
          </w:p>
        </w:tc>
        <w:tc>
          <w:tcPr>
            <w:tcW w:w="2977" w:type="dxa"/>
            <w:tcBorders>
              <w:bottom w:val="nil"/>
            </w:tcBorders>
          </w:tcPr>
          <w:p>
            <w:pPr>
              <w:pStyle w:val="TableNAm"/>
            </w:pPr>
            <w:r>
              <w:t xml:space="preserve">A building or incidental structure — </w:t>
            </w:r>
          </w:p>
          <w:p>
            <w:pPr>
              <w:pStyle w:val="TableNAm"/>
              <w:tabs>
                <w:tab w:val="clear" w:pos="567"/>
                <w:tab w:val="left" w:pos="375"/>
              </w:tabs>
              <w:ind w:left="374" w:hanging="374"/>
            </w:pPr>
            <w:r>
              <w:t>(a)</w:t>
            </w:r>
            <w:r>
              <w:tab/>
              <w:t>with a floor area not exceeding 2 000 m</w:t>
            </w:r>
            <w:r>
              <w:rPr>
                <w:vertAlign w:val="superscript"/>
              </w:rPr>
              <w:t>2</w:t>
            </w:r>
            <w:r>
              <w:t>; and</w:t>
            </w:r>
          </w:p>
        </w:tc>
      </w:tr>
      <w:tr>
        <w:trPr>
          <w:cantSplit/>
        </w:trPr>
        <w:tc>
          <w:tcPr>
            <w:tcW w:w="681" w:type="dxa"/>
            <w:tcBorders>
              <w:top w:val="nil"/>
            </w:tcBorders>
          </w:tcPr>
          <w:p>
            <w:pPr>
              <w:pStyle w:val="TableNAm"/>
              <w:spacing w:before="0"/>
            </w:pPr>
          </w:p>
        </w:tc>
        <w:tc>
          <w:tcPr>
            <w:tcW w:w="2409" w:type="dxa"/>
            <w:tcBorders>
              <w:top w:val="nil"/>
            </w:tcBorders>
          </w:tcPr>
          <w:p>
            <w:pPr>
              <w:pStyle w:val="TableNAm"/>
              <w:spacing w:before="0"/>
            </w:pPr>
          </w:p>
        </w:tc>
        <w:tc>
          <w:tcPr>
            <w:tcW w:w="2977"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681" w:type="dxa"/>
            <w:tcBorders>
              <w:bottom w:val="nil"/>
            </w:tcBorders>
          </w:tcPr>
          <w:p>
            <w:pPr>
              <w:pStyle w:val="TableNAm"/>
            </w:pPr>
            <w:r>
              <w:t>3.</w:t>
            </w:r>
          </w:p>
        </w:tc>
        <w:tc>
          <w:tcPr>
            <w:tcW w:w="2409" w:type="dxa"/>
            <w:tcBorders>
              <w:bottom w:val="nil"/>
            </w:tcBorders>
          </w:tcPr>
          <w:p>
            <w:pPr>
              <w:pStyle w:val="TableNAm"/>
            </w:pPr>
            <w:r>
              <w:t>Building surveying practitioner technician</w:t>
            </w:r>
          </w:p>
        </w:tc>
        <w:tc>
          <w:tcPr>
            <w:tcW w:w="2977" w:type="dxa"/>
            <w:tcBorders>
              <w:bottom w:val="nil"/>
            </w:tcBorders>
          </w:tcPr>
          <w:p>
            <w:pPr>
              <w:pStyle w:val="TableNAm"/>
              <w:tabs>
                <w:tab w:val="clear" w:pos="567"/>
                <w:tab w:val="left" w:pos="34"/>
              </w:tabs>
            </w:pPr>
            <w:r>
              <w:t xml:space="preserve">A building or incidental structure — </w:t>
            </w:r>
          </w:p>
          <w:p>
            <w:pPr>
              <w:pStyle w:val="TableNAm"/>
              <w:tabs>
                <w:tab w:val="clear" w:pos="567"/>
                <w:tab w:val="left" w:pos="375"/>
              </w:tabs>
              <w:ind w:left="375" w:hanging="375"/>
            </w:pPr>
            <w:r>
              <w:t>(a)</w:t>
            </w:r>
            <w:r>
              <w:tab/>
              <w:t>with a floor area not exceeding 500 m</w:t>
            </w:r>
            <w:r>
              <w:rPr>
                <w:vertAlign w:val="superscript"/>
              </w:rPr>
              <w:t>2</w:t>
            </w:r>
            <w:r>
              <w:t>; and</w:t>
            </w:r>
          </w:p>
        </w:tc>
      </w:tr>
      <w:tr>
        <w:trPr>
          <w:cantSplit/>
        </w:trPr>
        <w:tc>
          <w:tcPr>
            <w:tcW w:w="681" w:type="dxa"/>
            <w:tcBorders>
              <w:top w:val="nil"/>
            </w:tcBorders>
          </w:tcPr>
          <w:p>
            <w:pPr>
              <w:pStyle w:val="TableNAm"/>
              <w:spacing w:before="0"/>
            </w:pPr>
          </w:p>
        </w:tc>
        <w:tc>
          <w:tcPr>
            <w:tcW w:w="2409" w:type="dxa"/>
            <w:tcBorders>
              <w:top w:val="nil"/>
            </w:tcBorders>
          </w:tcPr>
          <w:p>
            <w:pPr>
              <w:pStyle w:val="TableNAm"/>
              <w:spacing w:before="0"/>
            </w:pPr>
          </w:p>
        </w:tc>
        <w:tc>
          <w:tcPr>
            <w:tcW w:w="2977"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93" w:name="_Toc320625118"/>
      <w:bookmarkStart w:id="94" w:name="_Toc327450529"/>
      <w:r>
        <w:rPr>
          <w:rStyle w:val="CharSectno"/>
        </w:rPr>
        <w:t>6</w:t>
      </w:r>
      <w:r>
        <w:t>.</w:t>
      </w:r>
      <w:r>
        <w:tab/>
        <w:t>Classification of buildings and incidental structures (s. 3)</w:t>
      </w:r>
      <w:bookmarkEnd w:id="93"/>
      <w:bookmarkEnd w:id="94"/>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Heading5"/>
      </w:pPr>
      <w:bookmarkStart w:id="95" w:name="_Toc320625119"/>
      <w:bookmarkStart w:id="96" w:name="_Toc327450530"/>
      <w:r>
        <w:rPr>
          <w:rStyle w:val="CharSectno"/>
        </w:rPr>
        <w:t>7</w:t>
      </w:r>
      <w:r>
        <w:t>.</w:t>
      </w:r>
      <w:r>
        <w:tab/>
        <w:t>Building standards in relation to construction (s. 3)</w:t>
      </w:r>
      <w:bookmarkEnd w:id="95"/>
      <w:bookmarkEnd w:id="96"/>
    </w:p>
    <w:p>
      <w:pPr>
        <w:pStyle w:val="Subsection"/>
      </w:pPr>
      <w:r>
        <w:tab/>
        <w:t>(1)</w:t>
      </w:r>
      <w:r>
        <w:tab/>
        <w:t xml:space="preserve">For the purposes of the definition of </w:t>
      </w:r>
      <w:r>
        <w:rPr>
          <w:b/>
          <w:i/>
        </w:rPr>
        <w:t>building standard</w:t>
      </w:r>
      <w:r>
        <w:t xml:space="preserve"> in section 3, the requirements in relation to the technical aspects of the construction of a building or incidental structure of a particular classification are the requirements set out in the Building Code applicable to that classification of building or incidental structure.</w:t>
      </w:r>
    </w:p>
    <w:p>
      <w:pPr>
        <w:pStyle w:val="Subsection"/>
      </w:pPr>
      <w:r>
        <w:tab/>
        <w:t>(2)</w:t>
      </w:r>
      <w:r>
        <w:tab/>
        <w:t xml:space="preserve">Despite subregulation (1), for the purposes of the definition of </w:t>
      </w:r>
      <w:r>
        <w:rPr>
          <w:b/>
          <w:i/>
        </w:rPr>
        <w:t>building standard</w:t>
      </w:r>
      <w:r>
        <w:t xml:space="preserve"> in section 3, until 1 May 2012 — </w:t>
      </w:r>
    </w:p>
    <w:p>
      <w:pPr>
        <w:pStyle w:val="Indenta"/>
      </w:pPr>
      <w:r>
        <w:tab/>
        <w:t>(a)</w:t>
      </w:r>
      <w:r>
        <w:tab/>
        <w:t>the requirements set out in Volume 1 Part JO and Volume 2 Parts 2.6 and 3.12 of the Building Code are not applicable; and</w:t>
      </w:r>
    </w:p>
    <w:p>
      <w:pPr>
        <w:pStyle w:val="Indenta"/>
      </w:pPr>
      <w:r>
        <w:tab/>
        <w:t>(b)</w:t>
      </w:r>
      <w:r>
        <w:tab/>
        <w:t>the requirements set out in Volume 1 WA Part JO of Appendices (Variation and Additions) of the Building Code published on 1 May 2010 are applicable to Class 2 to Class 9 buildings and incidental structures; and</w:t>
      </w:r>
    </w:p>
    <w:p>
      <w:pPr>
        <w:pStyle w:val="Indenta"/>
      </w:pPr>
      <w:r>
        <w:tab/>
        <w:t>(c)</w:t>
      </w:r>
      <w:r>
        <w:tab/>
        <w:t>the requirements set out in Volume 2 Parts 2.6 and 3.12 of the Building Code published on 1 May 2009 are applicable to Class 1 or Class 10 buildings and incidental structures.</w:t>
      </w:r>
    </w:p>
    <w:p>
      <w:pPr>
        <w:pStyle w:val="Subsection"/>
      </w:pPr>
      <w:r>
        <w:tab/>
        <w:t>(3)</w:t>
      </w:r>
      <w:r>
        <w:tab/>
        <w:t xml:space="preserve">Despite subregulation (1), for the purposes of the definition of </w:t>
      </w:r>
      <w:r>
        <w:rPr>
          <w:b/>
          <w:i/>
        </w:rPr>
        <w:t>building standard</w:t>
      </w:r>
      <w:r>
        <w:t xml:space="preserve"> in section 3, in relation to a building or incidental structure that is being renovated, altered, extended, improved or repaired, until 1 May 2013 — </w:t>
      </w:r>
    </w:p>
    <w:p>
      <w:pPr>
        <w:pStyle w:val="Indenta"/>
      </w:pPr>
      <w:r>
        <w:tab/>
        <w:t>(a)</w:t>
      </w:r>
      <w:r>
        <w:tab/>
        <w:t>the requirements set out in Volume 1 Part JO and Volume 2 Parts 2.6 and 3.12 of the Building Code are not applicable; and</w:t>
      </w:r>
    </w:p>
    <w:p>
      <w:pPr>
        <w:pStyle w:val="Indenta"/>
      </w:pPr>
      <w:r>
        <w:tab/>
        <w:t>(b)</w:t>
      </w:r>
      <w:r>
        <w:tab/>
        <w:t>the requirements set out in Volume 1 WA Part JO of Appendices (Variation and Additions) of the Building Code published on 1 May 2010 are applicable to Class 2 to Class 9 buildings and incidental structures; and</w:t>
      </w:r>
    </w:p>
    <w:p>
      <w:pPr>
        <w:pStyle w:val="Indenta"/>
      </w:pPr>
      <w:r>
        <w:tab/>
        <w:t>(c)</w:t>
      </w:r>
      <w:r>
        <w:tab/>
        <w:t>the requirements set out in Volume 2 Parts 2.6 and 3.12 of the Building Code published on 1 May 2009 are applicable to Class 1 or Class 10 buildings and incidental structures.</w:t>
      </w:r>
    </w:p>
    <w:p>
      <w:pPr>
        <w:pStyle w:val="Subsection"/>
      </w:pPr>
      <w:r>
        <w:tab/>
        <w:t>(4)</w:t>
      </w:r>
      <w:r>
        <w:tab/>
        <w:t xml:space="preserve">Despite subregulation (1), for the purposes of the definition of </w:t>
      </w:r>
      <w:r>
        <w:rPr>
          <w:b/>
          <w:i/>
        </w:rPr>
        <w:t>building standard</w:t>
      </w:r>
      <w:r>
        <w:t xml:space="preserve"> in section 3, the requirements in relation to the technical aspects of the construction of a private swimming pool are — </w:t>
      </w:r>
    </w:p>
    <w:p>
      <w:pPr>
        <w:pStyle w:val="Indenta"/>
      </w:pPr>
      <w:r>
        <w:tab/>
        <w:t>(a)</w:t>
      </w:r>
      <w:r>
        <w:tab/>
        <w:t>each requirement, other than performance requirements GP1.2(a) and P2.5.3, set out in the Building Code applicable to private swimming pools; and</w:t>
      </w:r>
    </w:p>
    <w:p>
      <w:pPr>
        <w:pStyle w:val="Indenta"/>
      </w:pPr>
      <w:r>
        <w:tab/>
        <w:t>(b)</w:t>
      </w:r>
      <w:r>
        <w:tab/>
        <w:t>each requirement for the enclosure of a private swimming pool set out in regulation 50.</w:t>
      </w:r>
    </w:p>
    <w:p>
      <w:pPr>
        <w:pStyle w:val="Subsection"/>
      </w:pPr>
      <w:r>
        <w:tab/>
        <w:t>(5)</w:t>
      </w:r>
      <w:r>
        <w:tab/>
        <w:t xml:space="preserve">Despite subregulation (1), for the purposes of the definition of </w:t>
      </w:r>
      <w:r>
        <w:rPr>
          <w:b/>
          <w:i/>
        </w:rPr>
        <w:t>building standard</w:t>
      </w:r>
      <w:r>
        <w:t xml:space="preserve"> in section 3, the requirements in relation to the technical aspects of the assembly, reassembly or securing of a relocated building or a relocated incidental structure are the requirements set out in the Building Code that relate to each of the performance requirements listed in the Table that is applicable to that classification of the building or incidental structure.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Section or part of Building Code</w:t>
            </w:r>
          </w:p>
        </w:tc>
        <w:tc>
          <w:tcPr>
            <w:tcW w:w="3034" w:type="dxa"/>
          </w:tcPr>
          <w:p>
            <w:pPr>
              <w:pStyle w:val="TableNAm"/>
              <w:jc w:val="center"/>
              <w:rPr>
                <w:b/>
                <w:bCs/>
              </w:rPr>
            </w:pPr>
            <w:r>
              <w:rPr>
                <w:b/>
                <w:bCs/>
              </w:rPr>
              <w:t>Performance requirements</w:t>
            </w:r>
          </w:p>
        </w:tc>
      </w:tr>
      <w:tr>
        <w:tc>
          <w:tcPr>
            <w:tcW w:w="3033" w:type="dxa"/>
          </w:tcPr>
          <w:p>
            <w:pPr>
              <w:pStyle w:val="TableNAm"/>
            </w:pPr>
            <w:r>
              <w:t>Volume One, Section B — Structural provisions</w:t>
            </w:r>
          </w:p>
        </w:tc>
        <w:tc>
          <w:tcPr>
            <w:tcW w:w="3034" w:type="dxa"/>
          </w:tcPr>
          <w:p>
            <w:pPr>
              <w:pStyle w:val="TableNAm"/>
            </w:pPr>
            <w:r>
              <w:t>BP1.1, BP1.2, BP1.3</w:t>
            </w:r>
          </w:p>
        </w:tc>
      </w:tr>
      <w:tr>
        <w:tc>
          <w:tcPr>
            <w:tcW w:w="3033" w:type="dxa"/>
          </w:tcPr>
          <w:p>
            <w:pPr>
              <w:pStyle w:val="TableNAm"/>
            </w:pPr>
            <w:r>
              <w:t>Volume One, Section C — Fire resistance</w:t>
            </w:r>
          </w:p>
        </w:tc>
        <w:tc>
          <w:tcPr>
            <w:tcW w:w="3034" w:type="dxa"/>
          </w:tcPr>
          <w:p>
            <w:pPr>
              <w:pStyle w:val="TableNAm"/>
            </w:pPr>
            <w:r>
              <w:t>CP1, CP2, CP3, CP4, CP5, CP6, CP7, CP8, CP9</w:t>
            </w:r>
          </w:p>
        </w:tc>
      </w:tr>
      <w:tr>
        <w:tc>
          <w:tcPr>
            <w:tcW w:w="3033" w:type="dxa"/>
          </w:tcPr>
          <w:p>
            <w:pPr>
              <w:pStyle w:val="TableNAm"/>
            </w:pPr>
            <w:r>
              <w:t>Volume One, Section D — Access and egress</w:t>
            </w:r>
          </w:p>
        </w:tc>
        <w:tc>
          <w:tcPr>
            <w:tcW w:w="3034" w:type="dxa"/>
          </w:tcPr>
          <w:p>
            <w:pPr>
              <w:pStyle w:val="TableNAm"/>
            </w:pPr>
            <w:r>
              <w:t>DP2, DP3, DP4, DP5, DP6</w:t>
            </w:r>
          </w:p>
        </w:tc>
      </w:tr>
      <w:tr>
        <w:tc>
          <w:tcPr>
            <w:tcW w:w="3033" w:type="dxa"/>
          </w:tcPr>
          <w:p>
            <w:pPr>
              <w:pStyle w:val="TableNAm"/>
            </w:pPr>
            <w:r>
              <w:t>Volume One, Section E — Services and equipment</w:t>
            </w:r>
          </w:p>
        </w:tc>
        <w:tc>
          <w:tcPr>
            <w:tcW w:w="3034" w:type="dxa"/>
          </w:tcPr>
          <w:p>
            <w:pPr>
              <w:pStyle w:val="TableNAm"/>
            </w:pPr>
            <w:r>
              <w:t>EP1.1, EP1.2, EP1.3, EP1.4, EP1.5, EP1.6, EP2.1, EP2.2, EP4.1, EP4.2, EP4.3</w:t>
            </w:r>
          </w:p>
        </w:tc>
      </w:tr>
      <w:tr>
        <w:tc>
          <w:tcPr>
            <w:tcW w:w="3033" w:type="dxa"/>
          </w:tcPr>
          <w:p>
            <w:pPr>
              <w:pStyle w:val="TableNAm"/>
            </w:pPr>
            <w:r>
              <w:t>Volume One, Section G — Ancillary provisions</w:t>
            </w:r>
          </w:p>
        </w:tc>
        <w:tc>
          <w:tcPr>
            <w:tcW w:w="3034" w:type="dxa"/>
          </w:tcPr>
          <w:p>
            <w:pPr>
              <w:pStyle w:val="TableNAm"/>
            </w:pPr>
            <w:r>
              <w:t>GP1.2(b), GP2.1, GP 2.2, GP5.1</w:t>
            </w:r>
          </w:p>
        </w:tc>
      </w:tr>
      <w:tr>
        <w:tc>
          <w:tcPr>
            <w:tcW w:w="3033" w:type="dxa"/>
          </w:tcPr>
          <w:p>
            <w:pPr>
              <w:pStyle w:val="TableNAm"/>
            </w:pPr>
            <w:r>
              <w:t>Volume Two, Part 2.1 — Structure</w:t>
            </w:r>
          </w:p>
        </w:tc>
        <w:tc>
          <w:tcPr>
            <w:tcW w:w="3034" w:type="dxa"/>
          </w:tcPr>
          <w:p>
            <w:pPr>
              <w:pStyle w:val="TableNAm"/>
            </w:pPr>
            <w:r>
              <w:t>P2.1</w:t>
            </w:r>
          </w:p>
        </w:tc>
      </w:tr>
      <w:tr>
        <w:tc>
          <w:tcPr>
            <w:tcW w:w="3033" w:type="dxa"/>
          </w:tcPr>
          <w:p>
            <w:pPr>
              <w:pStyle w:val="TableNAm"/>
            </w:pPr>
            <w:r>
              <w:t>Volume Two, Part 2.3 — Fire safety</w:t>
            </w:r>
          </w:p>
        </w:tc>
        <w:tc>
          <w:tcPr>
            <w:tcW w:w="3034" w:type="dxa"/>
          </w:tcPr>
          <w:p>
            <w:pPr>
              <w:pStyle w:val="TableNAm"/>
            </w:pPr>
            <w:r>
              <w:t>P2.3.1, P2.3.2, P2.3.3, P2.3.4, P2.3.5</w:t>
            </w:r>
          </w:p>
        </w:tc>
      </w:tr>
      <w:tr>
        <w:tc>
          <w:tcPr>
            <w:tcW w:w="3033" w:type="dxa"/>
          </w:tcPr>
          <w:p>
            <w:pPr>
              <w:pStyle w:val="TableNAm"/>
            </w:pPr>
            <w:r>
              <w:t>Volume Two, Part 2.5 — Safe movement and access</w:t>
            </w:r>
          </w:p>
        </w:tc>
        <w:tc>
          <w:tcPr>
            <w:tcW w:w="3034" w:type="dxa"/>
          </w:tcPr>
          <w:p>
            <w:pPr>
              <w:pStyle w:val="TableNAm"/>
            </w:pPr>
            <w:r>
              <w:t>P2.5.1, P2.5.2, P2.5.4</w:t>
            </w:r>
          </w:p>
        </w:tc>
      </w:tr>
    </w:tbl>
    <w:p>
      <w:pPr>
        <w:pStyle w:val="Heading5"/>
      </w:pPr>
      <w:bookmarkStart w:id="97" w:name="_Toc320625120"/>
      <w:bookmarkStart w:id="98" w:name="_Toc327450531"/>
      <w:r>
        <w:rPr>
          <w:rStyle w:val="CharSectno"/>
        </w:rPr>
        <w:t>8</w:t>
      </w:r>
      <w:r>
        <w:t>.</w:t>
      </w:r>
      <w:r>
        <w:tab/>
        <w:t>Building standards in relation to demolition (s. 3)</w:t>
      </w:r>
      <w:bookmarkEnd w:id="97"/>
      <w:bookmarkEnd w:id="98"/>
    </w:p>
    <w:p>
      <w:pPr>
        <w:pStyle w:val="Subsection"/>
      </w:pPr>
      <w:r>
        <w:tab/>
      </w:r>
      <w:r>
        <w:tab/>
        <w:t xml:space="preserve">For the purposes of the definition of </w:t>
      </w:r>
      <w:r>
        <w:rPr>
          <w:b/>
          <w:i/>
        </w:rPr>
        <w:t>building standard</w:t>
      </w:r>
      <w:r>
        <w:t xml:space="preserve"> in section 3, the requirements in relation to the technical aspects of the demolition of a building or incidental structure are as follows —</w:t>
      </w:r>
    </w:p>
    <w:p>
      <w:pPr>
        <w:pStyle w:val="Indenta"/>
      </w:pPr>
      <w:r>
        <w:tab/>
        <w:t>(a)</w:t>
      </w:r>
      <w:r>
        <w:tab/>
        <w:t>before demolition work commences each electrical, gas, telephone or water service to the building or incidental structure must be disconnected;</w:t>
      </w:r>
    </w:p>
    <w:p>
      <w:pPr>
        <w:pStyle w:val="Indenta"/>
      </w:pPr>
      <w:r>
        <w:tab/>
        <w:t>(b)</w:t>
      </w:r>
      <w:r>
        <w:tab/>
        <w:t xml:space="preserve">material removed or displaced from a building or incidental structure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pPr>
      <w:r>
        <w:tab/>
        <w:t>(iii)</w:t>
      </w:r>
      <w:r>
        <w:tab/>
        <w:t>must be removed from the demolition site; and</w:t>
      </w:r>
    </w:p>
    <w:p>
      <w:pPr>
        <w:pStyle w:val="Indenti"/>
      </w:pPr>
      <w:r>
        <w:tab/>
        <w:t>(iv)</w:t>
      </w:r>
      <w:r>
        <w:tab/>
        <w:t>must not be burned on the demolition site.</w:t>
      </w:r>
    </w:p>
    <w:p>
      <w:pPr>
        <w:pStyle w:val="Heading5"/>
      </w:pPr>
      <w:bookmarkStart w:id="99" w:name="_Toc320625121"/>
      <w:bookmarkStart w:id="100" w:name="_Toc327450532"/>
      <w:r>
        <w:rPr>
          <w:rStyle w:val="CharSectno"/>
        </w:rPr>
        <w:t>9</w:t>
      </w:r>
      <w:r>
        <w:t>.</w:t>
      </w:r>
      <w:r>
        <w:tab/>
        <w:t>Compliance with building standards — CodeMark certificates</w:t>
      </w:r>
      <w:bookmarkEnd w:id="99"/>
      <w:bookmarkEnd w:id="100"/>
      <w:r>
        <w:t xml:space="preserve"> </w:t>
      </w:r>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Heading5"/>
      </w:pPr>
      <w:bookmarkStart w:id="101" w:name="_Toc320625122"/>
      <w:bookmarkStart w:id="102" w:name="_Toc327450533"/>
      <w:r>
        <w:rPr>
          <w:rStyle w:val="CharSectno"/>
        </w:rPr>
        <w:t>10</w:t>
      </w:r>
      <w:r>
        <w:t>.</w:t>
      </w:r>
      <w:r>
        <w:tab/>
        <w:t>Owners of land (s. 5(1))</w:t>
      </w:r>
      <w:bookmarkEnd w:id="101"/>
      <w:bookmarkEnd w:id="102"/>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w:t>
      </w:r>
      <w:r>
        <w:tab/>
        <w:t xml:space="preserve">For the purposes of paragraph (a) of the definition of </w:t>
      </w:r>
      <w:r>
        <w:rPr>
          <w:b/>
          <w:i/>
        </w:rPr>
        <w:t>owner</w:t>
      </w:r>
      <w:r>
        <w:t xml:space="preserve"> in relation to Crown land in section 5(1) a person who is a proprietor of the land within the meaning of paragraph (b) of the definition of </w:t>
      </w:r>
      <w:r>
        <w:rPr>
          <w:b/>
          <w:i/>
        </w:rPr>
        <w:t>proprietor</w:t>
      </w:r>
      <w:r>
        <w:t xml:space="preserve"> in the </w:t>
      </w:r>
      <w:r>
        <w:rPr>
          <w:i/>
        </w:rPr>
        <w:t xml:space="preserve">Transfer of Land Act 1893 </w:t>
      </w:r>
      <w:r>
        <w:t>section 4(1) is prescribed.</w:t>
      </w:r>
    </w:p>
    <w:p>
      <w:pPr>
        <w:pStyle w:val="Heading5"/>
      </w:pPr>
      <w:bookmarkStart w:id="103" w:name="_Toc327450534"/>
      <w:bookmarkStart w:id="104" w:name="_Toc320625123"/>
      <w:r>
        <w:rPr>
          <w:rStyle w:val="CharSectno"/>
        </w:rPr>
        <w:t>11A</w:t>
      </w:r>
      <w:r>
        <w:t>.</w:t>
      </w:r>
      <w:r>
        <w:tab/>
        <w:t>Restriction on circumstances where person treated as owner (s. 5(2))</w:t>
      </w:r>
      <w:bookmarkEnd w:id="103"/>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105" w:name="_Toc327450535"/>
      <w:r>
        <w:rPr>
          <w:rStyle w:val="CharSectno"/>
        </w:rPr>
        <w:t>11</w:t>
      </w:r>
      <w:r>
        <w:t>.</w:t>
      </w:r>
      <w:r>
        <w:tab/>
        <w:t>Fees</w:t>
      </w:r>
      <w:bookmarkEnd w:id="104"/>
      <w:bookmarkEnd w:id="105"/>
    </w:p>
    <w:p>
      <w:pPr>
        <w:pStyle w:val="Subsection"/>
      </w:pPr>
      <w:r>
        <w:tab/>
      </w:r>
      <w:r>
        <w:tab/>
        <w:t>The fee for an application of a kind mentioned in an item set out in Schedule 2 is the fee specified in that item in relation to the application.</w:t>
      </w:r>
    </w:p>
    <w:p>
      <w:pPr>
        <w:pStyle w:val="Heading5"/>
      </w:pPr>
      <w:bookmarkStart w:id="106" w:name="_Toc320625124"/>
      <w:bookmarkStart w:id="107" w:name="_Toc327450536"/>
      <w:r>
        <w:rPr>
          <w:rStyle w:val="CharSectno"/>
        </w:rPr>
        <w:t>12</w:t>
      </w:r>
      <w:r>
        <w:t>.</w:t>
      </w:r>
      <w:r>
        <w:tab/>
        <w:t>Building records to be kept (s. 130)</w:t>
      </w:r>
      <w:bookmarkEnd w:id="106"/>
      <w:bookmarkEnd w:id="107"/>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108" w:name="_Toc320625125"/>
      <w:bookmarkStart w:id="109" w:name="_Toc327450537"/>
      <w:r>
        <w:rPr>
          <w:rStyle w:val="CharSectno"/>
        </w:rPr>
        <w:t>13</w:t>
      </w:r>
      <w:r>
        <w:t>.</w:t>
      </w:r>
      <w:r>
        <w:tab/>
        <w:t>Inspection, copies of building records (s. 131)</w:t>
      </w:r>
      <w:bookmarkEnd w:id="108"/>
      <w:bookmarkEnd w:id="109"/>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 in the course of duty in connection with a situation in which the safety of a person is at risk.</w:t>
      </w:r>
    </w:p>
    <w:p>
      <w:pPr>
        <w:pStyle w:val="Heading5"/>
      </w:pPr>
      <w:bookmarkStart w:id="110" w:name="_Toc320625126"/>
      <w:bookmarkStart w:id="111" w:name="_Toc327450538"/>
      <w:r>
        <w:rPr>
          <w:rStyle w:val="CharSectno"/>
        </w:rPr>
        <w:t>14</w:t>
      </w:r>
      <w:r>
        <w:t>.</w:t>
      </w:r>
      <w:r>
        <w:tab/>
        <w:t>Provision of information to Building Commissioner (s. 132)</w:t>
      </w:r>
      <w:bookmarkEnd w:id="110"/>
      <w:bookmarkEnd w:id="111"/>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2"/>
      </w:pPr>
      <w:bookmarkStart w:id="112" w:name="_Toc320625127"/>
      <w:bookmarkStart w:id="113" w:name="_Toc320625491"/>
      <w:bookmarkStart w:id="114" w:name="_Toc320625766"/>
      <w:bookmarkStart w:id="115" w:name="_Toc320697806"/>
      <w:bookmarkStart w:id="116" w:name="_Toc327448447"/>
      <w:bookmarkStart w:id="117" w:name="_Toc327450539"/>
      <w:r>
        <w:rPr>
          <w:rStyle w:val="CharPartNo"/>
        </w:rPr>
        <w:t>Part 3</w:t>
      </w:r>
      <w:r>
        <w:rPr>
          <w:rStyle w:val="CharDivNo"/>
        </w:rPr>
        <w:t> </w:t>
      </w:r>
      <w:r>
        <w:t>—</w:t>
      </w:r>
      <w:r>
        <w:rPr>
          <w:rStyle w:val="CharDivText"/>
        </w:rPr>
        <w:t> </w:t>
      </w:r>
      <w:r>
        <w:rPr>
          <w:rStyle w:val="CharPartText"/>
        </w:rPr>
        <w:t>Building and demolition permits</w:t>
      </w:r>
      <w:bookmarkEnd w:id="112"/>
      <w:bookmarkEnd w:id="113"/>
      <w:bookmarkEnd w:id="114"/>
      <w:bookmarkEnd w:id="115"/>
      <w:bookmarkEnd w:id="116"/>
      <w:bookmarkEnd w:id="117"/>
    </w:p>
    <w:p>
      <w:pPr>
        <w:pStyle w:val="Heading5"/>
      </w:pPr>
      <w:bookmarkStart w:id="118" w:name="_Toc320625128"/>
      <w:bookmarkStart w:id="119" w:name="_Toc327450540"/>
      <w:r>
        <w:rPr>
          <w:rStyle w:val="CharSectno"/>
        </w:rPr>
        <w:t>15</w:t>
      </w:r>
      <w:r>
        <w:t>.</w:t>
      </w:r>
      <w:r>
        <w:tab/>
        <w:t>Uncertified applications (s. 14(2))</w:t>
      </w:r>
      <w:bookmarkEnd w:id="118"/>
      <w:bookmarkEnd w:id="119"/>
    </w:p>
    <w:p>
      <w:pPr>
        <w:pStyle w:val="Subsection"/>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pPr>
      <w:bookmarkStart w:id="120" w:name="_Toc320625129"/>
      <w:bookmarkStart w:id="121" w:name="_Toc327450541"/>
      <w:r>
        <w:rPr>
          <w:rStyle w:val="CharSectno"/>
        </w:rPr>
        <w:t>16</w:t>
      </w:r>
      <w:r>
        <w:t>.</w:t>
      </w:r>
      <w:r>
        <w:tab/>
        <w:t>Application for building and demolition permits (s. 16)</w:t>
      </w:r>
      <w:bookmarkEnd w:id="120"/>
      <w:bookmarkEnd w:id="121"/>
    </w:p>
    <w:p>
      <w:pPr>
        <w:pStyle w:val="Subsection"/>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pPr>
      <w:r>
        <w:tab/>
        <w:t>(i)</w:t>
      </w:r>
      <w:r>
        <w:tab/>
        <w:t>the classification of the building or incidental structure; and</w:t>
      </w:r>
    </w:p>
    <w:p>
      <w:pPr>
        <w:pStyle w:val="Indenti"/>
      </w:pPr>
      <w:r>
        <w:tab/>
        <w:t>(ii)</w:t>
      </w:r>
      <w:r>
        <w:tab/>
        <w:t>the occupancy permit number (if any) of the building or incidental structure.</w:t>
      </w:r>
    </w:p>
    <w:p>
      <w:pPr>
        <w:pStyle w:val="Subsection"/>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pPr>
      <w:bookmarkStart w:id="122" w:name="_Toc320625130"/>
      <w:bookmarkStart w:id="123" w:name="_Toc327450542"/>
      <w:r>
        <w:rPr>
          <w:rStyle w:val="CharSectno"/>
        </w:rPr>
        <w:t>17</w:t>
      </w:r>
      <w:r>
        <w:t>.</w:t>
      </w:r>
      <w:r>
        <w:tab/>
        <w:t>Certificate of design compliance (s. 19)</w:t>
      </w:r>
      <w:bookmarkEnd w:id="122"/>
      <w:bookmarkEnd w:id="123"/>
    </w:p>
    <w:p>
      <w:pPr>
        <w:pStyle w:val="Subsection"/>
      </w:pPr>
      <w:r>
        <w:tab/>
      </w:r>
      <w:r>
        <w:tab/>
        <w:t xml:space="preserve">For the purposes of section 19(5), a certificate of design compliance must contain the following things — </w:t>
      </w:r>
    </w:p>
    <w:p>
      <w:pPr>
        <w:pStyle w:val="Indenta"/>
      </w:pPr>
      <w:r>
        <w:tab/>
        <w:t>(a)</w:t>
      </w:r>
      <w:r>
        <w:tab/>
        <w:t>if a declaration under section 39 has been made in respect of the building that is the subject of the application, a statement to that effect;</w:t>
      </w:r>
    </w:p>
    <w:p>
      <w:pPr>
        <w:pStyle w:val="Indenta"/>
      </w:pPr>
      <w:r>
        <w:tab/>
        <w:t>(b)</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(c)</w:t>
      </w:r>
      <w:r>
        <w:tab/>
        <w:t>a statement identifying any work that adversely affects land beyond the boundaries of the works land;</w:t>
      </w:r>
    </w:p>
    <w:p>
      <w:pPr>
        <w:pStyle w:val="Ednotepara"/>
      </w:pPr>
      <w:r>
        <w:tab/>
        <w:t>[(d)</w:t>
      </w:r>
      <w:r>
        <w:tab/>
        <w:t>deleted]</w:t>
      </w:r>
    </w:p>
    <w:p>
      <w:pPr>
        <w:pStyle w:val="Indenta"/>
      </w:pPr>
      <w:r>
        <w:tab/>
        <w:t>(e)</w:t>
      </w:r>
      <w:r>
        <w:tab/>
        <w:t xml:space="preserve">if the certificate of design compliance is in respect of a Class 2 to Class 9 building, a statement by the building surveyor signing the certificate — </w:t>
      </w:r>
    </w:p>
    <w:p>
      <w:pPr>
        <w:pStyle w:val="Indenti"/>
      </w:pPr>
      <w:r>
        <w:tab/>
        <w:t>(i)</w:t>
      </w:r>
      <w:r>
        <w:tab/>
        <w:t>that plans and specifications in sufficient detail to allow assessment of compliance with FESA operational requirements were provided to FESA at least 15 business days before the certificate of design compliance was signed; and</w:t>
      </w:r>
    </w:p>
    <w:p>
      <w:pPr>
        <w:pStyle w:val="Indenti"/>
      </w:pPr>
      <w:r>
        <w:tab/>
        <w:t>(ii)</w:t>
      </w:r>
      <w:r>
        <w:tab/>
        <w:t>setting out the details of any advice given by FESA in respect of the plans and specifications; and</w:t>
      </w:r>
    </w:p>
    <w:p>
      <w:pPr>
        <w:pStyle w:val="Indenti"/>
      </w:pPr>
      <w:r>
        <w:tab/>
        <w:t>(iii)</w:t>
      </w:r>
      <w:r>
        <w:tab/>
        <w:t>noting any part of the advice given by FESA that the building surveyor does not intend to follow; and</w:t>
      </w:r>
    </w:p>
    <w:p>
      <w:pPr>
        <w:pStyle w:val="Indenti"/>
      </w:pPr>
      <w:r>
        <w:tab/>
        <w:t>(iv)</w:t>
      </w:r>
      <w:r>
        <w:tab/>
        <w:t>that FESA has been advised of any decision not to follow advice given by FESA in respect of the plans and specification and the reasons for that decision.</w:t>
      </w:r>
    </w:p>
    <w:p>
      <w:pPr>
        <w:pStyle w:val="Footnotesection"/>
      </w:pPr>
      <w:r>
        <w:tab/>
        <w:t>[Regulation 17 amended in Gazette 15 Jun 2012 p. 2514.]</w:t>
      </w:r>
    </w:p>
    <w:p>
      <w:pPr>
        <w:pStyle w:val="Heading5"/>
      </w:pPr>
      <w:bookmarkStart w:id="124" w:name="_Toc320625131"/>
      <w:bookmarkStart w:id="125" w:name="_Toc327450543"/>
      <w:r>
        <w:rPr>
          <w:rStyle w:val="CharSectno"/>
        </w:rPr>
        <w:t>18</w:t>
      </w:r>
      <w:r>
        <w:t>.</w:t>
      </w:r>
      <w:r>
        <w:tab/>
        <w:t>Grant of building permit (s. 20)</w:t>
      </w:r>
      <w:bookmarkEnd w:id="124"/>
      <w:bookmarkEnd w:id="125"/>
    </w:p>
    <w:p>
      <w:pPr>
        <w:pStyle w:val="Subsection"/>
      </w:pPr>
      <w:r>
        <w:tab/>
        <w:t>(1)</w:t>
      </w:r>
      <w:r>
        <w:tab/>
        <w:t>For the purposes of section 20(1)(b), building work that is not builder work is specified.</w:t>
      </w:r>
    </w:p>
    <w:p>
      <w:pPr>
        <w:pStyle w:val="Subsection"/>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Ednotepara"/>
      </w:pPr>
      <w:r>
        <w:tab/>
        <w:t>[(d), (e)</w:t>
      </w:r>
      <w:r>
        <w:tab/>
        <w:t>deleted]</w:t>
      </w:r>
    </w:p>
    <w:p>
      <w:pPr>
        <w:pStyle w:val="Subsection"/>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Ednotepara"/>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FESA the plans and specifications specified in the certificate of design compliance accompanying the application.</w:t>
      </w:r>
    </w:p>
    <w:p>
      <w:pPr>
        <w:pStyle w:val="Footnotesection"/>
      </w:pPr>
      <w:r>
        <w:tab/>
        <w:t>[Regulation 18 amended in Gazette 15 Jun 2012 p. 2514.]</w:t>
      </w:r>
    </w:p>
    <w:p>
      <w:pPr>
        <w:pStyle w:val="Heading5"/>
      </w:pPr>
      <w:bookmarkStart w:id="126" w:name="_Toc320625132"/>
      <w:bookmarkStart w:id="127" w:name="_Toc327450544"/>
      <w:r>
        <w:rPr>
          <w:rStyle w:val="CharSectno"/>
        </w:rPr>
        <w:t>19</w:t>
      </w:r>
      <w:r>
        <w:t>.</w:t>
      </w:r>
      <w:r>
        <w:tab/>
        <w:t>Grant of demolition permit (s. 21)</w:t>
      </w:r>
      <w:bookmarkEnd w:id="126"/>
      <w:bookmarkEnd w:id="127"/>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128" w:name="_Toc320625133"/>
      <w:bookmarkStart w:id="129" w:name="_Toc327450545"/>
      <w:r>
        <w:rPr>
          <w:rStyle w:val="CharSectno"/>
        </w:rPr>
        <w:t>20</w:t>
      </w:r>
      <w:r>
        <w:t>.</w:t>
      </w:r>
      <w:r>
        <w:tab/>
        <w:t>Time for deciding application for building or demolition permit (s. 23)</w:t>
      </w:r>
      <w:bookmarkEnd w:id="128"/>
      <w:bookmarkEnd w:id="129"/>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130" w:name="_Toc320625134"/>
      <w:bookmarkStart w:id="131" w:name="_Toc327450546"/>
      <w:r>
        <w:rPr>
          <w:rStyle w:val="CharSectno"/>
        </w:rPr>
        <w:t>21</w:t>
      </w:r>
      <w:r>
        <w:t>.</w:t>
      </w:r>
      <w:r>
        <w:tab/>
        <w:t>Form and content of building permit (s. 25)</w:t>
      </w:r>
      <w:bookmarkEnd w:id="130"/>
      <w:bookmarkEnd w:id="131"/>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132" w:name="_Toc320625135"/>
      <w:bookmarkStart w:id="133" w:name="_Toc327450547"/>
      <w:r>
        <w:rPr>
          <w:rStyle w:val="CharSectno"/>
        </w:rPr>
        <w:t>22</w:t>
      </w:r>
      <w:r>
        <w:t>.</w:t>
      </w:r>
      <w:r>
        <w:tab/>
        <w:t>Form and content of demolition permit (s. 25)</w:t>
      </w:r>
      <w:bookmarkEnd w:id="132"/>
      <w:bookmarkEnd w:id="133"/>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Heading5"/>
      </w:pPr>
      <w:bookmarkStart w:id="134" w:name="_Toc320625136"/>
      <w:bookmarkStart w:id="135" w:name="_Toc327450548"/>
      <w:r>
        <w:rPr>
          <w:rStyle w:val="CharSectno"/>
        </w:rPr>
        <w:t>23</w:t>
      </w:r>
      <w:r>
        <w:t>.</w:t>
      </w:r>
      <w:r>
        <w:tab/>
        <w:t>Application to extend time during which permit has effect (s. 32)</w:t>
      </w:r>
      <w:bookmarkEnd w:id="134"/>
      <w:bookmarkEnd w:id="135"/>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pPr>
      <w:bookmarkStart w:id="136" w:name="_Toc320625137"/>
      <w:bookmarkStart w:id="137" w:name="_Toc327450549"/>
      <w:r>
        <w:rPr>
          <w:rStyle w:val="CharSectno"/>
        </w:rPr>
        <w:t>24</w:t>
      </w:r>
      <w:r>
        <w:t>.</w:t>
      </w:r>
      <w:r>
        <w:tab/>
        <w:t>Extension of time during which permit has effect (s. 32(3))</w:t>
      </w:r>
      <w:bookmarkEnd w:id="136"/>
      <w:bookmarkEnd w:id="137"/>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pPr>
      <w:bookmarkStart w:id="138" w:name="_Toc320625138"/>
      <w:bookmarkStart w:id="139" w:name="_Toc327450550"/>
      <w:r>
        <w:rPr>
          <w:rStyle w:val="CharSectno"/>
        </w:rPr>
        <w:t>25</w:t>
      </w:r>
      <w:r>
        <w:t>.</w:t>
      </w:r>
      <w:r>
        <w:tab/>
        <w:t>Review of decision to refuse to extend time during which permit has effect (s. 32(3))</w:t>
      </w:r>
      <w:bookmarkEnd w:id="138"/>
      <w:bookmarkEnd w:id="139"/>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pPr>
      <w:bookmarkStart w:id="140" w:name="_Toc320625139"/>
      <w:bookmarkStart w:id="141" w:name="_Toc327450551"/>
      <w:r>
        <w:rPr>
          <w:rStyle w:val="CharSectno"/>
        </w:rPr>
        <w:t>26</w:t>
      </w:r>
      <w:r>
        <w:t>.</w:t>
      </w:r>
      <w:r>
        <w:tab/>
        <w:t>Approval of new responsible person (s. 35(c))</w:t>
      </w:r>
      <w:bookmarkEnd w:id="140"/>
      <w:bookmarkEnd w:id="141"/>
    </w:p>
    <w:p>
      <w:pPr>
        <w:pStyle w:val="Subsection"/>
      </w:pPr>
      <w:r>
        <w:tab/>
        <w:t>(1)</w:t>
      </w:r>
      <w:r>
        <w:tab/>
        <w:t>If the responsible person in relation to a permit gives a notice of cessation in accordance with section 34, the owner of a building or incidental structure to which a permit applies may apply to the relevant permit authority for approval of a new responsible person for the work to which the permit applies.</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Heading5"/>
      </w:pPr>
      <w:bookmarkStart w:id="142" w:name="_Toc320625140"/>
      <w:bookmarkStart w:id="143" w:name="_Toc327450552"/>
      <w:r>
        <w:rPr>
          <w:rStyle w:val="CharSectno"/>
        </w:rPr>
        <w:t>27</w:t>
      </w:r>
      <w:r>
        <w:t>.</w:t>
      </w:r>
      <w:r>
        <w:tab/>
        <w:t>Required inspection and tests: Class 2 to Class 9 buildings (s. 36(2)(a))</w:t>
      </w:r>
      <w:bookmarkEnd w:id="142"/>
      <w:bookmarkEnd w:id="143"/>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44" w:name="_Toc320625141"/>
      <w:bookmarkStart w:id="145" w:name="_Toc327450553"/>
      <w:r>
        <w:rPr>
          <w:rStyle w:val="CharSectno"/>
        </w:rPr>
        <w:t>28</w:t>
      </w:r>
      <w:r>
        <w:t>.</w:t>
      </w:r>
      <w:r>
        <w:tab/>
        <w:t>Required inspection: enclosure of private swimming pool (s. 36(2)(a))</w:t>
      </w:r>
      <w:bookmarkEnd w:id="144"/>
      <w:bookmarkEnd w:id="145"/>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146" w:name="_Toc320625142"/>
      <w:bookmarkStart w:id="147" w:name="_Toc327450554"/>
      <w:r>
        <w:rPr>
          <w:rStyle w:val="CharSectno"/>
        </w:rPr>
        <w:t>29</w:t>
      </w:r>
      <w:r>
        <w:t>.</w:t>
      </w:r>
      <w:r>
        <w:tab/>
        <w:t>Inspection certificates (s. 36(2)(h) and (j))</w:t>
      </w:r>
      <w:bookmarkEnd w:id="146"/>
      <w:bookmarkEnd w:id="147"/>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48" w:name="_Toc320625143"/>
      <w:bookmarkStart w:id="149" w:name="_Toc327450555"/>
      <w:r>
        <w:rPr>
          <w:rStyle w:val="CharSectno"/>
        </w:rPr>
        <w:t>30</w:t>
      </w:r>
      <w:r>
        <w:t>.</w:t>
      </w:r>
      <w:r>
        <w:tab/>
        <w:t>Transitional provisions (s. 203)</w:t>
      </w:r>
      <w:bookmarkEnd w:id="148"/>
      <w:bookmarkEnd w:id="149"/>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50" w:name="_Toc320625144"/>
      <w:bookmarkStart w:id="151" w:name="_Toc320625508"/>
      <w:bookmarkStart w:id="152" w:name="_Toc320625783"/>
      <w:bookmarkStart w:id="153" w:name="_Toc320697823"/>
      <w:bookmarkStart w:id="154" w:name="_Toc327448464"/>
      <w:bookmarkStart w:id="155" w:name="_Toc327450556"/>
      <w:r>
        <w:rPr>
          <w:rStyle w:val="CharPartNo"/>
        </w:rPr>
        <w:t>Part 4</w:t>
      </w:r>
      <w:r>
        <w:rPr>
          <w:rStyle w:val="CharDivNo"/>
        </w:rPr>
        <w:t> </w:t>
      </w:r>
      <w:r>
        <w:t>—</w:t>
      </w:r>
      <w:r>
        <w:rPr>
          <w:rStyle w:val="CharDivText"/>
        </w:rPr>
        <w:t> </w:t>
      </w:r>
      <w:r>
        <w:rPr>
          <w:rStyle w:val="CharPartText"/>
        </w:rPr>
        <w:t>Building standards</w:t>
      </w:r>
      <w:bookmarkEnd w:id="150"/>
      <w:bookmarkEnd w:id="151"/>
      <w:bookmarkEnd w:id="152"/>
      <w:bookmarkEnd w:id="153"/>
      <w:bookmarkEnd w:id="154"/>
      <w:bookmarkEnd w:id="155"/>
    </w:p>
    <w:p>
      <w:pPr>
        <w:pStyle w:val="Heading5"/>
      </w:pPr>
      <w:bookmarkStart w:id="156" w:name="_Toc320625145"/>
      <w:bookmarkStart w:id="157" w:name="_Toc327450557"/>
      <w:r>
        <w:rPr>
          <w:rStyle w:val="CharSectno"/>
        </w:rPr>
        <w:t>31</w:t>
      </w:r>
      <w:r>
        <w:t>.</w:t>
      </w:r>
      <w:r>
        <w:tab/>
        <w:t>Term used: application</w:t>
      </w:r>
      <w:bookmarkEnd w:id="156"/>
      <w:bookmarkEnd w:id="157"/>
    </w:p>
    <w:p>
      <w:pPr>
        <w:pStyle w:val="Subsection"/>
      </w:pPr>
      <w:r>
        <w:tab/>
      </w:r>
      <w:r>
        <w:tab/>
        <w:t xml:space="preserve">In this Part —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Heading5"/>
      </w:pPr>
      <w:bookmarkStart w:id="158" w:name="_Toc320625146"/>
      <w:bookmarkStart w:id="159" w:name="_Toc327450558"/>
      <w:r>
        <w:rPr>
          <w:rStyle w:val="CharSectno"/>
        </w:rPr>
        <w:t>32</w:t>
      </w:r>
      <w:r>
        <w:t>.</w:t>
      </w:r>
      <w:r>
        <w:tab/>
        <w:t>Statements to accompany application (s. 39(8)(b))</w:t>
      </w:r>
      <w:bookmarkEnd w:id="158"/>
      <w:bookmarkEnd w:id="159"/>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i"/>
      </w:pP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Pr>
      <w:bookmarkStart w:id="160" w:name="_Toc320625147"/>
      <w:bookmarkStart w:id="161" w:name="_Toc327450559"/>
      <w:r>
        <w:rPr>
          <w:rStyle w:val="CharSectno"/>
        </w:rPr>
        <w:t>33</w:t>
      </w:r>
      <w:r>
        <w:t>.</w:t>
      </w:r>
      <w:r>
        <w:tab/>
        <w:t>Decisions on applications (s. 39(9)(a))</w:t>
      </w:r>
      <w:bookmarkEnd w:id="160"/>
      <w:bookmarkEnd w:id="161"/>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pPr>
      <w:r>
        <w:tab/>
        <w:t>(a)</w:t>
      </w:r>
      <w:r>
        <w:tab/>
        <w:t>to not declare that a building standard does not apply; or</w:t>
      </w:r>
    </w:p>
    <w:p>
      <w:pPr>
        <w:pStyle w:val="Defpara"/>
      </w:pPr>
      <w:r>
        <w:tab/>
        <w:t>(b)</w:t>
      </w:r>
      <w:r>
        <w:tab/>
        <w:t>to not modify a building standard; or</w:t>
      </w:r>
    </w:p>
    <w:p>
      <w:pPr>
        <w:pStyle w:val="Defpara"/>
      </w:pPr>
      <w:r>
        <w:tab/>
        <w:t>(c)</w:t>
      </w:r>
      <w:r>
        <w:tab/>
        <w:t>to modify a building standard in a way different from that proposed by the applicant.</w:t>
      </w:r>
    </w:p>
    <w:p>
      <w:pPr>
        <w:pStyle w:val="Subsection"/>
      </w:pPr>
      <w:r>
        <w:tab/>
        <w:t>(2)</w:t>
      </w:r>
      <w:r>
        <w:tab/>
        <w:t xml:space="preserve">The Building Commissioner must — </w:t>
      </w:r>
    </w:p>
    <w:p>
      <w:pPr>
        <w:pStyle w:val="Indenta"/>
      </w:pPr>
      <w:r>
        <w:tab/>
        <w:t>(a)</w:t>
      </w:r>
      <w:r>
        <w:tab/>
        <w:t>record the grounds on which a decision is based and the reasons for the decision; and</w:t>
      </w:r>
    </w:p>
    <w:p>
      <w:pPr>
        <w:pStyle w:val="Indenta"/>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162" w:name="_Toc320625148"/>
      <w:bookmarkStart w:id="163" w:name="_Toc327450560"/>
      <w:r>
        <w:rPr>
          <w:rStyle w:val="CharSectno"/>
        </w:rPr>
        <w:t>34</w:t>
      </w:r>
      <w:r>
        <w:t>.</w:t>
      </w:r>
      <w:r>
        <w:tab/>
        <w:t>Revoking or amending declarations (s. 39(9)(b))</w:t>
      </w:r>
      <w:bookmarkEnd w:id="162"/>
      <w:bookmarkEnd w:id="163"/>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64" w:name="_Toc320625149"/>
      <w:bookmarkStart w:id="165" w:name="_Toc320625513"/>
      <w:bookmarkStart w:id="166" w:name="_Toc320625788"/>
      <w:bookmarkStart w:id="167" w:name="_Toc320697828"/>
      <w:bookmarkStart w:id="168" w:name="_Toc327448469"/>
      <w:bookmarkStart w:id="169" w:name="_Toc327450561"/>
      <w:r>
        <w:rPr>
          <w:rStyle w:val="CharPartNo"/>
        </w:rPr>
        <w:t>Part 5</w:t>
      </w:r>
      <w:r>
        <w:rPr>
          <w:rStyle w:val="CharDivNo"/>
        </w:rPr>
        <w:t> </w:t>
      </w:r>
      <w:r>
        <w:t>—</w:t>
      </w:r>
      <w:r>
        <w:rPr>
          <w:rStyle w:val="CharDivText"/>
        </w:rPr>
        <w:t> </w:t>
      </w:r>
      <w:r>
        <w:rPr>
          <w:rStyle w:val="CharPartText"/>
        </w:rPr>
        <w:t>Occupancy permits and building approval certificates</w:t>
      </w:r>
      <w:bookmarkEnd w:id="164"/>
      <w:bookmarkEnd w:id="165"/>
      <w:bookmarkEnd w:id="166"/>
      <w:bookmarkEnd w:id="167"/>
      <w:bookmarkEnd w:id="168"/>
      <w:bookmarkEnd w:id="169"/>
    </w:p>
    <w:p>
      <w:pPr>
        <w:pStyle w:val="Heading5"/>
      </w:pPr>
      <w:bookmarkStart w:id="170" w:name="_Toc320625150"/>
      <w:bookmarkStart w:id="171" w:name="_Toc327450562"/>
      <w:r>
        <w:rPr>
          <w:rStyle w:val="CharSectno"/>
        </w:rPr>
        <w:t>35</w:t>
      </w:r>
      <w:r>
        <w:t>.</w:t>
      </w:r>
      <w:r>
        <w:tab/>
        <w:t>Display of occupancy permit details (s. 42(a))</w:t>
      </w:r>
      <w:bookmarkEnd w:id="170"/>
      <w:bookmarkEnd w:id="171"/>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72" w:name="_Toc320625151"/>
      <w:bookmarkStart w:id="173" w:name="_Toc327450563"/>
      <w:r>
        <w:rPr>
          <w:rStyle w:val="CharSectno"/>
        </w:rPr>
        <w:t>36</w:t>
      </w:r>
      <w:r>
        <w:t>.</w:t>
      </w:r>
      <w:r>
        <w:tab/>
        <w:t>Certificate of building compliance (s. 57)</w:t>
      </w:r>
      <w:bookmarkEnd w:id="172"/>
      <w:bookmarkEnd w:id="173"/>
    </w:p>
    <w:p>
      <w:pPr>
        <w:pStyle w:val="Subsection"/>
      </w:pPr>
      <w:r>
        <w:tab/>
        <w:t>(1)</w:t>
      </w:r>
      <w:r>
        <w:tab/>
        <w:t xml:space="preserve">For the purposes of section 57(2)(c), the following authorities under written laws, as relevant to the building or incidental structure, are prescribed — </w:t>
      </w:r>
    </w:p>
    <w:p>
      <w:pPr>
        <w:pStyle w:val="Indenta"/>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pPr>
      <w:r>
        <w:tab/>
        <w:t>(a)</w:t>
      </w:r>
      <w:r>
        <w:tab/>
        <w:t>if a declaration under section 39 has been made in respect of the building, a statement to that effect;</w:t>
      </w:r>
    </w:p>
    <w:p>
      <w:pPr>
        <w:pStyle w:val="Indenta"/>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(c)</w:t>
      </w:r>
      <w:r>
        <w:tab/>
        <w:t>if an alternative solution was used to comply with a building standard, a statement about the alternative solution and details of the assessment methods used to establish compliance with the building standard.</w:t>
      </w:r>
    </w:p>
    <w:p>
      <w:pPr>
        <w:pStyle w:val="Heading5"/>
      </w:pPr>
      <w:bookmarkStart w:id="174" w:name="_Toc320625152"/>
      <w:bookmarkStart w:id="175" w:name="_Toc327450564"/>
      <w:r>
        <w:rPr>
          <w:rStyle w:val="CharSectno"/>
        </w:rPr>
        <w:t>37</w:t>
      </w:r>
      <w:r>
        <w:t>.</w:t>
      </w:r>
      <w:r>
        <w:tab/>
        <w:t>Grant of occupancy permit or building approval certificate (s. 58)</w:t>
      </w:r>
      <w:bookmarkEnd w:id="174"/>
      <w:bookmarkEnd w:id="175"/>
    </w:p>
    <w:p>
      <w:pPr>
        <w:pStyle w:val="Subsection"/>
      </w:pPr>
      <w:r>
        <w:tab/>
      </w:r>
      <w:r>
        <w:tab/>
        <w:t xml:space="preserve">For the purposes of section 58(1)(j), the following authorities under written laws, as relevant to the building or incidental structure, are prescribed — </w:t>
      </w:r>
    </w:p>
    <w:p>
      <w:pPr>
        <w:pStyle w:val="Indenta"/>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176" w:name="_Toc320625153"/>
      <w:bookmarkStart w:id="177" w:name="_Toc327450565"/>
      <w:r>
        <w:rPr>
          <w:rStyle w:val="CharSectno"/>
        </w:rPr>
        <w:t>38</w:t>
      </w:r>
      <w:r>
        <w:t>.</w:t>
      </w:r>
      <w:r>
        <w:tab/>
        <w:t>Time for granting occupancy permit or building approval certificate (s. 59)</w:t>
      </w:r>
      <w:bookmarkEnd w:id="176"/>
      <w:bookmarkEnd w:id="177"/>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178" w:name="_Toc320625154"/>
      <w:bookmarkStart w:id="179" w:name="_Toc327450566"/>
      <w:r>
        <w:rPr>
          <w:rStyle w:val="CharSectno"/>
        </w:rPr>
        <w:t>39</w:t>
      </w:r>
      <w:r>
        <w:t>.</w:t>
      </w:r>
      <w:r>
        <w:tab/>
        <w:t>Occupancy permit and building approval certificates (s. 61(2))</w:t>
      </w:r>
      <w:bookmarkEnd w:id="178"/>
      <w:bookmarkEnd w:id="179"/>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180" w:name="_Toc320625155"/>
      <w:bookmarkStart w:id="181" w:name="_Toc327450567"/>
      <w:r>
        <w:rPr>
          <w:rStyle w:val="CharSectno"/>
        </w:rPr>
        <w:t>40</w:t>
      </w:r>
      <w:r>
        <w:t>.</w:t>
      </w:r>
      <w:r>
        <w:tab/>
        <w:t>Extension of period of duration of time limited occupancy permit or building approval certificate (s. 65)</w:t>
      </w:r>
      <w:bookmarkEnd w:id="180"/>
      <w:bookmarkEnd w:id="181"/>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82" w:name="_Toc320625156"/>
      <w:bookmarkStart w:id="183" w:name="_Toc320625520"/>
      <w:bookmarkStart w:id="184" w:name="_Toc320625795"/>
      <w:bookmarkStart w:id="185" w:name="_Toc320697835"/>
      <w:bookmarkStart w:id="186" w:name="_Toc327448476"/>
      <w:bookmarkStart w:id="187" w:name="_Toc327450568"/>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82"/>
      <w:bookmarkEnd w:id="183"/>
      <w:bookmarkEnd w:id="184"/>
      <w:bookmarkEnd w:id="185"/>
      <w:bookmarkEnd w:id="186"/>
      <w:bookmarkEnd w:id="187"/>
    </w:p>
    <w:p>
      <w:pPr>
        <w:pStyle w:val="Heading5"/>
      </w:pPr>
      <w:bookmarkStart w:id="188" w:name="_Toc320625157"/>
      <w:bookmarkStart w:id="189" w:name="_Toc327450569"/>
      <w:r>
        <w:rPr>
          <w:rStyle w:val="CharSectno"/>
        </w:rPr>
        <w:t>41</w:t>
      </w:r>
      <w:r>
        <w:t>.</w:t>
      </w:r>
      <w:r>
        <w:tab/>
        <w:t>Building work for which building permit is not required (s. 9(1)(b))</w:t>
      </w:r>
      <w:bookmarkEnd w:id="188"/>
      <w:bookmarkEnd w:id="189"/>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190" w:name="_Toc320625158"/>
      <w:bookmarkStart w:id="191" w:name="_Toc327450570"/>
      <w:r>
        <w:rPr>
          <w:rStyle w:val="CharSectno"/>
        </w:rPr>
        <w:t>42</w:t>
      </w:r>
      <w:r>
        <w:t>.</w:t>
      </w:r>
      <w:r>
        <w:tab/>
        <w:t>Demolition work for which demolition permit not required (s. 10(c))</w:t>
      </w:r>
      <w:bookmarkEnd w:id="190"/>
      <w:bookmarkEnd w:id="191"/>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92" w:name="_Toc320625159"/>
      <w:bookmarkStart w:id="193" w:name="_Toc327450571"/>
      <w:r>
        <w:rPr>
          <w:rStyle w:val="CharSectno"/>
        </w:rPr>
        <w:t>43</w:t>
      </w:r>
      <w:r>
        <w:t>.</w:t>
      </w:r>
      <w:r>
        <w:tab/>
        <w:t>Buildings and incidental structures for which occupancy permit not required (s. 41(2))</w:t>
      </w:r>
      <w:bookmarkEnd w:id="192"/>
      <w:bookmarkEnd w:id="193"/>
    </w:p>
    <w:p>
      <w:pPr>
        <w:pStyle w:val="Subsection"/>
      </w:pPr>
      <w:r>
        <w:tab/>
      </w:r>
      <w:r>
        <w:tab/>
        <w:t xml:space="preserve">An occupancy permit is not required for — </w:t>
      </w:r>
    </w:p>
    <w:p>
      <w:pPr>
        <w:pStyle w:val="Indenta"/>
      </w:pPr>
      <w:r>
        <w:tab/>
        <w:t>(a)</w:t>
      </w:r>
      <w:r>
        <w:tab/>
        <w:t>a Class 1 or Class 10 building or incidental structure; or</w:t>
      </w:r>
    </w:p>
    <w:p>
      <w:pPr>
        <w:pStyle w:val="Indenta"/>
      </w:pPr>
      <w:r>
        <w:tab/>
        <w:t>(b)</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Heading2"/>
        <w:rPr>
          <w:rStyle w:val="CharPartText"/>
        </w:rPr>
      </w:pPr>
      <w:bookmarkStart w:id="194" w:name="_Toc320625160"/>
      <w:bookmarkStart w:id="195" w:name="_Toc320625524"/>
      <w:bookmarkStart w:id="196" w:name="_Toc320625799"/>
      <w:bookmarkStart w:id="197" w:name="_Toc320697839"/>
      <w:bookmarkStart w:id="198" w:name="_Toc327448480"/>
      <w:bookmarkStart w:id="199" w:name="_Toc327450572"/>
      <w:r>
        <w:rPr>
          <w:rStyle w:val="CharPartNo"/>
        </w:rPr>
        <w:t>Part 7</w:t>
      </w:r>
      <w:r>
        <w:rPr>
          <w:rStyle w:val="CharDivNo"/>
        </w:rPr>
        <w:t> </w:t>
      </w:r>
      <w:r>
        <w:t>—</w:t>
      </w:r>
      <w:r>
        <w:rPr>
          <w:rStyle w:val="CharDivText"/>
        </w:rPr>
        <w:t> </w:t>
      </w:r>
      <w:r>
        <w:rPr>
          <w:rStyle w:val="CharPartText"/>
        </w:rPr>
        <w:t>Work affecting other land</w:t>
      </w:r>
      <w:bookmarkEnd w:id="194"/>
      <w:bookmarkEnd w:id="195"/>
      <w:bookmarkEnd w:id="196"/>
      <w:bookmarkEnd w:id="197"/>
      <w:bookmarkEnd w:id="198"/>
      <w:bookmarkEnd w:id="199"/>
    </w:p>
    <w:p>
      <w:pPr>
        <w:pStyle w:val="Heading5"/>
      </w:pPr>
      <w:bookmarkStart w:id="200" w:name="_Toc320625161"/>
      <w:bookmarkStart w:id="201" w:name="_Toc327450573"/>
      <w:r>
        <w:rPr>
          <w:rStyle w:val="CharSectno"/>
        </w:rPr>
        <w:t>44</w:t>
      </w:r>
      <w:r>
        <w:t>.</w:t>
      </w:r>
      <w:r>
        <w:tab/>
        <w:t>Owner of land for purposes of Part 6 of Act</w:t>
      </w:r>
      <w:bookmarkEnd w:id="200"/>
      <w:bookmarkEnd w:id="201"/>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202" w:name="_Toc320625162"/>
      <w:bookmarkStart w:id="203" w:name="_Toc327450574"/>
      <w:r>
        <w:rPr>
          <w:rStyle w:val="CharSectno"/>
        </w:rPr>
        <w:t>45</w:t>
      </w:r>
      <w:r>
        <w:t>.</w:t>
      </w:r>
      <w:r>
        <w:tab/>
        <w:t>Content of notice about effect on other land (s. 85)</w:t>
      </w:r>
      <w:bookmarkEnd w:id="202"/>
      <w:bookmarkEnd w:id="203"/>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04" w:name="_Toc320625163"/>
      <w:bookmarkStart w:id="205" w:name="_Toc320625527"/>
      <w:bookmarkStart w:id="206" w:name="_Toc320625802"/>
      <w:bookmarkStart w:id="207" w:name="_Toc320697842"/>
      <w:bookmarkStart w:id="208" w:name="_Toc327448483"/>
      <w:bookmarkStart w:id="209" w:name="_Toc327450575"/>
      <w:r>
        <w:rPr>
          <w:rStyle w:val="CharPartNo"/>
        </w:rPr>
        <w:t>Part 8</w:t>
      </w:r>
      <w:r>
        <w:t> — </w:t>
      </w:r>
      <w:r>
        <w:rPr>
          <w:rStyle w:val="CharPartText"/>
        </w:rPr>
        <w:t>Existing buildings</w:t>
      </w:r>
      <w:bookmarkEnd w:id="204"/>
      <w:bookmarkEnd w:id="205"/>
      <w:bookmarkEnd w:id="206"/>
      <w:bookmarkEnd w:id="207"/>
      <w:bookmarkEnd w:id="208"/>
      <w:bookmarkEnd w:id="209"/>
    </w:p>
    <w:p>
      <w:pPr>
        <w:pStyle w:val="Heading3"/>
      </w:pPr>
      <w:bookmarkStart w:id="210" w:name="_Toc320625164"/>
      <w:bookmarkStart w:id="211" w:name="_Toc320625528"/>
      <w:bookmarkStart w:id="212" w:name="_Toc320625803"/>
      <w:bookmarkStart w:id="213" w:name="_Toc320697843"/>
      <w:bookmarkStart w:id="214" w:name="_Toc327448484"/>
      <w:bookmarkStart w:id="215" w:name="_Toc327450576"/>
      <w:r>
        <w:rPr>
          <w:rStyle w:val="CharDivNo"/>
        </w:rPr>
        <w:t>Division 1</w:t>
      </w:r>
      <w:r>
        <w:t> — </w:t>
      </w:r>
      <w:r>
        <w:rPr>
          <w:rStyle w:val="CharDivText"/>
        </w:rPr>
        <w:t>General</w:t>
      </w:r>
      <w:bookmarkEnd w:id="210"/>
      <w:bookmarkEnd w:id="211"/>
      <w:bookmarkEnd w:id="212"/>
      <w:bookmarkEnd w:id="213"/>
      <w:bookmarkEnd w:id="214"/>
      <w:bookmarkEnd w:id="215"/>
    </w:p>
    <w:p>
      <w:pPr>
        <w:pStyle w:val="Heading5"/>
      </w:pPr>
      <w:bookmarkStart w:id="216" w:name="_Toc320625165"/>
      <w:bookmarkStart w:id="217" w:name="_Toc327450577"/>
      <w:r>
        <w:rPr>
          <w:rStyle w:val="CharSectno"/>
        </w:rPr>
        <w:t>46</w:t>
      </w:r>
      <w:r>
        <w:t>.</w:t>
      </w:r>
      <w:r>
        <w:tab/>
        <w:t>Building standards to apply to relocated buildings and incidental structures</w:t>
      </w:r>
      <w:bookmarkEnd w:id="216"/>
      <w:bookmarkEnd w:id="217"/>
    </w:p>
    <w:p>
      <w:pPr>
        <w:pStyle w:val="Subsection"/>
      </w:pPr>
      <w:r>
        <w:tab/>
      </w:r>
      <w:r>
        <w:tab/>
        <w:t xml:space="preserve">If an existing building or incidental structure is relocated, the building or incidental structure, when reassembled or secured at the new location, must comply with — </w:t>
      </w:r>
    </w:p>
    <w:p>
      <w:pPr>
        <w:pStyle w:val="Indenta"/>
      </w:pPr>
      <w:r>
        <w:tab/>
        <w:t>(a)</w:t>
      </w:r>
      <w:r>
        <w:tab/>
        <w:t>the building standards referred to in regulation 7(5); and</w:t>
      </w:r>
    </w:p>
    <w:p>
      <w:pPr>
        <w:pStyle w:val="Indenta"/>
      </w:pPr>
      <w:r>
        <w:tab/>
        <w:t>(b)</w:t>
      </w:r>
      <w:r>
        <w:tab/>
        <w:t>to the extent that there is not a building standard referred to in regulation 7(5) that is relevant — the requirements of the written law applicable at the time of its construction.</w:t>
      </w:r>
    </w:p>
    <w:p>
      <w:pPr>
        <w:pStyle w:val="Heading5"/>
      </w:pPr>
      <w:bookmarkStart w:id="218" w:name="_Toc320625166"/>
      <w:bookmarkStart w:id="219" w:name="_Toc327450578"/>
      <w:r>
        <w:rPr>
          <w:rStyle w:val="CharSectno"/>
        </w:rPr>
        <w:t>47</w:t>
      </w:r>
      <w:r>
        <w:t>.</w:t>
      </w:r>
      <w:r>
        <w:tab/>
        <w:t>Notification of change of classification of certain buildings and incidental structures</w:t>
      </w:r>
      <w:bookmarkEnd w:id="218"/>
      <w:bookmarkEnd w:id="219"/>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48"/>
        <w:gridCol w:w="2268"/>
        <w:gridCol w:w="2409"/>
      </w:tblGrid>
      <w:tr>
        <w:trPr>
          <w:tblHeader/>
        </w:trPr>
        <w:tc>
          <w:tcPr>
            <w:tcW w:w="1248" w:type="dxa"/>
          </w:tcPr>
          <w:p>
            <w:pPr>
              <w:pStyle w:val="TableNAm"/>
              <w:jc w:val="center"/>
              <w:rPr>
                <w:b/>
                <w:bCs/>
              </w:rPr>
            </w:pPr>
            <w:r>
              <w:rPr>
                <w:b/>
                <w:bCs/>
              </w:rPr>
              <w:t>Column 1</w:t>
            </w:r>
          </w:p>
          <w:p>
            <w:pPr>
              <w:pStyle w:val="TableNAm"/>
              <w:jc w:val="center"/>
              <w:rPr>
                <w:b/>
                <w:bCs/>
              </w:rPr>
            </w:pPr>
            <w:r>
              <w:rPr>
                <w:b/>
                <w:bCs/>
              </w:rPr>
              <w:t>Item</w:t>
            </w:r>
          </w:p>
        </w:tc>
        <w:tc>
          <w:tcPr>
            <w:tcW w:w="2268" w:type="dxa"/>
          </w:tcPr>
          <w:p>
            <w:pPr>
              <w:pStyle w:val="TableNAm"/>
              <w:jc w:val="center"/>
              <w:rPr>
                <w:b/>
                <w:bCs/>
              </w:rPr>
            </w:pPr>
            <w:r>
              <w:rPr>
                <w:b/>
                <w:bCs/>
              </w:rPr>
              <w:t>Column 2</w:t>
            </w:r>
          </w:p>
          <w:p>
            <w:pPr>
              <w:pStyle w:val="TableNAm"/>
              <w:jc w:val="center"/>
              <w:rPr>
                <w:b/>
                <w:bCs/>
              </w:rPr>
            </w:pPr>
            <w:r>
              <w:rPr>
                <w:b/>
                <w:bCs/>
              </w:rPr>
              <w:t>Existing classification</w:t>
            </w:r>
          </w:p>
        </w:tc>
        <w:tc>
          <w:tcPr>
            <w:tcW w:w="2409" w:type="dxa"/>
          </w:tcPr>
          <w:p>
            <w:pPr>
              <w:pStyle w:val="TableNAm"/>
              <w:jc w:val="center"/>
              <w:rPr>
                <w:b/>
                <w:bCs/>
              </w:rPr>
            </w:pPr>
            <w:r>
              <w:rPr>
                <w:b/>
                <w:bCs/>
              </w:rPr>
              <w:t>Column 3</w:t>
            </w:r>
          </w:p>
          <w:p>
            <w:pPr>
              <w:pStyle w:val="TableNAm"/>
              <w:jc w:val="center"/>
              <w:rPr>
                <w:b/>
                <w:bCs/>
              </w:rPr>
            </w:pPr>
            <w:r>
              <w:rPr>
                <w:b/>
                <w:bCs/>
              </w:rPr>
              <w:t>Proposed classification</w:t>
            </w:r>
          </w:p>
        </w:tc>
      </w:tr>
      <w:tr>
        <w:tc>
          <w:tcPr>
            <w:tcW w:w="1248" w:type="dxa"/>
          </w:tcPr>
          <w:p>
            <w:pPr>
              <w:pStyle w:val="TableNAm"/>
            </w:pPr>
            <w:r>
              <w:t>1.</w:t>
            </w:r>
          </w:p>
        </w:tc>
        <w:tc>
          <w:tcPr>
            <w:tcW w:w="2268" w:type="dxa"/>
          </w:tcPr>
          <w:p>
            <w:pPr>
              <w:pStyle w:val="TableNAm"/>
            </w:pPr>
            <w:r>
              <w:t>Class 10a</w:t>
            </w:r>
          </w:p>
        </w:tc>
        <w:tc>
          <w:tcPr>
            <w:tcW w:w="2409" w:type="dxa"/>
          </w:tcPr>
          <w:p>
            <w:pPr>
              <w:pStyle w:val="TableNAm"/>
            </w:pPr>
            <w:r>
              <w:t>Class 1</w:t>
            </w:r>
          </w:p>
        </w:tc>
      </w:tr>
      <w:tr>
        <w:tc>
          <w:tcPr>
            <w:tcW w:w="1248" w:type="dxa"/>
          </w:tcPr>
          <w:p>
            <w:pPr>
              <w:pStyle w:val="TableNAm"/>
            </w:pPr>
            <w:r>
              <w:t>2.</w:t>
            </w:r>
          </w:p>
        </w:tc>
        <w:tc>
          <w:tcPr>
            <w:tcW w:w="2268" w:type="dxa"/>
          </w:tcPr>
          <w:p>
            <w:pPr>
              <w:pStyle w:val="TableNAm"/>
            </w:pPr>
            <w:r>
              <w:t>Class 1a</w:t>
            </w:r>
          </w:p>
        </w:tc>
        <w:tc>
          <w:tcPr>
            <w:tcW w:w="2409" w:type="dxa"/>
          </w:tcPr>
          <w:p>
            <w:pPr>
              <w:pStyle w:val="TableNAm"/>
            </w:pPr>
            <w:r>
              <w:t>Class 1b</w:t>
            </w:r>
          </w:p>
        </w:tc>
      </w:tr>
    </w:tbl>
    <w:p>
      <w:pPr>
        <w:pStyle w:val="Penstart"/>
      </w:pPr>
      <w:r>
        <w:tab/>
        <w:t>Penalty: a fine of $5 000.</w:t>
      </w:r>
    </w:p>
    <w:p>
      <w:pPr>
        <w:pStyle w:val="Subsection"/>
      </w:pPr>
      <w:r>
        <w:tab/>
        <w:t>(2)</w:t>
      </w:r>
      <w:r>
        <w:tab/>
        <w:t>The written notice must include or be accompanied by evidence that the building or incidental structure complies with the building standards applicable to the proposed classification of the building or incidental structure.</w:t>
      </w:r>
    </w:p>
    <w:p>
      <w:pPr>
        <w:pStyle w:val="Heading3"/>
      </w:pPr>
      <w:bookmarkStart w:id="220" w:name="_Toc320625167"/>
      <w:bookmarkStart w:id="221" w:name="_Toc320625531"/>
      <w:bookmarkStart w:id="222" w:name="_Toc320625806"/>
      <w:bookmarkStart w:id="223" w:name="_Toc320697846"/>
      <w:bookmarkStart w:id="224" w:name="_Toc327448487"/>
      <w:bookmarkStart w:id="225" w:name="_Toc327450579"/>
      <w:r>
        <w:rPr>
          <w:rStyle w:val="CharDivNo"/>
        </w:rPr>
        <w:t>Division 2</w:t>
      </w:r>
      <w:r>
        <w:t> — </w:t>
      </w:r>
      <w:r>
        <w:rPr>
          <w:rStyle w:val="CharDivText"/>
        </w:rPr>
        <w:t>Private swimming pools</w:t>
      </w:r>
      <w:bookmarkEnd w:id="220"/>
      <w:bookmarkEnd w:id="221"/>
      <w:bookmarkEnd w:id="222"/>
      <w:bookmarkEnd w:id="223"/>
      <w:bookmarkEnd w:id="224"/>
      <w:bookmarkEnd w:id="225"/>
    </w:p>
    <w:p>
      <w:pPr>
        <w:pStyle w:val="Heading5"/>
      </w:pPr>
      <w:bookmarkStart w:id="226" w:name="_Toc320625168"/>
      <w:bookmarkStart w:id="227" w:name="_Toc327450580"/>
      <w:r>
        <w:rPr>
          <w:rStyle w:val="CharSectno"/>
        </w:rPr>
        <w:t>48</w:t>
      </w:r>
      <w:r>
        <w:t>.</w:t>
      </w:r>
      <w:r>
        <w:tab/>
        <w:t>Terms used</w:t>
      </w:r>
      <w:bookmarkEnd w:id="226"/>
      <w:bookmarkEnd w:id="227"/>
    </w:p>
    <w:p>
      <w:pPr>
        <w:pStyle w:val="Subsection"/>
      </w:pPr>
      <w:r>
        <w:tab/>
      </w:r>
      <w:r>
        <w:tab/>
        <w:t>In this Division —</w:t>
      </w:r>
    </w:p>
    <w:p>
      <w:pPr>
        <w:pStyle w:val="Defstart"/>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228" w:name="_Toc320625169"/>
      <w:bookmarkStart w:id="229" w:name="_Toc327450581"/>
      <w:r>
        <w:rPr>
          <w:rStyle w:val="CharSectno"/>
        </w:rPr>
        <w:t>49</w:t>
      </w:r>
      <w:r>
        <w:t>.</w:t>
      </w:r>
      <w:r>
        <w:tab/>
        <w:t>Application of this Division</w:t>
      </w:r>
      <w:bookmarkEnd w:id="228"/>
      <w:bookmarkEnd w:id="229"/>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230" w:name="_Toc320625170"/>
      <w:bookmarkStart w:id="231" w:name="_Toc327450582"/>
      <w:r>
        <w:rPr>
          <w:rStyle w:val="CharSectno"/>
        </w:rPr>
        <w:t>50</w:t>
      </w:r>
      <w:r>
        <w:t>.</w:t>
      </w:r>
      <w:r>
        <w:tab/>
        <w:t>Enclosure of private swimming pool</w:t>
      </w:r>
      <w:bookmarkEnd w:id="230"/>
      <w:bookmarkEnd w:id="231"/>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 1926.1.</w:t>
      </w:r>
    </w:p>
    <w:p>
      <w:pPr>
        <w:pStyle w:val="Subsection"/>
      </w:pPr>
      <w:r>
        <w:tab/>
        <w:t>(4)</w:t>
      </w:r>
      <w:r>
        <w:tab/>
        <w:t xml:space="preserve">An enclosure is suitable for the purposes of subregulation (1) if — </w:t>
      </w:r>
    </w:p>
    <w:p>
      <w:pPr>
        <w:pStyle w:val="Indenta"/>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232" w:name="_Toc320625171"/>
      <w:bookmarkStart w:id="233" w:name="_Toc327450583"/>
      <w:r>
        <w:rPr>
          <w:rStyle w:val="CharSectno"/>
        </w:rPr>
        <w:t>51</w:t>
      </w:r>
      <w:r>
        <w:t>.</w:t>
      </w:r>
      <w:r>
        <w:tab/>
        <w:t>Approvals by permit authority</w:t>
      </w:r>
      <w:bookmarkEnd w:id="232"/>
      <w:bookmarkEnd w:id="233"/>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pPr>
      <w:r>
        <w:tab/>
        <w:t>(4)</w:t>
      </w:r>
      <w:r>
        <w:tab/>
        <w:t>In deciding whether to give approval under subregulation (3) a permit authority is required to have regard to whether or not a young child resides at the premises.</w:t>
      </w:r>
    </w:p>
    <w:p>
      <w:pPr>
        <w:pStyle w:val="Heading5"/>
      </w:pPr>
      <w:bookmarkStart w:id="234" w:name="_Toc320625172"/>
      <w:bookmarkStart w:id="235" w:name="_Toc327450584"/>
      <w:r>
        <w:rPr>
          <w:rStyle w:val="CharSectno"/>
        </w:rPr>
        <w:t>52</w:t>
      </w:r>
      <w:r>
        <w:t>.</w:t>
      </w:r>
      <w:r>
        <w:tab/>
        <w:t>Concessions for pre</w:t>
      </w:r>
      <w:r>
        <w:noBreakHyphen/>
        <w:t>November 2001 private swimming pools</w:t>
      </w:r>
      <w:bookmarkEnd w:id="234"/>
      <w:bookmarkEnd w:id="235"/>
    </w:p>
    <w:p>
      <w:pPr>
        <w:pStyle w:val="Subsection"/>
        <w:keepNext/>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pPr>
      <w:r>
        <w:tab/>
        <w:t>(3)</w:t>
      </w:r>
      <w:r>
        <w:tab/>
        <w:t>The enclosure required by regulation 50 may include a wall that contains a door permitting access through a building if that door satisfies the requirements of AS 1926.l.</w:t>
      </w:r>
    </w:p>
    <w:p>
      <w:pPr>
        <w:pStyle w:val="Heading5"/>
      </w:pPr>
      <w:bookmarkStart w:id="236" w:name="_Toc320625173"/>
      <w:bookmarkStart w:id="237" w:name="_Toc327450585"/>
      <w:r>
        <w:rPr>
          <w:rStyle w:val="CharSectno"/>
        </w:rPr>
        <w:t>53</w:t>
      </w:r>
      <w:r>
        <w:t>.</w:t>
      </w:r>
      <w:r>
        <w:tab/>
        <w:t>Inspections of pool enclosures</w:t>
      </w:r>
      <w:bookmarkEnd w:id="236"/>
      <w:bookmarkEnd w:id="237"/>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$55.</w:t>
      </w:r>
    </w:p>
    <w:p>
      <w:pPr>
        <w:pStyle w:val="Footnotesection"/>
      </w:pPr>
      <w:r>
        <w:tab/>
        <w:t>[Regulation 53 amended in Gazette 15 Jun 2012 p. 2515.]</w:t>
      </w:r>
    </w:p>
    <w:p>
      <w:pPr>
        <w:pStyle w:val="Heading5"/>
      </w:pPr>
      <w:bookmarkStart w:id="238" w:name="_Toc320625174"/>
      <w:bookmarkStart w:id="239" w:name="_Toc327450586"/>
      <w:r>
        <w:rPr>
          <w:rStyle w:val="CharSectno"/>
        </w:rPr>
        <w:t>54</w:t>
      </w:r>
      <w:r>
        <w:t>.</w:t>
      </w:r>
      <w:r>
        <w:tab/>
        <w:t>Transitional provisions — persons authorised to carry out inspections of private swimming pools</w:t>
      </w:r>
      <w:bookmarkEnd w:id="238"/>
      <w:bookmarkEnd w:id="239"/>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 xml:space="preserve">For the purposes of section 93(2)(d) any of the following persons is to be taken to be an authorised person in relation to the inspection of private swimming pool enclosures for the period commencing on repeal day and ending on the day that is 5 years after that day — </w:t>
      </w:r>
    </w:p>
    <w:p>
      <w:pPr>
        <w:pStyle w:val="Indenta"/>
      </w:pPr>
      <w:r>
        <w:tab/>
        <w:t>(a)</w:t>
      </w:r>
      <w:r>
        <w:tab/>
        <w:t xml:space="preserve">a person who was an authorised person for the purposes of section 245A of the repealed provisions immediately before repeal day; </w:t>
      </w:r>
    </w:p>
    <w:p>
      <w:pPr>
        <w:pStyle w:val="Indenta"/>
      </w:pPr>
      <w:r>
        <w:tab/>
        <w:t>(b)</w:t>
      </w:r>
      <w:r>
        <w:tab/>
        <w:t>a person with appropriate experience or qualifications authorised by the local government for the purposes of this regulation.</w:t>
      </w:r>
    </w:p>
    <w:p>
      <w:pPr>
        <w:pStyle w:val="Heading3"/>
      </w:pPr>
      <w:bookmarkStart w:id="240" w:name="_Toc320625175"/>
      <w:bookmarkStart w:id="241" w:name="_Toc320625539"/>
      <w:bookmarkStart w:id="242" w:name="_Toc320625814"/>
      <w:bookmarkStart w:id="243" w:name="_Toc320697854"/>
      <w:bookmarkStart w:id="244" w:name="_Toc327448495"/>
      <w:bookmarkStart w:id="245" w:name="_Toc327450587"/>
      <w:r>
        <w:rPr>
          <w:rStyle w:val="CharDivNo"/>
        </w:rPr>
        <w:t>Division 3</w:t>
      </w:r>
      <w:r>
        <w:t> — </w:t>
      </w:r>
      <w:r>
        <w:rPr>
          <w:rStyle w:val="CharDivText"/>
        </w:rPr>
        <w:t>Smoke alarms</w:t>
      </w:r>
      <w:bookmarkEnd w:id="240"/>
      <w:bookmarkEnd w:id="241"/>
      <w:bookmarkEnd w:id="242"/>
      <w:bookmarkEnd w:id="243"/>
      <w:bookmarkEnd w:id="244"/>
      <w:bookmarkEnd w:id="245"/>
    </w:p>
    <w:p>
      <w:pPr>
        <w:pStyle w:val="Heading5"/>
      </w:pPr>
      <w:bookmarkStart w:id="246" w:name="_Toc320625176"/>
      <w:bookmarkStart w:id="247" w:name="_Toc327450588"/>
      <w:r>
        <w:rPr>
          <w:rStyle w:val="CharSectno"/>
        </w:rPr>
        <w:t>55</w:t>
      </w:r>
      <w:r>
        <w:t>.</w:t>
      </w:r>
      <w:r>
        <w:tab/>
        <w:t>Terms used</w:t>
      </w:r>
      <w:bookmarkEnd w:id="246"/>
      <w:bookmarkEnd w:id="247"/>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248" w:name="_Toc320625177"/>
      <w:bookmarkStart w:id="249" w:name="_Toc327450589"/>
      <w:r>
        <w:rPr>
          <w:rStyle w:val="CharSectno"/>
        </w:rPr>
        <w:t>56</w:t>
      </w:r>
      <w:r>
        <w:t>.</w:t>
      </w:r>
      <w:r>
        <w:tab/>
        <w:t>Requirement to have smoke alarms or similar prior to transfer of dwelling</w:t>
      </w:r>
      <w:bookmarkEnd w:id="248"/>
      <w:bookmarkEnd w:id="249"/>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50" w:name="_Toc320625178"/>
      <w:bookmarkStart w:id="251" w:name="_Toc327450590"/>
      <w:r>
        <w:rPr>
          <w:rStyle w:val="CharSectno"/>
        </w:rPr>
        <w:t>57</w:t>
      </w:r>
      <w:r>
        <w:t>.</w:t>
      </w:r>
      <w:r>
        <w:tab/>
        <w:t>New owner must install smoke alarms or similar, and right to recover costs</w:t>
      </w:r>
      <w:bookmarkEnd w:id="250"/>
      <w:bookmarkEnd w:id="251"/>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pPr>
      <w:bookmarkStart w:id="252" w:name="_Toc320625179"/>
      <w:bookmarkStart w:id="253" w:name="_Toc327450591"/>
      <w:r>
        <w:rPr>
          <w:rStyle w:val="CharSectno"/>
        </w:rPr>
        <w:t>58</w:t>
      </w:r>
      <w:r>
        <w:t>.</w:t>
      </w:r>
      <w:r>
        <w:tab/>
        <w:t>Requirement to have smoke alarms or similar prior to tenancy</w:t>
      </w:r>
      <w:bookmarkEnd w:id="252"/>
      <w:bookmarkEnd w:id="253"/>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54" w:name="_Toc320625180"/>
      <w:bookmarkStart w:id="255" w:name="_Toc327450592"/>
      <w:r>
        <w:rPr>
          <w:rStyle w:val="CharSectno"/>
        </w:rPr>
        <w:t>59</w:t>
      </w:r>
      <w:r>
        <w:t>.</w:t>
      </w:r>
      <w:r>
        <w:tab/>
        <w:t>Requirement to have smoke alarms or similar prior to hire of dwelling</w:t>
      </w:r>
      <w:bookmarkEnd w:id="254"/>
      <w:bookmarkEnd w:id="255"/>
    </w:p>
    <w:p>
      <w:pPr>
        <w:pStyle w:val="Subsection"/>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56" w:name="_Toc320625181"/>
      <w:bookmarkStart w:id="257" w:name="_Toc327450593"/>
      <w:r>
        <w:rPr>
          <w:rStyle w:val="CharSectno"/>
        </w:rPr>
        <w:t>60</w:t>
      </w:r>
      <w:r>
        <w:t>.</w:t>
      </w:r>
      <w:r>
        <w:tab/>
        <w:t>Requirements for smoke alarms</w:t>
      </w:r>
      <w:bookmarkEnd w:id="256"/>
      <w:bookmarkEnd w:id="257"/>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Heading5"/>
      </w:pPr>
      <w:bookmarkStart w:id="258" w:name="_Toc320625182"/>
      <w:bookmarkStart w:id="259" w:name="_Toc327450594"/>
      <w:r>
        <w:rPr>
          <w:rStyle w:val="CharSectno"/>
        </w:rPr>
        <w:t>61</w:t>
      </w:r>
      <w:r>
        <w:t>.</w:t>
      </w:r>
      <w:r>
        <w:tab/>
        <w:t>Local government approval of battery powered smoke alarms</w:t>
      </w:r>
      <w:bookmarkEnd w:id="258"/>
      <w:bookmarkEnd w:id="259"/>
    </w:p>
    <w:p>
      <w:pPr>
        <w:pStyle w:val="Subsection"/>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pPr>
      <w:r>
        <w:tab/>
        <w:t>(a)</w:t>
      </w:r>
      <w:r>
        <w:tab/>
        <w:t>a sufficient problem of a structural nature; or</w:t>
      </w:r>
    </w:p>
    <w:p>
      <w:pPr>
        <w:pStyle w:val="Indenta"/>
      </w:pPr>
      <w:r>
        <w:tab/>
        <w:t>(b)</w:t>
      </w:r>
      <w:r>
        <w:tab/>
        <w:t>a sufficient problem of any other nature, the cause of which is not within the control of the owner.</w:t>
      </w:r>
    </w:p>
    <w:p>
      <w:pPr>
        <w:pStyle w:val="Subsection"/>
      </w:pPr>
      <w:r>
        <w:tab/>
        <w:t>(2)</w:t>
      </w:r>
      <w:r>
        <w:tab/>
        <w:t>The local government may give its approval in relation to an alarm that was installed before the approval is to be given.</w:t>
      </w:r>
    </w:p>
    <w:p>
      <w:pPr>
        <w:pStyle w:val="Subsection"/>
      </w:pPr>
      <w:r>
        <w:tab/>
        <w:t>(3)</w:t>
      </w:r>
      <w:r>
        <w:tab/>
        <w:t>An application for approval must be made in the manner and form approved by the local government, and must include or be accompanied by —</w:t>
      </w:r>
    </w:p>
    <w:p>
      <w:pPr>
        <w:pStyle w:val="Indenta"/>
      </w:pPr>
      <w:r>
        <w:tab/>
        <w:t>(a)</w:t>
      </w:r>
      <w:r>
        <w:tab/>
        <w:t>the plans and information required by the local government; and</w:t>
      </w:r>
    </w:p>
    <w:p>
      <w:pPr>
        <w:pStyle w:val="Indenta"/>
      </w:pPr>
      <w:r>
        <w:tab/>
        <w:t>(b)</w:t>
      </w:r>
      <w:r>
        <w:tab/>
        <w:t>the fee set by the local government, which cannot exceed $170.</w:t>
      </w:r>
    </w:p>
    <w:p>
      <w:pPr>
        <w:pStyle w:val="Subsection"/>
      </w:pPr>
      <w:r>
        <w:tab/>
        <w:t>(4)</w:t>
      </w:r>
      <w:r>
        <w:tab/>
        <w:t>The local government is to be taken to have refused approval if it has not made a decision whether to give approval within 35 days after the later of —</w:t>
      </w:r>
    </w:p>
    <w:p>
      <w:pPr>
        <w:pStyle w:val="Indenta"/>
      </w:pPr>
      <w:r>
        <w:tab/>
        <w:t>(a)</w:t>
      </w:r>
      <w:r>
        <w:tab/>
        <w:t>the day on which the person made the application for approval; or</w:t>
      </w:r>
    </w:p>
    <w:p>
      <w:pPr>
        <w:pStyle w:val="Indenta"/>
      </w:pPr>
      <w:r>
        <w:tab/>
        <w:t>(b)</w:t>
      </w:r>
      <w:r>
        <w:tab/>
        <w:t>the day on which the person complied with a, or the latest, request by the local government for further plans or information.</w:t>
      </w:r>
    </w:p>
    <w:p>
      <w:pPr>
        <w:pStyle w:val="Heading5"/>
      </w:pPr>
      <w:bookmarkStart w:id="260" w:name="_Toc320625183"/>
      <w:bookmarkStart w:id="261" w:name="_Toc327450595"/>
      <w:r>
        <w:rPr>
          <w:rStyle w:val="CharSectno"/>
        </w:rPr>
        <w:t>62</w:t>
      </w:r>
      <w:r>
        <w:t>.</w:t>
      </w:r>
      <w:r>
        <w:tab/>
        <w:t>Requirement to maintain certain smoke alarms</w:t>
      </w:r>
      <w:bookmarkEnd w:id="260"/>
      <w:bookmarkEnd w:id="261"/>
    </w:p>
    <w:p>
      <w:pPr>
        <w:pStyle w:val="Subsection"/>
      </w:pPr>
      <w:r>
        <w:tab/>
        <w:t>(1)</w:t>
      </w:r>
      <w:r>
        <w:tab/>
        <w:t>This regulation applies to an owner of a dwelling —</w:t>
      </w:r>
    </w:p>
    <w:p>
      <w:pPr>
        <w:pStyle w:val="Indenta"/>
      </w:pPr>
      <w:r>
        <w:tab/>
        <w:t>(a)</w:t>
      </w:r>
      <w:r>
        <w:tab/>
        <w:t xml:space="preserve">who is also an owner, in relation to the dwelling, within the meaning given in the </w:t>
      </w:r>
      <w:r>
        <w:rPr>
          <w:i/>
        </w:rPr>
        <w:t>Residential Tenancies Act 1987</w:t>
      </w:r>
      <w:r>
        <w:t xml:space="preserve"> section 3; or</w:t>
      </w:r>
    </w:p>
    <w:p>
      <w:pPr>
        <w:pStyle w:val="Indenta"/>
      </w:pPr>
      <w:r>
        <w:tab/>
        <w:t>(b)</w:t>
      </w:r>
      <w:r>
        <w:tab/>
        <w:t>who makes the dwelling available for hire.</w:t>
      </w:r>
    </w:p>
    <w:p>
      <w:pPr>
        <w:pStyle w:val="Subsection"/>
      </w:pPr>
      <w:r>
        <w:tab/>
        <w:t>(2)</w:t>
      </w:r>
      <w:r>
        <w:tab/>
        <w:t>The owner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Heading2"/>
      </w:pPr>
      <w:bookmarkStart w:id="262" w:name="_Toc320625184"/>
      <w:bookmarkStart w:id="263" w:name="_Toc320625548"/>
      <w:bookmarkStart w:id="264" w:name="_Toc320625823"/>
      <w:bookmarkStart w:id="265" w:name="_Toc320697863"/>
      <w:bookmarkStart w:id="266" w:name="_Toc327448504"/>
      <w:bookmarkStart w:id="267" w:name="_Toc327450596"/>
      <w:r>
        <w:rPr>
          <w:rStyle w:val="CharPartNo"/>
        </w:rPr>
        <w:t>Part 9</w:t>
      </w:r>
      <w:r>
        <w:rPr>
          <w:rStyle w:val="CharDivNo"/>
        </w:rPr>
        <w:t> </w:t>
      </w:r>
      <w:r>
        <w:t>—</w:t>
      </w:r>
      <w:r>
        <w:rPr>
          <w:rStyle w:val="CharDivText"/>
        </w:rPr>
        <w:t> </w:t>
      </w:r>
      <w:r>
        <w:rPr>
          <w:rStyle w:val="CharPartText"/>
        </w:rPr>
        <w:t xml:space="preserve">Transitional provisions relating to </w:t>
      </w:r>
      <w:r>
        <w:rPr>
          <w:rStyle w:val="CharPartText"/>
          <w:i/>
        </w:rPr>
        <w:t>Local Government (Miscellaneous Provisions) Act 1960</w:t>
      </w:r>
      <w:bookmarkEnd w:id="262"/>
      <w:bookmarkEnd w:id="263"/>
      <w:bookmarkEnd w:id="264"/>
      <w:bookmarkEnd w:id="265"/>
      <w:bookmarkEnd w:id="266"/>
      <w:bookmarkEnd w:id="267"/>
    </w:p>
    <w:p>
      <w:pPr>
        <w:pStyle w:val="Heading5"/>
        <w:rPr>
          <w:snapToGrid w:val="0"/>
        </w:rPr>
      </w:pPr>
      <w:bookmarkStart w:id="268" w:name="_Toc320625185"/>
      <w:bookmarkStart w:id="269" w:name="_Toc327450597"/>
      <w:r>
        <w:rPr>
          <w:rStyle w:val="CharSectno"/>
        </w:rPr>
        <w:t>63</w:t>
      </w:r>
      <w:r>
        <w:t>.</w:t>
      </w:r>
      <w:r>
        <w:tab/>
      </w:r>
      <w:r>
        <w:rPr>
          <w:snapToGrid w:val="0"/>
        </w:rPr>
        <w:t>Notice to be given before commencing building or demolition work</w:t>
      </w:r>
      <w:bookmarkEnd w:id="268"/>
      <w:bookmarkEnd w:id="269"/>
    </w:p>
    <w:p>
      <w:pPr>
        <w:pStyle w:val="Subsection"/>
        <w:rPr>
          <w:snapToGrid w:val="0"/>
        </w:rPr>
      </w:pPr>
      <w:r>
        <w:tab/>
        <w:t>(1)</w:t>
      </w:r>
      <w:r>
        <w:tab/>
        <w:t>A</w:t>
      </w:r>
      <w:r>
        <w:rPr>
          <w:snapToGrid w:val="0"/>
        </w:rPr>
        <w:t xml:space="preserve"> person who intends to commence any building work or demolition work or do any other thing by which a street, way or other public place in a district may be obstructed or rendered dangerous or inconvenient to persons passing over or near must — </w:t>
      </w:r>
    </w:p>
    <w:p>
      <w:pPr>
        <w:pStyle w:val="Indenta"/>
        <w:rPr>
          <w:snapToGrid w:val="0"/>
        </w:rPr>
      </w:pPr>
      <w:r>
        <w:rPr>
          <w:snapToGrid w:val="0"/>
        </w:rPr>
        <w:tab/>
        <w:t>(a)</w:t>
      </w:r>
      <w:r>
        <w:rPr>
          <w:snapToGrid w:val="0"/>
        </w:rPr>
        <w:tab/>
        <w:t>give written notice to the local government of the district at least 3 days before commencing the work or doing the thing; and</w:t>
      </w:r>
    </w:p>
    <w:p>
      <w:pPr>
        <w:pStyle w:val="Indenta"/>
        <w:rPr>
          <w:snapToGrid w:val="0"/>
        </w:rPr>
      </w:pPr>
      <w:r>
        <w:tab/>
        <w:t>(b)</w:t>
      </w:r>
      <w:r>
        <w:tab/>
      </w:r>
      <w:r>
        <w:rPr>
          <w:snapToGrid w:val="0"/>
        </w:rPr>
        <w:t>put up such hoardings, fences, footway or other protective structures as the local government reasonably requires for the purpose of public safety.</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pPr>
      <w:r>
        <w:tab/>
        <w:t>(2)</w:t>
      </w:r>
      <w:r>
        <w:tab/>
        <w:t>A person who intends to demolish or remove a building in a city, town or townsite must give written notice to the local government for the district in which the building is located at least 7 days before commencing the demolition or removal.</w:t>
      </w:r>
    </w:p>
    <w:p>
      <w:pPr>
        <w:pStyle w:val="Heading5"/>
        <w:rPr>
          <w:snapToGrid w:val="0"/>
        </w:rPr>
      </w:pPr>
      <w:bookmarkStart w:id="270" w:name="_Toc320625186"/>
      <w:bookmarkStart w:id="271" w:name="_Toc327450598"/>
      <w:r>
        <w:rPr>
          <w:rStyle w:val="CharSectno"/>
        </w:rPr>
        <w:t>64</w:t>
      </w:r>
      <w:r>
        <w:t>.</w:t>
      </w:r>
      <w:r>
        <w:tab/>
      </w:r>
      <w:r>
        <w:rPr>
          <w:snapToGrid w:val="0"/>
        </w:rPr>
        <w:t>No materials to be deposited on streets without licence</w:t>
      </w:r>
      <w:bookmarkEnd w:id="270"/>
      <w:bookmarkEnd w:id="271"/>
    </w:p>
    <w:p>
      <w:pPr>
        <w:pStyle w:val="Subsection"/>
        <w:rPr>
          <w:snapToGrid w:val="0"/>
        </w:rPr>
      </w:pPr>
      <w:r>
        <w:tab/>
        <w:t>(1)</w:t>
      </w:r>
      <w:r>
        <w:tab/>
        <w:t>A</w:t>
      </w:r>
      <w:r>
        <w:rPr>
          <w:snapToGrid w:val="0"/>
        </w:rPr>
        <w:t xml:space="preserve"> person must not deposit stones, bricks, lime, rubbish, timber, iron, or other materials on a street, way or other public place, or make an excavation on land abutting or adjoining a street, way or other public place, unless — </w:t>
      </w:r>
    </w:p>
    <w:p>
      <w:pPr>
        <w:pStyle w:val="Indenta"/>
      </w:pPr>
      <w:r>
        <w:tab/>
        <w:t>(a)</w:t>
      </w:r>
      <w:r>
        <w:tab/>
        <w:t>the person is authorised to do so under a written law; or</w:t>
      </w:r>
    </w:p>
    <w:p>
      <w:pPr>
        <w:pStyle w:val="Indenta"/>
      </w:pPr>
      <w:r>
        <w:rPr>
          <w:snapToGrid w:val="0"/>
        </w:rPr>
        <w:tab/>
        <w:t>(b)</w:t>
      </w:r>
      <w:r>
        <w:rPr>
          <w:snapToGrid w:val="0"/>
        </w:rPr>
        <w:tab/>
      </w:r>
      <w:r>
        <w:t xml:space="preserve">the person — </w:t>
      </w:r>
    </w:p>
    <w:p>
      <w:pPr>
        <w:pStyle w:val="Indenti"/>
        <w:rPr>
          <w:snapToGrid w:val="0"/>
        </w:rPr>
      </w:pPr>
      <w:r>
        <w:tab/>
        <w:t>(i)</w:t>
      </w:r>
      <w:r>
        <w:tab/>
      </w:r>
      <w:r>
        <w:rPr>
          <w:snapToGrid w:val="0"/>
        </w:rPr>
        <w:t>does so in accordance with a licence in writing from the local government in whose district the street, way, public place or land is situated; and</w:t>
      </w:r>
    </w:p>
    <w:p>
      <w:pPr>
        <w:pStyle w:val="Indenti"/>
        <w:rPr>
          <w:snapToGrid w:val="0"/>
        </w:rPr>
      </w:pPr>
      <w:r>
        <w:tab/>
        <w:t>(ii)</w:t>
      </w:r>
      <w:r>
        <w:tab/>
      </w:r>
      <w:r>
        <w:rPr>
          <w:snapToGrid w:val="0"/>
        </w:rPr>
        <w:t>in the case of an excavation, has securely fenced off the place where the excavation is to be made from the street, way or other public place.</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pPr>
      <w:r>
        <w:tab/>
        <w:t>(2)</w:t>
      </w:r>
      <w:r>
        <w:tab/>
        <w:t>A licence must set out the purpose for which it is granted.</w:t>
      </w:r>
    </w:p>
    <w:p>
      <w:pPr>
        <w:pStyle w:val="Subsection"/>
      </w:pPr>
      <w:r>
        <w:tab/>
        <w:t>(3)</w:t>
      </w:r>
      <w:r>
        <w:tab/>
        <w:t>The local government may grant a licence subject to such conditions as the local government reasonably requires, including conditions relating to the erection of hoardings, fences, walkways or other protective structures for public safety.</w:t>
      </w:r>
    </w:p>
    <w:p>
      <w:pPr>
        <w:pStyle w:val="Subsection"/>
        <w:rPr>
          <w:snapToGrid w:val="0"/>
        </w:rPr>
      </w:pPr>
      <w:r>
        <w:tab/>
        <w:t>(4)</w:t>
      </w:r>
      <w:r>
        <w:tab/>
      </w:r>
      <w:r>
        <w:rPr>
          <w:snapToGrid w:val="0"/>
        </w:rPr>
        <w:t xml:space="preserve">The local </w:t>
      </w:r>
      <w:r>
        <w:rPr>
          <w:snapToGrid w:val="0"/>
          <w:spacing w:val="-4"/>
        </w:rPr>
        <w:t>government</w:t>
      </w:r>
      <w:r>
        <w:rPr>
          <w:snapToGrid w:val="0"/>
        </w:rPr>
        <w:t xml:space="preserve"> may charge a licence fee of $1 per month or part of a month for each m</w:t>
      </w:r>
      <w:r>
        <w:rPr>
          <w:snapToGrid w:val="0"/>
          <w:vertAlign w:val="superscript"/>
        </w:rPr>
        <w:t>2</w:t>
      </w:r>
      <w:r>
        <w:rPr>
          <w:snapToGrid w:val="0"/>
        </w:rPr>
        <w:t xml:space="preserve"> of the street, way or public place that is enclosed by a hoarding or fence.</w:t>
      </w:r>
    </w:p>
    <w:p>
      <w:pPr>
        <w:pStyle w:val="Subsection"/>
        <w:rPr>
          <w:snapToGrid w:val="0"/>
        </w:rPr>
      </w:pPr>
      <w:r>
        <w:tab/>
        <w:t>(5)</w:t>
      </w:r>
      <w:r>
        <w:tab/>
      </w:r>
      <w:r>
        <w:rPr>
          <w:snapToGrid w:val="0"/>
        </w:rPr>
        <w:t xml:space="preserve">The local government may, before granting the licence, require the </w:t>
      </w:r>
      <w:r>
        <w:rPr>
          <w:snapToGrid w:val="0"/>
          <w:spacing w:val="-4"/>
        </w:rPr>
        <w:t>applicant</w:t>
      </w:r>
      <w:r>
        <w:rPr>
          <w:snapToGrid w:val="0"/>
        </w:rPr>
        <w:t xml:space="preserve"> to deposit with the local government a sum sufficient in the opinion </w:t>
      </w:r>
      <w:r>
        <w:t>of the CEO of the local government</w:t>
      </w:r>
      <w:r>
        <w:rPr>
          <w:snapToGrid w:val="0"/>
        </w:rPr>
        <w:t xml:space="preserve"> to cover the cost of repairing damage caused by the licensee to the street, footpath or kerb, to be retained by the local government until the damage, if any, is made good by the licensee.</w:t>
      </w:r>
    </w:p>
    <w:p>
      <w:pPr>
        <w:pStyle w:val="Subsection"/>
        <w:rPr>
          <w:snapToGrid w:val="0"/>
        </w:rPr>
      </w:pPr>
      <w:r>
        <w:rPr>
          <w:snapToGrid w:val="0"/>
        </w:rPr>
        <w:tab/>
        <w:t>(6)</w:t>
      </w:r>
      <w:r>
        <w:rPr>
          <w:snapToGrid w:val="0"/>
        </w:rPr>
        <w:tab/>
      </w:r>
      <w:r>
        <w:t xml:space="preserve">If </w:t>
      </w:r>
      <w:r>
        <w:rPr>
          <w:snapToGrid w:val="0"/>
        </w:rPr>
        <w:t>the repair work is not done by the licensee within such time as the CEO of the local government thinks reasonable, the local government may do the work and deduct the cost from the deposit or, if the deposit is insufficient to meet the cost, apply the deposit in part payment of the cost, and recover the balance in a court of competent jurisdiction.</w:t>
      </w:r>
    </w:p>
    <w:p>
      <w:pPr>
        <w:pStyle w:val="Subsection"/>
      </w:pPr>
      <w:r>
        <w:tab/>
        <w:t>(7)</w:t>
      </w:r>
      <w:r>
        <w:tab/>
      </w:r>
      <w:r>
        <w:rPr>
          <w:snapToGrid w:val="0"/>
        </w:rPr>
        <w:t xml:space="preserve">If the </w:t>
      </w:r>
      <w:r>
        <w:rPr>
          <w:snapToGrid w:val="0"/>
          <w:spacing w:val="-4"/>
        </w:rPr>
        <w:t>local</w:t>
      </w:r>
      <w:r>
        <w:rPr>
          <w:snapToGrid w:val="0"/>
        </w:rPr>
        <w:t xml:space="preserve"> government refuses to grant the licence or in granting the licence imposes conditions, a person dissatisfied with the refusal or the conditions may</w:t>
      </w:r>
      <w:r>
        <w:t xml:space="preserve"> apply to the State Administrative Tribunal for a review of the decision with which the person is dissatisfied.</w:t>
      </w:r>
    </w:p>
    <w:p>
      <w:pPr>
        <w:pStyle w:val="Subsection"/>
        <w:rPr>
          <w:snapToGrid w:val="0"/>
        </w:rPr>
      </w:pPr>
      <w:r>
        <w:tab/>
        <w:t>(8)</w:t>
      </w:r>
      <w:r>
        <w:tab/>
      </w:r>
      <w:r>
        <w:rPr>
          <w:snapToGrid w:val="0"/>
        </w:rPr>
        <w:t>A person who, in accordance with a licence, erects a hoarding, fence, walkway or other protective structure must keep and maintain it in good condition, to the satisfaction of the CEO of the local government, during such time as the CEO thinks necessary for the public safety and convenience.</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rPr>
          <w:snapToGrid w:val="0"/>
        </w:rPr>
      </w:pPr>
      <w:r>
        <w:tab/>
        <w:t>(9)</w:t>
      </w:r>
      <w:r>
        <w:tab/>
        <w:t>A person who, in connection with an excavation, erects a</w:t>
      </w:r>
      <w:r>
        <w:rPr>
          <w:snapToGrid w:val="0"/>
        </w:rPr>
        <w:t xml:space="preserve"> hoarding, fence or other obstruction in a street, way or other public place must —</w:t>
      </w:r>
    </w:p>
    <w:p>
      <w:pPr>
        <w:pStyle w:val="Indenta"/>
        <w:rPr>
          <w:snapToGrid w:val="0"/>
        </w:rPr>
      </w:pPr>
      <w:r>
        <w:tab/>
        <w:t>(a)</w:t>
      </w:r>
      <w:r>
        <w:tab/>
      </w:r>
      <w:r>
        <w:rPr>
          <w:snapToGrid w:val="0"/>
        </w:rPr>
        <w:t>cause it to be sufficiently lighted every night from sunset to sunrise to prevent mishaps; and</w:t>
      </w:r>
    </w:p>
    <w:p>
      <w:pPr>
        <w:pStyle w:val="Indenta"/>
        <w:rPr>
          <w:snapToGrid w:val="0"/>
        </w:rPr>
      </w:pPr>
      <w:r>
        <w:tab/>
        <w:t>(b)</w:t>
      </w:r>
      <w:r>
        <w:tab/>
      </w:r>
      <w:r>
        <w:rPr>
          <w:snapToGrid w:val="0"/>
        </w:rPr>
        <w:t xml:space="preserve">within a reasonable time after being required in writing to do so by the local government — </w:t>
      </w:r>
    </w:p>
    <w:p>
      <w:pPr>
        <w:pStyle w:val="Indenti"/>
        <w:rPr>
          <w:snapToGrid w:val="0"/>
        </w:rPr>
      </w:pPr>
      <w:r>
        <w:rPr>
          <w:snapToGrid w:val="0"/>
        </w:rPr>
        <w:tab/>
        <w:t>(i)</w:t>
      </w:r>
      <w:r>
        <w:rPr>
          <w:snapToGrid w:val="0"/>
        </w:rPr>
        <w:tab/>
      </w:r>
      <w:r>
        <w:t>remove the hoarding, fence or other obstruction</w:t>
      </w:r>
      <w:r>
        <w:rPr>
          <w:snapToGrid w:val="0"/>
        </w:rPr>
        <w:t>; and</w:t>
      </w:r>
    </w:p>
    <w:p>
      <w:pPr>
        <w:pStyle w:val="Indenti"/>
      </w:pPr>
      <w:r>
        <w:tab/>
        <w:t>(ii)</w:t>
      </w:r>
      <w:r>
        <w:tab/>
        <w:t>fill in the excavation; and</w:t>
      </w:r>
    </w:p>
    <w:p>
      <w:pPr>
        <w:pStyle w:val="Indenti"/>
      </w:pPr>
      <w:r>
        <w:tab/>
        <w:t>(iii)</w:t>
      </w:r>
      <w:r>
        <w:tab/>
        <w:t>repair any damage that the person has done to the street, footpath or kerb.</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Heading5"/>
        <w:rPr>
          <w:snapToGrid w:val="0"/>
        </w:rPr>
      </w:pPr>
      <w:bookmarkStart w:id="272" w:name="_Toc320625187"/>
      <w:bookmarkStart w:id="273" w:name="_Toc327450599"/>
      <w:r>
        <w:rPr>
          <w:rStyle w:val="CharSectno"/>
        </w:rPr>
        <w:t>65</w:t>
      </w:r>
      <w:r>
        <w:t>.</w:t>
      </w:r>
      <w:r>
        <w:tab/>
      </w:r>
      <w:r>
        <w:rPr>
          <w:snapToGrid w:val="0"/>
        </w:rPr>
        <w:t>Hoardings erected and materials deposited otherwise than as permitted by licence may be removed</w:t>
      </w:r>
      <w:bookmarkEnd w:id="272"/>
      <w:bookmarkEnd w:id="273"/>
      <w:r>
        <w:rPr>
          <w:snapToGrid w:val="0"/>
        </w:rPr>
        <w:t xml:space="preserve"> </w:t>
      </w:r>
    </w:p>
    <w:p>
      <w:pPr>
        <w:pStyle w:val="Subsection"/>
        <w:rPr>
          <w:snapToGrid w:val="0"/>
        </w:rPr>
      </w:pPr>
      <w:r>
        <w:tab/>
      </w:r>
      <w:r>
        <w:tab/>
        <w:t>If</w:t>
      </w:r>
      <w:r>
        <w:rPr>
          <w:snapToGrid w:val="0"/>
        </w:rPr>
        <w:t xml:space="preserve"> a person —</w:t>
      </w:r>
    </w:p>
    <w:p>
      <w:pPr>
        <w:pStyle w:val="Indenta"/>
        <w:rPr>
          <w:snapToGrid w:val="0"/>
        </w:rPr>
      </w:pPr>
      <w:r>
        <w:tab/>
        <w:t>(a)</w:t>
      </w:r>
      <w:r>
        <w:tab/>
      </w:r>
      <w:r>
        <w:rPr>
          <w:snapToGrid w:val="0"/>
        </w:rPr>
        <w:t>erects or sets up in or on a street, way or other public place in a district, a hoarding, fence, scaffold or enclosure; or</w:t>
      </w:r>
    </w:p>
    <w:p>
      <w:pPr>
        <w:pStyle w:val="Indenta"/>
        <w:rPr>
          <w:snapToGrid w:val="0"/>
        </w:rPr>
      </w:pPr>
      <w:r>
        <w:tab/>
        <w:t>(b)</w:t>
      </w:r>
      <w:r>
        <w:tab/>
      </w:r>
      <w:r>
        <w:rPr>
          <w:snapToGrid w:val="0"/>
        </w:rPr>
        <w:t>makes an excavation on land abutting or adjoining a street, way or other public place except where the excavation is securely fenced off from the street, way or other public place; or</w:t>
      </w:r>
    </w:p>
    <w:p>
      <w:pPr>
        <w:pStyle w:val="Indenta"/>
        <w:keepNext/>
        <w:rPr>
          <w:snapToGrid w:val="0"/>
        </w:rPr>
      </w:pPr>
      <w:r>
        <w:tab/>
        <w:t>(c)</w:t>
      </w:r>
      <w:r>
        <w:tab/>
      </w:r>
      <w:r>
        <w:rPr>
          <w:snapToGrid w:val="0"/>
        </w:rPr>
        <w:t>deposits stone, bricks, lime, rubbish, timber, iron, or other materials in or on a street, way or other public place —</w:t>
      </w:r>
    </w:p>
    <w:p>
      <w:pPr>
        <w:pStyle w:val="Indenti"/>
        <w:rPr>
          <w:snapToGrid w:val="0"/>
        </w:rPr>
      </w:pPr>
      <w:r>
        <w:tab/>
        <w:t>(i)</w:t>
      </w:r>
      <w:r>
        <w:tab/>
      </w:r>
      <w:r>
        <w:rPr>
          <w:snapToGrid w:val="0"/>
        </w:rPr>
        <w:t>without a licence from the local government; or</w:t>
      </w:r>
    </w:p>
    <w:p>
      <w:pPr>
        <w:pStyle w:val="Indenti"/>
        <w:rPr>
          <w:snapToGrid w:val="0"/>
        </w:rPr>
      </w:pPr>
      <w:r>
        <w:tab/>
        <w:t>(ii)</w:t>
      </w:r>
      <w:r>
        <w:tab/>
        <w:t>h</w:t>
      </w:r>
      <w:r>
        <w:rPr>
          <w:snapToGrid w:val="0"/>
        </w:rPr>
        <w:t xml:space="preserve">aving obtained a licence — </w:t>
      </w:r>
    </w:p>
    <w:p>
      <w:pPr>
        <w:pStyle w:val="IndentI0"/>
        <w:rPr>
          <w:snapToGrid w:val="0"/>
        </w:rPr>
      </w:pPr>
      <w:r>
        <w:rPr>
          <w:snapToGrid w:val="0"/>
        </w:rPr>
        <w:tab/>
        <w:t>(I)</w:t>
      </w:r>
      <w:r>
        <w:rPr>
          <w:snapToGrid w:val="0"/>
        </w:rPr>
        <w:tab/>
        <w:t>does so otherwise than in accordance with the licence; or</w:t>
      </w:r>
    </w:p>
    <w:p>
      <w:pPr>
        <w:pStyle w:val="IndentI0"/>
        <w:rPr>
          <w:snapToGrid w:val="0"/>
        </w:rPr>
      </w:pPr>
      <w:r>
        <w:tab/>
        <w:t>(II)</w:t>
      </w:r>
      <w:r>
        <w:tab/>
      </w:r>
      <w:r>
        <w:rPr>
          <w:snapToGrid w:val="0"/>
        </w:rPr>
        <w:t xml:space="preserve">permits any of those things to remain beyond the time stated in the licence; </w:t>
      </w:r>
    </w:p>
    <w:p>
      <w:pPr>
        <w:pStyle w:val="Indenta"/>
        <w:rPr>
          <w:snapToGrid w:val="0"/>
        </w:rPr>
      </w:pPr>
      <w:r>
        <w:rPr>
          <w:snapToGrid w:val="0"/>
        </w:rPr>
        <w:tab/>
      </w:r>
      <w:r>
        <w:rPr>
          <w:snapToGrid w:val="0"/>
        </w:rPr>
        <w:tab/>
        <w:t>or</w:t>
      </w:r>
    </w:p>
    <w:p>
      <w:pPr>
        <w:pStyle w:val="Indenta"/>
        <w:rPr>
          <w:snapToGrid w:val="0"/>
        </w:rPr>
      </w:pPr>
      <w:r>
        <w:tab/>
        <w:t>(d)</w:t>
      </w:r>
      <w:r>
        <w:tab/>
      </w:r>
      <w:r>
        <w:rPr>
          <w:snapToGrid w:val="0"/>
        </w:rPr>
        <w:t>fails to keep a hoarding, fence or other protective structure in good repair,</w:t>
      </w:r>
    </w:p>
    <w:p>
      <w:pPr>
        <w:pStyle w:val="Subsection"/>
        <w:rPr>
          <w:snapToGrid w:val="0"/>
        </w:rPr>
      </w:pPr>
      <w:r>
        <w:rPr>
          <w:snapToGrid w:val="0"/>
        </w:rPr>
        <w:tab/>
      </w:r>
      <w:r>
        <w:rPr>
          <w:snapToGrid w:val="0"/>
        </w:rPr>
        <w:tab/>
        <w:t xml:space="preserve">the local government may do any of the following — </w:t>
      </w:r>
    </w:p>
    <w:p>
      <w:pPr>
        <w:pStyle w:val="Indenta"/>
        <w:rPr>
          <w:snapToGrid w:val="0"/>
        </w:rPr>
      </w:pPr>
      <w:r>
        <w:rPr>
          <w:snapToGrid w:val="0"/>
        </w:rPr>
        <w:tab/>
        <w:t>(e)</w:t>
      </w:r>
      <w:r>
        <w:rPr>
          <w:snapToGrid w:val="0"/>
        </w:rPr>
        <w:tab/>
        <w:t xml:space="preserve">fill in the excavation; </w:t>
      </w:r>
    </w:p>
    <w:p>
      <w:pPr>
        <w:pStyle w:val="Indenta"/>
        <w:rPr>
          <w:snapToGrid w:val="0"/>
        </w:rPr>
      </w:pPr>
      <w:r>
        <w:rPr>
          <w:snapToGrid w:val="0"/>
        </w:rPr>
        <w:tab/>
        <w:t>(f)</w:t>
      </w:r>
      <w:r>
        <w:rPr>
          <w:snapToGrid w:val="0"/>
        </w:rPr>
        <w:tab/>
        <w:t>pull down the hoarding, fence, scaffold or enclosure;</w:t>
      </w:r>
    </w:p>
    <w:p>
      <w:pPr>
        <w:pStyle w:val="Indenta"/>
        <w:rPr>
          <w:snapToGrid w:val="0"/>
        </w:rPr>
      </w:pPr>
      <w:r>
        <w:rPr>
          <w:snapToGrid w:val="0"/>
        </w:rPr>
        <w:tab/>
        <w:t>(g)</w:t>
      </w:r>
      <w:r>
        <w:rPr>
          <w:snapToGrid w:val="0"/>
        </w:rPr>
        <w:tab/>
        <w:t>remove the materials comprising a hoarding, fence, scaffold or enclosure or any stone, bricks, mortar, lime, or other building materials contained within the enclosure or deposited in or on the street, way or other public place and deposit the materials in such place as the local government thinks fit;</w:t>
      </w:r>
    </w:p>
    <w:p>
      <w:pPr>
        <w:pStyle w:val="Indenta"/>
        <w:rPr>
          <w:snapToGrid w:val="0"/>
        </w:rPr>
      </w:pPr>
      <w:r>
        <w:rPr>
          <w:snapToGrid w:val="0"/>
        </w:rPr>
        <w:tab/>
        <w:t>(h)</w:t>
      </w:r>
      <w:r>
        <w:rPr>
          <w:snapToGrid w:val="0"/>
        </w:rPr>
        <w:tab/>
        <w:t>by written notice served on the person require the person to pay to the local government the</w:t>
      </w:r>
      <w:r>
        <w:t xml:space="preserve"> expenses of doing any of the things referred to in paragraphs (e) to (g) and recover the expenses in a court of competent jurisdiction</w:t>
      </w:r>
      <w:r>
        <w:rPr>
          <w:snapToGrid w:val="0"/>
        </w:rPr>
        <w:t>.</w:t>
      </w:r>
    </w:p>
    <w:p>
      <w:pPr>
        <w:pStyle w:val="Heading5"/>
        <w:rPr>
          <w:snapToGrid w:val="0"/>
        </w:rPr>
      </w:pPr>
      <w:bookmarkStart w:id="274" w:name="_Toc320625188"/>
      <w:bookmarkStart w:id="275" w:name="_Toc327450600"/>
      <w:r>
        <w:rPr>
          <w:rStyle w:val="CharSectno"/>
        </w:rPr>
        <w:t>66</w:t>
      </w:r>
      <w:r>
        <w:t>.</w:t>
      </w:r>
      <w:r>
        <w:tab/>
      </w:r>
      <w:r>
        <w:rPr>
          <w:snapToGrid w:val="0"/>
        </w:rPr>
        <w:t>Damage done to footpaths, drains etc. to be made good</w:t>
      </w:r>
      <w:bookmarkEnd w:id="274"/>
      <w:bookmarkEnd w:id="275"/>
    </w:p>
    <w:p>
      <w:pPr>
        <w:pStyle w:val="Subsection"/>
        <w:rPr>
          <w:snapToGrid w:val="0"/>
        </w:rPr>
      </w:pPr>
      <w:r>
        <w:tab/>
        <w:t>(1)</w:t>
      </w:r>
      <w:r>
        <w:tab/>
      </w:r>
      <w:r>
        <w:rPr>
          <w:snapToGrid w:val="0"/>
        </w:rPr>
        <w:t>A person who, in erecting or setting up in a street, way or other public place in a district, a hoarding, fence, or scaffolding, damages a footpath or roadway of the street, way or other public place, or a kerb, water</w:t>
      </w:r>
      <w:r>
        <w:rPr>
          <w:snapToGrid w:val="0"/>
        </w:rPr>
        <w:noBreakHyphen/>
        <w:t xml:space="preserve">table or drain, must make good the damage to the satisfaction of the CEO of the </w:t>
      </w:r>
      <w:r>
        <w:t>local government</w:t>
      </w:r>
      <w:r>
        <w:rPr>
          <w:snapToGrid w:val="0"/>
        </w:rPr>
        <w:t xml:space="preserve"> for that district.</w:t>
      </w:r>
    </w:p>
    <w:p>
      <w:pPr>
        <w:pStyle w:val="Subsection"/>
        <w:rPr>
          <w:snapToGrid w:val="0"/>
        </w:rPr>
      </w:pPr>
      <w:r>
        <w:tab/>
        <w:t>(2)</w:t>
      </w:r>
      <w:r>
        <w:tab/>
      </w:r>
      <w:r>
        <w:rPr>
          <w:snapToGrid w:val="0"/>
        </w:rPr>
        <w:t>If the person who owns or erects the hoarding, fence or scaffold does not, to the satisfaction of the CEO, make good and repair the footpath, roadway, kerb, water</w:t>
      </w:r>
      <w:r>
        <w:rPr>
          <w:snapToGrid w:val="0"/>
        </w:rPr>
        <w:noBreakHyphen/>
        <w:t xml:space="preserve">table or drain, the local government may — </w:t>
      </w:r>
    </w:p>
    <w:p>
      <w:pPr>
        <w:pStyle w:val="Indenta"/>
        <w:rPr>
          <w:snapToGrid w:val="0"/>
        </w:rPr>
      </w:pPr>
      <w:r>
        <w:rPr>
          <w:snapToGrid w:val="0"/>
        </w:rPr>
        <w:tab/>
        <w:t>(a)</w:t>
      </w:r>
      <w:r>
        <w:rPr>
          <w:snapToGrid w:val="0"/>
        </w:rPr>
        <w:tab/>
        <w:t xml:space="preserve">cause the repairs and reinstatement to be done; and </w:t>
      </w:r>
    </w:p>
    <w:p>
      <w:pPr>
        <w:pStyle w:val="Indenta"/>
        <w:rPr>
          <w:snapToGrid w:val="0"/>
        </w:rPr>
      </w:pPr>
      <w:r>
        <w:rPr>
          <w:snapToGrid w:val="0"/>
        </w:rPr>
        <w:tab/>
        <w:t>(b)</w:t>
      </w:r>
      <w:r>
        <w:rPr>
          <w:snapToGrid w:val="0"/>
        </w:rPr>
        <w:tab/>
        <w:t>by written notice served on the person require the person to pay to the local government the expenses of doing so, together with such further costs, charges and expenses, if any, as are incurred by reason of the omission, and may recover the expenses, costs and charges in a court of competent jurisdiction.</w:t>
      </w:r>
    </w:p>
    <w:p>
      <w:pPr>
        <w:pStyle w:val="Heading5"/>
        <w:rPr>
          <w:snapToGrid w:val="0"/>
        </w:rPr>
      </w:pPr>
      <w:bookmarkStart w:id="276" w:name="_Toc320625189"/>
      <w:bookmarkStart w:id="277" w:name="_Toc327450601"/>
      <w:r>
        <w:rPr>
          <w:rStyle w:val="CharSectno"/>
        </w:rPr>
        <w:t>67</w:t>
      </w:r>
      <w:r>
        <w:t>.</w:t>
      </w:r>
      <w:r>
        <w:tab/>
      </w:r>
      <w:r>
        <w:rPr>
          <w:snapToGrid w:val="0"/>
        </w:rPr>
        <w:t>While building is in progress footpath to be covered</w:t>
      </w:r>
      <w:bookmarkEnd w:id="276"/>
      <w:bookmarkEnd w:id="277"/>
    </w:p>
    <w:p>
      <w:pPr>
        <w:pStyle w:val="Subsection"/>
      </w:pPr>
      <w:r>
        <w:tab/>
        <w:t>(1)</w:t>
      </w:r>
      <w:r>
        <w:tab/>
        <w:t xml:space="preserve">A local government may, by written notice served on a person, require the person to cover a footpath to prevent inconvenience to the public or danger from falling materials during any period in which the person — </w:t>
      </w:r>
    </w:p>
    <w:p>
      <w:pPr>
        <w:pStyle w:val="Indenta"/>
        <w:rPr>
          <w:snapToGrid w:val="0"/>
        </w:rPr>
      </w:pPr>
      <w:r>
        <w:tab/>
        <w:t>(a)</w:t>
      </w:r>
      <w:r>
        <w:tab/>
      </w:r>
      <w:r>
        <w:rPr>
          <w:snapToGrid w:val="0"/>
        </w:rPr>
        <w:t xml:space="preserve">erects in a district the ground floor of a building abutting a footpath of a street, way or other public place; or </w:t>
      </w:r>
    </w:p>
    <w:p>
      <w:pPr>
        <w:pStyle w:val="Indenta"/>
        <w:rPr>
          <w:snapToGrid w:val="0"/>
        </w:rPr>
      </w:pPr>
      <w:r>
        <w:rPr>
          <w:snapToGrid w:val="0"/>
        </w:rPr>
        <w:tab/>
        <w:t>(b)</w:t>
      </w:r>
      <w:r>
        <w:rPr>
          <w:snapToGrid w:val="0"/>
        </w:rPr>
        <w:tab/>
      </w:r>
      <w:r>
        <w:t>carries out p</w:t>
      </w:r>
      <w:r>
        <w:rPr>
          <w:snapToGrid w:val="0"/>
        </w:rPr>
        <w:t>lastering, painting or decorating operations above the ground floor of a building abutting a footpath of a street, way or other public place.</w:t>
      </w:r>
    </w:p>
    <w:p>
      <w:pPr>
        <w:pStyle w:val="Subsection"/>
        <w:rPr>
          <w:snapToGrid w:val="0"/>
        </w:rPr>
      </w:pPr>
      <w:r>
        <w:tab/>
        <w:t>(2)</w:t>
      </w:r>
      <w:r>
        <w:tab/>
      </w:r>
      <w:r>
        <w:rPr>
          <w:snapToGrid w:val="0"/>
        </w:rPr>
        <w:t>A person must comply with a notice under subregulation (1).</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rPr>
          <w:snapToGrid w:val="0"/>
        </w:rPr>
      </w:pPr>
      <w:r>
        <w:tab/>
        <w:t>(3)</w:t>
      </w:r>
      <w:r>
        <w:tab/>
      </w:r>
      <w:r>
        <w:rPr>
          <w:snapToGrid w:val="0"/>
        </w:rPr>
        <w:t>A person who is dissatisfied with the requisition of the local government may apply to the State Administrative Tribunal for a review of the decision to make the requisition.</w:t>
      </w:r>
    </w:p>
    <w:p>
      <w:pPr>
        <w:pStyle w:val="Heading5"/>
      </w:pPr>
      <w:bookmarkStart w:id="278" w:name="_Toc320625190"/>
      <w:bookmarkStart w:id="279" w:name="_Toc327450602"/>
      <w:r>
        <w:rPr>
          <w:rStyle w:val="CharSectno"/>
        </w:rPr>
        <w:t>68</w:t>
      </w:r>
      <w:r>
        <w:t>.</w:t>
      </w:r>
      <w:r>
        <w:tab/>
        <w:t>Expiry of Part</w:t>
      </w:r>
      <w:bookmarkEnd w:id="278"/>
      <w:bookmarkEnd w:id="279"/>
    </w:p>
    <w:p>
      <w:pPr>
        <w:pStyle w:val="Subsection"/>
      </w:pPr>
      <w:r>
        <w:tab/>
      </w:r>
      <w:r>
        <w:tab/>
        <w:t>This Part expires on the day that is one year after the day on which the rest of these regulations come into operation under regulation 2(b).</w:t>
      </w:r>
    </w:p>
    <w:p>
      <w:pPr>
        <w:pStyle w:val="ByCommand"/>
        <w:sectPr>
          <w:headerReference w:type="even" r:id="rId19"/>
          <w:headerReference w:type="default" r:id="rId20"/>
          <w:footerReference w:type="even" r:id="rId21"/>
          <w:footerReference w:type="default" r:id="rId22"/>
          <w:footerReference w:type="first" r:id="rId23"/>
          <w:endnotePr>
            <w:numFmt w:val="decimal"/>
          </w:endnotePr>
          <w:pgSz w:w="11906" w:h="16838" w:code="9"/>
          <w:pgMar w:top="2381" w:right="2410" w:bottom="3544" w:left="2410" w:header="720" w:footer="3380" w:gutter="0"/>
          <w:pgNumType w:start="1"/>
          <w:cols w:space="720"/>
          <w:noEndnote/>
          <w:titlePg/>
          <w:docGrid w:linePitch="78"/>
        </w:sectPr>
      </w:pPr>
      <w:bookmarkStart w:id="280" w:name="_Toc320625191"/>
      <w:bookmarkStart w:id="281" w:name="_Toc302037515"/>
      <w:bookmarkStart w:id="282" w:name="_Toc302051536"/>
      <w:bookmarkStart w:id="283" w:name="_Toc302052272"/>
      <w:bookmarkStart w:id="284" w:name="_Toc302634416"/>
    </w:p>
    <w:p>
      <w:pPr>
        <w:pStyle w:val="yScheduleHeading"/>
      </w:pPr>
      <w:bookmarkStart w:id="285" w:name="_Toc320625555"/>
      <w:bookmarkStart w:id="286" w:name="_Toc320625830"/>
      <w:bookmarkStart w:id="287" w:name="_Toc320697870"/>
      <w:bookmarkStart w:id="288" w:name="_Toc327448511"/>
      <w:bookmarkStart w:id="289" w:name="_Toc327450603"/>
      <w:r>
        <w:rPr>
          <w:rStyle w:val="CharSchNo"/>
        </w:rPr>
        <w:t>Schedule 1</w:t>
      </w:r>
      <w:r>
        <w:rPr>
          <w:rStyle w:val="CharSDivNo"/>
        </w:rPr>
        <w:t> </w:t>
      </w:r>
      <w:r>
        <w:t>—</w:t>
      </w:r>
      <w:r>
        <w:rPr>
          <w:rStyle w:val="CharSDivText"/>
        </w:rPr>
        <w:t> </w:t>
      </w:r>
      <w:r>
        <w:rPr>
          <w:rStyle w:val="CharSchText"/>
        </w:rPr>
        <w:t>Estimated value of building work</w:t>
      </w:r>
      <w:bookmarkEnd w:id="280"/>
      <w:bookmarkEnd w:id="285"/>
      <w:bookmarkEnd w:id="286"/>
      <w:bookmarkEnd w:id="287"/>
      <w:bookmarkEnd w:id="288"/>
      <w:bookmarkEnd w:id="289"/>
    </w:p>
    <w:p>
      <w:pPr>
        <w:pStyle w:val="yShoulderClause"/>
      </w:pPr>
      <w:r>
        <w:t>[r. 3]</w:t>
      </w:r>
    </w:p>
    <w:p>
      <w:pPr>
        <w:pStyle w:val="yHeading5"/>
      </w:pPr>
      <w:bookmarkStart w:id="290" w:name="_Toc320625192"/>
      <w:bookmarkStart w:id="291" w:name="_Toc327450604"/>
      <w:r>
        <w:rPr>
          <w:rStyle w:val="CharSClsNo"/>
        </w:rPr>
        <w:t>1</w:t>
      </w:r>
      <w:r>
        <w:t>.</w:t>
      </w:r>
      <w:r>
        <w:tab/>
        <w:t>Terms used</w:t>
      </w:r>
      <w:bookmarkEnd w:id="290"/>
      <w:bookmarkEnd w:id="291"/>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92" w:name="_Toc320625193"/>
      <w:bookmarkStart w:id="293" w:name="_Toc327450605"/>
      <w:r>
        <w:rPr>
          <w:rStyle w:val="CharSClsNo"/>
        </w:rPr>
        <w:t>2</w:t>
      </w:r>
      <w:r>
        <w:t>.</w:t>
      </w:r>
      <w:r>
        <w:tab/>
        <w:t>Estimated value of building work</w:t>
      </w:r>
      <w:bookmarkEnd w:id="292"/>
      <w:bookmarkEnd w:id="293"/>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294" w:name="_Toc320625194"/>
      <w:bookmarkStart w:id="295" w:name="_Toc327450606"/>
      <w:r>
        <w:rPr>
          <w:rStyle w:val="CharSClsNo"/>
        </w:rPr>
        <w:t>3</w:t>
      </w:r>
      <w:r>
        <w:t>.</w:t>
      </w:r>
      <w:r>
        <w:tab/>
        <w:t>Estimated value of unauthorised building work</w:t>
      </w:r>
      <w:bookmarkEnd w:id="294"/>
      <w:bookmarkEnd w:id="295"/>
    </w:p>
    <w:p>
      <w:pPr>
        <w:pStyle w:val="ySubsection"/>
      </w:pPr>
      <w:r>
        <w:tab/>
      </w:r>
      <w:r>
        <w:tab/>
        <w:t>The estimated value of unauthorised building work is the sum of the estimated current value (including GST) of the relevant components.</w:t>
      </w:r>
    </w:p>
    <w:p>
      <w:pPr>
        <w:sectPr>
          <w:headerReference w:type="even" r:id="rId24"/>
          <w:headerReference w:type="default" r:id="rId25"/>
          <w:pgSz w:w="11907" w:h="16840" w:code="9"/>
          <w:pgMar w:top="2381" w:right="2410" w:bottom="3544" w:left="2410" w:header="720" w:footer="3380" w:gutter="0"/>
          <w:cols w:space="720"/>
          <w:docGrid w:linePitch="78"/>
        </w:sectPr>
      </w:pPr>
    </w:p>
    <w:p>
      <w:pPr>
        <w:pStyle w:val="yScheduleHeading"/>
      </w:pPr>
      <w:bookmarkStart w:id="296" w:name="_Toc320625195"/>
      <w:bookmarkStart w:id="297" w:name="_Toc320625559"/>
      <w:bookmarkStart w:id="298" w:name="_Toc320625834"/>
      <w:bookmarkStart w:id="299" w:name="_Toc320697874"/>
      <w:bookmarkStart w:id="300" w:name="_Toc327448515"/>
      <w:bookmarkStart w:id="301" w:name="_Toc327450607"/>
      <w:r>
        <w:rPr>
          <w:rStyle w:val="CharSchNo"/>
        </w:rPr>
        <w:t>Schedule 2</w:t>
      </w:r>
      <w:r>
        <w:t> — </w:t>
      </w:r>
      <w:r>
        <w:rPr>
          <w:rStyle w:val="CharSchText"/>
        </w:rPr>
        <w:t>Fees</w:t>
      </w:r>
      <w:bookmarkEnd w:id="296"/>
      <w:bookmarkEnd w:id="297"/>
      <w:bookmarkEnd w:id="298"/>
      <w:bookmarkEnd w:id="299"/>
      <w:bookmarkEnd w:id="300"/>
      <w:bookmarkEnd w:id="301"/>
    </w:p>
    <w:p>
      <w:pPr>
        <w:pStyle w:val="yShoulderClause"/>
        <w:ind w:right="141"/>
      </w:pPr>
      <w:r>
        <w:t>[r. 11]</w:t>
      </w:r>
    </w:p>
    <w:p>
      <w:pPr>
        <w:pStyle w:val="yHeading3"/>
        <w:spacing w:after="60"/>
      </w:pPr>
      <w:bookmarkStart w:id="302" w:name="_Toc320625196"/>
      <w:bookmarkStart w:id="303" w:name="_Toc320625560"/>
      <w:bookmarkStart w:id="304" w:name="_Toc320625835"/>
      <w:bookmarkStart w:id="305" w:name="_Toc320697875"/>
      <w:bookmarkStart w:id="306" w:name="_Toc327448516"/>
      <w:bookmarkStart w:id="307" w:name="_Toc327450608"/>
      <w:r>
        <w:rPr>
          <w:rStyle w:val="CharSDivNo"/>
        </w:rPr>
        <w:t>Division 1</w:t>
      </w:r>
      <w:r>
        <w:t> — </w:t>
      </w:r>
      <w:r>
        <w:rPr>
          <w:rStyle w:val="CharSDivText"/>
        </w:rPr>
        <w:t>Applications for building permits, demolition permits</w:t>
      </w:r>
      <w:bookmarkEnd w:id="302"/>
      <w:bookmarkEnd w:id="303"/>
      <w:bookmarkEnd w:id="304"/>
      <w:bookmarkEnd w:id="305"/>
      <w:bookmarkEnd w:id="306"/>
      <w:bookmarkEnd w:id="307"/>
    </w:p>
    <w:tbl>
      <w:tblPr>
        <w:tblW w:w="6775" w:type="dxa"/>
        <w:tblInd w:w="284" w:type="dxa"/>
        <w:tblLayout w:type="fixed"/>
        <w:tblCellMar>
          <w:left w:w="113" w:type="dxa"/>
          <w:right w:w="113" w:type="dxa"/>
        </w:tblCellMar>
        <w:tblLook w:val="0000" w:firstRow="0" w:lastRow="0" w:firstColumn="0" w:lastColumn="0" w:noHBand="0" w:noVBand="0"/>
      </w:tblPr>
      <w:tblGrid>
        <w:gridCol w:w="822"/>
        <w:gridCol w:w="3685"/>
        <w:gridCol w:w="2268"/>
      </w:tblGrid>
      <w:tr>
        <w:trPr>
          <w:cantSplit/>
          <w:tblHeader/>
        </w:trPr>
        <w:tc>
          <w:tcPr>
            <w:tcW w:w="822" w:type="dxa"/>
            <w:tcBorders>
              <w:top w:val="single" w:sz="4" w:space="0" w:color="auto"/>
              <w:bottom w:val="single" w:sz="4" w:space="0" w:color="auto"/>
            </w:tcBorders>
          </w:tcPr>
          <w:p>
            <w:pPr>
              <w:pStyle w:val="yTableNAm"/>
              <w:tabs>
                <w:tab w:val="clear" w:pos="567"/>
              </w:tabs>
              <w:rPr>
                <w:b/>
                <w:szCs w:val="22"/>
              </w:rPr>
            </w:pPr>
            <w:r>
              <w:rPr>
                <w:b/>
                <w:szCs w:val="22"/>
              </w:rPr>
              <w:t>Item</w:t>
            </w:r>
          </w:p>
        </w:tc>
        <w:tc>
          <w:tcPr>
            <w:tcW w:w="3685" w:type="dxa"/>
            <w:tcBorders>
              <w:top w:val="single" w:sz="4" w:space="0" w:color="auto"/>
              <w:bottom w:val="single" w:sz="4" w:space="0" w:color="auto"/>
            </w:tcBorders>
          </w:tcPr>
          <w:p>
            <w:pPr>
              <w:pStyle w:val="yTableNAm"/>
              <w:jc w:val="center"/>
              <w:rPr>
                <w:b/>
                <w:szCs w:val="22"/>
              </w:rPr>
            </w:pPr>
            <w:r>
              <w:rPr>
                <w:b/>
                <w:szCs w:val="22"/>
              </w:rPr>
              <w:t>Application</w:t>
            </w:r>
          </w:p>
        </w:tc>
        <w:tc>
          <w:tcPr>
            <w:tcW w:w="2268" w:type="dxa"/>
            <w:tcBorders>
              <w:top w:val="single" w:sz="4" w:space="0" w:color="auto"/>
              <w:bottom w:val="single" w:sz="4" w:space="0" w:color="auto"/>
            </w:tcBorders>
          </w:tcPr>
          <w:p>
            <w:pPr>
              <w:pStyle w:val="yTableNAm"/>
              <w:jc w:val="center"/>
              <w:rPr>
                <w:b/>
                <w:szCs w:val="22"/>
              </w:rPr>
            </w:pPr>
            <w:r>
              <w:rPr>
                <w:b/>
                <w:szCs w:val="22"/>
              </w:rPr>
              <w:t>Fee</w:t>
            </w:r>
          </w:p>
        </w:tc>
      </w:tr>
      <w:tr>
        <w:trPr>
          <w:cantSplit/>
        </w:trPr>
        <w:tc>
          <w:tcPr>
            <w:tcW w:w="822" w:type="dxa"/>
            <w:tcBorders>
              <w:top w:val="single" w:sz="4" w:space="0" w:color="auto"/>
            </w:tcBorders>
          </w:tcPr>
          <w:p>
            <w:pPr>
              <w:pStyle w:val="yTableNAm"/>
              <w:tabs>
                <w:tab w:val="clear" w:pos="567"/>
              </w:tabs>
              <w:rPr>
                <w:szCs w:val="22"/>
              </w:rPr>
            </w:pPr>
            <w:r>
              <w:rPr>
                <w:szCs w:val="22"/>
              </w:rPr>
              <w:t>1.</w:t>
            </w:r>
          </w:p>
        </w:tc>
        <w:tc>
          <w:tcPr>
            <w:tcW w:w="3685" w:type="dxa"/>
            <w:tcBorders>
              <w:top w:val="single" w:sz="4" w:space="0" w:color="auto"/>
            </w:tcBorders>
          </w:tcPr>
          <w:p>
            <w:pPr>
              <w:pStyle w:val="yTableNAm"/>
              <w:rPr>
                <w:szCs w:val="22"/>
              </w:rPr>
            </w:pPr>
            <w:r>
              <w:rPr>
                <w:szCs w:val="22"/>
              </w:rPr>
              <w:t>Certified application for a building permit (s. 16(l)) — </w:t>
            </w:r>
          </w:p>
        </w:tc>
        <w:tc>
          <w:tcPr>
            <w:tcW w:w="2268" w:type="dxa"/>
            <w:tcBorders>
              <w:top w:val="single" w:sz="4" w:space="0" w:color="auto"/>
            </w:tcBorders>
          </w:tcPr>
          <w:p>
            <w:pPr>
              <w:pStyle w:val="yTableNAm"/>
              <w:rPr>
                <w:szCs w:val="22"/>
              </w:rPr>
            </w:pPr>
          </w:p>
        </w:tc>
      </w:tr>
      <w:tr>
        <w:trPr>
          <w:cantSplit/>
        </w:trPr>
        <w:tc>
          <w:tcPr>
            <w:tcW w:w="822" w:type="dxa"/>
          </w:tcPr>
          <w:p>
            <w:pPr>
              <w:pStyle w:val="yTableNAm"/>
              <w:tabs>
                <w:tab w:val="clear" w:pos="567"/>
                <w:tab w:val="left" w:pos="446"/>
              </w:tabs>
              <w:rPr>
                <w:szCs w:val="22"/>
              </w:rPr>
            </w:pPr>
          </w:p>
        </w:tc>
        <w:tc>
          <w:tcPr>
            <w:tcW w:w="3685" w:type="dxa"/>
          </w:tcPr>
          <w:p>
            <w:pPr>
              <w:pStyle w:val="yTableNAm"/>
              <w:ind w:left="595" w:hanging="595"/>
              <w:rPr>
                <w:szCs w:val="22"/>
              </w:rPr>
            </w:pPr>
            <w:r>
              <w:rPr>
                <w:szCs w:val="22"/>
              </w:rPr>
              <w:t>(a)</w:t>
            </w:r>
            <w:r>
              <w:rPr>
                <w:szCs w:val="22"/>
              </w:rPr>
              <w:tab/>
              <w:t>for building work for a Class 1 or Class 10 building or incidental structure</w:t>
            </w:r>
          </w:p>
        </w:tc>
        <w:tc>
          <w:tcPr>
            <w:tcW w:w="2268" w:type="dxa"/>
          </w:tcPr>
          <w:p>
            <w:pPr>
              <w:pStyle w:val="yTableNAm"/>
              <w:rPr>
                <w:szCs w:val="22"/>
              </w:rPr>
            </w:pPr>
            <w:r>
              <w:rPr>
                <w:szCs w:val="22"/>
              </w:rPr>
              <w:t>0.19% of the estimated value of the building work as determined by the relevant permit authority, but not less than $90</w:t>
            </w:r>
          </w:p>
        </w:tc>
      </w:tr>
      <w:tr>
        <w:trPr>
          <w:cantSplit/>
        </w:trPr>
        <w:tc>
          <w:tcPr>
            <w:tcW w:w="822" w:type="dxa"/>
          </w:tcPr>
          <w:p>
            <w:pPr>
              <w:pStyle w:val="yTableNAm"/>
              <w:tabs>
                <w:tab w:val="clear" w:pos="567"/>
                <w:tab w:val="left" w:pos="425"/>
              </w:tabs>
              <w:rPr>
                <w:szCs w:val="22"/>
              </w:rPr>
            </w:pPr>
          </w:p>
        </w:tc>
        <w:tc>
          <w:tcPr>
            <w:tcW w:w="3685" w:type="dxa"/>
          </w:tcPr>
          <w:p>
            <w:pPr>
              <w:pStyle w:val="yTableNAm"/>
              <w:ind w:left="595" w:hanging="595"/>
              <w:rPr>
                <w:szCs w:val="22"/>
              </w:rPr>
            </w:pPr>
            <w:r>
              <w:rPr>
                <w:szCs w:val="22"/>
              </w:rPr>
              <w:t>(b)</w:t>
            </w:r>
            <w:r>
              <w:rPr>
                <w:szCs w:val="22"/>
              </w:rPr>
              <w:tab/>
              <w:t>for building work for a Class 2 to Class 9 building or incidental structure</w:t>
            </w:r>
          </w:p>
        </w:tc>
        <w:tc>
          <w:tcPr>
            <w:tcW w:w="2268" w:type="dxa"/>
          </w:tcPr>
          <w:p>
            <w:pPr>
              <w:pStyle w:val="yTableNAm"/>
              <w:rPr>
                <w:szCs w:val="22"/>
              </w:rPr>
            </w:pPr>
            <w:r>
              <w:rPr>
                <w:szCs w:val="22"/>
              </w:rPr>
              <w:t>0.09% of the estimated value of the building work as determined by the relevant permit authority, but not less than $90</w:t>
            </w:r>
          </w:p>
        </w:tc>
      </w:tr>
      <w:tr>
        <w:trPr>
          <w:cantSplit/>
        </w:trPr>
        <w:tc>
          <w:tcPr>
            <w:tcW w:w="822" w:type="dxa"/>
          </w:tcPr>
          <w:p>
            <w:pPr>
              <w:pStyle w:val="yTableNAm"/>
              <w:rPr>
                <w:szCs w:val="22"/>
              </w:rPr>
            </w:pPr>
            <w:r>
              <w:rPr>
                <w:szCs w:val="22"/>
              </w:rPr>
              <w:t>2.</w:t>
            </w:r>
          </w:p>
        </w:tc>
        <w:tc>
          <w:tcPr>
            <w:tcW w:w="3685" w:type="dxa"/>
          </w:tcPr>
          <w:p>
            <w:pPr>
              <w:pStyle w:val="yTableNAm"/>
              <w:rPr>
                <w:szCs w:val="22"/>
              </w:rPr>
            </w:pPr>
            <w:r>
              <w:rPr>
                <w:szCs w:val="22"/>
              </w:rPr>
              <w:t>Uncertified application for a building permit (s. 16(l))</w:t>
            </w:r>
          </w:p>
        </w:tc>
        <w:tc>
          <w:tcPr>
            <w:tcW w:w="2268" w:type="dxa"/>
          </w:tcPr>
          <w:p>
            <w:pPr>
              <w:pStyle w:val="yTableNAm"/>
              <w:rPr>
                <w:szCs w:val="22"/>
              </w:rPr>
            </w:pPr>
            <w:r>
              <w:rPr>
                <w:szCs w:val="22"/>
              </w:rPr>
              <w:t>0.32% of the estimated value of the building work as determined by the relevant permit authority, but not less than $90</w:t>
            </w:r>
          </w:p>
        </w:tc>
      </w:tr>
      <w:tr>
        <w:trPr>
          <w:cantSplit/>
        </w:trPr>
        <w:tc>
          <w:tcPr>
            <w:tcW w:w="822" w:type="dxa"/>
          </w:tcPr>
          <w:p>
            <w:pPr>
              <w:pStyle w:val="yTableNAm"/>
              <w:rPr>
                <w:szCs w:val="22"/>
              </w:rPr>
            </w:pPr>
            <w:r>
              <w:rPr>
                <w:szCs w:val="22"/>
              </w:rPr>
              <w:t>3.</w:t>
            </w:r>
          </w:p>
        </w:tc>
        <w:tc>
          <w:tcPr>
            <w:tcW w:w="3685" w:type="dxa"/>
          </w:tcPr>
          <w:p>
            <w:pPr>
              <w:pStyle w:val="yTableNAm"/>
              <w:rPr>
                <w:rStyle w:val="DraftersNotes"/>
                <w:b w:val="0"/>
                <w:i w:val="0"/>
                <w:sz w:val="22"/>
                <w:szCs w:val="22"/>
              </w:rPr>
            </w:pPr>
            <w:r>
              <w:rPr>
                <w:szCs w:val="22"/>
              </w:rPr>
              <w:t xml:space="preserve">Application for a demolition permit (s. 16(l)) —  </w:t>
            </w:r>
          </w:p>
        </w:tc>
        <w:tc>
          <w:tcPr>
            <w:tcW w:w="2268" w:type="dxa"/>
          </w:tcPr>
          <w:p>
            <w:pPr>
              <w:pStyle w:val="yTableNAm"/>
              <w:rPr>
                <w:rStyle w:val="DraftersNotes"/>
                <w:b w:val="0"/>
                <w:i w:val="0"/>
                <w:sz w:val="22"/>
                <w:szCs w:val="22"/>
              </w:rPr>
            </w:pPr>
          </w:p>
        </w:tc>
      </w:tr>
      <w:tr>
        <w:trPr>
          <w:cantSplit/>
        </w:trPr>
        <w:tc>
          <w:tcPr>
            <w:tcW w:w="822" w:type="dxa"/>
          </w:tcPr>
          <w:p>
            <w:pPr>
              <w:pStyle w:val="yTableNAm"/>
              <w:rPr>
                <w:szCs w:val="22"/>
              </w:rPr>
            </w:pPr>
          </w:p>
        </w:tc>
        <w:tc>
          <w:tcPr>
            <w:tcW w:w="3685" w:type="dxa"/>
          </w:tcPr>
          <w:p>
            <w:pPr>
              <w:pStyle w:val="yTableNAm"/>
              <w:ind w:left="595" w:hanging="595"/>
              <w:rPr>
                <w:szCs w:val="22"/>
              </w:rPr>
            </w:pPr>
            <w:r>
              <w:rPr>
                <w:szCs w:val="22"/>
              </w:rPr>
              <w:t>(a)</w:t>
            </w:r>
            <w:r>
              <w:rPr>
                <w:szCs w:val="22"/>
              </w:rPr>
              <w:tab/>
              <w:t>for demolition work in respect of a Class 1 or Class 10 building or incidental structure</w:t>
            </w:r>
          </w:p>
        </w:tc>
        <w:tc>
          <w:tcPr>
            <w:tcW w:w="2268" w:type="dxa"/>
          </w:tcPr>
          <w:p>
            <w:pPr>
              <w:pStyle w:val="yTableNAm"/>
              <w:rPr>
                <w:szCs w:val="22"/>
              </w:rPr>
            </w:pPr>
            <w:r>
              <w:rPr>
                <w:szCs w:val="22"/>
              </w:rPr>
              <w:t>$90</w:t>
            </w:r>
          </w:p>
        </w:tc>
      </w:tr>
      <w:tr>
        <w:trPr>
          <w:cantSplit/>
        </w:trPr>
        <w:tc>
          <w:tcPr>
            <w:tcW w:w="822" w:type="dxa"/>
          </w:tcPr>
          <w:p>
            <w:pPr>
              <w:pStyle w:val="yTableNAm"/>
              <w:rPr>
                <w:szCs w:val="22"/>
              </w:rPr>
            </w:pPr>
          </w:p>
        </w:tc>
        <w:tc>
          <w:tcPr>
            <w:tcW w:w="3685" w:type="dxa"/>
          </w:tcPr>
          <w:p>
            <w:pPr>
              <w:pStyle w:val="yTableNAm"/>
              <w:ind w:left="595" w:hanging="595"/>
              <w:rPr>
                <w:szCs w:val="22"/>
              </w:rPr>
            </w:pPr>
            <w:r>
              <w:rPr>
                <w:szCs w:val="22"/>
              </w:rPr>
              <w:t>(b)</w:t>
            </w:r>
            <w:r>
              <w:rPr>
                <w:szCs w:val="22"/>
              </w:rPr>
              <w:tab/>
              <w:t xml:space="preserve">for demolition work in respect of a Class 2 to Class 9 building </w:t>
            </w:r>
          </w:p>
        </w:tc>
        <w:tc>
          <w:tcPr>
            <w:tcW w:w="2268" w:type="dxa"/>
          </w:tcPr>
          <w:p>
            <w:pPr>
              <w:pStyle w:val="yTableNAm"/>
              <w:rPr>
                <w:szCs w:val="22"/>
              </w:rPr>
            </w:pPr>
            <w:r>
              <w:rPr>
                <w:szCs w:val="22"/>
              </w:rPr>
              <w:t xml:space="preserve">$90 for each storey of the building </w:t>
            </w:r>
          </w:p>
        </w:tc>
      </w:tr>
      <w:tr>
        <w:trPr>
          <w:cantSplit/>
        </w:trPr>
        <w:tc>
          <w:tcPr>
            <w:tcW w:w="822" w:type="dxa"/>
            <w:tcBorders>
              <w:bottom w:val="single" w:sz="4" w:space="0" w:color="auto"/>
            </w:tcBorders>
          </w:tcPr>
          <w:p>
            <w:pPr>
              <w:pStyle w:val="yTableNAm"/>
              <w:rPr>
                <w:szCs w:val="22"/>
              </w:rPr>
            </w:pPr>
            <w:r>
              <w:rPr>
                <w:szCs w:val="22"/>
              </w:rPr>
              <w:t>4.</w:t>
            </w:r>
          </w:p>
        </w:tc>
        <w:tc>
          <w:tcPr>
            <w:tcW w:w="3685" w:type="dxa"/>
            <w:tcBorders>
              <w:bottom w:val="single" w:sz="4" w:space="0" w:color="auto"/>
            </w:tcBorders>
          </w:tcPr>
          <w:p>
            <w:pPr>
              <w:pStyle w:val="yTableNAm"/>
              <w:rPr>
                <w:szCs w:val="22"/>
              </w:rPr>
            </w:pPr>
            <w:r>
              <w:rPr>
                <w:szCs w:val="22"/>
              </w:rPr>
              <w:t>Application to extend the time during which a building or demolition permit has effect (s. 32(3)(f))</w:t>
            </w:r>
          </w:p>
        </w:tc>
        <w:tc>
          <w:tcPr>
            <w:tcW w:w="2268" w:type="dxa"/>
            <w:tcBorders>
              <w:bottom w:val="single" w:sz="4" w:space="0" w:color="auto"/>
            </w:tcBorders>
          </w:tcPr>
          <w:p>
            <w:pPr>
              <w:pStyle w:val="yTableNAm"/>
              <w:rPr>
                <w:szCs w:val="22"/>
              </w:rPr>
            </w:pPr>
            <w:r>
              <w:rPr>
                <w:szCs w:val="22"/>
              </w:rPr>
              <w:t>$90</w:t>
            </w:r>
          </w:p>
        </w:tc>
      </w:tr>
    </w:tbl>
    <w:p>
      <w:pPr>
        <w:pStyle w:val="ySubsection"/>
      </w:pPr>
    </w:p>
    <w:p>
      <w:pPr>
        <w:pStyle w:val="yHeading3"/>
        <w:spacing w:after="60"/>
        <w:rPr>
          <w:sz w:val="22"/>
          <w:szCs w:val="22"/>
        </w:rPr>
      </w:pPr>
      <w:bookmarkStart w:id="308" w:name="_Toc320625197"/>
      <w:bookmarkStart w:id="309" w:name="_Toc320625561"/>
      <w:bookmarkStart w:id="310" w:name="_Toc320625836"/>
      <w:bookmarkStart w:id="311" w:name="_Toc320697876"/>
      <w:bookmarkStart w:id="312" w:name="_Toc327448517"/>
      <w:bookmarkStart w:id="313" w:name="_Toc327450609"/>
      <w:r>
        <w:rPr>
          <w:rStyle w:val="CharSDivNo"/>
          <w:sz w:val="22"/>
          <w:szCs w:val="22"/>
        </w:rPr>
        <w:t>Division 2</w:t>
      </w:r>
      <w:r>
        <w:rPr>
          <w:sz w:val="22"/>
          <w:szCs w:val="22"/>
        </w:rPr>
        <w:t> — </w:t>
      </w:r>
      <w:r>
        <w:rPr>
          <w:rStyle w:val="CharSDivText"/>
          <w:sz w:val="22"/>
        </w:rPr>
        <w:t>Application for o</w:t>
      </w:r>
      <w:r>
        <w:rPr>
          <w:rStyle w:val="CharSDivText"/>
          <w:sz w:val="22"/>
          <w:szCs w:val="22"/>
        </w:rPr>
        <w:t>ccupancy permits, building approval certificates</w:t>
      </w:r>
      <w:bookmarkEnd w:id="308"/>
      <w:bookmarkEnd w:id="309"/>
      <w:bookmarkEnd w:id="310"/>
      <w:bookmarkEnd w:id="311"/>
      <w:bookmarkEnd w:id="312"/>
      <w:bookmarkEnd w:id="313"/>
    </w:p>
    <w:tbl>
      <w:tblPr>
        <w:tblW w:w="6775" w:type="dxa"/>
        <w:tblInd w:w="284" w:type="dxa"/>
        <w:tblLayout w:type="fixed"/>
        <w:tblCellMar>
          <w:left w:w="113" w:type="dxa"/>
          <w:right w:w="113" w:type="dxa"/>
        </w:tblCellMar>
        <w:tblLook w:val="0000" w:firstRow="0" w:lastRow="0" w:firstColumn="0" w:lastColumn="0" w:noHBand="0" w:noVBand="0"/>
      </w:tblPr>
      <w:tblGrid>
        <w:gridCol w:w="822"/>
        <w:gridCol w:w="4252"/>
        <w:gridCol w:w="1701"/>
      </w:tblGrid>
      <w:tr>
        <w:trPr>
          <w:cantSplit/>
          <w:tblHeader/>
        </w:trPr>
        <w:tc>
          <w:tcPr>
            <w:tcW w:w="822" w:type="dxa"/>
            <w:tcBorders>
              <w:top w:val="single" w:sz="4" w:space="0" w:color="auto"/>
              <w:bottom w:val="single" w:sz="4" w:space="0" w:color="auto"/>
            </w:tcBorders>
          </w:tcPr>
          <w:p>
            <w:pPr>
              <w:pStyle w:val="yTableNAm"/>
              <w:tabs>
                <w:tab w:val="clear" w:pos="567"/>
              </w:tabs>
              <w:rPr>
                <w:b/>
                <w:szCs w:val="22"/>
              </w:rPr>
            </w:pPr>
            <w:r>
              <w:rPr>
                <w:b/>
                <w:szCs w:val="22"/>
              </w:rPr>
              <w:t>Item</w:t>
            </w:r>
          </w:p>
        </w:tc>
        <w:tc>
          <w:tcPr>
            <w:tcW w:w="4252" w:type="dxa"/>
            <w:tcBorders>
              <w:top w:val="single" w:sz="4" w:space="0" w:color="auto"/>
              <w:bottom w:val="single" w:sz="4" w:space="0" w:color="auto"/>
            </w:tcBorders>
          </w:tcPr>
          <w:p>
            <w:pPr>
              <w:pStyle w:val="yTableNAm"/>
              <w:jc w:val="center"/>
              <w:rPr>
                <w:b/>
                <w:szCs w:val="22"/>
              </w:rPr>
            </w:pPr>
            <w:r>
              <w:rPr>
                <w:b/>
                <w:szCs w:val="22"/>
              </w:rPr>
              <w:t>Application</w:t>
            </w:r>
          </w:p>
        </w:tc>
        <w:tc>
          <w:tcPr>
            <w:tcW w:w="1701" w:type="dxa"/>
            <w:tcBorders>
              <w:top w:val="single" w:sz="4" w:space="0" w:color="auto"/>
              <w:bottom w:val="single" w:sz="4" w:space="0" w:color="auto"/>
            </w:tcBorders>
          </w:tcPr>
          <w:p>
            <w:pPr>
              <w:pStyle w:val="yTableNAm"/>
              <w:jc w:val="center"/>
              <w:rPr>
                <w:b/>
                <w:szCs w:val="22"/>
              </w:rPr>
            </w:pPr>
            <w:r>
              <w:rPr>
                <w:b/>
                <w:szCs w:val="22"/>
              </w:rPr>
              <w:t>Fee</w:t>
            </w:r>
          </w:p>
        </w:tc>
      </w:tr>
      <w:tr>
        <w:trPr>
          <w:cantSplit/>
        </w:trPr>
        <w:tc>
          <w:tcPr>
            <w:tcW w:w="822" w:type="dxa"/>
            <w:tcBorders>
              <w:top w:val="single" w:sz="4" w:space="0" w:color="auto"/>
            </w:tcBorders>
          </w:tcPr>
          <w:p>
            <w:pPr>
              <w:pStyle w:val="yTableNAm"/>
              <w:tabs>
                <w:tab w:val="clear" w:pos="567"/>
              </w:tabs>
              <w:rPr>
                <w:szCs w:val="22"/>
              </w:rPr>
            </w:pPr>
            <w:r>
              <w:rPr>
                <w:szCs w:val="22"/>
              </w:rPr>
              <w:t>1.</w:t>
            </w:r>
          </w:p>
        </w:tc>
        <w:tc>
          <w:tcPr>
            <w:tcW w:w="4252" w:type="dxa"/>
            <w:tcBorders>
              <w:top w:val="single" w:sz="4" w:space="0" w:color="auto"/>
            </w:tcBorders>
          </w:tcPr>
          <w:p>
            <w:pPr>
              <w:pStyle w:val="yTableNAm"/>
              <w:rPr>
                <w:szCs w:val="22"/>
              </w:rPr>
            </w:pPr>
            <w:r>
              <w:rPr>
                <w:szCs w:val="22"/>
              </w:rPr>
              <w:t>Application for an occupancy permit for a completed building (s. 46)</w:t>
            </w:r>
          </w:p>
        </w:tc>
        <w:tc>
          <w:tcPr>
            <w:tcW w:w="1701" w:type="dxa"/>
            <w:tcBorders>
              <w:top w:val="single" w:sz="4" w:space="0" w:color="auto"/>
            </w:tcBorders>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2.</w:t>
            </w:r>
          </w:p>
        </w:tc>
        <w:tc>
          <w:tcPr>
            <w:tcW w:w="4252" w:type="dxa"/>
          </w:tcPr>
          <w:p>
            <w:pPr>
              <w:pStyle w:val="yTableNAm"/>
              <w:rPr>
                <w:szCs w:val="22"/>
              </w:rPr>
            </w:pPr>
            <w:r>
              <w:rPr>
                <w:szCs w:val="22"/>
              </w:rPr>
              <w:t>Application for a temporary occupancy permit for an incomplete building (s. 47)</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3.</w:t>
            </w:r>
          </w:p>
        </w:tc>
        <w:tc>
          <w:tcPr>
            <w:tcW w:w="4252" w:type="dxa"/>
          </w:tcPr>
          <w:p>
            <w:pPr>
              <w:pStyle w:val="TableNAm"/>
              <w:tabs>
                <w:tab w:val="clear" w:pos="567"/>
              </w:tabs>
              <w:spacing w:before="60"/>
              <w:rPr>
                <w:sz w:val="22"/>
                <w:szCs w:val="22"/>
              </w:rPr>
            </w:pPr>
            <w:r>
              <w:rPr>
                <w:sz w:val="22"/>
                <w:szCs w:val="22"/>
              </w:rPr>
              <w:t>Application for modification of an occupancy permit for additional use of a building on a temporary basis (s. 48)</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4.</w:t>
            </w:r>
          </w:p>
        </w:tc>
        <w:tc>
          <w:tcPr>
            <w:tcW w:w="4252" w:type="dxa"/>
          </w:tcPr>
          <w:p>
            <w:pPr>
              <w:pStyle w:val="yTableNAm"/>
              <w:tabs>
                <w:tab w:val="clear" w:pos="567"/>
              </w:tabs>
              <w:ind w:left="28" w:hanging="28"/>
              <w:rPr>
                <w:szCs w:val="22"/>
              </w:rPr>
            </w:pPr>
            <w:r>
              <w:rPr>
                <w:szCs w:val="22"/>
              </w:rPr>
              <w:t>Application for a replacement occupancy permit for permanent change of the building’s use, classification (s. 49)</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5.</w:t>
            </w:r>
          </w:p>
        </w:tc>
        <w:tc>
          <w:tcPr>
            <w:tcW w:w="4252" w:type="dxa"/>
          </w:tcPr>
          <w:p>
            <w:pPr>
              <w:pStyle w:val="yTableNAm"/>
              <w:tabs>
                <w:tab w:val="clear" w:pos="567"/>
              </w:tabs>
              <w:rPr>
                <w:szCs w:val="22"/>
              </w:rPr>
            </w:pPr>
            <w:r>
              <w:rPr>
                <w:szCs w:val="22"/>
              </w:rPr>
              <w:t>Application for an occupancy permit or building approval certificate for registration of strata scheme, plan of re</w:t>
            </w:r>
            <w:r>
              <w:rPr>
                <w:szCs w:val="22"/>
              </w:rPr>
              <w:noBreakHyphen/>
              <w:t>subdivision (s. 50(1) and (2))</w:t>
            </w:r>
          </w:p>
        </w:tc>
        <w:tc>
          <w:tcPr>
            <w:tcW w:w="1701" w:type="dxa"/>
          </w:tcPr>
          <w:p>
            <w:pPr>
              <w:pStyle w:val="TableNAm"/>
              <w:tabs>
                <w:tab w:val="clear" w:pos="567"/>
                <w:tab w:val="left" w:pos="316"/>
              </w:tabs>
              <w:rPr>
                <w:sz w:val="22"/>
                <w:szCs w:val="22"/>
              </w:rPr>
            </w:pPr>
            <w:r>
              <w:rPr>
                <w:sz w:val="22"/>
                <w:szCs w:val="22"/>
              </w:rPr>
              <w:t>$10 for each strata unit covered by the application, but not less than $100</w:t>
            </w:r>
          </w:p>
        </w:tc>
      </w:tr>
      <w:tr>
        <w:trPr>
          <w:cantSplit/>
        </w:trPr>
        <w:tc>
          <w:tcPr>
            <w:tcW w:w="822" w:type="dxa"/>
          </w:tcPr>
          <w:p>
            <w:pPr>
              <w:pStyle w:val="yTableNAm"/>
              <w:rPr>
                <w:szCs w:val="22"/>
              </w:rPr>
            </w:pPr>
            <w:r>
              <w:rPr>
                <w:szCs w:val="22"/>
              </w:rPr>
              <w:t>6.</w:t>
            </w:r>
          </w:p>
        </w:tc>
        <w:tc>
          <w:tcPr>
            <w:tcW w:w="4252" w:type="dxa"/>
          </w:tcPr>
          <w:p>
            <w:pPr>
              <w:pStyle w:val="yTableNAm"/>
              <w:rPr>
                <w:szCs w:val="22"/>
              </w:rPr>
            </w:pPr>
            <w:r>
              <w:rPr>
                <w:szCs w:val="22"/>
              </w:rPr>
              <w:t>Application for an occupancy permit for a building in respect of which unauthorised work has been done (s. 51(2))</w:t>
            </w:r>
          </w:p>
        </w:tc>
        <w:tc>
          <w:tcPr>
            <w:tcW w:w="1701" w:type="dxa"/>
          </w:tcPr>
          <w:p>
            <w:pPr>
              <w:pStyle w:val="TableNAm"/>
              <w:tabs>
                <w:tab w:val="clear" w:pos="567"/>
                <w:tab w:val="left" w:pos="316"/>
              </w:tabs>
              <w:rPr>
                <w:sz w:val="22"/>
                <w:szCs w:val="22"/>
              </w:rPr>
            </w:pPr>
            <w:r>
              <w:rPr>
                <w:sz w:val="22"/>
                <w:szCs w:val="22"/>
              </w:rPr>
              <w:t>0.18% of the estimated value of the unauthorised work as determined by the relevant permit authority, but not less than $90</w:t>
            </w:r>
          </w:p>
        </w:tc>
      </w:tr>
      <w:tr>
        <w:trPr>
          <w:cantSplit/>
        </w:trPr>
        <w:tc>
          <w:tcPr>
            <w:tcW w:w="822" w:type="dxa"/>
          </w:tcPr>
          <w:p>
            <w:pPr>
              <w:pStyle w:val="yTableNAm"/>
              <w:rPr>
                <w:szCs w:val="22"/>
              </w:rPr>
            </w:pPr>
            <w:r>
              <w:rPr>
                <w:szCs w:val="22"/>
              </w:rPr>
              <w:t>7.</w:t>
            </w:r>
          </w:p>
        </w:tc>
        <w:tc>
          <w:tcPr>
            <w:tcW w:w="4252" w:type="dxa"/>
          </w:tcPr>
          <w:p>
            <w:pPr>
              <w:pStyle w:val="yTableNAm"/>
              <w:rPr>
                <w:szCs w:val="22"/>
              </w:rPr>
            </w:pPr>
            <w:r>
              <w:rPr>
                <w:szCs w:val="22"/>
              </w:rPr>
              <w:t>Application for a building approval certificate for a building in respect of which unauthorised work has been done (s. 51(3))</w:t>
            </w:r>
          </w:p>
        </w:tc>
        <w:tc>
          <w:tcPr>
            <w:tcW w:w="1701" w:type="dxa"/>
          </w:tcPr>
          <w:p>
            <w:pPr>
              <w:pStyle w:val="TableNAm"/>
              <w:tabs>
                <w:tab w:val="clear" w:pos="567"/>
                <w:tab w:val="left" w:pos="316"/>
              </w:tabs>
              <w:rPr>
                <w:sz w:val="22"/>
                <w:szCs w:val="22"/>
              </w:rPr>
            </w:pPr>
            <w:r>
              <w:rPr>
                <w:sz w:val="22"/>
                <w:szCs w:val="22"/>
              </w:rPr>
              <w:t>0.38% of the estimated value of the unauthorised work as determined by the relevant permit authority, but not less than $90</w:t>
            </w:r>
          </w:p>
        </w:tc>
      </w:tr>
      <w:tr>
        <w:trPr>
          <w:cantSplit/>
        </w:trPr>
        <w:tc>
          <w:tcPr>
            <w:tcW w:w="822" w:type="dxa"/>
          </w:tcPr>
          <w:p>
            <w:pPr>
              <w:pStyle w:val="yTableNAm"/>
              <w:rPr>
                <w:szCs w:val="22"/>
              </w:rPr>
            </w:pPr>
            <w:r>
              <w:rPr>
                <w:szCs w:val="22"/>
              </w:rPr>
              <w:t>8.</w:t>
            </w:r>
          </w:p>
        </w:tc>
        <w:tc>
          <w:tcPr>
            <w:tcW w:w="4252" w:type="dxa"/>
          </w:tcPr>
          <w:p>
            <w:pPr>
              <w:pStyle w:val="yTableNAm"/>
              <w:rPr>
                <w:szCs w:val="22"/>
              </w:rPr>
            </w:pPr>
            <w:r>
              <w:rPr>
                <w:szCs w:val="22"/>
              </w:rPr>
              <w:t>Application to replace an occupancy permit for an existing building (s. 52(1))</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9.</w:t>
            </w:r>
          </w:p>
        </w:tc>
        <w:tc>
          <w:tcPr>
            <w:tcW w:w="4252" w:type="dxa"/>
          </w:tcPr>
          <w:p>
            <w:pPr>
              <w:pStyle w:val="yTableNAm"/>
              <w:rPr>
                <w:szCs w:val="22"/>
              </w:rPr>
            </w:pPr>
            <w:r>
              <w:rPr>
                <w:szCs w:val="22"/>
              </w:rPr>
              <w:t>Application for a building approval certificate for an existing building where unauthorised work has not been done (s. 52(2))</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Borders>
              <w:bottom w:val="single" w:sz="4" w:space="0" w:color="auto"/>
            </w:tcBorders>
          </w:tcPr>
          <w:p>
            <w:pPr>
              <w:pStyle w:val="yTableNAm"/>
              <w:rPr>
                <w:szCs w:val="22"/>
              </w:rPr>
            </w:pPr>
            <w:r>
              <w:rPr>
                <w:szCs w:val="22"/>
              </w:rPr>
              <w:t>10.</w:t>
            </w:r>
          </w:p>
        </w:tc>
        <w:tc>
          <w:tcPr>
            <w:tcW w:w="4252" w:type="dxa"/>
            <w:tcBorders>
              <w:bottom w:val="single" w:sz="4" w:space="0" w:color="auto"/>
            </w:tcBorders>
          </w:tcPr>
          <w:p>
            <w:pPr>
              <w:pStyle w:val="yTableNAm"/>
              <w:rPr>
                <w:szCs w:val="22"/>
              </w:rPr>
            </w:pPr>
            <w:r>
              <w:rPr>
                <w:szCs w:val="22"/>
              </w:rPr>
              <w:t>Application to extend the time during which an occupancy permit or building approval certificate has effect (s. 65(3)(a))</w:t>
            </w:r>
          </w:p>
        </w:tc>
        <w:tc>
          <w:tcPr>
            <w:tcW w:w="1701" w:type="dxa"/>
            <w:tcBorders>
              <w:bottom w:val="single" w:sz="4" w:space="0" w:color="auto"/>
            </w:tcBorders>
          </w:tcPr>
          <w:p>
            <w:pPr>
              <w:pStyle w:val="TableNAm"/>
              <w:tabs>
                <w:tab w:val="clear" w:pos="567"/>
                <w:tab w:val="left" w:pos="316"/>
              </w:tabs>
              <w:rPr>
                <w:sz w:val="22"/>
                <w:szCs w:val="22"/>
              </w:rPr>
            </w:pPr>
            <w:r>
              <w:rPr>
                <w:sz w:val="22"/>
                <w:szCs w:val="22"/>
              </w:rPr>
              <w:t>$90</w:t>
            </w:r>
          </w:p>
        </w:tc>
      </w:tr>
    </w:tbl>
    <w:p>
      <w:pPr>
        <w:pStyle w:val="yHeading3"/>
        <w:keepLines/>
        <w:spacing w:after="60"/>
        <w:rPr>
          <w:sz w:val="22"/>
          <w:szCs w:val="22"/>
        </w:rPr>
      </w:pPr>
      <w:bookmarkStart w:id="314" w:name="_Toc320625198"/>
      <w:bookmarkStart w:id="315" w:name="_Toc320625562"/>
      <w:bookmarkStart w:id="316" w:name="_Toc320625837"/>
      <w:bookmarkStart w:id="317" w:name="_Toc320697877"/>
      <w:bookmarkStart w:id="318" w:name="_Toc327448518"/>
      <w:bookmarkStart w:id="319" w:name="_Toc327450610"/>
      <w:r>
        <w:rPr>
          <w:rStyle w:val="CharSDivNo"/>
          <w:sz w:val="22"/>
          <w:szCs w:val="22"/>
        </w:rPr>
        <w:t>Division 3</w:t>
      </w:r>
      <w:r>
        <w:rPr>
          <w:sz w:val="22"/>
          <w:szCs w:val="22"/>
        </w:rPr>
        <w:t> — </w:t>
      </w:r>
      <w:r>
        <w:rPr>
          <w:rStyle w:val="CharSDivText"/>
          <w:sz w:val="22"/>
          <w:szCs w:val="22"/>
        </w:rPr>
        <w:t>Other applications</w:t>
      </w:r>
      <w:bookmarkEnd w:id="314"/>
      <w:bookmarkEnd w:id="315"/>
      <w:bookmarkEnd w:id="316"/>
      <w:bookmarkEnd w:id="317"/>
      <w:bookmarkEnd w:id="318"/>
      <w:bookmarkEnd w:id="319"/>
    </w:p>
    <w:tbl>
      <w:tblPr>
        <w:tblW w:w="6775" w:type="dxa"/>
        <w:tblInd w:w="284" w:type="dxa"/>
        <w:tblLayout w:type="fixed"/>
        <w:tblCellMar>
          <w:left w:w="113" w:type="dxa"/>
          <w:right w:w="113" w:type="dxa"/>
        </w:tblCellMar>
        <w:tblLook w:val="0000" w:firstRow="0" w:lastRow="0" w:firstColumn="0" w:lastColumn="0" w:noHBand="0" w:noVBand="0"/>
      </w:tblPr>
      <w:tblGrid>
        <w:gridCol w:w="822"/>
        <w:gridCol w:w="4252"/>
        <w:gridCol w:w="1701"/>
      </w:tblGrid>
      <w:tr>
        <w:tc>
          <w:tcPr>
            <w:tcW w:w="822" w:type="dxa"/>
            <w:tcBorders>
              <w:top w:val="single" w:sz="4" w:space="0" w:color="auto"/>
              <w:bottom w:val="single" w:sz="4" w:space="0" w:color="auto"/>
            </w:tcBorders>
          </w:tcPr>
          <w:p>
            <w:pPr>
              <w:pStyle w:val="yTableNAm"/>
              <w:keepNext/>
              <w:keepLines/>
              <w:rPr>
                <w:szCs w:val="22"/>
              </w:rPr>
            </w:pPr>
            <w:r>
              <w:rPr>
                <w:b/>
                <w:bCs/>
                <w:szCs w:val="22"/>
              </w:rPr>
              <w:t>Item</w:t>
            </w:r>
          </w:p>
        </w:tc>
        <w:tc>
          <w:tcPr>
            <w:tcW w:w="4252" w:type="dxa"/>
            <w:tcBorders>
              <w:top w:val="single" w:sz="4" w:space="0" w:color="auto"/>
              <w:bottom w:val="single" w:sz="4" w:space="0" w:color="auto"/>
            </w:tcBorders>
          </w:tcPr>
          <w:p>
            <w:pPr>
              <w:pStyle w:val="yTableNAm"/>
              <w:keepNext/>
              <w:keepLines/>
              <w:jc w:val="center"/>
              <w:rPr>
                <w:szCs w:val="22"/>
              </w:rPr>
            </w:pPr>
            <w:r>
              <w:rPr>
                <w:b/>
                <w:bCs/>
                <w:szCs w:val="22"/>
              </w:rPr>
              <w:t>Application</w:t>
            </w:r>
          </w:p>
        </w:tc>
        <w:tc>
          <w:tcPr>
            <w:tcW w:w="1701" w:type="dxa"/>
            <w:tcBorders>
              <w:top w:val="single" w:sz="4" w:space="0" w:color="auto"/>
              <w:bottom w:val="single" w:sz="4" w:space="0" w:color="auto"/>
            </w:tcBorders>
          </w:tcPr>
          <w:p>
            <w:pPr>
              <w:pStyle w:val="TableNAm"/>
              <w:keepNext/>
              <w:keepLines/>
              <w:tabs>
                <w:tab w:val="clear" w:pos="567"/>
                <w:tab w:val="left" w:pos="316"/>
              </w:tabs>
              <w:spacing w:before="60"/>
              <w:jc w:val="center"/>
              <w:rPr>
                <w:sz w:val="22"/>
                <w:szCs w:val="22"/>
              </w:rPr>
            </w:pPr>
            <w:r>
              <w:rPr>
                <w:b/>
                <w:bCs/>
                <w:sz w:val="22"/>
                <w:szCs w:val="22"/>
              </w:rPr>
              <w:t>Fee</w:t>
            </w:r>
          </w:p>
        </w:tc>
      </w:tr>
      <w:tr>
        <w:tc>
          <w:tcPr>
            <w:tcW w:w="822" w:type="dxa"/>
            <w:tcBorders>
              <w:top w:val="single" w:sz="4" w:space="0" w:color="auto"/>
              <w:bottom w:val="single" w:sz="4" w:space="0" w:color="auto"/>
            </w:tcBorders>
          </w:tcPr>
          <w:p>
            <w:pPr>
              <w:pStyle w:val="yTableNAm"/>
              <w:keepNext/>
              <w:keepLines/>
              <w:rPr>
                <w:szCs w:val="22"/>
              </w:rPr>
            </w:pPr>
            <w:r>
              <w:rPr>
                <w:szCs w:val="22"/>
              </w:rPr>
              <w:t>1.</w:t>
            </w:r>
          </w:p>
        </w:tc>
        <w:tc>
          <w:tcPr>
            <w:tcW w:w="4252" w:type="dxa"/>
            <w:tcBorders>
              <w:top w:val="single" w:sz="4" w:space="0" w:color="auto"/>
              <w:bottom w:val="single" w:sz="4" w:space="0" w:color="auto"/>
            </w:tcBorders>
          </w:tcPr>
          <w:p>
            <w:pPr>
              <w:pStyle w:val="yTableNAm"/>
              <w:keepNext/>
              <w:keepLines/>
              <w:rPr>
                <w:szCs w:val="22"/>
              </w:rPr>
            </w:pPr>
            <w:r>
              <w:rPr>
                <w:szCs w:val="22"/>
              </w:rPr>
              <w:t>Application as defined in regulation 31 (for each building standard in respect of which a declaration is sought)</w:t>
            </w:r>
          </w:p>
        </w:tc>
        <w:tc>
          <w:tcPr>
            <w:tcW w:w="1701" w:type="dxa"/>
            <w:tcBorders>
              <w:top w:val="single" w:sz="4" w:space="0" w:color="auto"/>
              <w:bottom w:val="single" w:sz="4" w:space="0" w:color="auto"/>
            </w:tcBorders>
          </w:tcPr>
          <w:p>
            <w:pPr>
              <w:pStyle w:val="TableNAm"/>
              <w:keepNext/>
              <w:keepLines/>
              <w:tabs>
                <w:tab w:val="clear" w:pos="567"/>
                <w:tab w:val="left" w:pos="316"/>
              </w:tabs>
              <w:spacing w:before="60"/>
              <w:rPr>
                <w:sz w:val="22"/>
                <w:szCs w:val="22"/>
              </w:rPr>
            </w:pPr>
            <w:r>
              <w:rPr>
                <w:sz w:val="22"/>
                <w:szCs w:val="22"/>
              </w:rPr>
              <w:t>$2 000</w:t>
            </w:r>
          </w:p>
        </w:tc>
      </w:tr>
    </w:tbl>
    <w:p>
      <w:pPr>
        <w:sectPr>
          <w:headerReference w:type="even" r:id="rId26"/>
          <w:headerReference w:type="default" r:id="rId27"/>
          <w:pgSz w:w="11907" w:h="16840" w:code="9"/>
          <w:pgMar w:top="2381" w:right="2410" w:bottom="3544" w:left="2410" w:header="720" w:footer="3380" w:gutter="0"/>
          <w:cols w:space="720"/>
          <w:docGrid w:linePitch="78"/>
        </w:sectPr>
      </w:pPr>
    </w:p>
    <w:p>
      <w:pPr>
        <w:pStyle w:val="yScheduleHeading"/>
      </w:pPr>
      <w:bookmarkStart w:id="320" w:name="_Toc320625199"/>
      <w:bookmarkStart w:id="321" w:name="_Toc320625563"/>
      <w:bookmarkStart w:id="322" w:name="_Toc320625838"/>
      <w:bookmarkStart w:id="323" w:name="_Toc320697878"/>
      <w:bookmarkStart w:id="324" w:name="_Toc327448519"/>
      <w:bookmarkStart w:id="325" w:name="_Toc327450611"/>
      <w:r>
        <w:rPr>
          <w:rStyle w:val="CharSchNo"/>
        </w:rPr>
        <w:t>Schedule 3</w:t>
      </w:r>
      <w:r>
        <w:t> — </w:t>
      </w:r>
      <w:r>
        <w:rPr>
          <w:rStyle w:val="CharSchText"/>
        </w:rPr>
        <w:t>Inspections or tests of systems</w:t>
      </w:r>
      <w:bookmarkEnd w:id="320"/>
      <w:bookmarkEnd w:id="321"/>
      <w:bookmarkEnd w:id="322"/>
      <w:bookmarkEnd w:id="323"/>
      <w:bookmarkEnd w:id="324"/>
      <w:bookmarkEnd w:id="325"/>
    </w:p>
    <w:p>
      <w:pPr>
        <w:pStyle w:val="yShoulderClause"/>
      </w:pPr>
      <w:r>
        <w:t>[r. 27]</w:t>
      </w:r>
    </w:p>
    <w:p>
      <w:pPr>
        <w:pStyle w:val="yHeading5"/>
      </w:pPr>
      <w:bookmarkStart w:id="326" w:name="_Toc320625200"/>
      <w:bookmarkStart w:id="327" w:name="_Toc327450612"/>
      <w:r>
        <w:rPr>
          <w:rStyle w:val="CharSClsNo"/>
        </w:rPr>
        <w:t>1</w:t>
      </w:r>
      <w:r>
        <w:t>.</w:t>
      </w:r>
      <w:r>
        <w:tab/>
        <w:t>Term used: EP</w:t>
      </w:r>
      <w:bookmarkEnd w:id="326"/>
      <w:bookmarkEnd w:id="327"/>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544"/>
      </w:tblGrid>
      <w:tr>
        <w:trPr>
          <w:tblHeader/>
        </w:trPr>
        <w:tc>
          <w:tcPr>
            <w:tcW w:w="3402" w:type="dxa"/>
          </w:tcPr>
          <w:p>
            <w:pPr>
              <w:pStyle w:val="yTableNAm"/>
              <w:jc w:val="center"/>
              <w:rPr>
                <w:b/>
                <w:bCs/>
              </w:rPr>
            </w:pPr>
            <w:r>
              <w:rPr>
                <w:b/>
                <w:bCs/>
              </w:rPr>
              <w:t>Column 1</w:t>
            </w:r>
          </w:p>
          <w:p>
            <w:pPr>
              <w:pStyle w:val="yTableNAm"/>
              <w:jc w:val="center"/>
              <w:rPr>
                <w:b/>
                <w:bCs/>
              </w:rPr>
            </w:pPr>
            <w:r>
              <w:rPr>
                <w:b/>
                <w:bCs/>
              </w:rPr>
              <w:t>System to be tested</w:t>
            </w:r>
          </w:p>
        </w:tc>
        <w:tc>
          <w:tcPr>
            <w:tcW w:w="3544" w:type="dxa"/>
          </w:tcPr>
          <w:p>
            <w:pPr>
              <w:pStyle w:val="yTableNAm"/>
              <w:jc w:val="center"/>
              <w:rPr>
                <w:b/>
                <w:bCs/>
              </w:rPr>
            </w:pPr>
            <w:r>
              <w:rPr>
                <w:b/>
                <w:bCs/>
              </w:rPr>
              <w:t>Column 2</w:t>
            </w:r>
          </w:p>
          <w:p>
            <w:pPr>
              <w:pStyle w:val="yTableNAm"/>
              <w:jc w:val="center"/>
              <w:rPr>
                <w:b/>
                <w:bCs/>
              </w:rPr>
            </w:pPr>
            <w:r>
              <w:rPr>
                <w:b/>
                <w:bCs/>
              </w:rPr>
              <w:t>When test to be conducted</w:t>
            </w:r>
          </w:p>
        </w:tc>
      </w:tr>
      <w:tr>
        <w:tc>
          <w:tcPr>
            <w:tcW w:w="3402" w:type="dxa"/>
          </w:tcPr>
          <w:p>
            <w:pPr>
              <w:pStyle w:val="yTableNAm"/>
            </w:pPr>
            <w:r>
              <w:t>Fire hose reel system required under EP1.1 and EP1.5</w:t>
            </w:r>
          </w:p>
        </w:tc>
        <w:tc>
          <w:tcPr>
            <w:tcW w:w="3544" w:type="dxa"/>
          </w:tcPr>
          <w:p>
            <w:pPr>
              <w:pStyle w:val="yTableNAm"/>
            </w:pPr>
            <w:r>
              <w:t>On completion of the installation of the system</w:t>
            </w:r>
          </w:p>
        </w:tc>
      </w:tr>
      <w:tr>
        <w:tc>
          <w:tcPr>
            <w:tcW w:w="3402" w:type="dxa"/>
          </w:tcPr>
          <w:p>
            <w:pPr>
              <w:pStyle w:val="yTableNAm"/>
            </w:pPr>
            <w:r>
              <w:t>Fire hydrant system required under EP1.1 and EP1.5</w:t>
            </w:r>
          </w:p>
        </w:tc>
        <w:tc>
          <w:tcPr>
            <w:tcW w:w="3544" w:type="dxa"/>
          </w:tcPr>
          <w:p>
            <w:pPr>
              <w:pStyle w:val="yTableNAm"/>
            </w:pPr>
            <w:r>
              <w:t>On completion of the installation of the system</w:t>
            </w:r>
          </w:p>
        </w:tc>
      </w:tr>
      <w:tr>
        <w:tc>
          <w:tcPr>
            <w:tcW w:w="3402" w:type="dxa"/>
          </w:tcPr>
          <w:p>
            <w:pPr>
              <w:pStyle w:val="yTableNAm"/>
            </w:pPr>
            <w:r>
              <w:t>Automatic fire suppression system required under EP1.4</w:t>
            </w:r>
          </w:p>
        </w:tc>
        <w:tc>
          <w:tcPr>
            <w:tcW w:w="3544" w:type="dxa"/>
          </w:tcPr>
          <w:p>
            <w:pPr>
              <w:pStyle w:val="yTableNAm"/>
            </w:pPr>
            <w:r>
              <w:t>On completion of the installation of the system</w:t>
            </w:r>
          </w:p>
        </w:tc>
      </w:tr>
      <w:tr>
        <w:tc>
          <w:tcPr>
            <w:tcW w:w="3402" w:type="dxa"/>
          </w:tcPr>
          <w:p>
            <w:pPr>
              <w:pStyle w:val="yTableNAm"/>
            </w:pPr>
            <w:r>
              <w:t>Fire detection, warning, control and intercom systems required under EP2.1 and EP2.2</w:t>
            </w:r>
          </w:p>
        </w:tc>
        <w:tc>
          <w:tcPr>
            <w:tcW w:w="3544" w:type="dxa"/>
          </w:tcPr>
          <w:p>
            <w:pPr>
              <w:pStyle w:val="yTableNAm"/>
            </w:pPr>
            <w:r>
              <w:t>On completion of the installation of the system</w:t>
            </w:r>
          </w:p>
        </w:tc>
      </w:tr>
      <w:tr>
        <w:tc>
          <w:tcPr>
            <w:tcW w:w="3402" w:type="dxa"/>
          </w:tcPr>
          <w:p>
            <w:pPr>
              <w:pStyle w:val="yTableNAm"/>
            </w:pPr>
            <w:r>
              <w:t>Air handling systems that incorporate smoke control provisions required under EP2.2</w:t>
            </w:r>
          </w:p>
        </w:tc>
        <w:tc>
          <w:tcPr>
            <w:tcW w:w="3544" w:type="dxa"/>
          </w:tcPr>
          <w:p>
            <w:pPr>
              <w:pStyle w:val="yTableNAm"/>
            </w:pPr>
            <w:r>
              <w:t>On completion of the building work</w:t>
            </w:r>
          </w:p>
        </w:tc>
      </w:tr>
      <w:tr>
        <w:tc>
          <w:tcPr>
            <w:tcW w:w="3402" w:type="dxa"/>
          </w:tcPr>
          <w:p>
            <w:pPr>
              <w:pStyle w:val="yTableNAm"/>
            </w:pPr>
            <w:r>
              <w:t>Smoke/heat venting systems required under EP2.2</w:t>
            </w:r>
          </w:p>
        </w:tc>
        <w:tc>
          <w:tcPr>
            <w:tcW w:w="3544" w:type="dxa"/>
          </w:tcPr>
          <w:p>
            <w:pPr>
              <w:pStyle w:val="yTableNAm"/>
            </w:pPr>
            <w:r>
              <w:t>On completion of the installation of the system</w:t>
            </w:r>
          </w:p>
        </w:tc>
      </w:tr>
      <w:tr>
        <w:tc>
          <w:tcPr>
            <w:tcW w:w="3402" w:type="dxa"/>
          </w:tcPr>
          <w:p>
            <w:pPr>
              <w:pStyle w:val="yTableNAm"/>
            </w:pPr>
            <w:r>
              <w:t>Sound systems and intercom systems for emergency purposes required under EP4.3</w:t>
            </w:r>
          </w:p>
        </w:tc>
        <w:tc>
          <w:tcPr>
            <w:tcW w:w="3544" w:type="dxa"/>
          </w:tcPr>
          <w:p>
            <w:pPr>
              <w:pStyle w:val="yTableNAm"/>
            </w:pPr>
            <w:r>
              <w:t>On completion of the installation of the system</w:t>
            </w:r>
          </w:p>
        </w:tc>
      </w:tr>
    </w:tbl>
    <w:p>
      <w:pPr>
        <w:sectPr>
          <w:headerReference w:type="even" r:id="rId28"/>
          <w:headerReference w:type="default" r:id="rId29"/>
          <w:pgSz w:w="11907" w:h="16840" w:code="9"/>
          <w:pgMar w:top="2381" w:right="2410" w:bottom="3544" w:left="2410" w:header="720" w:footer="3380" w:gutter="0"/>
          <w:cols w:space="720"/>
          <w:docGrid w:linePitch="78"/>
        </w:sectPr>
      </w:pPr>
      <w:bookmarkStart w:id="328" w:name="_Toc308532497"/>
      <w:bookmarkStart w:id="329" w:name="_Toc308532582"/>
      <w:bookmarkStart w:id="330" w:name="_Toc308601871"/>
      <w:bookmarkStart w:id="331" w:name="_Toc309051609"/>
      <w:bookmarkStart w:id="332" w:name="_Toc309907294"/>
      <w:bookmarkStart w:id="333" w:name="_Toc309907380"/>
      <w:bookmarkStart w:id="334" w:name="_Toc309911998"/>
      <w:bookmarkStart w:id="335" w:name="_Toc309914706"/>
    </w:p>
    <w:p>
      <w:pPr>
        <w:pStyle w:val="yScheduleHeading"/>
      </w:pPr>
      <w:bookmarkStart w:id="336" w:name="_Toc320625201"/>
      <w:bookmarkStart w:id="337" w:name="_Toc320625565"/>
      <w:bookmarkStart w:id="338" w:name="_Toc320625840"/>
      <w:bookmarkStart w:id="339" w:name="_Toc320697880"/>
      <w:bookmarkStart w:id="340" w:name="_Toc327448521"/>
      <w:bookmarkStart w:id="341" w:name="_Toc327450613"/>
      <w:bookmarkEnd w:id="328"/>
      <w:bookmarkEnd w:id="329"/>
      <w:bookmarkEnd w:id="330"/>
      <w:bookmarkEnd w:id="331"/>
      <w:bookmarkEnd w:id="332"/>
      <w:bookmarkEnd w:id="333"/>
      <w:bookmarkEnd w:id="334"/>
      <w:bookmarkEnd w:id="335"/>
      <w:r>
        <w:rPr>
          <w:rStyle w:val="CharSchNo"/>
        </w:rPr>
        <w:t>Schedule 4</w:t>
      </w:r>
      <w:r>
        <w:t> — </w:t>
      </w:r>
      <w:r>
        <w:rPr>
          <w:rStyle w:val="CharSchText"/>
        </w:rPr>
        <w:t>Building work that does not require building permit</w:t>
      </w:r>
      <w:bookmarkEnd w:id="336"/>
      <w:bookmarkEnd w:id="337"/>
      <w:bookmarkEnd w:id="338"/>
      <w:bookmarkEnd w:id="339"/>
      <w:bookmarkEnd w:id="340"/>
      <w:bookmarkEnd w:id="341"/>
    </w:p>
    <w:p>
      <w:pPr>
        <w:pStyle w:val="yShoulderClause"/>
      </w:pPr>
      <w:r>
        <w:t>[r. 41]</w:t>
      </w:r>
    </w:p>
    <w:p>
      <w:pPr>
        <w:pStyle w:val="yHeading5"/>
        <w:rPr>
          <w:rStyle w:val="CharSDivText"/>
        </w:rPr>
      </w:pPr>
      <w:bookmarkStart w:id="342" w:name="_Toc320625202"/>
      <w:bookmarkStart w:id="343" w:name="_Toc327450614"/>
      <w:r>
        <w:rPr>
          <w:rStyle w:val="CharSClsNo"/>
        </w:rPr>
        <w:t>1</w:t>
      </w:r>
      <w:r>
        <w:t>.</w:t>
      </w:r>
      <w:r>
        <w:tab/>
      </w:r>
      <w:r>
        <w:rPr>
          <w:rStyle w:val="CharSDivText"/>
        </w:rPr>
        <w:t>Areas where building permit not required for certain work</w:t>
      </w:r>
      <w:bookmarkEnd w:id="342"/>
      <w:bookmarkEnd w:id="343"/>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2551"/>
        <w:gridCol w:w="2552"/>
      </w:tblGrid>
      <w:tr>
        <w:trPr>
          <w:tblHeader/>
        </w:trPr>
        <w:tc>
          <w:tcPr>
            <w:tcW w:w="1701" w:type="dxa"/>
            <w:tcBorders>
              <w:bottom w:val="single" w:sz="4" w:space="0" w:color="auto"/>
            </w:tcBorders>
          </w:tcPr>
          <w:p>
            <w:pPr>
              <w:pStyle w:val="yTableNAm"/>
              <w:jc w:val="center"/>
              <w:rPr>
                <w:b/>
                <w:bCs/>
              </w:rPr>
            </w:pPr>
            <w:r>
              <w:rPr>
                <w:b/>
                <w:bCs/>
              </w:rPr>
              <w:t>Column 1</w:t>
            </w:r>
          </w:p>
          <w:p>
            <w:pPr>
              <w:pStyle w:val="yTableNAm"/>
              <w:jc w:val="center"/>
              <w:rPr>
                <w:b/>
                <w:bCs/>
              </w:rPr>
            </w:pPr>
            <w:r>
              <w:rPr>
                <w:b/>
                <w:bCs/>
              </w:rPr>
              <w:t>Local government district</w:t>
            </w:r>
          </w:p>
        </w:tc>
        <w:tc>
          <w:tcPr>
            <w:tcW w:w="2551" w:type="dxa"/>
            <w:tcBorders>
              <w:bottom w:val="single" w:sz="4" w:space="0" w:color="auto"/>
            </w:tcBorders>
          </w:tcPr>
          <w:p>
            <w:pPr>
              <w:pStyle w:val="yTableNAm"/>
              <w:jc w:val="center"/>
              <w:rPr>
                <w:b/>
                <w:bCs/>
              </w:rPr>
            </w:pPr>
            <w:r>
              <w:rPr>
                <w:b/>
                <w:bCs/>
              </w:rPr>
              <w:t>Column 2</w:t>
            </w:r>
          </w:p>
          <w:p>
            <w:pPr>
              <w:pStyle w:val="yTableNAm"/>
              <w:jc w:val="center"/>
              <w:rPr>
                <w:b/>
                <w:bCs/>
              </w:rPr>
            </w:pPr>
            <w:r>
              <w:rPr>
                <w:b/>
                <w:bCs/>
              </w:rPr>
              <w:t>Area where building permit not required for building work for Class 10 building or incidental structure</w:t>
            </w:r>
          </w:p>
        </w:tc>
        <w:tc>
          <w:tcPr>
            <w:tcW w:w="2552" w:type="dxa"/>
            <w:tcBorders>
              <w:bottom w:val="single" w:sz="4" w:space="0" w:color="auto"/>
            </w:tcBorders>
          </w:tcPr>
          <w:p>
            <w:pPr>
              <w:pStyle w:val="yTableNAm"/>
              <w:jc w:val="center"/>
              <w:rPr>
                <w:b/>
                <w:bCs/>
              </w:rPr>
            </w:pPr>
            <w:r>
              <w:rPr>
                <w:b/>
                <w:bCs/>
              </w:rPr>
              <w:t>Column 3</w:t>
            </w:r>
          </w:p>
          <w:p>
            <w:pPr>
              <w:pStyle w:val="yTableNAm"/>
              <w:jc w:val="center"/>
              <w:rPr>
                <w:b/>
                <w:bCs/>
              </w:rPr>
            </w:pPr>
            <w:r>
              <w:rPr>
                <w:b/>
                <w:bCs/>
              </w:rPr>
              <w:t>Area where building permit not required for building work for building other than Class 10 building or incidental structure</w:t>
            </w:r>
          </w:p>
        </w:tc>
      </w:tr>
      <w:tr>
        <w:trPr>
          <w:cantSplit/>
        </w:trPr>
        <w:tc>
          <w:tcPr>
            <w:tcW w:w="1701" w:type="dxa"/>
            <w:tcBorders>
              <w:bottom w:val="nil"/>
            </w:tcBorders>
          </w:tcPr>
          <w:p>
            <w:pPr>
              <w:pStyle w:val="yTableNAm"/>
            </w:pPr>
            <w:r>
              <w:t>Broomehill</w:t>
            </w:r>
          </w:p>
        </w:tc>
        <w:tc>
          <w:tcPr>
            <w:tcW w:w="2551" w:type="dxa"/>
            <w:tcBorders>
              <w:bottom w:val="nil"/>
            </w:tcBorders>
          </w:tcPr>
          <w:p>
            <w:pPr>
              <w:pStyle w:val="ySubsection"/>
              <w:tabs>
                <w:tab w:val="clear" w:pos="595"/>
                <w:tab w:val="clear" w:pos="879"/>
                <w:tab w:val="right" w:pos="0"/>
                <w:tab w:val="left" w:pos="749"/>
                <w:tab w:val="left" w:pos="1139"/>
              </w:tabs>
              <w:ind w:left="0" w:firstLine="0"/>
            </w:pPr>
            <w:r>
              <w:t xml:space="preserve">Whole district other than — </w:t>
            </w:r>
          </w:p>
          <w:p>
            <w:pPr>
              <w:pStyle w:val="yTableNAm"/>
              <w:tabs>
                <w:tab w:val="clear" w:pos="567"/>
                <w:tab w:val="left" w:pos="459"/>
                <w:tab w:val="left" w:pos="1139"/>
              </w:tabs>
              <w:ind w:left="459" w:hanging="425"/>
            </w:pPr>
            <w:r>
              <w:t>(a)</w:t>
            </w:r>
            <w:r>
              <w:tab/>
              <w:t>townsites;</w:t>
            </w:r>
          </w:p>
        </w:tc>
        <w:tc>
          <w:tcPr>
            <w:tcW w:w="2552" w:type="dxa"/>
            <w:tcBorders>
              <w:bottom w:val="nil"/>
            </w:tcBorders>
          </w:tcPr>
          <w:p>
            <w:pPr>
              <w:pStyle w:val="yTableNAm"/>
            </w:pPr>
          </w:p>
        </w:tc>
      </w:tr>
      <w:tr>
        <w:trPr>
          <w:cantSplit/>
        </w:trPr>
        <w:tc>
          <w:tcPr>
            <w:tcW w:w="1701" w:type="dxa"/>
            <w:tcBorders>
              <w:top w:val="nil"/>
              <w:bottom w:val="nil"/>
            </w:tcBorders>
          </w:tcPr>
          <w:p>
            <w:pPr>
              <w:pStyle w:val="yTableNAm"/>
            </w:pPr>
          </w:p>
        </w:tc>
        <w:tc>
          <w:tcPr>
            <w:tcW w:w="2551"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552" w:type="dxa"/>
            <w:tcBorders>
              <w:top w:val="nil"/>
              <w:bottom w:val="nil"/>
            </w:tcBorders>
          </w:tcPr>
          <w:p>
            <w:pPr>
              <w:pStyle w:val="yTableNAm"/>
            </w:pPr>
          </w:p>
        </w:tc>
      </w:tr>
      <w:tr>
        <w:trPr>
          <w:cantSplit/>
        </w:trPr>
        <w:tc>
          <w:tcPr>
            <w:tcW w:w="1701" w:type="dxa"/>
            <w:tcBorders>
              <w:top w:val="nil"/>
              <w:bottom w:val="nil"/>
            </w:tcBorders>
          </w:tcPr>
          <w:p>
            <w:pPr>
              <w:pStyle w:val="yTableNAm"/>
            </w:pPr>
          </w:p>
        </w:tc>
        <w:tc>
          <w:tcPr>
            <w:tcW w:w="2551"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552" w:type="dxa"/>
            <w:tcBorders>
              <w:top w:val="nil"/>
              <w:bottom w:val="nil"/>
            </w:tcBorders>
          </w:tcPr>
          <w:p>
            <w:pPr>
              <w:pStyle w:val="yTableNAm"/>
            </w:pPr>
          </w:p>
        </w:tc>
      </w:tr>
      <w:tr>
        <w:trPr>
          <w:cantSplit/>
        </w:trPr>
        <w:tc>
          <w:tcPr>
            <w:tcW w:w="1701" w:type="dxa"/>
            <w:tcBorders>
              <w:top w:val="nil"/>
              <w:bottom w:val="nil"/>
            </w:tcBorders>
          </w:tcPr>
          <w:p>
            <w:pPr>
              <w:pStyle w:val="yTableNAm"/>
            </w:pPr>
          </w:p>
        </w:tc>
        <w:tc>
          <w:tcPr>
            <w:tcW w:w="2551" w:type="dxa"/>
            <w:tcBorders>
              <w:top w:val="nil"/>
              <w:bottom w:val="nil"/>
            </w:tcBorders>
          </w:tcPr>
          <w:p>
            <w:pPr>
              <w:pStyle w:val="yTableNAm"/>
              <w:tabs>
                <w:tab w:val="clear" w:pos="567"/>
                <w:tab w:val="left" w:pos="459"/>
              </w:tabs>
              <w:spacing w:before="0"/>
              <w:ind w:left="459" w:hanging="459"/>
            </w:pPr>
            <w:r>
              <w:t>(d)</w:t>
            </w:r>
            <w:r>
              <w:tab/>
              <w:t>Kojonup Location 1671;</w:t>
            </w:r>
          </w:p>
        </w:tc>
        <w:tc>
          <w:tcPr>
            <w:tcW w:w="2552" w:type="dxa"/>
            <w:tcBorders>
              <w:top w:val="nil"/>
              <w:bottom w:val="nil"/>
            </w:tcBorders>
          </w:tcPr>
          <w:p>
            <w:pPr>
              <w:pStyle w:val="yTableNAm"/>
            </w:pPr>
          </w:p>
        </w:tc>
      </w:tr>
      <w:tr>
        <w:trPr>
          <w:cantSplit/>
        </w:trPr>
        <w:tc>
          <w:tcPr>
            <w:tcW w:w="1701" w:type="dxa"/>
            <w:tcBorders>
              <w:top w:val="nil"/>
              <w:bottom w:val="single" w:sz="4" w:space="0" w:color="auto"/>
            </w:tcBorders>
          </w:tcPr>
          <w:p>
            <w:pPr>
              <w:pStyle w:val="yTableNAm"/>
            </w:pPr>
          </w:p>
        </w:tc>
        <w:tc>
          <w:tcPr>
            <w:tcW w:w="2551"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552" w:type="dxa"/>
            <w:tcBorders>
              <w:top w:val="nil"/>
              <w:bottom w:val="single" w:sz="4" w:space="0" w:color="auto"/>
            </w:tcBorders>
          </w:tcPr>
          <w:p>
            <w:pPr>
              <w:pStyle w:val="yTableNAm"/>
            </w:pPr>
          </w:p>
        </w:tc>
      </w:tr>
      <w:tr>
        <w:trPr>
          <w:cantSplit/>
        </w:trPr>
        <w:tc>
          <w:tcPr>
            <w:tcW w:w="1701" w:type="dxa"/>
            <w:tcBorders>
              <w:top w:val="single" w:sz="4" w:space="0" w:color="auto"/>
            </w:tcBorders>
          </w:tcPr>
          <w:p>
            <w:pPr>
              <w:pStyle w:val="yTableNAm"/>
            </w:pPr>
            <w:r>
              <w:t>Bruce Rock</w:t>
            </w:r>
          </w:p>
        </w:tc>
        <w:tc>
          <w:tcPr>
            <w:tcW w:w="2551" w:type="dxa"/>
            <w:tcBorders>
              <w:top w:val="single" w:sz="4" w:space="0" w:color="auto"/>
            </w:tcBorders>
          </w:tcPr>
          <w:p>
            <w:pPr>
              <w:pStyle w:val="yTableNAm"/>
            </w:pPr>
            <w:r>
              <w:t>Whole district other than townsites</w:t>
            </w:r>
          </w:p>
        </w:tc>
        <w:tc>
          <w:tcPr>
            <w:tcW w:w="2552" w:type="dxa"/>
            <w:tcBorders>
              <w:top w:val="single" w:sz="4" w:space="0" w:color="auto"/>
            </w:tcBorders>
          </w:tcPr>
          <w:p>
            <w:pPr>
              <w:pStyle w:val="yTableNAm"/>
            </w:pPr>
          </w:p>
        </w:tc>
      </w:tr>
      <w:tr>
        <w:trPr>
          <w:cantSplit/>
        </w:trPr>
        <w:tc>
          <w:tcPr>
            <w:tcW w:w="1701" w:type="dxa"/>
          </w:tcPr>
          <w:p>
            <w:pPr>
              <w:pStyle w:val="yTableNAm"/>
            </w:pPr>
            <w:r>
              <w:t>Carnarvon</w:t>
            </w:r>
          </w:p>
        </w:tc>
        <w:tc>
          <w:tcPr>
            <w:tcW w:w="2551" w:type="dxa"/>
          </w:tcPr>
          <w:p>
            <w:pPr>
              <w:pStyle w:val="yTableNAm"/>
            </w:pPr>
            <w:r>
              <w:t>Gascoyne</w:t>
            </w:r>
            <w:r>
              <w:noBreakHyphen/>
              <w:t>Minilya Ward</w:t>
            </w:r>
          </w:p>
        </w:tc>
        <w:tc>
          <w:tcPr>
            <w:tcW w:w="2552" w:type="dxa"/>
          </w:tcPr>
          <w:p>
            <w:pPr>
              <w:pStyle w:val="yTableNAm"/>
            </w:pPr>
          </w:p>
        </w:tc>
      </w:tr>
      <w:tr>
        <w:trPr>
          <w:cantSplit/>
        </w:trPr>
        <w:tc>
          <w:tcPr>
            <w:tcW w:w="1701" w:type="dxa"/>
          </w:tcPr>
          <w:p>
            <w:pPr>
              <w:pStyle w:val="yTableNAm"/>
            </w:pPr>
            <w:r>
              <w:t>Corrigin</w:t>
            </w:r>
          </w:p>
        </w:tc>
        <w:tc>
          <w:tcPr>
            <w:tcW w:w="2551" w:type="dxa"/>
          </w:tcPr>
          <w:p>
            <w:pPr>
              <w:pStyle w:val="yTableNAm"/>
            </w:pPr>
            <w:r>
              <w:t>Whole district other than townsite of Corrigin</w:t>
            </w:r>
          </w:p>
        </w:tc>
        <w:tc>
          <w:tcPr>
            <w:tcW w:w="2552" w:type="dxa"/>
          </w:tcPr>
          <w:p>
            <w:pPr>
              <w:pStyle w:val="yTableNAm"/>
            </w:pPr>
          </w:p>
        </w:tc>
      </w:tr>
      <w:tr>
        <w:trPr>
          <w:cantSplit/>
        </w:trPr>
        <w:tc>
          <w:tcPr>
            <w:tcW w:w="1701" w:type="dxa"/>
          </w:tcPr>
          <w:p>
            <w:pPr>
              <w:pStyle w:val="yTableNAm"/>
            </w:pPr>
            <w:smartTag w:uri="urn:schemas-microsoft-com:office:smarttags" w:element="place">
              <w:smartTag w:uri="urn:schemas-microsoft-com:office:smarttags" w:element="City">
                <w:r>
                  <w:t>Cranbrook</w:t>
                </w:r>
              </w:smartTag>
            </w:smartTag>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Cue</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Cunderdin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Dalwallinu</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Dandaragan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Dowerin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Dumbleyung</w:t>
            </w:r>
          </w:p>
        </w:tc>
        <w:tc>
          <w:tcPr>
            <w:tcW w:w="2551" w:type="dxa"/>
          </w:tcPr>
          <w:p>
            <w:pPr>
              <w:pStyle w:val="yTableNAm"/>
            </w:pPr>
            <w:r>
              <w:t>Whole district other than townsites of Dumbleyung, Kukerin</w:t>
            </w:r>
          </w:p>
        </w:tc>
        <w:tc>
          <w:tcPr>
            <w:tcW w:w="2552" w:type="dxa"/>
          </w:tcPr>
          <w:p>
            <w:pPr>
              <w:pStyle w:val="yTableNAm"/>
            </w:pPr>
          </w:p>
        </w:tc>
      </w:tr>
      <w:tr>
        <w:trPr>
          <w:cantSplit/>
        </w:trPr>
        <w:tc>
          <w:tcPr>
            <w:tcW w:w="1701" w:type="dxa"/>
          </w:tcPr>
          <w:p>
            <w:pPr>
              <w:pStyle w:val="yTableNAm"/>
            </w:pPr>
            <w:r>
              <w:t>Esperance</w:t>
            </w:r>
          </w:p>
        </w:tc>
        <w:tc>
          <w:tcPr>
            <w:tcW w:w="2551" w:type="dxa"/>
          </w:tcPr>
          <w:p>
            <w:pPr>
              <w:pStyle w:val="yTableNAm"/>
            </w:pPr>
            <w:r>
              <w:t xml:space="preserve">Whole district other than — </w:t>
            </w:r>
          </w:p>
          <w:p>
            <w:pPr>
              <w:pStyle w:val="yTableNAm"/>
              <w:tabs>
                <w:tab w:val="clear" w:pos="567"/>
                <w:tab w:val="left" w:pos="459"/>
                <w:tab w:val="left" w:pos="1139"/>
              </w:tabs>
              <w:ind w:left="459" w:hanging="425"/>
            </w:pPr>
            <w:r>
              <w:t>(a)</w:t>
            </w:r>
            <w:r>
              <w:tab/>
              <w:t>townsites;</w:t>
            </w:r>
          </w:p>
          <w:p>
            <w:pPr>
              <w:pStyle w:val="yTableNAm"/>
              <w:tabs>
                <w:tab w:val="clear" w:pos="567"/>
                <w:tab w:val="left" w:pos="459"/>
                <w:tab w:val="left" w:pos="1139"/>
              </w:tabs>
              <w:ind w:left="459" w:hanging="425"/>
            </w:pPr>
            <w:r>
              <w:t>(b)</w:t>
            </w:r>
            <w:r>
              <w:tab/>
              <w:t>lots measuring 10 ha or less</w:t>
            </w:r>
          </w:p>
        </w:tc>
        <w:tc>
          <w:tcPr>
            <w:tcW w:w="2552" w:type="dxa"/>
          </w:tcPr>
          <w:p>
            <w:pPr>
              <w:pStyle w:val="yTableNAm"/>
            </w:pPr>
          </w:p>
        </w:tc>
      </w:tr>
      <w:tr>
        <w:trPr>
          <w:cantSplit/>
        </w:trPr>
        <w:tc>
          <w:tcPr>
            <w:tcW w:w="1701" w:type="dxa"/>
          </w:tcPr>
          <w:p>
            <w:pPr>
              <w:pStyle w:val="yTableNAm"/>
            </w:pPr>
            <w:r>
              <w:t>Gnowangerup</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Greater Geraldton</w:t>
            </w:r>
          </w:p>
        </w:tc>
        <w:tc>
          <w:tcPr>
            <w:tcW w:w="2551" w:type="dxa"/>
          </w:tcPr>
          <w:p>
            <w:pPr>
              <w:pStyle w:val="yTableNAm"/>
            </w:pPr>
            <w:r>
              <w:t>Mullewa Ward other than townsites</w:t>
            </w:r>
          </w:p>
        </w:tc>
        <w:tc>
          <w:tcPr>
            <w:tcW w:w="2552" w:type="dxa"/>
          </w:tcPr>
          <w:p>
            <w:pPr>
              <w:pStyle w:val="yTableNAm"/>
            </w:pPr>
          </w:p>
        </w:tc>
      </w:tr>
      <w:tr>
        <w:trPr>
          <w:cantSplit/>
        </w:trPr>
        <w:tc>
          <w:tcPr>
            <w:tcW w:w="1701" w:type="dxa"/>
          </w:tcPr>
          <w:p>
            <w:pPr>
              <w:pStyle w:val="yTableNAm"/>
            </w:pPr>
            <w:r>
              <w:t>Jerramungup</w:t>
            </w:r>
          </w:p>
        </w:tc>
        <w:tc>
          <w:tcPr>
            <w:tcW w:w="2551" w:type="dxa"/>
          </w:tcPr>
          <w:p>
            <w:pPr>
              <w:pStyle w:val="yTableNAm"/>
            </w:pPr>
            <w:r>
              <w:t>Areas zoned rural by a local planning scheme</w:t>
            </w:r>
          </w:p>
        </w:tc>
        <w:tc>
          <w:tcPr>
            <w:tcW w:w="2552" w:type="dxa"/>
          </w:tcPr>
          <w:p>
            <w:pPr>
              <w:pStyle w:val="yTableNAm"/>
            </w:pPr>
          </w:p>
        </w:tc>
      </w:tr>
      <w:tr>
        <w:trPr>
          <w:cantSplit/>
        </w:trPr>
        <w:tc>
          <w:tcPr>
            <w:tcW w:w="1701" w:type="dxa"/>
          </w:tcPr>
          <w:p>
            <w:pPr>
              <w:pStyle w:val="yTableNAm"/>
            </w:pPr>
            <w:r>
              <w:t>Kellerberrin</w:t>
            </w:r>
          </w:p>
        </w:tc>
        <w:tc>
          <w:tcPr>
            <w:tcW w:w="2551" w:type="dxa"/>
          </w:tcPr>
          <w:p>
            <w:pPr>
              <w:pStyle w:val="yTableNAm"/>
            </w:pPr>
            <w:r>
              <w:t>Whole district other than townsites of Kellerberrin, Doodlakine and Baandee</w:t>
            </w:r>
          </w:p>
        </w:tc>
        <w:tc>
          <w:tcPr>
            <w:tcW w:w="2552" w:type="dxa"/>
          </w:tcPr>
          <w:p>
            <w:pPr>
              <w:pStyle w:val="yTableNAm"/>
            </w:pPr>
          </w:p>
        </w:tc>
      </w:tr>
      <w:tr>
        <w:trPr>
          <w:cantSplit/>
        </w:trPr>
        <w:tc>
          <w:tcPr>
            <w:tcW w:w="1701" w:type="dxa"/>
          </w:tcPr>
          <w:p>
            <w:pPr>
              <w:pStyle w:val="yTableNAm"/>
            </w:pPr>
            <w:smartTag w:uri="urn:schemas-microsoft-com:office:smarttags" w:element="place">
              <w:smartTag w:uri="urn:schemas-microsoft-com:office:smarttags" w:element="country-region">
                <w:r>
                  <w:t>Kent</w:t>
                </w:r>
              </w:smartTag>
            </w:smartTag>
          </w:p>
        </w:tc>
        <w:tc>
          <w:tcPr>
            <w:tcW w:w="2551" w:type="dxa"/>
          </w:tcPr>
          <w:p>
            <w:pPr>
              <w:pStyle w:val="yTableNAm"/>
            </w:pPr>
            <w:r>
              <w:t>Whole district other than townsites of Nyabing, Pingrup</w:t>
            </w:r>
          </w:p>
        </w:tc>
        <w:tc>
          <w:tcPr>
            <w:tcW w:w="2552" w:type="dxa"/>
          </w:tcPr>
          <w:p>
            <w:pPr>
              <w:pStyle w:val="yTableNAm"/>
            </w:pPr>
            <w:r>
              <w:t>Whole district other than townsites of Nyabing, Pingrup</w:t>
            </w:r>
          </w:p>
        </w:tc>
      </w:tr>
      <w:tr>
        <w:trPr>
          <w:cantSplit/>
        </w:trPr>
        <w:tc>
          <w:tcPr>
            <w:tcW w:w="1701" w:type="dxa"/>
          </w:tcPr>
          <w:p>
            <w:pPr>
              <w:pStyle w:val="yTableNAm"/>
            </w:pPr>
            <w:r>
              <w:t>Kojonup</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Koorda</w:t>
            </w:r>
          </w:p>
        </w:tc>
        <w:tc>
          <w:tcPr>
            <w:tcW w:w="2551" w:type="dxa"/>
          </w:tcPr>
          <w:p>
            <w:pPr>
              <w:pStyle w:val="yTableNAm"/>
            </w:pPr>
            <w:r>
              <w:t xml:space="preserve">Whole district other than — </w:t>
            </w:r>
          </w:p>
          <w:p>
            <w:pPr>
              <w:pStyle w:val="yTableNAm"/>
              <w:tabs>
                <w:tab w:val="clear" w:pos="567"/>
                <w:tab w:val="left" w:pos="459"/>
                <w:tab w:val="left" w:pos="1139"/>
              </w:tabs>
              <w:ind w:left="459" w:hanging="425"/>
            </w:pPr>
            <w:r>
              <w:t>(a)</w:t>
            </w:r>
            <w:r>
              <w:tab/>
              <w:t>townsites;</w:t>
            </w:r>
          </w:p>
          <w:p>
            <w:pPr>
              <w:pStyle w:val="yTableNAm"/>
              <w:tabs>
                <w:tab w:val="clear" w:pos="567"/>
                <w:tab w:val="left" w:pos="459"/>
                <w:tab w:val="left" w:pos="1139"/>
              </w:tabs>
              <w:ind w:left="459" w:hanging="425"/>
            </w:pPr>
            <w:r>
              <w:t>(b)</w:t>
            </w:r>
            <w:r>
              <w:tab/>
            </w:r>
            <w:smartTag w:uri="urn:schemas-microsoft-com:office:smarttags" w:element="place">
              <w:r>
                <w:t>Avon</w:t>
              </w:r>
            </w:smartTag>
            <w:r>
              <w:t xml:space="preserve"> location 16386</w:t>
            </w:r>
          </w:p>
        </w:tc>
        <w:tc>
          <w:tcPr>
            <w:tcW w:w="2552" w:type="dxa"/>
          </w:tcPr>
          <w:p>
            <w:pPr>
              <w:pStyle w:val="yTableNAm"/>
            </w:pPr>
          </w:p>
        </w:tc>
      </w:tr>
      <w:tr>
        <w:trPr>
          <w:cantSplit/>
        </w:trPr>
        <w:tc>
          <w:tcPr>
            <w:tcW w:w="1701" w:type="dxa"/>
          </w:tcPr>
          <w:p>
            <w:pPr>
              <w:pStyle w:val="yTableNAm"/>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Laverton</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Leonora</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Meekatharra</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Menzies</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Merredin</w:t>
            </w:r>
          </w:p>
        </w:tc>
        <w:tc>
          <w:tcPr>
            <w:tcW w:w="2551" w:type="dxa"/>
          </w:tcPr>
          <w:p>
            <w:pPr>
              <w:pStyle w:val="yTableNAm"/>
            </w:pPr>
            <w:r>
              <w:t>Whole district other than townsites of Burracoppin, Hines Hill, Korbel, Merredin, Muntadgin, Nangeenan, Nokaning, Nukarni</w:t>
            </w:r>
          </w:p>
        </w:tc>
        <w:tc>
          <w:tcPr>
            <w:tcW w:w="2552" w:type="dxa"/>
          </w:tcPr>
          <w:p>
            <w:pPr>
              <w:pStyle w:val="yTableNAm"/>
            </w:pPr>
          </w:p>
        </w:tc>
      </w:tr>
      <w:tr>
        <w:trPr>
          <w:cantSplit/>
        </w:trPr>
        <w:tc>
          <w:tcPr>
            <w:tcW w:w="1701" w:type="dxa"/>
          </w:tcPr>
          <w:p>
            <w:pPr>
              <w:pStyle w:val="yTableNAm"/>
            </w:pPr>
            <w:r>
              <w:t>Mingenew</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Moora</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Morawa</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Mt Marshall</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Mt Magnet</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Mukinbudin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Murchison</w:t>
            </w:r>
          </w:p>
        </w:tc>
        <w:tc>
          <w:tcPr>
            <w:tcW w:w="2551" w:type="dxa"/>
          </w:tcPr>
          <w:p>
            <w:pPr>
              <w:pStyle w:val="yTableNAm"/>
            </w:pPr>
            <w:r>
              <w:t>Whole district</w:t>
            </w:r>
          </w:p>
        </w:tc>
        <w:tc>
          <w:tcPr>
            <w:tcW w:w="2552" w:type="dxa"/>
          </w:tcPr>
          <w:p>
            <w:pPr>
              <w:pStyle w:val="yTableNAm"/>
            </w:pPr>
            <w:r>
              <w:t>Whole district</w:t>
            </w:r>
          </w:p>
        </w:tc>
      </w:tr>
      <w:tr>
        <w:trPr>
          <w:cantSplit/>
        </w:trPr>
        <w:tc>
          <w:tcPr>
            <w:tcW w:w="1701" w:type="dxa"/>
          </w:tcPr>
          <w:p>
            <w:pPr>
              <w:pStyle w:val="yTableNAm"/>
            </w:pPr>
            <w:smartTag w:uri="urn:schemas-microsoft-com:office:smarttags" w:element="place">
              <w:smartTag w:uri="urn:schemas-microsoft-com:office:smarttags" w:element="City">
                <w:r>
                  <w:t>Murray</w:t>
                </w:r>
              </w:smartTag>
            </w:smartTag>
          </w:p>
        </w:tc>
        <w:tc>
          <w:tcPr>
            <w:tcW w:w="2551" w:type="dxa"/>
          </w:tcPr>
          <w:p>
            <w:pPr>
              <w:pStyle w:val="yTableNAm"/>
            </w:pPr>
            <w:r>
              <w:t>Areas zoned rural by local laws or a local planning scheme</w:t>
            </w:r>
          </w:p>
        </w:tc>
        <w:tc>
          <w:tcPr>
            <w:tcW w:w="2552" w:type="dxa"/>
          </w:tcPr>
          <w:p>
            <w:pPr>
              <w:pStyle w:val="yTableNAm"/>
            </w:pPr>
          </w:p>
        </w:tc>
      </w:tr>
      <w:tr>
        <w:trPr>
          <w:cantSplit/>
        </w:trPr>
        <w:tc>
          <w:tcPr>
            <w:tcW w:w="1701" w:type="dxa"/>
          </w:tcPr>
          <w:p>
            <w:pPr>
              <w:pStyle w:val="yTableNAm"/>
            </w:pPr>
            <w:r>
              <w:t>Narembeen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Narrogin (Shire)</w:t>
            </w:r>
          </w:p>
        </w:tc>
        <w:tc>
          <w:tcPr>
            <w:tcW w:w="2551" w:type="dxa"/>
          </w:tcPr>
          <w:p>
            <w:pPr>
              <w:pStyle w:val="yTableNAm"/>
            </w:pPr>
            <w:r>
              <w:t>Areas zoned for farming purposes by a local planning scheme</w:t>
            </w:r>
          </w:p>
        </w:tc>
        <w:tc>
          <w:tcPr>
            <w:tcW w:w="2552" w:type="dxa"/>
          </w:tcPr>
          <w:p>
            <w:pPr>
              <w:pStyle w:val="yTableNAm"/>
            </w:pPr>
          </w:p>
        </w:tc>
      </w:tr>
      <w:tr>
        <w:trPr>
          <w:cantSplit/>
        </w:trPr>
        <w:tc>
          <w:tcPr>
            <w:tcW w:w="1701" w:type="dxa"/>
          </w:tcPr>
          <w:p>
            <w:pPr>
              <w:pStyle w:val="yTableNAm"/>
            </w:pPr>
            <w:r>
              <w:t>Nungarin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Perenjori</w:t>
            </w:r>
          </w:p>
        </w:tc>
        <w:tc>
          <w:tcPr>
            <w:tcW w:w="2551" w:type="dxa"/>
          </w:tcPr>
          <w:p>
            <w:pPr>
              <w:pStyle w:val="yTableNAm"/>
            </w:pPr>
            <w:r>
              <w:t xml:space="preserve">Whole district other than — </w:t>
            </w:r>
          </w:p>
          <w:p>
            <w:pPr>
              <w:pStyle w:val="yTableNAm"/>
              <w:tabs>
                <w:tab w:val="clear" w:pos="567"/>
                <w:tab w:val="left" w:pos="459"/>
                <w:tab w:val="left" w:pos="1139"/>
              </w:tabs>
              <w:ind w:left="459" w:hanging="425"/>
            </w:pPr>
            <w:r>
              <w:t>(a)</w:t>
            </w:r>
            <w:r>
              <w:tab/>
              <w:t>townsites;</w:t>
            </w:r>
          </w:p>
          <w:p>
            <w:pPr>
              <w:pStyle w:val="yTableNAm"/>
              <w:tabs>
                <w:tab w:val="clear" w:pos="567"/>
                <w:tab w:val="left" w:pos="459"/>
                <w:tab w:val="left" w:pos="1139"/>
              </w:tabs>
              <w:ind w:left="459" w:hanging="425"/>
            </w:pPr>
            <w:r>
              <w:t>(b)</w:t>
            </w:r>
            <w:r>
              <w:tab/>
              <w:t>areas subject to local planning schemes</w:t>
            </w:r>
          </w:p>
        </w:tc>
        <w:tc>
          <w:tcPr>
            <w:tcW w:w="2552" w:type="dxa"/>
          </w:tcPr>
          <w:p>
            <w:pPr>
              <w:pStyle w:val="yTableNAm"/>
            </w:pPr>
          </w:p>
        </w:tc>
      </w:tr>
      <w:tr>
        <w:trPr>
          <w:cantSplit/>
        </w:trPr>
        <w:tc>
          <w:tcPr>
            <w:tcW w:w="1701" w:type="dxa"/>
          </w:tcPr>
          <w:p>
            <w:pPr>
              <w:pStyle w:val="yTableNAm"/>
            </w:pPr>
            <w:r>
              <w:t>Port Hedland</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Ravensthorpe</w:t>
            </w:r>
          </w:p>
        </w:tc>
        <w:tc>
          <w:tcPr>
            <w:tcW w:w="2551" w:type="dxa"/>
          </w:tcPr>
          <w:p>
            <w:pPr>
              <w:pStyle w:val="yTableNAm"/>
            </w:pPr>
            <w:r>
              <w:t>Areas zoned general agricultural by a local planning scheme</w:t>
            </w:r>
          </w:p>
        </w:tc>
        <w:tc>
          <w:tcPr>
            <w:tcW w:w="2552" w:type="dxa"/>
          </w:tcPr>
          <w:p>
            <w:pPr>
              <w:pStyle w:val="yTableNAm"/>
            </w:pPr>
          </w:p>
        </w:tc>
      </w:tr>
      <w:tr>
        <w:trPr>
          <w:cantSplit/>
        </w:trPr>
        <w:tc>
          <w:tcPr>
            <w:tcW w:w="1701" w:type="dxa"/>
          </w:tcPr>
          <w:p>
            <w:pPr>
              <w:pStyle w:val="yTableNAm"/>
            </w:pPr>
            <w:r>
              <w:t>Sandstone</w:t>
            </w:r>
          </w:p>
        </w:tc>
        <w:tc>
          <w:tcPr>
            <w:tcW w:w="2551" w:type="dxa"/>
          </w:tcPr>
          <w:p>
            <w:pPr>
              <w:pStyle w:val="yTableNAm"/>
            </w:pPr>
            <w:r>
              <w:t>Whole district other than townsites in Sandstone Ward</w:t>
            </w:r>
          </w:p>
        </w:tc>
        <w:tc>
          <w:tcPr>
            <w:tcW w:w="2552" w:type="dxa"/>
          </w:tcPr>
          <w:p>
            <w:pPr>
              <w:pStyle w:val="yTableNAm"/>
            </w:pPr>
            <w:r>
              <w:t>Whole district other than Sandstone Ward</w:t>
            </w:r>
          </w:p>
        </w:tc>
      </w:tr>
      <w:tr>
        <w:trPr>
          <w:cantSplit/>
        </w:trPr>
        <w:tc>
          <w:tcPr>
            <w:tcW w:w="1701" w:type="dxa"/>
          </w:tcPr>
          <w:p>
            <w:pPr>
              <w:pStyle w:val="yTableNAm"/>
            </w:pPr>
            <w:r>
              <w:t>Tammin</w:t>
            </w:r>
          </w:p>
        </w:tc>
        <w:tc>
          <w:tcPr>
            <w:tcW w:w="2551" w:type="dxa"/>
          </w:tcPr>
          <w:p>
            <w:pPr>
              <w:pStyle w:val="yTableNAm"/>
            </w:pPr>
            <w:r>
              <w:t>Whole district other than townsite of Tammin</w:t>
            </w:r>
          </w:p>
        </w:tc>
        <w:tc>
          <w:tcPr>
            <w:tcW w:w="2552" w:type="dxa"/>
          </w:tcPr>
          <w:p>
            <w:pPr>
              <w:pStyle w:val="yTableNAm"/>
            </w:pPr>
          </w:p>
        </w:tc>
      </w:tr>
      <w:tr>
        <w:trPr>
          <w:cantSplit/>
        </w:trPr>
        <w:tc>
          <w:tcPr>
            <w:tcW w:w="1701" w:type="dxa"/>
          </w:tcPr>
          <w:p>
            <w:pPr>
              <w:pStyle w:val="yTableNAm"/>
            </w:pPr>
            <w:r>
              <w:t>Three Springs</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Trayning</w:t>
            </w:r>
          </w:p>
        </w:tc>
        <w:tc>
          <w:tcPr>
            <w:tcW w:w="2551" w:type="dxa"/>
          </w:tcPr>
          <w:p>
            <w:pPr>
              <w:pStyle w:val="yTableNAm"/>
            </w:pPr>
            <w:r>
              <w:t>Whole district other than townsites of Trayning, Kununoppin, Yelbeni</w:t>
            </w:r>
          </w:p>
        </w:tc>
        <w:tc>
          <w:tcPr>
            <w:tcW w:w="2552" w:type="dxa"/>
          </w:tcPr>
          <w:p>
            <w:pPr>
              <w:pStyle w:val="yTableNAm"/>
            </w:pPr>
            <w:r>
              <w:t>Whole district other than townsites of Trayning, Kununoppin, Yelbeni</w:t>
            </w:r>
          </w:p>
        </w:tc>
      </w:tr>
      <w:tr>
        <w:trPr>
          <w:cantSplit/>
        </w:trPr>
        <w:tc>
          <w:tcPr>
            <w:tcW w:w="1701" w:type="dxa"/>
          </w:tcPr>
          <w:p>
            <w:pPr>
              <w:pStyle w:val="yTableNAm"/>
            </w:pPr>
            <w:r>
              <w:t>Wagin</w:t>
            </w:r>
          </w:p>
        </w:tc>
        <w:tc>
          <w:tcPr>
            <w:tcW w:w="2551" w:type="dxa"/>
          </w:tcPr>
          <w:p>
            <w:pPr>
              <w:pStyle w:val="yTableNAm"/>
            </w:pPr>
            <w:r>
              <w:t xml:space="preserve">Whole district other than — </w:t>
            </w:r>
          </w:p>
          <w:p>
            <w:pPr>
              <w:pStyle w:val="yTableNAm"/>
              <w:tabs>
                <w:tab w:val="clear" w:pos="567"/>
                <w:tab w:val="left" w:pos="459"/>
                <w:tab w:val="left" w:pos="1139"/>
              </w:tabs>
              <w:ind w:left="459" w:hanging="425"/>
            </w:pPr>
            <w:r>
              <w:t>(a)</w:t>
            </w:r>
            <w:r>
              <w:tab/>
              <w:t>townsites in Town Ward;</w:t>
            </w:r>
          </w:p>
          <w:p>
            <w:pPr>
              <w:pStyle w:val="yTableNAm"/>
              <w:tabs>
                <w:tab w:val="clear" w:pos="567"/>
                <w:tab w:val="left" w:pos="459"/>
                <w:tab w:val="left" w:pos="1139"/>
              </w:tabs>
              <w:ind w:left="459" w:hanging="425"/>
            </w:pPr>
            <w:r>
              <w:t>(b)</w:t>
            </w:r>
            <w:r>
              <w:tab/>
              <w:t>Williams loc. 440, 507, 545, 618, 945, 1165 or 5330</w:t>
            </w:r>
          </w:p>
        </w:tc>
        <w:tc>
          <w:tcPr>
            <w:tcW w:w="2552" w:type="dxa"/>
          </w:tcPr>
          <w:p>
            <w:pPr>
              <w:pStyle w:val="yTableNAm"/>
            </w:pPr>
          </w:p>
        </w:tc>
      </w:tr>
      <w:tr>
        <w:trPr>
          <w:cantSplit/>
        </w:trPr>
        <w:tc>
          <w:tcPr>
            <w:tcW w:w="1701" w:type="dxa"/>
          </w:tcPr>
          <w:p>
            <w:pPr>
              <w:pStyle w:val="yTableNAm"/>
            </w:pPr>
            <w:r>
              <w:t>Wandering</w:t>
            </w:r>
          </w:p>
        </w:tc>
        <w:tc>
          <w:tcPr>
            <w:tcW w:w="2551" w:type="dxa"/>
          </w:tcPr>
          <w:p>
            <w:pPr>
              <w:pStyle w:val="yTableNAm"/>
            </w:pPr>
            <w:r>
              <w:t xml:space="preserve">Whole district other than — </w:t>
            </w:r>
          </w:p>
          <w:p>
            <w:pPr>
              <w:pStyle w:val="yTableNAm"/>
              <w:tabs>
                <w:tab w:val="clear" w:pos="567"/>
                <w:tab w:val="left" w:pos="459"/>
                <w:tab w:val="left" w:pos="1139"/>
              </w:tabs>
              <w:ind w:left="459" w:hanging="425"/>
            </w:pPr>
            <w:r>
              <w:t>(a)</w:t>
            </w:r>
            <w:r>
              <w:tab/>
              <w:t>townsite of Wandering;</w:t>
            </w:r>
          </w:p>
          <w:p>
            <w:pPr>
              <w:pStyle w:val="yTableNAm"/>
              <w:tabs>
                <w:tab w:val="clear" w:pos="567"/>
                <w:tab w:val="left" w:pos="459"/>
                <w:tab w:val="left" w:pos="1139"/>
              </w:tabs>
              <w:ind w:left="459" w:hanging="425"/>
            </w:pPr>
            <w:r>
              <w:t>(b)</w:t>
            </w:r>
            <w:r>
              <w:tab/>
              <w:t>areas zoned rural residential by local laws or a local planning scheme</w:t>
            </w:r>
          </w:p>
        </w:tc>
        <w:tc>
          <w:tcPr>
            <w:tcW w:w="2552" w:type="dxa"/>
          </w:tcPr>
          <w:p>
            <w:pPr>
              <w:pStyle w:val="yTableNAm"/>
            </w:pPr>
          </w:p>
        </w:tc>
      </w:tr>
      <w:tr>
        <w:trPr>
          <w:cantSplit/>
        </w:trPr>
        <w:tc>
          <w:tcPr>
            <w:tcW w:w="1701" w:type="dxa"/>
          </w:tcPr>
          <w:p>
            <w:pPr>
              <w:pStyle w:val="yTableNAm"/>
            </w:pPr>
            <w:r>
              <w:t>West Arthur</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Wickepin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Williams</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Wiluna</w:t>
            </w:r>
          </w:p>
        </w:tc>
        <w:tc>
          <w:tcPr>
            <w:tcW w:w="2551" w:type="dxa"/>
          </w:tcPr>
          <w:p>
            <w:pPr>
              <w:pStyle w:val="yTableNAm"/>
            </w:pPr>
            <w:r>
              <w:t>Whole district other than townsite of Wiluna</w:t>
            </w:r>
          </w:p>
        </w:tc>
        <w:tc>
          <w:tcPr>
            <w:tcW w:w="2552" w:type="dxa"/>
          </w:tcPr>
          <w:p>
            <w:pPr>
              <w:pStyle w:val="yTableNAm"/>
            </w:pPr>
            <w:r>
              <w:t>Whole district other than townsite of Wiluna</w:t>
            </w:r>
          </w:p>
        </w:tc>
      </w:tr>
      <w:tr>
        <w:trPr>
          <w:cantSplit/>
        </w:trPr>
        <w:tc>
          <w:tcPr>
            <w:tcW w:w="1701" w:type="dxa"/>
          </w:tcPr>
          <w:p>
            <w:pPr>
              <w:pStyle w:val="yTableNAm"/>
            </w:pPr>
            <w:r>
              <w:t>Wongan</w:t>
            </w:r>
            <w:r>
              <w:noBreakHyphen/>
              <w:t>Ballidu</w:t>
            </w:r>
          </w:p>
        </w:tc>
        <w:tc>
          <w:tcPr>
            <w:tcW w:w="2551" w:type="dxa"/>
          </w:tcPr>
          <w:p>
            <w:pPr>
              <w:pStyle w:val="yTableNAm"/>
            </w:pPr>
            <w:r>
              <w:t>Whole district other than townsites of Wongan Hills, Ballidu, Cadoux, Kondut, Burakin</w:t>
            </w:r>
          </w:p>
        </w:tc>
        <w:tc>
          <w:tcPr>
            <w:tcW w:w="2552" w:type="dxa"/>
          </w:tcPr>
          <w:p>
            <w:pPr>
              <w:pStyle w:val="yTableNAm"/>
            </w:pPr>
            <w:r>
              <w:t>Whole district other than townsites of Wongan Hills, Ballidu, Cadoux, Kondut, Burakin</w:t>
            </w:r>
          </w:p>
        </w:tc>
      </w:tr>
      <w:tr>
        <w:trPr>
          <w:cantSplit/>
        </w:trPr>
        <w:tc>
          <w:tcPr>
            <w:tcW w:w="1701" w:type="dxa"/>
          </w:tcPr>
          <w:p>
            <w:pPr>
              <w:pStyle w:val="yTableNAm"/>
            </w:pPr>
            <w:r>
              <w:t>Woodanilling</w:t>
            </w:r>
          </w:p>
        </w:tc>
        <w:tc>
          <w:tcPr>
            <w:tcW w:w="2551" w:type="dxa"/>
          </w:tcPr>
          <w:p>
            <w:pPr>
              <w:pStyle w:val="yTableNAm"/>
            </w:pPr>
            <w:r>
              <w:t>Whole district other than townsite of Woodanilling</w:t>
            </w:r>
          </w:p>
        </w:tc>
        <w:tc>
          <w:tcPr>
            <w:tcW w:w="2552" w:type="dxa"/>
          </w:tcPr>
          <w:p>
            <w:pPr>
              <w:pStyle w:val="yTableNAm"/>
            </w:pPr>
          </w:p>
        </w:tc>
      </w:tr>
      <w:tr>
        <w:trPr>
          <w:cantSplit/>
        </w:trPr>
        <w:tc>
          <w:tcPr>
            <w:tcW w:w="1701" w:type="dxa"/>
          </w:tcPr>
          <w:p>
            <w:pPr>
              <w:pStyle w:val="yTableNAm"/>
            </w:pPr>
            <w:r>
              <w:t>Yalgoo</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Yilgarn</w:t>
            </w:r>
          </w:p>
        </w:tc>
        <w:tc>
          <w:tcPr>
            <w:tcW w:w="2551" w:type="dxa"/>
          </w:tcPr>
          <w:p>
            <w:pPr>
              <w:pStyle w:val="yTableNAm"/>
            </w:pPr>
            <w:r>
              <w:t>Whole district other than townsites</w:t>
            </w:r>
          </w:p>
        </w:tc>
        <w:tc>
          <w:tcPr>
            <w:tcW w:w="2552" w:type="dxa"/>
          </w:tcPr>
          <w:p>
            <w:pPr>
              <w:pStyle w:val="yTableNAm"/>
            </w:pPr>
            <w:r>
              <w:t>Whole district other than townsites</w:t>
            </w:r>
          </w:p>
        </w:tc>
      </w:tr>
    </w:tbl>
    <w:p>
      <w:pPr>
        <w:pStyle w:val="yHeading5"/>
        <w:rPr>
          <w:rStyle w:val="CharSDivText"/>
        </w:rPr>
      </w:pPr>
      <w:bookmarkStart w:id="344" w:name="_Toc320625203"/>
      <w:bookmarkStart w:id="345" w:name="_Toc327450615"/>
      <w:r>
        <w:rPr>
          <w:rStyle w:val="CharSClsNo"/>
        </w:rPr>
        <w:t>2</w:t>
      </w:r>
      <w:r>
        <w:t>.</w:t>
      </w:r>
      <w:r>
        <w:tab/>
      </w:r>
      <w:r>
        <w:rPr>
          <w:rStyle w:val="CharSDivText"/>
        </w:rPr>
        <w:t>Kinds of building work for which a building permit is not required</w:t>
      </w:r>
      <w:bookmarkEnd w:id="344"/>
      <w:bookmarkEnd w:id="345"/>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6095"/>
      </w:tblGrid>
      <w:tr>
        <w:trPr>
          <w:cantSplit/>
          <w:tblHeader/>
        </w:trPr>
        <w:tc>
          <w:tcPr>
            <w:tcW w:w="709" w:type="dxa"/>
          </w:tcPr>
          <w:p>
            <w:pPr>
              <w:pStyle w:val="yTableNAm"/>
              <w:keepNext/>
              <w:jc w:val="center"/>
              <w:rPr>
                <w:b/>
                <w:bCs/>
                <w:szCs w:val="22"/>
              </w:rPr>
            </w:pPr>
            <w:r>
              <w:rPr>
                <w:b/>
                <w:bCs/>
                <w:szCs w:val="22"/>
              </w:rPr>
              <w:t>Item</w:t>
            </w:r>
          </w:p>
        </w:tc>
        <w:tc>
          <w:tcPr>
            <w:tcW w:w="6095" w:type="dxa"/>
          </w:tcPr>
          <w:p>
            <w:pPr>
              <w:pStyle w:val="yTableNAm"/>
              <w:keepNext/>
              <w:rPr>
                <w:b/>
                <w:bCs/>
                <w:szCs w:val="22"/>
              </w:rPr>
            </w:pPr>
            <w:r>
              <w:rPr>
                <w:b/>
                <w:bCs/>
                <w:szCs w:val="22"/>
              </w:rPr>
              <w:t>Description of building work for which building permit is not required</w:t>
            </w:r>
          </w:p>
        </w:tc>
      </w:tr>
      <w:tr>
        <w:trPr>
          <w:cantSplit/>
        </w:trPr>
        <w:tc>
          <w:tcPr>
            <w:tcW w:w="709" w:type="dxa"/>
          </w:tcPr>
          <w:p>
            <w:pPr>
              <w:pStyle w:val="yTableNAm"/>
              <w:rPr>
                <w:szCs w:val="22"/>
              </w:rPr>
            </w:pPr>
            <w:r>
              <w:rPr>
                <w:szCs w:val="22"/>
              </w:rPr>
              <w:t>1.</w:t>
            </w:r>
          </w:p>
        </w:tc>
        <w:tc>
          <w:tcPr>
            <w:tcW w:w="6095" w:type="dxa"/>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rPr>
          <w:cantSplit/>
        </w:trPr>
        <w:tc>
          <w:tcPr>
            <w:tcW w:w="709" w:type="dxa"/>
            <w:tcBorders>
              <w:bottom w:val="nil"/>
            </w:tcBorders>
          </w:tcPr>
          <w:p>
            <w:pPr>
              <w:pStyle w:val="yTableNAm"/>
              <w:rPr>
                <w:szCs w:val="22"/>
              </w:rPr>
            </w:pPr>
            <w:r>
              <w:rPr>
                <w:szCs w:val="22"/>
              </w:rPr>
              <w:t>2.</w:t>
            </w:r>
          </w:p>
        </w:tc>
        <w:tc>
          <w:tcPr>
            <w:tcW w:w="6095"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p>
            <w:pPr>
              <w:pStyle w:val="yTableNAm"/>
              <w:tabs>
                <w:tab w:val="clear" w:pos="567"/>
                <w:tab w:val="left" w:pos="1131"/>
                <w:tab w:val="left" w:pos="1581"/>
              </w:tabs>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ind w:left="742" w:hanging="567"/>
              <w:rPr>
                <w:szCs w:val="22"/>
              </w:rPr>
            </w:pPr>
            <w:r>
              <w:rPr>
                <w:szCs w:val="22"/>
              </w:rPr>
              <w:tab/>
              <w:t>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rPr>
          <w:cantSplit/>
        </w:trPr>
        <w:tc>
          <w:tcPr>
            <w:tcW w:w="709" w:type="dxa"/>
            <w:tcBorders>
              <w:top w:val="nil"/>
            </w:tcBorders>
          </w:tcPr>
          <w:p>
            <w:pPr>
              <w:pStyle w:val="yTableNAm"/>
              <w:rPr>
                <w:szCs w:val="22"/>
              </w:rPr>
            </w:pPr>
          </w:p>
        </w:tc>
        <w:tc>
          <w:tcPr>
            <w:tcW w:w="6095"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709" w:type="dxa"/>
          </w:tcPr>
          <w:p>
            <w:pPr>
              <w:pStyle w:val="yTableNAm"/>
              <w:rPr>
                <w:szCs w:val="22"/>
              </w:rPr>
            </w:pPr>
            <w:r>
              <w:rPr>
                <w:szCs w:val="22"/>
              </w:rPr>
              <w:t>3.</w:t>
            </w:r>
          </w:p>
        </w:tc>
        <w:tc>
          <w:tcPr>
            <w:tcW w:w="6095" w:type="dxa"/>
          </w:tcPr>
          <w:p>
            <w:pPr>
              <w:pStyle w:val="yTableNAm"/>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709" w:type="dxa"/>
            <w:tcBorders>
              <w:bottom w:val="nil"/>
            </w:tcBorders>
          </w:tcPr>
          <w:p>
            <w:pPr>
              <w:pStyle w:val="yTableNAm"/>
              <w:rPr>
                <w:szCs w:val="22"/>
              </w:rPr>
            </w:pPr>
            <w:r>
              <w:rPr>
                <w:szCs w:val="22"/>
              </w:rPr>
              <w:t>4.</w:t>
            </w:r>
          </w:p>
        </w:tc>
        <w:tc>
          <w:tcPr>
            <w:tcW w:w="6095" w:type="dxa"/>
            <w:tcBorders>
              <w:bottom w:val="nil"/>
            </w:tcBorders>
          </w:tcPr>
          <w:p>
            <w:pPr>
              <w:pStyle w:val="yTableNAm"/>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709" w:type="dxa"/>
            <w:tcBorders>
              <w:top w:val="nil"/>
            </w:tcBorders>
          </w:tcPr>
          <w:p>
            <w:pPr>
              <w:pStyle w:val="yTableNAm"/>
              <w:rPr>
                <w:szCs w:val="22"/>
              </w:rPr>
            </w:pPr>
          </w:p>
        </w:tc>
        <w:tc>
          <w:tcPr>
            <w:tcW w:w="6095" w:type="dxa"/>
            <w:tcBorders>
              <w:top w:val="nil"/>
            </w:tcBorders>
          </w:tcPr>
          <w:p>
            <w:pPr>
              <w:pStyle w:val="yTableNAm"/>
              <w:tabs>
                <w:tab w:val="clear" w:pos="567"/>
              </w:tabs>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ind w:left="1593" w:hanging="1593"/>
              <w:rPr>
                <w:szCs w:val="22"/>
              </w:rPr>
            </w:pPr>
            <w:r>
              <w:rPr>
                <w:szCs w:val="22"/>
              </w:rPr>
              <w:tab/>
              <w:t>(iii)</w:t>
            </w:r>
            <w:r>
              <w:rPr>
                <w:szCs w:val="22"/>
              </w:rPr>
              <w:tab/>
              <w:t>is not located in wind region C or D as defined in AS 1170.2.</w:t>
            </w:r>
          </w:p>
        </w:tc>
      </w:tr>
      <w:tr>
        <w:trPr>
          <w:cantSplit/>
        </w:trPr>
        <w:tc>
          <w:tcPr>
            <w:tcW w:w="709" w:type="dxa"/>
            <w:tcBorders>
              <w:bottom w:val="nil"/>
            </w:tcBorders>
          </w:tcPr>
          <w:p>
            <w:pPr>
              <w:pStyle w:val="yTableNAm"/>
              <w:rPr>
                <w:szCs w:val="22"/>
              </w:rPr>
            </w:pPr>
            <w:r>
              <w:rPr>
                <w:szCs w:val="22"/>
              </w:rPr>
              <w:t>5.</w:t>
            </w:r>
          </w:p>
        </w:tc>
        <w:tc>
          <w:tcPr>
            <w:tcW w:w="6095"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ind w:left="742" w:hanging="567"/>
              <w:rPr>
                <w:szCs w:val="22"/>
              </w:rPr>
            </w:pPr>
            <w:r>
              <w:rPr>
                <w:szCs w:val="22"/>
              </w:rPr>
              <w:t>(a)</w:t>
            </w:r>
            <w:r>
              <w:rPr>
                <w:szCs w:val="22"/>
              </w:rPr>
              <w:tab/>
              <w:t>is not located in wind region C or D as defined in AS 1170.2;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ind w:left="742" w:hanging="567"/>
              <w:rPr>
                <w:szCs w:val="22"/>
              </w:rPr>
            </w:pPr>
            <w:r>
              <w:rPr>
                <w:szCs w:val="22"/>
              </w:rPr>
              <w:t>(b)</w:t>
            </w:r>
            <w:r>
              <w:rPr>
                <w:szCs w:val="22"/>
              </w:rPr>
              <w:tab/>
              <w:t>if attached to a building —</w:t>
            </w:r>
          </w:p>
          <w:p>
            <w:pPr>
              <w:pStyle w:val="zMiscellaneousBody"/>
              <w:tabs>
                <w:tab w:val="left" w:pos="1026"/>
                <w:tab w:val="left" w:pos="1131"/>
                <w:tab w:val="left" w:pos="1581"/>
              </w:tabs>
              <w:ind w:left="1593" w:hanging="1593"/>
              <w:rPr>
                <w:sz w:val="22"/>
                <w:szCs w:val="22"/>
              </w:rPr>
            </w:pPr>
            <w:r>
              <w:rPr>
                <w:sz w:val="22"/>
                <w:szCs w:val="22"/>
              </w:rPr>
              <w:tab/>
              <w:t>(i)</w:t>
            </w:r>
            <w:r>
              <w:rPr>
                <w:sz w:val="22"/>
                <w:szCs w:val="22"/>
              </w:rPr>
              <w:tab/>
              <w:t>is no more than 2 m in height above the highest point of attachment to the building; and</w:t>
            </w:r>
          </w:p>
          <w:p>
            <w:pPr>
              <w:pStyle w:val="zMiscellaneousBody"/>
              <w:tabs>
                <w:tab w:val="left" w:pos="1026"/>
                <w:tab w:val="left" w:pos="1131"/>
                <w:tab w:val="left" w:pos="1581"/>
              </w:tabs>
              <w:ind w:left="1593" w:hanging="1593"/>
              <w:rPr>
                <w:sz w:val="22"/>
                <w:szCs w:val="22"/>
              </w:rPr>
            </w:pPr>
            <w:r>
              <w:rPr>
                <w:sz w:val="22"/>
                <w:szCs w:val="22"/>
              </w:rPr>
              <w:tab/>
              <w:t>(ii)</w:t>
            </w:r>
            <w:r>
              <w:rPr>
                <w:sz w:val="22"/>
                <w:szCs w:val="22"/>
              </w:rPr>
              <w:tab/>
              <w:t>will not affect the way in which the building complies with each building standard that applies to the building;</w:t>
            </w:r>
          </w:p>
          <w:p>
            <w:pPr>
              <w:pStyle w:val="zMiscellaneousBody"/>
              <w:tabs>
                <w:tab w:val="left" w:pos="1026"/>
                <w:tab w:val="left" w:pos="1131"/>
                <w:tab w:val="left" w:pos="1581"/>
              </w:tabs>
              <w:ind w:left="1593" w:hanging="1593"/>
              <w:rPr>
                <w:szCs w:val="22"/>
              </w:rPr>
            </w:pPr>
            <w:r>
              <w:rPr>
                <w:sz w:val="22"/>
                <w:szCs w:val="22"/>
              </w:rPr>
              <w:tab/>
            </w:r>
            <w:r>
              <w:rPr>
                <w:sz w:val="22"/>
                <w:szCs w:val="22"/>
              </w:rPr>
              <w:tab/>
              <w:t>and</w:t>
            </w:r>
          </w:p>
        </w:tc>
      </w:tr>
      <w:tr>
        <w:trPr>
          <w:cantSplit/>
        </w:trPr>
        <w:tc>
          <w:tcPr>
            <w:tcW w:w="709" w:type="dxa"/>
            <w:tcBorders>
              <w:top w:val="nil"/>
            </w:tcBorders>
          </w:tcPr>
          <w:p>
            <w:pPr>
              <w:pStyle w:val="yTableNAm"/>
              <w:rPr>
                <w:szCs w:val="22"/>
              </w:rPr>
            </w:pPr>
          </w:p>
        </w:tc>
        <w:tc>
          <w:tcPr>
            <w:tcW w:w="6095" w:type="dxa"/>
            <w:tcBorders>
              <w:top w:val="nil"/>
            </w:tcBorders>
          </w:tcPr>
          <w:p>
            <w:pPr>
              <w:pStyle w:val="yTableNAm"/>
              <w:tabs>
                <w:tab w:val="clear" w:pos="567"/>
              </w:tabs>
              <w:ind w:left="742" w:hanging="567"/>
              <w:rPr>
                <w:szCs w:val="22"/>
              </w:rPr>
            </w:pPr>
            <w:r>
              <w:rPr>
                <w:szCs w:val="22"/>
              </w:rPr>
              <w:t>(c)</w:t>
            </w:r>
            <w:r>
              <w:rPr>
                <w:szCs w:val="22"/>
              </w:rPr>
              <w:tab/>
              <w:t>if not attached to a building, is no more than 3 m in height.</w:t>
            </w:r>
          </w:p>
        </w:tc>
      </w:tr>
      <w:tr>
        <w:trPr>
          <w:cantSplit/>
        </w:trPr>
        <w:tc>
          <w:tcPr>
            <w:tcW w:w="709" w:type="dxa"/>
          </w:tcPr>
          <w:p>
            <w:pPr>
              <w:pStyle w:val="yTableNAm"/>
              <w:rPr>
                <w:szCs w:val="22"/>
              </w:rPr>
            </w:pPr>
            <w:r>
              <w:rPr>
                <w:szCs w:val="22"/>
              </w:rPr>
              <w:t>6.</w:t>
            </w:r>
          </w:p>
        </w:tc>
        <w:tc>
          <w:tcPr>
            <w:tcW w:w="6095" w:type="dxa"/>
          </w:tcPr>
          <w:p>
            <w:pPr>
              <w:pStyle w:val="yTableNAm"/>
              <w:rPr>
                <w:szCs w:val="22"/>
              </w:rPr>
            </w:pPr>
            <w:r>
              <w:rPr>
                <w:szCs w:val="22"/>
              </w:rPr>
              <w:t xml:space="preserve">Construction, erection, assembly or placement of a retaining wall that — </w:t>
            </w:r>
          </w:p>
          <w:p>
            <w:pPr>
              <w:pStyle w:val="yTableNAm"/>
              <w:tabs>
                <w:tab w:val="clear" w:pos="567"/>
              </w:tabs>
              <w:ind w:left="742" w:hanging="567"/>
              <w:rPr>
                <w:szCs w:val="22"/>
              </w:rPr>
            </w:pPr>
            <w:r>
              <w:rPr>
                <w:szCs w:val="22"/>
              </w:rPr>
              <w:t>(a)</w:t>
            </w:r>
            <w:r>
              <w:rPr>
                <w:szCs w:val="22"/>
              </w:rPr>
              <w:tab/>
              <w:t>retains ground no more than 0.5 m in height; and</w:t>
            </w:r>
          </w:p>
          <w:p>
            <w:pPr>
              <w:pStyle w:val="yTableNAm"/>
              <w:tabs>
                <w:tab w:val="clear" w:pos="567"/>
              </w:tabs>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ind w:left="742" w:hanging="567"/>
              <w:rPr>
                <w:szCs w:val="22"/>
              </w:rPr>
            </w:pPr>
            <w:r>
              <w:rPr>
                <w:szCs w:val="22"/>
              </w:rPr>
              <w:t>(c)</w:t>
            </w:r>
            <w:r>
              <w:rPr>
                <w:szCs w:val="22"/>
              </w:rPr>
              <w:tab/>
              <w:t>is not work of a kind to which section 76, 77, 78 or 79 relates.</w:t>
            </w:r>
          </w:p>
        </w:tc>
      </w:tr>
      <w:tr>
        <w:trPr>
          <w:cantSplit/>
        </w:trPr>
        <w:tc>
          <w:tcPr>
            <w:tcW w:w="709" w:type="dxa"/>
          </w:tcPr>
          <w:p>
            <w:pPr>
              <w:pStyle w:val="yTableNAm"/>
              <w:rPr>
                <w:szCs w:val="22"/>
              </w:rPr>
            </w:pPr>
            <w:r>
              <w:rPr>
                <w:szCs w:val="22"/>
              </w:rPr>
              <w:t>7.</w:t>
            </w:r>
          </w:p>
        </w:tc>
        <w:tc>
          <w:tcPr>
            <w:tcW w:w="6095"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that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709" w:type="dxa"/>
          </w:tcPr>
          <w:p>
            <w:pPr>
              <w:pStyle w:val="yTableNAm"/>
              <w:rPr>
                <w:szCs w:val="22"/>
              </w:rPr>
            </w:pPr>
            <w:r>
              <w:rPr>
                <w:szCs w:val="22"/>
              </w:rPr>
              <w:t>8.</w:t>
            </w:r>
          </w:p>
        </w:tc>
        <w:tc>
          <w:tcPr>
            <w:tcW w:w="6095" w:type="dxa"/>
          </w:tcPr>
          <w:p>
            <w:pPr>
              <w:pStyle w:val="yTableNAm"/>
              <w:rPr>
                <w:szCs w:val="22"/>
              </w:rPr>
            </w:pPr>
            <w:r>
              <w:rPr>
                <w:szCs w:val="22"/>
              </w:rPr>
              <w:t xml:space="preserve">Construction, erection, assembly or placement of a rainwater tank with a capacity of 5 000 L or less. </w:t>
            </w:r>
          </w:p>
        </w:tc>
      </w:tr>
      <w:tr>
        <w:trPr>
          <w:cantSplit/>
        </w:trPr>
        <w:tc>
          <w:tcPr>
            <w:tcW w:w="709" w:type="dxa"/>
          </w:tcPr>
          <w:p>
            <w:pPr>
              <w:pStyle w:val="yTableNAm"/>
              <w:rPr>
                <w:szCs w:val="22"/>
              </w:rPr>
            </w:pPr>
            <w:r>
              <w:rPr>
                <w:szCs w:val="22"/>
              </w:rPr>
              <w:t>9.</w:t>
            </w:r>
          </w:p>
        </w:tc>
        <w:tc>
          <w:tcPr>
            <w:tcW w:w="6095"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709" w:type="dxa"/>
          </w:tcPr>
          <w:p>
            <w:pPr>
              <w:pStyle w:val="yTableNAm"/>
              <w:rPr>
                <w:szCs w:val="22"/>
              </w:rPr>
            </w:pPr>
            <w:r>
              <w:rPr>
                <w:szCs w:val="22"/>
              </w:rPr>
              <w:t>10.</w:t>
            </w:r>
          </w:p>
        </w:tc>
        <w:tc>
          <w:tcPr>
            <w:tcW w:w="6095"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709" w:type="dxa"/>
          </w:tcPr>
          <w:p>
            <w:pPr>
              <w:pStyle w:val="yTableNAm"/>
              <w:rPr>
                <w:szCs w:val="22"/>
              </w:rPr>
            </w:pPr>
            <w:r>
              <w:rPr>
                <w:szCs w:val="22"/>
              </w:rPr>
              <w:t>11.</w:t>
            </w:r>
          </w:p>
        </w:tc>
        <w:tc>
          <w:tcPr>
            <w:tcW w:w="6095"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709" w:type="dxa"/>
          </w:tcPr>
          <w:p>
            <w:pPr>
              <w:pStyle w:val="yTableNAm"/>
              <w:rPr>
                <w:szCs w:val="22"/>
              </w:rPr>
            </w:pPr>
            <w:r>
              <w:rPr>
                <w:szCs w:val="22"/>
              </w:rPr>
              <w:t>12.</w:t>
            </w:r>
          </w:p>
        </w:tc>
        <w:tc>
          <w:tcPr>
            <w:tcW w:w="6095" w:type="dxa"/>
          </w:tcPr>
          <w:p>
            <w:pPr>
              <w:pStyle w:val="yTableNAm"/>
              <w:rPr>
                <w:szCs w:val="22"/>
              </w:rPr>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rPr>
                <w:szCs w:val="22"/>
              </w:rPr>
            </w:pPr>
            <w:r>
              <w:rPr>
                <w:szCs w:val="22"/>
              </w:rPr>
              <w:t>(a)</w:t>
            </w:r>
            <w:r>
              <w:rPr>
                <w:szCs w:val="22"/>
              </w:rPr>
              <w:tab/>
              <w:t>commences before 31 December 2012; and</w:t>
            </w:r>
          </w:p>
          <w:p>
            <w:pPr>
              <w:pStyle w:val="yTableNAm"/>
              <w:tabs>
                <w:tab w:val="clear" w:pos="567"/>
              </w:tabs>
              <w:ind w:left="742" w:hanging="567"/>
              <w:rPr>
                <w:szCs w:val="22"/>
              </w:rPr>
            </w:pPr>
            <w:r>
              <w:rPr>
                <w:szCs w:val="22"/>
              </w:rPr>
              <w:t>(b)</w:t>
            </w:r>
            <w:r>
              <w:rPr>
                <w:szCs w:val="22"/>
              </w:rPr>
              <w:tab/>
              <w:t>has an estimated value of less than $100 000.</w:t>
            </w:r>
          </w:p>
        </w:tc>
      </w:tr>
    </w:tbl>
    <w:p>
      <w:pPr>
        <w:pStyle w:val="yFootnotesection"/>
        <w:sectPr>
          <w:headerReference w:type="even" r:id="rId30"/>
          <w:headerReference w:type="default" r:id="rId31"/>
          <w:pgSz w:w="11907" w:h="16840" w:code="9"/>
          <w:pgMar w:top="2381" w:right="2410" w:bottom="3544" w:left="2410" w:header="720" w:footer="3380" w:gutter="0"/>
          <w:cols w:space="720"/>
          <w:docGrid w:linePitch="78"/>
        </w:sectPr>
      </w:pPr>
      <w:r>
        <w:tab/>
        <w:t>[Clause 2 amended in Gazette 15 Jun 2012 p. 2515.]</w:t>
      </w:r>
    </w:p>
    <w:p>
      <w:pPr>
        <w:pStyle w:val="yScheduleHeading"/>
      </w:pPr>
      <w:bookmarkStart w:id="346" w:name="_Toc320625204"/>
      <w:bookmarkStart w:id="347" w:name="_Toc320625568"/>
      <w:bookmarkStart w:id="348" w:name="_Toc320625843"/>
      <w:bookmarkStart w:id="349" w:name="_Toc320697883"/>
      <w:bookmarkStart w:id="350" w:name="_Toc327448524"/>
      <w:bookmarkStart w:id="351" w:name="_Toc327450616"/>
      <w:r>
        <w:rPr>
          <w:rStyle w:val="CharSchNo"/>
        </w:rPr>
        <w:t>Schedule 5</w:t>
      </w:r>
      <w:r>
        <w:rPr>
          <w:rStyle w:val="CharSDivNo"/>
        </w:rPr>
        <w:t> </w:t>
      </w:r>
      <w:r>
        <w:t>—</w:t>
      </w:r>
      <w:r>
        <w:rPr>
          <w:rStyle w:val="CharSDivText"/>
        </w:rPr>
        <w:t> </w:t>
      </w:r>
      <w:r>
        <w:rPr>
          <w:rStyle w:val="CharSchText"/>
        </w:rPr>
        <w:t>Areas of State where Part 8 Division 2 applies</w:t>
      </w:r>
      <w:bookmarkEnd w:id="346"/>
      <w:bookmarkEnd w:id="347"/>
      <w:bookmarkEnd w:id="348"/>
      <w:bookmarkEnd w:id="349"/>
      <w:bookmarkEnd w:id="350"/>
      <w:bookmarkEnd w:id="351"/>
    </w:p>
    <w:p>
      <w:pPr>
        <w:pStyle w:val="yShoulderClause"/>
      </w:pPr>
      <w:r>
        <w:t>[r. 49]</w:t>
      </w:r>
    </w:p>
    <w:p>
      <w:pPr>
        <w:pStyle w:val="yTHeadingNAm"/>
      </w:pPr>
      <w:r>
        <w:t>Table</w:t>
      </w:r>
    </w:p>
    <w:tbl>
      <w:tblPr>
        <w:tblW w:w="6662" w:type="dxa"/>
        <w:tblInd w:w="340" w:type="dxa"/>
        <w:tblLayout w:type="fixed"/>
        <w:tblCellMar>
          <w:left w:w="56" w:type="dxa"/>
          <w:right w:w="56" w:type="dxa"/>
        </w:tblCellMar>
        <w:tblLook w:val="0000" w:firstRow="0" w:lastRow="0" w:firstColumn="0" w:lastColumn="0" w:noHBand="0" w:noVBand="0"/>
      </w:tblPr>
      <w:tblGrid>
        <w:gridCol w:w="3118"/>
        <w:gridCol w:w="3544"/>
      </w:tblGrid>
      <w:tr>
        <w:trPr>
          <w:cantSplit/>
          <w:tblHeader/>
        </w:trPr>
        <w:tc>
          <w:tcPr>
            <w:tcW w:w="3118" w:type="dxa"/>
            <w:tcBorders>
              <w:top w:val="single" w:sz="4" w:space="0" w:color="auto"/>
              <w:bottom w:val="single" w:sz="4" w:space="0" w:color="auto"/>
            </w:tcBorders>
          </w:tcPr>
          <w:p>
            <w:pPr>
              <w:pStyle w:val="yTableNAm"/>
              <w:jc w:val="center"/>
              <w:rPr>
                <w:b/>
                <w:bCs/>
              </w:rPr>
            </w:pPr>
            <w:r>
              <w:rPr>
                <w:b/>
                <w:bCs/>
              </w:rPr>
              <w:t>Column 1</w:t>
            </w:r>
          </w:p>
          <w:p>
            <w:pPr>
              <w:pStyle w:val="yTableNAm"/>
              <w:jc w:val="center"/>
              <w:rPr>
                <w:b/>
                <w:bCs/>
              </w:rPr>
            </w:pPr>
            <w:r>
              <w:rPr>
                <w:b/>
                <w:bCs/>
              </w:rPr>
              <w:t>Local government district</w:t>
            </w:r>
          </w:p>
        </w:tc>
        <w:tc>
          <w:tcPr>
            <w:tcW w:w="3544" w:type="dxa"/>
            <w:tcBorders>
              <w:top w:val="single" w:sz="4" w:space="0" w:color="auto"/>
              <w:bottom w:val="single" w:sz="4" w:space="0" w:color="auto"/>
            </w:tcBorders>
          </w:tcPr>
          <w:p>
            <w:pPr>
              <w:pStyle w:val="yTableNAm"/>
              <w:jc w:val="center"/>
              <w:rPr>
                <w:b/>
                <w:bCs/>
              </w:rPr>
            </w:pPr>
            <w:r>
              <w:rPr>
                <w:b/>
                <w:bCs/>
              </w:rPr>
              <w:t>Column 2</w:t>
            </w:r>
          </w:p>
          <w:p>
            <w:pPr>
              <w:pStyle w:val="yTableNAm"/>
              <w:jc w:val="center"/>
              <w:rPr>
                <w:b/>
                <w:bCs/>
              </w:rPr>
            </w:pPr>
            <w:r>
              <w:rPr>
                <w:b/>
              </w:rPr>
              <w:t xml:space="preserve">Areas of State where </w:t>
            </w:r>
            <w:r>
              <w:rPr>
                <w:b/>
              </w:rPr>
              <w:br/>
              <w:t>Part 8 Division 2 applies</w:t>
            </w:r>
          </w:p>
        </w:tc>
      </w:tr>
      <w:tr>
        <w:trPr>
          <w:cantSplit/>
        </w:trPr>
        <w:tc>
          <w:tcPr>
            <w:tcW w:w="3118"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544"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Armadale</w:t>
            </w:r>
          </w:p>
        </w:tc>
        <w:tc>
          <w:tcPr>
            <w:tcW w:w="3544" w:type="dxa"/>
          </w:tcPr>
          <w:p>
            <w:pPr>
              <w:pStyle w:val="yTableNAm"/>
              <w:tabs>
                <w:tab w:val="clear" w:pos="567"/>
                <w:tab w:val="left" w:pos="304"/>
                <w:tab w:val="left" w:pos="2170"/>
                <w:tab w:val="left" w:pos="3631"/>
              </w:tabs>
              <w:spacing w:before="60"/>
            </w:pPr>
            <w:r>
              <w:t xml:space="preserve">Whole district </w:t>
            </w:r>
          </w:p>
        </w:tc>
      </w:tr>
      <w:tr>
        <w:trPr>
          <w:cantSplit/>
        </w:trPr>
        <w:tc>
          <w:tcPr>
            <w:tcW w:w="3118" w:type="dxa"/>
          </w:tcPr>
          <w:p>
            <w:pPr>
              <w:pStyle w:val="yTableNAm"/>
              <w:tabs>
                <w:tab w:val="clear" w:pos="567"/>
                <w:tab w:val="left" w:pos="3631"/>
              </w:tabs>
              <w:spacing w:before="0"/>
            </w:pPr>
            <w:r>
              <w:t>Augusta</w:t>
            </w:r>
            <w:r>
              <w:noBreakHyphen/>
              <w:t>Margaret River</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Bassendean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Bayswater</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Beverley</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Boddington</w:t>
            </w:r>
          </w:p>
        </w:tc>
        <w:tc>
          <w:tcPr>
            <w:tcW w:w="3544"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118" w:type="dxa"/>
          </w:tcPr>
          <w:p>
            <w:pPr>
              <w:pStyle w:val="yTableNAm"/>
              <w:tabs>
                <w:tab w:val="clear" w:pos="567"/>
                <w:tab w:val="left" w:pos="3631"/>
              </w:tabs>
              <w:spacing w:before="60"/>
              <w:ind w:right="64"/>
            </w:pPr>
            <w:r>
              <w:t>Bridgetown</w:t>
            </w:r>
            <w:r>
              <w:noBreakHyphen/>
              <w:t>Greenbushes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Brookton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Bunbury</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Busselton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Canning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Capel</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Carnarvon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Cockburn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Collie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Coorow</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Cottesloe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Dardanup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Donnybook</w:t>
            </w:r>
            <w:r>
              <w:noBreakHyphen/>
              <w:t>Balingup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Dumbleyung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r>
                <w:t>East Fremantle</w:t>
              </w:r>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Esperance</w:t>
            </w:r>
          </w:p>
        </w:tc>
        <w:tc>
          <w:tcPr>
            <w:tcW w:w="3544"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118" w:type="dxa"/>
          </w:tcPr>
          <w:p>
            <w:pPr>
              <w:pStyle w:val="yTableNAm"/>
              <w:tabs>
                <w:tab w:val="clear" w:pos="567"/>
                <w:tab w:val="left" w:pos="3631"/>
              </w:tabs>
              <w:spacing w:before="60"/>
            </w:pPr>
            <w:r>
              <w:t>Fremantle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Gosnells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ind w:right="304"/>
            </w:pPr>
            <w:r>
              <w:t>Greater Geraldton</w:t>
            </w:r>
          </w:p>
        </w:tc>
        <w:tc>
          <w:tcPr>
            <w:tcW w:w="3544" w:type="dxa"/>
          </w:tcPr>
          <w:p>
            <w:pPr>
              <w:pStyle w:val="yTableNAm"/>
              <w:tabs>
                <w:tab w:val="clear" w:pos="567"/>
                <w:tab w:val="left" w:pos="304"/>
                <w:tab w:val="left" w:pos="2170"/>
                <w:tab w:val="left" w:pos="3631"/>
              </w:tabs>
              <w:spacing w:before="60"/>
            </w:pPr>
            <w:r>
              <w:t>Whole district except townsites in Mullewa Ward</w:t>
            </w:r>
          </w:p>
        </w:tc>
      </w:tr>
      <w:tr>
        <w:trPr>
          <w:cantSplit/>
        </w:trPr>
        <w:tc>
          <w:tcPr>
            <w:tcW w:w="3118" w:type="dxa"/>
          </w:tcPr>
          <w:p>
            <w:pPr>
              <w:pStyle w:val="yTableNAm"/>
              <w:tabs>
                <w:tab w:val="clear" w:pos="567"/>
                <w:tab w:val="left" w:pos="3631"/>
              </w:tabs>
              <w:spacing w:before="60"/>
            </w:pPr>
            <w:r>
              <w:t>Hall’s Creek</w:t>
            </w:r>
          </w:p>
        </w:tc>
        <w:tc>
          <w:tcPr>
            <w:tcW w:w="3544"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544"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118" w:type="dxa"/>
          </w:tcPr>
          <w:p>
            <w:pPr>
              <w:pStyle w:val="yTableNAm"/>
              <w:tabs>
                <w:tab w:val="clear" w:pos="567"/>
                <w:tab w:val="left" w:pos="3631"/>
              </w:tabs>
              <w:spacing w:before="60"/>
            </w:pPr>
            <w:r>
              <w:t>Jerramungup</w:t>
            </w:r>
          </w:p>
        </w:tc>
        <w:tc>
          <w:tcPr>
            <w:tcW w:w="3544"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118" w:type="dxa"/>
          </w:tcPr>
          <w:p>
            <w:pPr>
              <w:pStyle w:val="yTableNAm"/>
              <w:tabs>
                <w:tab w:val="clear" w:pos="567"/>
                <w:tab w:val="left" w:pos="3631"/>
              </w:tabs>
              <w:spacing w:before="60"/>
            </w:pPr>
            <w:r>
              <w:t>Joondalup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Kalamunda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Kalgoorlie</w:t>
            </w:r>
            <w:r>
              <w:noBreakHyphen/>
            </w:r>
          </w:p>
          <w:p>
            <w:pPr>
              <w:pStyle w:val="yTableNAm"/>
              <w:tabs>
                <w:tab w:val="clear" w:pos="567"/>
                <w:tab w:val="left" w:pos="3631"/>
              </w:tabs>
              <w:spacing w:before="0"/>
            </w:pPr>
            <w:smartTag w:uri="urn:schemas-microsoft-com:office:smarttags" w:element="place">
              <w:smartTag w:uri="urn:schemas-microsoft-com:office:smarttags" w:element="City">
                <w:r>
                  <w:t>Boulder</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Katanning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Kellerberrin</w:t>
            </w:r>
          </w:p>
        </w:tc>
        <w:tc>
          <w:tcPr>
            <w:tcW w:w="3544"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544" w:type="dxa"/>
          </w:tcPr>
          <w:p>
            <w:pPr>
              <w:pStyle w:val="yTableNAm"/>
              <w:tabs>
                <w:tab w:val="clear" w:pos="567"/>
                <w:tab w:val="left" w:pos="304"/>
                <w:tab w:val="left" w:pos="2170"/>
                <w:tab w:val="left" w:pos="3631"/>
              </w:tabs>
              <w:spacing w:before="60"/>
            </w:pPr>
            <w:r>
              <w:t>Townsites of Nyabing, Pingrup</w:t>
            </w:r>
          </w:p>
        </w:tc>
      </w:tr>
      <w:tr>
        <w:trPr>
          <w:cantSplit/>
        </w:trPr>
        <w:tc>
          <w:tcPr>
            <w:tcW w:w="3118" w:type="dxa"/>
          </w:tcPr>
          <w:p>
            <w:pPr>
              <w:pStyle w:val="yTableNAm"/>
              <w:tabs>
                <w:tab w:val="clear" w:pos="567"/>
                <w:tab w:val="left" w:pos="3631"/>
              </w:tabs>
              <w:spacing w:before="60"/>
            </w:pPr>
            <w:r>
              <w:t>Koorda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Kwinana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Mandurah</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Manjimup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Melville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Merredin</w:t>
            </w:r>
          </w:p>
        </w:tc>
        <w:tc>
          <w:tcPr>
            <w:tcW w:w="3544"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118" w:type="dxa"/>
          </w:tcPr>
          <w:p>
            <w:pPr>
              <w:pStyle w:val="yTableNAm"/>
              <w:tabs>
                <w:tab w:val="clear" w:pos="567"/>
                <w:tab w:val="left" w:pos="3631"/>
              </w:tabs>
              <w:spacing w:before="60"/>
            </w:pPr>
            <w:r>
              <w:t>Mingenew</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Mundaring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Murchison</w:t>
            </w:r>
          </w:p>
        </w:tc>
        <w:tc>
          <w:tcPr>
            <w:tcW w:w="3544" w:type="dxa"/>
          </w:tcPr>
          <w:p>
            <w:pPr>
              <w:pStyle w:val="yTableNAm"/>
              <w:tabs>
                <w:tab w:val="clear" w:pos="567"/>
                <w:tab w:val="left" w:pos="304"/>
                <w:tab w:val="left" w:pos="2170"/>
                <w:tab w:val="left" w:pos="3631"/>
              </w:tabs>
              <w:spacing w:before="60"/>
            </w:pPr>
            <w:r>
              <w:t>None</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Narrogin (Town)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Nedlands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Northam</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Peppermint Grove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Pingelly</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Plantagenet</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Quairading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Ravensthorpe</w:t>
            </w:r>
          </w:p>
        </w:tc>
        <w:tc>
          <w:tcPr>
            <w:tcW w:w="3544"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118" w:type="dxa"/>
          </w:tcPr>
          <w:p>
            <w:pPr>
              <w:pStyle w:val="yTableNAm"/>
              <w:tabs>
                <w:tab w:val="clear" w:pos="567"/>
                <w:tab w:val="left" w:pos="3631"/>
              </w:tabs>
              <w:spacing w:before="60"/>
            </w:pPr>
            <w:r>
              <w:t>Rockingham</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Sandstone</w:t>
            </w:r>
          </w:p>
        </w:tc>
        <w:tc>
          <w:tcPr>
            <w:tcW w:w="3544" w:type="dxa"/>
          </w:tcPr>
          <w:p>
            <w:pPr>
              <w:pStyle w:val="yTableNAm"/>
              <w:tabs>
                <w:tab w:val="clear" w:pos="567"/>
                <w:tab w:val="left" w:pos="304"/>
                <w:tab w:val="left" w:pos="2170"/>
                <w:tab w:val="left" w:pos="3631"/>
              </w:tabs>
              <w:spacing w:before="60"/>
            </w:pPr>
            <w:r>
              <w:t>Sandstone Ward</w:t>
            </w:r>
          </w:p>
        </w:tc>
      </w:tr>
      <w:tr>
        <w:trPr>
          <w:cantSplit/>
        </w:trPr>
        <w:tc>
          <w:tcPr>
            <w:tcW w:w="3118" w:type="dxa"/>
          </w:tcPr>
          <w:p>
            <w:pPr>
              <w:pStyle w:val="yTableNAm"/>
              <w:tabs>
                <w:tab w:val="clear" w:pos="567"/>
                <w:tab w:val="left" w:pos="3631"/>
              </w:tabs>
              <w:spacing w:before="0"/>
            </w:pPr>
            <w:r>
              <w:t>Serpentine</w:t>
            </w:r>
            <w:r>
              <w:noBreakHyphen/>
              <w:t>Jarrahdale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r>
                <w:t>South Perth</w:t>
              </w:r>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r>
                <w:t>Stirling</w:t>
              </w:r>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Subiaco</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Swan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Tammin</w:t>
            </w:r>
          </w:p>
        </w:tc>
        <w:tc>
          <w:tcPr>
            <w:tcW w:w="3544" w:type="dxa"/>
          </w:tcPr>
          <w:p>
            <w:pPr>
              <w:pStyle w:val="yTableNAm"/>
              <w:tabs>
                <w:tab w:val="clear" w:pos="567"/>
                <w:tab w:val="left" w:pos="304"/>
                <w:tab w:val="left" w:pos="2170"/>
                <w:tab w:val="left" w:pos="3631"/>
              </w:tabs>
              <w:spacing w:before="60"/>
            </w:pPr>
            <w:r>
              <w:t>Townsite of Tammin</w:t>
            </w:r>
          </w:p>
        </w:tc>
      </w:tr>
      <w:tr>
        <w:trPr>
          <w:cantSplit/>
        </w:trPr>
        <w:tc>
          <w:tcPr>
            <w:tcW w:w="3118" w:type="dxa"/>
          </w:tcPr>
          <w:p>
            <w:pPr>
              <w:pStyle w:val="yTableNAm"/>
              <w:tabs>
                <w:tab w:val="clear" w:pos="567"/>
                <w:tab w:val="left" w:pos="3631"/>
              </w:tabs>
              <w:spacing w:before="60"/>
            </w:pPr>
            <w:r>
              <w:t>Trayning</w:t>
            </w:r>
          </w:p>
        </w:tc>
        <w:tc>
          <w:tcPr>
            <w:tcW w:w="3544"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118" w:type="dxa"/>
          </w:tcPr>
          <w:p>
            <w:pPr>
              <w:pStyle w:val="yTableNAm"/>
              <w:tabs>
                <w:tab w:val="clear" w:pos="567"/>
                <w:tab w:val="left" w:pos="3631"/>
              </w:tabs>
              <w:spacing w:before="60"/>
            </w:pPr>
            <w:r>
              <w:t>Victoria Park</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Vincent</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Wagin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Wandering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Wanneroo</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Waroona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West Arthur</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Williams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Wiluna</w:t>
            </w:r>
          </w:p>
        </w:tc>
        <w:tc>
          <w:tcPr>
            <w:tcW w:w="3544" w:type="dxa"/>
          </w:tcPr>
          <w:p>
            <w:pPr>
              <w:pStyle w:val="yTableNAm"/>
              <w:tabs>
                <w:tab w:val="clear" w:pos="567"/>
                <w:tab w:val="left" w:pos="304"/>
                <w:tab w:val="left" w:pos="2170"/>
                <w:tab w:val="left" w:pos="3631"/>
              </w:tabs>
              <w:spacing w:before="60"/>
            </w:pPr>
            <w:r>
              <w:t>Townsite of Wiluna</w:t>
            </w:r>
          </w:p>
        </w:tc>
      </w:tr>
      <w:tr>
        <w:trPr>
          <w:cantSplit/>
        </w:trPr>
        <w:tc>
          <w:tcPr>
            <w:tcW w:w="3118" w:type="dxa"/>
          </w:tcPr>
          <w:p>
            <w:pPr>
              <w:pStyle w:val="yTableNAm"/>
              <w:tabs>
                <w:tab w:val="clear" w:pos="567"/>
                <w:tab w:val="left" w:pos="3631"/>
              </w:tabs>
              <w:spacing w:before="0"/>
            </w:pPr>
            <w:r>
              <w:t>Wongan</w:t>
            </w:r>
            <w:r>
              <w:noBreakHyphen/>
              <w:t>Ballidu</w:t>
            </w:r>
          </w:p>
        </w:tc>
        <w:tc>
          <w:tcPr>
            <w:tcW w:w="3544"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118" w:type="dxa"/>
          </w:tcPr>
          <w:p>
            <w:pPr>
              <w:pStyle w:val="yTableNAm"/>
              <w:tabs>
                <w:tab w:val="clear" w:pos="567"/>
                <w:tab w:val="left" w:pos="3631"/>
              </w:tabs>
              <w:spacing w:before="60"/>
            </w:pPr>
            <w:r>
              <w:t>Woodanilling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Wyalkatchem</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0"/>
            </w:pPr>
            <w:r>
              <w:t>Wyndham</w:t>
            </w:r>
            <w:r>
              <w:noBreakHyphen/>
              <w:t>East </w:t>
            </w:r>
            <w:smartTag w:uri="urn:schemas-microsoft-com:office:smarttags" w:element="place">
              <w:smartTag w:uri="urn:schemas-microsoft-com:office:smarttags" w:element="City">
                <w:r>
                  <w:t>Kimberley</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Borders>
              <w:bottom w:val="single" w:sz="4" w:space="0" w:color="auto"/>
            </w:tcBorders>
          </w:tcPr>
          <w:p>
            <w:pPr>
              <w:pStyle w:val="yTableNAm"/>
              <w:tabs>
                <w:tab w:val="clear" w:pos="567"/>
                <w:tab w:val="left" w:pos="3631"/>
              </w:tabs>
              <w:spacing w:before="60"/>
            </w:pPr>
            <w:r>
              <w:t xml:space="preserve">All other districts </w:t>
            </w:r>
          </w:p>
        </w:tc>
        <w:tc>
          <w:tcPr>
            <w:tcW w:w="3544"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Subsection"/>
        <w:outlineLvl w:val="0"/>
        <w:sectPr>
          <w:headerReference w:type="even" r:id="rId32"/>
          <w:headerReference w:type="default" r:id="rId33"/>
          <w:endnotePr>
            <w:numFmt w:val="decimal"/>
          </w:endnotePr>
          <w:pgSz w:w="11907" w:h="16840" w:code="9"/>
          <w:pgMar w:top="2381" w:right="2410" w:bottom="3544" w:left="2410" w:header="720" w:footer="3380" w:gutter="0"/>
          <w:cols w:space="720"/>
          <w:docGrid w:linePitch="78"/>
        </w:sectPr>
      </w:pPr>
      <w:bookmarkStart w:id="352" w:name="_Toc319322069"/>
      <w:bookmarkStart w:id="353" w:name="_Toc319403168"/>
    </w:p>
    <w:p>
      <w:pPr>
        <w:pStyle w:val="nHeading2"/>
      </w:pPr>
      <w:bookmarkStart w:id="354" w:name="_Toc320625569"/>
      <w:bookmarkStart w:id="355" w:name="_Toc320625844"/>
      <w:bookmarkStart w:id="356" w:name="_Toc320697884"/>
      <w:bookmarkStart w:id="357" w:name="_Toc327448525"/>
      <w:bookmarkStart w:id="358" w:name="_Toc327450617"/>
      <w:r>
        <w:t>Notes</w:t>
      </w:r>
      <w:bookmarkEnd w:id="281"/>
      <w:bookmarkEnd w:id="282"/>
      <w:bookmarkEnd w:id="283"/>
      <w:bookmarkEnd w:id="284"/>
      <w:bookmarkEnd w:id="352"/>
      <w:bookmarkEnd w:id="353"/>
      <w:bookmarkEnd w:id="354"/>
      <w:bookmarkEnd w:id="355"/>
      <w:bookmarkEnd w:id="356"/>
      <w:bookmarkEnd w:id="357"/>
      <w:bookmarkEnd w:id="358"/>
    </w:p>
    <w:p>
      <w:pPr>
        <w:pStyle w:val="nSubsection"/>
        <w:rPr>
          <w:snapToGrid w:val="0"/>
        </w:rPr>
      </w:pPr>
      <w:r>
        <w:rPr>
          <w:snapToGrid w:val="0"/>
          <w:vertAlign w:val="superscript"/>
        </w:rPr>
        <w:t>1</w:t>
      </w:r>
      <w:r>
        <w:rPr>
          <w:snapToGrid w:val="0"/>
        </w:rPr>
        <w:tab/>
        <w:t xml:space="preserve">This is a compilation of the </w:t>
      </w:r>
      <w:r>
        <w:rPr>
          <w:i/>
        </w:rPr>
        <w:t>Building Regulations 2012</w:t>
      </w:r>
      <w:r>
        <w:rPr>
          <w:snapToGrid w:val="0"/>
        </w:rPr>
        <w:t xml:space="preserve"> and includes the amendments made by the other written laws referred to in the following table.</w:t>
      </w:r>
    </w:p>
    <w:p>
      <w:pPr>
        <w:pStyle w:val="nHeading3"/>
      </w:pPr>
      <w:bookmarkStart w:id="359" w:name="_Toc327450618"/>
      <w:r>
        <w:t>Compilation table</w:t>
      </w:r>
      <w:bookmarkEnd w:id="35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shd w:val="clear" w:color="auto" w:fill="auto"/>
          </w:tcPr>
          <w:p>
            <w:pPr>
              <w:pStyle w:val="nTable"/>
              <w:spacing w:after="40"/>
              <w:rPr>
                <w:b/>
                <w:sz w:val="19"/>
              </w:rPr>
            </w:pPr>
            <w:r>
              <w:rPr>
                <w:b/>
                <w:sz w:val="19"/>
              </w:rPr>
              <w:t>Citation</w:t>
            </w:r>
          </w:p>
        </w:tc>
        <w:tc>
          <w:tcPr>
            <w:tcW w:w="1276" w:type="dxa"/>
            <w:shd w:val="clear" w:color="auto" w:fill="auto"/>
          </w:tcPr>
          <w:p>
            <w:pPr>
              <w:pStyle w:val="nTable"/>
              <w:spacing w:after="40"/>
              <w:rPr>
                <w:b/>
                <w:sz w:val="19"/>
              </w:rPr>
            </w:pPr>
            <w:r>
              <w:rPr>
                <w:b/>
                <w:sz w:val="19"/>
              </w:rPr>
              <w:t>Gazettal</w:t>
            </w:r>
          </w:p>
        </w:tc>
        <w:tc>
          <w:tcPr>
            <w:tcW w:w="2693" w:type="dxa"/>
            <w:shd w:val="clear" w:color="auto" w:fill="auto"/>
          </w:tcPr>
          <w:p>
            <w:pPr>
              <w:pStyle w:val="nTable"/>
              <w:spacing w:after="40"/>
              <w:rPr>
                <w:b/>
                <w:sz w:val="19"/>
              </w:rPr>
            </w:pPr>
            <w:r>
              <w:rPr>
                <w:b/>
                <w:sz w:val="19"/>
              </w:rPr>
              <w:t>Commencement</w:t>
            </w:r>
          </w:p>
        </w:tc>
      </w:tr>
      <w:tr>
        <w:tc>
          <w:tcPr>
            <w:tcW w:w="3118" w:type="dxa"/>
          </w:tcPr>
          <w:p>
            <w:pPr>
              <w:pStyle w:val="nTable"/>
              <w:spacing w:after="40"/>
              <w:rPr>
                <w:i/>
                <w:noProof/>
                <w:snapToGrid w:val="0"/>
                <w:sz w:val="19"/>
              </w:rPr>
            </w:pPr>
            <w:r>
              <w:rPr>
                <w:i/>
                <w:noProof/>
                <w:snapToGrid w:val="0"/>
                <w:sz w:val="19"/>
              </w:rPr>
              <w:t>Building Regulations 2012</w:t>
            </w:r>
          </w:p>
        </w:tc>
        <w:tc>
          <w:tcPr>
            <w:tcW w:w="1276" w:type="dxa"/>
          </w:tcPr>
          <w:p>
            <w:pPr>
              <w:pStyle w:val="nTable"/>
              <w:spacing w:after="40"/>
              <w:rPr>
                <w:sz w:val="19"/>
              </w:rPr>
            </w:pPr>
            <w:r>
              <w:rPr>
                <w:sz w:val="19"/>
              </w:rPr>
              <w:t>13 Mar 2012 p. 1055-137</w:t>
            </w:r>
          </w:p>
        </w:tc>
        <w:tc>
          <w:tcPr>
            <w:tcW w:w="2693" w:type="dxa"/>
          </w:tcPr>
          <w:p>
            <w:pPr>
              <w:pStyle w:val="nTable"/>
              <w:spacing w:after="40"/>
              <w:rPr>
                <w:sz w:val="19"/>
              </w:rPr>
            </w:pPr>
            <w:r>
              <w:rPr>
                <w:sz w:val="19"/>
              </w:rPr>
              <w:t>r. 1 and 2: 13 Mar 2012 (see r. 2(a))</w:t>
            </w:r>
            <w:r>
              <w:rPr>
                <w:sz w:val="19"/>
              </w:rPr>
              <w:br/>
              <w:t xml:space="preserve">Regulations other than r. 1 and 2: 2 Apr 2012 (see r. 2(b) and </w:t>
            </w:r>
            <w:r>
              <w:rPr>
                <w:i/>
                <w:sz w:val="19"/>
              </w:rPr>
              <w:t>Gazette</w:t>
            </w:r>
            <w:r>
              <w:rPr>
                <w:sz w:val="19"/>
              </w:rPr>
              <w:t xml:space="preserve"> 13 Mar 2012 p. 1033)</w:t>
            </w:r>
          </w:p>
        </w:tc>
      </w:tr>
      <w:tr>
        <w:tc>
          <w:tcPr>
            <w:tcW w:w="3118" w:type="dxa"/>
          </w:tcPr>
          <w:p>
            <w:pPr>
              <w:pStyle w:val="nTable"/>
              <w:spacing w:after="40"/>
              <w:rPr>
                <w:i/>
                <w:noProof/>
                <w:snapToGrid w:val="0"/>
                <w:sz w:val="19"/>
              </w:rPr>
            </w:pPr>
            <w:r>
              <w:rPr>
                <w:i/>
                <w:noProof/>
                <w:snapToGrid w:val="0"/>
                <w:sz w:val="19"/>
              </w:rPr>
              <w:t>Building Amendment Regulations 2012</w:t>
            </w:r>
          </w:p>
        </w:tc>
        <w:tc>
          <w:tcPr>
            <w:tcW w:w="1276" w:type="dxa"/>
          </w:tcPr>
          <w:p>
            <w:pPr>
              <w:pStyle w:val="nTable"/>
              <w:spacing w:after="40"/>
              <w:rPr>
                <w:sz w:val="19"/>
              </w:rPr>
            </w:pPr>
            <w:r>
              <w:rPr>
                <w:sz w:val="19"/>
              </w:rPr>
              <w:t>15 Jun 2012 p. 2513</w:t>
            </w:r>
            <w:r>
              <w:rPr>
                <w:sz w:val="19"/>
              </w:rPr>
              <w:noBreakHyphen/>
              <w:t>15</w:t>
            </w:r>
          </w:p>
        </w:tc>
        <w:tc>
          <w:tcPr>
            <w:tcW w:w="2693" w:type="dxa"/>
          </w:tcPr>
          <w:p>
            <w:pPr>
              <w:pStyle w:val="nTable"/>
              <w:spacing w:after="40"/>
              <w:rPr>
                <w:sz w:val="19"/>
              </w:rPr>
            </w:pPr>
            <w:r>
              <w:rPr>
                <w:snapToGrid w:val="0"/>
                <w:spacing w:val="-2"/>
                <w:sz w:val="19"/>
                <w:lang w:val="en-US"/>
              </w:rPr>
              <w:t>r. 1 and 2: 15 Jun 2012 (see r. 2(a));</w:t>
            </w:r>
            <w:r>
              <w:rPr>
                <w:snapToGrid w:val="0"/>
                <w:spacing w:val="-2"/>
                <w:sz w:val="19"/>
                <w:lang w:val="en-US"/>
              </w:rPr>
              <w:br/>
              <w:t>Regulations other than r. 1 and 2: 16 Jun 2012 (see r. 2(b))</w:t>
            </w:r>
          </w:p>
        </w:tc>
      </w:tr>
    </w:tbl>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Regulations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Regulations 2012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3</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Estimated value of building work</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Estimated value of building work</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Other applications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3</w:instrText>
            </w:r>
          </w:fldSimple>
          <w:r>
            <w:instrText>"</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1</w:instrText>
            </w:r>
          </w:fldSimple>
          <w:r>
            <w:instrText>"</w:instrText>
          </w:r>
          <w:r>
            <w:fldChar w:fldCharType="separate"/>
          </w:r>
          <w:r>
            <w:rPr>
              <w:noProof/>
            </w:rPr>
            <w:t>3</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Inspections or tests of systems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Inspections or tests of systems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Building work that does not require building permit</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Kinds of building work for which a building permit is not required</w:t>
            </w:r>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Building work that does not require building permit</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fldSimple w:instr=" styleref CharSDivText ">
            <w:r>
              <w:rPr>
                <w:noProof/>
              </w:rPr>
              <w:t>Kinds of building work for which a building permit is not required</w:t>
            </w:r>
            <w:r>
              <w:rPr>
                <w:noProof/>
              </w:rPr>
              <w:cr/>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6244F9A"/>
    <w:multiLevelType w:val="hybridMultilevel"/>
    <w:tmpl w:val="24C2A9D6"/>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8624391"/>
    <w:multiLevelType w:val="hybridMultilevel"/>
    <w:tmpl w:val="A52063F0"/>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DEC3682"/>
    <w:multiLevelType w:val="hybridMultilevel"/>
    <w:tmpl w:val="B21C7A34"/>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106B1BBB"/>
    <w:multiLevelType w:val="multilevel"/>
    <w:tmpl w:val="87BA4B22"/>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0">
    <w:nsid w:val="48D54F6B"/>
    <w:multiLevelType w:val="multilevel"/>
    <w:tmpl w:val="E3EA38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nsid w:val="4CC03303"/>
    <w:multiLevelType w:val="singleLevel"/>
    <w:tmpl w:val="0809000F"/>
    <w:lvl w:ilvl="0">
      <w:start w:val="1"/>
      <w:numFmt w:val="decimal"/>
      <w:lvlText w:val="%1."/>
      <w:lvlJc w:val="left"/>
      <w:pPr>
        <w:tabs>
          <w:tab w:val="num" w:pos="360"/>
        </w:tabs>
        <w:ind w:left="360" w:hanging="360"/>
      </w:pPr>
    </w:lvl>
  </w:abstractNum>
  <w:abstractNum w:abstractNumId="3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3">
    <w:nsid w:val="54783F84"/>
    <w:multiLevelType w:val="hybridMultilevel"/>
    <w:tmpl w:val="1DBC29F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5A3B5B6A"/>
    <w:multiLevelType w:val="hybridMultilevel"/>
    <w:tmpl w:val="87BA4B22"/>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5A8D22A2"/>
    <w:multiLevelType w:val="hybridMultilevel"/>
    <w:tmpl w:val="D4787BAA"/>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6CDA361E"/>
    <w:multiLevelType w:val="hybridMultilevel"/>
    <w:tmpl w:val="C13824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2">
    <w:nsid w:val="72CB17DE"/>
    <w:multiLevelType w:val="hybridMultilevel"/>
    <w:tmpl w:val="BE7086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31"/>
  </w:num>
  <w:num w:numId="3">
    <w:abstractNumId w:val="19"/>
  </w:num>
  <w:num w:numId="4">
    <w:abstractNumId w:val="14"/>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9"/>
  </w:num>
  <w:num w:numId="17">
    <w:abstractNumId w:val="38"/>
  </w:num>
  <w:num w:numId="18">
    <w:abstractNumId w:val="33"/>
  </w:num>
  <w:num w:numId="19">
    <w:abstractNumId w:val="30"/>
  </w:num>
  <w:num w:numId="20">
    <w:abstractNumId w:val="13"/>
  </w:num>
  <w:num w:numId="21">
    <w:abstractNumId w:val="34"/>
  </w:num>
  <w:num w:numId="22">
    <w:abstractNumId w:val="18"/>
  </w:num>
  <w:num w:numId="23">
    <w:abstractNumId w:val="12"/>
  </w:num>
  <w:num w:numId="24">
    <w:abstractNumId w:val="16"/>
  </w:num>
  <w:num w:numId="25">
    <w:abstractNumId w:val="35"/>
  </w:num>
  <w:num w:numId="26">
    <w:abstractNumId w:val="26"/>
  </w:num>
  <w:num w:numId="27">
    <w:abstractNumId w:val="20"/>
  </w:num>
  <w:num w:numId="28">
    <w:abstractNumId w:val="28"/>
  </w:num>
  <w:num w:numId="29">
    <w:abstractNumId w:val="41"/>
  </w:num>
  <w:num w:numId="30">
    <w:abstractNumId w:val="42"/>
  </w:num>
  <w:num w:numId="31">
    <w:abstractNumId w:val="39"/>
  </w:num>
  <w:num w:numId="32">
    <w:abstractNumId w:val="3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830"/>
    <w:docVar w:name="WAFER_20151207123830" w:val="RemoveTrackChanges"/>
    <w:docVar w:name="WAFER_20151207123830_GUID" w:val="83871b97-a7f4-4f0b-8021-7b717e4239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link w:val="TableAmChar"/>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link w:val="zTableNAmChar"/>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TableAmChar">
    <w:name w:val="TableAm Char"/>
    <w:basedOn w:val="DefaultParagraphFont"/>
    <w:link w:val="TableAm"/>
    <w:rPr>
      <w:sz w:val="24"/>
      <w:lang w:val="en-AU" w:eastAsia="en-US" w:bidi="ar-SA"/>
    </w:rPr>
  </w:style>
  <w:style w:type="character" w:customStyle="1" w:styleId="zTableNAmChar">
    <w:name w:val="zTableNAm Char"/>
    <w:basedOn w:val="TableAmChar"/>
    <w:link w:val="zTableNAm"/>
    <w:rPr>
      <w:sz w:val="24"/>
      <w:lang w:val="en-AU" w:eastAsia="en-US" w:bidi="ar-SA"/>
    </w:rPr>
  </w:style>
  <w:style w:type="character" w:customStyle="1" w:styleId="SubsectionChar">
    <w:name w:val="Subsection Char"/>
    <w:basedOn w:val="DefaultParagraphFont"/>
    <w:link w:val="Subsection"/>
    <w:rPr>
      <w:sz w:val="24"/>
      <w:lang w:val="en-AU" w:eastAsia="en-US" w:bidi="ar-SA"/>
    </w:rPr>
  </w:style>
  <w:style w:type="paragraph" w:styleId="ListParagraph">
    <w:name w:val="List Paragraph"/>
    <w:basedOn w:val="Normal"/>
    <w:qFormat/>
    <w:pPr>
      <w:spacing w:before="100" w:beforeAutospacing="1" w:after="100" w:afterAutospacing="1"/>
    </w:pPr>
    <w:rPr>
      <w:rFonts w:eastAsia="Calibri"/>
      <w:szCs w:val="24"/>
      <w:lang w:eastAsia="en-AU"/>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link w:val="TableAmChar"/>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link w:val="zTableNAmChar"/>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TableAmChar">
    <w:name w:val="TableAm Char"/>
    <w:basedOn w:val="DefaultParagraphFont"/>
    <w:link w:val="TableAm"/>
    <w:rPr>
      <w:sz w:val="24"/>
      <w:lang w:val="en-AU" w:eastAsia="en-US" w:bidi="ar-SA"/>
    </w:rPr>
  </w:style>
  <w:style w:type="character" w:customStyle="1" w:styleId="zTableNAmChar">
    <w:name w:val="zTableNAm Char"/>
    <w:basedOn w:val="TableAmChar"/>
    <w:link w:val="zTableNAm"/>
    <w:rPr>
      <w:sz w:val="24"/>
      <w:lang w:val="en-AU" w:eastAsia="en-US" w:bidi="ar-SA"/>
    </w:rPr>
  </w:style>
  <w:style w:type="character" w:customStyle="1" w:styleId="SubsectionChar">
    <w:name w:val="Subsection Char"/>
    <w:basedOn w:val="DefaultParagraphFont"/>
    <w:link w:val="Subsection"/>
    <w:rPr>
      <w:sz w:val="24"/>
      <w:lang w:val="en-AU" w:eastAsia="en-US" w:bidi="ar-SA"/>
    </w:rPr>
  </w:style>
  <w:style w:type="paragraph" w:styleId="ListParagraph">
    <w:name w:val="List Paragraph"/>
    <w:basedOn w:val="Normal"/>
    <w:qFormat/>
    <w:pPr>
      <w:spacing w:before="100" w:beforeAutospacing="1" w:after="100" w:afterAutospacing="1"/>
    </w:pPr>
    <w:rPr>
      <w:rFonts w:eastAsia="Calibri"/>
      <w:szCs w:val="24"/>
      <w:lang w:eastAsia="en-AU"/>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15937</Words>
  <Characters>79210</Characters>
  <Application>Microsoft Office Word</Application>
  <DocSecurity>0</DocSecurity>
  <Lines>2731</Lines>
  <Paragraphs>1559</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Drafting Template (Regs)</vt:lpstr>
      <vt:lpstr>    Part 1 — Preliminary</vt:lpstr>
      <vt:lpstr>    Part 2 — General matters</vt:lpstr>
      <vt:lpstr>    Part 3 — Building and demolition permits</vt:lpstr>
      <vt:lpstr>    Part 4 — Building standards</vt:lpstr>
      <vt:lpstr>    Part 5 — Occupancy permits and building approval certificates</vt:lpstr>
      <vt:lpstr>    Part 6 — Circumstances in which building, demolition or occupancy permits not re</vt:lpstr>
      <vt:lpstr>    Part 7 — Work affecting other land</vt:lpstr>
      <vt:lpstr>    Part 8 — Existing buildings</vt:lpstr>
      <vt:lpstr>        Division 1 — General</vt:lpstr>
      <vt:lpstr>        Division 2 — Private swimming pools</vt:lpstr>
      <vt:lpstr>        Division 3 — Smoke alarms</vt:lpstr>
      <vt:lpstr>    Part 9 — Transitional provisions relating to Local Government (Miscellaneous Pro</vt:lpstr>
      <vt:lpstr>    Schedule 1 — Estimated value of building work</vt:lpstr>
      <vt:lpstr>    Schedule 2 — Fees</vt:lpstr>
      <vt:lpstr>        Division 1 — Applications for building permits, demolition permits</vt:lpstr>
      <vt:lpstr>        Division 2 — Application for occupancy permits, building approval certificates</vt:lpstr>
      <vt:lpstr>        Division 3 — Other applications</vt:lpstr>
      <vt:lpstr>    Schedule 3 — Inspections or tests of systems</vt:lpstr>
      <vt:lpstr>    Schedule 4 — Building work that does not require building permit</vt:lpstr>
      <vt:lpstr>    Schedule 5 — Areas of State where Part 8 Division 2 applies</vt:lpstr>
      <vt:lpstr/>
      <vt:lpstr>    Notes</vt:lpstr>
    </vt:vector>
  </TitlesOfParts>
  <Manager/>
  <Company/>
  <LinksUpToDate>false</LinksUpToDate>
  <CharactersWithSpaces>93588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2012 - 00-c0-03</dc:title>
  <dc:subject/>
  <dc:creator/>
  <cp:keywords/>
  <dc:description/>
  <cp:lastModifiedBy>svcMRProcess</cp:lastModifiedBy>
  <cp:revision>4</cp:revision>
  <cp:lastPrinted>2012-02-24T02:46:00Z</cp:lastPrinted>
  <dcterms:created xsi:type="dcterms:W3CDTF">2018-09-18T22:43:00Z</dcterms:created>
  <dcterms:modified xsi:type="dcterms:W3CDTF">2018-09-18T22:43:00Z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CommencementDate">
    <vt:lpwstr>20120616</vt:lpwstr>
  </property>
  <property fmtid="{D5CDD505-2E9C-101B-9397-08002B2CF9AE}" pid="4" name="AsAtDate">
    <vt:lpwstr>16 Jun 2012</vt:lpwstr>
  </property>
  <property fmtid="{D5CDD505-2E9C-101B-9397-08002B2CF9AE}" pid="5" name="Suffix">
    <vt:lpwstr>00-c0-03</vt:lpwstr>
  </property>
  <property fmtid="{D5CDD505-2E9C-101B-9397-08002B2CF9AE}" pid="6" name="DocumentType">
    <vt:lpwstr>Reg</vt:lpwstr>
  </property>
</Properties>
</file>