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Energy Operators (Powers) Act 1979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Operators (Regional Power Corporation) (Charges) By-laws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Energy Operators (Regional Power Corporation) (Charges) By-laws 2006</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_Toc328577425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_Toc328577426 \h </w:instrText>
      </w:r>
      <w:r>
        <w:fldChar w:fldCharType="separate"/>
      </w:r>
      <w:r>
        <w:t>1</w:t>
      </w:r>
      <w:r>
        <w:fldChar w:fldCharType="end"/>
      </w:r>
    </w:p>
    <w:p>
      <w:pPr>
        <w:pStyle w:val="TOC8"/>
        <w:rPr>
          <w:sz w:val="24"/>
          <w:szCs w:val="24"/>
          <w:lang w:val="en-US"/>
        </w:rPr>
      </w:pPr>
      <w:r>
        <w:t>3.</w:t>
      </w:r>
      <w:r>
        <w:tab/>
      </w:r>
      <w:r>
        <w:rPr>
          <w:snapToGrid w:val="0"/>
        </w:rPr>
        <w:t>Terms used</w:t>
      </w:r>
      <w:r>
        <w:tab/>
      </w:r>
      <w:r>
        <w:fldChar w:fldCharType="begin"/>
      </w:r>
      <w:r>
        <w:instrText xml:space="preserve"> PAGEREF _Toc328577427 \h </w:instrText>
      </w:r>
      <w:r>
        <w:fldChar w:fldCharType="separate"/>
      </w:r>
      <w:r>
        <w:t>1</w:t>
      </w:r>
      <w:r>
        <w:fldChar w:fldCharType="end"/>
      </w:r>
    </w:p>
    <w:p>
      <w:pPr>
        <w:pStyle w:val="TOC8"/>
        <w:rPr>
          <w:sz w:val="24"/>
          <w:szCs w:val="24"/>
          <w:lang w:val="en-US"/>
        </w:rPr>
      </w:pPr>
      <w:r>
        <w:t>4A.</w:t>
      </w:r>
      <w:r>
        <w:tab/>
        <w:t>Carbon component</w:t>
      </w:r>
      <w:r>
        <w:tab/>
      </w:r>
      <w:r>
        <w:fldChar w:fldCharType="begin"/>
      </w:r>
      <w:r>
        <w:instrText xml:space="preserve"> PAGEREF _Toc328577428 \h </w:instrText>
      </w:r>
      <w:r>
        <w:fldChar w:fldCharType="separate"/>
      </w:r>
      <w:r>
        <w:t>2</w:t>
      </w:r>
      <w:r>
        <w:fldChar w:fldCharType="end"/>
      </w:r>
    </w:p>
    <w:p>
      <w:pPr>
        <w:pStyle w:val="TOC8"/>
        <w:rPr>
          <w:sz w:val="24"/>
          <w:szCs w:val="24"/>
          <w:lang w:val="en-US"/>
        </w:rPr>
      </w:pPr>
      <w:r>
        <w:t>4.</w:t>
      </w:r>
      <w:r>
        <w:tab/>
      </w:r>
      <w:r>
        <w:rPr>
          <w:snapToGrid w:val="0"/>
        </w:rPr>
        <w:t>Electricity charges</w:t>
      </w:r>
      <w:r>
        <w:tab/>
      </w:r>
      <w:r>
        <w:fldChar w:fldCharType="begin"/>
      </w:r>
      <w:r>
        <w:instrText xml:space="preserve"> PAGEREF _Toc328577429 \h </w:instrText>
      </w:r>
      <w:r>
        <w:fldChar w:fldCharType="separate"/>
      </w:r>
      <w:r>
        <w:t>4</w:t>
      </w:r>
      <w:r>
        <w:fldChar w:fldCharType="end"/>
      </w:r>
    </w:p>
    <w:p>
      <w:pPr>
        <w:pStyle w:val="TOC8"/>
        <w:rPr>
          <w:sz w:val="24"/>
          <w:szCs w:val="24"/>
          <w:lang w:val="en-US"/>
        </w:rPr>
      </w:pPr>
      <w:r>
        <w:t>5.</w:t>
      </w:r>
      <w:r>
        <w:tab/>
        <w:t>Application of residential tariffs</w:t>
      </w:r>
      <w:r>
        <w:tab/>
      </w:r>
      <w:r>
        <w:fldChar w:fldCharType="begin"/>
      </w:r>
      <w:r>
        <w:instrText xml:space="preserve"> PAGEREF _Toc328577430 \h </w:instrText>
      </w:r>
      <w:r>
        <w:fldChar w:fldCharType="separate"/>
      </w:r>
      <w:r>
        <w:t>4</w:t>
      </w:r>
      <w:r>
        <w:fldChar w:fldCharType="end"/>
      </w:r>
    </w:p>
    <w:p>
      <w:pPr>
        <w:pStyle w:val="TOC8"/>
        <w:rPr>
          <w:sz w:val="24"/>
          <w:szCs w:val="24"/>
          <w:lang w:val="en-US"/>
        </w:rPr>
      </w:pPr>
      <w:r>
        <w:t>6.</w:t>
      </w:r>
      <w:r>
        <w:tab/>
        <w:t>Meter rental</w:t>
      </w:r>
      <w:r>
        <w:tab/>
      </w:r>
      <w:r>
        <w:fldChar w:fldCharType="begin"/>
      </w:r>
      <w:r>
        <w:instrText xml:space="preserve"> PAGEREF _Toc328577431 \h </w:instrText>
      </w:r>
      <w:r>
        <w:fldChar w:fldCharType="separate"/>
      </w:r>
      <w:r>
        <w:t>4</w:t>
      </w:r>
      <w:r>
        <w:fldChar w:fldCharType="end"/>
      </w:r>
    </w:p>
    <w:p>
      <w:pPr>
        <w:pStyle w:val="TOC8"/>
        <w:rPr>
          <w:sz w:val="24"/>
          <w:szCs w:val="24"/>
          <w:lang w:val="en-US"/>
        </w:rPr>
      </w:pPr>
      <w:r>
        <w:t>7.</w:t>
      </w:r>
      <w:r>
        <w:tab/>
        <w:t>Fees</w:t>
      </w:r>
      <w:r>
        <w:tab/>
      </w:r>
      <w:r>
        <w:fldChar w:fldCharType="begin"/>
      </w:r>
      <w:r>
        <w:instrText xml:space="preserve"> PAGEREF _Toc328577432 \h </w:instrText>
      </w:r>
      <w:r>
        <w:fldChar w:fldCharType="separate"/>
      </w:r>
      <w:r>
        <w:t>5</w:t>
      </w:r>
      <w:r>
        <w:fldChar w:fldCharType="end"/>
      </w:r>
    </w:p>
    <w:p>
      <w:pPr>
        <w:pStyle w:val="TOC8"/>
        <w:rPr>
          <w:sz w:val="24"/>
          <w:szCs w:val="24"/>
          <w:lang w:val="en-US"/>
        </w:rPr>
      </w:pPr>
      <w:r>
        <w:t>8.</w:t>
      </w:r>
      <w:r>
        <w:tab/>
        <w:t>Payment</w:t>
      </w:r>
      <w:r>
        <w:tab/>
      </w:r>
      <w:r>
        <w:fldChar w:fldCharType="begin"/>
      </w:r>
      <w:r>
        <w:instrText xml:space="preserve"> PAGEREF _Toc328577433 \h </w:instrText>
      </w:r>
      <w:r>
        <w:fldChar w:fldCharType="separate"/>
      </w:r>
      <w:r>
        <w:t>5</w:t>
      </w:r>
      <w:r>
        <w:fldChar w:fldCharType="end"/>
      </w:r>
    </w:p>
    <w:p>
      <w:pPr>
        <w:pStyle w:val="TOC8"/>
        <w:rPr>
          <w:sz w:val="24"/>
          <w:szCs w:val="24"/>
          <w:lang w:val="en-US"/>
        </w:rPr>
      </w:pPr>
      <w:r>
        <w:t>9.</w:t>
      </w:r>
      <w:r>
        <w:tab/>
        <w:t>Rebates and reduced fees</w:t>
      </w:r>
      <w:r>
        <w:tab/>
      </w:r>
      <w:r>
        <w:fldChar w:fldCharType="begin"/>
      </w:r>
      <w:r>
        <w:instrText xml:space="preserve"> PAGEREF _Toc328577434 \h </w:instrText>
      </w:r>
      <w:r>
        <w:fldChar w:fldCharType="separate"/>
      </w:r>
      <w:r>
        <w:t>6</w:t>
      </w:r>
      <w:r>
        <w:fldChar w:fldCharType="end"/>
      </w:r>
    </w:p>
    <w:p>
      <w:pPr>
        <w:pStyle w:val="TOC8"/>
        <w:rPr>
          <w:sz w:val="24"/>
          <w:szCs w:val="24"/>
          <w:lang w:val="en-US"/>
        </w:rPr>
      </w:pPr>
      <w:r>
        <w:t>10.</w:t>
      </w:r>
      <w:r>
        <w:tab/>
        <w:t>Calculation of charges</w:t>
      </w:r>
      <w:r>
        <w:tab/>
      </w:r>
      <w:r>
        <w:fldChar w:fldCharType="begin"/>
      </w:r>
      <w:r>
        <w:instrText xml:space="preserve"> PAGEREF _Toc328577435 \h </w:instrText>
      </w:r>
      <w:r>
        <w:fldChar w:fldCharType="separate"/>
      </w:r>
      <w:r>
        <w:t>7</w:t>
      </w:r>
      <w:r>
        <w:fldChar w:fldCharType="end"/>
      </w:r>
    </w:p>
    <w:p>
      <w:pPr>
        <w:pStyle w:val="TOC8"/>
        <w:rPr>
          <w:sz w:val="24"/>
          <w:szCs w:val="24"/>
          <w:lang w:val="en-US"/>
        </w:rPr>
      </w:pPr>
      <w:r>
        <w:t>11.</w:t>
      </w:r>
      <w:r>
        <w:tab/>
        <w:t>Changes in rates</w:t>
      </w:r>
      <w:r>
        <w:tab/>
      </w:r>
      <w:r>
        <w:fldChar w:fldCharType="begin"/>
      </w:r>
      <w:r>
        <w:instrText xml:space="preserve"> PAGEREF _Toc328577436 \h </w:instrText>
      </w:r>
      <w:r>
        <w:fldChar w:fldCharType="separate"/>
      </w:r>
      <w:r>
        <w:t>7</w:t>
      </w:r>
      <w:r>
        <w:fldChar w:fldCharType="end"/>
      </w:r>
    </w:p>
    <w:p>
      <w:pPr>
        <w:pStyle w:val="TOC8"/>
        <w:rPr>
          <w:sz w:val="24"/>
          <w:szCs w:val="24"/>
          <w:lang w:val="en-US"/>
        </w:rPr>
      </w:pPr>
      <w:r>
        <w:t>12.</w:t>
      </w:r>
      <w:r>
        <w:tab/>
        <w:t>Prescribed rate of interest for s. 62(16) of the Act</w:t>
      </w:r>
      <w:r>
        <w:tab/>
      </w:r>
      <w:r>
        <w:fldChar w:fldCharType="begin"/>
      </w:r>
      <w:r>
        <w:instrText xml:space="preserve"> PAGEREF _Toc328577437 \h </w:instrText>
      </w:r>
      <w:r>
        <w:fldChar w:fldCharType="separate"/>
      </w:r>
      <w:r>
        <w:t>8</w:t>
      </w:r>
      <w:r>
        <w:fldChar w:fldCharType="end"/>
      </w:r>
    </w:p>
    <w:p>
      <w:pPr>
        <w:pStyle w:val="TOC2"/>
        <w:tabs>
          <w:tab w:val="right" w:leader="dot" w:pos="7086"/>
        </w:tabs>
        <w:rPr>
          <w:b w:val="0"/>
          <w:sz w:val="24"/>
          <w:szCs w:val="24"/>
          <w:lang w:val="en-US"/>
        </w:rPr>
      </w:pPr>
      <w:r>
        <w:t>Schedule 1 — Supply charges</w:t>
      </w:r>
    </w:p>
    <w:p>
      <w:pPr>
        <w:pStyle w:val="TOC8"/>
        <w:rPr>
          <w:sz w:val="24"/>
          <w:szCs w:val="24"/>
          <w:lang w:val="en-US"/>
        </w:rPr>
      </w:pPr>
      <w:r>
        <w:t>1.</w:t>
      </w:r>
      <w:r>
        <w:tab/>
        <w:t>Terms used</w:t>
      </w:r>
      <w:r>
        <w:tab/>
      </w:r>
      <w:r>
        <w:fldChar w:fldCharType="begin"/>
      </w:r>
      <w:r>
        <w:instrText xml:space="preserve"> PAGEREF _Toc328577439 \h </w:instrText>
      </w:r>
      <w:r>
        <w:fldChar w:fldCharType="separate"/>
      </w:r>
      <w:r>
        <w:t>9</w:t>
      </w:r>
      <w:r>
        <w:fldChar w:fldCharType="end"/>
      </w:r>
    </w:p>
    <w:p>
      <w:pPr>
        <w:pStyle w:val="TOC8"/>
        <w:rPr>
          <w:sz w:val="24"/>
          <w:szCs w:val="24"/>
          <w:lang w:val="en-US"/>
        </w:rPr>
      </w:pPr>
      <w:r>
        <w:t>2.</w:t>
      </w:r>
      <w:r>
        <w:tab/>
        <w:t>Tariff L2 (general supply — low/medium voltage tariff)</w:t>
      </w:r>
      <w:r>
        <w:tab/>
      </w:r>
      <w:r>
        <w:fldChar w:fldCharType="begin"/>
      </w:r>
      <w:r>
        <w:instrText xml:space="preserve"> PAGEREF _Toc328577440 \h </w:instrText>
      </w:r>
      <w:r>
        <w:fldChar w:fldCharType="separate"/>
      </w:r>
      <w:r>
        <w:t>9</w:t>
      </w:r>
      <w:r>
        <w:fldChar w:fldCharType="end"/>
      </w:r>
    </w:p>
    <w:p>
      <w:pPr>
        <w:pStyle w:val="TOC8"/>
        <w:rPr>
          <w:sz w:val="24"/>
          <w:szCs w:val="24"/>
          <w:lang w:val="en-US"/>
        </w:rPr>
      </w:pPr>
      <w:r>
        <w:t>3.</w:t>
      </w:r>
      <w:r>
        <w:tab/>
        <w:t>Tariff L4 (general supply — low/medium voltage tariff)</w:t>
      </w:r>
      <w:r>
        <w:tab/>
      </w:r>
      <w:r>
        <w:fldChar w:fldCharType="begin"/>
      </w:r>
      <w:r>
        <w:instrText xml:space="preserve"> PAGEREF _Toc328577441 \h </w:instrText>
      </w:r>
      <w:r>
        <w:fldChar w:fldCharType="separate"/>
      </w:r>
      <w:r>
        <w:t>10</w:t>
      </w:r>
      <w:r>
        <w:fldChar w:fldCharType="end"/>
      </w:r>
    </w:p>
    <w:p>
      <w:pPr>
        <w:pStyle w:val="TOC8"/>
        <w:rPr>
          <w:sz w:val="24"/>
          <w:szCs w:val="24"/>
          <w:lang w:val="en-US"/>
        </w:rPr>
      </w:pPr>
      <w:r>
        <w:t>4.</w:t>
      </w:r>
      <w:r>
        <w:tab/>
        <w:t>Tariff M2 (general supply — high voltage tariff)</w:t>
      </w:r>
      <w:r>
        <w:tab/>
      </w:r>
      <w:r>
        <w:fldChar w:fldCharType="begin"/>
      </w:r>
      <w:r>
        <w:instrText xml:space="preserve"> PAGEREF _Toc328577442 \h </w:instrText>
      </w:r>
      <w:r>
        <w:fldChar w:fldCharType="separate"/>
      </w:r>
      <w:r>
        <w:t>10</w:t>
      </w:r>
      <w:r>
        <w:fldChar w:fldCharType="end"/>
      </w:r>
    </w:p>
    <w:p>
      <w:pPr>
        <w:pStyle w:val="TOC8"/>
        <w:rPr>
          <w:sz w:val="24"/>
          <w:szCs w:val="24"/>
          <w:lang w:val="en-US"/>
        </w:rPr>
      </w:pPr>
      <w:r>
        <w:t>5.</w:t>
      </w:r>
      <w:r>
        <w:tab/>
        <w:t>Tariff N2 (regional non</w:t>
      </w:r>
      <w:r>
        <w:noBreakHyphen/>
        <w:t>integrated systems — cost of supply tariff)</w:t>
      </w:r>
      <w:r>
        <w:tab/>
      </w:r>
      <w:r>
        <w:fldChar w:fldCharType="begin"/>
      </w:r>
      <w:r>
        <w:instrText xml:space="preserve"> PAGEREF _Toc328577443 \h </w:instrText>
      </w:r>
      <w:r>
        <w:fldChar w:fldCharType="separate"/>
      </w:r>
      <w:r>
        <w:t>11</w:t>
      </w:r>
      <w:r>
        <w:fldChar w:fldCharType="end"/>
      </w:r>
    </w:p>
    <w:p>
      <w:pPr>
        <w:pStyle w:val="TOC8"/>
        <w:rPr>
          <w:sz w:val="24"/>
          <w:szCs w:val="24"/>
          <w:lang w:val="en-US"/>
        </w:rPr>
      </w:pPr>
      <w:r>
        <w:t>6.</w:t>
      </w:r>
      <w:r>
        <w:tab/>
        <w:t>Tariff P2 (North West interconnected system — cost of supply tariff)</w:t>
      </w:r>
      <w:r>
        <w:tab/>
      </w:r>
      <w:r>
        <w:fldChar w:fldCharType="begin"/>
      </w:r>
      <w:r>
        <w:instrText xml:space="preserve"> PAGEREF _Toc328577444 \h </w:instrText>
      </w:r>
      <w:r>
        <w:fldChar w:fldCharType="separate"/>
      </w:r>
      <w:r>
        <w:t>11</w:t>
      </w:r>
      <w:r>
        <w:fldChar w:fldCharType="end"/>
      </w:r>
    </w:p>
    <w:p>
      <w:pPr>
        <w:pStyle w:val="TOC8"/>
        <w:rPr>
          <w:sz w:val="24"/>
          <w:szCs w:val="24"/>
          <w:lang w:val="en-US"/>
        </w:rPr>
      </w:pPr>
      <w:r>
        <w:t>7.</w:t>
      </w:r>
      <w:r>
        <w:tab/>
        <w:t>Tariff A2 (residential tariff)</w:t>
      </w:r>
      <w:r>
        <w:tab/>
      </w:r>
      <w:r>
        <w:fldChar w:fldCharType="begin"/>
      </w:r>
      <w:r>
        <w:instrText xml:space="preserve"> PAGEREF _Toc328577445 \h </w:instrText>
      </w:r>
      <w:r>
        <w:fldChar w:fldCharType="separate"/>
      </w:r>
      <w:r>
        <w:t>12</w:t>
      </w:r>
      <w:r>
        <w:fldChar w:fldCharType="end"/>
      </w:r>
    </w:p>
    <w:p>
      <w:pPr>
        <w:pStyle w:val="TOC8"/>
        <w:rPr>
          <w:sz w:val="24"/>
          <w:szCs w:val="24"/>
          <w:lang w:val="en-US"/>
        </w:rPr>
      </w:pPr>
      <w:r>
        <w:t>8.</w:t>
      </w:r>
      <w:r>
        <w:tab/>
        <w:t>Tariff C2 (special community service tariff)</w:t>
      </w:r>
      <w:r>
        <w:tab/>
      </w:r>
      <w:r>
        <w:fldChar w:fldCharType="begin"/>
      </w:r>
      <w:r>
        <w:instrText xml:space="preserve"> PAGEREF _Toc328577446 \h </w:instrText>
      </w:r>
      <w:r>
        <w:fldChar w:fldCharType="separate"/>
      </w:r>
      <w:r>
        <w:t>12</w:t>
      </w:r>
      <w:r>
        <w:fldChar w:fldCharType="end"/>
      </w:r>
    </w:p>
    <w:p>
      <w:pPr>
        <w:pStyle w:val="TOC8"/>
        <w:rPr>
          <w:sz w:val="24"/>
          <w:szCs w:val="24"/>
          <w:lang w:val="en-US"/>
        </w:rPr>
      </w:pPr>
      <w:r>
        <w:t>9.</w:t>
      </w:r>
      <w:r>
        <w:tab/>
        <w:t>Tariff D2 (special tariff for certain premises)</w:t>
      </w:r>
      <w:r>
        <w:tab/>
      </w:r>
      <w:r>
        <w:fldChar w:fldCharType="begin"/>
      </w:r>
      <w:r>
        <w:instrText xml:space="preserve"> PAGEREF _Toc328577447 \h </w:instrText>
      </w:r>
      <w:r>
        <w:fldChar w:fldCharType="separate"/>
      </w:r>
      <w:r>
        <w:t>13</w:t>
      </w:r>
      <w:r>
        <w:fldChar w:fldCharType="end"/>
      </w:r>
    </w:p>
    <w:p>
      <w:pPr>
        <w:pStyle w:val="TOC8"/>
        <w:rPr>
          <w:sz w:val="24"/>
          <w:szCs w:val="24"/>
          <w:lang w:val="en-US"/>
        </w:rPr>
      </w:pPr>
      <w:r>
        <w:t>10.</w:t>
      </w:r>
      <w:r>
        <w:tab/>
        <w:t>Tariff K2 (general supply with residential tariff)</w:t>
      </w:r>
      <w:r>
        <w:tab/>
      </w:r>
      <w:r>
        <w:fldChar w:fldCharType="begin"/>
      </w:r>
      <w:r>
        <w:instrText xml:space="preserve"> PAGEREF _Toc328577448 \h </w:instrText>
      </w:r>
      <w:r>
        <w:fldChar w:fldCharType="separate"/>
      </w:r>
      <w:r>
        <w:t>14</w:t>
      </w:r>
      <w:r>
        <w:fldChar w:fldCharType="end"/>
      </w:r>
    </w:p>
    <w:p>
      <w:pPr>
        <w:pStyle w:val="TOC8"/>
        <w:rPr>
          <w:sz w:val="24"/>
          <w:szCs w:val="24"/>
          <w:lang w:val="en-US"/>
        </w:rPr>
      </w:pPr>
      <w:r>
        <w:t>11.</w:t>
      </w:r>
      <w:r>
        <w:tab/>
        <w:t>Tariff W2 (traffic light installations)</w:t>
      </w:r>
      <w:r>
        <w:tab/>
      </w:r>
      <w:r>
        <w:fldChar w:fldCharType="begin"/>
      </w:r>
      <w:r>
        <w:instrText xml:space="preserve"> PAGEREF _Toc328577449 \h </w:instrText>
      </w:r>
      <w:r>
        <w:fldChar w:fldCharType="separate"/>
      </w:r>
      <w:r>
        <w:t>14</w:t>
      </w:r>
      <w:r>
        <w:fldChar w:fldCharType="end"/>
      </w:r>
    </w:p>
    <w:p>
      <w:pPr>
        <w:pStyle w:val="TOC2"/>
        <w:tabs>
          <w:tab w:val="right" w:leader="dot" w:pos="7086"/>
        </w:tabs>
        <w:rPr>
          <w:b w:val="0"/>
          <w:sz w:val="24"/>
          <w:szCs w:val="24"/>
          <w:lang w:val="en-US"/>
        </w:rPr>
      </w:pPr>
      <w:r>
        <w:t>Schedule 2A — Carbon components</w:t>
      </w:r>
    </w:p>
    <w:p>
      <w:pPr>
        <w:pStyle w:val="TOC2"/>
        <w:tabs>
          <w:tab w:val="right" w:leader="dot" w:pos="7086"/>
        </w:tabs>
        <w:rPr>
          <w:b w:val="0"/>
          <w:sz w:val="24"/>
          <w:szCs w:val="24"/>
          <w:lang w:val="en-US"/>
        </w:rPr>
      </w:pPr>
      <w:r>
        <w:t>Schedule 2 — Street lighting</w:t>
      </w:r>
    </w:p>
    <w:p>
      <w:pPr>
        <w:pStyle w:val="TOC2"/>
        <w:tabs>
          <w:tab w:val="right" w:leader="dot" w:pos="7086"/>
        </w:tabs>
        <w:rPr>
          <w:b w:val="0"/>
          <w:sz w:val="24"/>
          <w:szCs w:val="24"/>
          <w:lang w:val="en-US"/>
        </w:rPr>
      </w:pPr>
      <w:r>
        <w:t>Schedule 3 — Meter rentals</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_Toc328577455 \h </w:instrText>
      </w:r>
      <w:r>
        <w:fldChar w:fldCharType="separate"/>
      </w:r>
      <w:r>
        <w:t>22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Energy Operators (Powers) Act 1979</w:t>
      </w:r>
    </w:p>
    <w:p>
      <w:pPr>
        <w:pStyle w:val="NameofActReg"/>
      </w:pPr>
      <w:r>
        <w:t>Energy Operators (Regional Power Corporation) (Charges) By</w:t>
      </w:r>
      <w:r>
        <w:noBreakHyphen/>
        <w:t>laws 2006</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4266"/>
      <w:bookmarkStart w:id="9" w:name="_Toc328577425"/>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w:t>
      </w:r>
      <w:r>
        <w:rPr>
          <w:spacing w:val="-2"/>
        </w:rPr>
        <w:noBreakHyphen/>
        <w:t>laws</w:t>
      </w:r>
      <w:r>
        <w:t xml:space="preserve"> are the </w:t>
      </w:r>
      <w:r>
        <w:rPr>
          <w:i/>
        </w:rPr>
        <w:t>Energy Operators (Regional Power Corporation) (Charges) By</w:t>
      </w:r>
      <w:r>
        <w:rPr>
          <w:i/>
        </w:rPr>
        <w:noBreakHyphen/>
        <w:t>laws 2006</w:t>
      </w:r>
      <w:r>
        <w:rPr>
          <w:vertAlign w:val="superscript"/>
        </w:rPr>
        <w:t> 1</w:t>
      </w:r>
      <w:r>
        <w:t>.</w:t>
      </w:r>
    </w:p>
    <w:p>
      <w:pPr>
        <w:pStyle w:val="Heading5"/>
        <w:rPr>
          <w:spacing w:val="-2"/>
        </w:rPr>
      </w:pPr>
      <w:bookmarkStart w:id="10" w:name="_Toc123621894"/>
      <w:bookmarkStart w:id="11" w:name="_Toc128284267"/>
      <w:bookmarkStart w:id="12" w:name="_Toc328577426"/>
      <w:r>
        <w:rPr>
          <w:rStyle w:val="CharSectno"/>
        </w:rPr>
        <w:t>2</w:t>
      </w:r>
      <w:r>
        <w:rPr>
          <w:spacing w:val="-2"/>
        </w:rPr>
        <w:t>.</w:t>
      </w:r>
      <w:r>
        <w:rPr>
          <w:spacing w:val="-2"/>
        </w:rPr>
        <w:tab/>
        <w:t>Commencement</w:t>
      </w:r>
      <w:bookmarkEnd w:id="10"/>
      <w:bookmarkEnd w:id="11"/>
      <w:bookmarkEnd w:id="12"/>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13" w:name="_Toc486232663"/>
      <w:bookmarkStart w:id="14" w:name="_Toc509735408"/>
      <w:bookmarkStart w:id="15" w:name="_Toc511625640"/>
      <w:bookmarkStart w:id="16" w:name="_Toc512237522"/>
      <w:bookmarkStart w:id="17" w:name="_Toc512935994"/>
      <w:bookmarkStart w:id="18" w:name="_Toc44470743"/>
      <w:bookmarkStart w:id="19" w:name="_Toc63831847"/>
      <w:bookmarkStart w:id="20" w:name="_Toc123621895"/>
      <w:bookmarkStart w:id="21" w:name="_Toc128284268"/>
      <w:bookmarkStart w:id="22" w:name="_Toc328577427"/>
      <w:r>
        <w:rPr>
          <w:rStyle w:val="CharSectno"/>
        </w:rPr>
        <w:t>3</w:t>
      </w:r>
      <w:r>
        <w:t>.</w:t>
      </w:r>
      <w:r>
        <w:tab/>
      </w:r>
      <w:bookmarkEnd w:id="13"/>
      <w:bookmarkEnd w:id="14"/>
      <w:bookmarkEnd w:id="15"/>
      <w:bookmarkEnd w:id="16"/>
      <w:bookmarkEnd w:id="17"/>
      <w:bookmarkEnd w:id="18"/>
      <w:bookmarkEnd w:id="19"/>
      <w:r>
        <w:rPr>
          <w:snapToGrid w:val="0"/>
        </w:rPr>
        <w:t>Terms used</w:t>
      </w:r>
      <w:bookmarkEnd w:id="20"/>
      <w:bookmarkEnd w:id="21"/>
      <w:bookmarkEnd w:id="22"/>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rStyle w:val="CharDefText"/>
        </w:rPr>
        <w:tab/>
        <w:t>RBA cash rate</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1000; 29 Jun 2012 p. 2900.]</w:t>
      </w:r>
    </w:p>
    <w:p>
      <w:pPr>
        <w:pStyle w:val="Heading5"/>
      </w:pPr>
      <w:bookmarkStart w:id="23" w:name="_Toc328577428"/>
      <w:bookmarkStart w:id="24" w:name="_Toc486232664"/>
      <w:bookmarkStart w:id="25" w:name="_Toc509735409"/>
      <w:bookmarkStart w:id="26" w:name="_Toc511625641"/>
      <w:bookmarkStart w:id="27" w:name="_Toc512237523"/>
      <w:bookmarkStart w:id="28" w:name="_Toc512935995"/>
      <w:bookmarkStart w:id="29" w:name="_Toc44470744"/>
      <w:bookmarkStart w:id="30" w:name="_Toc63831848"/>
      <w:bookmarkStart w:id="31" w:name="_Toc123621896"/>
      <w:bookmarkStart w:id="32" w:name="_Toc128284269"/>
      <w:r>
        <w:rPr>
          <w:rStyle w:val="CharSectno"/>
        </w:rPr>
        <w:t>4A</w:t>
      </w:r>
      <w:r>
        <w:t>.</w:t>
      </w:r>
      <w:r>
        <w:tab/>
        <w:t>Carbon component</w:t>
      </w:r>
      <w:bookmarkEnd w:id="23"/>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8" w:type="dxa"/>
        <w:tblInd w:w="1018" w:type="dxa"/>
        <w:tblLayout w:type="fixed"/>
        <w:tblCellMar>
          <w:bottom w:w="113" w:type="dxa"/>
        </w:tblCellMar>
        <w:tblLook w:val="0000" w:firstRow="0" w:lastRow="0" w:firstColumn="0" w:lastColumn="0" w:noHBand="0" w:noVBand="0"/>
      </w:tblPr>
      <w:tblGrid>
        <w:gridCol w:w="6178"/>
      </w:tblGrid>
      <w:tr>
        <w:trPr>
          <w:cantSplit/>
        </w:trPr>
        <w:tc>
          <w:tcPr>
            <w:tcW w:w="6178" w:type="dxa"/>
          </w:tcPr>
          <w:p>
            <w:pPr>
              <w:pStyle w:val="TableNAm"/>
            </w:pPr>
            <w:r>
              <w:rPr>
                <w:i/>
              </w:rPr>
              <w:t>Australian National Registry of Emissions Units Act 2011</w:t>
            </w:r>
          </w:p>
        </w:tc>
      </w:tr>
      <w:tr>
        <w:trPr>
          <w:cantSplit/>
        </w:trPr>
        <w:tc>
          <w:tcPr>
            <w:tcW w:w="6178" w:type="dxa"/>
          </w:tcPr>
          <w:p>
            <w:pPr>
              <w:pStyle w:val="TableNAm"/>
            </w:pPr>
            <w:r>
              <w:rPr>
                <w:i/>
              </w:rPr>
              <w:t>Carbon Credits (Carbon Farming Initiative) Act 2011</w:t>
            </w:r>
          </w:p>
        </w:tc>
      </w:tr>
      <w:tr>
        <w:trPr>
          <w:cantSplit/>
        </w:trPr>
        <w:tc>
          <w:tcPr>
            <w:tcW w:w="6178" w:type="dxa"/>
          </w:tcPr>
          <w:p>
            <w:pPr>
              <w:pStyle w:val="TableNAm"/>
            </w:pPr>
            <w:r>
              <w:rPr>
                <w:i/>
              </w:rPr>
              <w:t>Clean Energy (Charges—Customs) Act 2011</w:t>
            </w:r>
          </w:p>
        </w:tc>
      </w:tr>
      <w:tr>
        <w:trPr>
          <w:cantSplit/>
        </w:trPr>
        <w:tc>
          <w:tcPr>
            <w:tcW w:w="6178" w:type="dxa"/>
          </w:tcPr>
          <w:p>
            <w:pPr>
              <w:pStyle w:val="TableNAm"/>
            </w:pPr>
            <w:r>
              <w:rPr>
                <w:i/>
              </w:rPr>
              <w:t>Clean Energy (Charges—Excise) Act 2011</w:t>
            </w:r>
          </w:p>
        </w:tc>
      </w:tr>
      <w:tr>
        <w:trPr>
          <w:cantSplit/>
        </w:trPr>
        <w:tc>
          <w:tcPr>
            <w:tcW w:w="6178" w:type="dxa"/>
          </w:tcPr>
          <w:p>
            <w:pPr>
              <w:pStyle w:val="TableNAm"/>
            </w:pPr>
            <w:r>
              <w:rPr>
                <w:i/>
              </w:rPr>
              <w:t>Clean Energy (Consequential Amendments) Act 2011</w:t>
            </w:r>
          </w:p>
        </w:tc>
      </w:tr>
      <w:tr>
        <w:trPr>
          <w:cantSplit/>
        </w:trPr>
        <w:tc>
          <w:tcPr>
            <w:tcW w:w="6178" w:type="dxa"/>
          </w:tcPr>
          <w:p>
            <w:pPr>
              <w:pStyle w:val="TableNAm"/>
            </w:pPr>
            <w:r>
              <w:rPr>
                <w:i/>
              </w:rPr>
              <w:t>Clean Energy (Customs Tariff Amendment) Act 2011</w:t>
            </w:r>
          </w:p>
        </w:tc>
      </w:tr>
      <w:tr>
        <w:trPr>
          <w:cantSplit/>
        </w:trPr>
        <w:tc>
          <w:tcPr>
            <w:tcW w:w="6178" w:type="dxa"/>
          </w:tcPr>
          <w:p>
            <w:pPr>
              <w:pStyle w:val="TableNAm"/>
            </w:pPr>
            <w:r>
              <w:rPr>
                <w:i/>
              </w:rPr>
              <w:t>Clean Energy (Excise Tariff Legislation Amendment) Act 2011</w:t>
            </w:r>
          </w:p>
        </w:tc>
      </w:tr>
      <w:tr>
        <w:trPr>
          <w:cantSplit/>
        </w:trPr>
        <w:tc>
          <w:tcPr>
            <w:tcW w:w="6178" w:type="dxa"/>
          </w:tcPr>
          <w:p>
            <w:pPr>
              <w:pStyle w:val="TableNAm"/>
            </w:pPr>
            <w:r>
              <w:rPr>
                <w:i/>
              </w:rPr>
              <w:t>Clean Energy (Fuel Tax Legislation Amendment) Act 2011</w:t>
            </w:r>
          </w:p>
        </w:tc>
      </w:tr>
      <w:tr>
        <w:trPr>
          <w:cantSplit/>
        </w:trPr>
        <w:tc>
          <w:tcPr>
            <w:tcW w:w="6178" w:type="dxa"/>
          </w:tcPr>
          <w:p>
            <w:pPr>
              <w:pStyle w:val="TableNAm"/>
            </w:pPr>
            <w:r>
              <w:rPr>
                <w:i/>
              </w:rPr>
              <w:t>Clean Energy (Household Assistance Amendments) Act 2011</w:t>
            </w:r>
          </w:p>
        </w:tc>
      </w:tr>
      <w:tr>
        <w:trPr>
          <w:cantSplit/>
        </w:trPr>
        <w:tc>
          <w:tcPr>
            <w:tcW w:w="6178" w:type="dxa"/>
          </w:tcPr>
          <w:p>
            <w:pPr>
              <w:pStyle w:val="TableNAm"/>
            </w:pPr>
            <w:r>
              <w:rPr>
                <w:i/>
              </w:rPr>
              <w:t>Clean Energy (Income Tax Rates Amendments) Act 2011</w:t>
            </w:r>
          </w:p>
        </w:tc>
      </w:tr>
      <w:tr>
        <w:trPr>
          <w:cantSplit/>
        </w:trPr>
        <w:tc>
          <w:tcPr>
            <w:tcW w:w="6178" w:type="dxa"/>
          </w:tcPr>
          <w:p>
            <w:pPr>
              <w:pStyle w:val="TableNAm"/>
            </w:pPr>
            <w:r>
              <w:rPr>
                <w:i/>
              </w:rPr>
              <w:t>Clean Energy (International Unit Surrender Charge) Act 2011</w:t>
            </w:r>
          </w:p>
        </w:tc>
      </w:tr>
      <w:tr>
        <w:trPr>
          <w:cantSplit/>
        </w:trPr>
        <w:tc>
          <w:tcPr>
            <w:tcW w:w="6178" w:type="dxa"/>
          </w:tcPr>
          <w:p>
            <w:pPr>
              <w:pStyle w:val="TableNAm"/>
            </w:pPr>
            <w:r>
              <w:rPr>
                <w:i/>
              </w:rPr>
              <w:t>Clean Energy Regulator Act 2011</w:t>
            </w:r>
          </w:p>
        </w:tc>
      </w:tr>
      <w:tr>
        <w:trPr>
          <w:cantSplit/>
        </w:trPr>
        <w:tc>
          <w:tcPr>
            <w:tcW w:w="6178" w:type="dxa"/>
          </w:tcPr>
          <w:p>
            <w:pPr>
              <w:pStyle w:val="TableNAm"/>
            </w:pPr>
            <w:r>
              <w:rPr>
                <w:i/>
              </w:rPr>
              <w:t>Clean Energy (Tax Laws Amendments) Act 2011</w:t>
            </w:r>
          </w:p>
        </w:tc>
      </w:tr>
      <w:tr>
        <w:trPr>
          <w:cantSplit/>
        </w:trPr>
        <w:tc>
          <w:tcPr>
            <w:tcW w:w="6178" w:type="dxa"/>
          </w:tcPr>
          <w:p>
            <w:pPr>
              <w:pStyle w:val="TableNAm"/>
            </w:pPr>
            <w:r>
              <w:rPr>
                <w:i/>
              </w:rPr>
              <w:t>Clean Energy (Unit Issue Charge—Auctions) Act 2011</w:t>
            </w:r>
          </w:p>
        </w:tc>
      </w:tr>
      <w:tr>
        <w:trPr>
          <w:cantSplit/>
        </w:trPr>
        <w:tc>
          <w:tcPr>
            <w:tcW w:w="6178" w:type="dxa"/>
          </w:tcPr>
          <w:p>
            <w:pPr>
              <w:pStyle w:val="TableNAm"/>
            </w:pPr>
            <w:r>
              <w:rPr>
                <w:i/>
              </w:rPr>
              <w:t>Clean Energy (Unit Issue Charge—Fixed Charge) Act 2011</w:t>
            </w:r>
          </w:p>
        </w:tc>
      </w:tr>
      <w:tr>
        <w:trPr>
          <w:cantSplit/>
        </w:trPr>
        <w:tc>
          <w:tcPr>
            <w:tcW w:w="6178" w:type="dxa"/>
          </w:tcPr>
          <w:p>
            <w:pPr>
              <w:pStyle w:val="TableNAm"/>
            </w:pPr>
            <w:r>
              <w:rPr>
                <w:i/>
              </w:rPr>
              <w:t>Clean Energy (Unit Shortfall Charge—General) Act 2011</w:t>
            </w:r>
          </w:p>
        </w:tc>
      </w:tr>
      <w:tr>
        <w:trPr>
          <w:cantSplit/>
        </w:trPr>
        <w:tc>
          <w:tcPr>
            <w:tcW w:w="6178" w:type="dxa"/>
          </w:tcPr>
          <w:p>
            <w:pPr>
              <w:pStyle w:val="TableNAm"/>
            </w:pPr>
            <w:r>
              <w:rPr>
                <w:i/>
              </w:rPr>
              <w:t>Climate Change Authority Act 2011</w:t>
            </w:r>
          </w:p>
        </w:tc>
      </w:tr>
      <w:tr>
        <w:trPr>
          <w:cantSplit/>
        </w:trPr>
        <w:tc>
          <w:tcPr>
            <w:tcW w:w="6178" w:type="dxa"/>
          </w:tcPr>
          <w:p>
            <w:pPr>
              <w:pStyle w:val="TableNAm"/>
            </w:pPr>
            <w:r>
              <w:rPr>
                <w:i/>
              </w:rPr>
              <w:t>Customs Tariff Act 1995</w:t>
            </w:r>
          </w:p>
        </w:tc>
      </w:tr>
      <w:tr>
        <w:trPr>
          <w:cantSplit/>
        </w:trPr>
        <w:tc>
          <w:tcPr>
            <w:tcW w:w="6178" w:type="dxa"/>
          </w:tcPr>
          <w:p>
            <w:pPr>
              <w:pStyle w:val="TableNAm"/>
            </w:pPr>
            <w:r>
              <w:rPr>
                <w:i/>
              </w:rPr>
              <w:t>Excise Act 1901</w:t>
            </w:r>
          </w:p>
        </w:tc>
      </w:tr>
      <w:tr>
        <w:trPr>
          <w:cantSplit/>
        </w:trPr>
        <w:tc>
          <w:tcPr>
            <w:tcW w:w="6178" w:type="dxa"/>
          </w:tcPr>
          <w:p>
            <w:pPr>
              <w:pStyle w:val="TableNAm"/>
            </w:pPr>
            <w:r>
              <w:rPr>
                <w:i/>
              </w:rPr>
              <w:t>Excise Tariff Act 1921</w:t>
            </w:r>
          </w:p>
        </w:tc>
      </w:tr>
      <w:tr>
        <w:trPr>
          <w:cantSplit/>
        </w:trPr>
        <w:tc>
          <w:tcPr>
            <w:tcW w:w="6178" w:type="dxa"/>
          </w:tcPr>
          <w:p>
            <w:pPr>
              <w:pStyle w:val="TableNAm"/>
            </w:pPr>
            <w:r>
              <w:rPr>
                <w:i/>
              </w:rPr>
              <w:t>Excise Tariff Amendment (Taxation of Alternative Fuels) Act 2011</w:t>
            </w:r>
          </w:p>
        </w:tc>
      </w:tr>
      <w:tr>
        <w:trPr>
          <w:cantSplit/>
        </w:trPr>
        <w:tc>
          <w:tcPr>
            <w:tcW w:w="6178" w:type="dxa"/>
          </w:tcPr>
          <w:p>
            <w:pPr>
              <w:pStyle w:val="TableNAm"/>
            </w:pPr>
            <w:r>
              <w:rPr>
                <w:i/>
              </w:rPr>
              <w:t>Fuel Tax Act 2006</w:t>
            </w:r>
          </w:p>
        </w:tc>
      </w:tr>
      <w:tr>
        <w:trPr>
          <w:cantSplit/>
        </w:trPr>
        <w:tc>
          <w:tcPr>
            <w:tcW w:w="6178" w:type="dxa"/>
          </w:tcPr>
          <w:p>
            <w:pPr>
              <w:pStyle w:val="TableNAm"/>
            </w:pPr>
            <w:r>
              <w:rPr>
                <w:i/>
              </w:rPr>
              <w:t>Fuel Tax (Consequential and Transitional Provisions) Act 2006</w:t>
            </w:r>
          </w:p>
        </w:tc>
      </w:tr>
      <w:tr>
        <w:trPr>
          <w:cantSplit/>
        </w:trPr>
        <w:tc>
          <w:tcPr>
            <w:tcW w:w="6178" w:type="dxa"/>
          </w:tcPr>
          <w:p>
            <w:pPr>
              <w:pStyle w:val="TableNAm"/>
            </w:pPr>
            <w:r>
              <w:rPr>
                <w:i/>
              </w:rPr>
              <w:t>National Greenhouse and Energy Reporting Act 2007</w:t>
            </w:r>
          </w:p>
        </w:tc>
      </w:tr>
      <w:tr>
        <w:trPr>
          <w:cantSplit/>
        </w:trPr>
        <w:tc>
          <w:tcPr>
            <w:tcW w:w="6178" w:type="dxa"/>
          </w:tcPr>
          <w:p>
            <w:pPr>
              <w:pStyle w:val="TableNAm"/>
            </w:pPr>
            <w:r>
              <w:rPr>
                <w:i/>
              </w:rPr>
              <w:t>Ozone Protection and Synthetic Greenhouse Gas (Import Levy) Act 1995</w:t>
            </w:r>
          </w:p>
        </w:tc>
      </w:tr>
      <w:tr>
        <w:trPr>
          <w:cantSplit/>
        </w:trPr>
        <w:tc>
          <w:tcPr>
            <w:tcW w:w="6178" w:type="dxa"/>
          </w:tcPr>
          <w:p>
            <w:pPr>
              <w:pStyle w:val="TableNAm"/>
            </w:pPr>
            <w:r>
              <w:rPr>
                <w:i/>
              </w:rPr>
              <w:t>Ozone Protection and Synthetic Greenhouse Gas (Import Levy) Amendment Act 2011</w:t>
            </w:r>
          </w:p>
        </w:tc>
      </w:tr>
      <w:tr>
        <w:trPr>
          <w:cantSplit/>
        </w:trPr>
        <w:tc>
          <w:tcPr>
            <w:tcW w:w="6178" w:type="dxa"/>
          </w:tcPr>
          <w:p>
            <w:pPr>
              <w:pStyle w:val="TableNAm"/>
            </w:pPr>
            <w:r>
              <w:rPr>
                <w:i/>
              </w:rPr>
              <w:t>Ozone Protection and Synthetic Greenhouse Gas Management Act 1989</w:t>
            </w:r>
          </w:p>
        </w:tc>
      </w:tr>
      <w:tr>
        <w:trPr>
          <w:cantSplit/>
        </w:trPr>
        <w:tc>
          <w:tcPr>
            <w:tcW w:w="6178" w:type="dxa"/>
          </w:tcPr>
          <w:p>
            <w:pPr>
              <w:pStyle w:val="TableNAm"/>
            </w:pPr>
            <w:r>
              <w:rPr>
                <w:i/>
              </w:rPr>
              <w:t>Ozone Protection and Synthetic Greenhouse Gas (Manufacture Levy) Act 1995</w:t>
            </w:r>
          </w:p>
        </w:tc>
      </w:tr>
      <w:tr>
        <w:trPr>
          <w:cantSplit/>
        </w:trPr>
        <w:tc>
          <w:tcPr>
            <w:tcW w:w="6178" w:type="dxa"/>
          </w:tcPr>
          <w:p>
            <w:pPr>
              <w:pStyle w:val="TableNAm"/>
            </w:pPr>
            <w:r>
              <w:rPr>
                <w:i/>
              </w:rPr>
              <w:t>Ozone Protection and Synthetic Greenhouse Gas (Manufacture Levy) Amendment Act 2011</w:t>
            </w:r>
          </w:p>
        </w:tc>
      </w:tr>
    </w:tbl>
    <w:p>
      <w:pPr>
        <w:pStyle w:val="Subsection"/>
      </w:pPr>
      <w:r>
        <w:tab/>
        <w:t>(2)</w:t>
      </w:r>
      <w:r>
        <w:tab/>
        <w:t>A reference in a provision of Schedule 1 to the carbon component is a reference to the amount specified for that provision in Schedule 2A.</w:t>
      </w:r>
    </w:p>
    <w:p>
      <w:pPr>
        <w:pStyle w:val="Footnotesection"/>
      </w:pPr>
      <w:r>
        <w:tab/>
        <w:t>[By</w:t>
      </w:r>
      <w:r>
        <w:noBreakHyphen/>
        <w:t>law 4A inserted in Gazette 29 Jun 2012 p. 2900-2.]</w:t>
      </w:r>
    </w:p>
    <w:p>
      <w:pPr>
        <w:pStyle w:val="Heading5"/>
        <w:rPr>
          <w:snapToGrid w:val="0"/>
        </w:rPr>
      </w:pPr>
      <w:bookmarkStart w:id="33" w:name="_Toc328577429"/>
      <w:r>
        <w:rPr>
          <w:rStyle w:val="CharSectno"/>
        </w:rPr>
        <w:t>4</w:t>
      </w:r>
      <w:r>
        <w:t>.</w:t>
      </w:r>
      <w:r>
        <w:tab/>
      </w:r>
      <w:r>
        <w:rPr>
          <w:snapToGrid w:val="0"/>
        </w:rPr>
        <w:t>Electricity charges</w:t>
      </w:r>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34" w:name="_Toc123621897"/>
      <w:bookmarkStart w:id="35" w:name="_Toc128284270"/>
      <w:bookmarkStart w:id="36" w:name="_Toc328577430"/>
      <w:r>
        <w:rPr>
          <w:rStyle w:val="CharSectno"/>
        </w:rPr>
        <w:t>5</w:t>
      </w:r>
      <w:r>
        <w:t>.</w:t>
      </w:r>
      <w:r>
        <w:tab/>
        <w:t>Application of residential tariffs</w:t>
      </w:r>
      <w:bookmarkEnd w:id="34"/>
      <w:bookmarkEnd w:id="35"/>
      <w:bookmarkEnd w:id="36"/>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37" w:name="_Toc123621898"/>
      <w:bookmarkStart w:id="38" w:name="_Toc128284271"/>
      <w:bookmarkStart w:id="39" w:name="_Toc328577431"/>
      <w:r>
        <w:rPr>
          <w:rStyle w:val="CharSectno"/>
        </w:rPr>
        <w:t>6</w:t>
      </w:r>
      <w:r>
        <w:t>.</w:t>
      </w:r>
      <w:r>
        <w:tab/>
        <w:t>Meter rental</w:t>
      </w:r>
      <w:bookmarkEnd w:id="37"/>
      <w:bookmarkEnd w:id="38"/>
      <w:bookmarkEnd w:id="3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40" w:name="_Toc123621899"/>
      <w:bookmarkStart w:id="41" w:name="_Toc128284272"/>
      <w:bookmarkStart w:id="42" w:name="_Toc328577432"/>
      <w:r>
        <w:rPr>
          <w:rStyle w:val="CharSectno"/>
        </w:rPr>
        <w:t>7</w:t>
      </w:r>
      <w:r>
        <w:t>.</w:t>
      </w:r>
      <w:r>
        <w:tab/>
        <w:t>Fees</w:t>
      </w:r>
      <w:bookmarkEnd w:id="40"/>
      <w:bookmarkEnd w:id="41"/>
      <w:bookmarkEnd w:id="42"/>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43" w:name="_Toc123621900"/>
      <w:bookmarkStart w:id="44" w:name="_Toc128284273"/>
      <w:bookmarkStart w:id="45" w:name="_Toc328577433"/>
      <w:r>
        <w:rPr>
          <w:rStyle w:val="CharSectno"/>
        </w:rPr>
        <w:t>8</w:t>
      </w:r>
      <w:r>
        <w:t>.</w:t>
      </w:r>
      <w:r>
        <w:tab/>
        <w:t>Payment</w:t>
      </w:r>
      <w:bookmarkEnd w:id="43"/>
      <w:bookmarkEnd w:id="44"/>
      <w:bookmarkEnd w:id="4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1000.]</w:t>
      </w:r>
    </w:p>
    <w:p>
      <w:pPr>
        <w:pStyle w:val="Heading5"/>
      </w:pPr>
      <w:bookmarkStart w:id="46" w:name="_Toc123621901"/>
      <w:bookmarkStart w:id="47" w:name="_Toc128284274"/>
      <w:bookmarkStart w:id="48" w:name="_Toc328577434"/>
      <w:r>
        <w:rPr>
          <w:rStyle w:val="CharSectno"/>
        </w:rPr>
        <w:t>9</w:t>
      </w:r>
      <w:r>
        <w:t>.</w:t>
      </w:r>
      <w:r>
        <w:tab/>
        <w:t>Rebates and reduced fees</w:t>
      </w:r>
      <w:bookmarkEnd w:id="46"/>
      <w:bookmarkEnd w:id="47"/>
      <w:bookmarkEnd w:id="48"/>
    </w:p>
    <w:p>
      <w:pPr>
        <w:pStyle w:val="Subsection"/>
        <w:keepNext/>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 xml:space="preserve">A person who comes within paragraph (a) or (b) of the definition of </w:t>
      </w:r>
      <w:r>
        <w:rPr>
          <w:b/>
          <w:bCs/>
          <w:i/>
          <w:iCs/>
          <w:snapToGrid w:val="0"/>
        </w:rPr>
        <w:t>eligible person</w:t>
      </w:r>
      <w:r>
        <w:rPr>
          <w:snapToGrid w:val="0"/>
        </w:rPr>
        <w:t xml:space="preserve">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49" w:name="_Toc123621902"/>
      <w:bookmarkStart w:id="50" w:name="_Toc128284275"/>
      <w:bookmarkStart w:id="51" w:name="_Toc328577435"/>
      <w:r>
        <w:rPr>
          <w:rStyle w:val="CharSectno"/>
        </w:rPr>
        <w:t>10</w:t>
      </w:r>
      <w:r>
        <w:t>.</w:t>
      </w:r>
      <w:r>
        <w:tab/>
        <w:t>Calculation of charges</w:t>
      </w:r>
      <w:bookmarkEnd w:id="49"/>
      <w:bookmarkEnd w:id="50"/>
      <w:bookmarkEnd w:id="51"/>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52" w:name="_Toc123621903"/>
      <w:bookmarkStart w:id="53" w:name="_Toc128284276"/>
      <w:bookmarkStart w:id="54" w:name="_Toc328577436"/>
      <w:r>
        <w:rPr>
          <w:rStyle w:val="CharSectno"/>
        </w:rPr>
        <w:t>11</w:t>
      </w:r>
      <w:r>
        <w:t>.</w:t>
      </w:r>
      <w:r>
        <w:tab/>
        <w:t>Changes in rates</w:t>
      </w:r>
      <w:bookmarkEnd w:id="52"/>
      <w:bookmarkEnd w:id="53"/>
      <w:bookmarkEnd w:id="54"/>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55" w:name="_Toc328577437"/>
      <w:bookmarkStart w:id="56" w:name="_Toc123630125"/>
      <w:bookmarkStart w:id="57" w:name="_Toc123630143"/>
      <w:bookmarkStart w:id="58" w:name="_Toc123630161"/>
      <w:bookmarkStart w:id="59" w:name="_Toc124052047"/>
      <w:bookmarkStart w:id="60" w:name="_Toc124057992"/>
      <w:bookmarkStart w:id="61" w:name="_Toc124058053"/>
      <w:bookmarkStart w:id="62" w:name="_Toc124133807"/>
      <w:bookmarkStart w:id="63" w:name="_Toc124148130"/>
      <w:bookmarkStart w:id="64" w:name="_Toc124157862"/>
      <w:bookmarkStart w:id="65" w:name="_Toc124216739"/>
      <w:bookmarkStart w:id="66" w:name="_Toc124217247"/>
      <w:bookmarkStart w:id="67" w:name="_Toc124218585"/>
      <w:bookmarkStart w:id="68" w:name="_Toc124222742"/>
      <w:bookmarkStart w:id="69" w:name="_Toc124224459"/>
      <w:bookmarkStart w:id="70" w:name="_Toc124224492"/>
      <w:bookmarkStart w:id="71" w:name="_Toc124224860"/>
      <w:bookmarkStart w:id="72" w:name="_Toc124224960"/>
      <w:bookmarkStart w:id="73" w:name="_Toc124225750"/>
      <w:bookmarkStart w:id="74" w:name="_Toc124226011"/>
      <w:bookmarkStart w:id="75" w:name="_Toc124235173"/>
      <w:bookmarkStart w:id="76" w:name="_Toc124235974"/>
      <w:bookmarkStart w:id="77" w:name="_Toc125272400"/>
      <w:bookmarkStart w:id="78" w:name="_Toc125279410"/>
      <w:bookmarkStart w:id="79" w:name="_Toc127005811"/>
      <w:bookmarkStart w:id="80" w:name="_Toc127006358"/>
      <w:bookmarkStart w:id="81" w:name="_Toc127077890"/>
      <w:bookmarkStart w:id="82" w:name="_Toc127078596"/>
      <w:bookmarkStart w:id="83" w:name="_Toc127079183"/>
      <w:bookmarkStart w:id="84" w:name="_Toc127079705"/>
      <w:bookmarkStart w:id="85" w:name="_Toc127083130"/>
      <w:bookmarkStart w:id="86" w:name="_Toc127084552"/>
      <w:bookmarkStart w:id="87" w:name="_Toc127084586"/>
      <w:bookmarkStart w:id="88" w:name="_Toc127084741"/>
      <w:bookmarkStart w:id="89" w:name="_Toc127085260"/>
      <w:bookmarkStart w:id="90" w:name="_Toc127085669"/>
      <w:bookmarkStart w:id="91" w:name="_Toc127085711"/>
      <w:bookmarkStart w:id="92" w:name="_Toc127085783"/>
      <w:bookmarkStart w:id="93" w:name="_Toc127086351"/>
      <w:bookmarkStart w:id="94" w:name="_Toc127672623"/>
      <w:bookmarkStart w:id="95" w:name="_Toc127695292"/>
      <w:bookmarkStart w:id="96" w:name="_Toc127695735"/>
      <w:bookmarkStart w:id="97" w:name="_Toc127699619"/>
      <w:bookmarkStart w:id="98" w:name="_Toc127947029"/>
      <w:bookmarkStart w:id="99" w:name="_Toc127947918"/>
      <w:bookmarkStart w:id="100" w:name="_Toc127947944"/>
      <w:bookmarkStart w:id="101" w:name="_Toc127959114"/>
      <w:bookmarkStart w:id="102" w:name="_Toc127959523"/>
      <w:bookmarkStart w:id="103" w:name="_Toc128191075"/>
      <w:bookmarkStart w:id="104" w:name="_Toc128196498"/>
      <w:bookmarkStart w:id="105" w:name="_Toc128283904"/>
      <w:bookmarkStart w:id="106" w:name="_Toc128284063"/>
      <w:bookmarkStart w:id="107" w:name="_Toc128284089"/>
      <w:bookmarkStart w:id="108" w:name="_Toc128284278"/>
      <w:bookmarkStart w:id="109" w:name="_Toc131496135"/>
      <w:r>
        <w:rPr>
          <w:rStyle w:val="CharSectno"/>
        </w:rPr>
        <w:t>12</w:t>
      </w:r>
      <w:r>
        <w:t>.</w:t>
      </w:r>
      <w:r>
        <w:tab/>
        <w:t>Prescribed rate of interest for s. 62(16) of the Act</w:t>
      </w:r>
      <w:bookmarkEnd w:id="55"/>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1000</w:t>
      </w:r>
      <w:r>
        <w:noBreakHyphen/>
        <w:t>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10" w:name="_Toc264986320"/>
      <w:bookmarkStart w:id="111" w:name="_Toc265662290"/>
      <w:bookmarkStart w:id="112" w:name="_Toc297283500"/>
      <w:bookmarkStart w:id="113" w:name="_Toc328577438"/>
      <w:bookmarkStart w:id="114" w:name="_Toc123621759"/>
      <w:bookmarkStart w:id="115" w:name="_Toc123621906"/>
      <w:bookmarkStart w:id="116" w:name="_Toc123624866"/>
      <w:bookmarkStart w:id="117" w:name="_Toc123624933"/>
      <w:bookmarkStart w:id="118" w:name="_Toc123630128"/>
      <w:bookmarkStart w:id="119" w:name="_Toc123630146"/>
      <w:bookmarkStart w:id="120" w:name="_Toc123630164"/>
      <w:bookmarkStart w:id="121" w:name="_Toc124052050"/>
      <w:bookmarkStart w:id="122" w:name="_Toc124057995"/>
      <w:bookmarkStart w:id="123" w:name="_Toc124058056"/>
      <w:bookmarkStart w:id="124" w:name="_Toc124133810"/>
      <w:bookmarkStart w:id="125" w:name="_Toc124148133"/>
      <w:bookmarkStart w:id="126" w:name="_Toc124157865"/>
      <w:bookmarkStart w:id="127" w:name="_Toc124216742"/>
      <w:bookmarkStart w:id="128" w:name="_Toc124217250"/>
      <w:bookmarkStart w:id="129" w:name="_Toc124218589"/>
      <w:bookmarkStart w:id="130" w:name="_Toc124222749"/>
      <w:bookmarkStart w:id="131" w:name="_Toc124224477"/>
      <w:bookmarkStart w:id="132" w:name="_Toc124224510"/>
      <w:bookmarkStart w:id="133" w:name="_Toc124224878"/>
      <w:bookmarkStart w:id="134" w:name="_Toc124224978"/>
      <w:bookmarkStart w:id="135" w:name="_Toc124225768"/>
      <w:bookmarkStart w:id="136" w:name="_Toc124226029"/>
      <w:bookmarkStart w:id="137" w:name="_Toc124235191"/>
      <w:bookmarkStart w:id="138" w:name="_Toc124235992"/>
      <w:bookmarkStart w:id="139" w:name="_Toc125272418"/>
      <w:bookmarkStart w:id="140" w:name="_Toc125279428"/>
      <w:bookmarkStart w:id="141" w:name="_Toc127005829"/>
      <w:bookmarkStart w:id="142" w:name="_Toc127006376"/>
      <w:bookmarkStart w:id="143" w:name="_Toc127077910"/>
      <w:bookmarkStart w:id="144" w:name="_Toc127078615"/>
      <w:bookmarkStart w:id="145" w:name="_Toc127079202"/>
      <w:bookmarkStart w:id="146" w:name="_Toc127079724"/>
      <w:bookmarkStart w:id="147" w:name="_Toc127083149"/>
      <w:bookmarkStart w:id="148" w:name="_Toc127084571"/>
      <w:bookmarkStart w:id="149" w:name="_Toc127084605"/>
      <w:bookmarkStart w:id="150" w:name="_Toc127084752"/>
      <w:bookmarkStart w:id="151" w:name="_Toc127085271"/>
      <w:bookmarkStart w:id="152" w:name="_Toc127085680"/>
      <w:bookmarkStart w:id="153" w:name="_Toc127085722"/>
      <w:bookmarkStart w:id="154" w:name="_Toc127085794"/>
      <w:bookmarkStart w:id="155" w:name="_Toc127086362"/>
      <w:bookmarkStart w:id="156" w:name="_Toc127672634"/>
      <w:bookmarkStart w:id="157" w:name="_Toc127695303"/>
      <w:bookmarkStart w:id="158" w:name="_Toc127695746"/>
      <w:bookmarkStart w:id="159" w:name="_Toc127699630"/>
      <w:bookmarkStart w:id="160" w:name="_Toc127947040"/>
      <w:bookmarkStart w:id="161" w:name="_Toc127947929"/>
      <w:bookmarkStart w:id="162" w:name="_Toc127947955"/>
      <w:bookmarkStart w:id="163" w:name="_Toc127959125"/>
      <w:bookmarkStart w:id="164" w:name="_Toc127959534"/>
      <w:bookmarkStart w:id="165" w:name="_Toc128191086"/>
      <w:bookmarkStart w:id="166" w:name="_Toc128196509"/>
      <w:bookmarkStart w:id="167" w:name="_Toc128283915"/>
      <w:bookmarkStart w:id="168" w:name="_Toc128284074"/>
      <w:bookmarkStart w:id="169" w:name="_Toc128284100"/>
      <w:bookmarkStart w:id="170" w:name="_Toc128284289"/>
      <w:bookmarkStart w:id="171" w:name="_Toc131496146"/>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SchNo"/>
        </w:rPr>
        <w:t>Schedule 1</w:t>
      </w:r>
      <w:r>
        <w:t> — </w:t>
      </w:r>
      <w:r>
        <w:rPr>
          <w:rStyle w:val="CharSchText"/>
        </w:rPr>
        <w:t>Supply charges</w:t>
      </w:r>
      <w:bookmarkEnd w:id="110"/>
      <w:bookmarkEnd w:id="111"/>
      <w:bookmarkEnd w:id="112"/>
      <w:bookmarkEnd w:id="113"/>
    </w:p>
    <w:p>
      <w:pPr>
        <w:pStyle w:val="yShoulderClause"/>
      </w:pPr>
      <w:r>
        <w:rPr>
          <w:szCs w:val="22"/>
        </w:rPr>
        <w:t>[bl. 3, 4A(2), 4(1) and 10(1)]</w:t>
      </w:r>
    </w:p>
    <w:p>
      <w:pPr>
        <w:pStyle w:val="yFootnoteheading"/>
      </w:pPr>
      <w:r>
        <w:tab/>
        <w:t>[Heading inserted in Gazette 26 Mar 2010 p. 1180; amended in Gazette 29 Jun 2012 p. 2902.]</w:t>
      </w:r>
    </w:p>
    <w:p>
      <w:pPr>
        <w:pStyle w:val="yHeading5"/>
      </w:pPr>
      <w:bookmarkStart w:id="172" w:name="_Toc328577439"/>
      <w:r>
        <w:rPr>
          <w:rStyle w:val="CharSClsNo"/>
        </w:rPr>
        <w:t>1</w:t>
      </w:r>
      <w:r>
        <w:t>.</w:t>
      </w:r>
      <w:r>
        <w:rPr>
          <w:b w:val="0"/>
        </w:rPr>
        <w:tab/>
      </w:r>
      <w:r>
        <w:t>Terms used</w:t>
      </w:r>
      <w:bookmarkEnd w:id="172"/>
    </w:p>
    <w:p>
      <w:pPr>
        <w:pStyle w:val="ySubsection"/>
      </w:pPr>
      <w:r>
        <w:tab/>
      </w:r>
      <w:r>
        <w:tab/>
        <w:t xml:space="preserve">In this Schedule — </w:t>
      </w:r>
    </w:p>
    <w:p>
      <w:pPr>
        <w:pStyle w:val="yDefstart"/>
      </w:pPr>
      <w:r>
        <w:tab/>
      </w:r>
      <w:smartTag w:uri="urn:schemas-microsoft-com:office:smarttags" w:element="place">
        <w:smartTag w:uri="urn:schemas-microsoft-com:office:smarttags" w:element="State">
          <w:r>
            <w:rPr>
              <w:rStyle w:val="CharDefText"/>
            </w:rPr>
            <w:t>North West</w:t>
          </w:r>
        </w:smartTag>
      </w:smartTag>
      <w:r>
        <w:rPr>
          <w:rStyle w:val="CharDefText"/>
        </w:rPr>
        <w:t xml:space="preserve"> interconnected system</w:t>
      </w:r>
      <w:r>
        <w:t xml:space="preserve"> has the meaning given in the </w:t>
      </w:r>
      <w:r>
        <w:rPr>
          <w:i/>
          <w:iCs/>
        </w:rPr>
        <w:t>Electricity Transmission and Distribution Systems (Access) Act 1994</w:t>
      </w:r>
      <w:r>
        <w:t xml:space="preserve"> section 3;</w:t>
      </w:r>
    </w:p>
    <w:p>
      <w:pPr>
        <w:pStyle w:val="yDefstart"/>
      </w:pPr>
      <w:r>
        <w:tab/>
      </w:r>
      <w:r>
        <w:rPr>
          <w:b/>
          <w:i/>
        </w:rPr>
        <w:t>regional non</w:t>
      </w:r>
      <w:r>
        <w:rPr>
          <w:b/>
          <w:i/>
        </w:rPr>
        <w:noBreakHyphen/>
        <w:t>integrated system</w:t>
      </w:r>
      <w:r>
        <w:t xml:space="preserve"> means any electrical system of or conducted by the corporation from which electricity is supplied to consumers, other than the South West interconnected system and the </w:t>
      </w:r>
      <w:smartTag w:uri="urn:schemas-microsoft-com:office:smarttags" w:element="place">
        <w:smartTag w:uri="urn:schemas-microsoft-com:office:smarttags" w:element="State">
          <w:r>
            <w:t>North West</w:t>
          </w:r>
        </w:smartTag>
      </w:smartTag>
      <w:r>
        <w:t xml:space="preserve"> interconnected system;</w:t>
      </w:r>
    </w:p>
    <w:p>
      <w:pPr>
        <w:pStyle w:val="yDefstart"/>
      </w:pPr>
      <w:r>
        <w:tab/>
      </w:r>
      <w:r>
        <w:rPr>
          <w:b/>
          <w:i/>
        </w:rPr>
        <w:t>South West interconnected system</w:t>
      </w:r>
      <w:r>
        <w:t xml:space="preserve"> has the meaning given in the </w:t>
      </w:r>
      <w:r>
        <w:rPr>
          <w:i/>
          <w:iCs/>
        </w:rPr>
        <w:t>Electricity Industry Act 2004</w:t>
      </w:r>
      <w:r>
        <w:t xml:space="preserve"> section 3.</w:t>
      </w:r>
    </w:p>
    <w:p>
      <w:pPr>
        <w:pStyle w:val="yFootnotesection"/>
      </w:pPr>
      <w:r>
        <w:tab/>
        <w:t>[Clause 1 inserted in Gazette 26 Mar 2010 p. 1180.]</w:t>
      </w:r>
    </w:p>
    <w:p>
      <w:pPr>
        <w:pStyle w:val="yHeading5"/>
      </w:pPr>
      <w:bookmarkStart w:id="173" w:name="_Toc328577440"/>
      <w:r>
        <w:rPr>
          <w:rStyle w:val="CharSClsNo"/>
        </w:rPr>
        <w:t>2</w:t>
      </w:r>
      <w:r>
        <w:t>.</w:t>
      </w:r>
      <w:r>
        <w:tab/>
        <w:t>Tariff L2 (general supply — low/medium voltage tariff)</w:t>
      </w:r>
      <w:bookmarkEnd w:id="173"/>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39.4251 cents per day; and</w:t>
      </w:r>
    </w:p>
    <w:p>
      <w:pPr>
        <w:pStyle w:val="yIndenta"/>
      </w:pPr>
      <w:r>
        <w:tab/>
        <w:t>(b)</w:t>
      </w:r>
      <w:r>
        <w:tab/>
        <w:t xml:space="preserve">a charge for metered consumption at the rate of — </w:t>
      </w:r>
    </w:p>
    <w:p>
      <w:pPr>
        <w:pStyle w:val="yIndenti0"/>
      </w:pPr>
      <w:r>
        <w:tab/>
        <w:t>(i)</w:t>
      </w:r>
      <w:r>
        <w:tab/>
        <w:t>28.1662 cents (being 26.5398 cents plus the carbon component) per unit for the first 1 650 units per day; and</w:t>
      </w:r>
    </w:p>
    <w:p>
      <w:pPr>
        <w:pStyle w:val="yIndenti0"/>
      </w:pPr>
      <w:r>
        <w:tab/>
        <w:t>(ii)</w:t>
      </w:r>
      <w:r>
        <w:tab/>
        <w:t>25.6357 cents (being 24.0093 cents plus the carbon component)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megawatt hours per annum.</w:t>
      </w:r>
    </w:p>
    <w:p>
      <w:pPr>
        <w:pStyle w:val="yFootnotesection"/>
      </w:pPr>
      <w:r>
        <w:tab/>
        <w:t>[Clause 2 inserted in Gazette 26 Mar 2010 p. 1180-1; amended in Gazette 24 Jun 2011 p. 2495</w:t>
      </w:r>
      <w:r>
        <w:noBreakHyphen/>
        <w:t>6; 29 Jun 2012 p. 2902.]</w:t>
      </w:r>
    </w:p>
    <w:p>
      <w:pPr>
        <w:pStyle w:val="yHeading5"/>
      </w:pPr>
      <w:bookmarkStart w:id="174" w:name="_Toc328577441"/>
      <w:r>
        <w:rPr>
          <w:rStyle w:val="CharSClsNo"/>
        </w:rPr>
        <w:t>3</w:t>
      </w:r>
      <w:r>
        <w:t>.</w:t>
      </w:r>
      <w:r>
        <w:tab/>
        <w:t>Tariff L4 (general supply — low/medium voltage tariff)</w:t>
      </w:r>
      <w:bookmarkEnd w:id="174"/>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t>35.1416 cents (being 33.5152 cents plus the carbon component) per unit for the first 1 650 units per day; and</w:t>
      </w:r>
    </w:p>
    <w:p>
      <w:pPr>
        <w:pStyle w:val="yIndenti0"/>
      </w:pPr>
      <w:r>
        <w:tab/>
        <w:t>(ii)</w:t>
      </w:r>
      <w:r>
        <w:tab/>
        <w:t>31.9421 cents (being 30.3157 cents plus the carbon component)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megawatt hours or more per annum.</w:t>
      </w:r>
    </w:p>
    <w:p>
      <w:pPr>
        <w:pStyle w:val="yFootnotesection"/>
      </w:pPr>
      <w:r>
        <w:tab/>
        <w:t>[Clause 3 inserted in Gazette 26 Mar 2010 p. 1181; amended in Gazette 24 Jun 2011 p. 2496; 29 Jun 2012 p. 2903.]</w:t>
      </w:r>
    </w:p>
    <w:p>
      <w:pPr>
        <w:pStyle w:val="yHeading5"/>
      </w:pPr>
      <w:bookmarkStart w:id="175" w:name="_Toc328577442"/>
      <w:r>
        <w:rPr>
          <w:rStyle w:val="CharSClsNo"/>
        </w:rPr>
        <w:t>4</w:t>
      </w:r>
      <w:r>
        <w:t>.</w:t>
      </w:r>
      <w:r>
        <w:tab/>
        <w:t>Tariff M2 (general supply — high voltage tariff)</w:t>
      </w:r>
      <w:bookmarkEnd w:id="175"/>
    </w:p>
    <w:p>
      <w:pPr>
        <w:pStyle w:val="ySubsection"/>
      </w:pPr>
      <w:r>
        <w:tab/>
        <w:t>(1)</w:t>
      </w:r>
      <w:r>
        <w:tab/>
        <w:t>Tariff M2 is available for consumers supplied at 6.6 kV, 11 kV, 22 kV or 33 kV or such higher voltage as the corporation may approve.</w:t>
      </w:r>
    </w:p>
    <w:p>
      <w:pPr>
        <w:pStyle w:val="ySubsection"/>
      </w:pPr>
      <w:r>
        <w:tab/>
        <w:t>(2)</w:t>
      </w:r>
      <w:r>
        <w:tab/>
        <w:t xml:space="preserve">Tariff M2 comprises — </w:t>
      </w:r>
    </w:p>
    <w:p>
      <w:pPr>
        <w:pStyle w:val="yIndenta"/>
      </w:pPr>
      <w:r>
        <w:tab/>
        <w:t>(a)</w:t>
      </w:r>
      <w:r>
        <w:tab/>
        <w:t>a fixed charge at the rate of 46.4533 cents per day; and</w:t>
      </w:r>
    </w:p>
    <w:p>
      <w:pPr>
        <w:pStyle w:val="yIndenta"/>
      </w:pPr>
      <w:r>
        <w:tab/>
        <w:t>(b)</w:t>
      </w:r>
      <w:r>
        <w:tab/>
        <w:t>a charge for metered consumption at the rate of — </w:t>
      </w:r>
    </w:p>
    <w:p>
      <w:pPr>
        <w:pStyle w:val="yIndenti0"/>
      </w:pPr>
      <w:r>
        <w:tab/>
        <w:t>(i)</w:t>
      </w:r>
      <w:r>
        <w:tab/>
        <w:t>31.7802 cents (being 30.1538 cents plus the carbon component) per unit for the first 1 650 units per day; and</w:t>
      </w:r>
    </w:p>
    <w:p>
      <w:pPr>
        <w:pStyle w:val="yIndenti0"/>
      </w:pPr>
      <w:r>
        <w:tab/>
        <w:t>(ii)</w:t>
      </w:r>
      <w:r>
        <w:tab/>
        <w:t>28.7757 cents (being 27.1493 cents plus the carbon component) per unit per day for all units exceeding 1 650 units.</w:t>
      </w:r>
    </w:p>
    <w:p>
      <w:pPr>
        <w:pStyle w:val="yFootnotesection"/>
      </w:pPr>
      <w:r>
        <w:tab/>
        <w:t>[Clause 4 inserted in Gazette 26 Mar 2010 p. 1181; amended in Gazette 24 Jun 2011 p. 2496; 29 Jun 2012 p. 2903.]</w:t>
      </w:r>
    </w:p>
    <w:p>
      <w:pPr>
        <w:pStyle w:val="yHeading5"/>
      </w:pPr>
      <w:bookmarkStart w:id="176" w:name="_Toc328577443"/>
      <w:r>
        <w:rPr>
          <w:rStyle w:val="CharSClsNo"/>
        </w:rPr>
        <w:t>5</w:t>
      </w:r>
      <w:r>
        <w:t>.</w:t>
      </w:r>
      <w:r>
        <w:tab/>
        <w:t>Tariff N2 (regional non</w:t>
      </w:r>
      <w:r>
        <w:noBreakHyphen/>
        <w:t>integrated systems — cost of supply tariff)</w:t>
      </w:r>
      <w:bookmarkEnd w:id="176"/>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34.3471 cents per day; and</w:t>
      </w:r>
    </w:p>
    <w:p>
      <w:pPr>
        <w:pStyle w:val="yIndenta"/>
      </w:pPr>
      <w:r>
        <w:tab/>
        <w:t>(b)</w:t>
      </w:r>
      <w:r>
        <w:tab/>
        <w:t>a charge for metered consumption at the rate (in cents per unit) calculated in accordance with the following formula and by</w:t>
      </w:r>
      <w:r>
        <w:noBreakHyphen/>
        <w:t>law 10(2) — </w:t>
      </w:r>
    </w:p>
    <w:p>
      <w:pPr>
        <w:pStyle w:val="Equation"/>
        <w:tabs>
          <w:tab w:val="left" w:pos="1624"/>
        </w:tabs>
        <w:spacing w:before="120" w:after="120"/>
      </w:pPr>
      <w:r>
        <w:tab/>
      </w:r>
      <w:r>
        <w:rPr>
          <w:position w:val="-30"/>
          <w:lang w:eastAsia="en-AU"/>
        </w:rPr>
        <w:drawing>
          <wp:inline distT="0" distB="0" distL="0" distR="0">
            <wp:extent cx="2520315"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20315" cy="397510"/>
                    </a:xfrm>
                    <a:prstGeom prst="rect">
                      <a:avLst/>
                    </a:prstGeom>
                    <a:noFill/>
                    <a:ln>
                      <a:noFill/>
                    </a:ln>
                  </pic:spPr>
                </pic:pic>
              </a:graphicData>
            </a:graphic>
          </wp:inline>
        </w:drawing>
      </w:r>
    </w:p>
    <w:p>
      <w:pPr>
        <w:pStyle w:val="yIndenta"/>
      </w:pPr>
      <w:r>
        <w:tab/>
      </w:r>
      <w:r>
        <w:tab/>
        <w:t xml:space="preserve">where — </w:t>
      </w:r>
    </w:p>
    <w:p>
      <w:pPr>
        <w:pStyle w:val="yIndenta"/>
      </w:pPr>
      <w:r>
        <w:tab/>
      </w:r>
      <w:r>
        <w:tab/>
        <w:t>R is the rate to be calculated;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10.10 of the Schedule to the </w:t>
      </w:r>
      <w:r>
        <w:rPr>
          <w:i/>
        </w:rPr>
        <w:t>Excise Tariff Act 1921</w:t>
      </w:r>
      <w:r>
        <w:t xml:space="preserve"> (Commonwealth).</w:t>
      </w:r>
    </w:p>
    <w:p>
      <w:pPr>
        <w:pStyle w:val="yFootnotesection"/>
      </w:pPr>
      <w:r>
        <w:tab/>
        <w:t>[Clause 5 inserted in Gazette 26 Mar 2010 p. 1182; amended in Gazette 29 Jun 2012 p. 2903-4.]</w:t>
      </w:r>
    </w:p>
    <w:p>
      <w:pPr>
        <w:pStyle w:val="yHeading5"/>
      </w:pPr>
      <w:bookmarkStart w:id="177" w:name="_Toc328577444"/>
      <w:r>
        <w:rPr>
          <w:rStyle w:val="CharSClsNo"/>
        </w:rPr>
        <w:t>6</w:t>
      </w:r>
      <w:r>
        <w:t>.</w:t>
      </w:r>
      <w:r>
        <w:tab/>
        <w:t>Tariff P2 (</w:t>
      </w:r>
      <w:smartTag w:uri="urn:schemas-microsoft-com:office:smarttags" w:element="place">
        <w:smartTag w:uri="urn:schemas-microsoft-com:office:smarttags" w:element="State">
          <w:r>
            <w:t>North West</w:t>
          </w:r>
        </w:smartTag>
      </w:smartTag>
      <w:r>
        <w:t xml:space="preserve"> interconnected system — cost of supply tariff)</w:t>
      </w:r>
      <w:bookmarkEnd w:id="177"/>
    </w:p>
    <w:p>
      <w:pPr>
        <w:pStyle w:val="ySubsection"/>
      </w:pPr>
      <w:r>
        <w:tab/>
        <w:t>(1)</w:t>
      </w:r>
      <w:r>
        <w:tab/>
        <w:t xml:space="preserve">Tariff P2 applies to electricity supplied from the </w:t>
      </w:r>
      <w:smartTag w:uri="urn:schemas-microsoft-com:office:smarttags" w:element="place">
        <w:smartTag w:uri="urn:schemas-microsoft-com:office:smarttags" w:element="State">
          <w:r>
            <w:t>North West</w:t>
          </w:r>
        </w:smartTag>
      </w:smartTag>
      <w:r>
        <w:t xml:space="preserve"> interconnected system to Commonwealth or foreign government instrumentalities.</w:t>
      </w:r>
    </w:p>
    <w:p>
      <w:pPr>
        <w:pStyle w:val="ySubsection"/>
      </w:pPr>
      <w:r>
        <w:tab/>
        <w:t>(2)</w:t>
      </w:r>
      <w:r>
        <w:tab/>
        <w:t xml:space="preserve">Tariff P2 comprises — </w:t>
      </w:r>
    </w:p>
    <w:p>
      <w:pPr>
        <w:pStyle w:val="yIndenta"/>
      </w:pPr>
      <w:r>
        <w:tab/>
        <w:t>(a)</w:t>
      </w:r>
      <w:r>
        <w:tab/>
        <w:t>a fixed charge at the rate of 60.1691 cents per day; and</w:t>
      </w:r>
    </w:p>
    <w:p>
      <w:pPr>
        <w:pStyle w:val="yIndenta"/>
      </w:pPr>
      <w:r>
        <w:tab/>
        <w:t>(b)</w:t>
      </w:r>
      <w:r>
        <w:tab/>
        <w:t>a charge for metered consumption at the rate of 43.8391 cents (being 42.2127 cents plus the carbon component) per unit.</w:t>
      </w:r>
    </w:p>
    <w:p>
      <w:pPr>
        <w:pStyle w:val="yFootnotesection"/>
      </w:pPr>
      <w:r>
        <w:tab/>
        <w:t>[Clause 6 inserted in Gazette 26 Mar 2010 p. 1182-3; amended in Gazette 24 Jun 2011 p. 2496; 29 Jun 2012 p. 2904.]</w:t>
      </w:r>
    </w:p>
    <w:p>
      <w:pPr>
        <w:pStyle w:val="yHeading5"/>
      </w:pPr>
      <w:bookmarkStart w:id="178" w:name="_Toc328577445"/>
      <w:r>
        <w:rPr>
          <w:rStyle w:val="CharSClsNo"/>
        </w:rPr>
        <w:t>7</w:t>
      </w:r>
      <w:r>
        <w:t>.</w:t>
      </w:r>
      <w:r>
        <w:tab/>
        <w:t>Tariff A2 (residential tariff)</w:t>
      </w:r>
      <w:bookmarkEnd w:id="178"/>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 xml:space="preserve">a fixed charge at the rate of 41.5455 cents per day or, for multiple dwellings supplied through one metered supply point, a fixed charge at the rate of — </w:t>
      </w:r>
    </w:p>
    <w:p>
      <w:pPr>
        <w:pStyle w:val="yIndenti0"/>
      </w:pPr>
      <w:r>
        <w:tab/>
        <w:t>(i)</w:t>
      </w:r>
      <w:r>
        <w:tab/>
        <w:t>41.5455 cents per day for the first dwelling; and</w:t>
      </w:r>
    </w:p>
    <w:p>
      <w:pPr>
        <w:pStyle w:val="yIndenti0"/>
      </w:pPr>
      <w:r>
        <w:tab/>
        <w:t>(ii)</w:t>
      </w:r>
      <w:r>
        <w:tab/>
        <w:t>32.2582 cents per day for each additional dwelling;</w:t>
      </w:r>
    </w:p>
    <w:p>
      <w:pPr>
        <w:pStyle w:val="yIndenta"/>
      </w:pPr>
      <w:r>
        <w:tab/>
      </w:r>
      <w:r>
        <w:tab/>
        <w:t>and</w:t>
      </w:r>
    </w:p>
    <w:p>
      <w:pPr>
        <w:pStyle w:val="yIndenta"/>
      </w:pPr>
      <w:r>
        <w:tab/>
        <w:t>(b)</w:t>
      </w:r>
      <w:r>
        <w:tab/>
        <w:t>a charge for metered consumption at the rate of 24.8866 cents (being 23.2602 cents plus the carbon component) per unit.</w:t>
      </w:r>
    </w:p>
    <w:p>
      <w:pPr>
        <w:pStyle w:val="yFootnotesection"/>
      </w:pPr>
      <w:r>
        <w:tab/>
        <w:t>[Clause 7 inserted in Gazette 26 Mar 2010 p. 1183; amended in Gazette 24 Jun 2011 p. 2496; 29 Jun 2012 p. 2904-5.]</w:t>
      </w:r>
    </w:p>
    <w:p>
      <w:pPr>
        <w:pStyle w:val="yHeading5"/>
      </w:pPr>
      <w:bookmarkStart w:id="179" w:name="_Toc328577446"/>
      <w:r>
        <w:rPr>
          <w:rStyle w:val="CharSClsNo"/>
        </w:rPr>
        <w:t>8</w:t>
      </w:r>
      <w:r>
        <w:t>.</w:t>
      </w:r>
      <w:r>
        <w:tab/>
        <w:t>Tariff C2 (special community service tariff)</w:t>
      </w:r>
      <w:bookmarkEnd w:id="179"/>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37.5016 cents per day; and</w:t>
      </w:r>
    </w:p>
    <w:p>
      <w:pPr>
        <w:pStyle w:val="yIndenta"/>
      </w:pPr>
      <w:r>
        <w:tab/>
        <w:t>(b)</w:t>
      </w:r>
      <w:r>
        <w:tab/>
        <w:t>a charge for metered consumption at the rate of — </w:t>
      </w:r>
    </w:p>
    <w:p>
      <w:pPr>
        <w:pStyle w:val="yIndenti0"/>
      </w:pPr>
      <w:r>
        <w:tab/>
        <w:t>(i)</w:t>
      </w:r>
      <w:r>
        <w:tab/>
        <w:t>22.6965 cents (being 21.0701 cents plus the carbon component) per unit for the first 20 units per day; and</w:t>
      </w:r>
    </w:p>
    <w:p>
      <w:pPr>
        <w:pStyle w:val="yIndenti0"/>
      </w:pPr>
      <w:r>
        <w:tab/>
        <w:t>(ii)</w:t>
      </w:r>
      <w:r>
        <w:tab/>
        <w:t>27.8663 cents (being 26.2399 cents plus the carbon component) for the next 1 630 units per day; and</w:t>
      </w:r>
    </w:p>
    <w:p>
      <w:pPr>
        <w:pStyle w:val="yIndenti0"/>
      </w:pPr>
      <w:r>
        <w:tab/>
        <w:t>(iii)</w:t>
      </w:r>
      <w:r>
        <w:tab/>
        <w:t>25.3652 cents (being 23.7388 cents plus the carbon component) per unit per day for all units exceeding 1 650 units.</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iCs/>
        </w:rPr>
        <w:t>Income Tax Assessment Act 1997</w:t>
      </w:r>
      <w:r>
        <w:t xml:space="preserve"> (Commonwealth)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8 inserted in Gazette 26 Mar 2010 p. 1183-4; amended in Gazette 24 Jun 2011 p. 2496; 29 Jun 2012 p. 2905.]</w:t>
      </w:r>
    </w:p>
    <w:p>
      <w:pPr>
        <w:pStyle w:val="yHeading5"/>
      </w:pPr>
      <w:bookmarkStart w:id="180" w:name="_Toc328577447"/>
      <w:r>
        <w:rPr>
          <w:rStyle w:val="CharSClsNo"/>
        </w:rPr>
        <w:t>9</w:t>
      </w:r>
      <w:r>
        <w:t>.</w:t>
      </w:r>
      <w:r>
        <w:tab/>
        <w:t>Tariff D2 (special tariff for certain premises)</w:t>
      </w:r>
      <w:bookmarkEnd w:id="180"/>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34.9367 cents per day; and</w:t>
      </w:r>
    </w:p>
    <w:p>
      <w:pPr>
        <w:pStyle w:val="yIndenta"/>
      </w:pPr>
      <w:r>
        <w:tab/>
        <w:t>(b)</w:t>
      </w:r>
      <w:r>
        <w:tab/>
        <w:t>if under subclause (3) there is deemed to be more than one equivalent domestic residence in the premises, a charge of 27.1268 cents per day for each equivalent domestic residence except the first that is deemed to be in the premises; and</w:t>
      </w:r>
    </w:p>
    <w:p>
      <w:pPr>
        <w:pStyle w:val="yIndenta"/>
      </w:pPr>
      <w:r>
        <w:tab/>
        <w:t>(c)</w:t>
      </w:r>
      <w:r>
        <w:tab/>
        <w:t>a charge for metered consumption at the rate of 21.2983 cents (being 19.6719 cents plus the carbon component)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9 inserted in Gazette 26 Mar 2010 p. 1184-5; amended in Gazette 24 Jun 2011 p. 2496; 29 Jun 2012 p. 2905-6.]</w:t>
      </w:r>
    </w:p>
    <w:p>
      <w:pPr>
        <w:pStyle w:val="yHeading5"/>
      </w:pPr>
      <w:bookmarkStart w:id="181" w:name="_Toc328577448"/>
      <w:r>
        <w:rPr>
          <w:rStyle w:val="CharSClsNo"/>
        </w:rPr>
        <w:t>10</w:t>
      </w:r>
      <w:r>
        <w:t>.</w:t>
      </w:r>
      <w:r>
        <w:tab/>
        <w:t xml:space="preserve">Tariff </w:t>
      </w:r>
      <w:smartTag w:uri="urn:schemas-microsoft-com:office:smarttags" w:element="place">
        <w:r>
          <w:t>K2</w:t>
        </w:r>
      </w:smartTag>
      <w:r>
        <w:t xml:space="preserve"> (general supply with residential tariff)</w:t>
      </w:r>
      <w:bookmarkEnd w:id="181"/>
    </w:p>
    <w:p>
      <w:pPr>
        <w:pStyle w:val="ySubsection"/>
      </w:pPr>
      <w:r>
        <w:tab/>
        <w:t>(1)</w:t>
      </w:r>
      <w:r>
        <w:tab/>
        <w:t xml:space="preserve">Tariff </w:t>
      </w:r>
      <w:smartTag w:uri="urn:schemas-microsoft-com:office:smarttags" w:element="place">
        <w:r>
          <w:t>K2</w:t>
        </w:r>
      </w:smartTag>
      <w:r>
        <w:t xml:space="preserve"> is available for premises where the circuit wiring is not separate and the electricity is used partly for general purposes and partly for residential purposes.</w:t>
      </w:r>
    </w:p>
    <w:p>
      <w:pPr>
        <w:pStyle w:val="ySubsection"/>
      </w:pPr>
      <w:r>
        <w:tab/>
        <w:t>(2)</w:t>
      </w:r>
      <w:r>
        <w:tab/>
        <w:t xml:space="preserve">Tariff </w:t>
      </w:r>
      <w:smartTag w:uri="urn:schemas-microsoft-com:office:smarttags" w:element="place">
        <w:r>
          <w:t>K2</w:t>
        </w:r>
      </w:smartTag>
      <w:r>
        <w:t xml:space="preserve"> comprises — </w:t>
      </w:r>
    </w:p>
    <w:p>
      <w:pPr>
        <w:pStyle w:val="yIndenta"/>
      </w:pPr>
      <w:r>
        <w:tab/>
        <w:t>(a)</w:t>
      </w:r>
      <w:r>
        <w:tab/>
        <w:t>a fixed charge at the rate of 41.5455 cents per day; and</w:t>
      </w:r>
    </w:p>
    <w:p>
      <w:pPr>
        <w:pStyle w:val="yIndenta"/>
      </w:pPr>
      <w:r>
        <w:tab/>
        <w:t>(b)</w:t>
      </w:r>
      <w:r>
        <w:tab/>
        <w:t>a charge for metered consumption at the rate of — </w:t>
      </w:r>
    </w:p>
    <w:p>
      <w:pPr>
        <w:pStyle w:val="yIndenti0"/>
      </w:pPr>
      <w:r>
        <w:tab/>
        <w:t>(i)</w:t>
      </w:r>
      <w:r>
        <w:tab/>
        <w:t>24.8866 cents (being 23.2602 cents plus the carbon component) per unit for the first 20 units per day; and</w:t>
      </w:r>
    </w:p>
    <w:p>
      <w:pPr>
        <w:pStyle w:val="yIndenti0"/>
      </w:pPr>
      <w:r>
        <w:tab/>
        <w:t>(ii)</w:t>
      </w:r>
      <w:r>
        <w:tab/>
        <w:t>28.1662 cents (being 26.5398 cents plus the carbon component) per unit for the next 1 630 units per day; and</w:t>
      </w:r>
    </w:p>
    <w:p>
      <w:pPr>
        <w:pStyle w:val="yIndenti0"/>
      </w:pPr>
      <w:r>
        <w:tab/>
        <w:t>(iii)</w:t>
      </w:r>
      <w:r>
        <w:tab/>
        <w:t>25.6357 cents (being 24.0093 cents plus the carbon component) per unit per day for all units exceeding 1 650 units.</w:t>
      </w:r>
    </w:p>
    <w:p>
      <w:pPr>
        <w:pStyle w:val="yFootnotesection"/>
      </w:pPr>
      <w:r>
        <w:tab/>
        <w:t>[Clause 10 inserted in Gazette 26 Mar 2010 p. 1185; amended in Gazette 24 Jun 2011 p. 2496; 29 Jun 2012 p. 2906.]</w:t>
      </w:r>
    </w:p>
    <w:p>
      <w:pPr>
        <w:pStyle w:val="yHeading5"/>
      </w:pPr>
      <w:bookmarkStart w:id="182" w:name="_Toc328577449"/>
      <w:r>
        <w:rPr>
          <w:rStyle w:val="CharSClsNo"/>
        </w:rPr>
        <w:t>11</w:t>
      </w:r>
      <w:r>
        <w:t>.</w:t>
      </w:r>
      <w:r>
        <w:tab/>
        <w:t>Tariff W2 (traffic light installations)</w:t>
      </w:r>
      <w:bookmarkEnd w:id="182"/>
    </w:p>
    <w:p>
      <w:pPr>
        <w:pStyle w:val="ySubsection"/>
      </w:pPr>
      <w:r>
        <w:tab/>
      </w:r>
      <w:r>
        <w:tab/>
        <w:t>Tariff W2 comprises a charge of $5.8964 (being $5.5061 plus the carbon component) per day per kW of installed wattage.</w:t>
      </w:r>
    </w:p>
    <w:p>
      <w:pPr>
        <w:pStyle w:val="yFootnotesection"/>
      </w:pPr>
      <w:r>
        <w:tab/>
        <w:t>[Clause 11 inserted in Gazette 26 Mar 2010 p. 1185; amended in Gazette 24 Jun 2011 p. 2496; 29 Jun 2012 p. 2906.]</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183" w:name="_Toc328577450"/>
      <w:bookmarkStart w:id="184" w:name="_Toc297283512"/>
      <w:bookmarkStart w:id="185" w:name="_Toc124157866"/>
      <w:bookmarkStart w:id="186" w:name="_Toc124216743"/>
      <w:bookmarkStart w:id="187" w:name="_Toc124217251"/>
      <w:bookmarkStart w:id="188" w:name="_Toc124218590"/>
      <w:bookmarkStart w:id="189" w:name="_Toc124222750"/>
      <w:bookmarkStart w:id="190" w:name="_Toc124224478"/>
      <w:bookmarkStart w:id="191" w:name="_Toc124224511"/>
      <w:bookmarkStart w:id="192" w:name="_Toc124224879"/>
      <w:bookmarkStart w:id="193" w:name="_Toc124224979"/>
      <w:bookmarkStart w:id="194" w:name="_Toc124225769"/>
      <w:bookmarkStart w:id="195" w:name="_Toc124226030"/>
      <w:bookmarkStart w:id="196" w:name="_Toc124235192"/>
      <w:bookmarkStart w:id="197" w:name="_Toc124235993"/>
      <w:bookmarkStart w:id="198" w:name="_Toc125272419"/>
      <w:bookmarkStart w:id="199" w:name="_Toc125279429"/>
      <w:bookmarkStart w:id="200" w:name="_Toc127005830"/>
      <w:bookmarkStart w:id="201" w:name="_Toc127006377"/>
      <w:bookmarkStart w:id="202" w:name="_Toc127077911"/>
      <w:bookmarkStart w:id="203" w:name="_Toc127078616"/>
      <w:bookmarkStart w:id="204" w:name="_Toc127079203"/>
      <w:bookmarkStart w:id="205" w:name="_Toc127079725"/>
      <w:bookmarkStart w:id="206" w:name="_Toc127083150"/>
      <w:bookmarkStart w:id="207" w:name="_Toc127084572"/>
      <w:bookmarkStart w:id="208" w:name="_Toc127084606"/>
      <w:bookmarkStart w:id="209" w:name="_Toc127084753"/>
      <w:bookmarkStart w:id="210" w:name="_Toc127085272"/>
      <w:bookmarkStart w:id="211" w:name="_Toc127085681"/>
      <w:bookmarkStart w:id="212" w:name="_Toc127085723"/>
      <w:bookmarkStart w:id="213" w:name="_Toc127085795"/>
      <w:bookmarkStart w:id="214" w:name="_Toc127086363"/>
      <w:bookmarkStart w:id="215" w:name="_Toc127672635"/>
      <w:bookmarkStart w:id="216" w:name="_Toc127695304"/>
      <w:bookmarkStart w:id="217" w:name="_Toc127695747"/>
      <w:bookmarkStart w:id="218" w:name="_Toc127699631"/>
      <w:bookmarkStart w:id="219" w:name="_Toc127947041"/>
      <w:bookmarkStart w:id="220" w:name="_Toc127947930"/>
      <w:bookmarkStart w:id="221" w:name="_Toc127947956"/>
      <w:bookmarkStart w:id="222" w:name="_Toc127959126"/>
      <w:bookmarkStart w:id="223" w:name="_Toc127959535"/>
      <w:bookmarkStart w:id="224" w:name="_Toc128191087"/>
      <w:bookmarkStart w:id="225" w:name="_Toc128196510"/>
      <w:bookmarkStart w:id="226" w:name="_Toc128283916"/>
      <w:bookmarkStart w:id="227" w:name="_Toc128284075"/>
      <w:bookmarkStart w:id="228" w:name="_Toc128284101"/>
      <w:bookmarkStart w:id="229" w:name="_Toc128284290"/>
      <w:bookmarkStart w:id="230" w:name="_Toc131496147"/>
      <w:bookmarkStart w:id="231" w:name="_Toc131497430"/>
      <w:bookmarkStart w:id="232" w:name="_Toc131501862"/>
      <w:bookmarkStart w:id="233" w:name="_Toc171050318"/>
      <w:bookmarkStart w:id="234" w:name="_Toc226274355"/>
      <w:bookmarkStart w:id="235" w:name="_Toc233186904"/>
      <w:bookmarkStart w:id="236" w:name="_Toc233187704"/>
      <w:bookmarkStart w:id="237" w:name="_Toc238445889"/>
      <w:bookmarkStart w:id="238" w:name="_Toc239133929"/>
      <w:bookmarkStart w:id="239" w:name="_Toc240167050"/>
      <w:bookmarkStart w:id="240" w:name="_Toc243272773"/>
      <w:bookmarkStart w:id="241" w:name="_Toc257301564"/>
      <w:bookmarkStart w:id="242" w:name="_Toc257301639"/>
      <w:bookmarkStart w:id="243" w:name="_Toc264986334"/>
      <w:bookmarkStart w:id="244" w:name="_Toc265662303"/>
      <w:bookmarkStart w:id="245" w:name="_Toc123621760"/>
      <w:bookmarkStart w:id="246" w:name="_Toc123621907"/>
      <w:bookmarkStart w:id="247" w:name="_Toc123624867"/>
      <w:bookmarkStart w:id="248" w:name="_Toc123624934"/>
      <w:bookmarkStart w:id="249" w:name="_Toc123630129"/>
      <w:bookmarkStart w:id="250" w:name="_Toc123630147"/>
      <w:bookmarkStart w:id="251" w:name="_Toc123630165"/>
      <w:bookmarkStart w:id="252" w:name="_Toc124052051"/>
      <w:bookmarkStart w:id="253" w:name="_Toc124057996"/>
      <w:bookmarkStart w:id="254" w:name="_Toc124058057"/>
      <w:bookmarkStart w:id="255" w:name="_Toc124133811"/>
      <w:bookmarkStart w:id="256" w:name="_Toc124148134"/>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SchNo"/>
        </w:rPr>
        <w:t>Schedule 2A</w:t>
      </w:r>
      <w:r>
        <w:rPr>
          <w:rStyle w:val="CharSDivNo"/>
        </w:rPr>
        <w:t> </w:t>
      </w:r>
      <w:r>
        <w:t>—</w:t>
      </w:r>
      <w:r>
        <w:rPr>
          <w:rStyle w:val="CharSDivText"/>
        </w:rPr>
        <w:t> </w:t>
      </w:r>
      <w:r>
        <w:rPr>
          <w:rStyle w:val="CharSchText"/>
        </w:rPr>
        <w:t>Carbon components</w:t>
      </w:r>
      <w:bookmarkEnd w:id="183"/>
    </w:p>
    <w:p>
      <w:pPr>
        <w:pStyle w:val="yShoulderClause"/>
      </w:pPr>
      <w:r>
        <w:t>[bl. 4A(2)]</w:t>
      </w:r>
    </w:p>
    <w:p>
      <w:pPr>
        <w:pStyle w:val="yFootnoteheading"/>
        <w:spacing w:after="120"/>
      </w:pPr>
      <w:r>
        <w:tab/>
        <w:t>[Heading inserted in Gazette 29 Jun 2012 p. 2907.]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119"/>
      </w:tblGrid>
      <w:tr>
        <w:trPr>
          <w:tblHeader/>
        </w:trPr>
        <w:tc>
          <w:tcPr>
            <w:tcW w:w="3260" w:type="dxa"/>
          </w:tcPr>
          <w:p>
            <w:pPr>
              <w:pStyle w:val="yTableNAm"/>
            </w:pPr>
            <w:r>
              <w:rPr>
                <w:b/>
                <w:bCs/>
              </w:rPr>
              <w:t>Schedule 1 provisions</w:t>
            </w:r>
          </w:p>
        </w:tc>
        <w:tc>
          <w:tcPr>
            <w:tcW w:w="3119" w:type="dxa"/>
          </w:tcPr>
          <w:p>
            <w:pPr>
              <w:pStyle w:val="yTableNAm"/>
            </w:pPr>
            <w:r>
              <w:rPr>
                <w:b/>
                <w:bCs/>
              </w:rPr>
              <w:t>Carbon components</w:t>
            </w:r>
          </w:p>
        </w:tc>
      </w:tr>
      <w:tr>
        <w:tc>
          <w:tcPr>
            <w:tcW w:w="3260" w:type="dxa"/>
          </w:tcPr>
          <w:p>
            <w:pPr>
              <w:pStyle w:val="yTableNAm"/>
            </w:pPr>
            <w:r>
              <w:t>Sch. 1 cl. 2(2)(b)(i) and (ii)</w:t>
            </w:r>
          </w:p>
        </w:tc>
        <w:tc>
          <w:tcPr>
            <w:tcW w:w="3119" w:type="dxa"/>
          </w:tcPr>
          <w:p>
            <w:pPr>
              <w:pStyle w:val="yTableNAm"/>
            </w:pPr>
            <w:r>
              <w:t>1.6264 cents</w:t>
            </w:r>
          </w:p>
        </w:tc>
      </w:tr>
      <w:tr>
        <w:tc>
          <w:tcPr>
            <w:tcW w:w="3260" w:type="dxa"/>
          </w:tcPr>
          <w:p>
            <w:pPr>
              <w:pStyle w:val="yTableNAm"/>
            </w:pPr>
            <w:r>
              <w:t>Sch. 1 cl. 3(2)(b)(i) and (ii)</w:t>
            </w:r>
          </w:p>
        </w:tc>
        <w:tc>
          <w:tcPr>
            <w:tcW w:w="3119" w:type="dxa"/>
          </w:tcPr>
          <w:p>
            <w:pPr>
              <w:pStyle w:val="yTableNAm"/>
            </w:pPr>
            <w:r>
              <w:t>1.6264 cents</w:t>
            </w:r>
          </w:p>
        </w:tc>
      </w:tr>
      <w:tr>
        <w:tc>
          <w:tcPr>
            <w:tcW w:w="3260" w:type="dxa"/>
          </w:tcPr>
          <w:p>
            <w:pPr>
              <w:pStyle w:val="yTableNAm"/>
            </w:pPr>
            <w:r>
              <w:t>Sch. 1 cl. 4(2)(b)(i) and (ii)</w:t>
            </w:r>
          </w:p>
        </w:tc>
        <w:tc>
          <w:tcPr>
            <w:tcW w:w="3119" w:type="dxa"/>
          </w:tcPr>
          <w:p>
            <w:pPr>
              <w:pStyle w:val="yTableNAm"/>
            </w:pPr>
            <w:r>
              <w:t>1.6264 cents</w:t>
            </w:r>
          </w:p>
        </w:tc>
      </w:tr>
      <w:tr>
        <w:tc>
          <w:tcPr>
            <w:tcW w:w="3260" w:type="dxa"/>
          </w:tcPr>
          <w:p>
            <w:pPr>
              <w:pStyle w:val="yTableNAm"/>
            </w:pPr>
            <w:r>
              <w:t>Sch. 1 cl. 6(2)(b)</w:t>
            </w:r>
          </w:p>
        </w:tc>
        <w:tc>
          <w:tcPr>
            <w:tcW w:w="3119" w:type="dxa"/>
          </w:tcPr>
          <w:p>
            <w:pPr>
              <w:pStyle w:val="yTableNAm"/>
            </w:pPr>
            <w:r>
              <w:t>1.6264 cents</w:t>
            </w:r>
          </w:p>
        </w:tc>
      </w:tr>
      <w:tr>
        <w:tc>
          <w:tcPr>
            <w:tcW w:w="3260" w:type="dxa"/>
          </w:tcPr>
          <w:p>
            <w:pPr>
              <w:pStyle w:val="yTableNAm"/>
            </w:pPr>
            <w:r>
              <w:t>Sch. 1 cl. 7(2)(b)</w:t>
            </w:r>
          </w:p>
        </w:tc>
        <w:tc>
          <w:tcPr>
            <w:tcW w:w="3119" w:type="dxa"/>
          </w:tcPr>
          <w:p>
            <w:pPr>
              <w:pStyle w:val="yTableNAm"/>
            </w:pPr>
            <w:r>
              <w:t>1.6264 cents</w:t>
            </w:r>
          </w:p>
        </w:tc>
      </w:tr>
      <w:tr>
        <w:tc>
          <w:tcPr>
            <w:tcW w:w="3260" w:type="dxa"/>
          </w:tcPr>
          <w:p>
            <w:pPr>
              <w:pStyle w:val="yTableNAm"/>
            </w:pPr>
            <w:r>
              <w:t>Sch. 1 cl. 8(2)(b)(i), (ii) and (iii)</w:t>
            </w:r>
          </w:p>
        </w:tc>
        <w:tc>
          <w:tcPr>
            <w:tcW w:w="3119" w:type="dxa"/>
          </w:tcPr>
          <w:p>
            <w:pPr>
              <w:pStyle w:val="yTableNAm"/>
            </w:pPr>
            <w:r>
              <w:t>1.6264 cents</w:t>
            </w:r>
          </w:p>
        </w:tc>
      </w:tr>
      <w:tr>
        <w:tc>
          <w:tcPr>
            <w:tcW w:w="3260" w:type="dxa"/>
          </w:tcPr>
          <w:p>
            <w:pPr>
              <w:pStyle w:val="yTableNAm"/>
            </w:pPr>
            <w:r>
              <w:t>Sch. 1 cl. 9(2)(c)</w:t>
            </w:r>
          </w:p>
        </w:tc>
        <w:tc>
          <w:tcPr>
            <w:tcW w:w="3119" w:type="dxa"/>
          </w:tcPr>
          <w:p>
            <w:pPr>
              <w:pStyle w:val="yTableNAm"/>
            </w:pPr>
            <w:r>
              <w:t>1.6264 cents</w:t>
            </w:r>
          </w:p>
        </w:tc>
      </w:tr>
      <w:tr>
        <w:tc>
          <w:tcPr>
            <w:tcW w:w="3260" w:type="dxa"/>
          </w:tcPr>
          <w:p>
            <w:pPr>
              <w:pStyle w:val="yTableNAm"/>
            </w:pPr>
            <w:r>
              <w:t>Sch. 1 cl. 10(2)(b)(i), (ii) and (iii)</w:t>
            </w:r>
          </w:p>
        </w:tc>
        <w:tc>
          <w:tcPr>
            <w:tcW w:w="3119" w:type="dxa"/>
          </w:tcPr>
          <w:p>
            <w:pPr>
              <w:pStyle w:val="yTableNAm"/>
            </w:pPr>
            <w:r>
              <w:t>1.6264 cents</w:t>
            </w:r>
          </w:p>
        </w:tc>
      </w:tr>
      <w:tr>
        <w:tc>
          <w:tcPr>
            <w:tcW w:w="3260" w:type="dxa"/>
          </w:tcPr>
          <w:p>
            <w:pPr>
              <w:pStyle w:val="yTableNAm"/>
            </w:pPr>
            <w:r>
              <w:t>Sch. 1 cl. 11</w:t>
            </w:r>
          </w:p>
        </w:tc>
        <w:tc>
          <w:tcPr>
            <w:tcW w:w="3119" w:type="dxa"/>
          </w:tcPr>
          <w:p>
            <w:pPr>
              <w:pStyle w:val="yTableNAm"/>
            </w:pPr>
            <w:r>
              <w:t>$0.3903</w:t>
            </w:r>
          </w:p>
        </w:tc>
      </w:tr>
    </w:tbl>
    <w:p>
      <w:pPr>
        <w:pStyle w:val="yFootnotesection"/>
      </w:pPr>
      <w:r>
        <w:tab/>
        <w:t>[Schedule 2A inserted in Gazette 29 Jun 2012 p. 2907.]</w:t>
      </w:r>
    </w:p>
    <w:p>
      <w:pPr>
        <w:pStyle w:val="yScheduleHeading"/>
      </w:pPr>
      <w:bookmarkStart w:id="257" w:name="_Toc328577451"/>
      <w:r>
        <w:rPr>
          <w:rStyle w:val="CharSchNo"/>
        </w:rPr>
        <w:t>Schedule 2</w:t>
      </w:r>
      <w:r>
        <w:rPr>
          <w:rStyle w:val="CharSDivNo"/>
        </w:rPr>
        <w:t> </w:t>
      </w:r>
      <w:r>
        <w:t>—</w:t>
      </w:r>
      <w:r>
        <w:rPr>
          <w:rStyle w:val="CharSDivText"/>
        </w:rPr>
        <w:t> </w:t>
      </w:r>
      <w:r>
        <w:rPr>
          <w:rStyle w:val="CharSchText"/>
        </w:rPr>
        <w:t>Street lighting</w:t>
      </w:r>
      <w:bookmarkEnd w:id="257"/>
    </w:p>
    <w:p>
      <w:pPr>
        <w:pStyle w:val="yShoulderClause"/>
      </w:pPr>
      <w:r>
        <w:t>[bl. 4(2)]</w:t>
      </w:r>
    </w:p>
    <w:p>
      <w:pPr>
        <w:pStyle w:val="yFootnoteheading"/>
        <w:spacing w:after="120"/>
      </w:pPr>
      <w:r>
        <w:tab/>
        <w:t>[Heading inserted in Gazette 29 Jun 2012 p. 2908.]</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1134"/>
        <w:gridCol w:w="1464"/>
        <w:gridCol w:w="1465"/>
        <w:gridCol w:w="1465"/>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1134" w:type="dxa"/>
            <w:tcBorders>
              <w:top w:val="single" w:sz="4" w:space="0" w:color="auto"/>
              <w:bottom w:val="single" w:sz="4" w:space="0" w:color="auto"/>
            </w:tcBorders>
          </w:tcPr>
          <w:p>
            <w:pPr>
              <w:pStyle w:val="yTableNAm"/>
            </w:pPr>
            <w:r>
              <w:rPr>
                <w:b/>
                <w:bCs/>
                <w:sz w:val="16"/>
                <w:szCs w:val="16"/>
              </w:rPr>
              <w:t>Type</w:t>
            </w:r>
          </w:p>
        </w:tc>
        <w:tc>
          <w:tcPr>
            <w:tcW w:w="1464"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465"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465"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1134" w:type="dxa"/>
          </w:tcPr>
          <w:p>
            <w:pPr>
              <w:pStyle w:val="yTableNAm"/>
            </w:pPr>
            <w:r>
              <w:rPr>
                <w:sz w:val="16"/>
                <w:szCs w:val="16"/>
              </w:rPr>
              <w:t>Mercury Vapour</w:t>
            </w:r>
          </w:p>
        </w:tc>
        <w:tc>
          <w:tcPr>
            <w:tcW w:w="1464" w:type="dxa"/>
          </w:tcPr>
          <w:p>
            <w:pPr>
              <w:pStyle w:val="yTableNAm"/>
            </w:pPr>
            <w:r>
              <w:rPr>
                <w:sz w:val="16"/>
                <w:szCs w:val="16"/>
              </w:rPr>
              <w:t>31.8470</w:t>
            </w:r>
            <w:r>
              <w:rPr>
                <w:sz w:val="16"/>
                <w:szCs w:val="16"/>
              </w:rPr>
              <w:br/>
              <w:t>(includes carbon component of 0.4342)</w:t>
            </w:r>
          </w:p>
        </w:tc>
        <w:tc>
          <w:tcPr>
            <w:tcW w:w="1465" w:type="dxa"/>
          </w:tcPr>
          <w:p>
            <w:pPr>
              <w:pStyle w:val="yTableNAm"/>
            </w:pPr>
            <w:r>
              <w:rPr>
                <w:sz w:val="16"/>
                <w:szCs w:val="16"/>
              </w:rPr>
              <w:t>32.6568</w:t>
            </w:r>
            <w:r>
              <w:rPr>
                <w:sz w:val="16"/>
                <w:szCs w:val="16"/>
              </w:rPr>
              <w:br/>
              <w:t>(includes carbon component of 0.5359)</w:t>
            </w:r>
          </w:p>
        </w:tc>
        <w:tc>
          <w:tcPr>
            <w:tcW w:w="1465" w:type="dxa"/>
          </w:tcPr>
          <w:p>
            <w:pPr>
              <w:pStyle w:val="yTableNAm"/>
            </w:pPr>
            <w:r>
              <w:rPr>
                <w:sz w:val="16"/>
                <w:szCs w:val="16"/>
              </w:rPr>
              <w:t>35.6066</w:t>
            </w:r>
            <w:r>
              <w:rPr>
                <w:sz w:val="16"/>
                <w:szCs w:val="16"/>
              </w:rPr>
              <w:br/>
              <w:t>(includes carbon component of 0.9197)</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1134" w:type="dxa"/>
          </w:tcPr>
          <w:p>
            <w:pPr>
              <w:pStyle w:val="yTableNAm"/>
            </w:pPr>
            <w:r>
              <w:rPr>
                <w:sz w:val="16"/>
                <w:szCs w:val="16"/>
              </w:rPr>
              <w:t>Mercury Vapour</w:t>
            </w:r>
          </w:p>
        </w:tc>
        <w:tc>
          <w:tcPr>
            <w:tcW w:w="1464" w:type="dxa"/>
          </w:tcPr>
          <w:p>
            <w:pPr>
              <w:pStyle w:val="yTableNAm"/>
            </w:pPr>
            <w:r>
              <w:rPr>
                <w:sz w:val="16"/>
                <w:szCs w:val="16"/>
              </w:rPr>
              <w:t>37.7577</w:t>
            </w:r>
            <w:r>
              <w:rPr>
                <w:sz w:val="16"/>
                <w:szCs w:val="16"/>
              </w:rPr>
              <w:br/>
              <w:t>(includes carbon component of 0.6948)</w:t>
            </w:r>
          </w:p>
        </w:tc>
        <w:tc>
          <w:tcPr>
            <w:tcW w:w="1465" w:type="dxa"/>
          </w:tcPr>
          <w:p>
            <w:pPr>
              <w:pStyle w:val="yTableNAm"/>
            </w:pPr>
            <w:r>
              <w:rPr>
                <w:sz w:val="16"/>
                <w:szCs w:val="16"/>
              </w:rPr>
              <w:t>38.8044</w:t>
            </w:r>
            <w:r>
              <w:rPr>
                <w:sz w:val="16"/>
                <w:szCs w:val="16"/>
              </w:rPr>
              <w:br/>
              <w:t>(includes carbon component of 0.8574)</w:t>
            </w:r>
          </w:p>
        </w:tc>
        <w:tc>
          <w:tcPr>
            <w:tcW w:w="1465" w:type="dxa"/>
          </w:tcPr>
          <w:p>
            <w:pPr>
              <w:pStyle w:val="yTableNAm"/>
            </w:pPr>
            <w:r>
              <w:rPr>
                <w:sz w:val="16"/>
                <w:szCs w:val="16"/>
              </w:rPr>
              <w:t>43.4265</w:t>
            </w:r>
            <w:r>
              <w:rPr>
                <w:sz w:val="16"/>
                <w:szCs w:val="16"/>
              </w:rPr>
              <w:br/>
              <w:t>(includes carbon component of 1.4716)</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1134" w:type="dxa"/>
          </w:tcPr>
          <w:p>
            <w:pPr>
              <w:pStyle w:val="yTableNAm"/>
            </w:pPr>
            <w:r>
              <w:rPr>
                <w:sz w:val="16"/>
                <w:szCs w:val="16"/>
              </w:rPr>
              <w:t>Mercury Vapour</w:t>
            </w:r>
          </w:p>
        </w:tc>
        <w:tc>
          <w:tcPr>
            <w:tcW w:w="1464" w:type="dxa"/>
          </w:tcPr>
          <w:p>
            <w:pPr>
              <w:pStyle w:val="yTableNAm"/>
            </w:pPr>
            <w:r>
              <w:rPr>
                <w:sz w:val="16"/>
                <w:szCs w:val="16"/>
              </w:rPr>
              <w:t>47.0118</w:t>
            </w:r>
            <w:r>
              <w:rPr>
                <w:sz w:val="16"/>
                <w:szCs w:val="16"/>
              </w:rPr>
              <w:br/>
              <w:t>(includes carbon component of 1.0856)</w:t>
            </w:r>
          </w:p>
        </w:tc>
        <w:tc>
          <w:tcPr>
            <w:tcW w:w="1465" w:type="dxa"/>
          </w:tcPr>
          <w:p>
            <w:pPr>
              <w:pStyle w:val="yTableNAm"/>
            </w:pPr>
            <w:r>
              <w:rPr>
                <w:sz w:val="16"/>
                <w:szCs w:val="16"/>
              </w:rPr>
              <w:t>48.8389</w:t>
            </w:r>
            <w:r>
              <w:rPr>
                <w:sz w:val="16"/>
                <w:szCs w:val="16"/>
              </w:rPr>
              <w:br/>
              <w:t>(includes carbon component of 1.3397)</w:t>
            </w:r>
          </w:p>
        </w:tc>
        <w:tc>
          <w:tcPr>
            <w:tcW w:w="1465" w:type="dxa"/>
          </w:tcPr>
          <w:p>
            <w:pPr>
              <w:pStyle w:val="yTableNAm"/>
            </w:pPr>
            <w:r>
              <w:rPr>
                <w:sz w:val="16"/>
                <w:szCs w:val="16"/>
              </w:rPr>
              <w:t>55.4908</w:t>
            </w:r>
            <w:r>
              <w:rPr>
                <w:sz w:val="16"/>
                <w:szCs w:val="16"/>
              </w:rPr>
              <w:br/>
              <w:t>(includes carbon component of 2.2993)</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1134" w:type="dxa"/>
          </w:tcPr>
          <w:p>
            <w:pPr>
              <w:pStyle w:val="yTableNAm"/>
            </w:pPr>
            <w:r>
              <w:rPr>
                <w:sz w:val="16"/>
                <w:szCs w:val="16"/>
              </w:rPr>
              <w:t xml:space="preserve">Low Pressure Sodium </w:t>
            </w:r>
          </w:p>
        </w:tc>
        <w:tc>
          <w:tcPr>
            <w:tcW w:w="1464" w:type="dxa"/>
          </w:tcPr>
          <w:p>
            <w:pPr>
              <w:pStyle w:val="yTableNAm"/>
            </w:pPr>
            <w:r>
              <w:rPr>
                <w:sz w:val="16"/>
                <w:szCs w:val="16"/>
              </w:rPr>
              <w:t>48.2567</w:t>
            </w:r>
            <w:r>
              <w:rPr>
                <w:sz w:val="16"/>
                <w:szCs w:val="16"/>
              </w:rPr>
              <w:br/>
              <w:t>(includes carbon component of 1.2159)</w:t>
            </w:r>
          </w:p>
        </w:tc>
        <w:tc>
          <w:tcPr>
            <w:tcW w:w="1465" w:type="dxa"/>
          </w:tcPr>
          <w:p>
            <w:pPr>
              <w:pStyle w:val="yTableNAm"/>
            </w:pPr>
            <w:r>
              <w:rPr>
                <w:sz w:val="16"/>
                <w:szCs w:val="16"/>
              </w:rPr>
              <w:t>50.1717</w:t>
            </w:r>
            <w:r>
              <w:rPr>
                <w:sz w:val="18"/>
              </w:rPr>
              <w:br/>
            </w:r>
            <w:r>
              <w:rPr>
                <w:sz w:val="16"/>
                <w:szCs w:val="16"/>
              </w:rPr>
              <w:t>(includes carbon component of 1.5005)</w:t>
            </w:r>
          </w:p>
        </w:tc>
        <w:tc>
          <w:tcPr>
            <w:tcW w:w="1465" w:type="dxa"/>
          </w:tcPr>
          <w:p>
            <w:pPr>
              <w:pStyle w:val="yTableNAm"/>
            </w:pPr>
            <w:r>
              <w:rPr>
                <w:sz w:val="16"/>
                <w:szCs w:val="16"/>
              </w:rPr>
              <w:t>57.7740</w:t>
            </w:r>
            <w:r>
              <w:rPr>
                <w:sz w:val="18"/>
              </w:rPr>
              <w:br/>
            </w:r>
            <w:r>
              <w:rPr>
                <w:sz w:val="16"/>
                <w:szCs w:val="16"/>
              </w:rPr>
              <w:t>(includes carbon component of 2.5752)</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1134" w:type="dxa"/>
          </w:tcPr>
          <w:p>
            <w:pPr>
              <w:pStyle w:val="yTableNAm"/>
            </w:pPr>
            <w:r>
              <w:rPr>
                <w:sz w:val="16"/>
                <w:szCs w:val="16"/>
              </w:rPr>
              <w:t>Mercury Vapour</w:t>
            </w:r>
          </w:p>
        </w:tc>
        <w:tc>
          <w:tcPr>
            <w:tcW w:w="1464" w:type="dxa"/>
          </w:tcPr>
          <w:p>
            <w:pPr>
              <w:pStyle w:val="yTableNAm"/>
            </w:pPr>
            <w:r>
              <w:rPr>
                <w:sz w:val="16"/>
                <w:szCs w:val="16"/>
              </w:rPr>
              <w:t>59.4792</w:t>
            </w:r>
            <w:r>
              <w:rPr>
                <w:sz w:val="16"/>
                <w:szCs w:val="16"/>
              </w:rPr>
              <w:br/>
              <w:t>(includes carbon component of 2.1712)</w:t>
            </w:r>
          </w:p>
        </w:tc>
        <w:tc>
          <w:tcPr>
            <w:tcW w:w="1465" w:type="dxa"/>
          </w:tcPr>
          <w:p>
            <w:pPr>
              <w:pStyle w:val="yTableNAm"/>
            </w:pPr>
            <w:r>
              <w:rPr>
                <w:sz w:val="16"/>
                <w:szCs w:val="16"/>
              </w:rPr>
              <w:t>63.0574</w:t>
            </w:r>
            <w:r>
              <w:rPr>
                <w:sz w:val="16"/>
                <w:szCs w:val="16"/>
              </w:rPr>
              <w:br/>
              <w:t>(includes carbon component of 2.6795)</w:t>
            </w:r>
          </w:p>
        </w:tc>
        <w:tc>
          <w:tcPr>
            <w:tcW w:w="1465" w:type="dxa"/>
          </w:tcPr>
          <w:p>
            <w:pPr>
              <w:pStyle w:val="yTableNAm"/>
            </w:pPr>
            <w:r>
              <w:rPr>
                <w:sz w:val="16"/>
                <w:szCs w:val="16"/>
              </w:rPr>
              <w:t>76.4374</w:t>
            </w:r>
            <w:r>
              <w:rPr>
                <w:sz w:val="16"/>
                <w:szCs w:val="16"/>
              </w:rPr>
              <w:br/>
              <w:t>(includes carbon component of 4.5986)</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1134" w:type="dxa"/>
          </w:tcPr>
          <w:p>
            <w:pPr>
              <w:pStyle w:val="yTableNAm"/>
            </w:pPr>
            <w:r>
              <w:rPr>
                <w:sz w:val="16"/>
                <w:szCs w:val="16"/>
              </w:rPr>
              <w:t>Mercury Vapour</w:t>
            </w:r>
          </w:p>
        </w:tc>
        <w:tc>
          <w:tcPr>
            <w:tcW w:w="1464" w:type="dxa"/>
          </w:tcPr>
          <w:p>
            <w:pPr>
              <w:pStyle w:val="yTableNAm"/>
            </w:pPr>
            <w:r>
              <w:rPr>
                <w:sz w:val="16"/>
                <w:szCs w:val="16"/>
              </w:rPr>
              <w:t>88.4707</w:t>
            </w:r>
            <w:r>
              <w:rPr>
                <w:sz w:val="16"/>
                <w:szCs w:val="16"/>
              </w:rPr>
              <w:br/>
              <w:t>(includes carbon component of 3.4740)</w:t>
            </w:r>
          </w:p>
        </w:tc>
        <w:tc>
          <w:tcPr>
            <w:tcW w:w="1465" w:type="dxa"/>
          </w:tcPr>
          <w:p>
            <w:pPr>
              <w:pStyle w:val="yTableNAm"/>
            </w:pPr>
            <w:r>
              <w:rPr>
                <w:sz w:val="16"/>
                <w:szCs w:val="16"/>
              </w:rPr>
              <w:t>93.9771</w:t>
            </w:r>
            <w:r>
              <w:rPr>
                <w:sz w:val="16"/>
                <w:szCs w:val="16"/>
              </w:rPr>
              <w:br/>
              <w:t>(includes carbon component of 4.2872)</w:t>
            </w:r>
          </w:p>
        </w:tc>
        <w:tc>
          <w:tcPr>
            <w:tcW w:w="1465" w:type="dxa"/>
          </w:tcPr>
          <w:p>
            <w:pPr>
              <w:pStyle w:val="yTableNAm"/>
            </w:pPr>
            <w:r>
              <w:rPr>
                <w:sz w:val="16"/>
                <w:szCs w:val="16"/>
              </w:rPr>
              <w:t>114.9591</w:t>
            </w:r>
            <w:r>
              <w:rPr>
                <w:sz w:val="16"/>
                <w:szCs w:val="16"/>
              </w:rPr>
              <w:br/>
              <w:t>(includes carbon component of 7.3578)</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1134" w:type="dxa"/>
          </w:tcPr>
          <w:p>
            <w:pPr>
              <w:pStyle w:val="yTableNAm"/>
            </w:pPr>
            <w:r>
              <w:rPr>
                <w:sz w:val="16"/>
                <w:szCs w:val="16"/>
              </w:rPr>
              <w:t>High Pressure Sodium</w:t>
            </w:r>
          </w:p>
        </w:tc>
        <w:tc>
          <w:tcPr>
            <w:tcW w:w="1464" w:type="dxa"/>
          </w:tcPr>
          <w:p>
            <w:pPr>
              <w:pStyle w:val="yTableNAm"/>
            </w:pPr>
            <w:r>
              <w:rPr>
                <w:sz w:val="16"/>
                <w:szCs w:val="16"/>
              </w:rPr>
              <w:t>44.9105</w:t>
            </w:r>
            <w:r>
              <w:rPr>
                <w:sz w:val="16"/>
                <w:szCs w:val="16"/>
              </w:rPr>
              <w:br/>
              <w:t>(includes carbon component of 1.3027)</w:t>
            </w:r>
          </w:p>
        </w:tc>
        <w:tc>
          <w:tcPr>
            <w:tcW w:w="1465" w:type="dxa"/>
          </w:tcPr>
          <w:p>
            <w:pPr>
              <w:pStyle w:val="yTableNAm"/>
            </w:pPr>
            <w:r>
              <w:rPr>
                <w:sz w:val="16"/>
                <w:szCs w:val="16"/>
              </w:rPr>
              <w:t>46.9146</w:t>
            </w:r>
            <w:r>
              <w:rPr>
                <w:sz w:val="16"/>
                <w:szCs w:val="16"/>
              </w:rPr>
              <w:br/>
              <w:t>(includes carbon component of 1.6077)</w:t>
            </w:r>
          </w:p>
        </w:tc>
        <w:tc>
          <w:tcPr>
            <w:tcW w:w="1465" w:type="dxa"/>
          </w:tcPr>
          <w:p>
            <w:pPr>
              <w:pStyle w:val="yTableNAm"/>
            </w:pPr>
            <w:r>
              <w:rPr>
                <w:sz w:val="16"/>
                <w:szCs w:val="16"/>
              </w:rPr>
              <w:t>57.3599</w:t>
            </w:r>
            <w:r>
              <w:rPr>
                <w:sz w:val="16"/>
                <w:szCs w:val="16"/>
              </w:rPr>
              <w:br/>
              <w:t>(includes carbon component of 2.7592)</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1134" w:type="dxa"/>
          </w:tcPr>
          <w:p>
            <w:pPr>
              <w:pStyle w:val="yTableNAm"/>
            </w:pPr>
            <w:r>
              <w:rPr>
                <w:sz w:val="16"/>
                <w:szCs w:val="16"/>
              </w:rPr>
              <w:t>High Pressure Sodium</w:t>
            </w:r>
          </w:p>
        </w:tc>
        <w:tc>
          <w:tcPr>
            <w:tcW w:w="1464" w:type="dxa"/>
          </w:tcPr>
          <w:p>
            <w:pPr>
              <w:pStyle w:val="yTableNAm"/>
            </w:pPr>
            <w:r>
              <w:rPr>
                <w:sz w:val="16"/>
                <w:szCs w:val="16"/>
              </w:rPr>
              <w:t>66.9141</w:t>
            </w:r>
            <w:r>
              <w:rPr>
                <w:sz w:val="16"/>
                <w:szCs w:val="16"/>
              </w:rPr>
              <w:br/>
              <w:t>(includes carbon component of 2.1712)</w:t>
            </w:r>
          </w:p>
        </w:tc>
        <w:tc>
          <w:tcPr>
            <w:tcW w:w="1465" w:type="dxa"/>
          </w:tcPr>
          <w:p>
            <w:pPr>
              <w:pStyle w:val="yTableNAm"/>
            </w:pPr>
            <w:r>
              <w:rPr>
                <w:sz w:val="16"/>
                <w:szCs w:val="16"/>
              </w:rPr>
              <w:t>71.0246</w:t>
            </w:r>
            <w:r>
              <w:rPr>
                <w:sz w:val="16"/>
                <w:szCs w:val="16"/>
              </w:rPr>
              <w:br/>
              <w:t>(includes carbon component of 2.6795)</w:t>
            </w:r>
          </w:p>
        </w:tc>
        <w:tc>
          <w:tcPr>
            <w:tcW w:w="1465" w:type="dxa"/>
          </w:tcPr>
          <w:p>
            <w:pPr>
              <w:pStyle w:val="yTableNAm"/>
            </w:pPr>
            <w:r>
              <w:rPr>
                <w:sz w:val="16"/>
                <w:szCs w:val="16"/>
              </w:rPr>
              <w:t>86.8219</w:t>
            </w:r>
            <w:r>
              <w:rPr>
                <w:sz w:val="16"/>
                <w:szCs w:val="16"/>
              </w:rPr>
              <w:br/>
              <w:t>(includes carbon component of 4.5986)</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1134" w:type="dxa"/>
          </w:tcPr>
          <w:p>
            <w:pPr>
              <w:pStyle w:val="yTableNAm"/>
            </w:pPr>
            <w:r>
              <w:rPr>
                <w:sz w:val="16"/>
                <w:szCs w:val="16"/>
              </w:rPr>
              <w:t>Auxiliary Lighting in Public Places</w:t>
            </w:r>
          </w:p>
        </w:tc>
        <w:tc>
          <w:tcPr>
            <w:tcW w:w="1464" w:type="dxa"/>
          </w:tcPr>
          <w:p>
            <w:pPr>
              <w:pStyle w:val="yTableNAm"/>
            </w:pPr>
            <w:r>
              <w:rPr>
                <w:sz w:val="16"/>
                <w:szCs w:val="16"/>
              </w:rPr>
              <w:t>Not applicable</w:t>
            </w:r>
          </w:p>
        </w:tc>
        <w:tc>
          <w:tcPr>
            <w:tcW w:w="1465" w:type="dxa"/>
          </w:tcPr>
          <w:p>
            <w:pPr>
              <w:pStyle w:val="yTableNAm"/>
            </w:pPr>
            <w:r>
              <w:rPr>
                <w:sz w:val="16"/>
                <w:szCs w:val="16"/>
              </w:rPr>
              <w:t>Not applicable</w:t>
            </w:r>
          </w:p>
        </w:tc>
        <w:tc>
          <w:tcPr>
            <w:tcW w:w="1465" w:type="dxa"/>
          </w:tcPr>
          <w:p>
            <w:pPr>
              <w:pStyle w:val="yTableNAm"/>
            </w:pPr>
            <w:r>
              <w:rPr>
                <w:sz w:val="16"/>
                <w:szCs w:val="16"/>
              </w:rPr>
              <w:t>260.3391</w:t>
            </w:r>
            <w:r>
              <w:rPr>
                <w:sz w:val="16"/>
                <w:szCs w:val="16"/>
              </w:rPr>
              <w:br/>
              <w:t>(includes carbon component of 18.3946)</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tcPr>
          <w:p>
            <w:pPr>
              <w:pStyle w:val="yTableNAm"/>
            </w:pPr>
            <w:r>
              <w:rPr>
                <w:sz w:val="16"/>
                <w:szCs w:val="16"/>
              </w:rPr>
              <w:t>Mercury Vapour</w:t>
            </w:r>
          </w:p>
        </w:tc>
        <w:tc>
          <w:tcPr>
            <w:tcW w:w="1464" w:type="dxa"/>
          </w:tcPr>
          <w:p>
            <w:pPr>
              <w:pStyle w:val="yTableNAm"/>
            </w:pPr>
            <w:r>
              <w:rPr>
                <w:sz w:val="16"/>
                <w:szCs w:val="16"/>
              </w:rPr>
              <w:t>76.1888</w:t>
            </w:r>
            <w:r>
              <w:rPr>
                <w:sz w:val="16"/>
                <w:szCs w:val="16"/>
              </w:rPr>
              <w:br/>
              <w:t>(includes carbon component of 2.1712)</w:t>
            </w:r>
          </w:p>
        </w:tc>
        <w:tc>
          <w:tcPr>
            <w:tcW w:w="1465" w:type="dxa"/>
          </w:tcPr>
          <w:p>
            <w:pPr>
              <w:pStyle w:val="yTableNAm"/>
            </w:pPr>
            <w:r>
              <w:rPr>
                <w:sz w:val="16"/>
                <w:szCs w:val="16"/>
              </w:rPr>
              <w:t>79.7519</w:t>
            </w:r>
            <w:r>
              <w:rPr>
                <w:sz w:val="16"/>
                <w:szCs w:val="16"/>
              </w:rPr>
              <w:br/>
              <w:t>(includes carbon component of 2.6795)</w:t>
            </w:r>
          </w:p>
        </w:tc>
        <w:tc>
          <w:tcPr>
            <w:tcW w:w="1465" w:type="dxa"/>
          </w:tcPr>
          <w:p>
            <w:pPr>
              <w:pStyle w:val="yTableNAm"/>
            </w:pPr>
            <w:r>
              <w:rPr>
                <w:sz w:val="16"/>
                <w:szCs w:val="16"/>
              </w:rPr>
              <w:t>93.1469</w:t>
            </w:r>
            <w:r>
              <w:rPr>
                <w:sz w:val="16"/>
                <w:szCs w:val="16"/>
              </w:rPr>
              <w:br/>
              <w:t>(includes carbon component of 4.5986)</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tcPr>
          <w:p>
            <w:pPr>
              <w:pStyle w:val="yTableNAm"/>
            </w:pPr>
            <w:r>
              <w:rPr>
                <w:sz w:val="16"/>
                <w:szCs w:val="16"/>
              </w:rPr>
              <w:t>Mercury Vapour</w:t>
            </w:r>
          </w:p>
        </w:tc>
        <w:tc>
          <w:tcPr>
            <w:tcW w:w="1464" w:type="dxa"/>
          </w:tcPr>
          <w:p>
            <w:pPr>
              <w:pStyle w:val="yTableNAm"/>
            </w:pPr>
            <w:r>
              <w:rPr>
                <w:sz w:val="16"/>
                <w:szCs w:val="16"/>
              </w:rPr>
              <w:t>105.1955</w:t>
            </w:r>
            <w:r>
              <w:rPr>
                <w:sz w:val="16"/>
                <w:szCs w:val="16"/>
              </w:rPr>
              <w:br/>
              <w:t>(includes carbon component of 3.4740)</w:t>
            </w:r>
          </w:p>
        </w:tc>
        <w:tc>
          <w:tcPr>
            <w:tcW w:w="1465" w:type="dxa"/>
          </w:tcPr>
          <w:p>
            <w:pPr>
              <w:pStyle w:val="yTableNAm"/>
            </w:pPr>
            <w:r>
              <w:rPr>
                <w:sz w:val="16"/>
                <w:szCs w:val="16"/>
              </w:rPr>
              <w:t>110.7018</w:t>
            </w:r>
            <w:r>
              <w:rPr>
                <w:sz w:val="16"/>
                <w:szCs w:val="16"/>
              </w:rPr>
              <w:br/>
              <w:t>(includes carbon component of 4.2872)</w:t>
            </w:r>
          </w:p>
        </w:tc>
        <w:tc>
          <w:tcPr>
            <w:tcW w:w="1465" w:type="dxa"/>
          </w:tcPr>
          <w:p>
            <w:pPr>
              <w:pStyle w:val="yTableNAm"/>
            </w:pPr>
            <w:r>
              <w:rPr>
                <w:sz w:val="16"/>
                <w:szCs w:val="16"/>
              </w:rPr>
              <w:t>131.6079</w:t>
            </w:r>
            <w:r>
              <w:rPr>
                <w:sz w:val="16"/>
                <w:szCs w:val="16"/>
              </w:rPr>
              <w:br/>
              <w:t>(includes carbon component of 7.3578)</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tcPr>
          <w:p>
            <w:pPr>
              <w:pStyle w:val="yTableNAm"/>
            </w:pPr>
            <w:r>
              <w:rPr>
                <w:sz w:val="16"/>
                <w:szCs w:val="16"/>
              </w:rPr>
              <w:t>Mercury Vapour 50% E.C. cost</w:t>
            </w:r>
          </w:p>
        </w:tc>
        <w:tc>
          <w:tcPr>
            <w:tcW w:w="1464" w:type="dxa"/>
          </w:tcPr>
          <w:p>
            <w:pPr>
              <w:pStyle w:val="yTableNAm"/>
            </w:pPr>
            <w:r>
              <w:rPr>
                <w:sz w:val="16"/>
                <w:szCs w:val="16"/>
              </w:rPr>
              <w:t>67.8263</w:t>
            </w:r>
            <w:r>
              <w:rPr>
                <w:sz w:val="16"/>
                <w:szCs w:val="16"/>
              </w:rPr>
              <w:br/>
              <w:t>(includes carbon component of 2.1712)</w:t>
            </w:r>
          </w:p>
        </w:tc>
        <w:tc>
          <w:tcPr>
            <w:tcW w:w="1465" w:type="dxa"/>
          </w:tcPr>
          <w:p>
            <w:pPr>
              <w:pStyle w:val="yTableNAm"/>
            </w:pPr>
            <w:r>
              <w:rPr>
                <w:sz w:val="16"/>
                <w:szCs w:val="16"/>
              </w:rPr>
              <w:t>71.3591</w:t>
            </w:r>
            <w:r>
              <w:rPr>
                <w:sz w:val="16"/>
                <w:szCs w:val="16"/>
              </w:rPr>
              <w:br/>
              <w:t>(includes carbon component of 2.6795)</w:t>
            </w:r>
          </w:p>
        </w:tc>
        <w:tc>
          <w:tcPr>
            <w:tcW w:w="1465" w:type="dxa"/>
          </w:tcPr>
          <w:p>
            <w:pPr>
              <w:pStyle w:val="yTableNAm"/>
            </w:pPr>
            <w:r>
              <w:rPr>
                <w:sz w:val="16"/>
                <w:szCs w:val="16"/>
              </w:rPr>
              <w:t>84.7846</w:t>
            </w:r>
            <w:r>
              <w:rPr>
                <w:sz w:val="16"/>
                <w:szCs w:val="16"/>
              </w:rPr>
              <w:br/>
              <w:t>(includes carbon component of 4.5986)</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tcPr>
          <w:p>
            <w:pPr>
              <w:pStyle w:val="yTableNAm"/>
            </w:pPr>
            <w:r>
              <w:rPr>
                <w:sz w:val="16"/>
                <w:szCs w:val="16"/>
              </w:rPr>
              <w:t>Mercury Vapour 100% E.C. cost</w:t>
            </w:r>
          </w:p>
        </w:tc>
        <w:tc>
          <w:tcPr>
            <w:tcW w:w="1464" w:type="dxa"/>
          </w:tcPr>
          <w:p>
            <w:pPr>
              <w:pStyle w:val="yTableNAm"/>
            </w:pPr>
            <w:r>
              <w:rPr>
                <w:sz w:val="16"/>
                <w:szCs w:val="16"/>
              </w:rPr>
              <w:t>76.1888</w:t>
            </w:r>
            <w:r>
              <w:rPr>
                <w:sz w:val="16"/>
                <w:szCs w:val="16"/>
              </w:rPr>
              <w:br/>
              <w:t>(includes carbon component of 2.1712)</w:t>
            </w:r>
          </w:p>
        </w:tc>
        <w:tc>
          <w:tcPr>
            <w:tcW w:w="1465" w:type="dxa"/>
          </w:tcPr>
          <w:p>
            <w:pPr>
              <w:pStyle w:val="yTableNAm"/>
            </w:pPr>
            <w:r>
              <w:rPr>
                <w:sz w:val="16"/>
                <w:szCs w:val="16"/>
              </w:rPr>
              <w:t>79.7519</w:t>
            </w:r>
            <w:r>
              <w:rPr>
                <w:sz w:val="16"/>
                <w:szCs w:val="16"/>
              </w:rPr>
              <w:br/>
              <w:t>(includes carbon component of 2.6795)</w:t>
            </w:r>
          </w:p>
        </w:tc>
        <w:tc>
          <w:tcPr>
            <w:tcW w:w="1465" w:type="dxa"/>
          </w:tcPr>
          <w:p>
            <w:pPr>
              <w:pStyle w:val="yTableNAm"/>
            </w:pPr>
            <w:r>
              <w:rPr>
                <w:sz w:val="16"/>
                <w:szCs w:val="16"/>
              </w:rPr>
              <w:t>93.1469</w:t>
            </w:r>
            <w:r>
              <w:rPr>
                <w:sz w:val="16"/>
                <w:szCs w:val="16"/>
              </w:rPr>
              <w:br/>
              <w:t>(includes carbon component of 4.5986)</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tcPr>
          <w:p>
            <w:pPr>
              <w:pStyle w:val="yTableNAm"/>
            </w:pPr>
            <w:r>
              <w:rPr>
                <w:sz w:val="16"/>
                <w:szCs w:val="16"/>
              </w:rPr>
              <w:t>Mercury Vapour 50% E.C. cost</w:t>
            </w:r>
          </w:p>
        </w:tc>
        <w:tc>
          <w:tcPr>
            <w:tcW w:w="1464" w:type="dxa"/>
          </w:tcPr>
          <w:p>
            <w:pPr>
              <w:pStyle w:val="yTableNAm"/>
            </w:pPr>
            <w:r>
              <w:rPr>
                <w:sz w:val="16"/>
                <w:szCs w:val="16"/>
              </w:rPr>
              <w:t>96.8331</w:t>
            </w:r>
            <w:r>
              <w:rPr>
                <w:sz w:val="16"/>
                <w:szCs w:val="16"/>
              </w:rPr>
              <w:br/>
              <w:t>(includes carbon component of 3.4740)</w:t>
            </w:r>
          </w:p>
        </w:tc>
        <w:tc>
          <w:tcPr>
            <w:tcW w:w="1465" w:type="dxa"/>
          </w:tcPr>
          <w:p>
            <w:pPr>
              <w:pStyle w:val="yTableNAm"/>
            </w:pPr>
            <w:r>
              <w:rPr>
                <w:sz w:val="16"/>
                <w:szCs w:val="16"/>
              </w:rPr>
              <w:t>102.3547</w:t>
            </w:r>
            <w:r>
              <w:rPr>
                <w:sz w:val="16"/>
                <w:szCs w:val="16"/>
              </w:rPr>
              <w:br/>
              <w:t>(includes carbon component of 4.2872)</w:t>
            </w:r>
          </w:p>
        </w:tc>
        <w:tc>
          <w:tcPr>
            <w:tcW w:w="1465" w:type="dxa"/>
          </w:tcPr>
          <w:p>
            <w:pPr>
              <w:pStyle w:val="yTableNAm"/>
            </w:pPr>
            <w:r>
              <w:rPr>
                <w:sz w:val="16"/>
                <w:szCs w:val="16"/>
              </w:rPr>
              <w:t>123.2759</w:t>
            </w:r>
            <w:r>
              <w:rPr>
                <w:sz w:val="16"/>
                <w:szCs w:val="16"/>
              </w:rPr>
              <w:br/>
              <w:t>(includes carbon component of 7.3578)</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tcPr>
          <w:p>
            <w:pPr>
              <w:pStyle w:val="yTableNAm"/>
            </w:pPr>
            <w:r>
              <w:rPr>
                <w:sz w:val="16"/>
                <w:szCs w:val="16"/>
              </w:rPr>
              <w:t>Mercury Vapour 100% E.C. cost</w:t>
            </w:r>
          </w:p>
        </w:tc>
        <w:tc>
          <w:tcPr>
            <w:tcW w:w="1464" w:type="dxa"/>
          </w:tcPr>
          <w:p>
            <w:pPr>
              <w:pStyle w:val="yTableNAm"/>
            </w:pPr>
            <w:r>
              <w:rPr>
                <w:sz w:val="16"/>
                <w:szCs w:val="16"/>
              </w:rPr>
              <w:t>105.1955</w:t>
            </w:r>
            <w:r>
              <w:rPr>
                <w:sz w:val="16"/>
                <w:szCs w:val="16"/>
              </w:rPr>
              <w:br/>
              <w:t>(includes carbon component of 3.4740)</w:t>
            </w:r>
          </w:p>
        </w:tc>
        <w:tc>
          <w:tcPr>
            <w:tcW w:w="1465" w:type="dxa"/>
          </w:tcPr>
          <w:p>
            <w:pPr>
              <w:pStyle w:val="yTableNAm"/>
            </w:pPr>
            <w:r>
              <w:rPr>
                <w:sz w:val="16"/>
                <w:szCs w:val="16"/>
              </w:rPr>
              <w:t>110.7018</w:t>
            </w:r>
            <w:r>
              <w:rPr>
                <w:sz w:val="16"/>
                <w:szCs w:val="16"/>
              </w:rPr>
              <w:br/>
              <w:t>(includes carbon component of 4.2872)</w:t>
            </w:r>
          </w:p>
        </w:tc>
        <w:tc>
          <w:tcPr>
            <w:tcW w:w="1465" w:type="dxa"/>
          </w:tcPr>
          <w:p>
            <w:pPr>
              <w:pStyle w:val="yTableNAm"/>
            </w:pPr>
            <w:r>
              <w:rPr>
                <w:sz w:val="16"/>
                <w:szCs w:val="16"/>
              </w:rPr>
              <w:t>131.6079</w:t>
            </w:r>
            <w:r>
              <w:rPr>
                <w:sz w:val="16"/>
                <w:szCs w:val="16"/>
              </w:rPr>
              <w:br/>
              <w:t>(includes carbon component of 7.3578)</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tcPr>
          <w:p>
            <w:pPr>
              <w:pStyle w:val="yTableNAm"/>
            </w:pPr>
            <w:r>
              <w:rPr>
                <w:sz w:val="16"/>
                <w:szCs w:val="16"/>
              </w:rPr>
              <w:t>High Pressure Sodium</w:t>
            </w:r>
          </w:p>
        </w:tc>
        <w:tc>
          <w:tcPr>
            <w:tcW w:w="1464" w:type="dxa"/>
          </w:tcPr>
          <w:p>
            <w:pPr>
              <w:pStyle w:val="yTableNAm"/>
            </w:pPr>
            <w:r>
              <w:rPr>
                <w:sz w:val="16"/>
                <w:szCs w:val="16"/>
              </w:rPr>
              <w:t>68.3099</w:t>
            </w:r>
            <w:r>
              <w:rPr>
                <w:sz w:val="16"/>
                <w:szCs w:val="16"/>
              </w:rPr>
              <w:br/>
              <w:t>(includes carbon component of 1.3027)</w:t>
            </w:r>
          </w:p>
        </w:tc>
        <w:tc>
          <w:tcPr>
            <w:tcW w:w="1465" w:type="dxa"/>
          </w:tcPr>
          <w:p>
            <w:pPr>
              <w:pStyle w:val="yTableNAm"/>
            </w:pPr>
            <w:r>
              <w:rPr>
                <w:sz w:val="16"/>
                <w:szCs w:val="16"/>
              </w:rPr>
              <w:t>70.2834</w:t>
            </w:r>
            <w:r>
              <w:rPr>
                <w:sz w:val="16"/>
                <w:szCs w:val="16"/>
              </w:rPr>
              <w:br/>
              <w:t>(includes carbon component of 1.6077)</w:t>
            </w:r>
          </w:p>
        </w:tc>
        <w:tc>
          <w:tcPr>
            <w:tcW w:w="1465" w:type="dxa"/>
          </w:tcPr>
          <w:p>
            <w:pPr>
              <w:pStyle w:val="yTableNAm"/>
            </w:pPr>
            <w:r>
              <w:rPr>
                <w:sz w:val="16"/>
                <w:szCs w:val="16"/>
              </w:rPr>
              <w:t>80.6984</w:t>
            </w:r>
            <w:r>
              <w:rPr>
                <w:sz w:val="16"/>
                <w:szCs w:val="16"/>
              </w:rPr>
              <w:br/>
              <w:t>(includes carbon component of 2.7592)</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tcPr>
          <w:p>
            <w:pPr>
              <w:pStyle w:val="yTableNAm"/>
            </w:pPr>
            <w:r>
              <w:rPr>
                <w:sz w:val="16"/>
                <w:szCs w:val="16"/>
              </w:rPr>
              <w:t>High Pressure Sodium 50% E.C. cost</w:t>
            </w:r>
          </w:p>
        </w:tc>
        <w:tc>
          <w:tcPr>
            <w:tcW w:w="1464" w:type="dxa"/>
          </w:tcPr>
          <w:p>
            <w:pPr>
              <w:pStyle w:val="yTableNAm"/>
            </w:pPr>
            <w:r>
              <w:rPr>
                <w:sz w:val="16"/>
                <w:szCs w:val="16"/>
              </w:rPr>
              <w:t>79.4273</w:t>
            </w:r>
            <w:r>
              <w:rPr>
                <w:sz w:val="16"/>
                <w:szCs w:val="16"/>
              </w:rPr>
              <w:br/>
              <w:t>(includes carbon component of 2.1712)</w:t>
            </w:r>
          </w:p>
        </w:tc>
        <w:tc>
          <w:tcPr>
            <w:tcW w:w="1465" w:type="dxa"/>
          </w:tcPr>
          <w:p>
            <w:pPr>
              <w:pStyle w:val="yTableNAm"/>
            </w:pPr>
            <w:r>
              <w:rPr>
                <w:sz w:val="16"/>
                <w:szCs w:val="16"/>
              </w:rPr>
              <w:t>83.5681</w:t>
            </w:r>
            <w:r>
              <w:rPr>
                <w:sz w:val="16"/>
                <w:szCs w:val="16"/>
              </w:rPr>
              <w:br/>
              <w:t>(includes carbon component of 2.6795)</w:t>
            </w:r>
          </w:p>
        </w:tc>
        <w:tc>
          <w:tcPr>
            <w:tcW w:w="1465" w:type="dxa"/>
          </w:tcPr>
          <w:p>
            <w:pPr>
              <w:pStyle w:val="yTableNAm"/>
            </w:pPr>
            <w:r>
              <w:rPr>
                <w:sz w:val="16"/>
                <w:szCs w:val="16"/>
              </w:rPr>
              <w:t>99.3351</w:t>
            </w:r>
            <w:r>
              <w:rPr>
                <w:sz w:val="16"/>
                <w:szCs w:val="16"/>
              </w:rPr>
              <w:br/>
              <w:t>(includes carbon component of 4.5986)</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tcPr>
          <w:p>
            <w:pPr>
              <w:pStyle w:val="yTableNAm"/>
            </w:pPr>
            <w:r>
              <w:rPr>
                <w:sz w:val="16"/>
                <w:szCs w:val="16"/>
              </w:rPr>
              <w:t>High Pressure Sodium 100% E.C. cost</w:t>
            </w:r>
          </w:p>
        </w:tc>
        <w:tc>
          <w:tcPr>
            <w:tcW w:w="1464" w:type="dxa"/>
          </w:tcPr>
          <w:p>
            <w:pPr>
              <w:pStyle w:val="yTableNAm"/>
            </w:pPr>
            <w:r>
              <w:rPr>
                <w:sz w:val="16"/>
                <w:szCs w:val="16"/>
              </w:rPr>
              <w:t>91.9100</w:t>
            </w:r>
            <w:r>
              <w:rPr>
                <w:sz w:val="16"/>
                <w:szCs w:val="16"/>
              </w:rPr>
              <w:br/>
              <w:t>(includes carbon component of 2.1712)</w:t>
            </w:r>
          </w:p>
        </w:tc>
        <w:tc>
          <w:tcPr>
            <w:tcW w:w="1465" w:type="dxa"/>
          </w:tcPr>
          <w:p>
            <w:pPr>
              <w:pStyle w:val="yTableNAm"/>
            </w:pPr>
            <w:r>
              <w:rPr>
                <w:sz w:val="16"/>
                <w:szCs w:val="16"/>
              </w:rPr>
              <w:t>96.0964</w:t>
            </w:r>
            <w:r>
              <w:rPr>
                <w:sz w:val="16"/>
                <w:szCs w:val="16"/>
              </w:rPr>
              <w:br/>
              <w:t>(includes carbon component of 2.6795)</w:t>
            </w:r>
          </w:p>
        </w:tc>
        <w:tc>
          <w:tcPr>
            <w:tcW w:w="1465" w:type="dxa"/>
          </w:tcPr>
          <w:p>
            <w:pPr>
              <w:pStyle w:val="yTableNAm"/>
            </w:pPr>
            <w:r>
              <w:rPr>
                <w:sz w:val="16"/>
                <w:szCs w:val="16"/>
              </w:rPr>
              <w:t>111.8786</w:t>
            </w:r>
            <w:r>
              <w:rPr>
                <w:sz w:val="16"/>
                <w:szCs w:val="16"/>
              </w:rPr>
              <w:br/>
              <w:t>(includes carbon component of 4.5986)</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tcPr>
          <w:p>
            <w:pPr>
              <w:pStyle w:val="yTableNAm"/>
            </w:pPr>
            <w:r>
              <w:rPr>
                <w:sz w:val="16"/>
                <w:szCs w:val="16"/>
              </w:rPr>
              <w:t>Incandescent</w:t>
            </w:r>
          </w:p>
        </w:tc>
        <w:tc>
          <w:tcPr>
            <w:tcW w:w="1464" w:type="dxa"/>
          </w:tcPr>
          <w:p>
            <w:pPr>
              <w:pStyle w:val="yTableNAm"/>
            </w:pPr>
            <w:r>
              <w:rPr>
                <w:sz w:val="16"/>
                <w:szCs w:val="16"/>
              </w:rPr>
              <w:t>31.9674</w:t>
            </w:r>
            <w:r>
              <w:rPr>
                <w:sz w:val="16"/>
                <w:szCs w:val="16"/>
              </w:rPr>
              <w:br/>
              <w:t>(includes carbon component of 0.5211)</w:t>
            </w:r>
          </w:p>
        </w:tc>
        <w:tc>
          <w:tcPr>
            <w:tcW w:w="1465" w:type="dxa"/>
          </w:tcPr>
          <w:p>
            <w:pPr>
              <w:pStyle w:val="yTableNAm"/>
            </w:pPr>
            <w:r>
              <w:rPr>
                <w:sz w:val="16"/>
                <w:szCs w:val="16"/>
              </w:rPr>
              <w:t>32.8054</w:t>
            </w:r>
            <w:r>
              <w:rPr>
                <w:sz w:val="16"/>
                <w:szCs w:val="16"/>
              </w:rPr>
              <w:br/>
              <w:t>(includes carbon component of 0.6431)</w:t>
            </w:r>
          </w:p>
        </w:tc>
        <w:tc>
          <w:tcPr>
            <w:tcW w:w="1465" w:type="dxa"/>
          </w:tcPr>
          <w:p>
            <w:pPr>
              <w:pStyle w:val="yTableNAm"/>
            </w:pPr>
            <w:r>
              <w:rPr>
                <w:sz w:val="16"/>
                <w:szCs w:val="16"/>
              </w:rPr>
              <w:t>35.8615</w:t>
            </w:r>
            <w:r>
              <w:rPr>
                <w:sz w:val="16"/>
                <w:szCs w:val="16"/>
              </w:rPr>
              <w:br/>
              <w:t>(includes carbon component of 1.1037)</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tcPr>
          <w:p>
            <w:pPr>
              <w:pStyle w:val="yTableNAm"/>
            </w:pPr>
            <w:r>
              <w:rPr>
                <w:sz w:val="16"/>
                <w:szCs w:val="16"/>
              </w:rPr>
              <w:t>Incandescent</w:t>
            </w:r>
          </w:p>
        </w:tc>
        <w:tc>
          <w:tcPr>
            <w:tcW w:w="1464" w:type="dxa"/>
          </w:tcPr>
          <w:p>
            <w:pPr>
              <w:pStyle w:val="yTableNAm"/>
            </w:pPr>
            <w:r>
              <w:rPr>
                <w:sz w:val="16"/>
                <w:szCs w:val="16"/>
              </w:rPr>
              <w:t>32.4490</w:t>
            </w:r>
            <w:r>
              <w:rPr>
                <w:sz w:val="16"/>
                <w:szCs w:val="16"/>
              </w:rPr>
              <w:br/>
              <w:t>(includes carbon component of 0.0868)</w:t>
            </w:r>
          </w:p>
        </w:tc>
        <w:tc>
          <w:tcPr>
            <w:tcW w:w="1465" w:type="dxa"/>
          </w:tcPr>
          <w:p>
            <w:pPr>
              <w:pStyle w:val="yTableNAm"/>
            </w:pPr>
            <w:r>
              <w:rPr>
                <w:sz w:val="16"/>
                <w:szCs w:val="16"/>
              </w:rPr>
              <w:t>33.3999</w:t>
            </w:r>
            <w:r>
              <w:rPr>
                <w:sz w:val="16"/>
                <w:szCs w:val="16"/>
              </w:rPr>
              <w:br/>
              <w:t>(includes carbon component of 0.1072)</w:t>
            </w:r>
          </w:p>
        </w:tc>
        <w:tc>
          <w:tcPr>
            <w:tcW w:w="1465" w:type="dxa"/>
          </w:tcPr>
          <w:p>
            <w:pPr>
              <w:pStyle w:val="yTableNAm"/>
            </w:pPr>
            <w:r>
              <w:rPr>
                <w:sz w:val="16"/>
                <w:szCs w:val="16"/>
              </w:rPr>
              <w:t>36.8817</w:t>
            </w:r>
            <w:r>
              <w:rPr>
                <w:sz w:val="16"/>
                <w:szCs w:val="16"/>
              </w:rPr>
              <w:br/>
              <w:t>(includes carbon component of 0.1839)</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tcPr>
          <w:p>
            <w:pPr>
              <w:pStyle w:val="yTableNAm"/>
            </w:pPr>
            <w:r>
              <w:rPr>
                <w:sz w:val="16"/>
                <w:szCs w:val="16"/>
              </w:rPr>
              <w:t>Incandescent</w:t>
            </w:r>
          </w:p>
        </w:tc>
        <w:tc>
          <w:tcPr>
            <w:tcW w:w="1464" w:type="dxa"/>
          </w:tcPr>
          <w:p>
            <w:pPr>
              <w:pStyle w:val="yTableNAm"/>
            </w:pPr>
            <w:r>
              <w:rPr>
                <w:sz w:val="16"/>
                <w:szCs w:val="16"/>
              </w:rPr>
              <w:t>39.2027</w:t>
            </w:r>
            <w:r>
              <w:rPr>
                <w:sz w:val="16"/>
                <w:szCs w:val="16"/>
              </w:rPr>
              <w:br/>
              <w:t>(includes carbon component of 1.7370)</w:t>
            </w:r>
          </w:p>
        </w:tc>
        <w:tc>
          <w:tcPr>
            <w:tcW w:w="1465" w:type="dxa"/>
          </w:tcPr>
          <w:p>
            <w:pPr>
              <w:pStyle w:val="yTableNAm"/>
            </w:pPr>
            <w:r>
              <w:rPr>
                <w:sz w:val="16"/>
                <w:szCs w:val="16"/>
              </w:rPr>
              <w:t>40.5876</w:t>
            </w:r>
            <w:r>
              <w:rPr>
                <w:sz w:val="16"/>
                <w:szCs w:val="16"/>
              </w:rPr>
              <w:br/>
              <w:t>(includes carbon component of 2.1436)</w:t>
            </w:r>
          </w:p>
        </w:tc>
        <w:tc>
          <w:tcPr>
            <w:tcW w:w="1465" w:type="dxa"/>
          </w:tcPr>
          <w:p>
            <w:pPr>
              <w:pStyle w:val="yTableNAm"/>
            </w:pPr>
            <w:r>
              <w:rPr>
                <w:sz w:val="16"/>
                <w:szCs w:val="16"/>
              </w:rPr>
              <w:t>46.4869</w:t>
            </w:r>
            <w:r>
              <w:rPr>
                <w:sz w:val="16"/>
                <w:szCs w:val="16"/>
              </w:rPr>
              <w:br/>
              <w:t>(includes carbon component of 3.6789)</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tcPr>
          <w:p>
            <w:pPr>
              <w:pStyle w:val="yTableNAm"/>
            </w:pPr>
            <w:r>
              <w:rPr>
                <w:sz w:val="16"/>
                <w:szCs w:val="16"/>
              </w:rPr>
              <w:t>Incandescent</w:t>
            </w:r>
          </w:p>
        </w:tc>
        <w:tc>
          <w:tcPr>
            <w:tcW w:w="1464" w:type="dxa"/>
          </w:tcPr>
          <w:p>
            <w:pPr>
              <w:pStyle w:val="yTableNAm"/>
            </w:pPr>
            <w:r>
              <w:rPr>
                <w:sz w:val="16"/>
                <w:szCs w:val="16"/>
              </w:rPr>
              <w:t>49.1191</w:t>
            </w:r>
            <w:r>
              <w:rPr>
                <w:sz w:val="16"/>
                <w:szCs w:val="16"/>
              </w:rPr>
              <w:br/>
              <w:t>(includes carbon component of 2.6055)</w:t>
            </w:r>
          </w:p>
        </w:tc>
        <w:tc>
          <w:tcPr>
            <w:tcW w:w="1465" w:type="dxa"/>
          </w:tcPr>
          <w:p>
            <w:pPr>
              <w:pStyle w:val="yTableNAm"/>
            </w:pPr>
            <w:r>
              <w:rPr>
                <w:sz w:val="16"/>
                <w:szCs w:val="16"/>
              </w:rPr>
              <w:t>51.4394</w:t>
            </w:r>
            <w:r>
              <w:rPr>
                <w:sz w:val="16"/>
                <w:szCs w:val="16"/>
              </w:rPr>
              <w:br/>
              <w:t>(includes carbon component of 3.2154)</w:t>
            </w:r>
          </w:p>
        </w:tc>
        <w:tc>
          <w:tcPr>
            <w:tcW w:w="1465" w:type="dxa"/>
          </w:tcPr>
          <w:p>
            <w:pPr>
              <w:pStyle w:val="yTableNAm"/>
            </w:pPr>
            <w:r>
              <w:rPr>
                <w:sz w:val="16"/>
                <w:szCs w:val="16"/>
              </w:rPr>
              <w:t>59.9539</w:t>
            </w:r>
            <w:r>
              <w:rPr>
                <w:sz w:val="16"/>
                <w:szCs w:val="16"/>
              </w:rPr>
              <w:br/>
              <w:t>(includes carbon component of 5.5184)</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tcPr>
          <w:p>
            <w:pPr>
              <w:pStyle w:val="yTableNAm"/>
            </w:pPr>
            <w:r>
              <w:rPr>
                <w:sz w:val="16"/>
                <w:szCs w:val="16"/>
              </w:rPr>
              <w:t>Incandescent</w:t>
            </w:r>
          </w:p>
        </w:tc>
        <w:tc>
          <w:tcPr>
            <w:tcW w:w="1464" w:type="dxa"/>
          </w:tcPr>
          <w:p>
            <w:pPr>
              <w:pStyle w:val="yTableNAm"/>
            </w:pPr>
            <w:r>
              <w:rPr>
                <w:sz w:val="16"/>
                <w:szCs w:val="16"/>
              </w:rPr>
              <w:t>79.1991</w:t>
            </w:r>
            <w:r>
              <w:rPr>
                <w:sz w:val="16"/>
                <w:szCs w:val="16"/>
              </w:rPr>
              <w:br/>
              <w:t>(includes carbon component of 4.3425)</w:t>
            </w:r>
          </w:p>
        </w:tc>
        <w:tc>
          <w:tcPr>
            <w:tcW w:w="1465" w:type="dxa"/>
          </w:tcPr>
          <w:p>
            <w:pPr>
              <w:pStyle w:val="yTableNAm"/>
            </w:pPr>
            <w:r>
              <w:rPr>
                <w:sz w:val="16"/>
                <w:szCs w:val="16"/>
              </w:rPr>
              <w:t>83.4669</w:t>
            </w:r>
            <w:r>
              <w:rPr>
                <w:sz w:val="16"/>
                <w:szCs w:val="16"/>
              </w:rPr>
              <w:br/>
              <w:t>(includes carbon component of 5.3590)</w:t>
            </w:r>
          </w:p>
        </w:tc>
        <w:tc>
          <w:tcPr>
            <w:tcW w:w="1465" w:type="dxa"/>
          </w:tcPr>
          <w:p>
            <w:pPr>
              <w:pStyle w:val="yTableNAm"/>
            </w:pPr>
            <w:r>
              <w:rPr>
                <w:sz w:val="16"/>
                <w:szCs w:val="16"/>
              </w:rPr>
              <w:t>99.5227</w:t>
            </w:r>
            <w:r>
              <w:rPr>
                <w:sz w:val="16"/>
                <w:szCs w:val="16"/>
              </w:rPr>
              <w:br/>
              <w:t>(includes carbon component of 9.1973)</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tcPr>
          <w:p>
            <w:pPr>
              <w:pStyle w:val="yTableNAm"/>
            </w:pPr>
            <w:r>
              <w:rPr>
                <w:sz w:val="16"/>
                <w:szCs w:val="16"/>
              </w:rPr>
              <w:t>Fluorescent</w:t>
            </w:r>
          </w:p>
        </w:tc>
        <w:tc>
          <w:tcPr>
            <w:tcW w:w="1464" w:type="dxa"/>
          </w:tcPr>
          <w:p>
            <w:pPr>
              <w:pStyle w:val="yTableNAm"/>
            </w:pPr>
            <w:r>
              <w:rPr>
                <w:sz w:val="16"/>
                <w:szCs w:val="16"/>
              </w:rPr>
              <w:t>31.7265</w:t>
            </w:r>
            <w:r>
              <w:rPr>
                <w:sz w:val="16"/>
                <w:szCs w:val="16"/>
              </w:rPr>
              <w:br/>
              <w:t>(includes carbon component of 0.3474)</w:t>
            </w:r>
          </w:p>
        </w:tc>
        <w:tc>
          <w:tcPr>
            <w:tcW w:w="1465" w:type="dxa"/>
          </w:tcPr>
          <w:p>
            <w:pPr>
              <w:pStyle w:val="yTableNAm"/>
            </w:pPr>
            <w:r>
              <w:rPr>
                <w:sz w:val="16"/>
                <w:szCs w:val="16"/>
              </w:rPr>
              <w:t>32.5082</w:t>
            </w:r>
            <w:r>
              <w:rPr>
                <w:sz w:val="16"/>
                <w:szCs w:val="16"/>
              </w:rPr>
              <w:br/>
              <w:t>(includes carbon component of 0.4287)</w:t>
            </w:r>
          </w:p>
        </w:tc>
        <w:tc>
          <w:tcPr>
            <w:tcW w:w="1465" w:type="dxa"/>
          </w:tcPr>
          <w:p>
            <w:pPr>
              <w:pStyle w:val="yTableNAm"/>
            </w:pPr>
            <w:r>
              <w:rPr>
                <w:sz w:val="16"/>
                <w:szCs w:val="16"/>
              </w:rPr>
              <w:t>35.3515</w:t>
            </w:r>
            <w:r>
              <w:rPr>
                <w:sz w:val="16"/>
                <w:szCs w:val="16"/>
              </w:rPr>
              <w:br/>
              <w:t>(includes carbon component of 0.7358)</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tcPr>
          <w:p>
            <w:pPr>
              <w:pStyle w:val="yTableNAm"/>
            </w:pPr>
            <w:r>
              <w:rPr>
                <w:sz w:val="16"/>
                <w:szCs w:val="16"/>
              </w:rPr>
              <w:t>Fluorescent</w:t>
            </w:r>
          </w:p>
        </w:tc>
        <w:tc>
          <w:tcPr>
            <w:tcW w:w="1464" w:type="dxa"/>
          </w:tcPr>
          <w:p>
            <w:pPr>
              <w:pStyle w:val="yTableNAm"/>
            </w:pPr>
            <w:r>
              <w:rPr>
                <w:sz w:val="16"/>
                <w:szCs w:val="16"/>
              </w:rPr>
              <w:t>37.7577</w:t>
            </w:r>
            <w:r>
              <w:rPr>
                <w:sz w:val="16"/>
                <w:szCs w:val="16"/>
              </w:rPr>
              <w:br/>
              <w:t>(includes carbon component of 0.6948)</w:t>
            </w:r>
          </w:p>
        </w:tc>
        <w:tc>
          <w:tcPr>
            <w:tcW w:w="1465" w:type="dxa"/>
          </w:tcPr>
          <w:p>
            <w:pPr>
              <w:pStyle w:val="yTableNAm"/>
            </w:pPr>
            <w:r>
              <w:rPr>
                <w:sz w:val="16"/>
                <w:szCs w:val="16"/>
              </w:rPr>
              <w:t>38.8044</w:t>
            </w:r>
            <w:r>
              <w:rPr>
                <w:sz w:val="16"/>
                <w:szCs w:val="16"/>
              </w:rPr>
              <w:br/>
              <w:t>(includes carbon component of 0.8574)</w:t>
            </w:r>
          </w:p>
        </w:tc>
        <w:tc>
          <w:tcPr>
            <w:tcW w:w="1465" w:type="dxa"/>
          </w:tcPr>
          <w:p>
            <w:pPr>
              <w:pStyle w:val="yTableNAm"/>
            </w:pPr>
            <w:r>
              <w:rPr>
                <w:sz w:val="16"/>
                <w:szCs w:val="16"/>
              </w:rPr>
              <w:t>43.4265</w:t>
            </w:r>
            <w:r>
              <w:rPr>
                <w:sz w:val="16"/>
                <w:szCs w:val="16"/>
              </w:rPr>
              <w:br/>
              <w:t>(includes carbon component of 1.4716)</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tcBorders>
              <w:bottom w:val="single" w:sz="4" w:space="0" w:color="auto"/>
            </w:tcBorders>
          </w:tcPr>
          <w:p>
            <w:pPr>
              <w:pStyle w:val="yTableNAm"/>
            </w:pPr>
            <w:r>
              <w:rPr>
                <w:sz w:val="16"/>
                <w:szCs w:val="16"/>
              </w:rPr>
              <w:t>Fluorescent</w:t>
            </w:r>
          </w:p>
        </w:tc>
        <w:tc>
          <w:tcPr>
            <w:tcW w:w="1464" w:type="dxa"/>
            <w:tcBorders>
              <w:bottom w:val="single" w:sz="4" w:space="0" w:color="auto"/>
            </w:tcBorders>
          </w:tcPr>
          <w:p>
            <w:pPr>
              <w:pStyle w:val="yTableNAm"/>
            </w:pPr>
            <w:r>
              <w:rPr>
                <w:sz w:val="16"/>
                <w:szCs w:val="16"/>
              </w:rPr>
              <w:t>53.3933</w:t>
            </w:r>
            <w:r>
              <w:rPr>
                <w:sz w:val="16"/>
                <w:szCs w:val="16"/>
              </w:rPr>
              <w:br/>
              <w:t>(includes carbon component of 1.3896)</w:t>
            </w:r>
          </w:p>
        </w:tc>
        <w:tc>
          <w:tcPr>
            <w:tcW w:w="1465" w:type="dxa"/>
            <w:tcBorders>
              <w:bottom w:val="single" w:sz="4" w:space="0" w:color="auto"/>
            </w:tcBorders>
          </w:tcPr>
          <w:p>
            <w:pPr>
              <w:pStyle w:val="yTableNAm"/>
            </w:pPr>
            <w:r>
              <w:rPr>
                <w:sz w:val="16"/>
                <w:szCs w:val="16"/>
              </w:rPr>
              <w:t>54.5588</w:t>
            </w:r>
            <w:r>
              <w:rPr>
                <w:sz w:val="16"/>
                <w:szCs w:val="16"/>
              </w:rPr>
              <w:br/>
              <w:t>(includes carbon component of 1.7149)</w:t>
            </w:r>
          </w:p>
        </w:tc>
        <w:tc>
          <w:tcPr>
            <w:tcW w:w="1465" w:type="dxa"/>
            <w:tcBorders>
              <w:bottom w:val="single" w:sz="4" w:space="0" w:color="auto"/>
            </w:tcBorders>
          </w:tcPr>
          <w:p>
            <w:pPr>
              <w:pStyle w:val="yTableNAm"/>
            </w:pPr>
            <w:r>
              <w:rPr>
                <w:sz w:val="16"/>
                <w:szCs w:val="16"/>
              </w:rPr>
              <w:t>64.6241</w:t>
            </w:r>
            <w:r>
              <w:rPr>
                <w:sz w:val="16"/>
                <w:szCs w:val="16"/>
              </w:rPr>
              <w:br/>
              <w:t>(includes carbon component of 2.9431)</w:t>
            </w:r>
          </w:p>
        </w:tc>
      </w:tr>
    </w:tbl>
    <w:p>
      <w:pPr>
        <w:pStyle w:val="yFootnotesection"/>
      </w:pPr>
      <w:r>
        <w:tab/>
        <w:t>[Schedule 2 inserted in Gazette 29 Jun 2012 p. 2908-10.]</w:t>
      </w:r>
    </w:p>
    <w:p>
      <w:pPr>
        <w:pStyle w:val="yScheduleHeading"/>
      </w:pPr>
      <w:bookmarkStart w:id="258" w:name="_Toc297283513"/>
      <w:bookmarkStart w:id="259" w:name="_Toc328577452"/>
      <w:bookmarkEnd w:id="184"/>
      <w:r>
        <w:rPr>
          <w:rStyle w:val="CharSchNo"/>
        </w:rPr>
        <w:t>Schedule 3</w:t>
      </w:r>
      <w:r>
        <w:rPr>
          <w:rStyle w:val="CharSDivNo"/>
        </w:rPr>
        <w:t> </w:t>
      </w:r>
      <w:r>
        <w:t>—</w:t>
      </w:r>
      <w:r>
        <w:rPr>
          <w:rStyle w:val="CharSDivText"/>
        </w:rPr>
        <w:t> </w:t>
      </w:r>
      <w:r>
        <w:rPr>
          <w:rStyle w:val="CharSchText"/>
        </w:rPr>
        <w:t>Meter rentals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58"/>
      <w:bookmarkEnd w:id="259"/>
    </w:p>
    <w:bookmarkEnd w:id="245"/>
    <w:bookmarkEnd w:id="246"/>
    <w:bookmarkEnd w:id="247"/>
    <w:bookmarkEnd w:id="248"/>
    <w:bookmarkEnd w:id="249"/>
    <w:bookmarkEnd w:id="250"/>
    <w:bookmarkEnd w:id="251"/>
    <w:bookmarkEnd w:id="252"/>
    <w:bookmarkEnd w:id="253"/>
    <w:bookmarkEnd w:id="254"/>
    <w:bookmarkEnd w:id="255"/>
    <w:bookmarkEnd w:id="256"/>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260" w:name="_Toc264986336"/>
      <w:bookmarkStart w:id="261" w:name="_Toc265662304"/>
      <w:bookmarkStart w:id="262" w:name="_Toc297283514"/>
      <w:bookmarkStart w:id="263" w:name="_Toc328577453"/>
      <w:bookmarkStart w:id="264" w:name="_Toc113695922"/>
      <w:r>
        <w:rPr>
          <w:rStyle w:val="CharSchNo"/>
        </w:rPr>
        <w:t>Schedule 4</w:t>
      </w:r>
      <w:r>
        <w:t> — </w:t>
      </w:r>
      <w:r>
        <w:rPr>
          <w:rStyle w:val="CharSchText"/>
        </w:rPr>
        <w:t>Fees</w:t>
      </w:r>
      <w:bookmarkEnd w:id="260"/>
      <w:bookmarkEnd w:id="261"/>
      <w:bookmarkEnd w:id="262"/>
      <w:bookmarkEnd w:id="263"/>
    </w:p>
    <w:p>
      <w:pPr>
        <w:pStyle w:val="yShoulderClause"/>
      </w:pPr>
      <w:r>
        <w:t>[bl. 7 and 9(5)]</w:t>
      </w:r>
    </w:p>
    <w:p>
      <w:pPr>
        <w:pStyle w:val="yFootnoteheading"/>
        <w:spacing w:after="120"/>
      </w:pPr>
      <w:r>
        <w:tab/>
        <w:t>[Heading inserted in Gazette 26 Mar 2010 p. 1187.]</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559"/>
      </w:tblGrid>
      <w:tr>
        <w:trPr>
          <w:cantSplit/>
          <w:tblHeader/>
        </w:trPr>
        <w:tc>
          <w:tcPr>
            <w:tcW w:w="709" w:type="dxa"/>
            <w:tcBorders>
              <w:top w:val="single" w:sz="4" w:space="0" w:color="auto"/>
              <w:bottom w:val="single" w:sz="4" w:space="0" w:color="auto"/>
            </w:tcBorders>
          </w:tcPr>
          <w:p>
            <w:pPr>
              <w:pStyle w:val="yTableNAm"/>
            </w:pPr>
          </w:p>
        </w:tc>
        <w:tc>
          <w:tcPr>
            <w:tcW w:w="4678" w:type="dxa"/>
            <w:tcBorders>
              <w:top w:val="single" w:sz="4" w:space="0" w:color="auto"/>
              <w:bottom w:val="single" w:sz="4" w:space="0" w:color="auto"/>
            </w:tcBorders>
          </w:tcPr>
          <w:p>
            <w:pPr>
              <w:pStyle w:val="yTableNAm"/>
              <w:rPr>
                <w:b/>
                <w:iCs/>
              </w:rPr>
            </w:pPr>
            <w:r>
              <w:rPr>
                <w:b/>
                <w:iCs/>
              </w:rPr>
              <w:t>Description of fee</w:t>
            </w:r>
          </w:p>
        </w:tc>
        <w:tc>
          <w:tcPr>
            <w:tcW w:w="1559" w:type="dxa"/>
            <w:tcBorders>
              <w:top w:val="single" w:sz="4" w:space="0" w:color="auto"/>
              <w:bottom w:val="single" w:sz="4" w:space="0" w:color="auto"/>
            </w:tcBorders>
          </w:tcPr>
          <w:p>
            <w:pPr>
              <w:pStyle w:val="yTableNAm"/>
              <w:rPr>
                <w:b/>
                <w:iCs/>
              </w:rPr>
            </w:pPr>
            <w:r>
              <w:rPr>
                <w:b/>
                <w:iCs/>
              </w:rPr>
              <w:t>Amount</w:t>
            </w:r>
          </w:p>
        </w:tc>
      </w:tr>
      <w:tr>
        <w:tc>
          <w:tcPr>
            <w:tcW w:w="709" w:type="dxa"/>
            <w:tcBorders>
              <w:top w:val="single" w:sz="4" w:space="0" w:color="auto"/>
            </w:tcBorders>
          </w:tcPr>
          <w:p>
            <w:pPr>
              <w:pStyle w:val="yTableNAm"/>
            </w:pPr>
            <w:r>
              <w:t>1.</w:t>
            </w:r>
          </w:p>
        </w:tc>
        <w:tc>
          <w:tcPr>
            <w:tcW w:w="4678" w:type="dxa"/>
            <w:tcBorders>
              <w:top w:val="single" w:sz="4" w:space="0" w:color="auto"/>
            </w:tcBorders>
          </w:tcPr>
          <w:p>
            <w:pPr>
              <w:pStyle w:val="yTableNAm"/>
              <w:rPr>
                <w:b/>
                <w:iCs/>
              </w:rPr>
            </w:pPr>
            <w:r>
              <w:t>Non</w:t>
            </w:r>
            <w:r>
              <w:noBreakHyphen/>
              <w:t>refundable account establishment fee payable on the establishment or transfer of an account ..................................................................</w:t>
            </w:r>
          </w:p>
        </w:tc>
        <w:tc>
          <w:tcPr>
            <w:tcW w:w="1559" w:type="dxa"/>
            <w:tcBorders>
              <w:top w:val="single" w:sz="4" w:space="0" w:color="auto"/>
            </w:tcBorders>
          </w:tcPr>
          <w:p>
            <w:pPr>
              <w:pStyle w:val="yTableNAm"/>
              <w:rPr>
                <w:bCs/>
                <w:iCs/>
              </w:rPr>
            </w:pPr>
            <w:r>
              <w:rPr>
                <w:bCs/>
                <w:iCs/>
              </w:rPr>
              <w:br/>
            </w:r>
            <w:r>
              <w:rPr>
                <w:bCs/>
                <w:iCs/>
              </w:rPr>
              <w:br/>
              <w:t>$33.80</w:t>
            </w:r>
          </w:p>
        </w:tc>
      </w:tr>
      <w:tr>
        <w:tc>
          <w:tcPr>
            <w:tcW w:w="709" w:type="dxa"/>
          </w:tcPr>
          <w:p>
            <w:pPr>
              <w:pStyle w:val="yTableNAm"/>
            </w:pPr>
            <w:r>
              <w:t>2.</w:t>
            </w:r>
          </w:p>
        </w:tc>
        <w:tc>
          <w:tcPr>
            <w:tcW w:w="4678" w:type="dxa"/>
          </w:tcPr>
          <w:p>
            <w:pPr>
              <w:pStyle w:val="yTableNAm"/>
            </w:pPr>
            <w:r>
              <w:t>Three phase residential installation — </w:t>
            </w:r>
          </w:p>
          <w:p>
            <w:pPr>
              <w:pStyle w:val="yTableNAm"/>
              <w:tabs>
                <w:tab w:val="clear" w:pos="567"/>
                <w:tab w:val="left" w:pos="207"/>
              </w:tabs>
              <w:ind w:left="687" w:hanging="687"/>
            </w:pPr>
            <w:r>
              <w:tab/>
              <w:t>(a)</w:t>
            </w:r>
            <w:r>
              <w:tab/>
              <w:t>new installation or replacement of single phase meter ...............................................</w:t>
            </w:r>
          </w:p>
          <w:p>
            <w:pPr>
              <w:pStyle w:val="yTableNAm"/>
              <w:tabs>
                <w:tab w:val="clear" w:pos="567"/>
                <w:tab w:val="left" w:pos="207"/>
              </w:tabs>
              <w:ind w:left="687" w:hanging="687"/>
              <w:rPr>
                <w:b/>
                <w:iCs/>
              </w:rPr>
            </w:pPr>
            <w:r>
              <w:tab/>
              <w:t>(b)</w:t>
            </w:r>
            <w:r>
              <w:tab/>
              <w:t>installation of subsidiary three phase meter (each installation) ...........................</w:t>
            </w:r>
          </w:p>
        </w:tc>
        <w:tc>
          <w:tcPr>
            <w:tcW w:w="1559" w:type="dxa"/>
          </w:tcPr>
          <w:p>
            <w:pPr>
              <w:pStyle w:val="yTableNAm"/>
              <w:rPr>
                <w:bCs/>
                <w:iCs/>
              </w:rPr>
            </w:pPr>
          </w:p>
          <w:p>
            <w:pPr>
              <w:pStyle w:val="yTableNAm"/>
              <w:rPr>
                <w:bCs/>
                <w:iCs/>
              </w:rPr>
            </w:pPr>
            <w:r>
              <w:rPr>
                <w:bCs/>
                <w:iCs/>
              </w:rPr>
              <w:br/>
              <w:t>$276.00</w:t>
            </w:r>
          </w:p>
          <w:p>
            <w:pPr>
              <w:pStyle w:val="yTableNAm"/>
              <w:rPr>
                <w:bCs/>
                <w:iCs/>
              </w:rPr>
            </w:pPr>
            <w:r>
              <w:rPr>
                <w:bCs/>
                <w:iCs/>
                <w:sz w:val="24"/>
              </w:rPr>
              <w:br/>
            </w:r>
            <w:r>
              <w:rPr>
                <w:bCs/>
                <w:iCs/>
              </w:rPr>
              <w:t>$148.50</w:t>
            </w:r>
          </w:p>
        </w:tc>
      </w:tr>
      <w:tr>
        <w:tc>
          <w:tcPr>
            <w:tcW w:w="709" w:type="dxa"/>
          </w:tcPr>
          <w:p>
            <w:pPr>
              <w:pStyle w:val="yTableNAm"/>
            </w:pPr>
            <w:r>
              <w:t>3.</w:t>
            </w:r>
          </w:p>
        </w:tc>
        <w:tc>
          <w:tcPr>
            <w:tcW w:w="4678" w:type="dxa"/>
          </w:tcPr>
          <w:p>
            <w:pPr>
              <w:pStyle w:val="yTableNAm"/>
              <w:rPr>
                <w:b/>
                <w:iCs/>
              </w:rPr>
            </w:pPr>
            <w:r>
              <w:t>Non</w:t>
            </w:r>
            <w:r>
              <w:noBreakHyphen/>
              <w:t>refundable reconnection fee where supply has been terminated for non</w:t>
            </w:r>
            <w:r>
              <w:noBreakHyphen/>
              <w:t>payment of charges or for any other lawful reason ...............................</w:t>
            </w:r>
          </w:p>
        </w:tc>
        <w:tc>
          <w:tcPr>
            <w:tcW w:w="1559" w:type="dxa"/>
          </w:tcPr>
          <w:p>
            <w:pPr>
              <w:pStyle w:val="yTableNAm"/>
              <w:rPr>
                <w:bCs/>
                <w:iCs/>
              </w:rPr>
            </w:pPr>
            <w:r>
              <w:rPr>
                <w:bCs/>
                <w:iCs/>
              </w:rPr>
              <w:br/>
            </w:r>
            <w:r>
              <w:rPr>
                <w:bCs/>
                <w:iCs/>
              </w:rPr>
              <w:br/>
              <w:t>$31.10</w:t>
            </w:r>
          </w:p>
        </w:tc>
      </w:tr>
      <w:tr>
        <w:tc>
          <w:tcPr>
            <w:tcW w:w="709" w:type="dxa"/>
          </w:tcPr>
          <w:p>
            <w:pPr>
              <w:pStyle w:val="yTableNAm"/>
            </w:pPr>
            <w:r>
              <w:t>4.</w:t>
            </w:r>
          </w:p>
        </w:tc>
        <w:tc>
          <w:tcPr>
            <w:tcW w:w="4678" w:type="dxa"/>
          </w:tcPr>
          <w:p>
            <w:pPr>
              <w:pStyle w:val="yTableNAm"/>
            </w:pPr>
            <w:r>
              <w:t>Connection to standard public telephone facility where supply not independently metered (per day) ................................................................</w:t>
            </w:r>
          </w:p>
        </w:tc>
        <w:tc>
          <w:tcPr>
            <w:tcW w:w="1559" w:type="dxa"/>
          </w:tcPr>
          <w:p>
            <w:pPr>
              <w:pStyle w:val="yTableNAm"/>
              <w:rPr>
                <w:bCs/>
                <w:iCs/>
              </w:rPr>
            </w:pPr>
            <w:r>
              <w:br/>
            </w:r>
            <w:r>
              <w:br/>
              <w:t>47.9717 cents</w:t>
            </w:r>
          </w:p>
        </w:tc>
      </w:tr>
      <w:tr>
        <w:tc>
          <w:tcPr>
            <w:tcW w:w="709" w:type="dxa"/>
          </w:tcPr>
          <w:p>
            <w:pPr>
              <w:pStyle w:val="yTableNAm"/>
            </w:pPr>
            <w:r>
              <w:t>5.</w:t>
            </w:r>
          </w:p>
        </w:tc>
        <w:tc>
          <w:tcPr>
            <w:tcW w:w="4678" w:type="dxa"/>
          </w:tcPr>
          <w:p>
            <w:pPr>
              <w:pStyle w:val="yTableNAm"/>
            </w:pPr>
            <w:r>
              <w:t>Temporary supply connection — </w:t>
            </w:r>
          </w:p>
          <w:p>
            <w:pPr>
              <w:pStyle w:val="yTableNAm"/>
              <w:tabs>
                <w:tab w:val="clear" w:pos="567"/>
                <w:tab w:val="left" w:pos="207"/>
              </w:tabs>
              <w:ind w:left="687" w:hanging="687"/>
            </w:pPr>
            <w:r>
              <w:tab/>
              <w:t>(a)</w:t>
            </w:r>
            <w:r>
              <w:tab/>
              <w:t>single phase (overhead) ............................</w:t>
            </w:r>
          </w:p>
          <w:p>
            <w:pPr>
              <w:pStyle w:val="yTableNAm"/>
              <w:tabs>
                <w:tab w:val="clear" w:pos="567"/>
                <w:tab w:val="left" w:pos="207"/>
              </w:tabs>
              <w:ind w:left="687" w:hanging="687"/>
              <w:rPr>
                <w:b/>
                <w:iCs/>
              </w:rPr>
            </w:pPr>
            <w:r>
              <w:tab/>
              <w:t>(b)</w:t>
            </w:r>
            <w:r>
              <w:tab/>
              <w:t>three phase (overhead) .............................</w:t>
            </w:r>
          </w:p>
        </w:tc>
        <w:tc>
          <w:tcPr>
            <w:tcW w:w="1559" w:type="dxa"/>
          </w:tcPr>
          <w:p>
            <w:pPr>
              <w:pStyle w:val="yTableNAm"/>
              <w:rPr>
                <w:bCs/>
                <w:iCs/>
              </w:rPr>
            </w:pPr>
          </w:p>
          <w:p>
            <w:pPr>
              <w:pStyle w:val="yTableNAm"/>
              <w:rPr>
                <w:bCs/>
                <w:iCs/>
              </w:rPr>
            </w:pPr>
            <w:r>
              <w:t>$721.00</w:t>
            </w:r>
          </w:p>
          <w:p>
            <w:pPr>
              <w:pStyle w:val="yTableNAm"/>
              <w:rPr>
                <w:bCs/>
                <w:iCs/>
              </w:rPr>
            </w:pPr>
            <w:r>
              <w:t>$721.00</w:t>
            </w:r>
          </w:p>
        </w:tc>
      </w:tr>
      <w:tr>
        <w:tc>
          <w:tcPr>
            <w:tcW w:w="709" w:type="dxa"/>
          </w:tcPr>
          <w:p>
            <w:pPr>
              <w:pStyle w:val="yTableNAm"/>
            </w:pPr>
            <w:r>
              <w:t>6.</w:t>
            </w:r>
          </w:p>
        </w:tc>
        <w:tc>
          <w:tcPr>
            <w:tcW w:w="4678" w:type="dxa"/>
          </w:tcPr>
          <w:p>
            <w:pPr>
              <w:pStyle w:val="yTableNAm"/>
            </w:pPr>
            <w:r>
              <w:t>Meter testing — </w:t>
            </w:r>
          </w:p>
          <w:p>
            <w:pPr>
              <w:pStyle w:val="yTableNAm"/>
              <w:tabs>
                <w:tab w:val="clear" w:pos="567"/>
                <w:tab w:val="left" w:pos="207"/>
              </w:tabs>
              <w:ind w:left="687" w:hanging="687"/>
            </w:pPr>
            <w:r>
              <w:tab/>
              <w:t>(a)</w:t>
            </w:r>
            <w:r>
              <w:tab/>
              <w:t>standard meter testing fee .........................</w:t>
            </w:r>
          </w:p>
          <w:p>
            <w:pPr>
              <w:pStyle w:val="yTableNAm"/>
              <w:tabs>
                <w:tab w:val="clear" w:pos="567"/>
                <w:tab w:val="left" w:pos="207"/>
              </w:tabs>
              <w:ind w:left="687" w:hanging="687"/>
            </w:pPr>
            <w:r>
              <w:tab/>
              <w:t>(b)</w:t>
            </w:r>
            <w:r>
              <w:tab/>
              <w:t>reduced meter testing fee ..........................</w:t>
            </w:r>
          </w:p>
        </w:tc>
        <w:tc>
          <w:tcPr>
            <w:tcW w:w="1559" w:type="dxa"/>
          </w:tcPr>
          <w:p>
            <w:pPr>
              <w:pStyle w:val="yTableNAm"/>
              <w:rPr>
                <w:bCs/>
                <w:iCs/>
              </w:rPr>
            </w:pPr>
          </w:p>
          <w:p>
            <w:pPr>
              <w:pStyle w:val="yTableNAm"/>
              <w:rPr>
                <w:bCs/>
                <w:iCs/>
              </w:rPr>
            </w:pPr>
            <w:r>
              <w:rPr>
                <w:bCs/>
                <w:iCs/>
              </w:rPr>
              <w:t>$152.00</w:t>
            </w:r>
          </w:p>
          <w:p>
            <w:pPr>
              <w:pStyle w:val="yTableNAm"/>
              <w:rPr>
                <w:bCs/>
                <w:iCs/>
              </w:rPr>
            </w:pPr>
            <w:r>
              <w:rPr>
                <w:bCs/>
                <w:iCs/>
              </w:rPr>
              <w:t>$139.80</w:t>
            </w:r>
          </w:p>
        </w:tc>
      </w:tr>
      <w:tr>
        <w:tc>
          <w:tcPr>
            <w:tcW w:w="709" w:type="dxa"/>
          </w:tcPr>
          <w:p>
            <w:pPr>
              <w:pStyle w:val="yTableNAm"/>
            </w:pPr>
            <w:r>
              <w:t>7.</w:t>
            </w:r>
          </w:p>
        </w:tc>
        <w:tc>
          <w:tcPr>
            <w:tcW w:w="4678" w:type="dxa"/>
          </w:tcPr>
          <w:p>
            <w:pPr>
              <w:pStyle w:val="yTableNAm"/>
            </w:pPr>
            <w:r>
              <w:t>Disconnection of overhead service leads following unauthorised reconnection ....................</w:t>
            </w:r>
          </w:p>
        </w:tc>
        <w:tc>
          <w:tcPr>
            <w:tcW w:w="1559" w:type="dxa"/>
          </w:tcPr>
          <w:p>
            <w:pPr>
              <w:pStyle w:val="yTableNAm"/>
              <w:rPr>
                <w:bCs/>
                <w:iCs/>
              </w:rPr>
            </w:pPr>
            <w:r>
              <w:rPr>
                <w:bCs/>
                <w:iCs/>
              </w:rPr>
              <w:br/>
            </w:r>
            <w:r>
              <w:t>$412.00</w:t>
            </w:r>
          </w:p>
        </w:tc>
      </w:tr>
      <w:tr>
        <w:tc>
          <w:tcPr>
            <w:tcW w:w="709" w:type="dxa"/>
          </w:tcPr>
          <w:p>
            <w:pPr>
              <w:pStyle w:val="yTableNAm"/>
            </w:pPr>
            <w:r>
              <w:t>8.</w:t>
            </w:r>
          </w:p>
        </w:tc>
        <w:tc>
          <w:tcPr>
            <w:tcW w:w="4678" w:type="dxa"/>
          </w:tcPr>
          <w:p>
            <w:pPr>
              <w:pStyle w:val="yTableNAm"/>
            </w:pPr>
            <w:r>
              <w:t>Meter reading where reading requested by consumer ...............................................................</w:t>
            </w:r>
          </w:p>
        </w:tc>
        <w:tc>
          <w:tcPr>
            <w:tcW w:w="1559" w:type="dxa"/>
          </w:tcPr>
          <w:p>
            <w:pPr>
              <w:pStyle w:val="yTableNAm"/>
              <w:rPr>
                <w:bCs/>
                <w:iCs/>
              </w:rPr>
            </w:pPr>
            <w:r>
              <w:rPr>
                <w:bCs/>
                <w:iCs/>
              </w:rPr>
              <w:br/>
            </w:r>
            <w:r>
              <w:t>$22.77</w:t>
            </w:r>
          </w:p>
        </w:tc>
      </w:tr>
      <w:tr>
        <w:tc>
          <w:tcPr>
            <w:tcW w:w="709" w:type="dxa"/>
          </w:tcPr>
          <w:p>
            <w:pPr>
              <w:pStyle w:val="yTableNAm"/>
            </w:pPr>
            <w:r>
              <w:t>9.</w:t>
            </w:r>
          </w:p>
        </w:tc>
        <w:tc>
          <w:tcPr>
            <w:tcW w:w="4678" w:type="dxa"/>
          </w:tcPr>
          <w:p>
            <w:pPr>
              <w:pStyle w:val="yTableNAm"/>
            </w:pPr>
            <w:r>
              <w:t>Supply of electricity to standard railway crossing lights (per day) ......................................................</w:t>
            </w:r>
          </w:p>
        </w:tc>
        <w:tc>
          <w:tcPr>
            <w:tcW w:w="1559" w:type="dxa"/>
          </w:tcPr>
          <w:p>
            <w:pPr>
              <w:pStyle w:val="yTableNAm"/>
              <w:rPr>
                <w:bCs/>
                <w:iCs/>
              </w:rPr>
            </w:pPr>
            <w:r>
              <w:br/>
              <w:t>61.3044 cents</w:t>
            </w:r>
          </w:p>
        </w:tc>
      </w:tr>
      <w:tr>
        <w:tc>
          <w:tcPr>
            <w:tcW w:w="709" w:type="dxa"/>
          </w:tcPr>
          <w:p>
            <w:pPr>
              <w:pStyle w:val="yTableNAm"/>
            </w:pPr>
            <w:r>
              <w:t>10.</w:t>
            </w:r>
          </w:p>
        </w:tc>
        <w:tc>
          <w:tcPr>
            <w:tcW w:w="4678" w:type="dxa"/>
          </w:tcPr>
          <w:p>
            <w:pPr>
              <w:pStyle w:val="yTableNAm"/>
            </w:pPr>
            <w:r>
              <w:t>Overdue account notices .......................................</w:t>
            </w:r>
          </w:p>
        </w:tc>
        <w:tc>
          <w:tcPr>
            <w:tcW w:w="1559" w:type="dxa"/>
          </w:tcPr>
          <w:p>
            <w:pPr>
              <w:pStyle w:val="yTableNAm"/>
              <w:rPr>
                <w:bCs/>
                <w:iCs/>
              </w:rPr>
            </w:pPr>
            <w:r>
              <w:rPr>
                <w:szCs w:val="22"/>
              </w:rPr>
              <w:t>$4.75</w:t>
            </w:r>
          </w:p>
        </w:tc>
      </w:tr>
      <w:tr>
        <w:trPr>
          <w:cantSplit/>
        </w:trPr>
        <w:tc>
          <w:tcPr>
            <w:tcW w:w="709" w:type="dxa"/>
            <w:tcBorders>
              <w:bottom w:val="single" w:sz="4" w:space="0" w:color="auto"/>
            </w:tcBorders>
          </w:tcPr>
          <w:p>
            <w:pPr>
              <w:pStyle w:val="yTableNAm"/>
            </w:pPr>
            <w:r>
              <w:t>11.</w:t>
            </w:r>
          </w:p>
        </w:tc>
        <w:tc>
          <w:tcPr>
            <w:tcW w:w="4678" w:type="dxa"/>
            <w:tcBorders>
              <w:bottom w:val="single" w:sz="4" w:space="0" w:color="auto"/>
            </w:tcBorders>
          </w:tcPr>
          <w:p>
            <w:pPr>
              <w:pStyle w:val="yTableNAm"/>
            </w:pPr>
            <w:r>
              <w:t>Rejected account payment (where payment made through Australia Post) .........................................</w:t>
            </w:r>
          </w:p>
        </w:tc>
        <w:tc>
          <w:tcPr>
            <w:tcW w:w="1559" w:type="dxa"/>
            <w:tcBorders>
              <w:bottom w:val="single" w:sz="4" w:space="0" w:color="auto"/>
            </w:tcBorders>
          </w:tcPr>
          <w:p>
            <w:pPr>
              <w:pStyle w:val="yTableNAm"/>
              <w:rPr>
                <w:bCs/>
                <w:iCs/>
              </w:rPr>
            </w:pPr>
            <w:r>
              <w:rPr>
                <w:bCs/>
                <w:iCs/>
              </w:rPr>
              <w:br/>
            </w:r>
            <w:r>
              <w:t>$24.20</w:t>
            </w:r>
          </w:p>
        </w:tc>
      </w:tr>
    </w:tbl>
    <w:p>
      <w:pPr>
        <w:pStyle w:val="yFootnotesection"/>
      </w:pPr>
      <w:r>
        <w:tab/>
        <w:t>[Schedule 4 inserted in Gazette 26 Mar 2010 p. 1187-8; amended in Gazette 24 Jun 2011 p. 2498; 29 Jun 2012 p. 2911.]</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265" w:name="_Toc131497432"/>
      <w:bookmarkStart w:id="266" w:name="_Toc131501864"/>
      <w:bookmarkStart w:id="267" w:name="_Toc171050320"/>
      <w:bookmarkStart w:id="268" w:name="_Toc226274357"/>
      <w:bookmarkStart w:id="269" w:name="_Toc233186906"/>
      <w:bookmarkStart w:id="270" w:name="_Toc233187706"/>
      <w:bookmarkStart w:id="271" w:name="_Toc238445891"/>
      <w:bookmarkStart w:id="272" w:name="_Toc239133931"/>
      <w:bookmarkStart w:id="273" w:name="_Toc240167052"/>
      <w:bookmarkStart w:id="274" w:name="_Toc243272775"/>
      <w:bookmarkStart w:id="275" w:name="_Toc257301566"/>
      <w:bookmarkStart w:id="276" w:name="_Toc257301641"/>
      <w:bookmarkStart w:id="277" w:name="_Toc264986337"/>
      <w:bookmarkStart w:id="278" w:name="_Toc265662305"/>
      <w:bookmarkStart w:id="279" w:name="_Toc297283515"/>
      <w:bookmarkStart w:id="280" w:name="_Toc328577454"/>
      <w:r>
        <w:t>Notes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nSubsection"/>
        <w:rPr>
          <w:snapToGrid w:val="0"/>
        </w:rPr>
      </w:pPr>
      <w:bookmarkStart w:id="281" w:name="_Toc70311430"/>
      <w:bookmarkStart w:id="282"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283" w:name="_Toc328577455"/>
      <w:r>
        <w:t>Compilation table</w:t>
      </w:r>
      <w:bookmarkEnd w:id="281"/>
      <w:bookmarkEnd w:id="282"/>
      <w:bookmarkEnd w:id="2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sz w:val="19"/>
              </w:rPr>
            </w:pPr>
            <w:r>
              <w:rPr>
                <w:i/>
                <w:noProof/>
                <w:snapToGrid w:val="0"/>
                <w:sz w:val="19"/>
              </w:rPr>
              <w:t>Energy Operators (Regional Power Corporation) (Charges) By</w:t>
            </w:r>
            <w:r>
              <w:rPr>
                <w:i/>
                <w:noProof/>
                <w:snapToGrid w:val="0"/>
                <w:sz w:val="19"/>
              </w:rPr>
              <w:noBreakHyphen/>
              <w:t>laws 2006</w:t>
            </w:r>
          </w:p>
        </w:tc>
        <w:tc>
          <w:tcPr>
            <w:tcW w:w="1276" w:type="dxa"/>
          </w:tcPr>
          <w:p>
            <w:pPr>
              <w:pStyle w:val="nTable"/>
              <w:rPr>
                <w:sz w:val="19"/>
              </w:rPr>
            </w:pPr>
            <w:r>
              <w:rPr>
                <w:sz w:val="19"/>
              </w:rPr>
              <w:t>31 Mar 2006 p. 1279</w:t>
            </w:r>
            <w:r>
              <w:rPr>
                <w:sz w:val="19"/>
              </w:rPr>
              <w:noBreakHyphen/>
              <w:t>97</w:t>
            </w:r>
          </w:p>
        </w:tc>
        <w:tc>
          <w:tcPr>
            <w:tcW w:w="2693" w:type="dxa"/>
          </w:tcPr>
          <w:p>
            <w:pPr>
              <w:pStyle w:val="nTable"/>
              <w:rPr>
                <w:sz w:val="19"/>
              </w:rPr>
            </w:pPr>
            <w:r>
              <w:rPr>
                <w:sz w:val="19"/>
              </w:rPr>
              <w:t>1 Apr 2006 (see bl. 2)</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 2007</w:t>
            </w:r>
          </w:p>
        </w:tc>
        <w:tc>
          <w:tcPr>
            <w:tcW w:w="1276" w:type="dxa"/>
          </w:tcPr>
          <w:p>
            <w:pPr>
              <w:pStyle w:val="nTable"/>
              <w:rPr>
                <w:sz w:val="19"/>
              </w:rPr>
            </w:pPr>
            <w:r>
              <w:rPr>
                <w:sz w:val="19"/>
              </w:rPr>
              <w:t>29 Jun 2007 p. 3192</w:t>
            </w:r>
            <w:r>
              <w:rPr>
                <w:sz w:val="19"/>
              </w:rPr>
              <w:noBreakHyphen/>
              <w:t>3</w:t>
            </w:r>
          </w:p>
        </w:tc>
        <w:tc>
          <w:tcPr>
            <w:tcW w:w="2693" w:type="dxa"/>
          </w:tcPr>
          <w:p>
            <w:pPr>
              <w:pStyle w:val="nTable"/>
              <w:rPr>
                <w:sz w:val="19"/>
              </w:rPr>
            </w:pPr>
            <w:r>
              <w:rPr>
                <w:sz w:val="19"/>
              </w:rPr>
              <w:t>bl. 1 and 2: 29 Jun 2007 (see bl. 2(a));</w:t>
            </w:r>
            <w:r>
              <w:rPr>
                <w:sz w:val="19"/>
              </w:rPr>
              <w:br/>
              <w:t>By</w:t>
            </w:r>
            <w:r>
              <w:rPr>
                <w:sz w:val="19"/>
              </w:rPr>
              <w:noBreakHyphen/>
              <w:t>laws other than bl. 1 and 2: 1 Jul 2007 (see bl. 2(b))</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2009</w:t>
            </w:r>
            <w:r>
              <w:rPr>
                <w:iCs/>
                <w:noProof/>
                <w:snapToGrid w:val="0"/>
                <w:sz w:val="19"/>
              </w:rPr>
              <w:t xml:space="preserve"> </w:t>
            </w:r>
          </w:p>
        </w:tc>
        <w:tc>
          <w:tcPr>
            <w:tcW w:w="1276" w:type="dxa"/>
          </w:tcPr>
          <w:p>
            <w:pPr>
              <w:pStyle w:val="nTable"/>
              <w:rPr>
                <w:sz w:val="19"/>
              </w:rPr>
            </w:pPr>
            <w:r>
              <w:rPr>
                <w:sz w:val="19"/>
              </w:rPr>
              <w:t>30 </w:t>
            </w:r>
            <w:r>
              <w:rPr>
                <w:noProof/>
                <w:snapToGrid w:val="0"/>
                <w:sz w:val="19"/>
              </w:rPr>
              <w:t>Mar</w:t>
            </w:r>
            <w:r>
              <w:rPr>
                <w:sz w:val="19"/>
              </w:rPr>
              <w:t> 2009 p. 997</w:t>
            </w:r>
            <w:r>
              <w:rPr>
                <w:sz w:val="19"/>
              </w:rPr>
              <w:noBreakHyphen/>
              <w:t>1017</w:t>
            </w:r>
          </w:p>
        </w:tc>
        <w:tc>
          <w:tcPr>
            <w:tcW w:w="2693" w:type="dxa"/>
          </w:tcPr>
          <w:p>
            <w:pPr>
              <w:pStyle w:val="nTable"/>
              <w:rPr>
                <w:sz w:val="19"/>
              </w:rPr>
            </w:pPr>
            <w:r>
              <w:rPr>
                <w:iCs/>
                <w:noProof/>
                <w:snapToGrid w:val="0"/>
                <w:sz w:val="19"/>
              </w:rPr>
              <w:t>bl. </w:t>
            </w:r>
            <w:r>
              <w:rPr>
                <w:sz w:val="19"/>
              </w:rPr>
              <w:t>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rPr>
                <w:iCs/>
                <w:noProof/>
                <w:snapToGrid w:val="0"/>
                <w:sz w:val="19"/>
              </w:rPr>
            </w:pPr>
            <w:r>
              <w:rPr>
                <w:b/>
                <w:bCs/>
                <w:iCs/>
                <w:noProof/>
                <w:snapToGrid w:val="0"/>
                <w:sz w:val="19"/>
              </w:rPr>
              <w:t xml:space="preserve">Reprint 1: The </w:t>
            </w:r>
            <w:r>
              <w:rPr>
                <w:b/>
                <w:bCs/>
                <w:i/>
                <w:noProof/>
                <w:snapToGrid w:val="0"/>
                <w:sz w:val="19"/>
              </w:rPr>
              <w:t>Energy Operators (Regional Power Corporation) (Charges) By</w:t>
            </w:r>
            <w:r>
              <w:rPr>
                <w:b/>
                <w:bCs/>
                <w:i/>
                <w:noProof/>
                <w:snapToGrid w:val="0"/>
                <w:sz w:val="19"/>
              </w:rPr>
              <w:noBreakHyphen/>
              <w:t xml:space="preserve">laws 2006 </w:t>
            </w:r>
            <w:r>
              <w:rPr>
                <w:b/>
                <w:bCs/>
                <w:iCs/>
                <w:noProof/>
                <w:snapToGrid w:val="0"/>
                <w:sz w:val="19"/>
              </w:rPr>
              <w:t>as at 16 Oct 2009</w:t>
            </w:r>
            <w:r>
              <w:rPr>
                <w:iCs/>
                <w:noProof/>
                <w:snapToGrid w:val="0"/>
                <w:sz w:val="19"/>
              </w:rPr>
              <w:t xml:space="preserve"> (includes amendments listed above)</w:t>
            </w:r>
          </w:p>
        </w:tc>
      </w:tr>
      <w:tr>
        <w:tc>
          <w:tcPr>
            <w:tcW w:w="3118" w:type="dxa"/>
          </w:tcPr>
          <w:p>
            <w:pPr>
              <w:pStyle w:val="nTable"/>
              <w:rPr>
                <w:iCs/>
                <w:sz w:val="19"/>
              </w:rPr>
            </w:pPr>
            <w:r>
              <w:rPr>
                <w:i/>
                <w:noProof/>
                <w:snapToGrid w:val="0"/>
                <w:sz w:val="19"/>
              </w:rPr>
              <w:t>Energy Operators (Regional Power Corporation) (Charges) Amendment By</w:t>
            </w:r>
            <w:r>
              <w:rPr>
                <w:i/>
                <w:noProof/>
                <w:snapToGrid w:val="0"/>
                <w:sz w:val="19"/>
              </w:rPr>
              <w:noBreakHyphen/>
              <w:t>laws 2010</w:t>
            </w:r>
            <w:r>
              <w:rPr>
                <w:iCs/>
                <w:noProof/>
                <w:snapToGrid w:val="0"/>
                <w:sz w:val="19"/>
              </w:rPr>
              <w:t xml:space="preserve"> </w:t>
            </w:r>
          </w:p>
        </w:tc>
        <w:tc>
          <w:tcPr>
            <w:tcW w:w="1276" w:type="dxa"/>
          </w:tcPr>
          <w:p>
            <w:pPr>
              <w:pStyle w:val="nTable"/>
              <w:rPr>
                <w:sz w:val="19"/>
              </w:rPr>
            </w:pPr>
            <w:r>
              <w:rPr>
                <w:sz w:val="19"/>
              </w:rPr>
              <w:t>26 Mar 2010 p. 1171-89</w:t>
            </w:r>
          </w:p>
        </w:tc>
        <w:tc>
          <w:tcPr>
            <w:tcW w:w="2693" w:type="dxa"/>
          </w:tcPr>
          <w:p>
            <w:pPr>
              <w:pStyle w:val="nTable"/>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rPr>
                <w:i/>
                <w:noProof/>
                <w:snapToGrid w:val="0"/>
                <w:sz w:val="19"/>
              </w:rPr>
            </w:pPr>
            <w:r>
              <w:rPr>
                <w:i/>
                <w:noProof/>
                <w:snapToGrid w:val="0"/>
                <w:sz w:val="19"/>
              </w:rPr>
              <w:t>Energy Operators (Regional Power Corporation) (Charges) Amendment By</w:t>
            </w:r>
            <w:r>
              <w:rPr>
                <w:i/>
                <w:noProof/>
                <w:snapToGrid w:val="0"/>
                <w:sz w:val="19"/>
              </w:rPr>
              <w:noBreakHyphen/>
              <w:t>laws 2011</w:t>
            </w:r>
          </w:p>
        </w:tc>
        <w:tc>
          <w:tcPr>
            <w:tcW w:w="1276" w:type="dxa"/>
          </w:tcPr>
          <w:p>
            <w:pPr>
              <w:pStyle w:val="nTable"/>
              <w:rPr>
                <w:sz w:val="19"/>
              </w:rPr>
            </w:pPr>
            <w:r>
              <w:rPr>
                <w:sz w:val="19"/>
              </w:rPr>
              <w:t>24 Jun 2011 p. 2495</w:t>
            </w:r>
            <w:r>
              <w:rPr>
                <w:sz w:val="19"/>
              </w:rPr>
              <w:noBreakHyphen/>
              <w:t>8</w:t>
            </w:r>
          </w:p>
        </w:tc>
        <w:tc>
          <w:tcPr>
            <w:tcW w:w="2693" w:type="dxa"/>
          </w:tcPr>
          <w:p>
            <w:pPr>
              <w:pStyle w:val="nTable"/>
              <w:rPr>
                <w:sz w:val="19"/>
              </w:rPr>
            </w:pPr>
            <w:r>
              <w:rPr>
                <w:sz w:val="19"/>
              </w:rPr>
              <w:t>bl. 1 and 2: 24 Jun 2011 (see bl. 2(a));</w:t>
            </w:r>
            <w:r>
              <w:rPr>
                <w:sz w:val="19"/>
              </w:rPr>
              <w:br/>
              <w:t>By</w:t>
            </w:r>
            <w:r>
              <w:rPr>
                <w:sz w:val="19"/>
              </w:rPr>
              <w:noBreakHyphen/>
              <w:t>laws other than bl. 1 and 2: 1 Jul 2011 (see bl. 2(b))</w:t>
            </w:r>
          </w:p>
        </w:tc>
      </w:tr>
      <w:tr>
        <w:tc>
          <w:tcPr>
            <w:tcW w:w="3118" w:type="dxa"/>
            <w:tcBorders>
              <w:bottom w:val="single" w:sz="4" w:space="0" w:color="auto"/>
            </w:tcBorders>
          </w:tcPr>
          <w:p>
            <w:pPr>
              <w:pStyle w:val="nTable"/>
              <w:rPr>
                <w:i/>
                <w:noProof/>
                <w:snapToGrid w:val="0"/>
                <w:sz w:val="19"/>
              </w:rPr>
            </w:pPr>
            <w:r>
              <w:rPr>
                <w:i/>
                <w:noProof/>
                <w:snapToGrid w:val="0"/>
                <w:sz w:val="19"/>
              </w:rPr>
              <w:t>Energy Operators (Regional Power Corporation) (Charges) Amendment By laws 2012</w:t>
            </w:r>
          </w:p>
        </w:tc>
        <w:tc>
          <w:tcPr>
            <w:tcW w:w="1276" w:type="dxa"/>
            <w:tcBorders>
              <w:bottom w:val="single" w:sz="4" w:space="0" w:color="auto"/>
            </w:tcBorders>
          </w:tcPr>
          <w:p>
            <w:pPr>
              <w:pStyle w:val="nTable"/>
              <w:rPr>
                <w:sz w:val="19"/>
              </w:rPr>
            </w:pPr>
            <w:r>
              <w:rPr>
                <w:sz w:val="19"/>
              </w:rPr>
              <w:t>29 Jun 2012 p. 2899-911</w:t>
            </w:r>
          </w:p>
        </w:tc>
        <w:tc>
          <w:tcPr>
            <w:tcW w:w="2693" w:type="dxa"/>
            <w:tcBorders>
              <w:bottom w:val="single" w:sz="4" w:space="0" w:color="auto"/>
            </w:tcBorders>
          </w:tcPr>
          <w:p>
            <w:pPr>
              <w:pStyle w:val="nTable"/>
              <w:rPr>
                <w:sz w:val="19"/>
              </w:rPr>
            </w:pPr>
            <w:r>
              <w:rPr>
                <w:sz w:val="19"/>
              </w:rPr>
              <w:t>bl. 1 and 2: 29 Jun 2012 (see bl. 2(a));</w:t>
            </w:r>
            <w:r>
              <w:rPr>
                <w:sz w:val="19"/>
              </w:rPr>
              <w:br/>
              <w:t>By</w:t>
            </w:r>
            <w:r>
              <w:rPr>
                <w:sz w:val="19"/>
              </w:rPr>
              <w:noBreakHyphen/>
              <w:t>laws other than bl. 1 and 2: 1 Jul 2012 (see bl. 2(b))</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84" w:name="_Toc240167054"/>
      <w:bookmarkStart w:id="285" w:name="_Toc243272777"/>
      <w:bookmarkStart w:id="286" w:name="_Toc257301569"/>
      <w:bookmarkStart w:id="287" w:name="_Toc257301644"/>
      <w:bookmarkStart w:id="288" w:name="_Toc264986340"/>
      <w:bookmarkStart w:id="289" w:name="_Toc265662307"/>
      <w:bookmarkStart w:id="290" w:name="_Toc297283517"/>
      <w:bookmarkStart w:id="291" w:name="_Toc328577456"/>
      <w:r>
        <w:rPr>
          <w:sz w:val="28"/>
        </w:rPr>
        <w:t>Defined Terms</w:t>
      </w:r>
      <w:bookmarkEnd w:id="284"/>
      <w:bookmarkEnd w:id="285"/>
      <w:bookmarkEnd w:id="286"/>
      <w:bookmarkEnd w:id="287"/>
      <w:bookmarkEnd w:id="288"/>
      <w:bookmarkEnd w:id="289"/>
      <w:bookmarkEnd w:id="290"/>
      <w:bookmarkEnd w:id="2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2" w:name="DefinedTerms"/>
      <w:bookmarkEnd w:id="292"/>
      <w:r>
        <w:t>carbon component</w:t>
      </w:r>
      <w:r>
        <w:tab/>
        <w:t>3</w:t>
      </w:r>
    </w:p>
    <w:p>
      <w:pPr>
        <w:pStyle w:val="DefinedTerms"/>
      </w:pPr>
      <w:r>
        <w:t>corporation</w:t>
      </w:r>
      <w:r>
        <w:tab/>
        <w:t>3</w:t>
      </w:r>
    </w:p>
    <w:p>
      <w:pPr>
        <w:pStyle w:val="DefinedTerms"/>
      </w:pPr>
      <w:r>
        <w:t>dwelling</w:t>
      </w:r>
      <w:r>
        <w:tab/>
        <w:t>3</w:t>
      </w:r>
    </w:p>
    <w:p>
      <w:pPr>
        <w:pStyle w:val="DefinedTerms"/>
      </w:pPr>
      <w:r>
        <w:t>eligible person</w:t>
      </w:r>
      <w:r>
        <w:tab/>
        <w:t>9(1)</w:t>
      </w:r>
    </w:p>
    <w:p>
      <w:pPr>
        <w:pStyle w:val="DefinedTerms"/>
      </w:pPr>
      <w:r>
        <w:t>interest period</w:t>
      </w:r>
      <w:r>
        <w:tab/>
        <w:t>12(1)</w:t>
      </w:r>
    </w:p>
    <w:p>
      <w:pPr>
        <w:pStyle w:val="DefinedTerms"/>
      </w:pPr>
      <w:smartTag w:uri="urn:schemas-microsoft-com:office:smarttags" w:element="place">
        <w:smartTag w:uri="urn:schemas-microsoft-com:office:smarttags" w:element="State">
          <w:r>
            <w:t>North West</w:t>
          </w:r>
        </w:smartTag>
      </w:smartTag>
      <w:r>
        <w:t xml:space="preserve"> interconnected system</w:t>
      </w:r>
      <w:r>
        <w:tab/>
        <w:t>Sch. 1 cl. 1</w:t>
      </w:r>
    </w:p>
    <w:p>
      <w:pPr>
        <w:pStyle w:val="DefinedTerms"/>
      </w:pPr>
      <w:r>
        <w:t>RBA cash rate</w:t>
      </w:r>
      <w:r>
        <w:tab/>
        <w:t>3</w:t>
      </w:r>
    </w:p>
    <w:p>
      <w:pPr>
        <w:pStyle w:val="DefinedTerms"/>
      </w:pPr>
      <w:r>
        <w:t>regional non</w:t>
      </w:r>
      <w:r>
        <w:noBreakHyphen/>
        <w:t>integrated system</w:t>
      </w:r>
      <w:r>
        <w:tab/>
        <w:t>Sch. 1 cl. 1</w:t>
      </w:r>
    </w:p>
    <w:p>
      <w:pPr>
        <w:pStyle w:val="DefinedTerms"/>
      </w:pPr>
      <w:r>
        <w:t>relevant period</w:t>
      </w:r>
      <w:r>
        <w:tab/>
        <w:t>8(1)</w:t>
      </w:r>
    </w:p>
    <w:p>
      <w:pPr>
        <w:pStyle w:val="DefinedTerms"/>
      </w:pPr>
      <w:r>
        <w:t>residential tariff</w:t>
      </w:r>
      <w:r>
        <w:tab/>
        <w:t>3</w:t>
      </w:r>
    </w:p>
    <w:p>
      <w:pPr>
        <w:pStyle w:val="DefinedTerms"/>
      </w:pPr>
      <w:r>
        <w:t>South West interconnected system</w:t>
      </w:r>
      <w:r>
        <w:tab/>
        <w:t>Sch. 1 cl. 1</w:t>
      </w:r>
    </w:p>
    <w:p>
      <w:pPr>
        <w:pStyle w:val="DefinedTerms"/>
      </w:pPr>
      <w:r>
        <w:t>Tariff</w:t>
      </w:r>
      <w:r>
        <w:tab/>
        <w:t>3</w:t>
      </w:r>
    </w:p>
    <w:p>
      <w:pPr>
        <w:pStyle w:val="DefinedTerms"/>
      </w:pPr>
      <w:r>
        <w:t>unit</w:t>
      </w:r>
      <w:r>
        <w:tab/>
        <w:t>3</w:t>
      </w: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4879</Words>
  <Characters>25325</Characters>
  <Application>Microsoft Office Word</Application>
  <DocSecurity>0</DocSecurity>
  <Lines>1151</Lines>
  <Paragraphs>656</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Energy Operators (Regional Power Corporation) (Charges) By-laws 2006</vt:lpstr>
      <vt:lpstr>    Schedule 1 — Supply charges</vt:lpstr>
      <vt:lpstr>    Schedule 2A — Carbon components</vt:lpstr>
      <vt:lpstr>    Schedule 2 — Street lighting</vt:lpstr>
      <vt:lpstr>    Schedule 3 — Meter rentals</vt:lpstr>
      <vt:lpstr>    Schedule 4 — Fees</vt:lpstr>
      <vt:lpstr>    Notes</vt:lpstr>
      <vt:lpstr>    Defined Terms</vt:lpstr>
    </vt:vector>
  </TitlesOfParts>
  <Manager/>
  <Company/>
  <LinksUpToDate>false</LinksUpToDate>
  <CharactersWithSpaces>29548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2006 - 01-e0-01</dc:title>
  <dc:subject/>
  <dc:creator/>
  <cp:keywords/>
  <dc:description/>
  <cp:lastModifiedBy>svcMRProcess</cp:lastModifiedBy>
  <cp:revision>4</cp:revision>
  <cp:lastPrinted>2009-10-14T00:38:00Z</cp:lastPrinted>
  <dcterms:created xsi:type="dcterms:W3CDTF">2020-02-24T14:35:00Z</dcterms:created>
  <dcterms:modified xsi:type="dcterms:W3CDTF">2020-02-24T14:36:00Z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20120701</vt:lpwstr>
  </property>
  <property fmtid="{D5CDD505-2E9C-101B-9397-08002B2CF9AE}" pid="4" name="OwlsUID">
    <vt:i4>38408</vt:i4>
  </property>
  <property fmtid="{D5CDD505-2E9C-101B-9397-08002B2CF9AE}" pid="5" name="AsAtDate">
    <vt:lpwstr>01 Jul 2012</vt:lpwstr>
  </property>
  <property fmtid="{D5CDD505-2E9C-101B-9397-08002B2CF9AE}" pid="6" name="Suffix">
    <vt:lpwstr>01-e0-01</vt:lpwstr>
  </property>
  <property fmtid="{D5CDD505-2E9C-101B-9397-08002B2CF9AE}" pid="7" name="ReprintNo">
    <vt:lpwstr>1</vt:lpwstr>
  </property>
  <property fmtid="{D5CDD505-2E9C-101B-9397-08002B2CF9AE}" pid="8" name="DocumentType">
    <vt:lpwstr>Reg</vt:lpwstr>
  </property>
</Properties>
</file>