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Pharmacy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Pharmacy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Pharmacy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_Toc424727270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_Toc424727271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Pharmacy business (s. 3(1))</w:t>
      </w:r>
      <w:r>
        <w:tab/>
      </w:r>
      <w:r>
        <w:fldChar w:fldCharType="begin"/>
      </w:r>
      <w:r>
        <w:instrText xml:space="preserve"> PAGEREF _Toc424727272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Registration of pharmacies and certificates of registration</w:t>
      </w:r>
    </w:p>
    <w:p>
      <w:pPr>
        <w:pStyle w:val="TOC8"/>
        <w:rPr>
          <w:rFonts w:asciiTheme="minorHAnsi" w:eastAsiaTheme="minorEastAsia" w:hAnsiTheme="minorHAnsi" w:cstheme="minorBidi"/>
          <w:szCs w:val="22"/>
          <w:lang w:eastAsia="en-AU"/>
        </w:rPr>
      </w:pPr>
      <w:r>
        <w:t>4.</w:t>
      </w:r>
      <w:r>
        <w:tab/>
        <w:t>Application for registration of premises as a pharmacy (s. 42)</w:t>
      </w:r>
      <w:r>
        <w:tab/>
      </w:r>
      <w:r>
        <w:fldChar w:fldCharType="begin"/>
      </w:r>
      <w:r>
        <w:instrText xml:space="preserve"> PAGEREF _Toc424727274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Duration of registration of premises as a pharmacy (s. 45)</w:t>
      </w:r>
      <w:r>
        <w:tab/>
      </w:r>
      <w:r>
        <w:fldChar w:fldCharType="begin"/>
      </w:r>
      <w:r>
        <w:instrText xml:space="preserve"> PAGEREF _Toc424727275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Renewal of registration</w:t>
      </w:r>
      <w:r>
        <w:tab/>
      </w:r>
      <w:r>
        <w:fldChar w:fldCharType="begin"/>
      </w:r>
      <w:r>
        <w:instrText xml:space="preserve"> PAGEREF _Toc424727276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Replacement of certificate of registration of premises as a pharmacy</w:t>
      </w:r>
      <w:r>
        <w:tab/>
      </w:r>
      <w:r>
        <w:fldChar w:fldCharType="begin"/>
      </w:r>
      <w:r>
        <w:instrText xml:space="preserve"> PAGEREF _Toc424727277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The register</w:t>
      </w:r>
    </w:p>
    <w:p>
      <w:pPr>
        <w:pStyle w:val="TOC8"/>
        <w:rPr>
          <w:rFonts w:asciiTheme="minorHAnsi" w:eastAsiaTheme="minorEastAsia" w:hAnsiTheme="minorHAnsi" w:cstheme="minorBidi"/>
          <w:szCs w:val="22"/>
          <w:lang w:eastAsia="en-AU"/>
        </w:rPr>
      </w:pPr>
      <w:r>
        <w:t>8.</w:t>
      </w:r>
      <w:r>
        <w:tab/>
        <w:t>Register: additional information to be recorded (s. 49(2)(d))</w:t>
      </w:r>
      <w:r>
        <w:tab/>
      </w:r>
      <w:r>
        <w:fldChar w:fldCharType="begin"/>
      </w:r>
      <w:r>
        <w:instrText xml:space="preserve"> PAGEREF _Toc424727279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Change to information recorded in the register</w:t>
      </w:r>
      <w:r>
        <w:tab/>
      </w:r>
      <w:r>
        <w:fldChar w:fldCharType="begin"/>
      </w:r>
      <w:r>
        <w:instrText xml:space="preserve"> PAGEREF _Toc424727280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Fee to obtaining a certified copy of the register or a particular entry in the register (s. 50(4))</w:t>
      </w:r>
      <w:r>
        <w:tab/>
      </w:r>
      <w:r>
        <w:fldChar w:fldCharType="begin"/>
      </w:r>
      <w:r>
        <w:instrText xml:space="preserve"> PAGEREF _Toc424727281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Pharmacies</w:t>
      </w:r>
    </w:p>
    <w:p>
      <w:pPr>
        <w:pStyle w:val="TOC8"/>
        <w:rPr>
          <w:rFonts w:asciiTheme="minorHAnsi" w:eastAsiaTheme="minorEastAsia" w:hAnsiTheme="minorHAnsi" w:cstheme="minorBidi"/>
          <w:szCs w:val="22"/>
          <w:lang w:eastAsia="en-AU"/>
        </w:rPr>
      </w:pPr>
      <w:r>
        <w:t>11.</w:t>
      </w:r>
      <w:r>
        <w:tab/>
        <w:t>Terms used</w:t>
      </w:r>
      <w:r>
        <w:tab/>
      </w:r>
      <w:r>
        <w:fldChar w:fldCharType="begin"/>
      </w:r>
      <w:r>
        <w:instrText xml:space="preserve"> PAGEREF _Toc424727283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Tobacco products not to be sold or supplied at pharmacies</w:t>
      </w:r>
      <w:r>
        <w:tab/>
      </w:r>
      <w:r>
        <w:fldChar w:fldCharType="begin"/>
      </w:r>
      <w:r>
        <w:instrText xml:space="preserve"> PAGEREF _Toc424727284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 xml:space="preserve">Minimum standards of fitness for the competent and safe practice of pharmacy — </w:t>
      </w:r>
      <w:r>
        <w:rPr>
          <w:snapToGrid w:val="0"/>
        </w:rPr>
        <w:t>Schedule 1</w:t>
      </w:r>
      <w:r>
        <w:tab/>
      </w:r>
      <w:r>
        <w:fldChar w:fldCharType="begin"/>
      </w:r>
      <w:r>
        <w:instrText xml:space="preserve"> PAGEREF _Toc424727285 \h </w:instrText>
      </w:r>
      <w:r>
        <w:fldChar w:fldCharType="separate"/>
      </w:r>
      <w:r>
        <w:t>6</w:t>
      </w:r>
      <w:r>
        <w:fldChar w:fldCharType="end"/>
      </w:r>
    </w:p>
    <w:p>
      <w:pPr>
        <w:pStyle w:val="TOC8"/>
        <w:rPr>
          <w:rFonts w:asciiTheme="minorHAnsi" w:eastAsiaTheme="minorEastAsia" w:hAnsiTheme="minorHAnsi" w:cstheme="minorBidi"/>
          <w:szCs w:val="22"/>
          <w:lang w:eastAsia="en-AU"/>
        </w:rPr>
      </w:pPr>
      <w:r>
        <w:lastRenderedPageBreak/>
        <w:t>14.</w:t>
      </w:r>
      <w:r>
        <w:tab/>
        <w:t>Significant alteration to a pharmacy</w:t>
      </w:r>
      <w:r>
        <w:tab/>
      </w:r>
      <w:r>
        <w:fldChar w:fldCharType="begin"/>
      </w:r>
      <w:r>
        <w:instrText xml:space="preserve"> PAGEREF _Toc424727286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Pharmacy to be well lit, air conditioned and kept clean and in good repair</w:t>
      </w:r>
      <w:r>
        <w:tab/>
      </w:r>
      <w:r>
        <w:fldChar w:fldCharType="begin"/>
      </w:r>
      <w:r>
        <w:instrText xml:space="preserve"> PAGEREF _Toc424727287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Record keeping</w:t>
      </w:r>
      <w:r>
        <w:tab/>
      </w:r>
      <w:r>
        <w:fldChar w:fldCharType="begin"/>
      </w:r>
      <w:r>
        <w:instrText xml:space="preserve"> PAGEREF _Toc424727288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Other matters</w:t>
      </w:r>
    </w:p>
    <w:p>
      <w:pPr>
        <w:pStyle w:val="TOC8"/>
        <w:rPr>
          <w:rFonts w:asciiTheme="minorHAnsi" w:eastAsiaTheme="minorEastAsia" w:hAnsiTheme="minorHAnsi" w:cstheme="minorBidi"/>
          <w:szCs w:val="22"/>
          <w:lang w:eastAsia="en-AU"/>
        </w:rPr>
      </w:pPr>
      <w:r>
        <w:t>17.</w:t>
      </w:r>
      <w:r>
        <w:tab/>
        <w:t>Person ceasing to be a close family member of a pharmacist (s. 58(4)(a))</w:t>
      </w:r>
      <w:r>
        <w:tab/>
      </w:r>
      <w:r>
        <w:fldChar w:fldCharType="begin"/>
      </w:r>
      <w:r>
        <w:instrText xml:space="preserve"> PAGEREF _Toc424727290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Fee to obtain copy of minutes of Board (s. 33(4))</w:t>
      </w:r>
      <w:r>
        <w:tab/>
      </w:r>
      <w:r>
        <w:fldChar w:fldCharType="begin"/>
      </w:r>
      <w:r>
        <w:instrText xml:space="preserve"> PAGEREF _Toc424727291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Minimum standards of fitness for the competent and safe practice of pharmacy</w:t>
      </w:r>
    </w:p>
    <w:p>
      <w:pPr>
        <w:pStyle w:val="TOC8"/>
        <w:rPr>
          <w:rFonts w:asciiTheme="minorHAnsi" w:eastAsiaTheme="minorEastAsia" w:hAnsiTheme="minorHAnsi" w:cstheme="minorBidi"/>
          <w:szCs w:val="22"/>
          <w:lang w:eastAsia="en-AU"/>
        </w:rPr>
      </w:pPr>
      <w:r>
        <w:t>1.</w:t>
      </w:r>
      <w:r>
        <w:tab/>
        <w:t>Premises generally</w:t>
      </w:r>
      <w:r>
        <w:tab/>
      </w:r>
      <w:r>
        <w:fldChar w:fldCharType="begin"/>
      </w:r>
      <w:r>
        <w:instrText xml:space="preserve"> PAGEREF _Toc424727293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tab/>
        <w:t>Premises, fixtures and fittings to be clean etc.</w:t>
      </w:r>
      <w:r>
        <w:tab/>
      </w:r>
      <w:r>
        <w:fldChar w:fldCharType="begin"/>
      </w:r>
      <w:r>
        <w:instrText xml:space="preserve"> PAGEREF _Toc424727294 \h </w:instrText>
      </w:r>
      <w:r>
        <w:fldChar w:fldCharType="separate"/>
      </w:r>
      <w:r>
        <w:t>10</w:t>
      </w:r>
      <w:r>
        <w:fldChar w:fldCharType="end"/>
      </w:r>
    </w:p>
    <w:p>
      <w:pPr>
        <w:pStyle w:val="TOC8"/>
        <w:rPr>
          <w:rFonts w:asciiTheme="minorHAnsi" w:eastAsiaTheme="minorEastAsia" w:hAnsiTheme="minorHAnsi" w:cstheme="minorBidi"/>
          <w:szCs w:val="22"/>
          <w:lang w:eastAsia="en-AU"/>
        </w:rPr>
      </w:pPr>
      <w:r>
        <w:t>3.</w:t>
      </w:r>
      <w:r>
        <w:tab/>
        <w:t>Equipment on premises</w:t>
      </w:r>
      <w:r>
        <w:tab/>
      </w:r>
      <w:r>
        <w:fldChar w:fldCharType="begin"/>
      </w:r>
      <w:r>
        <w:instrText xml:space="preserve"> PAGEREF _Toc424727295 \h </w:instrText>
      </w:r>
      <w:r>
        <w:fldChar w:fldCharType="separate"/>
      </w:r>
      <w:r>
        <w:t>10</w:t>
      </w:r>
      <w:r>
        <w:fldChar w:fldCharType="end"/>
      </w:r>
    </w:p>
    <w:p>
      <w:pPr>
        <w:pStyle w:val="TOC8"/>
        <w:rPr>
          <w:rFonts w:asciiTheme="minorHAnsi" w:eastAsiaTheme="minorEastAsia" w:hAnsiTheme="minorHAnsi" w:cstheme="minorBidi"/>
          <w:szCs w:val="22"/>
          <w:lang w:eastAsia="en-AU"/>
        </w:rPr>
      </w:pPr>
      <w:r>
        <w:t>4.</w:t>
      </w:r>
      <w:r>
        <w:tab/>
        <w:t>Access to reference documents</w:t>
      </w:r>
      <w:r>
        <w:tab/>
      </w:r>
      <w:r>
        <w:fldChar w:fldCharType="begin"/>
      </w:r>
      <w:r>
        <w:instrText xml:space="preserve"> PAGEREF _Toc424727296 \h </w:instrText>
      </w:r>
      <w:r>
        <w:fldChar w:fldCharType="separate"/>
      </w:r>
      <w:r>
        <w:t>12</w:t>
      </w:r>
      <w:r>
        <w:fldChar w:fldCharType="end"/>
      </w:r>
    </w:p>
    <w:p>
      <w:pPr>
        <w:pStyle w:val="TOC8"/>
        <w:rPr>
          <w:rFonts w:asciiTheme="minorHAnsi" w:eastAsiaTheme="minorEastAsia" w:hAnsiTheme="minorHAnsi" w:cstheme="minorBidi"/>
          <w:szCs w:val="22"/>
          <w:lang w:eastAsia="en-AU"/>
        </w:rPr>
      </w:pPr>
      <w:r>
        <w:t>5.</w:t>
      </w:r>
      <w:r>
        <w:tab/>
        <w:t>Records</w:t>
      </w:r>
      <w:r>
        <w:tab/>
      </w:r>
      <w:r>
        <w:fldChar w:fldCharType="begin"/>
      </w:r>
      <w:r>
        <w:instrText xml:space="preserve"> PAGEREF _Toc424727297 \h </w:instrText>
      </w:r>
      <w:r>
        <w:fldChar w:fldCharType="separate"/>
      </w:r>
      <w:r>
        <w:t>12</w:t>
      </w:r>
      <w:r>
        <w:fldChar w:fldCharType="end"/>
      </w:r>
    </w:p>
    <w:p>
      <w:pPr>
        <w:pStyle w:val="TOC8"/>
        <w:rPr>
          <w:rFonts w:asciiTheme="minorHAnsi" w:eastAsiaTheme="minorEastAsia" w:hAnsiTheme="minorHAnsi" w:cstheme="minorBidi"/>
          <w:szCs w:val="22"/>
          <w:lang w:eastAsia="en-AU"/>
        </w:rPr>
      </w:pPr>
      <w:r>
        <w:t>6.</w:t>
      </w:r>
      <w:r>
        <w:tab/>
        <w:t>Dispensary</w:t>
      </w:r>
      <w:r>
        <w:tab/>
      </w:r>
      <w:r>
        <w:fldChar w:fldCharType="begin"/>
      </w:r>
      <w:r>
        <w:instrText xml:space="preserve"> PAGEREF _Toc424727298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tab/>
        <w:t>Area for private consultation</w:t>
      </w:r>
      <w:r>
        <w:tab/>
      </w:r>
      <w:r>
        <w:fldChar w:fldCharType="begin"/>
      </w:r>
      <w:r>
        <w:instrText xml:space="preserve"> PAGEREF _Toc424727299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_Toc424727302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Pharmacy Act 2010</w:t>
      </w:r>
    </w:p>
    <w:p>
      <w:pPr>
        <w:pStyle w:val="NameofActReg"/>
      </w:pPr>
      <w:r>
        <w:t>Pharmacy Regulations 2010</w:t>
      </w:r>
    </w:p>
    <w:p>
      <w:pPr>
        <w:pStyle w:val="Heading2"/>
        <w:pageBreakBefore w:val="0"/>
        <w:spacing w:before="240"/>
      </w:pPr>
      <w:bookmarkStart w:id="3" w:name="_Toc260914364"/>
      <w:bookmarkStart w:id="4" w:name="_Toc260914443"/>
      <w:bookmarkStart w:id="5" w:name="_Toc260925646"/>
      <w:bookmarkStart w:id="6" w:name="_Toc260925682"/>
      <w:bookmarkStart w:id="7" w:name="_Toc260993294"/>
      <w:bookmarkStart w:id="8" w:name="_Toc261254298"/>
      <w:bookmarkStart w:id="9" w:name="_Toc261254330"/>
      <w:bookmarkStart w:id="10" w:name="_Toc261259316"/>
      <w:bookmarkStart w:id="11" w:name="_Toc262823243"/>
      <w:bookmarkStart w:id="12" w:name="_Toc263068569"/>
      <w:bookmarkStart w:id="13" w:name="_Toc263151504"/>
      <w:bookmarkStart w:id="14" w:name="_Toc263151771"/>
      <w:bookmarkStart w:id="15" w:name="_Toc263154046"/>
      <w:bookmarkStart w:id="16" w:name="_Toc263154077"/>
      <w:bookmarkStart w:id="17" w:name="_Toc263154197"/>
      <w:bookmarkStart w:id="18" w:name="_Toc263329257"/>
      <w:bookmarkStart w:id="19" w:name="_Toc263760126"/>
      <w:bookmarkStart w:id="20" w:name="_Toc263847801"/>
      <w:bookmarkStart w:id="21" w:name="_Toc263847865"/>
      <w:bookmarkStart w:id="22" w:name="_Toc263856930"/>
      <w:bookmarkStart w:id="23" w:name="_Toc263856982"/>
      <w:bookmarkStart w:id="24" w:name="_Toc263858243"/>
      <w:bookmarkStart w:id="25" w:name="_Toc263858455"/>
      <w:bookmarkStart w:id="26" w:name="_Toc263860451"/>
      <w:bookmarkStart w:id="27" w:name="_Toc263862026"/>
      <w:bookmarkStart w:id="28" w:name="_Toc264365246"/>
      <w:bookmarkStart w:id="29" w:name="_Toc264370620"/>
      <w:bookmarkStart w:id="30" w:name="_Toc264370652"/>
      <w:bookmarkStart w:id="31" w:name="_Toc264623425"/>
      <w:bookmarkStart w:id="32" w:name="_Toc271621839"/>
      <w:bookmarkStart w:id="33" w:name="_Toc272224352"/>
      <w:bookmarkStart w:id="34" w:name="_Toc273698659"/>
      <w:bookmarkStart w:id="35" w:name="_Toc273699926"/>
      <w:bookmarkStart w:id="36" w:name="_Toc273700224"/>
      <w:bookmarkStart w:id="37" w:name="_Toc273700230"/>
      <w:bookmarkStart w:id="38" w:name="_Toc275159070"/>
      <w:bookmarkStart w:id="39" w:name="_Toc275258594"/>
      <w:bookmarkStart w:id="40" w:name="_Toc326236432"/>
      <w:bookmarkStart w:id="41" w:name="_Toc326239267"/>
      <w:bookmarkStart w:id="42" w:name="_Toc326239303"/>
      <w:bookmarkStart w:id="43" w:name="_Toc328561700"/>
      <w:bookmarkStart w:id="44" w:name="_Toc328561747"/>
      <w:bookmarkStart w:id="45" w:name="_Toc424727214"/>
      <w:bookmarkStart w:id="46" w:name="_Toc4247272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23332722"/>
      <w:bookmarkStart w:id="48" w:name="_Toc425219441"/>
      <w:bookmarkStart w:id="49" w:name="_Toc426249308"/>
      <w:bookmarkStart w:id="50" w:name="_Toc449924704"/>
      <w:bookmarkStart w:id="51" w:name="_Toc449947722"/>
      <w:bookmarkStart w:id="52" w:name="_Toc454185713"/>
      <w:bookmarkStart w:id="53" w:name="_Toc515958686"/>
      <w:bookmarkStart w:id="54" w:name="_Toc272224353"/>
      <w:bookmarkStart w:id="55" w:name="_Toc273699927"/>
      <w:bookmarkStart w:id="56" w:name="_Toc328561748"/>
      <w:bookmarkStart w:id="57" w:name="_Toc424727270"/>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272224354"/>
      <w:bookmarkStart w:id="67" w:name="_Toc273699928"/>
      <w:bookmarkStart w:id="68" w:name="_Toc328561749"/>
      <w:bookmarkStart w:id="69" w:name="_Toc424727271"/>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bookmarkEnd w:id="68"/>
      <w:bookmarkEnd w:id="6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70" w:name="_Toc275158419"/>
      <w:bookmarkStart w:id="71" w:name="_Toc328561750"/>
      <w:bookmarkStart w:id="72" w:name="_Toc424727272"/>
      <w:r>
        <w:rPr>
          <w:rStyle w:val="CharSectno"/>
        </w:rPr>
        <w:t>3</w:t>
      </w:r>
      <w:r>
        <w:t>.</w:t>
      </w:r>
      <w:r>
        <w:tab/>
        <w:t>Pharmacy business (s. 3(1))</w:t>
      </w:r>
      <w:bookmarkEnd w:id="70"/>
      <w:bookmarkEnd w:id="71"/>
      <w:bookmarkEnd w:id="72"/>
    </w:p>
    <w:p>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pPr>
        <w:pStyle w:val="Indenta"/>
      </w:pPr>
      <w:r>
        <w:tab/>
        <w:t>(a)</w:t>
      </w:r>
      <w:r>
        <w:tab/>
        <w:t xml:space="preserve">a permit referred to in the </w:t>
      </w:r>
      <w:r>
        <w:rPr>
          <w:i/>
          <w:iCs/>
        </w:rPr>
        <w:t>Poisons Regulations 1965</w:t>
      </w:r>
      <w:r>
        <w:t xml:space="preserve"> regulations 10, 10AA and 10A;</w:t>
      </w:r>
    </w:p>
    <w:p>
      <w:pPr>
        <w:pStyle w:val="Indenta"/>
      </w:pPr>
      <w:r>
        <w:tab/>
        <w:t>(b)</w:t>
      </w:r>
      <w:r>
        <w:tab/>
        <w:t xml:space="preserve">a licence referred to in the </w:t>
      </w:r>
      <w:r>
        <w:rPr>
          <w:i/>
          <w:iCs/>
        </w:rPr>
        <w:t>Poisons Regulations 1965</w:t>
      </w:r>
      <w:r>
        <w:t xml:space="preserve"> regulation 7.</w:t>
      </w:r>
    </w:p>
    <w:p>
      <w:pPr>
        <w:pStyle w:val="Heading2"/>
      </w:pPr>
      <w:bookmarkStart w:id="73" w:name="_Toc275158420"/>
      <w:bookmarkStart w:id="74" w:name="_Toc275159074"/>
      <w:bookmarkStart w:id="75" w:name="_Toc275258598"/>
      <w:bookmarkStart w:id="76" w:name="_Toc326236436"/>
      <w:bookmarkStart w:id="77" w:name="_Toc326239271"/>
      <w:bookmarkStart w:id="78" w:name="_Toc326239307"/>
      <w:bookmarkStart w:id="79" w:name="_Toc328561704"/>
      <w:bookmarkStart w:id="80" w:name="_Toc328561751"/>
      <w:bookmarkStart w:id="81" w:name="_Toc424727218"/>
      <w:bookmarkStart w:id="82" w:name="_Toc424727273"/>
      <w:r>
        <w:rPr>
          <w:rStyle w:val="CharPartNo"/>
        </w:rPr>
        <w:t>Part 2</w:t>
      </w:r>
      <w:r>
        <w:rPr>
          <w:rStyle w:val="CharDivNo"/>
        </w:rPr>
        <w:t> </w:t>
      </w:r>
      <w:r>
        <w:t>—</w:t>
      </w:r>
      <w:r>
        <w:rPr>
          <w:rStyle w:val="CharDivText"/>
        </w:rPr>
        <w:t> </w:t>
      </w:r>
      <w:r>
        <w:rPr>
          <w:rStyle w:val="CharPartText"/>
        </w:rPr>
        <w:t>Registration of pharmacies and certificates of registration</w:t>
      </w:r>
      <w:bookmarkEnd w:id="73"/>
      <w:bookmarkEnd w:id="74"/>
      <w:bookmarkEnd w:id="75"/>
      <w:bookmarkEnd w:id="76"/>
      <w:bookmarkEnd w:id="77"/>
      <w:bookmarkEnd w:id="78"/>
      <w:bookmarkEnd w:id="79"/>
      <w:bookmarkEnd w:id="80"/>
      <w:bookmarkEnd w:id="81"/>
      <w:bookmarkEnd w:id="82"/>
    </w:p>
    <w:p>
      <w:pPr>
        <w:pStyle w:val="Heading5"/>
      </w:pPr>
      <w:bookmarkStart w:id="83" w:name="_Toc275158421"/>
      <w:bookmarkStart w:id="84" w:name="_Toc328561752"/>
      <w:bookmarkStart w:id="85" w:name="_Toc424727274"/>
      <w:r>
        <w:rPr>
          <w:rStyle w:val="CharSectno"/>
        </w:rPr>
        <w:t>4</w:t>
      </w:r>
      <w:r>
        <w:t>.</w:t>
      </w:r>
      <w:r>
        <w:tab/>
        <w:t>Application for registration of premises as a pharmacy (s. 42)</w:t>
      </w:r>
      <w:bookmarkEnd w:id="83"/>
      <w:bookmarkEnd w:id="84"/>
      <w:bookmarkEnd w:id="85"/>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86" w:name="_Toc275158422"/>
      <w:bookmarkStart w:id="87" w:name="_Toc328561753"/>
      <w:bookmarkStart w:id="88" w:name="_Toc424727275"/>
      <w:r>
        <w:rPr>
          <w:rStyle w:val="CharSectno"/>
        </w:rPr>
        <w:t>5</w:t>
      </w:r>
      <w:r>
        <w:t>.</w:t>
      </w:r>
      <w:r>
        <w:tab/>
        <w:t>Duration of registration of premises as a pharmacy (s. 45)</w:t>
      </w:r>
      <w:bookmarkEnd w:id="86"/>
      <w:bookmarkEnd w:id="87"/>
      <w:bookmarkEnd w:id="88"/>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89" w:name="_Toc275158423"/>
      <w:bookmarkStart w:id="90" w:name="_Toc328561754"/>
      <w:bookmarkStart w:id="91" w:name="_Toc424727276"/>
      <w:r>
        <w:rPr>
          <w:rStyle w:val="CharSectno"/>
        </w:rPr>
        <w:t>6</w:t>
      </w:r>
      <w:r>
        <w:t>.</w:t>
      </w:r>
      <w:r>
        <w:tab/>
        <w:t>Renewal of registration</w:t>
      </w:r>
      <w:bookmarkEnd w:id="89"/>
      <w:bookmarkEnd w:id="90"/>
      <w:bookmarkEnd w:id="91"/>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92" w:name="_Toc275158424"/>
      <w:bookmarkStart w:id="93" w:name="_Toc328561755"/>
      <w:bookmarkStart w:id="94" w:name="_Toc424727277"/>
      <w:r>
        <w:rPr>
          <w:rStyle w:val="CharSectno"/>
        </w:rPr>
        <w:t>7</w:t>
      </w:r>
      <w:r>
        <w:t>.</w:t>
      </w:r>
      <w:r>
        <w:tab/>
        <w:t>Replacement of certificate of registration of premises as a pharmacy</w:t>
      </w:r>
      <w:bookmarkEnd w:id="92"/>
      <w:bookmarkEnd w:id="93"/>
      <w:bookmarkEnd w:id="94"/>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95" w:name="_Toc275158425"/>
      <w:bookmarkStart w:id="96" w:name="_Toc275159079"/>
      <w:bookmarkStart w:id="97" w:name="_Toc275258603"/>
      <w:bookmarkStart w:id="98" w:name="_Toc326236441"/>
      <w:bookmarkStart w:id="99" w:name="_Toc326239276"/>
      <w:bookmarkStart w:id="100" w:name="_Toc326239312"/>
      <w:bookmarkStart w:id="101" w:name="_Toc328561709"/>
      <w:bookmarkStart w:id="102" w:name="_Toc328561756"/>
      <w:bookmarkStart w:id="103" w:name="_Toc424727223"/>
      <w:bookmarkStart w:id="104" w:name="_Toc424727278"/>
      <w:r>
        <w:rPr>
          <w:rStyle w:val="CharPartNo"/>
        </w:rPr>
        <w:t>Part 3</w:t>
      </w:r>
      <w:r>
        <w:rPr>
          <w:rStyle w:val="CharDivNo"/>
        </w:rPr>
        <w:t> </w:t>
      </w:r>
      <w:r>
        <w:t>—</w:t>
      </w:r>
      <w:r>
        <w:rPr>
          <w:rStyle w:val="CharDivText"/>
        </w:rPr>
        <w:t> </w:t>
      </w:r>
      <w:r>
        <w:rPr>
          <w:rStyle w:val="CharPartText"/>
        </w:rPr>
        <w:t>The register</w:t>
      </w:r>
      <w:bookmarkEnd w:id="95"/>
      <w:bookmarkEnd w:id="96"/>
      <w:bookmarkEnd w:id="97"/>
      <w:bookmarkEnd w:id="98"/>
      <w:bookmarkEnd w:id="99"/>
      <w:bookmarkEnd w:id="100"/>
      <w:bookmarkEnd w:id="101"/>
      <w:bookmarkEnd w:id="102"/>
      <w:bookmarkEnd w:id="103"/>
      <w:bookmarkEnd w:id="104"/>
    </w:p>
    <w:p>
      <w:pPr>
        <w:pStyle w:val="Heading5"/>
      </w:pPr>
      <w:bookmarkStart w:id="105" w:name="_Toc275158426"/>
      <w:bookmarkStart w:id="106" w:name="_Toc328561757"/>
      <w:bookmarkStart w:id="107" w:name="_Toc424727279"/>
      <w:r>
        <w:rPr>
          <w:rStyle w:val="CharSectno"/>
        </w:rPr>
        <w:t>8</w:t>
      </w:r>
      <w:r>
        <w:t>.</w:t>
      </w:r>
      <w:r>
        <w:tab/>
        <w:t>Register: additional information to be recorded (s. 49(2)(d))</w:t>
      </w:r>
      <w:bookmarkEnd w:id="105"/>
      <w:bookmarkEnd w:id="106"/>
      <w:bookmarkEnd w:id="107"/>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08" w:name="_Toc275158427"/>
      <w:bookmarkStart w:id="109" w:name="_Toc328561758"/>
      <w:bookmarkStart w:id="110" w:name="_Toc424727280"/>
      <w:r>
        <w:rPr>
          <w:rStyle w:val="CharSectno"/>
        </w:rPr>
        <w:t>9</w:t>
      </w:r>
      <w:r>
        <w:t>.</w:t>
      </w:r>
      <w:r>
        <w:tab/>
        <w:t>Change to information recorded in the register</w:t>
      </w:r>
      <w:bookmarkEnd w:id="108"/>
      <w:bookmarkEnd w:id="109"/>
      <w:bookmarkEnd w:id="110"/>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11" w:name="_Toc275158428"/>
      <w:bookmarkStart w:id="112" w:name="_Toc328561759"/>
      <w:bookmarkStart w:id="113" w:name="_Toc424727281"/>
      <w:r>
        <w:rPr>
          <w:rStyle w:val="CharSectno"/>
        </w:rPr>
        <w:t>10</w:t>
      </w:r>
      <w:r>
        <w:t>.</w:t>
      </w:r>
      <w:r>
        <w:tab/>
        <w:t>Fee to obtaining a certified copy of the register or a particular entry in the register (s. 50(4))</w:t>
      </w:r>
      <w:bookmarkEnd w:id="111"/>
      <w:bookmarkEnd w:id="112"/>
      <w:bookmarkEnd w:id="113"/>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14" w:name="_Toc275158429"/>
      <w:bookmarkStart w:id="115" w:name="_Toc275159083"/>
      <w:bookmarkStart w:id="116" w:name="_Toc275258607"/>
      <w:bookmarkStart w:id="117" w:name="_Toc326236445"/>
      <w:bookmarkStart w:id="118" w:name="_Toc326239280"/>
      <w:bookmarkStart w:id="119" w:name="_Toc326239316"/>
      <w:bookmarkStart w:id="120" w:name="_Toc328561713"/>
      <w:bookmarkStart w:id="121" w:name="_Toc328561760"/>
      <w:bookmarkStart w:id="122" w:name="_Toc424727227"/>
      <w:bookmarkStart w:id="123" w:name="_Toc424727282"/>
      <w:r>
        <w:rPr>
          <w:rStyle w:val="CharPartNo"/>
        </w:rPr>
        <w:t>Part 4</w:t>
      </w:r>
      <w:r>
        <w:rPr>
          <w:rStyle w:val="CharDivNo"/>
        </w:rPr>
        <w:t> </w:t>
      </w:r>
      <w:r>
        <w:t>—</w:t>
      </w:r>
      <w:r>
        <w:rPr>
          <w:rStyle w:val="CharDivText"/>
        </w:rPr>
        <w:t> </w:t>
      </w:r>
      <w:r>
        <w:rPr>
          <w:rStyle w:val="CharPartText"/>
        </w:rPr>
        <w:t>Pharmacies</w:t>
      </w:r>
      <w:bookmarkEnd w:id="114"/>
      <w:bookmarkEnd w:id="115"/>
      <w:bookmarkEnd w:id="116"/>
      <w:bookmarkEnd w:id="117"/>
      <w:bookmarkEnd w:id="118"/>
      <w:bookmarkEnd w:id="119"/>
      <w:bookmarkEnd w:id="120"/>
      <w:bookmarkEnd w:id="121"/>
      <w:bookmarkEnd w:id="122"/>
      <w:bookmarkEnd w:id="123"/>
    </w:p>
    <w:p>
      <w:pPr>
        <w:pStyle w:val="Heading5"/>
      </w:pPr>
      <w:bookmarkStart w:id="124" w:name="_Toc275158430"/>
      <w:bookmarkStart w:id="125" w:name="_Toc328561761"/>
      <w:bookmarkStart w:id="126" w:name="_Toc424727283"/>
      <w:r>
        <w:rPr>
          <w:rStyle w:val="CharSectno"/>
        </w:rPr>
        <w:t>11</w:t>
      </w:r>
      <w:r>
        <w:t>.</w:t>
      </w:r>
      <w:r>
        <w:tab/>
        <w:t>Terms used</w:t>
      </w:r>
      <w:bookmarkEnd w:id="124"/>
      <w:bookmarkEnd w:id="125"/>
      <w:bookmarkEnd w:id="126"/>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means an authority to supply a medicine or poison in accordance with the </w:t>
      </w:r>
      <w:r>
        <w:rPr>
          <w:i/>
          <w:iCs/>
        </w:rPr>
        <w:t>Poisons Act 1964</w:t>
      </w:r>
      <w:r>
        <w:t>;</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Heading5"/>
      </w:pPr>
      <w:bookmarkStart w:id="127" w:name="_Toc275158431"/>
      <w:bookmarkStart w:id="128" w:name="_Toc328561762"/>
      <w:bookmarkStart w:id="129" w:name="_Toc424727284"/>
      <w:r>
        <w:rPr>
          <w:rStyle w:val="CharSectno"/>
        </w:rPr>
        <w:t>12</w:t>
      </w:r>
      <w:r>
        <w:t>.</w:t>
      </w:r>
      <w:r>
        <w:tab/>
        <w:t>Tobacco products not to be sold or supplied at pharmacies</w:t>
      </w:r>
      <w:bookmarkEnd w:id="127"/>
      <w:bookmarkEnd w:id="128"/>
      <w:bookmarkEnd w:id="129"/>
    </w:p>
    <w:p>
      <w:pPr>
        <w:pStyle w:val="Subsection"/>
      </w:pPr>
      <w:r>
        <w:tab/>
      </w:r>
      <w:r>
        <w:tab/>
        <w:t>A person must not sell or supply a tobacco product at a registered pharmacy.</w:t>
      </w:r>
    </w:p>
    <w:p>
      <w:pPr>
        <w:pStyle w:val="Penstart"/>
      </w:pPr>
      <w:r>
        <w:tab/>
        <w:t>Penalty: a fine of $5 000.</w:t>
      </w:r>
    </w:p>
    <w:p>
      <w:pPr>
        <w:pStyle w:val="Heading5"/>
      </w:pPr>
      <w:bookmarkStart w:id="130" w:name="_Toc275158432"/>
      <w:bookmarkStart w:id="131" w:name="_Toc328561763"/>
      <w:bookmarkStart w:id="132" w:name="_Toc424727285"/>
      <w:r>
        <w:rPr>
          <w:rStyle w:val="CharSectno"/>
        </w:rPr>
        <w:t>13</w:t>
      </w:r>
      <w:r>
        <w:t>.</w:t>
      </w:r>
      <w:r>
        <w:tab/>
        <w:t xml:space="preserve">Minimum standards of fitness for the competent and safe practice of pharmacy — </w:t>
      </w:r>
      <w:r>
        <w:rPr>
          <w:snapToGrid w:val="0"/>
        </w:rPr>
        <w:t>Schedule 1</w:t>
      </w:r>
      <w:bookmarkEnd w:id="130"/>
      <w:bookmarkEnd w:id="131"/>
      <w:bookmarkEnd w:id="132"/>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33" w:name="_Toc275158433"/>
      <w:bookmarkStart w:id="134" w:name="_Toc328561764"/>
      <w:bookmarkStart w:id="135" w:name="_Toc424727286"/>
      <w:r>
        <w:rPr>
          <w:rStyle w:val="CharSectno"/>
        </w:rPr>
        <w:t>14</w:t>
      </w:r>
      <w:r>
        <w:t>.</w:t>
      </w:r>
      <w:r>
        <w:tab/>
        <w:t>Significant alteration to a pharmacy</w:t>
      </w:r>
      <w:bookmarkEnd w:id="133"/>
      <w:bookmarkEnd w:id="134"/>
      <w:bookmarkEnd w:id="135"/>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36" w:name="_Toc275158434"/>
      <w:bookmarkStart w:id="137" w:name="_Toc328561765"/>
      <w:bookmarkStart w:id="138" w:name="_Toc424727287"/>
      <w:r>
        <w:rPr>
          <w:rStyle w:val="CharSectno"/>
        </w:rPr>
        <w:t>15</w:t>
      </w:r>
      <w:r>
        <w:t>.</w:t>
      </w:r>
      <w:r>
        <w:tab/>
        <w:t>Pharmacy to be well lit, air conditioned and kept clean and in good repair</w:t>
      </w:r>
      <w:bookmarkEnd w:id="136"/>
      <w:bookmarkEnd w:id="137"/>
      <w:bookmarkEnd w:id="138"/>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39" w:name="_Toc275158435"/>
      <w:bookmarkStart w:id="140" w:name="_Toc328561766"/>
      <w:bookmarkStart w:id="141" w:name="_Toc424727288"/>
      <w:r>
        <w:rPr>
          <w:rStyle w:val="CharSectno"/>
        </w:rPr>
        <w:t>16</w:t>
      </w:r>
      <w:r>
        <w:t>.</w:t>
      </w:r>
      <w:r>
        <w:tab/>
        <w:t>Record keeping</w:t>
      </w:r>
      <w:bookmarkEnd w:id="139"/>
      <w:bookmarkEnd w:id="140"/>
      <w:bookmarkEnd w:id="141"/>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142" w:name="_Toc275158436"/>
      <w:bookmarkStart w:id="143" w:name="_Toc275159090"/>
      <w:bookmarkStart w:id="144" w:name="_Toc275258614"/>
      <w:bookmarkStart w:id="145" w:name="_Toc326236452"/>
      <w:bookmarkStart w:id="146" w:name="_Toc326239287"/>
      <w:bookmarkStart w:id="147" w:name="_Toc326239323"/>
      <w:bookmarkStart w:id="148" w:name="_Toc328561720"/>
      <w:bookmarkStart w:id="149" w:name="_Toc328561767"/>
      <w:bookmarkStart w:id="150" w:name="_Toc424727234"/>
      <w:bookmarkStart w:id="151" w:name="_Toc424727289"/>
      <w:r>
        <w:rPr>
          <w:rStyle w:val="CharPartNo"/>
        </w:rPr>
        <w:t>Part 5</w:t>
      </w:r>
      <w:r>
        <w:rPr>
          <w:rStyle w:val="CharDivNo"/>
        </w:rPr>
        <w:t> </w:t>
      </w:r>
      <w:r>
        <w:t>—</w:t>
      </w:r>
      <w:r>
        <w:rPr>
          <w:rStyle w:val="CharDivText"/>
        </w:rPr>
        <w:t> </w:t>
      </w:r>
      <w:r>
        <w:rPr>
          <w:rStyle w:val="CharPartText"/>
        </w:rPr>
        <w:t>Other matters</w:t>
      </w:r>
      <w:bookmarkEnd w:id="142"/>
      <w:bookmarkEnd w:id="143"/>
      <w:bookmarkEnd w:id="144"/>
      <w:bookmarkEnd w:id="145"/>
      <w:bookmarkEnd w:id="146"/>
      <w:bookmarkEnd w:id="147"/>
      <w:bookmarkEnd w:id="148"/>
      <w:bookmarkEnd w:id="149"/>
      <w:bookmarkEnd w:id="150"/>
      <w:bookmarkEnd w:id="151"/>
    </w:p>
    <w:p>
      <w:pPr>
        <w:pStyle w:val="Heading5"/>
      </w:pPr>
      <w:bookmarkStart w:id="152" w:name="_Toc275158437"/>
      <w:bookmarkStart w:id="153" w:name="_Toc328561768"/>
      <w:bookmarkStart w:id="154" w:name="_Toc424727290"/>
      <w:r>
        <w:rPr>
          <w:rStyle w:val="CharSectno"/>
        </w:rPr>
        <w:t>17</w:t>
      </w:r>
      <w:r>
        <w:t>.</w:t>
      </w:r>
      <w:r>
        <w:tab/>
        <w:t>Person ceasing to be a close family member of a pharmacist (s. 58(4)(a))</w:t>
      </w:r>
      <w:bookmarkEnd w:id="152"/>
      <w:bookmarkEnd w:id="153"/>
      <w:bookmarkEnd w:id="154"/>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155" w:name="_Toc275158438"/>
      <w:bookmarkStart w:id="156" w:name="_Toc328561769"/>
      <w:bookmarkStart w:id="157" w:name="_Toc424727291"/>
      <w:r>
        <w:rPr>
          <w:rStyle w:val="CharSectno"/>
        </w:rPr>
        <w:t>18</w:t>
      </w:r>
      <w:r>
        <w:t>.</w:t>
      </w:r>
      <w:r>
        <w:tab/>
        <w:t>Fee to obtain copy of minutes of Board (s. 33(4))</w:t>
      </w:r>
      <w:bookmarkEnd w:id="155"/>
      <w:bookmarkEnd w:id="156"/>
      <w:bookmarkEnd w:id="157"/>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158" w:name="_Toc275158439"/>
    </w:p>
    <w:p>
      <w:pPr>
        <w:pStyle w:val="yScheduleHeading"/>
        <w:outlineLvl w:val="0"/>
      </w:pPr>
      <w:bookmarkStart w:id="159" w:name="_Toc275159093"/>
      <w:bookmarkStart w:id="160" w:name="_Toc275258617"/>
      <w:bookmarkStart w:id="161" w:name="_Toc326236455"/>
      <w:bookmarkStart w:id="162" w:name="_Toc326239290"/>
      <w:bookmarkStart w:id="163" w:name="_Toc326239326"/>
      <w:bookmarkStart w:id="164" w:name="_Toc328561723"/>
      <w:bookmarkStart w:id="165" w:name="_Toc328561770"/>
      <w:bookmarkStart w:id="166" w:name="_Toc424727237"/>
      <w:bookmarkStart w:id="167" w:name="_Toc424727292"/>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58"/>
      <w:bookmarkEnd w:id="159"/>
      <w:bookmarkEnd w:id="160"/>
      <w:bookmarkEnd w:id="161"/>
      <w:bookmarkEnd w:id="162"/>
      <w:bookmarkEnd w:id="163"/>
      <w:bookmarkEnd w:id="164"/>
      <w:bookmarkEnd w:id="165"/>
      <w:bookmarkEnd w:id="166"/>
      <w:bookmarkEnd w:id="167"/>
    </w:p>
    <w:p>
      <w:pPr>
        <w:pStyle w:val="yShoulderClause"/>
      </w:pPr>
      <w:r>
        <w:t>[r. 13]</w:t>
      </w:r>
    </w:p>
    <w:p>
      <w:pPr>
        <w:pStyle w:val="yHeading5"/>
      </w:pPr>
      <w:bookmarkStart w:id="168" w:name="_Toc275158440"/>
      <w:bookmarkStart w:id="169" w:name="_Toc328561771"/>
      <w:bookmarkStart w:id="170" w:name="_Toc424727293"/>
      <w:r>
        <w:rPr>
          <w:rStyle w:val="CharSClsNo"/>
        </w:rPr>
        <w:t>1</w:t>
      </w:r>
      <w:r>
        <w:t>.</w:t>
      </w:r>
      <w:r>
        <w:tab/>
        <w:t>Premises generally</w:t>
      </w:r>
      <w:bookmarkEnd w:id="168"/>
      <w:bookmarkEnd w:id="169"/>
      <w:bookmarkEnd w:id="170"/>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171" w:name="_Toc275158441"/>
      <w:bookmarkStart w:id="172" w:name="_Toc328561772"/>
      <w:bookmarkStart w:id="173" w:name="_Toc424727294"/>
      <w:r>
        <w:rPr>
          <w:rStyle w:val="CharSClsNo"/>
        </w:rPr>
        <w:t>2</w:t>
      </w:r>
      <w:r>
        <w:t>.</w:t>
      </w:r>
      <w:r>
        <w:tab/>
        <w:t>Premises, fixtures and fittings to be clean etc.</w:t>
      </w:r>
      <w:bookmarkEnd w:id="171"/>
      <w:bookmarkEnd w:id="172"/>
      <w:bookmarkEnd w:id="173"/>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174" w:name="_Toc275158442"/>
      <w:bookmarkStart w:id="175" w:name="_Toc328561773"/>
      <w:bookmarkStart w:id="176" w:name="_Toc424727295"/>
      <w:r>
        <w:rPr>
          <w:rStyle w:val="CharSClsNo"/>
        </w:rPr>
        <w:t>3</w:t>
      </w:r>
      <w:r>
        <w:t>.</w:t>
      </w:r>
      <w:r>
        <w:tab/>
        <w:t>Equipment on premises</w:t>
      </w:r>
      <w:bookmarkEnd w:id="174"/>
      <w:bookmarkEnd w:id="175"/>
      <w:bookmarkEnd w:id="176"/>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177" w:name="_Toc275158443"/>
      <w:bookmarkStart w:id="178" w:name="_Toc328561774"/>
      <w:bookmarkStart w:id="179" w:name="_Toc424727296"/>
      <w:r>
        <w:rPr>
          <w:rStyle w:val="CharSClsNo"/>
        </w:rPr>
        <w:t>4</w:t>
      </w:r>
      <w:r>
        <w:t>.</w:t>
      </w:r>
      <w:r>
        <w:tab/>
        <w:t>Access to reference documents</w:t>
      </w:r>
      <w:bookmarkEnd w:id="177"/>
      <w:bookmarkEnd w:id="178"/>
      <w:bookmarkEnd w:id="179"/>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iCs/>
        </w:rPr>
        <w:t>Poisons Act 1964</w:t>
      </w:r>
      <w:r>
        <w:t xml:space="preserve"> and the </w:t>
      </w:r>
      <w:r>
        <w:rPr>
          <w:i/>
          <w:iCs/>
        </w:rPr>
        <w:t>Poisons Regulations 1965</w:t>
      </w:r>
      <w:r>
        <w:t>.</w:t>
      </w:r>
    </w:p>
    <w:p>
      <w:pPr>
        <w:pStyle w:val="yHeading5"/>
      </w:pPr>
      <w:bookmarkStart w:id="180" w:name="_Toc275158444"/>
      <w:bookmarkStart w:id="181" w:name="_Toc328561775"/>
      <w:bookmarkStart w:id="182" w:name="_Toc424727297"/>
      <w:r>
        <w:rPr>
          <w:rStyle w:val="CharSClsNo"/>
        </w:rPr>
        <w:t>5</w:t>
      </w:r>
      <w:r>
        <w:t>.</w:t>
      </w:r>
      <w:r>
        <w:tab/>
        <w:t>Records</w:t>
      </w:r>
      <w:bookmarkEnd w:id="180"/>
      <w:bookmarkEnd w:id="181"/>
      <w:bookmarkEnd w:id="182"/>
    </w:p>
    <w:p>
      <w:pPr>
        <w:pStyle w:val="ySubsection"/>
      </w:pPr>
      <w:r>
        <w:tab/>
      </w:r>
      <w:r>
        <w:tab/>
        <w:t>The premises are to have a safe and secure location for the keeping of records made under regulation 16.</w:t>
      </w:r>
    </w:p>
    <w:p>
      <w:pPr>
        <w:pStyle w:val="yHeading5"/>
      </w:pPr>
      <w:bookmarkStart w:id="183" w:name="_Toc275158445"/>
      <w:bookmarkStart w:id="184" w:name="_Toc328561776"/>
      <w:bookmarkStart w:id="185" w:name="_Toc424727298"/>
      <w:r>
        <w:rPr>
          <w:rStyle w:val="CharSClsNo"/>
        </w:rPr>
        <w:t>6</w:t>
      </w:r>
      <w:r>
        <w:t>.</w:t>
      </w:r>
      <w:r>
        <w:tab/>
        <w:t>Dispensary</w:t>
      </w:r>
      <w:bookmarkEnd w:id="183"/>
      <w:bookmarkEnd w:id="184"/>
      <w:bookmarkEnd w:id="185"/>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186" w:name="_Toc275158446"/>
      <w:bookmarkStart w:id="187" w:name="_Toc328561777"/>
      <w:bookmarkStart w:id="188" w:name="_Toc424727299"/>
      <w:r>
        <w:rPr>
          <w:rStyle w:val="CharSClsNo"/>
        </w:rPr>
        <w:t>7</w:t>
      </w:r>
      <w:r>
        <w:t>.</w:t>
      </w:r>
      <w:r>
        <w:tab/>
        <w:t>Area for private consultation</w:t>
      </w:r>
      <w:bookmarkEnd w:id="186"/>
      <w:bookmarkEnd w:id="187"/>
      <w:bookmarkEnd w:id="188"/>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190" w:name="_Toc275158447"/>
      <w:bookmarkStart w:id="191" w:name="_Toc275159101"/>
      <w:bookmarkStart w:id="192" w:name="_Toc275258625"/>
      <w:bookmarkStart w:id="193" w:name="_Toc326236463"/>
      <w:bookmarkStart w:id="194" w:name="_Toc326239298"/>
      <w:bookmarkStart w:id="195" w:name="_Toc326239334"/>
      <w:bookmarkStart w:id="196" w:name="_Toc328561731"/>
      <w:bookmarkStart w:id="197" w:name="_Toc328561778"/>
      <w:bookmarkStart w:id="198" w:name="_Toc424727245"/>
      <w:bookmarkStart w:id="199" w:name="_Toc424727300"/>
      <w:r>
        <w:rPr>
          <w:rStyle w:val="CharSchNo"/>
        </w:rPr>
        <w:t>Schedule 2</w:t>
      </w:r>
      <w:r>
        <w:rPr>
          <w:rStyle w:val="CharSDivNo"/>
        </w:rPr>
        <w:t> </w:t>
      </w:r>
      <w:r>
        <w:t>—</w:t>
      </w:r>
      <w:r>
        <w:rPr>
          <w:rStyle w:val="CharSDivText"/>
        </w:rPr>
        <w:t> </w:t>
      </w:r>
      <w:r>
        <w:rPr>
          <w:rStyle w:val="CharSchText"/>
        </w:rPr>
        <w:t>Fees</w:t>
      </w:r>
      <w:bookmarkEnd w:id="190"/>
      <w:bookmarkEnd w:id="191"/>
      <w:bookmarkEnd w:id="192"/>
      <w:bookmarkEnd w:id="193"/>
      <w:bookmarkEnd w:id="194"/>
      <w:bookmarkEnd w:id="195"/>
      <w:bookmarkEnd w:id="196"/>
      <w:bookmarkEnd w:id="197"/>
      <w:bookmarkEnd w:id="198"/>
      <w:bookmarkEnd w:id="19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$850</w:t>
            </w:r>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$650</w:t>
            </w:r>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$500</w:t>
            </w:r>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pStyle w:val="yFootnotesection"/>
      </w:pPr>
      <w:bookmarkStart w:id="200" w:name="_Toc119746908"/>
      <w:bookmarkStart w:id="201" w:name="_Toc264280905"/>
      <w:bookmarkStart w:id="202" w:name="_Toc267996921"/>
      <w:bookmarkStart w:id="203" w:name="_Toc273699929"/>
      <w:bookmarkStart w:id="204" w:name="_Toc273700227"/>
      <w:bookmarkStart w:id="205" w:name="_Toc273700233"/>
      <w:r>
        <w:tab/>
        <w:t>[Schedule 2 amended in Gazette 1 Jun 2012 p. 2281.]</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06" w:name="_Toc275159102"/>
      <w:bookmarkStart w:id="207" w:name="_Toc275258626"/>
      <w:bookmarkStart w:id="208" w:name="_Toc326236464"/>
      <w:bookmarkStart w:id="209" w:name="_Toc326239299"/>
      <w:bookmarkStart w:id="210" w:name="_Toc326239335"/>
      <w:bookmarkStart w:id="211" w:name="_Toc328561732"/>
      <w:bookmarkStart w:id="212" w:name="_Toc328561779"/>
      <w:bookmarkStart w:id="213" w:name="_Toc424727246"/>
      <w:bookmarkStart w:id="214" w:name="_Toc424727301"/>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and includes the amendments made by the other written laws referred to in the following table.</w:t>
      </w:r>
    </w:p>
    <w:p>
      <w:pPr>
        <w:pStyle w:val="nHeading3"/>
      </w:pPr>
      <w:bookmarkStart w:id="215" w:name="_Toc70311430"/>
      <w:bookmarkStart w:id="216" w:name="_Toc273699930"/>
      <w:bookmarkStart w:id="217" w:name="_Toc328561780"/>
      <w:bookmarkStart w:id="218" w:name="_Toc424727302"/>
      <w:r>
        <w:t>Compilation table</w:t>
      </w:r>
      <w:bookmarkEnd w:id="215"/>
      <w:bookmarkEnd w:id="216"/>
      <w:bookmarkEnd w:id="217"/>
      <w:bookmarkEnd w:id="2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lang w:val="en-US"/>
              </w:rPr>
              <w:t>r. 1 and 2: 1 Oct 2010 (see r. 2(a));</w:t>
            </w:r>
            <w:r>
              <w:rPr>
                <w:snapToGrid w:val="0"/>
                <w:lang w:val="en-US"/>
              </w:rPr>
              <w:br/>
              <w:t xml:space="preserve">Regulations other than r. 1 and 2: 18 Oct 2010 (see r. 2(b) and </w:t>
            </w:r>
            <w:r>
              <w:rPr>
                <w:i/>
                <w:iCs/>
                <w:snapToGrid w:val="0"/>
                <w:lang w:val="en-US"/>
              </w:rPr>
              <w:t>Gazette</w:t>
            </w:r>
            <w:r>
              <w:rPr>
                <w:snapToGrid w:val="0"/>
                <w:lang w:val="en-US"/>
              </w:rPr>
              <w:t xml:space="preserve"> 1 Oct 2010 p. 5076)</w:t>
            </w:r>
          </w:p>
        </w:tc>
      </w:tr>
      <w:tr>
        <w:tc>
          <w:tcPr>
            <w:tcW w:w="3118" w:type="dxa"/>
            <w:tcBorders>
              <w:top w:val="nil"/>
              <w:bottom w:val="single" w:sz="4" w:space="0" w:color="auto"/>
            </w:tcBorders>
          </w:tcPr>
          <w:p>
            <w:pPr>
              <w:pStyle w:val="nTable"/>
              <w:spacing w:after="40"/>
              <w:rPr>
                <w:iCs/>
              </w:rPr>
            </w:pPr>
            <w:r>
              <w:rPr>
                <w:i/>
              </w:rPr>
              <w:t>Pharmacy Amendment Regulations 2012</w:t>
            </w:r>
          </w:p>
        </w:tc>
        <w:tc>
          <w:tcPr>
            <w:tcW w:w="1276" w:type="dxa"/>
            <w:tcBorders>
              <w:top w:val="nil"/>
              <w:bottom w:val="single" w:sz="4" w:space="0" w:color="auto"/>
            </w:tcBorders>
          </w:tcPr>
          <w:p>
            <w:pPr>
              <w:pStyle w:val="nTable"/>
              <w:spacing w:after="40"/>
            </w:pPr>
            <w:r>
              <w:t>1 Jun 2012 p. 2280</w:t>
            </w:r>
            <w:r>
              <w:noBreakHyphen/>
              <w:t>1</w:t>
            </w:r>
          </w:p>
        </w:tc>
        <w:tc>
          <w:tcPr>
            <w:tcW w:w="2693" w:type="dxa"/>
            <w:tcBorders>
              <w:top w:val="nil"/>
              <w:bottom w:val="single" w:sz="4" w:space="0" w:color="auto"/>
            </w:tcBorders>
          </w:tcPr>
          <w:p>
            <w:pPr>
              <w:pStyle w:val="nTable"/>
              <w:spacing w:after="40"/>
              <w:rPr>
                <w:snapToGrid w:val="0"/>
                <w:lang w:val="en-US"/>
              </w:rPr>
            </w:pPr>
            <w:r>
              <w:rPr>
                <w:snapToGrid w:val="0"/>
                <w:lang w:val="en-US"/>
              </w:rPr>
              <w:t>r. 1 and 2: 1 Jun 2012 (see r. 2(a));</w:t>
            </w:r>
            <w:r>
              <w:rPr>
                <w:snapToGrid w:val="0"/>
                <w:lang w:val="en-US"/>
              </w:rPr>
              <w:br/>
              <w:t>Regulations other than r. 1 and 2: 1 Jul 2012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0" w:name="_Toc424727303"/>
      <w:r>
        <w:rPr>
          <w:sz w:val="28"/>
        </w:rPr>
        <w:t>Defined terms</w:t>
      </w:r>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dispensary</w:t>
      </w:r>
      <w:r>
        <w:tab/>
        <w:t>Sch. 1 cl. 6(1)</w:t>
      </w:r>
    </w:p>
    <w:p>
      <w:pPr>
        <w:pStyle w:val="DefinedTerms"/>
      </w:pPr>
      <w:r>
        <w:t>pharmacist with overall responsibility,</w:t>
      </w:r>
      <w:r>
        <w:tab/>
        <w:t>11</w:t>
      </w:r>
    </w:p>
    <w:p>
      <w:pPr>
        <w:pStyle w:val="DefinedTerms"/>
      </w:pPr>
      <w:r>
        <w:t>pharmacy registered under the old Act</w:t>
      </w:r>
      <w:r>
        <w:tab/>
        <w:t>11</w:t>
      </w:r>
    </w:p>
    <w:p>
      <w:pPr>
        <w:pStyle w:val="DefinedTerms"/>
      </w:pPr>
      <w:r>
        <w:t>prescription</w:t>
      </w:r>
      <w:r>
        <w:tab/>
        <w:t>11</w:t>
      </w:r>
    </w:p>
    <w:p>
      <w:pPr>
        <w:pStyle w:val="DefinedTerms"/>
      </w:pPr>
      <w:r>
        <w:t>significant alteration</w:t>
      </w:r>
      <w:r>
        <w:tab/>
        <w:t>11</w:t>
      </w:r>
    </w:p>
    <w:p>
      <w:pPr>
        <w:pStyle w:val="DefinedTerms"/>
      </w:pPr>
      <w:r>
        <w:t>tobacco product</w:t>
      </w:r>
      <w:r>
        <w:tab/>
        <w:t>11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16"/>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3073</Words>
  <Characters>14720</Characters>
  <Application>Microsoft Office Word</Application>
  <DocSecurity>0</DocSecurity>
  <Lines>525</Lines>
  <Paragraphs>355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Manager/>
  <Company/>
  <LinksUpToDate>false</LinksUpToDate>
  <CharactersWithSpaces>17438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2010 - 00-d0-04</dc:title>
  <dc:subject/>
  <dc:creator/>
  <cp:keywords/>
  <dc:description/>
  <cp:lastModifiedBy>svcMRProcess</cp:lastModifiedBy>
  <cp:revision>4</cp:revision>
  <cp:lastPrinted>2010-09-14T02:43:00Z</cp:lastPrinted>
  <dcterms:created xsi:type="dcterms:W3CDTF">2015-11-10T06:52:00Z</dcterms:created>
  <dcterms:modified xsi:type="dcterms:W3CDTF">2015-11-10T06:52:00Z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AsAtDate">
    <vt:lpwstr>01 Jul 2012</vt:lpwstr>
  </property>
  <property fmtid="{D5CDD505-2E9C-101B-9397-08002B2CF9AE}" pid="6" name="Suffix">
    <vt:lpwstr>00-d0-04</vt:lpwstr>
  </property>
</Properties>
</file>