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4" name="Picture 1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Water Agencies (Powers) Act 1984</w:t>
      </w:r>
    </w:p>
    <w:p>
      <w:pPr>
        <w:pStyle w:val="NameofActRegPage1"/>
        <w:spacing w:before="1980" w:after="4200"/>
        <w:ind w:left="482"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Water Agencies (Charges) By-laws 1987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Water Agencies (Charges) By-laws 1987</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_Toc328471418 \h </w:instrText>
      </w:r>
      <w:r>
        <w:fldChar w:fldCharType="separate"/>
      </w:r>
      <w:r>
        <w:t>1</w:t>
      </w:r>
      <w:r>
        <w:fldChar w:fldCharType="end"/>
      </w:r>
    </w:p>
    <w:p>
      <w:pPr>
        <w:pStyle w:val="TOC8"/>
        <w:rPr>
          <w:sz w:val="24"/>
          <w:szCs w:val="24"/>
          <w:lang w:val="en-US"/>
        </w:rPr>
      </w:pPr>
      <w:r>
        <w:t>2</w:t>
      </w:r>
      <w:r>
        <w:rPr>
          <w:snapToGrid w:val="0"/>
        </w:rPr>
        <w:t>.</w:t>
      </w:r>
      <w:r>
        <w:rPr>
          <w:snapToGrid w:val="0"/>
        </w:rPr>
        <w:tab/>
        <w:t>Terms used</w:t>
      </w:r>
      <w:r>
        <w:tab/>
      </w:r>
      <w:r>
        <w:fldChar w:fldCharType="begin"/>
      </w:r>
      <w:r>
        <w:instrText xml:space="preserve"> PAGEREF _Toc328471419 \h </w:instrText>
      </w:r>
      <w:r>
        <w:fldChar w:fldCharType="separate"/>
      </w:r>
      <w:r>
        <w:t>1</w:t>
      </w:r>
      <w:r>
        <w:fldChar w:fldCharType="end"/>
      </w:r>
    </w:p>
    <w:p>
      <w:pPr>
        <w:pStyle w:val="TOC2"/>
        <w:tabs>
          <w:tab w:val="right" w:leader="dot" w:pos="7086"/>
        </w:tabs>
        <w:rPr>
          <w:b w:val="0"/>
          <w:sz w:val="24"/>
          <w:szCs w:val="24"/>
          <w:lang w:val="en-US"/>
        </w:rPr>
      </w:pPr>
      <w:r>
        <w:t>Part 1 — General</w:t>
      </w:r>
    </w:p>
    <w:p>
      <w:pPr>
        <w:pStyle w:val="TOC8"/>
        <w:rPr>
          <w:sz w:val="24"/>
          <w:szCs w:val="24"/>
          <w:lang w:val="en-US"/>
        </w:rPr>
      </w:pPr>
      <w:r>
        <w:t>3</w:t>
      </w:r>
      <w:r>
        <w:rPr>
          <w:snapToGrid w:val="0"/>
        </w:rPr>
        <w:t>.</w:t>
      </w:r>
      <w:r>
        <w:rPr>
          <w:snapToGrid w:val="0"/>
        </w:rPr>
        <w:tab/>
        <w:t>Proportionate charges for part of year</w:t>
      </w:r>
      <w:r>
        <w:tab/>
      </w:r>
      <w:r>
        <w:fldChar w:fldCharType="begin"/>
      </w:r>
      <w:r>
        <w:instrText xml:space="preserve"> PAGEREF _Toc328471421 \h </w:instrText>
      </w:r>
      <w:r>
        <w:fldChar w:fldCharType="separate"/>
      </w:r>
      <w:r>
        <w:t>9</w:t>
      </w:r>
      <w:r>
        <w:fldChar w:fldCharType="end"/>
      </w:r>
    </w:p>
    <w:p>
      <w:pPr>
        <w:pStyle w:val="TOC8"/>
        <w:rPr>
          <w:sz w:val="24"/>
          <w:szCs w:val="24"/>
          <w:lang w:val="en-US"/>
        </w:rPr>
      </w:pPr>
      <w:r>
        <w:t>3A</w:t>
      </w:r>
      <w:r>
        <w:rPr>
          <w:snapToGrid w:val="0"/>
        </w:rPr>
        <w:t>.</w:t>
      </w:r>
      <w:r>
        <w:rPr>
          <w:snapToGrid w:val="0"/>
        </w:rPr>
        <w:tab/>
        <w:t>Minimum charge prior to revaluation</w:t>
      </w:r>
      <w:r>
        <w:tab/>
      </w:r>
      <w:r>
        <w:fldChar w:fldCharType="begin"/>
      </w:r>
      <w:r>
        <w:instrText xml:space="preserve"> PAGEREF _Toc328471422 \h </w:instrText>
      </w:r>
      <w:r>
        <w:fldChar w:fldCharType="separate"/>
      </w:r>
      <w:r>
        <w:t>10</w:t>
      </w:r>
      <w:r>
        <w:fldChar w:fldCharType="end"/>
      </w:r>
    </w:p>
    <w:p>
      <w:pPr>
        <w:pStyle w:val="TOC8"/>
        <w:rPr>
          <w:sz w:val="24"/>
          <w:szCs w:val="24"/>
          <w:lang w:val="en-US"/>
        </w:rPr>
      </w:pPr>
      <w:r>
        <w:t>4</w:t>
      </w:r>
      <w:r>
        <w:rPr>
          <w:snapToGrid w:val="0"/>
        </w:rPr>
        <w:t>.</w:t>
      </w:r>
      <w:r>
        <w:rPr>
          <w:snapToGrid w:val="0"/>
        </w:rPr>
        <w:tab/>
        <w:t>Exempt land</w:t>
      </w:r>
      <w:r>
        <w:tab/>
      </w:r>
      <w:r>
        <w:fldChar w:fldCharType="begin"/>
      </w:r>
      <w:r>
        <w:instrText xml:space="preserve"> PAGEREF _Toc328471423 \h </w:instrText>
      </w:r>
      <w:r>
        <w:fldChar w:fldCharType="separate"/>
      </w:r>
      <w:r>
        <w:t>10</w:t>
      </w:r>
      <w:r>
        <w:fldChar w:fldCharType="end"/>
      </w:r>
    </w:p>
    <w:p>
      <w:pPr>
        <w:pStyle w:val="TOC8"/>
        <w:rPr>
          <w:sz w:val="24"/>
          <w:szCs w:val="24"/>
          <w:lang w:val="en-US"/>
        </w:rPr>
      </w:pPr>
      <w:r>
        <w:t>5A.</w:t>
      </w:r>
      <w:r>
        <w:tab/>
        <w:t>Exempt land, amount of exemption calculated</w:t>
      </w:r>
      <w:r>
        <w:tab/>
      </w:r>
      <w:r>
        <w:fldChar w:fldCharType="begin"/>
      </w:r>
      <w:r>
        <w:instrText xml:space="preserve"> PAGEREF _Toc328471424 \h </w:instrText>
      </w:r>
      <w:r>
        <w:fldChar w:fldCharType="separate"/>
      </w:r>
      <w:r>
        <w:t>13</w:t>
      </w:r>
      <w:r>
        <w:fldChar w:fldCharType="end"/>
      </w:r>
    </w:p>
    <w:p>
      <w:pPr>
        <w:pStyle w:val="TOC8"/>
        <w:rPr>
          <w:sz w:val="24"/>
          <w:szCs w:val="24"/>
          <w:lang w:val="en-US"/>
        </w:rPr>
      </w:pPr>
      <w:r>
        <w:t>5</w:t>
      </w:r>
      <w:r>
        <w:rPr>
          <w:snapToGrid w:val="0"/>
        </w:rPr>
        <w:t>.</w:t>
      </w:r>
      <w:r>
        <w:rPr>
          <w:snapToGrid w:val="0"/>
        </w:rPr>
        <w:tab/>
        <w:t>Separately assessable residential land</w:t>
      </w:r>
      <w:r>
        <w:tab/>
      </w:r>
      <w:r>
        <w:fldChar w:fldCharType="begin"/>
      </w:r>
      <w:r>
        <w:instrText xml:space="preserve"> PAGEREF _Toc328471425 \h </w:instrText>
      </w:r>
      <w:r>
        <w:fldChar w:fldCharType="separate"/>
      </w:r>
      <w:r>
        <w:t>14</w:t>
      </w:r>
      <w:r>
        <w:fldChar w:fldCharType="end"/>
      </w:r>
    </w:p>
    <w:p>
      <w:pPr>
        <w:pStyle w:val="TOC8"/>
        <w:rPr>
          <w:sz w:val="24"/>
          <w:szCs w:val="24"/>
          <w:lang w:val="en-US"/>
        </w:rPr>
      </w:pPr>
      <w:r>
        <w:t>6</w:t>
      </w:r>
      <w:r>
        <w:rPr>
          <w:snapToGrid w:val="0"/>
        </w:rPr>
        <w:t>.</w:t>
      </w:r>
      <w:r>
        <w:rPr>
          <w:snapToGrid w:val="0"/>
        </w:rPr>
        <w:tab/>
        <w:t>Estimation upon meter malfunction or of non</w:t>
      </w:r>
      <w:r>
        <w:rPr>
          <w:snapToGrid w:val="0"/>
        </w:rPr>
        <w:noBreakHyphen/>
        <w:t>metered quantity</w:t>
      </w:r>
      <w:r>
        <w:tab/>
      </w:r>
      <w:r>
        <w:fldChar w:fldCharType="begin"/>
      </w:r>
      <w:r>
        <w:instrText xml:space="preserve"> PAGEREF _Toc328471426 \h </w:instrText>
      </w:r>
      <w:r>
        <w:fldChar w:fldCharType="separate"/>
      </w:r>
      <w:r>
        <w:t>14</w:t>
      </w:r>
      <w:r>
        <w:fldChar w:fldCharType="end"/>
      </w:r>
    </w:p>
    <w:p>
      <w:pPr>
        <w:pStyle w:val="TOC8"/>
        <w:rPr>
          <w:sz w:val="24"/>
          <w:szCs w:val="24"/>
          <w:lang w:val="en-US"/>
        </w:rPr>
      </w:pPr>
      <w:r>
        <w:t>7</w:t>
      </w:r>
      <w:r>
        <w:rPr>
          <w:snapToGrid w:val="0"/>
        </w:rPr>
        <w:t>.</w:t>
      </w:r>
      <w:r>
        <w:rPr>
          <w:snapToGrid w:val="0"/>
        </w:rPr>
        <w:tab/>
        <w:t>Manner of payment of charges other than quantity and single capital infrastructure charges</w:t>
      </w:r>
      <w:r>
        <w:tab/>
      </w:r>
      <w:r>
        <w:fldChar w:fldCharType="begin"/>
      </w:r>
      <w:r>
        <w:instrText xml:space="preserve"> PAGEREF _Toc328471427 \h </w:instrText>
      </w:r>
      <w:r>
        <w:fldChar w:fldCharType="separate"/>
      </w:r>
      <w:r>
        <w:t>15</w:t>
      </w:r>
      <w:r>
        <w:fldChar w:fldCharType="end"/>
      </w:r>
    </w:p>
    <w:p>
      <w:pPr>
        <w:pStyle w:val="TOC8"/>
        <w:rPr>
          <w:sz w:val="24"/>
          <w:szCs w:val="24"/>
          <w:lang w:val="en-US"/>
        </w:rPr>
      </w:pPr>
      <w:r>
        <w:t>7A</w:t>
      </w:r>
      <w:r>
        <w:rPr>
          <w:snapToGrid w:val="0"/>
        </w:rPr>
        <w:t>.</w:t>
      </w:r>
      <w:r>
        <w:rPr>
          <w:snapToGrid w:val="0"/>
        </w:rPr>
        <w:tab/>
        <w:t>Manner of payment of quantity charges</w:t>
      </w:r>
      <w:r>
        <w:tab/>
      </w:r>
      <w:r>
        <w:fldChar w:fldCharType="begin"/>
      </w:r>
      <w:r>
        <w:instrText xml:space="preserve"> PAGEREF _Toc328471428 \h </w:instrText>
      </w:r>
      <w:r>
        <w:fldChar w:fldCharType="separate"/>
      </w:r>
      <w:r>
        <w:t>17</w:t>
      </w:r>
      <w:r>
        <w:fldChar w:fldCharType="end"/>
      </w:r>
    </w:p>
    <w:p>
      <w:pPr>
        <w:pStyle w:val="TOC8"/>
        <w:rPr>
          <w:sz w:val="24"/>
          <w:szCs w:val="24"/>
          <w:lang w:val="en-US"/>
        </w:rPr>
      </w:pPr>
      <w:r>
        <w:t>7B</w:t>
      </w:r>
      <w:r>
        <w:rPr>
          <w:snapToGrid w:val="0"/>
        </w:rPr>
        <w:t>.</w:t>
      </w:r>
      <w:r>
        <w:rPr>
          <w:snapToGrid w:val="0"/>
        </w:rPr>
        <w:tab/>
        <w:t>Manner of payment of single capital infrastructure charges</w:t>
      </w:r>
      <w:r>
        <w:tab/>
      </w:r>
      <w:r>
        <w:fldChar w:fldCharType="begin"/>
      </w:r>
      <w:r>
        <w:instrText xml:space="preserve"> PAGEREF _Toc328471429 \h </w:instrText>
      </w:r>
      <w:r>
        <w:fldChar w:fldCharType="separate"/>
      </w:r>
      <w:r>
        <w:t>17</w:t>
      </w:r>
      <w:r>
        <w:fldChar w:fldCharType="end"/>
      </w:r>
    </w:p>
    <w:p>
      <w:pPr>
        <w:pStyle w:val="TOC8"/>
        <w:rPr>
          <w:sz w:val="24"/>
          <w:szCs w:val="24"/>
          <w:lang w:val="en-US"/>
        </w:rPr>
      </w:pPr>
      <w:r>
        <w:t>8.</w:t>
      </w:r>
      <w:r>
        <w:tab/>
        <w:t>Special arrangements</w:t>
      </w:r>
      <w:r>
        <w:tab/>
      </w:r>
      <w:r>
        <w:fldChar w:fldCharType="begin"/>
      </w:r>
      <w:r>
        <w:instrText xml:space="preserve"> PAGEREF _Toc328471430 \h </w:instrText>
      </w:r>
      <w:r>
        <w:fldChar w:fldCharType="separate"/>
      </w:r>
      <w:r>
        <w:t>17</w:t>
      </w:r>
      <w:r>
        <w:fldChar w:fldCharType="end"/>
      </w:r>
    </w:p>
    <w:p>
      <w:pPr>
        <w:pStyle w:val="TOC8"/>
        <w:rPr>
          <w:sz w:val="24"/>
          <w:szCs w:val="24"/>
          <w:lang w:val="en-US"/>
        </w:rPr>
      </w:pPr>
      <w:r>
        <w:t>8A</w:t>
      </w:r>
      <w:r>
        <w:rPr>
          <w:snapToGrid w:val="0"/>
        </w:rPr>
        <w:t>.</w:t>
      </w:r>
      <w:r>
        <w:rPr>
          <w:snapToGrid w:val="0"/>
        </w:rPr>
        <w:tab/>
        <w:t>Concessional charges for retirement village residents</w:t>
      </w:r>
      <w:r>
        <w:tab/>
      </w:r>
      <w:r>
        <w:fldChar w:fldCharType="begin"/>
      </w:r>
      <w:r>
        <w:instrText xml:space="preserve"> PAGEREF _Toc328471431 \h </w:instrText>
      </w:r>
      <w:r>
        <w:fldChar w:fldCharType="separate"/>
      </w:r>
      <w:r>
        <w:t>18</w:t>
      </w:r>
      <w:r>
        <w:fldChar w:fldCharType="end"/>
      </w:r>
    </w:p>
    <w:p>
      <w:pPr>
        <w:pStyle w:val="TOC8"/>
        <w:rPr>
          <w:sz w:val="24"/>
          <w:szCs w:val="24"/>
          <w:lang w:val="en-US"/>
        </w:rPr>
      </w:pPr>
      <w:r>
        <w:t>8B.</w:t>
      </w:r>
      <w:r>
        <w:tab/>
        <w:t>Government trading organisation and non</w:t>
      </w:r>
      <w:r>
        <w:noBreakHyphen/>
        <w:t>commercial Government property</w:t>
      </w:r>
      <w:r>
        <w:tab/>
      </w:r>
      <w:r>
        <w:fldChar w:fldCharType="begin"/>
      </w:r>
      <w:r>
        <w:instrText xml:space="preserve"> PAGEREF _Toc328471432 \h </w:instrText>
      </w:r>
      <w:r>
        <w:fldChar w:fldCharType="separate"/>
      </w:r>
      <w:r>
        <w:t>19</w:t>
      </w:r>
      <w:r>
        <w:fldChar w:fldCharType="end"/>
      </w:r>
    </w:p>
    <w:p>
      <w:pPr>
        <w:pStyle w:val="TOC8"/>
        <w:rPr>
          <w:sz w:val="24"/>
          <w:szCs w:val="24"/>
          <w:lang w:val="en-US"/>
        </w:rPr>
      </w:pPr>
      <w:r>
        <w:t>8BA</w:t>
      </w:r>
      <w:r>
        <w:rPr>
          <w:snapToGrid w:val="0"/>
        </w:rPr>
        <w:t>.</w:t>
      </w:r>
      <w:r>
        <w:rPr>
          <w:snapToGrid w:val="0"/>
        </w:rPr>
        <w:tab/>
        <w:t>Annual charges to Government trading organisations that supply water to lessees or ships</w:t>
      </w:r>
      <w:r>
        <w:tab/>
      </w:r>
      <w:r>
        <w:fldChar w:fldCharType="begin"/>
      </w:r>
      <w:r>
        <w:instrText xml:space="preserve"> PAGEREF _Toc328471433 \h </w:instrText>
      </w:r>
      <w:r>
        <w:fldChar w:fldCharType="separate"/>
      </w:r>
      <w:r>
        <w:t>20</w:t>
      </w:r>
      <w:r>
        <w:fldChar w:fldCharType="end"/>
      </w:r>
    </w:p>
    <w:p>
      <w:pPr>
        <w:pStyle w:val="TOC8"/>
        <w:rPr>
          <w:sz w:val="24"/>
          <w:szCs w:val="24"/>
          <w:lang w:val="en-US"/>
        </w:rPr>
      </w:pPr>
      <w:r>
        <w:t>9</w:t>
      </w:r>
      <w:r>
        <w:rPr>
          <w:snapToGrid w:val="0"/>
        </w:rPr>
        <w:t>.</w:t>
      </w:r>
      <w:r>
        <w:rPr>
          <w:snapToGrid w:val="0"/>
        </w:rPr>
        <w:tab/>
        <w:t>Interest on overdue amounts</w:t>
      </w:r>
      <w:r>
        <w:tab/>
      </w:r>
      <w:r>
        <w:fldChar w:fldCharType="begin"/>
      </w:r>
      <w:r>
        <w:instrText xml:space="preserve"> PAGEREF _Toc328471434 \h </w:instrText>
      </w:r>
      <w:r>
        <w:fldChar w:fldCharType="separate"/>
      </w:r>
      <w:r>
        <w:t>21</w:t>
      </w:r>
      <w:r>
        <w:fldChar w:fldCharType="end"/>
      </w:r>
    </w:p>
    <w:p>
      <w:pPr>
        <w:pStyle w:val="TOC8"/>
        <w:rPr>
          <w:sz w:val="24"/>
          <w:szCs w:val="24"/>
          <w:lang w:val="en-US"/>
        </w:rPr>
      </w:pPr>
      <w:r>
        <w:t>9A</w:t>
      </w:r>
      <w:r>
        <w:rPr>
          <w:snapToGrid w:val="0"/>
        </w:rPr>
        <w:t>.</w:t>
      </w:r>
      <w:r>
        <w:rPr>
          <w:snapToGrid w:val="0"/>
        </w:rPr>
        <w:tab/>
        <w:t>Amounts rounded</w:t>
      </w:r>
      <w:r>
        <w:tab/>
      </w:r>
      <w:r>
        <w:fldChar w:fldCharType="begin"/>
      </w:r>
      <w:r>
        <w:instrText xml:space="preserve"> PAGEREF _Toc328471435 \h </w:instrText>
      </w:r>
      <w:r>
        <w:fldChar w:fldCharType="separate"/>
      </w:r>
      <w:r>
        <w:t>21</w:t>
      </w:r>
      <w:r>
        <w:fldChar w:fldCharType="end"/>
      </w:r>
    </w:p>
    <w:p>
      <w:pPr>
        <w:pStyle w:val="TOC8"/>
        <w:rPr>
          <w:sz w:val="24"/>
          <w:szCs w:val="24"/>
          <w:lang w:val="en-US"/>
        </w:rPr>
      </w:pPr>
      <w:r>
        <w:t>9B.</w:t>
      </w:r>
      <w:r>
        <w:tab/>
        <w:t>Calculations, including maxima, for various GRV based charges</w:t>
      </w:r>
      <w:r>
        <w:tab/>
      </w:r>
      <w:r>
        <w:fldChar w:fldCharType="begin"/>
      </w:r>
      <w:r>
        <w:instrText xml:space="preserve"> PAGEREF _Toc328471436 \h </w:instrText>
      </w:r>
      <w:r>
        <w:fldChar w:fldCharType="separate"/>
      </w:r>
      <w:r>
        <w:t>22</w:t>
      </w:r>
      <w:r>
        <w:fldChar w:fldCharType="end"/>
      </w:r>
    </w:p>
    <w:p>
      <w:pPr>
        <w:pStyle w:val="TOC2"/>
        <w:tabs>
          <w:tab w:val="right" w:leader="dot" w:pos="7086"/>
        </w:tabs>
        <w:rPr>
          <w:b w:val="0"/>
          <w:sz w:val="24"/>
          <w:szCs w:val="24"/>
          <w:lang w:val="en-US"/>
        </w:rPr>
      </w:pPr>
      <w:r>
        <w:t>Part 2 — Water supply</w:t>
      </w:r>
    </w:p>
    <w:p>
      <w:pPr>
        <w:pStyle w:val="TOC4"/>
        <w:tabs>
          <w:tab w:val="right" w:leader="dot" w:pos="7086"/>
        </w:tabs>
        <w:rPr>
          <w:b w:val="0"/>
          <w:sz w:val="24"/>
          <w:szCs w:val="24"/>
          <w:lang w:val="en-US"/>
        </w:rPr>
      </w:pPr>
      <w:r>
        <w:rPr>
          <w:spacing w:val="-4"/>
        </w:rPr>
        <w:t>Division 1</w:t>
      </w:r>
      <w:r>
        <w:rPr>
          <w:snapToGrid w:val="0"/>
          <w:spacing w:val="-4"/>
        </w:rPr>
        <w:t> — </w:t>
      </w:r>
      <w:r>
        <w:rPr>
          <w:spacing w:val="-4"/>
        </w:rPr>
        <w:t xml:space="preserve">Water supply other than under </w:t>
      </w:r>
      <w:r>
        <w:rPr>
          <w:i/>
          <w:spacing w:val="-4"/>
        </w:rPr>
        <w:t>Rights in Water and Irrigation Act 1914</w:t>
      </w:r>
    </w:p>
    <w:p>
      <w:pPr>
        <w:pStyle w:val="TOC8"/>
        <w:rPr>
          <w:sz w:val="24"/>
          <w:szCs w:val="24"/>
          <w:lang w:val="en-US"/>
        </w:rPr>
      </w:pPr>
      <w:r>
        <w:t>10</w:t>
      </w:r>
      <w:r>
        <w:rPr>
          <w:snapToGrid w:val="0"/>
        </w:rPr>
        <w:t>.</w:t>
      </w:r>
      <w:r>
        <w:rPr>
          <w:snapToGrid w:val="0"/>
        </w:rPr>
        <w:tab/>
        <w:t>Certain matters to be disregarded</w:t>
      </w:r>
      <w:r>
        <w:tab/>
      </w:r>
      <w:r>
        <w:fldChar w:fldCharType="begin"/>
      </w:r>
      <w:r>
        <w:instrText xml:space="preserve"> PAGEREF _Toc328471439 \h </w:instrText>
      </w:r>
      <w:r>
        <w:fldChar w:fldCharType="separate"/>
      </w:r>
      <w:r>
        <w:t>24</w:t>
      </w:r>
      <w:r>
        <w:fldChar w:fldCharType="end"/>
      </w:r>
    </w:p>
    <w:p>
      <w:pPr>
        <w:pStyle w:val="TOC8"/>
        <w:rPr>
          <w:sz w:val="24"/>
          <w:szCs w:val="24"/>
          <w:lang w:val="en-US"/>
        </w:rPr>
      </w:pPr>
      <w:r>
        <w:t>11</w:t>
      </w:r>
      <w:r>
        <w:rPr>
          <w:snapToGrid w:val="0"/>
        </w:rPr>
        <w:t>.</w:t>
      </w:r>
      <w:r>
        <w:rPr>
          <w:snapToGrid w:val="0"/>
        </w:rPr>
        <w:tab/>
        <w:t>Land subject to water supply charges under this Division</w:t>
      </w:r>
      <w:r>
        <w:tab/>
      </w:r>
      <w:r>
        <w:fldChar w:fldCharType="begin"/>
      </w:r>
      <w:r>
        <w:instrText xml:space="preserve"> PAGEREF _Toc328471440 \h </w:instrText>
      </w:r>
      <w:r>
        <w:fldChar w:fldCharType="separate"/>
      </w:r>
      <w:r>
        <w:t>24</w:t>
      </w:r>
      <w:r>
        <w:fldChar w:fldCharType="end"/>
      </w:r>
    </w:p>
    <w:p>
      <w:pPr>
        <w:pStyle w:val="TOC8"/>
        <w:rPr>
          <w:sz w:val="24"/>
          <w:szCs w:val="24"/>
          <w:lang w:val="en-US"/>
        </w:rPr>
      </w:pPr>
      <w:r>
        <w:t>12</w:t>
      </w:r>
      <w:r>
        <w:rPr>
          <w:snapToGrid w:val="0"/>
        </w:rPr>
        <w:t>.</w:t>
      </w:r>
      <w:r>
        <w:rPr>
          <w:snapToGrid w:val="0"/>
        </w:rPr>
        <w:tab/>
        <w:t>Exempt land</w:t>
      </w:r>
      <w:r>
        <w:tab/>
      </w:r>
      <w:r>
        <w:fldChar w:fldCharType="begin"/>
      </w:r>
      <w:r>
        <w:instrText xml:space="preserve"> PAGEREF _Toc328471441 \h </w:instrText>
      </w:r>
      <w:r>
        <w:fldChar w:fldCharType="separate"/>
      </w:r>
      <w:r>
        <w:t>24</w:t>
      </w:r>
      <w:r>
        <w:fldChar w:fldCharType="end"/>
      </w:r>
    </w:p>
    <w:p>
      <w:pPr>
        <w:pStyle w:val="TOC8"/>
        <w:rPr>
          <w:sz w:val="24"/>
          <w:szCs w:val="24"/>
          <w:lang w:val="en-US"/>
        </w:rPr>
      </w:pPr>
      <w:r>
        <w:t>13.</w:t>
      </w:r>
      <w:r>
        <w:tab/>
        <w:t>Classification of land</w:t>
      </w:r>
      <w:r>
        <w:tab/>
      </w:r>
      <w:r>
        <w:fldChar w:fldCharType="begin"/>
      </w:r>
      <w:r>
        <w:instrText xml:space="preserve"> PAGEREF _Toc328471442 \h </w:instrText>
      </w:r>
      <w:r>
        <w:fldChar w:fldCharType="separate"/>
      </w:r>
      <w:r>
        <w:t>25</w:t>
      </w:r>
      <w:r>
        <w:fldChar w:fldCharType="end"/>
      </w:r>
    </w:p>
    <w:p>
      <w:pPr>
        <w:pStyle w:val="TOC8"/>
        <w:rPr>
          <w:sz w:val="24"/>
          <w:szCs w:val="24"/>
          <w:lang w:val="en-US"/>
        </w:rPr>
      </w:pPr>
      <w:r>
        <w:t>14</w:t>
      </w:r>
      <w:r>
        <w:rPr>
          <w:snapToGrid w:val="0"/>
        </w:rPr>
        <w:t>.</w:t>
      </w:r>
      <w:r>
        <w:rPr>
          <w:snapToGrid w:val="0"/>
        </w:rPr>
        <w:tab/>
        <w:t>Indexation of certain valuations</w:t>
      </w:r>
      <w:r>
        <w:tab/>
      </w:r>
      <w:r>
        <w:fldChar w:fldCharType="begin"/>
      </w:r>
      <w:r>
        <w:instrText xml:space="preserve"> PAGEREF _Toc328471443 \h </w:instrText>
      </w:r>
      <w:r>
        <w:fldChar w:fldCharType="separate"/>
      </w:r>
      <w:r>
        <w:t>28</w:t>
      </w:r>
      <w:r>
        <w:fldChar w:fldCharType="end"/>
      </w:r>
    </w:p>
    <w:p>
      <w:pPr>
        <w:pStyle w:val="TOC8"/>
        <w:rPr>
          <w:sz w:val="24"/>
          <w:szCs w:val="24"/>
          <w:lang w:val="en-US"/>
        </w:rPr>
      </w:pPr>
      <w:r>
        <w:t>16</w:t>
      </w:r>
      <w:r>
        <w:rPr>
          <w:snapToGrid w:val="0"/>
        </w:rPr>
        <w:t>.</w:t>
      </w:r>
      <w:r>
        <w:rPr>
          <w:snapToGrid w:val="0"/>
        </w:rPr>
        <w:tab/>
        <w:t>Discrete residential units</w:t>
      </w:r>
      <w:r>
        <w:tab/>
      </w:r>
      <w:r>
        <w:fldChar w:fldCharType="begin"/>
      </w:r>
      <w:r>
        <w:instrText xml:space="preserve"> PAGEREF _Toc328471444 \h </w:instrText>
      </w:r>
      <w:r>
        <w:fldChar w:fldCharType="separate"/>
      </w:r>
      <w:r>
        <w:t>28</w:t>
      </w:r>
      <w:r>
        <w:fldChar w:fldCharType="end"/>
      </w:r>
    </w:p>
    <w:p>
      <w:pPr>
        <w:pStyle w:val="TOC8"/>
        <w:rPr>
          <w:sz w:val="24"/>
          <w:szCs w:val="24"/>
          <w:lang w:val="en-US"/>
        </w:rPr>
      </w:pPr>
      <w:r>
        <w:t>17</w:t>
      </w:r>
      <w:r>
        <w:rPr>
          <w:snapToGrid w:val="0"/>
        </w:rPr>
        <w:t>.</w:t>
      </w:r>
      <w:r>
        <w:rPr>
          <w:snapToGrid w:val="0"/>
        </w:rPr>
        <w:tab/>
        <w:t>Quantity charges for the supply of water</w:t>
      </w:r>
      <w:r>
        <w:tab/>
      </w:r>
      <w:r>
        <w:fldChar w:fldCharType="begin"/>
      </w:r>
      <w:r>
        <w:instrText xml:space="preserve"> PAGEREF _Toc328471445 \h </w:instrText>
      </w:r>
      <w:r>
        <w:fldChar w:fldCharType="separate"/>
      </w:r>
      <w:r>
        <w:t>29</w:t>
      </w:r>
      <w:r>
        <w:fldChar w:fldCharType="end"/>
      </w:r>
    </w:p>
    <w:p>
      <w:pPr>
        <w:pStyle w:val="TOC8"/>
        <w:rPr>
          <w:sz w:val="24"/>
          <w:szCs w:val="24"/>
          <w:lang w:val="en-US"/>
        </w:rPr>
      </w:pPr>
      <w:r>
        <w:t>17A</w:t>
      </w:r>
      <w:r>
        <w:rPr>
          <w:snapToGrid w:val="0"/>
        </w:rPr>
        <w:t>.</w:t>
      </w:r>
      <w:r>
        <w:rPr>
          <w:snapToGrid w:val="0"/>
        </w:rPr>
        <w:tab/>
        <w:t>Caravan parks</w:t>
      </w:r>
      <w:r>
        <w:tab/>
      </w:r>
      <w:r>
        <w:fldChar w:fldCharType="begin"/>
      </w:r>
      <w:r>
        <w:instrText xml:space="preserve"> PAGEREF _Toc328471446 \h </w:instrText>
      </w:r>
      <w:r>
        <w:fldChar w:fldCharType="separate"/>
      </w:r>
      <w:r>
        <w:t>29</w:t>
      </w:r>
      <w:r>
        <w:fldChar w:fldCharType="end"/>
      </w:r>
    </w:p>
    <w:p>
      <w:pPr>
        <w:pStyle w:val="TOC8"/>
        <w:rPr>
          <w:sz w:val="24"/>
          <w:szCs w:val="24"/>
          <w:lang w:val="en-US"/>
        </w:rPr>
      </w:pPr>
      <w:r>
        <w:t>17B.</w:t>
      </w:r>
      <w:r>
        <w:tab/>
      </w:r>
      <w:r>
        <w:rPr>
          <w:snapToGrid w:val="0"/>
        </w:rPr>
        <w:t>Metropolitan non</w:t>
      </w:r>
      <w:r>
        <w:rPr>
          <w:snapToGrid w:val="0"/>
        </w:rPr>
        <w:noBreakHyphen/>
        <w:t xml:space="preserve">residential </w:t>
      </w:r>
      <w:r>
        <w:t>or commercial residential</w:t>
      </w:r>
      <w:r>
        <w:rPr>
          <w:snapToGrid w:val="0"/>
        </w:rPr>
        <w:t xml:space="preserve"> property water supply charges</w:t>
      </w:r>
      <w:r>
        <w:tab/>
      </w:r>
      <w:r>
        <w:fldChar w:fldCharType="begin"/>
      </w:r>
      <w:r>
        <w:instrText xml:space="preserve"> PAGEREF _Toc328471447 \h </w:instrText>
      </w:r>
      <w:r>
        <w:fldChar w:fldCharType="separate"/>
      </w:r>
      <w:r>
        <w:t>31</w:t>
      </w:r>
      <w:r>
        <w:fldChar w:fldCharType="end"/>
      </w:r>
    </w:p>
    <w:p>
      <w:pPr>
        <w:pStyle w:val="TOC8"/>
        <w:rPr>
          <w:sz w:val="24"/>
          <w:szCs w:val="24"/>
          <w:lang w:val="en-US"/>
        </w:rPr>
      </w:pPr>
      <w:r>
        <w:t>17C.</w:t>
      </w:r>
      <w:r>
        <w:tab/>
        <w:t>Non</w:t>
      </w:r>
      <w:r>
        <w:noBreakHyphen/>
        <w:t>metropolitan, non</w:t>
      </w:r>
      <w:r>
        <w:noBreakHyphen/>
        <w:t>strata titled, Commercial or Industrial property water supply charges</w:t>
      </w:r>
      <w:r>
        <w:tab/>
      </w:r>
      <w:r>
        <w:fldChar w:fldCharType="begin"/>
      </w:r>
      <w:r>
        <w:instrText xml:space="preserve"> PAGEREF _Toc328471448 \h </w:instrText>
      </w:r>
      <w:r>
        <w:fldChar w:fldCharType="separate"/>
      </w:r>
      <w:r>
        <w:t>32</w:t>
      </w:r>
      <w:r>
        <w:fldChar w:fldCharType="end"/>
      </w:r>
    </w:p>
    <w:p>
      <w:pPr>
        <w:pStyle w:val="TOC8"/>
        <w:rPr>
          <w:sz w:val="24"/>
          <w:szCs w:val="24"/>
          <w:lang w:val="en-US"/>
        </w:rPr>
      </w:pPr>
      <w:r>
        <w:t>17D</w:t>
      </w:r>
      <w:r>
        <w:rPr>
          <w:snapToGrid w:val="0"/>
        </w:rPr>
        <w:t>.</w:t>
      </w:r>
      <w:r>
        <w:rPr>
          <w:snapToGrid w:val="0"/>
        </w:rPr>
        <w:tab/>
        <w:t>Various non</w:t>
      </w:r>
      <w:r>
        <w:rPr>
          <w:snapToGrid w:val="0"/>
        </w:rPr>
        <w:noBreakHyphen/>
        <w:t>metropolitan water supply charges and classifications</w:t>
      </w:r>
      <w:r>
        <w:tab/>
      </w:r>
      <w:r>
        <w:fldChar w:fldCharType="begin"/>
      </w:r>
      <w:r>
        <w:instrText xml:space="preserve"> PAGEREF _Toc328471449 \h </w:instrText>
      </w:r>
      <w:r>
        <w:fldChar w:fldCharType="separate"/>
      </w:r>
      <w:r>
        <w:t>32</w:t>
      </w:r>
      <w:r>
        <w:fldChar w:fldCharType="end"/>
      </w:r>
    </w:p>
    <w:p>
      <w:pPr>
        <w:pStyle w:val="TOC8"/>
        <w:rPr>
          <w:sz w:val="24"/>
          <w:szCs w:val="24"/>
          <w:lang w:val="en-US"/>
        </w:rPr>
      </w:pPr>
      <w:r>
        <w:t>18</w:t>
      </w:r>
      <w:r>
        <w:rPr>
          <w:snapToGrid w:val="0"/>
        </w:rPr>
        <w:t>.</w:t>
      </w:r>
      <w:r>
        <w:rPr>
          <w:snapToGrid w:val="0"/>
        </w:rPr>
        <w:tab/>
        <w:t>Concessional non</w:t>
      </w:r>
      <w:r>
        <w:rPr>
          <w:snapToGrid w:val="0"/>
        </w:rPr>
        <w:noBreakHyphen/>
        <w:t>metropolitan quantity charge</w:t>
      </w:r>
      <w:r>
        <w:tab/>
      </w:r>
      <w:r>
        <w:fldChar w:fldCharType="begin"/>
      </w:r>
      <w:r>
        <w:instrText xml:space="preserve"> PAGEREF _Toc328471450 \h </w:instrText>
      </w:r>
      <w:r>
        <w:fldChar w:fldCharType="separate"/>
      </w:r>
      <w:r>
        <w:t>33</w:t>
      </w:r>
      <w:r>
        <w:fldChar w:fldCharType="end"/>
      </w:r>
    </w:p>
    <w:p>
      <w:pPr>
        <w:pStyle w:val="TOC8"/>
        <w:rPr>
          <w:sz w:val="24"/>
          <w:szCs w:val="24"/>
          <w:lang w:val="en-US"/>
        </w:rPr>
      </w:pPr>
      <w:r>
        <w:t>18A</w:t>
      </w:r>
      <w:r>
        <w:rPr>
          <w:snapToGrid w:val="0"/>
        </w:rPr>
        <w:t>.</w:t>
      </w:r>
      <w:r>
        <w:rPr>
          <w:snapToGrid w:val="0"/>
        </w:rPr>
        <w:tab/>
        <w:t>Concessional metropolitan quantity charge</w:t>
      </w:r>
      <w:r>
        <w:tab/>
      </w:r>
      <w:r>
        <w:fldChar w:fldCharType="begin"/>
      </w:r>
      <w:r>
        <w:instrText xml:space="preserve"> PAGEREF _Toc328471451 \h </w:instrText>
      </w:r>
      <w:r>
        <w:fldChar w:fldCharType="separate"/>
      </w:r>
      <w:r>
        <w:t>35</w:t>
      </w:r>
      <w:r>
        <w:fldChar w:fldCharType="end"/>
      </w:r>
    </w:p>
    <w:p>
      <w:pPr>
        <w:pStyle w:val="TOC8"/>
        <w:rPr>
          <w:sz w:val="24"/>
          <w:szCs w:val="24"/>
          <w:lang w:val="en-US"/>
        </w:rPr>
      </w:pPr>
      <w:r>
        <w:t>18B</w:t>
      </w:r>
      <w:r>
        <w:rPr>
          <w:snapToGrid w:val="0"/>
        </w:rPr>
        <w:t>.</w:t>
      </w:r>
      <w:r>
        <w:rPr>
          <w:snapToGrid w:val="0"/>
        </w:rPr>
        <w:tab/>
        <w:t>Residential multi</w:t>
      </w:r>
      <w:r>
        <w:rPr>
          <w:snapToGrid w:val="0"/>
        </w:rPr>
        <w:noBreakHyphen/>
        <w:t>unit properties — rebates for eligible pensioners</w:t>
      </w:r>
      <w:r>
        <w:tab/>
      </w:r>
      <w:r>
        <w:fldChar w:fldCharType="begin"/>
      </w:r>
      <w:r>
        <w:instrText xml:space="preserve"> PAGEREF _Toc328471452 \h </w:instrText>
      </w:r>
      <w:r>
        <w:fldChar w:fldCharType="separate"/>
      </w:r>
      <w:r>
        <w:t>36</w:t>
      </w:r>
      <w:r>
        <w:fldChar w:fldCharType="end"/>
      </w:r>
    </w:p>
    <w:p>
      <w:pPr>
        <w:pStyle w:val="TOC8"/>
        <w:rPr>
          <w:sz w:val="24"/>
          <w:szCs w:val="24"/>
          <w:lang w:val="en-US"/>
        </w:rPr>
      </w:pPr>
      <w:r>
        <w:t>19A</w:t>
      </w:r>
      <w:r>
        <w:rPr>
          <w:snapToGrid w:val="0"/>
        </w:rPr>
        <w:t>.</w:t>
      </w:r>
      <w:r>
        <w:rPr>
          <w:snapToGrid w:val="0"/>
        </w:rPr>
        <w:tab/>
        <w:t>Capital infrastructure charges</w:t>
      </w:r>
      <w:r>
        <w:tab/>
      </w:r>
      <w:r>
        <w:fldChar w:fldCharType="begin"/>
      </w:r>
      <w:r>
        <w:instrText xml:space="preserve"> PAGEREF _Toc328471453 \h </w:instrText>
      </w:r>
      <w:r>
        <w:fldChar w:fldCharType="separate"/>
      </w:r>
      <w:r>
        <w:t>38</w:t>
      </w:r>
      <w:r>
        <w:fldChar w:fldCharType="end"/>
      </w:r>
    </w:p>
    <w:p>
      <w:pPr>
        <w:pStyle w:val="TOC4"/>
        <w:tabs>
          <w:tab w:val="right" w:leader="dot" w:pos="7086"/>
        </w:tabs>
        <w:rPr>
          <w:b w:val="0"/>
          <w:sz w:val="24"/>
          <w:szCs w:val="24"/>
          <w:lang w:val="en-US"/>
        </w:rPr>
      </w:pPr>
      <w:r>
        <w:t>Division 2</w:t>
      </w:r>
      <w:r>
        <w:rPr>
          <w:snapToGrid w:val="0"/>
        </w:rPr>
        <w:t> — </w:t>
      </w:r>
      <w:r>
        <w:t xml:space="preserve">Water supply under </w:t>
      </w:r>
      <w:r>
        <w:rPr>
          <w:i/>
        </w:rPr>
        <w:t>Rights in Water and Irrigation Act 1914</w:t>
      </w:r>
      <w:r>
        <w:t xml:space="preserve"> other than for irrigation</w:t>
      </w:r>
    </w:p>
    <w:p>
      <w:pPr>
        <w:pStyle w:val="TOC8"/>
        <w:rPr>
          <w:sz w:val="24"/>
          <w:szCs w:val="24"/>
          <w:lang w:val="en-US"/>
        </w:rPr>
      </w:pPr>
      <w:r>
        <w:t>20</w:t>
      </w:r>
      <w:r>
        <w:rPr>
          <w:snapToGrid w:val="0"/>
        </w:rPr>
        <w:t>.</w:t>
      </w:r>
      <w:r>
        <w:rPr>
          <w:snapToGrid w:val="0"/>
        </w:rPr>
        <w:tab/>
        <w:t>Land subject to water supply charges under this Division</w:t>
      </w:r>
      <w:r>
        <w:tab/>
      </w:r>
      <w:r>
        <w:fldChar w:fldCharType="begin"/>
      </w:r>
      <w:r>
        <w:instrText xml:space="preserve"> PAGEREF _Toc328471455 \h </w:instrText>
      </w:r>
      <w:r>
        <w:fldChar w:fldCharType="separate"/>
      </w:r>
      <w:r>
        <w:t>39</w:t>
      </w:r>
      <w:r>
        <w:fldChar w:fldCharType="end"/>
      </w:r>
    </w:p>
    <w:p>
      <w:pPr>
        <w:pStyle w:val="TOC2"/>
        <w:tabs>
          <w:tab w:val="right" w:leader="dot" w:pos="7086"/>
        </w:tabs>
        <w:rPr>
          <w:b w:val="0"/>
          <w:sz w:val="24"/>
          <w:szCs w:val="24"/>
          <w:lang w:val="en-US"/>
        </w:rPr>
      </w:pPr>
      <w:r>
        <w:t>Part 3 — Sewerage</w:t>
      </w:r>
    </w:p>
    <w:p>
      <w:pPr>
        <w:pStyle w:val="TOC8"/>
        <w:rPr>
          <w:sz w:val="24"/>
          <w:szCs w:val="24"/>
          <w:lang w:val="en-US"/>
        </w:rPr>
      </w:pPr>
      <w:r>
        <w:t>21A.</w:t>
      </w:r>
      <w:r>
        <w:tab/>
        <w:t>Terms used</w:t>
      </w:r>
      <w:r>
        <w:tab/>
      </w:r>
      <w:r>
        <w:fldChar w:fldCharType="begin"/>
      </w:r>
      <w:r>
        <w:instrText xml:space="preserve"> PAGEREF _Toc328471457 \h </w:instrText>
      </w:r>
      <w:r>
        <w:fldChar w:fldCharType="separate"/>
      </w:r>
      <w:r>
        <w:t>41</w:t>
      </w:r>
      <w:r>
        <w:fldChar w:fldCharType="end"/>
      </w:r>
    </w:p>
    <w:p>
      <w:pPr>
        <w:pStyle w:val="TOC8"/>
        <w:rPr>
          <w:sz w:val="24"/>
          <w:szCs w:val="24"/>
          <w:lang w:val="en-US"/>
        </w:rPr>
      </w:pPr>
      <w:r>
        <w:t>21</w:t>
      </w:r>
      <w:r>
        <w:rPr>
          <w:snapToGrid w:val="0"/>
        </w:rPr>
        <w:t>.</w:t>
      </w:r>
      <w:r>
        <w:rPr>
          <w:snapToGrid w:val="0"/>
        </w:rPr>
        <w:tab/>
        <w:t>Land subject to sewerage charges</w:t>
      </w:r>
      <w:r>
        <w:tab/>
      </w:r>
      <w:r>
        <w:fldChar w:fldCharType="begin"/>
      </w:r>
      <w:r>
        <w:instrText xml:space="preserve"> PAGEREF _Toc328471458 \h </w:instrText>
      </w:r>
      <w:r>
        <w:fldChar w:fldCharType="separate"/>
      </w:r>
      <w:r>
        <w:t>41</w:t>
      </w:r>
      <w:r>
        <w:fldChar w:fldCharType="end"/>
      </w:r>
    </w:p>
    <w:p>
      <w:pPr>
        <w:pStyle w:val="TOC8"/>
        <w:rPr>
          <w:sz w:val="24"/>
          <w:szCs w:val="24"/>
          <w:lang w:val="en-US"/>
        </w:rPr>
      </w:pPr>
      <w:r>
        <w:t>22</w:t>
      </w:r>
      <w:r>
        <w:rPr>
          <w:snapToGrid w:val="0"/>
        </w:rPr>
        <w:t>.</w:t>
      </w:r>
      <w:r>
        <w:rPr>
          <w:snapToGrid w:val="0"/>
        </w:rPr>
        <w:tab/>
        <w:t>Exempt land</w:t>
      </w:r>
      <w:r>
        <w:tab/>
      </w:r>
      <w:r>
        <w:fldChar w:fldCharType="begin"/>
      </w:r>
      <w:r>
        <w:instrText xml:space="preserve"> PAGEREF _Toc328471459 \h </w:instrText>
      </w:r>
      <w:r>
        <w:fldChar w:fldCharType="separate"/>
      </w:r>
      <w:r>
        <w:t>42</w:t>
      </w:r>
      <w:r>
        <w:fldChar w:fldCharType="end"/>
      </w:r>
    </w:p>
    <w:p>
      <w:pPr>
        <w:pStyle w:val="TOC8"/>
        <w:rPr>
          <w:sz w:val="24"/>
          <w:szCs w:val="24"/>
          <w:lang w:val="en-US"/>
        </w:rPr>
      </w:pPr>
      <w:r>
        <w:t>23.</w:t>
      </w:r>
      <w:r>
        <w:tab/>
        <w:t>Classification of land</w:t>
      </w:r>
      <w:r>
        <w:tab/>
      </w:r>
      <w:r>
        <w:fldChar w:fldCharType="begin"/>
      </w:r>
      <w:r>
        <w:instrText xml:space="preserve"> PAGEREF _Toc328471460 \h </w:instrText>
      </w:r>
      <w:r>
        <w:fldChar w:fldCharType="separate"/>
      </w:r>
      <w:r>
        <w:t>42</w:t>
      </w:r>
      <w:r>
        <w:fldChar w:fldCharType="end"/>
      </w:r>
    </w:p>
    <w:p>
      <w:pPr>
        <w:pStyle w:val="TOC8"/>
        <w:rPr>
          <w:sz w:val="24"/>
          <w:szCs w:val="24"/>
          <w:lang w:val="en-US"/>
        </w:rPr>
      </w:pPr>
      <w:r>
        <w:t>24</w:t>
      </w:r>
      <w:r>
        <w:rPr>
          <w:snapToGrid w:val="0"/>
        </w:rPr>
        <w:t>.</w:t>
      </w:r>
      <w:r>
        <w:rPr>
          <w:snapToGrid w:val="0"/>
        </w:rPr>
        <w:tab/>
        <w:t>Indexation of certain valuations</w:t>
      </w:r>
      <w:r>
        <w:tab/>
      </w:r>
      <w:r>
        <w:fldChar w:fldCharType="begin"/>
      </w:r>
      <w:r>
        <w:instrText xml:space="preserve"> PAGEREF _Toc328471461 \h </w:instrText>
      </w:r>
      <w:r>
        <w:fldChar w:fldCharType="separate"/>
      </w:r>
      <w:r>
        <w:t>43</w:t>
      </w:r>
      <w:r>
        <w:fldChar w:fldCharType="end"/>
      </w:r>
    </w:p>
    <w:p>
      <w:pPr>
        <w:pStyle w:val="TOC8"/>
        <w:rPr>
          <w:sz w:val="24"/>
          <w:szCs w:val="24"/>
          <w:lang w:val="en-US"/>
        </w:rPr>
      </w:pPr>
      <w:r>
        <w:t>25A</w:t>
      </w:r>
      <w:r>
        <w:rPr>
          <w:snapToGrid w:val="0"/>
        </w:rPr>
        <w:t>.</w:t>
      </w:r>
      <w:r>
        <w:rPr>
          <w:snapToGrid w:val="0"/>
        </w:rPr>
        <w:tab/>
        <w:t>Metered metropolitan non</w:t>
      </w:r>
      <w:r>
        <w:rPr>
          <w:snapToGrid w:val="0"/>
        </w:rPr>
        <w:noBreakHyphen/>
        <w:t>residential property sewerage charges</w:t>
      </w:r>
      <w:r>
        <w:tab/>
      </w:r>
      <w:r>
        <w:fldChar w:fldCharType="begin"/>
      </w:r>
      <w:r>
        <w:instrText xml:space="preserve"> PAGEREF _Toc328471462 \h </w:instrText>
      </w:r>
      <w:r>
        <w:fldChar w:fldCharType="separate"/>
      </w:r>
      <w:r>
        <w:t>44</w:t>
      </w:r>
      <w:r>
        <w:fldChar w:fldCharType="end"/>
      </w:r>
    </w:p>
    <w:p>
      <w:pPr>
        <w:pStyle w:val="TOC8"/>
        <w:rPr>
          <w:sz w:val="24"/>
          <w:szCs w:val="24"/>
          <w:lang w:val="en-US"/>
        </w:rPr>
      </w:pPr>
      <w:r>
        <w:t>25B</w:t>
      </w:r>
      <w:r>
        <w:rPr>
          <w:snapToGrid w:val="0"/>
        </w:rPr>
        <w:t>.</w:t>
      </w:r>
      <w:r>
        <w:rPr>
          <w:snapToGrid w:val="0"/>
        </w:rPr>
        <w:tab/>
        <w:t>Un</w:t>
      </w:r>
      <w:r>
        <w:rPr>
          <w:snapToGrid w:val="0"/>
        </w:rPr>
        <w:noBreakHyphen/>
        <w:t>metered or unconnected metropolitan non</w:t>
      </w:r>
      <w:r>
        <w:rPr>
          <w:snapToGrid w:val="0"/>
        </w:rPr>
        <w:noBreakHyphen/>
        <w:t>residential property sewerage charges</w:t>
      </w:r>
      <w:r>
        <w:tab/>
      </w:r>
      <w:r>
        <w:fldChar w:fldCharType="begin"/>
      </w:r>
      <w:r>
        <w:instrText xml:space="preserve"> PAGEREF _Toc328471463 \h </w:instrText>
      </w:r>
      <w:r>
        <w:fldChar w:fldCharType="separate"/>
      </w:r>
      <w:r>
        <w:t>46</w:t>
      </w:r>
      <w:r>
        <w:fldChar w:fldCharType="end"/>
      </w:r>
    </w:p>
    <w:p>
      <w:pPr>
        <w:pStyle w:val="TOC8"/>
        <w:rPr>
          <w:sz w:val="24"/>
          <w:szCs w:val="24"/>
          <w:lang w:val="en-US"/>
        </w:rPr>
      </w:pPr>
      <w:r>
        <w:t>25C</w:t>
      </w:r>
      <w:r>
        <w:rPr>
          <w:snapToGrid w:val="0"/>
        </w:rPr>
        <w:t>.</w:t>
      </w:r>
      <w:r>
        <w:rPr>
          <w:snapToGrid w:val="0"/>
        </w:rPr>
        <w:tab/>
        <w:t>Charging for shared sewerage fixtures on metropolitan non</w:t>
      </w:r>
      <w:r>
        <w:rPr>
          <w:snapToGrid w:val="0"/>
        </w:rPr>
        <w:noBreakHyphen/>
        <w:t>residential property</w:t>
      </w:r>
      <w:r>
        <w:tab/>
      </w:r>
      <w:r>
        <w:fldChar w:fldCharType="begin"/>
      </w:r>
      <w:r>
        <w:instrText xml:space="preserve"> PAGEREF _Toc328471464 \h </w:instrText>
      </w:r>
      <w:r>
        <w:fldChar w:fldCharType="separate"/>
      </w:r>
      <w:r>
        <w:t>47</w:t>
      </w:r>
      <w:r>
        <w:fldChar w:fldCharType="end"/>
      </w:r>
    </w:p>
    <w:p>
      <w:pPr>
        <w:pStyle w:val="TOC8"/>
        <w:rPr>
          <w:sz w:val="24"/>
          <w:szCs w:val="24"/>
          <w:lang w:val="en-US"/>
        </w:rPr>
      </w:pPr>
      <w:r>
        <w:t>26.</w:t>
      </w:r>
      <w:r>
        <w:tab/>
      </w:r>
      <w:r>
        <w:rPr>
          <w:snapToGrid w:val="0"/>
        </w:rPr>
        <w:t xml:space="preserve">Metered country </w:t>
      </w:r>
      <w:r>
        <w:t>non</w:t>
      </w:r>
      <w:r>
        <w:noBreakHyphen/>
        <w:t>residential or commercial residential</w:t>
      </w:r>
      <w:r>
        <w:rPr>
          <w:snapToGrid w:val="0"/>
        </w:rPr>
        <w:t xml:space="preserve"> property sewerage charges</w:t>
      </w:r>
      <w:r>
        <w:tab/>
      </w:r>
      <w:r>
        <w:fldChar w:fldCharType="begin"/>
      </w:r>
      <w:r>
        <w:instrText xml:space="preserve"> PAGEREF _Toc328471465 \h </w:instrText>
      </w:r>
      <w:r>
        <w:fldChar w:fldCharType="separate"/>
      </w:r>
      <w:r>
        <w:t>47</w:t>
      </w:r>
      <w:r>
        <w:fldChar w:fldCharType="end"/>
      </w:r>
    </w:p>
    <w:p>
      <w:pPr>
        <w:pStyle w:val="TOC8"/>
        <w:rPr>
          <w:sz w:val="24"/>
          <w:szCs w:val="24"/>
          <w:lang w:val="en-US"/>
        </w:rPr>
      </w:pPr>
      <w:r>
        <w:t>26A.</w:t>
      </w:r>
      <w:r>
        <w:tab/>
        <w:t>Un</w:t>
      </w:r>
      <w:r>
        <w:noBreakHyphen/>
        <w:t xml:space="preserve">metered or unconnected </w:t>
      </w:r>
      <w:r>
        <w:rPr>
          <w:snapToGrid w:val="0"/>
        </w:rPr>
        <w:t>country non</w:t>
      </w:r>
      <w:r>
        <w:rPr>
          <w:snapToGrid w:val="0"/>
        </w:rPr>
        <w:noBreakHyphen/>
        <w:t>residential or commercial residential</w:t>
      </w:r>
      <w:r>
        <w:t xml:space="preserve"> property sewerage charges</w:t>
      </w:r>
      <w:r>
        <w:tab/>
      </w:r>
      <w:r>
        <w:fldChar w:fldCharType="begin"/>
      </w:r>
      <w:r>
        <w:instrText xml:space="preserve"> PAGEREF _Toc328471466 \h </w:instrText>
      </w:r>
      <w:r>
        <w:fldChar w:fldCharType="separate"/>
      </w:r>
      <w:r>
        <w:t>49</w:t>
      </w:r>
      <w:r>
        <w:fldChar w:fldCharType="end"/>
      </w:r>
    </w:p>
    <w:p>
      <w:pPr>
        <w:pStyle w:val="TOC8"/>
        <w:rPr>
          <w:sz w:val="24"/>
          <w:szCs w:val="24"/>
          <w:lang w:val="en-US"/>
        </w:rPr>
      </w:pPr>
      <w:r>
        <w:t>26B.</w:t>
      </w:r>
      <w:r>
        <w:tab/>
        <w:t xml:space="preserve">Charging for shared sewerage fixtures on </w:t>
      </w:r>
      <w:r>
        <w:rPr>
          <w:snapToGrid w:val="0"/>
        </w:rPr>
        <w:t xml:space="preserve">country </w:t>
      </w:r>
      <w:r>
        <w:t>non</w:t>
      </w:r>
      <w:r>
        <w:noBreakHyphen/>
        <w:t>residential or commercial residential property</w:t>
      </w:r>
      <w:r>
        <w:tab/>
      </w:r>
      <w:r>
        <w:fldChar w:fldCharType="begin"/>
      </w:r>
      <w:r>
        <w:instrText xml:space="preserve"> PAGEREF _Toc328471467 \h </w:instrText>
      </w:r>
      <w:r>
        <w:fldChar w:fldCharType="separate"/>
      </w:r>
      <w:r>
        <w:t>50</w:t>
      </w:r>
      <w:r>
        <w:fldChar w:fldCharType="end"/>
      </w:r>
    </w:p>
    <w:p>
      <w:pPr>
        <w:pStyle w:val="TOC2"/>
        <w:tabs>
          <w:tab w:val="right" w:leader="dot" w:pos="7086"/>
        </w:tabs>
        <w:rPr>
          <w:b w:val="0"/>
          <w:sz w:val="24"/>
          <w:szCs w:val="24"/>
          <w:lang w:val="en-US"/>
        </w:rPr>
      </w:pPr>
      <w:r>
        <w:t>Part 4 — Drainage</w:t>
      </w:r>
    </w:p>
    <w:p>
      <w:pPr>
        <w:pStyle w:val="TOC8"/>
        <w:rPr>
          <w:sz w:val="24"/>
          <w:szCs w:val="24"/>
          <w:lang w:val="en-US"/>
        </w:rPr>
      </w:pPr>
      <w:r>
        <w:t>27</w:t>
      </w:r>
      <w:r>
        <w:rPr>
          <w:snapToGrid w:val="0"/>
        </w:rPr>
        <w:t>.</w:t>
      </w:r>
      <w:r>
        <w:rPr>
          <w:snapToGrid w:val="0"/>
        </w:rPr>
        <w:tab/>
        <w:t>Land subject to drainage charges</w:t>
      </w:r>
      <w:r>
        <w:tab/>
      </w:r>
      <w:r>
        <w:fldChar w:fldCharType="begin"/>
      </w:r>
      <w:r>
        <w:instrText xml:space="preserve"> PAGEREF _Toc328471469 \h </w:instrText>
      </w:r>
      <w:r>
        <w:fldChar w:fldCharType="separate"/>
      </w:r>
      <w:r>
        <w:t>51</w:t>
      </w:r>
      <w:r>
        <w:fldChar w:fldCharType="end"/>
      </w:r>
    </w:p>
    <w:p>
      <w:pPr>
        <w:pStyle w:val="TOC8"/>
        <w:rPr>
          <w:sz w:val="24"/>
          <w:szCs w:val="24"/>
          <w:lang w:val="en-US"/>
        </w:rPr>
      </w:pPr>
      <w:r>
        <w:t>28</w:t>
      </w:r>
      <w:r>
        <w:rPr>
          <w:snapToGrid w:val="0"/>
        </w:rPr>
        <w:t>.</w:t>
      </w:r>
      <w:r>
        <w:rPr>
          <w:snapToGrid w:val="0"/>
        </w:rPr>
        <w:tab/>
        <w:t>Exempt land</w:t>
      </w:r>
      <w:r>
        <w:tab/>
      </w:r>
      <w:r>
        <w:fldChar w:fldCharType="begin"/>
      </w:r>
      <w:r>
        <w:instrText xml:space="preserve"> PAGEREF _Toc328471470 \h </w:instrText>
      </w:r>
      <w:r>
        <w:fldChar w:fldCharType="separate"/>
      </w:r>
      <w:r>
        <w:t>51</w:t>
      </w:r>
      <w:r>
        <w:fldChar w:fldCharType="end"/>
      </w:r>
    </w:p>
    <w:p>
      <w:pPr>
        <w:pStyle w:val="TOC8"/>
        <w:rPr>
          <w:sz w:val="24"/>
          <w:szCs w:val="24"/>
          <w:lang w:val="en-US"/>
        </w:rPr>
      </w:pPr>
      <w:r>
        <w:t>29.</w:t>
      </w:r>
      <w:r>
        <w:tab/>
        <w:t>Classification of land</w:t>
      </w:r>
      <w:r>
        <w:tab/>
      </w:r>
      <w:r>
        <w:fldChar w:fldCharType="begin"/>
      </w:r>
      <w:r>
        <w:instrText xml:space="preserve"> PAGEREF _Toc328471471 \h </w:instrText>
      </w:r>
      <w:r>
        <w:fldChar w:fldCharType="separate"/>
      </w:r>
      <w:r>
        <w:t>52</w:t>
      </w:r>
      <w:r>
        <w:fldChar w:fldCharType="end"/>
      </w:r>
    </w:p>
    <w:p>
      <w:pPr>
        <w:pStyle w:val="TOC2"/>
        <w:tabs>
          <w:tab w:val="right" w:leader="dot" w:pos="7086"/>
        </w:tabs>
        <w:rPr>
          <w:b w:val="0"/>
          <w:sz w:val="24"/>
          <w:szCs w:val="24"/>
          <w:lang w:val="en-US"/>
        </w:rPr>
      </w:pPr>
      <w:r>
        <w:t>Part 5 — Irrigation</w:t>
      </w:r>
    </w:p>
    <w:p>
      <w:pPr>
        <w:pStyle w:val="TOC8"/>
        <w:rPr>
          <w:sz w:val="24"/>
          <w:szCs w:val="24"/>
          <w:lang w:val="en-US"/>
        </w:rPr>
      </w:pPr>
      <w:r>
        <w:t>31</w:t>
      </w:r>
      <w:r>
        <w:rPr>
          <w:snapToGrid w:val="0"/>
        </w:rPr>
        <w:t>.</w:t>
      </w:r>
      <w:r>
        <w:rPr>
          <w:snapToGrid w:val="0"/>
        </w:rPr>
        <w:tab/>
        <w:t>Land subject to irrigation charges</w:t>
      </w:r>
      <w:r>
        <w:tab/>
      </w:r>
      <w:r>
        <w:fldChar w:fldCharType="begin"/>
      </w:r>
      <w:r>
        <w:instrText xml:space="preserve"> PAGEREF _Toc328471473 \h </w:instrText>
      </w:r>
      <w:r>
        <w:fldChar w:fldCharType="separate"/>
      </w:r>
      <w:r>
        <w:t>53</w:t>
      </w:r>
      <w:r>
        <w:fldChar w:fldCharType="end"/>
      </w:r>
    </w:p>
    <w:p>
      <w:pPr>
        <w:pStyle w:val="TOC8"/>
        <w:rPr>
          <w:sz w:val="24"/>
          <w:szCs w:val="24"/>
          <w:lang w:val="en-US"/>
        </w:rPr>
      </w:pPr>
      <w:r>
        <w:t>32</w:t>
      </w:r>
      <w:r>
        <w:rPr>
          <w:snapToGrid w:val="0"/>
        </w:rPr>
        <w:t>.</w:t>
      </w:r>
      <w:r>
        <w:rPr>
          <w:snapToGrid w:val="0"/>
        </w:rPr>
        <w:tab/>
        <w:t>Exempt land</w:t>
      </w:r>
      <w:r>
        <w:tab/>
      </w:r>
      <w:r>
        <w:fldChar w:fldCharType="begin"/>
      </w:r>
      <w:r>
        <w:instrText xml:space="preserve"> PAGEREF _Toc328471474 \h </w:instrText>
      </w:r>
      <w:r>
        <w:fldChar w:fldCharType="separate"/>
      </w:r>
      <w:r>
        <w:t>53</w:t>
      </w:r>
      <w:r>
        <w:fldChar w:fldCharType="end"/>
      </w:r>
    </w:p>
    <w:p>
      <w:pPr>
        <w:pStyle w:val="TOC8"/>
        <w:rPr>
          <w:sz w:val="24"/>
          <w:szCs w:val="24"/>
          <w:lang w:val="en-US"/>
        </w:rPr>
      </w:pPr>
      <w:r>
        <w:t>33.</w:t>
      </w:r>
      <w:r>
        <w:tab/>
        <w:t>Charge options for land in Carnarvon Irrigation District</w:t>
      </w:r>
      <w:r>
        <w:tab/>
      </w:r>
      <w:r>
        <w:fldChar w:fldCharType="begin"/>
      </w:r>
      <w:r>
        <w:instrText xml:space="preserve"> PAGEREF _Toc328471475 \h </w:instrText>
      </w:r>
      <w:r>
        <w:fldChar w:fldCharType="separate"/>
      </w:r>
      <w:r>
        <w:t>53</w:t>
      </w:r>
      <w:r>
        <w:fldChar w:fldCharType="end"/>
      </w:r>
    </w:p>
    <w:p>
      <w:pPr>
        <w:pStyle w:val="TOC2"/>
        <w:tabs>
          <w:tab w:val="right" w:leader="dot" w:pos="7086"/>
        </w:tabs>
        <w:rPr>
          <w:b w:val="0"/>
          <w:sz w:val="24"/>
          <w:szCs w:val="24"/>
          <w:lang w:val="en-US"/>
        </w:rPr>
      </w:pPr>
      <w:r>
        <w:t xml:space="preserve">Schedule 1 — Charges for water supply other than under the </w:t>
      </w:r>
      <w:r>
        <w:rPr>
          <w:i/>
        </w:rPr>
        <w:t>Rights in Water and Irrigation Act 1914</w:t>
      </w:r>
      <w:r>
        <w:t xml:space="preserve"> for 2012/2013</w:t>
      </w:r>
    </w:p>
    <w:p>
      <w:pPr>
        <w:pStyle w:val="TOC4"/>
        <w:tabs>
          <w:tab w:val="right" w:leader="dot" w:pos="7086"/>
        </w:tabs>
        <w:rPr>
          <w:b w:val="0"/>
          <w:sz w:val="24"/>
          <w:szCs w:val="24"/>
          <w:lang w:val="en-US"/>
        </w:rPr>
      </w:pPr>
      <w:r>
        <w:t>Division 1</w:t>
      </w:r>
      <w:r>
        <w:rPr>
          <w:b w:val="0"/>
        </w:rPr>
        <w:t> — </w:t>
      </w:r>
      <w:r>
        <w:t>Fixed charges</w:t>
      </w:r>
    </w:p>
    <w:p>
      <w:pPr>
        <w:pStyle w:val="TOC8"/>
        <w:rPr>
          <w:sz w:val="24"/>
          <w:szCs w:val="24"/>
          <w:lang w:val="en-US"/>
        </w:rPr>
      </w:pPr>
      <w:r>
        <w:t>7.</w:t>
      </w:r>
      <w:r>
        <w:tab/>
        <w:t>Community residential</w:t>
      </w:r>
      <w:r>
        <w:tab/>
      </w:r>
      <w:r>
        <w:fldChar w:fldCharType="begin"/>
      </w:r>
      <w:r>
        <w:instrText xml:space="preserve"> PAGEREF _Toc328471478 \h </w:instrText>
      </w:r>
      <w:r>
        <w:fldChar w:fldCharType="separate"/>
      </w:r>
      <w:r>
        <w:t>57</w:t>
      </w:r>
      <w:r>
        <w:fldChar w:fldCharType="end"/>
      </w:r>
    </w:p>
    <w:p>
      <w:pPr>
        <w:pStyle w:val="TOC4"/>
        <w:tabs>
          <w:tab w:val="right" w:leader="dot" w:pos="7086"/>
        </w:tabs>
        <w:rPr>
          <w:b w:val="0"/>
          <w:sz w:val="24"/>
          <w:szCs w:val="24"/>
          <w:lang w:val="en-US"/>
        </w:rPr>
      </w:pPr>
      <w:r>
        <w:t>Division 2</w:t>
      </w:r>
      <w:r>
        <w:rPr>
          <w:b w:val="0"/>
        </w:rPr>
        <w:t> — </w:t>
      </w:r>
      <w:r>
        <w:t>Quantity charges</w:t>
      </w:r>
    </w:p>
    <w:p>
      <w:pPr>
        <w:pStyle w:val="TOC4"/>
        <w:tabs>
          <w:tab w:val="right" w:leader="dot" w:pos="7086"/>
        </w:tabs>
        <w:rPr>
          <w:b w:val="0"/>
          <w:sz w:val="24"/>
          <w:szCs w:val="24"/>
          <w:lang w:val="en-US"/>
        </w:rPr>
      </w:pPr>
      <w:r>
        <w:t>Division 3</w:t>
      </w:r>
      <w:r>
        <w:rPr>
          <w:b w:val="0"/>
        </w:rPr>
        <w:t> — </w:t>
      </w:r>
      <w:r>
        <w:t>Formula for the purposes of by</w:t>
      </w:r>
      <w:r>
        <w:noBreakHyphen/>
        <w:t>law 17(3)</w:t>
      </w:r>
    </w:p>
    <w:p>
      <w:pPr>
        <w:pStyle w:val="TOC8"/>
        <w:rPr>
          <w:sz w:val="24"/>
          <w:szCs w:val="24"/>
          <w:lang w:val="en-US"/>
        </w:rPr>
      </w:pPr>
      <w:r>
        <w:t>35.</w:t>
      </w:r>
      <w:r>
        <w:tab/>
        <w:t>Formula for the purposes of by</w:t>
      </w:r>
      <w:r>
        <w:noBreakHyphen/>
        <w:t>law 17(3)</w:t>
      </w:r>
      <w:r>
        <w:tab/>
      </w:r>
      <w:r>
        <w:fldChar w:fldCharType="begin"/>
      </w:r>
      <w:r>
        <w:instrText xml:space="preserve"> PAGEREF _Toc328471481 \h </w:instrText>
      </w:r>
      <w:r>
        <w:fldChar w:fldCharType="separate"/>
      </w:r>
      <w:r>
        <w:t>75</w:t>
      </w:r>
      <w:r>
        <w:fldChar w:fldCharType="end"/>
      </w:r>
    </w:p>
    <w:p>
      <w:pPr>
        <w:pStyle w:val="TOC4"/>
        <w:tabs>
          <w:tab w:val="right" w:leader="dot" w:pos="7086"/>
        </w:tabs>
        <w:rPr>
          <w:b w:val="0"/>
          <w:sz w:val="24"/>
          <w:szCs w:val="24"/>
          <w:lang w:val="en-US"/>
        </w:rPr>
      </w:pPr>
      <w:r>
        <w:t>Division 4</w:t>
      </w:r>
      <w:r>
        <w:rPr>
          <w:b w:val="0"/>
        </w:rPr>
        <w:t> — </w:t>
      </w:r>
      <w:r>
        <w:t>Capital infrastructure charges determined under by</w:t>
      </w:r>
      <w:r>
        <w:noBreakHyphen/>
        <w:t>law 19A</w:t>
      </w:r>
    </w:p>
    <w:p>
      <w:pPr>
        <w:pStyle w:val="TOC8"/>
        <w:rPr>
          <w:sz w:val="24"/>
          <w:szCs w:val="24"/>
          <w:lang w:val="en-US"/>
        </w:rPr>
      </w:pPr>
      <w:r>
        <w:t>36.</w:t>
      </w:r>
      <w:r>
        <w:tab/>
        <w:t>Capital infrastructure charges determined under by</w:t>
      </w:r>
      <w:r>
        <w:noBreakHyphen/>
        <w:t>law 19A</w:t>
      </w:r>
      <w:r>
        <w:tab/>
      </w:r>
      <w:r>
        <w:fldChar w:fldCharType="begin"/>
      </w:r>
      <w:r>
        <w:instrText xml:space="preserve"> PAGEREF _Toc328471483 \h </w:instrText>
      </w:r>
      <w:r>
        <w:fldChar w:fldCharType="separate"/>
      </w:r>
      <w:r>
        <w:t>76</w:t>
      </w:r>
      <w:r>
        <w:fldChar w:fldCharType="end"/>
      </w:r>
    </w:p>
    <w:p>
      <w:pPr>
        <w:pStyle w:val="TOC2"/>
        <w:tabs>
          <w:tab w:val="right" w:leader="dot" w:pos="7086"/>
        </w:tabs>
        <w:rPr>
          <w:b w:val="0"/>
          <w:sz w:val="24"/>
          <w:szCs w:val="24"/>
          <w:lang w:val="en-US"/>
        </w:rPr>
      </w:pPr>
      <w:r>
        <w:t xml:space="preserve">Schedule 2 — Charges for water supply under the </w:t>
      </w:r>
      <w:r>
        <w:rPr>
          <w:i/>
        </w:rPr>
        <w:t>Rights in Water and Irrigation Act 1914</w:t>
      </w:r>
      <w:r>
        <w:t xml:space="preserve"> for 2012/2013</w:t>
      </w:r>
    </w:p>
    <w:p>
      <w:pPr>
        <w:pStyle w:val="TOC4"/>
        <w:tabs>
          <w:tab w:val="right" w:leader="dot" w:pos="7086"/>
        </w:tabs>
        <w:rPr>
          <w:b w:val="0"/>
          <w:sz w:val="24"/>
          <w:szCs w:val="24"/>
          <w:lang w:val="en-US"/>
        </w:rPr>
      </w:pPr>
      <w:r>
        <w:t>Division 1 — Fixed charges</w:t>
      </w:r>
    </w:p>
    <w:p>
      <w:pPr>
        <w:pStyle w:val="TOC4"/>
        <w:tabs>
          <w:tab w:val="right" w:leader="dot" w:pos="7086"/>
        </w:tabs>
        <w:rPr>
          <w:b w:val="0"/>
          <w:sz w:val="24"/>
          <w:szCs w:val="24"/>
          <w:lang w:val="en-US"/>
        </w:rPr>
      </w:pPr>
      <w:r>
        <w:t>Division 2 — Variable charges and charges by way of a rate</w:t>
      </w:r>
    </w:p>
    <w:p>
      <w:pPr>
        <w:pStyle w:val="TOC2"/>
        <w:tabs>
          <w:tab w:val="right" w:leader="dot" w:pos="7086"/>
        </w:tabs>
        <w:rPr>
          <w:b w:val="0"/>
          <w:sz w:val="24"/>
          <w:szCs w:val="24"/>
          <w:lang w:val="en-US"/>
        </w:rPr>
      </w:pPr>
      <w:r>
        <w:t>Schedule 3 — Charges for sewerage for 2012/2013</w:t>
      </w:r>
    </w:p>
    <w:p>
      <w:pPr>
        <w:pStyle w:val="TOC4"/>
        <w:tabs>
          <w:tab w:val="right" w:leader="dot" w:pos="7086"/>
        </w:tabs>
        <w:rPr>
          <w:b w:val="0"/>
          <w:sz w:val="24"/>
          <w:szCs w:val="24"/>
          <w:lang w:val="en-US"/>
        </w:rPr>
      </w:pPr>
      <w:r>
        <w:t>Division 1 — Fixed charges</w:t>
      </w:r>
    </w:p>
    <w:p>
      <w:pPr>
        <w:pStyle w:val="TOC4"/>
        <w:tabs>
          <w:tab w:val="right" w:leader="dot" w:pos="7086"/>
        </w:tabs>
        <w:rPr>
          <w:b w:val="0"/>
          <w:sz w:val="24"/>
          <w:szCs w:val="24"/>
          <w:lang w:val="en-US"/>
        </w:rPr>
      </w:pPr>
      <w:r>
        <w:t>Division 2 — Variable charges and charges by way of a rate</w:t>
      </w:r>
    </w:p>
    <w:p>
      <w:pPr>
        <w:pStyle w:val="TOC4"/>
        <w:tabs>
          <w:tab w:val="right" w:leader="dot" w:pos="7086"/>
        </w:tabs>
        <w:rPr>
          <w:b w:val="0"/>
          <w:sz w:val="24"/>
          <w:szCs w:val="24"/>
          <w:lang w:val="en-US"/>
        </w:rPr>
      </w:pPr>
      <w:r>
        <w:t>Division 3 — Variable charges</w:t>
      </w:r>
    </w:p>
    <w:p>
      <w:pPr>
        <w:pStyle w:val="TOC4"/>
        <w:tabs>
          <w:tab w:val="right" w:leader="dot" w:pos="7086"/>
        </w:tabs>
        <w:rPr>
          <w:b w:val="0"/>
          <w:sz w:val="24"/>
          <w:szCs w:val="24"/>
          <w:lang w:val="en-US"/>
        </w:rPr>
      </w:pPr>
      <w:r>
        <w:t>Division 4</w:t>
      </w:r>
      <w:r>
        <w:rPr>
          <w:b w:val="0"/>
        </w:rPr>
        <w:t> </w:t>
      </w:r>
      <w:r>
        <w:t>— Metropolitan combined charges</w:t>
      </w:r>
    </w:p>
    <w:p>
      <w:pPr>
        <w:pStyle w:val="TOC8"/>
        <w:rPr>
          <w:sz w:val="24"/>
          <w:szCs w:val="24"/>
          <w:lang w:val="en-US"/>
        </w:rPr>
      </w:pPr>
      <w:r>
        <w:t>13.</w:t>
      </w:r>
      <w:r>
        <w:tab/>
        <w:t>Metropolitan non</w:t>
      </w:r>
      <w:r>
        <w:noBreakHyphen/>
        <w:t>residential (other than vacant land)</w:t>
      </w:r>
      <w:r>
        <w:tab/>
      </w:r>
      <w:r>
        <w:fldChar w:fldCharType="begin"/>
      </w:r>
      <w:r>
        <w:instrText xml:space="preserve"> PAGEREF _Toc328471492 \h </w:instrText>
      </w:r>
      <w:r>
        <w:fldChar w:fldCharType="separate"/>
      </w:r>
      <w:r>
        <w:t>92</w:t>
      </w:r>
      <w:r>
        <w:fldChar w:fldCharType="end"/>
      </w:r>
    </w:p>
    <w:p>
      <w:pPr>
        <w:pStyle w:val="TOC8"/>
        <w:rPr>
          <w:sz w:val="24"/>
          <w:szCs w:val="24"/>
          <w:lang w:val="en-US"/>
        </w:rPr>
      </w:pPr>
      <w:r>
        <w:t>14.</w:t>
      </w:r>
      <w:r>
        <w:tab/>
        <w:t>Metropolitan Government trading organisation and non</w:t>
      </w:r>
      <w:r>
        <w:noBreakHyphen/>
        <w:t>commercial Government property</w:t>
      </w:r>
      <w:r>
        <w:tab/>
      </w:r>
      <w:r>
        <w:fldChar w:fldCharType="begin"/>
      </w:r>
      <w:r>
        <w:instrText xml:space="preserve"> PAGEREF _Toc328471493 \h </w:instrText>
      </w:r>
      <w:r>
        <w:fldChar w:fldCharType="separate"/>
      </w:r>
      <w:r>
        <w:t>93</w:t>
      </w:r>
      <w:r>
        <w:fldChar w:fldCharType="end"/>
      </w:r>
    </w:p>
    <w:p>
      <w:pPr>
        <w:pStyle w:val="TOC8"/>
        <w:rPr>
          <w:sz w:val="24"/>
          <w:szCs w:val="24"/>
          <w:lang w:val="en-US"/>
        </w:rPr>
      </w:pPr>
      <w:r>
        <w:t>15.</w:t>
      </w:r>
      <w:r>
        <w:tab/>
        <w:t>Metropolitan non strata</w:t>
      </w:r>
      <w:r>
        <w:noBreakHyphen/>
        <w:t>titled caravan park with long</w:t>
      </w:r>
      <w:r>
        <w:noBreakHyphen/>
        <w:t>term residential caravan bays</w:t>
      </w:r>
      <w:r>
        <w:tab/>
      </w:r>
      <w:r>
        <w:fldChar w:fldCharType="begin"/>
      </w:r>
      <w:r>
        <w:instrText xml:space="preserve"> PAGEREF _Toc328471494 \h </w:instrText>
      </w:r>
      <w:r>
        <w:fldChar w:fldCharType="separate"/>
      </w:r>
      <w:r>
        <w:t>93</w:t>
      </w:r>
      <w:r>
        <w:fldChar w:fldCharType="end"/>
      </w:r>
    </w:p>
    <w:p>
      <w:pPr>
        <w:pStyle w:val="TOC8"/>
        <w:rPr>
          <w:sz w:val="24"/>
          <w:szCs w:val="24"/>
          <w:lang w:val="en-US"/>
        </w:rPr>
      </w:pPr>
      <w:r>
        <w:t>16.</w:t>
      </w:r>
      <w:r>
        <w:tab/>
        <w:t>Metropolitan nursing home</w:t>
      </w:r>
      <w:r>
        <w:tab/>
      </w:r>
      <w:r>
        <w:fldChar w:fldCharType="begin"/>
      </w:r>
      <w:r>
        <w:instrText xml:space="preserve"> PAGEREF _Toc328471495 \h </w:instrText>
      </w:r>
      <w:r>
        <w:fldChar w:fldCharType="separate"/>
      </w:r>
      <w:r>
        <w:t>95</w:t>
      </w:r>
      <w:r>
        <w:fldChar w:fldCharType="end"/>
      </w:r>
    </w:p>
    <w:p>
      <w:pPr>
        <w:pStyle w:val="TOC8"/>
        <w:rPr>
          <w:sz w:val="24"/>
          <w:szCs w:val="24"/>
          <w:lang w:val="en-US"/>
        </w:rPr>
      </w:pPr>
      <w:r>
        <w:t>17.</w:t>
      </w:r>
      <w:r>
        <w:tab/>
        <w:t>Certain metropolitan strata</w:t>
      </w:r>
      <w:r>
        <w:noBreakHyphen/>
        <w:t>titled units</w:t>
      </w:r>
      <w:r>
        <w:tab/>
      </w:r>
      <w:r>
        <w:fldChar w:fldCharType="begin"/>
      </w:r>
      <w:r>
        <w:instrText xml:space="preserve"> PAGEREF _Toc328471496 \h </w:instrText>
      </w:r>
      <w:r>
        <w:fldChar w:fldCharType="separate"/>
      </w:r>
      <w:r>
        <w:t>96</w:t>
      </w:r>
      <w:r>
        <w:fldChar w:fldCharType="end"/>
      </w:r>
    </w:p>
    <w:p>
      <w:pPr>
        <w:pStyle w:val="TOC4"/>
        <w:tabs>
          <w:tab w:val="right" w:leader="dot" w:pos="7086"/>
        </w:tabs>
        <w:rPr>
          <w:b w:val="0"/>
          <w:sz w:val="24"/>
          <w:szCs w:val="24"/>
          <w:lang w:val="en-US"/>
        </w:rPr>
      </w:pPr>
      <w:r>
        <w:t>Division 5</w:t>
      </w:r>
      <w:r>
        <w:rPr>
          <w:b w:val="0"/>
        </w:rPr>
        <w:t> — </w:t>
      </w:r>
      <w:r>
        <w:t>Computation of combined metropolitan charges</w:t>
      </w:r>
    </w:p>
    <w:p>
      <w:pPr>
        <w:pStyle w:val="TOC8"/>
        <w:rPr>
          <w:sz w:val="24"/>
          <w:szCs w:val="24"/>
          <w:lang w:val="en-US"/>
        </w:rPr>
      </w:pPr>
      <w:r>
        <w:t>18.</w:t>
      </w:r>
      <w:r>
        <w:tab/>
        <w:t>Formula for annual charge</w:t>
      </w:r>
      <w:r>
        <w:tab/>
      </w:r>
      <w:r>
        <w:fldChar w:fldCharType="begin"/>
      </w:r>
      <w:r>
        <w:instrText xml:space="preserve"> PAGEREF _Toc328471498 \h </w:instrText>
      </w:r>
      <w:r>
        <w:fldChar w:fldCharType="separate"/>
      </w:r>
      <w:r>
        <w:t>96</w:t>
      </w:r>
      <w:r>
        <w:fldChar w:fldCharType="end"/>
      </w:r>
    </w:p>
    <w:p>
      <w:pPr>
        <w:pStyle w:val="TOC8"/>
        <w:rPr>
          <w:sz w:val="24"/>
          <w:szCs w:val="24"/>
          <w:lang w:val="en-US"/>
        </w:rPr>
      </w:pPr>
      <w:r>
        <w:t>19.</w:t>
      </w:r>
      <w:r>
        <w:tab/>
        <w:t>Formula for quantity charge</w:t>
      </w:r>
      <w:r>
        <w:tab/>
      </w:r>
      <w:r>
        <w:fldChar w:fldCharType="begin"/>
      </w:r>
      <w:r>
        <w:instrText xml:space="preserve"> PAGEREF _Toc328471499 \h </w:instrText>
      </w:r>
      <w:r>
        <w:fldChar w:fldCharType="separate"/>
      </w:r>
      <w:r>
        <w:t>97</w:t>
      </w:r>
      <w:r>
        <w:fldChar w:fldCharType="end"/>
      </w:r>
    </w:p>
    <w:p>
      <w:pPr>
        <w:pStyle w:val="TOC8"/>
        <w:rPr>
          <w:sz w:val="24"/>
          <w:szCs w:val="24"/>
          <w:lang w:val="en-US"/>
        </w:rPr>
      </w:pPr>
      <w:r>
        <w:t>20.</w:t>
      </w:r>
      <w:r>
        <w:tab/>
        <w:t>Discharge allowance</w:t>
      </w:r>
      <w:r>
        <w:tab/>
      </w:r>
      <w:r>
        <w:fldChar w:fldCharType="begin"/>
      </w:r>
      <w:r>
        <w:instrText xml:space="preserve"> PAGEREF _Toc328471500 \h </w:instrText>
      </w:r>
      <w:r>
        <w:fldChar w:fldCharType="separate"/>
      </w:r>
      <w:r>
        <w:t>98</w:t>
      </w:r>
      <w:r>
        <w:fldChar w:fldCharType="end"/>
      </w:r>
    </w:p>
    <w:p>
      <w:pPr>
        <w:pStyle w:val="TOC4"/>
        <w:tabs>
          <w:tab w:val="right" w:leader="dot" w:pos="7086"/>
        </w:tabs>
        <w:rPr>
          <w:b w:val="0"/>
          <w:sz w:val="24"/>
          <w:szCs w:val="24"/>
          <w:lang w:val="en-US"/>
        </w:rPr>
      </w:pPr>
      <w:r>
        <w:t>Division 6 — Service charges for industrial waste</w:t>
      </w:r>
    </w:p>
    <w:p>
      <w:pPr>
        <w:pStyle w:val="TOC4"/>
        <w:tabs>
          <w:tab w:val="right" w:leader="dot" w:pos="7086"/>
        </w:tabs>
        <w:rPr>
          <w:b w:val="0"/>
          <w:sz w:val="24"/>
          <w:szCs w:val="24"/>
          <w:lang w:val="en-US"/>
        </w:rPr>
      </w:pPr>
      <w:r>
        <w:t>Division 7</w:t>
      </w:r>
      <w:r>
        <w:rPr>
          <w:b w:val="0"/>
        </w:rPr>
        <w:t> — </w:t>
      </w:r>
      <w:r>
        <w:t>Combined charges for country</w:t>
      </w:r>
    </w:p>
    <w:p>
      <w:pPr>
        <w:pStyle w:val="TOC4"/>
        <w:tabs>
          <w:tab w:val="right" w:leader="dot" w:pos="7086"/>
        </w:tabs>
        <w:rPr>
          <w:b w:val="0"/>
          <w:sz w:val="24"/>
          <w:szCs w:val="24"/>
          <w:lang w:val="en-US"/>
        </w:rPr>
      </w:pPr>
      <w:r>
        <w:t>Division 8 — Computation of combined charges for country</w:t>
      </w:r>
    </w:p>
    <w:p>
      <w:pPr>
        <w:pStyle w:val="TOC2"/>
        <w:tabs>
          <w:tab w:val="right" w:leader="dot" w:pos="7086"/>
        </w:tabs>
        <w:rPr>
          <w:b w:val="0"/>
          <w:sz w:val="24"/>
          <w:szCs w:val="24"/>
          <w:lang w:val="en-US"/>
        </w:rPr>
      </w:pPr>
      <w:r>
        <w:t>Schedule 4 — Charges for drainage for 2012/2013</w:t>
      </w:r>
    </w:p>
    <w:p>
      <w:pPr>
        <w:pStyle w:val="TOC4"/>
        <w:tabs>
          <w:tab w:val="right" w:leader="dot" w:pos="7086"/>
        </w:tabs>
        <w:rPr>
          <w:b w:val="0"/>
          <w:sz w:val="24"/>
          <w:szCs w:val="24"/>
          <w:lang w:val="en-US"/>
        </w:rPr>
      </w:pPr>
      <w:r>
        <w:t>Division 1 — Fixed charges</w:t>
      </w:r>
    </w:p>
    <w:p>
      <w:pPr>
        <w:pStyle w:val="TOC4"/>
        <w:tabs>
          <w:tab w:val="right" w:leader="dot" w:pos="7086"/>
        </w:tabs>
        <w:rPr>
          <w:b w:val="0"/>
          <w:sz w:val="24"/>
          <w:szCs w:val="24"/>
          <w:lang w:val="en-US"/>
        </w:rPr>
      </w:pPr>
      <w:r>
        <w:t>Division 2 — Charges by way of rate</w:t>
      </w:r>
    </w:p>
    <w:p>
      <w:pPr>
        <w:pStyle w:val="TOC2"/>
        <w:tabs>
          <w:tab w:val="right" w:leader="dot" w:pos="7086"/>
        </w:tabs>
        <w:rPr>
          <w:b w:val="0"/>
          <w:sz w:val="24"/>
          <w:szCs w:val="24"/>
          <w:lang w:val="en-US"/>
        </w:rPr>
      </w:pPr>
      <w:r>
        <w:t>Schedule 5 — Charges for irrigation for 2012/2013</w:t>
      </w:r>
    </w:p>
    <w:p>
      <w:pPr>
        <w:pStyle w:val="TOC2"/>
        <w:tabs>
          <w:tab w:val="right" w:leader="dot" w:pos="7086"/>
        </w:tabs>
        <w:rPr>
          <w:b w:val="0"/>
          <w:sz w:val="24"/>
          <w:szCs w:val="24"/>
          <w:lang w:val="en-US"/>
        </w:rPr>
      </w:pPr>
      <w:r>
        <w:t>Schedule 6 — Formula for calculating AGRV</w:t>
      </w:r>
    </w:p>
    <w:p>
      <w:pPr>
        <w:pStyle w:val="TOC8"/>
        <w:rPr>
          <w:sz w:val="24"/>
          <w:szCs w:val="24"/>
          <w:lang w:val="en-US"/>
        </w:rPr>
      </w:pPr>
      <w:r>
        <w:t>1.</w:t>
      </w:r>
      <w:r>
        <w:tab/>
        <w:t>Term used: relevant general valuation</w:t>
      </w:r>
      <w:r>
        <w:tab/>
      </w:r>
      <w:r>
        <w:fldChar w:fldCharType="begin"/>
      </w:r>
      <w:r>
        <w:instrText xml:space="preserve"> PAGEREF _Toc328471509 \h </w:instrText>
      </w:r>
      <w:r>
        <w:fldChar w:fldCharType="separate"/>
      </w:r>
      <w:r>
        <w:t>111</w:t>
      </w:r>
      <w:r>
        <w:fldChar w:fldCharType="end"/>
      </w:r>
    </w:p>
    <w:p>
      <w:pPr>
        <w:pStyle w:val="TOC8"/>
        <w:rPr>
          <w:sz w:val="24"/>
          <w:szCs w:val="24"/>
          <w:lang w:val="en-US"/>
        </w:rPr>
      </w:pPr>
      <w:r>
        <w:t>2.</w:t>
      </w:r>
      <w:r>
        <w:tab/>
        <w:t>Formula for calculating AGRV</w:t>
      </w:r>
      <w:r>
        <w:tab/>
      </w:r>
      <w:r>
        <w:fldChar w:fldCharType="begin"/>
      </w:r>
      <w:r>
        <w:instrText xml:space="preserve"> PAGEREF _Toc328471510 \h </w:instrText>
      </w:r>
      <w:r>
        <w:fldChar w:fldCharType="separate"/>
      </w:r>
      <w:r>
        <w:t>111</w:t>
      </w:r>
      <w:r>
        <w:fldChar w:fldCharType="end"/>
      </w:r>
    </w:p>
    <w:p>
      <w:pPr>
        <w:pStyle w:val="TOC2"/>
        <w:tabs>
          <w:tab w:val="right" w:leader="dot" w:pos="7086"/>
        </w:tabs>
        <w:rPr>
          <w:b w:val="0"/>
          <w:sz w:val="24"/>
          <w:szCs w:val="24"/>
          <w:lang w:val="en-US"/>
        </w:rPr>
      </w:pPr>
      <w:r>
        <w:t>Schedule 7 — Discounts and additional charges</w:t>
      </w:r>
    </w:p>
    <w:p>
      <w:pPr>
        <w:pStyle w:val="TOC2"/>
        <w:tabs>
          <w:tab w:val="right" w:leader="dot" w:pos="7086"/>
        </w:tabs>
        <w:rPr>
          <w:b w:val="0"/>
          <w:sz w:val="24"/>
          <w:szCs w:val="24"/>
          <w:lang w:val="en-US"/>
        </w:rPr>
      </w:pPr>
      <w:r>
        <w:t>Schedule 8 — Water supply charges for Government trading organisations and non</w:t>
      </w:r>
      <w:r>
        <w:noBreakHyphen/>
        <w:t>commercial Government property</w:t>
      </w:r>
    </w:p>
    <w:p>
      <w:pPr>
        <w:pStyle w:val="TOC2"/>
        <w:tabs>
          <w:tab w:val="right" w:leader="dot" w:pos="7086"/>
        </w:tabs>
        <w:rPr>
          <w:b w:val="0"/>
          <w:sz w:val="24"/>
          <w:szCs w:val="24"/>
          <w:lang w:val="en-US"/>
        </w:rPr>
      </w:pPr>
      <w:r>
        <w:t>Schedule 9 — Classification of towns/areas for the purpose of determining quantity charges in the previous year</w:t>
      </w:r>
    </w:p>
    <w:p>
      <w:pPr>
        <w:pStyle w:val="TOC2"/>
        <w:tabs>
          <w:tab w:val="right" w:leader="dot" w:pos="7086"/>
        </w:tabs>
        <w:rPr>
          <w:b w:val="0"/>
          <w:sz w:val="24"/>
          <w:szCs w:val="24"/>
          <w:lang w:val="en-US"/>
        </w:rPr>
      </w:pPr>
      <w:r>
        <w:t>Schedule 10 — Classification of towns/areas for the purpose of determining quantity charges in the current year</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_Toc328471516 \h </w:instrText>
      </w:r>
      <w:r>
        <w:fldChar w:fldCharType="separate"/>
      </w:r>
      <w:r>
        <w:t>135</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Water Agencies (Powers) Act 1984</w:t>
      </w:r>
    </w:p>
    <w:p>
      <w:pPr>
        <w:pStyle w:val="NameofActReg"/>
        <w:spacing w:before="600" w:after="720"/>
      </w:pPr>
      <w:r>
        <w:t>Water Agencies (Charges) By</w:t>
      </w:r>
      <w:r>
        <w:noBreakHyphen/>
        <w:t>laws 1987</w:t>
      </w:r>
    </w:p>
    <w:p>
      <w:pPr>
        <w:pStyle w:val="Heading5"/>
        <w:spacing w:before="160"/>
        <w:rPr>
          <w:snapToGrid w:val="0"/>
        </w:rPr>
      </w:pPr>
      <w:bookmarkStart w:id="1" w:name="_Toc487428937"/>
      <w:bookmarkStart w:id="2" w:name="_Toc17278645"/>
      <w:bookmarkStart w:id="3" w:name="_Toc180204742"/>
      <w:bookmarkStart w:id="4" w:name="_Toc328471418"/>
      <w:r>
        <w:rPr>
          <w:rStyle w:val="CharSectno"/>
        </w:rPr>
        <w:t>1</w:t>
      </w:r>
      <w:r>
        <w:rPr>
          <w:snapToGrid w:val="0"/>
        </w:rPr>
        <w:t>.</w:t>
      </w:r>
      <w:r>
        <w:rPr>
          <w:snapToGrid w:val="0"/>
        </w:rPr>
        <w:tab/>
        <w:t>Citation</w:t>
      </w:r>
      <w:bookmarkEnd w:id="1"/>
      <w:bookmarkEnd w:id="2"/>
      <w:bookmarkEnd w:id="3"/>
      <w:bookmarkEnd w:id="4"/>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Water Agencies (Charges) By</w:t>
      </w:r>
      <w:r>
        <w:rPr>
          <w:i/>
          <w:snapToGrid w:val="0"/>
        </w:rPr>
        <w:noBreakHyphen/>
        <w:t>laws 1987</w:t>
      </w:r>
      <w:r>
        <w:rPr>
          <w:i/>
          <w:snapToGrid w:val="0"/>
          <w:vertAlign w:val="superscript"/>
        </w:rPr>
        <w:t xml:space="preserve"> </w:t>
      </w:r>
      <w:r>
        <w:rPr>
          <w:snapToGrid w:val="0"/>
          <w:vertAlign w:val="superscript"/>
        </w:rPr>
        <w:t>1</w:t>
      </w:r>
      <w:r>
        <w:rPr>
          <w:snapToGrid w:val="0"/>
        </w:rPr>
        <w:t>.</w:t>
      </w:r>
    </w:p>
    <w:p>
      <w:pPr>
        <w:pStyle w:val="Footnotesection"/>
      </w:pPr>
      <w:r>
        <w:tab/>
        <w:t>[By</w:t>
      </w:r>
      <w:r>
        <w:noBreakHyphen/>
        <w:t>law 1 amended in Gazette 29 Dec 1995 p. 6330.]</w:t>
      </w:r>
    </w:p>
    <w:p>
      <w:pPr>
        <w:pStyle w:val="Heading5"/>
        <w:rPr>
          <w:snapToGrid w:val="0"/>
        </w:rPr>
      </w:pPr>
      <w:bookmarkStart w:id="5" w:name="_Toc487428938"/>
      <w:bookmarkStart w:id="6" w:name="_Toc17278646"/>
      <w:bookmarkStart w:id="7" w:name="_Toc180204743"/>
      <w:bookmarkStart w:id="8" w:name="_Toc328471419"/>
      <w:r>
        <w:rPr>
          <w:rStyle w:val="CharSectno"/>
        </w:rPr>
        <w:t>2</w:t>
      </w:r>
      <w:r>
        <w:rPr>
          <w:snapToGrid w:val="0"/>
        </w:rPr>
        <w:t>.</w:t>
      </w:r>
      <w:r>
        <w:rPr>
          <w:snapToGrid w:val="0"/>
        </w:rPr>
        <w:tab/>
      </w:r>
      <w:bookmarkEnd w:id="5"/>
      <w:bookmarkEnd w:id="6"/>
      <w:r>
        <w:rPr>
          <w:snapToGrid w:val="0"/>
        </w:rPr>
        <w:t>Terms used</w:t>
      </w:r>
      <w:bookmarkEnd w:id="7"/>
      <w:bookmarkEnd w:id="8"/>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tab/>
      </w:r>
      <w:r>
        <w:rPr>
          <w:rStyle w:val="CharDefText"/>
        </w:rPr>
        <w:t>aged home</w:t>
      </w:r>
      <w:r>
        <w:t xml:space="preserve"> means an institution that, in the opinion of the Corporation — </w:t>
      </w:r>
    </w:p>
    <w:p>
      <w:pPr>
        <w:pStyle w:val="Defpara"/>
      </w:pPr>
      <w:r>
        <w:tab/>
        <w:t>(a)</w:t>
      </w:r>
      <w:r>
        <w:tab/>
        <w:t>provides accommodation for aged persons; and</w:t>
      </w:r>
    </w:p>
    <w:p>
      <w:pPr>
        <w:pStyle w:val="Defpara"/>
      </w:pPr>
      <w:r>
        <w:tab/>
        <w:t>(b)</w:t>
      </w:r>
      <w:r>
        <w:tab/>
        <w:t>is not operated for the purpose of profit or gain;</w:t>
      </w:r>
    </w:p>
    <w:p>
      <w:pPr>
        <w:pStyle w:val="Defstart"/>
      </w:pPr>
      <w:r>
        <w:rPr>
          <w:b/>
        </w:rPr>
        <w:tab/>
      </w:r>
      <w:r>
        <w:rPr>
          <w:rStyle w:val="CharDefText"/>
        </w:rPr>
        <w:t>caravan bay</w:t>
      </w:r>
      <w:r>
        <w:t xml:space="preserve"> means </w:t>
      </w:r>
      <w:r>
        <w:rPr>
          <w:rStyle w:val="CharDefText"/>
        </w:rPr>
        <w:t>site</w:t>
      </w:r>
      <w:r>
        <w:t xml:space="preserve"> as that word is defined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pPr>
      <w:r>
        <w:tab/>
      </w:r>
      <w:r>
        <w:rPr>
          <w:rStyle w:val="CharDefText"/>
        </w:rPr>
        <w:t>consumption year</w:t>
      </w:r>
      <w:r>
        <w:t>, in relation to a property, means the period determined by the Corporation for the purposes of calculating the quantity charge for the supply of water to the property;</w:t>
      </w:r>
    </w:p>
    <w:p>
      <w:pPr>
        <w:pStyle w:val="Defstart"/>
      </w:pPr>
      <w:r>
        <w:rPr>
          <w:b/>
        </w:rPr>
        <w:tab/>
      </w:r>
      <w:r>
        <w:rPr>
          <w:rStyle w:val="CharDefText"/>
        </w:rPr>
        <w:t>country sewerage area</w:t>
      </w:r>
      <w:r>
        <w:t xml:space="preserve"> means a sewerage area constituted under the </w:t>
      </w:r>
      <w:r>
        <w:rPr>
          <w:i/>
        </w:rPr>
        <w:t>Country Towns Sewerage Act 1948</w:t>
      </w:r>
      <w:r>
        <w:t>;</w:t>
      </w:r>
    </w:p>
    <w:p>
      <w:pPr>
        <w:pStyle w:val="Defstart"/>
      </w:pPr>
      <w:r>
        <w:rPr>
          <w:b/>
        </w:rPr>
        <w:tab/>
      </w:r>
      <w:r>
        <w:rPr>
          <w:rStyle w:val="CharDefText"/>
        </w:rPr>
        <w:t>current year</w:t>
      </w:r>
      <w:r>
        <w:t xml:space="preserve"> means the current financial year;</w:t>
      </w:r>
    </w:p>
    <w:p>
      <w:pPr>
        <w:pStyle w:val="Defstart"/>
        <w:keepNext/>
      </w:pPr>
      <w:r>
        <w:rPr>
          <w:b/>
        </w:rPr>
        <w:tab/>
      </w:r>
      <w:r>
        <w:rPr>
          <w:rStyle w:val="CharDefText"/>
        </w:rPr>
        <w:t>discharge charge</w:t>
      </w:r>
      <w:r>
        <w:t xml:space="preserve"> means —</w:t>
      </w:r>
    </w:p>
    <w:p>
      <w:pPr>
        <w:pStyle w:val="Defpara"/>
      </w:pPr>
      <w:r>
        <w:tab/>
        <w:t>(a)</w:t>
      </w:r>
      <w:r>
        <w:tab/>
        <w:t>when used in a metropolitan context, an amount calculated in accordance with the formula in Schedule 3 item 19; or</w:t>
      </w:r>
    </w:p>
    <w:p>
      <w:pPr>
        <w:pStyle w:val="Defpara"/>
      </w:pPr>
      <w:r>
        <w:tab/>
        <w:t>(b)</w:t>
      </w:r>
      <w:r>
        <w:tab/>
        <w:t>when used in a country context, an amount calculated in accordance with the formula in Schedule 3 item 37; or</w:t>
      </w:r>
    </w:p>
    <w:p>
      <w:pPr>
        <w:pStyle w:val="Defstart"/>
      </w:pPr>
      <w:r>
        <w:rPr>
          <w:b/>
        </w:rPr>
        <w:tab/>
      </w:r>
      <w:r>
        <w:rPr>
          <w:rStyle w:val="CharDefText"/>
        </w:rPr>
        <w:t>discharge factor</w:t>
      </w:r>
      <w:r>
        <w:t xml:space="preserve"> means the estimated percentage of water discharged into the Corporation’s sewer in a discharge period, set for each property by the Corporation —</w:t>
      </w:r>
    </w:p>
    <w:p>
      <w:pPr>
        <w:pStyle w:val="Defpara"/>
      </w:pPr>
      <w:r>
        <w:tab/>
        <w:t>(a)</w:t>
      </w:r>
      <w:r>
        <w:tab/>
        <w:t>by individual assessment and consultation with the consumer; or</w:t>
      </w:r>
    </w:p>
    <w:p>
      <w:pPr>
        <w:pStyle w:val="Defpara"/>
      </w:pPr>
      <w:r>
        <w:tab/>
        <w:t>(b)</w:t>
      </w:r>
      <w:r>
        <w:tab/>
        <w:t>at a default level of 95%;</w:t>
      </w:r>
    </w:p>
    <w:p>
      <w:pPr>
        <w:pStyle w:val="Defstart"/>
      </w:pPr>
      <w:r>
        <w:rPr>
          <w:b/>
        </w:rPr>
        <w:tab/>
      </w:r>
      <w:r>
        <w:rPr>
          <w:rStyle w:val="CharDefText"/>
        </w:rPr>
        <w:t>discharge period</w:t>
      </w:r>
      <w:r>
        <w:t xml:space="preserve"> means the period commencing on a day determined by the Corporation, being a day between 1 January and 29 June in a year and ending on a day determined by the Corporation, being a day within 20 days of the expiration of one year after the commencement of the period;</w:t>
      </w:r>
    </w:p>
    <w:p>
      <w:pPr>
        <w:pStyle w:val="Defstart"/>
      </w:pPr>
      <w:r>
        <w:rPr>
          <w:b/>
        </w:rPr>
        <w:tab/>
      </w:r>
      <w:r>
        <w:rPr>
          <w:rStyle w:val="CharDefText"/>
        </w:rPr>
        <w:t>discharge volume</w:t>
      </w:r>
      <w:r>
        <w:t xml:space="preserve"> means the approximate volume of water in kilolitres discharged into the Corporation’s sewer —</w:t>
      </w:r>
    </w:p>
    <w:p>
      <w:pPr>
        <w:pStyle w:val="Defpara"/>
      </w:pPr>
      <w:r>
        <w:tab/>
        <w:t>(a)</w:t>
      </w:r>
      <w:r>
        <w:tab/>
        <w:t>calculated by multiplying the volume of water delivered to a property (where known) in a discharge period by the discharge factor set for the period;</w:t>
      </w:r>
    </w:p>
    <w:p>
      <w:pPr>
        <w:pStyle w:val="Defpara"/>
      </w:pPr>
      <w:r>
        <w:tab/>
        <w:t>(b)</w:t>
      </w:r>
      <w:r>
        <w:tab/>
        <w:t>where delivery of water by other providers or suppliers means that the actual volume delivered is not known, calculated by multiplying the estimated volume of water delivered to a property in a discharge period by the discharge factor set for the period; or</w:t>
      </w:r>
    </w:p>
    <w:p>
      <w:pPr>
        <w:pStyle w:val="Defpara"/>
      </w:pPr>
      <w:r>
        <w:tab/>
        <w:t>(c)</w:t>
      </w:r>
      <w:r>
        <w:tab/>
        <w:t>where neither paragraph (a) nor (b) are appropriate, the volume estimated by the Corporation for the period;</w:t>
      </w:r>
    </w:p>
    <w:p>
      <w:pPr>
        <w:pStyle w:val="Defstart"/>
        <w:keepNext/>
      </w:pPr>
      <w:r>
        <w:rPr>
          <w:b/>
        </w:rPr>
        <w:tab/>
      </w:r>
      <w:r>
        <w:rPr>
          <w:rStyle w:val="CharDefText"/>
        </w:rPr>
        <w:t>Government trading organisation</w:t>
      </w:r>
      <w:r>
        <w:t xml:space="preserve"> means one of the following organisations —</w:t>
      </w:r>
    </w:p>
    <w:p>
      <w:pPr>
        <w:pStyle w:val="Defpara"/>
      </w:pPr>
      <w:r>
        <w:tab/>
      </w:r>
      <w:r>
        <w:tab/>
        <w:t xml:space="preserve">Albany Port Authority — constituted under the </w:t>
      </w:r>
      <w:smartTag w:uri="urn:schemas-microsoft-com:office:smarttags" w:element="place">
        <w:smartTag w:uri="urn:schemas-microsoft-com:office:smarttags" w:element="PlaceName">
          <w:r>
            <w:rPr>
              <w:i/>
            </w:rPr>
            <w:t>Albany</w:t>
          </w:r>
        </w:smartTag>
        <w:r>
          <w:rPr>
            <w:i/>
          </w:rPr>
          <w:t xml:space="preserve"> </w:t>
        </w:r>
        <w:smartTag w:uri="urn:schemas-microsoft-com:office:smarttags" w:element="PlaceType">
          <w:r>
            <w:rPr>
              <w:i/>
            </w:rPr>
            <w:t>Port</w:t>
          </w:r>
        </w:smartTag>
      </w:smartTag>
      <w:r>
        <w:rPr>
          <w:i/>
        </w:rPr>
        <w:t xml:space="preserve"> Authority Act 1926</w:t>
      </w:r>
      <w:r>
        <w:t xml:space="preserve"> </w:t>
      </w:r>
      <w:r>
        <w:rPr>
          <w:vertAlign w:val="superscript"/>
        </w:rPr>
        <w:t>2</w:t>
      </w:r>
      <w:r>
        <w:t>;</w:t>
      </w:r>
    </w:p>
    <w:p>
      <w:pPr>
        <w:pStyle w:val="Defpara"/>
      </w:pPr>
      <w:r>
        <w:tab/>
      </w:r>
      <w:r>
        <w:tab/>
        <w:t xml:space="preserve">Bunbury Port Authority — constituted under the </w:t>
      </w:r>
      <w:smartTag w:uri="urn:schemas-microsoft-com:office:smarttags" w:element="place">
        <w:smartTag w:uri="urn:schemas-microsoft-com:office:smarttags" w:element="PlaceName">
          <w:r>
            <w:rPr>
              <w:i/>
            </w:rPr>
            <w:t>Bunbury</w:t>
          </w:r>
        </w:smartTag>
        <w:r>
          <w:rPr>
            <w:i/>
          </w:rPr>
          <w:t xml:space="preserve"> </w:t>
        </w:r>
        <w:smartTag w:uri="urn:schemas-microsoft-com:office:smarttags" w:element="PlaceType">
          <w:r>
            <w:rPr>
              <w:i/>
            </w:rPr>
            <w:t>Port</w:t>
          </w:r>
        </w:smartTag>
      </w:smartTag>
      <w:r>
        <w:rPr>
          <w:i/>
        </w:rPr>
        <w:t xml:space="preserve"> Authority Act 1909</w:t>
      </w:r>
      <w:r>
        <w:t xml:space="preserve"> </w:t>
      </w:r>
      <w:r>
        <w:rPr>
          <w:vertAlign w:val="superscript"/>
        </w:rPr>
        <w:t>2</w:t>
      </w:r>
      <w:r>
        <w:t>;</w:t>
      </w:r>
    </w:p>
    <w:p>
      <w:pPr>
        <w:pStyle w:val="Defpara"/>
      </w:pPr>
      <w:r>
        <w:tab/>
      </w:r>
      <w:r>
        <w:tab/>
        <w:t xml:space="preserve">Dampier Port Authority — constituted under the </w:t>
      </w:r>
      <w:smartTag w:uri="urn:schemas-microsoft-com:office:smarttags" w:element="place">
        <w:smartTag w:uri="urn:schemas-microsoft-com:office:smarttags" w:element="PlaceName">
          <w:r>
            <w:rPr>
              <w:i/>
            </w:rPr>
            <w:t>Dampier</w:t>
          </w:r>
        </w:smartTag>
        <w:r>
          <w:rPr>
            <w:i/>
          </w:rPr>
          <w:t xml:space="preserve"> </w:t>
        </w:r>
        <w:smartTag w:uri="urn:schemas-microsoft-com:office:smarttags" w:element="PlaceType">
          <w:r>
            <w:rPr>
              <w:i/>
            </w:rPr>
            <w:t>Port</w:t>
          </w:r>
        </w:smartTag>
      </w:smartTag>
      <w:r>
        <w:rPr>
          <w:i/>
        </w:rPr>
        <w:t xml:space="preserve"> Authority Act 1985</w:t>
      </w:r>
      <w:r>
        <w:t xml:space="preserve"> </w:t>
      </w:r>
      <w:r>
        <w:rPr>
          <w:vertAlign w:val="superscript"/>
        </w:rPr>
        <w:t>2</w:t>
      </w:r>
      <w:r>
        <w:t>;</w:t>
      </w:r>
    </w:p>
    <w:p>
      <w:pPr>
        <w:pStyle w:val="Defpara"/>
      </w:pPr>
      <w:r>
        <w:tab/>
      </w:r>
      <w:r>
        <w:tab/>
        <w:t>Department of Marine and Harbours </w:t>
      </w:r>
      <w:r>
        <w:rPr>
          <w:vertAlign w:val="superscript"/>
        </w:rPr>
        <w:t>3</w:t>
      </w:r>
      <w:r>
        <w:t xml:space="preserve"> — established under section 4 of the </w:t>
      </w:r>
      <w:r>
        <w:rPr>
          <w:i/>
        </w:rPr>
        <w:t>Marine and Harbours Act 1981</w:t>
      </w:r>
      <w:r>
        <w:t>;</w:t>
      </w:r>
    </w:p>
    <w:p>
      <w:pPr>
        <w:pStyle w:val="Defpara"/>
      </w:pPr>
      <w:r>
        <w:tab/>
      </w:r>
      <w:r>
        <w:tab/>
        <w:t xml:space="preserve">Electricity Generation Corporation — established by section 4(1)(a) of the </w:t>
      </w:r>
      <w:r>
        <w:rPr>
          <w:i/>
        </w:rPr>
        <w:t>Electricity Corporations Act 2005</w:t>
      </w:r>
      <w:r>
        <w:t>;</w:t>
      </w:r>
    </w:p>
    <w:p>
      <w:pPr>
        <w:pStyle w:val="Defpara"/>
      </w:pPr>
      <w:r>
        <w:tab/>
      </w:r>
      <w:r>
        <w:tab/>
        <w:t xml:space="preserve">Electricity Networks Corporation — established by section 4(1)(b) of the </w:t>
      </w:r>
      <w:r>
        <w:rPr>
          <w:i/>
        </w:rPr>
        <w:t>Electricity Corporations Act 2005</w:t>
      </w:r>
      <w:r>
        <w:t>;</w:t>
      </w:r>
    </w:p>
    <w:p>
      <w:pPr>
        <w:pStyle w:val="Defpara"/>
      </w:pPr>
      <w:r>
        <w:tab/>
      </w:r>
      <w:r>
        <w:tab/>
        <w:t xml:space="preserve">Electricity Retail Corporation — established by section 4(1)(c) of the </w:t>
      </w:r>
      <w:r>
        <w:rPr>
          <w:i/>
        </w:rPr>
        <w:t>Electricity Corporations Act 2005</w:t>
      </w:r>
      <w:r>
        <w:t>;</w:t>
      </w:r>
    </w:p>
    <w:p>
      <w:pPr>
        <w:pStyle w:val="Defpara"/>
      </w:pPr>
      <w:r>
        <w:tab/>
      </w:r>
      <w:r>
        <w:tab/>
        <w:t xml:space="preserve">Esperance Port Authority — constituted under the </w:t>
      </w:r>
      <w:smartTag w:uri="urn:schemas-microsoft-com:office:smarttags" w:element="place">
        <w:smartTag w:uri="urn:schemas-microsoft-com:office:smarttags" w:element="PlaceName">
          <w:r>
            <w:rPr>
              <w:i/>
            </w:rPr>
            <w:t>Esperance</w:t>
          </w:r>
        </w:smartTag>
        <w:r>
          <w:rPr>
            <w:i/>
          </w:rPr>
          <w:t xml:space="preserve"> </w:t>
        </w:r>
        <w:smartTag w:uri="urn:schemas-microsoft-com:office:smarttags" w:element="PlaceType">
          <w:r>
            <w:rPr>
              <w:i/>
            </w:rPr>
            <w:t>Port</w:t>
          </w:r>
        </w:smartTag>
      </w:smartTag>
      <w:r>
        <w:rPr>
          <w:i/>
        </w:rPr>
        <w:t xml:space="preserve"> Authority Act 1968</w:t>
      </w:r>
      <w:r>
        <w:t xml:space="preserve"> </w:t>
      </w:r>
      <w:r>
        <w:rPr>
          <w:vertAlign w:val="superscript"/>
        </w:rPr>
        <w:t>2</w:t>
      </w:r>
      <w:r>
        <w:t>;</w:t>
      </w:r>
    </w:p>
    <w:p>
      <w:pPr>
        <w:pStyle w:val="Defpara"/>
      </w:pPr>
      <w:r>
        <w:tab/>
      </w:r>
      <w:r>
        <w:tab/>
        <w:t xml:space="preserve">Fremantle Port Authority — constituted under the </w:t>
      </w: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Port</w:t>
          </w:r>
        </w:smartTag>
      </w:smartTag>
      <w:r>
        <w:rPr>
          <w:i/>
        </w:rPr>
        <w:t xml:space="preserve"> Authority Act 1902</w:t>
      </w:r>
      <w:r>
        <w:t xml:space="preserve"> </w:t>
      </w:r>
      <w:r>
        <w:rPr>
          <w:vertAlign w:val="superscript"/>
        </w:rPr>
        <w:t>2</w:t>
      </w:r>
      <w:r>
        <w:t>;</w:t>
      </w:r>
    </w:p>
    <w:p>
      <w:pPr>
        <w:pStyle w:val="Defpara"/>
      </w:pPr>
      <w:r>
        <w:tab/>
      </w:r>
      <w:r>
        <w:tab/>
        <w:t xml:space="preserve">Gas Corporation — established under section 4 of the </w:t>
      </w:r>
      <w:r>
        <w:rPr>
          <w:i/>
        </w:rPr>
        <w:t>Gas Corporation Act 1994 </w:t>
      </w:r>
      <w:r>
        <w:rPr>
          <w:vertAlign w:val="superscript"/>
        </w:rPr>
        <w:t>4</w:t>
      </w:r>
      <w:r>
        <w:t>;</w:t>
      </w:r>
    </w:p>
    <w:p>
      <w:pPr>
        <w:pStyle w:val="Defpara"/>
      </w:pPr>
      <w:r>
        <w:tab/>
      </w:r>
      <w:r>
        <w:tab/>
        <w:t xml:space="preserve">Geraldton Port Authority — constituted under the </w:t>
      </w:r>
      <w:smartTag w:uri="urn:schemas-microsoft-com:office:smarttags" w:element="place">
        <w:smartTag w:uri="urn:schemas-microsoft-com:office:smarttags" w:element="PlaceName">
          <w:r>
            <w:rPr>
              <w:i/>
            </w:rPr>
            <w:t>Geraldton</w:t>
          </w:r>
        </w:smartTag>
        <w:r>
          <w:rPr>
            <w:i/>
          </w:rPr>
          <w:t xml:space="preserve"> </w:t>
        </w:r>
        <w:smartTag w:uri="urn:schemas-microsoft-com:office:smarttags" w:element="PlaceType">
          <w:r>
            <w:rPr>
              <w:i/>
            </w:rPr>
            <w:t>Port</w:t>
          </w:r>
        </w:smartTag>
      </w:smartTag>
      <w:r>
        <w:rPr>
          <w:i/>
        </w:rPr>
        <w:t xml:space="preserve"> Authority Act 1968</w:t>
      </w:r>
      <w:r>
        <w:t xml:space="preserve"> </w:t>
      </w:r>
      <w:r>
        <w:rPr>
          <w:vertAlign w:val="superscript"/>
        </w:rPr>
        <w:t>2</w:t>
      </w:r>
      <w:r>
        <w:t>;</w:t>
      </w:r>
    </w:p>
    <w:p>
      <w:pPr>
        <w:pStyle w:val="Defpara"/>
      </w:pPr>
      <w:r>
        <w:tab/>
      </w:r>
      <w:r>
        <w:tab/>
        <w:t xml:space="preserve">Joondalup Development Corporation — established under the </w:t>
      </w:r>
      <w:r>
        <w:rPr>
          <w:i/>
        </w:rPr>
        <w:t>Joondalup Centre Act 1976</w:t>
      </w:r>
      <w:r>
        <w:t xml:space="preserve"> </w:t>
      </w:r>
      <w:r>
        <w:rPr>
          <w:vertAlign w:val="superscript"/>
        </w:rPr>
        <w:t>5</w:t>
      </w:r>
      <w:r>
        <w:t>;</w:t>
      </w:r>
    </w:p>
    <w:p>
      <w:pPr>
        <w:pStyle w:val="Defpara"/>
      </w:pPr>
      <w:r>
        <w:tab/>
      </w:r>
      <w:r>
        <w:tab/>
        <w:t xml:space="preserve">Lotteries Commission — continued under the </w:t>
      </w:r>
      <w:r>
        <w:rPr>
          <w:i/>
        </w:rPr>
        <w:t>Lotteries Commission Act 1990</w:t>
      </w:r>
      <w:r>
        <w:t>;</w:t>
      </w:r>
    </w:p>
    <w:p>
      <w:pPr>
        <w:pStyle w:val="Defpara"/>
      </w:pPr>
      <w:r>
        <w:tab/>
      </w:r>
      <w:r>
        <w:tab/>
        <w:t xml:space="preserve">Metropolitan Cemeteries Board — established under the </w:t>
      </w:r>
      <w:r>
        <w:rPr>
          <w:i/>
        </w:rPr>
        <w:t>Cemeteries Act 1986</w:t>
      </w:r>
      <w:r>
        <w:t>;</w:t>
      </w:r>
    </w:p>
    <w:p>
      <w:pPr>
        <w:pStyle w:val="Defpara"/>
      </w:pPr>
      <w:r>
        <w:tab/>
      </w:r>
      <w:r>
        <w:tab/>
        <w:t>Metropolitan (</w:t>
      </w:r>
      <w:smartTag w:uri="urn:schemas-microsoft-com:office:smarttags" w:element="City">
        <w:r>
          <w:t>Perth</w:t>
        </w:r>
      </w:smartTag>
      <w:r>
        <w:t xml:space="preserve">) Passenger Transport Trust — constituted under the </w:t>
      </w:r>
      <w:r>
        <w:rPr>
          <w:i/>
        </w:rPr>
        <w:t>Metropolitan (</w:t>
      </w:r>
      <w:smartTag w:uri="urn:schemas-microsoft-com:office:smarttags" w:element="place">
        <w:smartTag w:uri="urn:schemas-microsoft-com:office:smarttags" w:element="City">
          <w:r>
            <w:rPr>
              <w:i/>
            </w:rPr>
            <w:t>Perth</w:t>
          </w:r>
        </w:smartTag>
      </w:smartTag>
      <w:r>
        <w:rPr>
          <w:i/>
        </w:rPr>
        <w:t>) Passenger Transport Trust Act 1957</w:t>
      </w:r>
      <w:r>
        <w:t xml:space="preserve"> </w:t>
      </w:r>
      <w:r>
        <w:rPr>
          <w:vertAlign w:val="superscript"/>
        </w:rPr>
        <w:t>6</w:t>
      </w:r>
      <w:r>
        <w:t>;</w:t>
      </w:r>
    </w:p>
    <w:p>
      <w:pPr>
        <w:pStyle w:val="Defpara"/>
      </w:pPr>
      <w:r>
        <w:tab/>
      </w:r>
      <w:r>
        <w:tab/>
        <w:t xml:space="preserve">Perth Market Authority —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Defpara"/>
      </w:pPr>
      <w:r>
        <w:tab/>
      </w:r>
      <w:r>
        <w:tab/>
        <w:t xml:space="preserve">Perth Theatre Trust — established under the </w:t>
      </w:r>
      <w:r>
        <w:rPr>
          <w:i/>
        </w:rPr>
        <w:t>Perth Theatre Trust Act 1979</w:t>
      </w:r>
      <w:r>
        <w:t>;</w:t>
      </w:r>
    </w:p>
    <w:p>
      <w:pPr>
        <w:pStyle w:val="Defpara"/>
      </w:pPr>
      <w:r>
        <w:tab/>
      </w:r>
      <w:r>
        <w:tab/>
      </w:r>
      <w:smartTag w:uri="urn:schemas-microsoft-com:office:smarttags" w:element="PlaceType">
        <w:r>
          <w:t>Port</w:t>
        </w:r>
      </w:smartTag>
      <w:r>
        <w:t xml:space="preserve"> </w:t>
      </w:r>
      <w:smartTag w:uri="urn:schemas-microsoft-com:office:smarttags" w:element="PlaceName">
        <w:r>
          <w:t>Hedland</w:t>
        </w:r>
      </w:smartTag>
      <w:r>
        <w:t xml:space="preserve"> </w:t>
      </w:r>
      <w:smartTag w:uri="urn:schemas-microsoft-com:office:smarttags" w:element="PlaceType">
        <w:r>
          <w:t>Port</w:t>
        </w:r>
      </w:smartTag>
      <w:r>
        <w:t xml:space="preserve"> Authority — constituted under the </w:t>
      </w:r>
      <w:smartTag w:uri="urn:schemas-microsoft-com:office:smarttags" w:element="place">
        <w:smartTag w:uri="urn:schemas-microsoft-com:office:smarttags" w:element="PlaceType">
          <w:r>
            <w:rPr>
              <w:i/>
            </w:rPr>
            <w:t>Port</w:t>
          </w:r>
        </w:smartTag>
        <w:r>
          <w:rPr>
            <w:i/>
          </w:rPr>
          <w:t xml:space="preserve"> </w:t>
        </w:r>
        <w:smartTag w:uri="urn:schemas-microsoft-com:office:smarttags" w:element="PlaceName">
          <w:r>
            <w:rPr>
              <w:i/>
            </w:rPr>
            <w:t>Hedland</w:t>
          </w:r>
        </w:smartTag>
        <w:r>
          <w:rPr>
            <w:i/>
          </w:rPr>
          <w:t xml:space="preserve"> </w:t>
        </w:r>
        <w:smartTag w:uri="urn:schemas-microsoft-com:office:smarttags" w:element="PlaceType">
          <w:r>
            <w:rPr>
              <w:i/>
            </w:rPr>
            <w:t>Port</w:t>
          </w:r>
        </w:smartTag>
      </w:smartTag>
      <w:r>
        <w:rPr>
          <w:i/>
        </w:rPr>
        <w:t xml:space="preserve"> Authority Act 1970</w:t>
      </w:r>
      <w:r>
        <w:t xml:space="preserve"> </w:t>
      </w:r>
      <w:r>
        <w:rPr>
          <w:vertAlign w:val="superscript"/>
        </w:rPr>
        <w:t>2</w:t>
      </w:r>
      <w:r>
        <w:t>;</w:t>
      </w:r>
    </w:p>
    <w:p>
      <w:pPr>
        <w:pStyle w:val="Defpara"/>
      </w:pPr>
      <w:r>
        <w:tab/>
      </w:r>
      <w:r>
        <w:tab/>
        <w:t xml:space="preserve">Regional Power Corporation — established by section 4(1)(d) of the </w:t>
      </w:r>
      <w:r>
        <w:rPr>
          <w:i/>
        </w:rPr>
        <w:t>Electricity Corporations Act 2005</w:t>
      </w:r>
      <w:r>
        <w:t>;</w:t>
      </w:r>
    </w:p>
    <w:p>
      <w:pPr>
        <w:pStyle w:val="Defpara"/>
      </w:pPr>
      <w:r>
        <w:tab/>
      </w:r>
      <w:r>
        <w:tab/>
        <w:t xml:space="preserve">State Housing Commission (“Homeswest”) — preserved and continued under the </w:t>
      </w:r>
      <w:r>
        <w:rPr>
          <w:i/>
        </w:rPr>
        <w:t>Housing Act 1980</w:t>
      </w:r>
      <w:r>
        <w:t>;</w:t>
      </w:r>
    </w:p>
    <w:p>
      <w:pPr>
        <w:pStyle w:val="Defpara"/>
      </w:pPr>
      <w:r>
        <w:tab/>
      </w:r>
      <w:r>
        <w:tab/>
        <w:t xml:space="preserve">Western Australian Coastal Shipping Commission — established under the </w:t>
      </w:r>
      <w:r>
        <w:rPr>
          <w:i/>
        </w:rPr>
        <w:t>Western Australian Coastal Shipping Commission Act 1965</w:t>
      </w:r>
      <w:r>
        <w:t>;</w:t>
      </w:r>
    </w:p>
    <w:p>
      <w:pPr>
        <w:pStyle w:val="Defpara"/>
      </w:pPr>
      <w:r>
        <w:tab/>
      </w:r>
      <w:r>
        <w:tab/>
        <w:t xml:space="preserve">Western Australian Development Corporation — established by the </w:t>
      </w:r>
      <w:r>
        <w:rPr>
          <w:i/>
        </w:rPr>
        <w:t>Western Australian Development Corporation Act 1983</w:t>
      </w:r>
      <w:r>
        <w:t xml:space="preserve"> </w:t>
      </w:r>
      <w:r>
        <w:rPr>
          <w:vertAlign w:val="superscript"/>
        </w:rPr>
        <w:t>7</w:t>
      </w:r>
      <w:r>
        <w:t>;</w:t>
      </w:r>
    </w:p>
    <w:p>
      <w:pPr>
        <w:pStyle w:val="Defpara"/>
      </w:pPr>
      <w:r>
        <w:tab/>
      </w:r>
      <w:r>
        <w:tab/>
        <w:t xml:space="preserve">Western Australian Land Authority —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Defpara"/>
      </w:pPr>
      <w:r>
        <w:tab/>
      </w:r>
      <w:r>
        <w:tab/>
        <w:t xml:space="preserve">Western Australian Meat Commission — established under the </w:t>
      </w:r>
      <w:r>
        <w:rPr>
          <w:i/>
        </w:rPr>
        <w:t>Abattoirs’ Act 1909</w:t>
      </w:r>
      <w:r>
        <w:t xml:space="preserve"> </w:t>
      </w:r>
      <w:r>
        <w:rPr>
          <w:vertAlign w:val="superscript"/>
        </w:rPr>
        <w:t>8</w:t>
      </w:r>
      <w:r>
        <w:t>;</w:t>
      </w:r>
    </w:p>
    <w:p>
      <w:pPr>
        <w:pStyle w:val="Defpara"/>
      </w:pPr>
      <w:r>
        <w:tab/>
      </w:r>
      <w:r>
        <w:tab/>
        <w:t xml:space="preserve">Western Australian Mint — preserved and continued under the </w:t>
      </w:r>
      <w:r>
        <w:rPr>
          <w:i/>
        </w:rPr>
        <w:t>Gold Corporation Act 1987</w:t>
      </w:r>
      <w:r>
        <w:t>, including —</w:t>
      </w:r>
    </w:p>
    <w:p>
      <w:pPr>
        <w:pStyle w:val="Defsubpara"/>
        <w:rPr>
          <w:snapToGrid w:val="0"/>
        </w:rPr>
      </w:pPr>
      <w:r>
        <w:rPr>
          <w:snapToGrid w:val="0"/>
        </w:rPr>
        <w:tab/>
        <w:t>(a)</w:t>
      </w:r>
      <w:r>
        <w:rPr>
          <w:snapToGrid w:val="0"/>
        </w:rPr>
        <w:tab/>
        <w:t xml:space="preserve">GoldCorp Australia — constituted under the </w:t>
      </w:r>
      <w:r>
        <w:rPr>
          <w:i/>
          <w:snapToGrid w:val="0"/>
        </w:rPr>
        <w:t>Gold Corporation Act 1987</w:t>
      </w:r>
      <w:r>
        <w:rPr>
          <w:snapToGrid w:val="0"/>
        </w:rPr>
        <w:t>;</w:t>
      </w:r>
    </w:p>
    <w:p>
      <w:pPr>
        <w:pStyle w:val="Defsubpara"/>
        <w:rPr>
          <w:snapToGrid w:val="0"/>
        </w:rPr>
      </w:pPr>
      <w:r>
        <w:rPr>
          <w:snapToGrid w:val="0"/>
        </w:rPr>
        <w:tab/>
        <w:t>(b)</w:t>
      </w:r>
      <w:r>
        <w:rPr>
          <w:snapToGrid w:val="0"/>
        </w:rPr>
        <w:tab/>
        <w:t xml:space="preserve">Gold Corporation — constituted under the </w:t>
      </w:r>
      <w:r>
        <w:rPr>
          <w:i/>
          <w:snapToGrid w:val="0"/>
        </w:rPr>
        <w:t>Gold Corporation Act 1987</w:t>
      </w:r>
      <w:r>
        <w:rPr>
          <w:snapToGrid w:val="0"/>
        </w:rPr>
        <w:t>; and</w:t>
      </w:r>
    </w:p>
    <w:p>
      <w:pPr>
        <w:pStyle w:val="Defsubpara"/>
        <w:rPr>
          <w:snapToGrid w:val="0"/>
        </w:rPr>
      </w:pPr>
      <w:r>
        <w:rPr>
          <w:snapToGrid w:val="0"/>
        </w:rPr>
        <w:tab/>
        <w:t>(c)</w:t>
      </w:r>
      <w:r>
        <w:rPr>
          <w:snapToGrid w:val="0"/>
        </w:rPr>
        <w:tab/>
        <w:t xml:space="preserve">the Perth Branch of the Royal Mint — established by proclamation under the </w:t>
      </w:r>
      <w:r>
        <w:rPr>
          <w:i/>
          <w:snapToGrid w:val="0"/>
        </w:rPr>
        <w:t>Coinage Act 1870</w:t>
      </w:r>
      <w:r>
        <w:rPr>
          <w:snapToGrid w:val="0"/>
        </w:rPr>
        <w:t xml:space="preserve"> of the Parliament of 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Defpara"/>
      </w:pPr>
      <w:r>
        <w:tab/>
      </w:r>
      <w:r>
        <w:tab/>
        <w:t xml:space="preserve">Western Australian Government Railways Commission (“Westrail”) — constituted under the </w:t>
      </w:r>
      <w:r>
        <w:rPr>
          <w:i/>
        </w:rPr>
        <w:t>Government Railways Act 1904</w:t>
      </w:r>
      <w:r>
        <w:t xml:space="preserve"> </w:t>
      </w:r>
      <w:r>
        <w:rPr>
          <w:vertAlign w:val="superscript"/>
        </w:rPr>
        <w:t>9</w:t>
      </w:r>
      <w:r>
        <w:t>;</w:t>
      </w:r>
    </w:p>
    <w:p>
      <w:pPr>
        <w:pStyle w:val="Defstart"/>
      </w:pPr>
      <w:r>
        <w:rPr>
          <w:b/>
        </w:rPr>
        <w:tab/>
      </w:r>
      <w:r>
        <w:rPr>
          <w:rStyle w:val="CharDefText"/>
        </w:rPr>
        <w:t>GRV</w:t>
      </w:r>
      <w:r>
        <w:t>, in relation to land, means the gross rental value of the land;</w:t>
      </w:r>
    </w:p>
    <w:p>
      <w:pPr>
        <w:pStyle w:val="Defstart"/>
        <w:keepNext/>
      </w:pPr>
      <w:r>
        <w:rPr>
          <w:b/>
        </w:rPr>
        <w:tab/>
      </w:r>
      <w:r>
        <w:rPr>
          <w:rStyle w:val="CharDefText"/>
        </w:rPr>
        <w:t>holiday accommodation</w:t>
      </w:r>
      <w:r>
        <w:t xml:space="preserve"> means accommodation which, at any time during the year for which a charge is to be assessed —</w:t>
      </w:r>
    </w:p>
    <w:p>
      <w:pPr>
        <w:pStyle w:val="Defpara"/>
      </w:pPr>
      <w:r>
        <w:tab/>
        <w:t>(a)</w:t>
      </w:r>
      <w:r>
        <w:tab/>
        <w:t>is held out by the owner or occupier of the land on which the accommodation is situated as being available; or</w:t>
      </w:r>
    </w:p>
    <w:p>
      <w:pPr>
        <w:pStyle w:val="Defpara"/>
        <w:keepNext/>
      </w:pPr>
      <w:r>
        <w:tab/>
        <w:t>(b)</w:t>
      </w:r>
      <w:r>
        <w:tab/>
        <w:t>is made available by that owner or occupier,</w:t>
      </w:r>
    </w:p>
    <w:p>
      <w:pPr>
        <w:pStyle w:val="Defstart"/>
      </w:pPr>
      <w:r>
        <w:tab/>
        <w:t>for occupation for holiday purposes by persons other than that owner or occupier unless, in the opinion of the Corporation, the accommodation is not so held out or made available substantially by way of trade or business or for the purpose of any trade or business;</w:t>
      </w:r>
    </w:p>
    <w:p>
      <w:pPr>
        <w:pStyle w:val="Defstart"/>
      </w:pPr>
      <w:r>
        <w:rPr>
          <w:b/>
        </w:rPr>
        <w:tab/>
      </w:r>
      <w:r>
        <w:rPr>
          <w:rStyle w:val="CharDefText"/>
        </w:rPr>
        <w:t>irrigation district</w:t>
      </w:r>
      <w:r>
        <w:t xml:space="preserve"> refers to an irrigation district constituted under the </w:t>
      </w:r>
      <w:r>
        <w:rPr>
          <w:i/>
        </w:rPr>
        <w:t>Rights in Water and Irrigation Act 1914</w:t>
      </w:r>
      <w:r>
        <w:t>;</w:t>
      </w:r>
    </w:p>
    <w:p>
      <w:pPr>
        <w:pStyle w:val="Defstart"/>
      </w:pPr>
      <w:r>
        <w:rPr>
          <w:b/>
        </w:rPr>
        <w:tab/>
      </w:r>
      <w:r>
        <w:rPr>
          <w:rStyle w:val="CharDefText"/>
        </w:rPr>
        <w:t>long term residential caravan bay</w:t>
      </w:r>
      <w:r>
        <w:t xml:space="preserve"> means a caravan bay that is rented by a person as the person’s principal place of residence;</w:t>
      </w:r>
    </w:p>
    <w:p>
      <w:pPr>
        <w:pStyle w:val="Defstart"/>
      </w:pPr>
      <w:r>
        <w:rPr>
          <w:b/>
        </w:rPr>
        <w:tab/>
      </w:r>
      <w:r>
        <w:rPr>
          <w:rStyle w:val="CharDefText"/>
        </w:rPr>
        <w:t>major fixture</w:t>
      </w:r>
      <w:r>
        <w:t xml:space="preserve"> means —</w:t>
      </w:r>
    </w:p>
    <w:p>
      <w:pPr>
        <w:pStyle w:val="Defpara"/>
      </w:pPr>
      <w:r>
        <w:tab/>
        <w:t>(a)</w:t>
      </w:r>
      <w:r>
        <w:tab/>
        <w:t>a water closet;</w:t>
      </w:r>
    </w:p>
    <w:p>
      <w:pPr>
        <w:pStyle w:val="Defpara"/>
      </w:pPr>
      <w:r>
        <w:tab/>
        <w:t>(b)</w:t>
      </w:r>
      <w:r>
        <w:tab/>
        <w:t>each urinal outlet contained within a floor mounted urinal;</w:t>
      </w:r>
    </w:p>
    <w:p>
      <w:pPr>
        <w:pStyle w:val="Defpara"/>
      </w:pPr>
      <w:r>
        <w:tab/>
        <w:t>(c)</w:t>
      </w:r>
      <w:r>
        <w:tab/>
        <w:t>each stand of wall</w:t>
      </w:r>
      <w:r>
        <w:noBreakHyphen/>
        <w:t>hung urinals contained within a separate ablution area; and</w:t>
      </w:r>
    </w:p>
    <w:p>
      <w:pPr>
        <w:pStyle w:val="Defpara"/>
      </w:pPr>
      <w:r>
        <w:tab/>
        <w:t>(d)</w:t>
      </w:r>
      <w:r>
        <w:tab/>
        <w:t>a pan washer;</w:t>
      </w:r>
    </w:p>
    <w:p>
      <w:pPr>
        <w:pStyle w:val="Defstart"/>
      </w:pPr>
      <w:r>
        <w:rPr>
          <w:b/>
        </w:rPr>
        <w:tab/>
      </w:r>
      <w:r>
        <w:rPr>
          <w:rStyle w:val="CharDefText"/>
        </w:rPr>
        <w:t>metropolitan area</w:t>
      </w:r>
      <w:r>
        <w:t xml:space="preserve"> means Metropolitan Water, Sewerage, and Drainage Area constituted under the </w:t>
      </w:r>
      <w:r>
        <w:rPr>
          <w:i/>
        </w:rPr>
        <w:t>Metropolitan Water Supply, Sewerage, and Drainage Act 1909</w:t>
      </w:r>
      <w:r>
        <w:t>;</w:t>
      </w:r>
    </w:p>
    <w:p>
      <w:pPr>
        <w:pStyle w:val="Defstart"/>
        <w:keepNext/>
      </w:pPr>
      <w:r>
        <w:rPr>
          <w:b/>
        </w:rPr>
        <w:tab/>
      </w:r>
      <w:r>
        <w:rPr>
          <w:rStyle w:val="CharDefText"/>
        </w:rPr>
        <w:t>non</w:t>
      </w:r>
      <w:r>
        <w:rPr>
          <w:rStyle w:val="CharDefText"/>
        </w:rPr>
        <w:noBreakHyphen/>
        <w:t>commercial Government property</w:t>
      </w:r>
      <w:r>
        <w:t xml:space="preserve"> means property held by a State Government body —</w:t>
      </w:r>
    </w:p>
    <w:p>
      <w:pPr>
        <w:pStyle w:val="Defpara"/>
      </w:pPr>
      <w:r>
        <w:tab/>
        <w:t>(a)</w:t>
      </w:r>
      <w:r>
        <w:tab/>
        <w:t>which is not used wholly or primarily for the provision of community services or public facilities;</w:t>
      </w:r>
    </w:p>
    <w:p>
      <w:pPr>
        <w:pStyle w:val="Defpara"/>
      </w:pPr>
      <w:r>
        <w:tab/>
        <w:t>(b)</w:t>
      </w:r>
      <w:r>
        <w:tab/>
        <w:t>which is not property classified as Government trading organisation property under these by</w:t>
      </w:r>
      <w:r>
        <w:noBreakHyphen/>
        <w:t>laws; and</w:t>
      </w:r>
    </w:p>
    <w:p>
      <w:pPr>
        <w:pStyle w:val="Defpara"/>
      </w:pPr>
      <w:r>
        <w:tab/>
        <w:t>(c)</w:t>
      </w:r>
      <w:r>
        <w:tab/>
        <w:t>upon which revenue may be generated, but not to the extent that it approaches the funding level necessary for the body itself,</w:t>
      </w:r>
    </w:p>
    <w:p>
      <w:pPr>
        <w:pStyle w:val="Defstart"/>
      </w:pPr>
      <w:r>
        <w:tab/>
        <w:t>and includes associated buildings and facilities.</w:t>
      </w:r>
    </w:p>
    <w:p>
      <w:pPr>
        <w:pStyle w:val="Defstart"/>
      </w:pPr>
      <w:r>
        <w:rPr>
          <w:b/>
        </w:rPr>
        <w:tab/>
      </w:r>
      <w:r>
        <w:rPr>
          <w:rStyle w:val="CharDefText"/>
        </w:rPr>
        <w:t>previous year</w:t>
      </w:r>
      <w:r>
        <w:t xml:space="preserve"> means the financial year immediately preceding the current year;</w:t>
      </w:r>
    </w:p>
    <w:p>
      <w:pPr>
        <w:pStyle w:val="Defstart"/>
        <w:keepNext/>
      </w:pPr>
      <w:r>
        <w:rPr>
          <w:b/>
        </w:rPr>
        <w:tab/>
      </w:r>
      <w:r>
        <w:rPr>
          <w:rStyle w:val="CharDefText"/>
        </w:rPr>
        <w:t>quantity charge</w:t>
      </w:r>
      <w:r>
        <w:t xml:space="preserve"> means —</w:t>
      </w:r>
    </w:p>
    <w:p>
      <w:pPr>
        <w:pStyle w:val="Defpara"/>
      </w:pPr>
      <w:r>
        <w:tab/>
        <w:t>(a)</w:t>
      </w:r>
      <w:r>
        <w:tab/>
        <w:t>in relation to the supply of water, a charge prescribed in these by</w:t>
      </w:r>
      <w:r>
        <w:noBreakHyphen/>
        <w:t>laws according to the quantity of water supplied, whether or not for irrigation; or</w:t>
      </w:r>
    </w:p>
    <w:p>
      <w:pPr>
        <w:pStyle w:val="Defpara"/>
      </w:pPr>
      <w:r>
        <w:tab/>
        <w:t>(b)</w:t>
      </w:r>
      <w:r>
        <w:tab/>
        <w:t>in relation to the provision of sewerage, a charge prescribed in these by</w:t>
      </w:r>
      <w:r>
        <w:noBreakHyphen/>
        <w:t>laws according to the discharge volume;</w:t>
      </w:r>
    </w:p>
    <w:p>
      <w:pPr>
        <w:pStyle w:val="Defstart"/>
      </w:pPr>
      <w:r>
        <w:rPr>
          <w:b/>
        </w:rPr>
        <w:tab/>
      </w:r>
      <w:r>
        <w:rPr>
          <w:rStyle w:val="CharDefText"/>
        </w:rPr>
        <w:t>residence</w:t>
      </w:r>
      <w:r>
        <w:t xml:space="preserve"> means a private dwelling house, home unit, or flat, and includes any yard, garden, outhouse, or appurtenance belonging thereto or usually enjoyed therewith;</w:t>
      </w:r>
    </w:p>
    <w:p>
      <w:pPr>
        <w:pStyle w:val="Defstart"/>
      </w:pPr>
      <w:r>
        <w:rPr>
          <w:b/>
        </w:rPr>
        <w:tab/>
      </w:r>
      <w:r>
        <w:rPr>
          <w:rStyle w:val="CharDefText"/>
        </w:rPr>
        <w:t>residential property</w:t>
      </w:r>
      <w:r>
        <w:t>, in relation to a charge, means a piece of land classified for the purposes of the Part or Division under which that charge is made as residential that, in accordance with by</w:t>
      </w:r>
      <w:r>
        <w:noBreakHyphen/>
        <w:t>law 5, is the subject of a separate assessment of a charge;</w:t>
      </w:r>
    </w:p>
    <w:p>
      <w:pPr>
        <w:pStyle w:val="Defstart"/>
      </w:pPr>
      <w:r>
        <w:rPr>
          <w:b/>
        </w:rPr>
        <w:tab/>
      </w:r>
      <w:r>
        <w:rPr>
          <w:rStyle w:val="CharDefText"/>
        </w:rPr>
        <w:t>single capital infrastructure charge</w:t>
      </w:r>
      <w:r>
        <w:t xml:space="preserve"> means a charge set out in Column 2 of the Table to Schedule 1 item 36;</w:t>
      </w:r>
    </w:p>
    <w:p>
      <w:pPr>
        <w:pStyle w:val="Defstart"/>
      </w:pPr>
      <w:r>
        <w:rPr>
          <w:b/>
        </w:rPr>
        <w:tab/>
      </w:r>
      <w:r>
        <w:rPr>
          <w:rStyle w:val="CharDefText"/>
        </w:rPr>
        <w:t>UV</w:t>
      </w:r>
      <w:r>
        <w:t>, in relation to land, means the unimproved value of the land;</w:t>
      </w:r>
    </w:p>
    <w:p>
      <w:pPr>
        <w:pStyle w:val="Defstart"/>
      </w:pPr>
      <w:r>
        <w:rPr>
          <w:b/>
        </w:rPr>
        <w:tab/>
      </w:r>
      <w:r>
        <w:rPr>
          <w:rStyle w:val="CharDefText"/>
        </w:rPr>
        <w:t>water supply</w:t>
      </w:r>
      <w:r>
        <w:t xml:space="preserve"> does not include the supply of water under the </w:t>
      </w:r>
      <w:r>
        <w:rPr>
          <w:i/>
        </w:rPr>
        <w:t>Rights in Water and Irrigation Act 1914</w:t>
      </w:r>
      <w:r>
        <w:t xml:space="preserve"> for irrigation but includes the supply of water under that Act for purposes other than irrigation;</w:t>
      </w:r>
    </w:p>
    <w:p>
      <w:pPr>
        <w:pStyle w:val="Defstart"/>
      </w:pPr>
      <w:r>
        <w:rPr>
          <w:b/>
        </w:rPr>
        <w:tab/>
      </w:r>
      <w:r>
        <w:rPr>
          <w:rStyle w:val="CharDefText"/>
        </w:rPr>
        <w:t>year</w:t>
      </w:r>
      <w:r>
        <w:t>, preceded by a reference to 2 calendar years (for example, 1987/88 or 1999/2000) means —</w:t>
      </w:r>
    </w:p>
    <w:p>
      <w:pPr>
        <w:pStyle w:val="Defpara"/>
      </w:pPr>
      <w:r>
        <w:tab/>
        <w:t>(a)</w:t>
      </w:r>
      <w:r>
        <w:tab/>
        <w:t>in relation to a charge not mentioned in paragraph (b), the period commencing on 1 July in the first of the years referred to and ending immediately before 1 July in the second of those years;</w:t>
      </w:r>
    </w:p>
    <w:p>
      <w:pPr>
        <w:pStyle w:val="Defpara"/>
      </w:pPr>
      <w:r>
        <w:tab/>
        <w:t>(b)</w:t>
      </w:r>
      <w:r>
        <w:tab/>
        <w:t>in relation to a quantity charge —</w:t>
      </w:r>
    </w:p>
    <w:p>
      <w:pPr>
        <w:pStyle w:val="Defsubpara"/>
        <w:keepLines w:val="0"/>
        <w:rPr>
          <w:snapToGrid w:val="0"/>
        </w:rPr>
      </w:pPr>
      <w:r>
        <w:rPr>
          <w:snapToGrid w:val="0"/>
        </w:rPr>
        <w:tab/>
        <w:t>(i)</w:t>
      </w:r>
      <w:r>
        <w:rPr>
          <w:snapToGrid w:val="0"/>
        </w:rPr>
        <w:tab/>
        <w:t xml:space="preserve">that relates to water supplied under the </w:t>
      </w:r>
      <w:r>
        <w:rPr>
          <w:i/>
          <w:snapToGrid w:val="0"/>
        </w:rPr>
        <w:t>Country Areas Water Supply Act 1947</w:t>
      </w:r>
      <w:r>
        <w:rPr>
          <w:snapToGrid w:val="0"/>
        </w:rPr>
        <w:t>, the period commencing on a day determined by the Corporation, being a day between 1 July and 31 October, inclusive, in the first of the years referred to and ending on a day determined by the Corporation, being a day within 20 days of the expiration of one year after the commencement of the period;</w:t>
      </w:r>
    </w:p>
    <w:p>
      <w:pPr>
        <w:pStyle w:val="Defsubpara"/>
        <w:rPr>
          <w:snapToGrid w:val="0"/>
        </w:rPr>
      </w:pPr>
      <w:r>
        <w:rPr>
          <w:snapToGrid w:val="0"/>
        </w:rPr>
        <w:tab/>
        <w:t>(ii)</w:t>
      </w:r>
      <w:r>
        <w:rPr>
          <w:snapToGrid w:val="0"/>
        </w:rPr>
        <w:tab/>
        <w:t xml:space="preserve">that relates to water supplied under the </w:t>
      </w:r>
      <w:r>
        <w:rPr>
          <w:i/>
          <w:snapToGrid w:val="0"/>
        </w:rPr>
        <w:t>Metropolitan Water Supply, Sewerage, and Drainage Act 1909</w:t>
      </w:r>
      <w:r>
        <w:rPr>
          <w:snapToGrid w:val="0"/>
        </w:rPr>
        <w:t xml:space="preserve"> or the </w:t>
      </w:r>
      <w:r>
        <w:rPr>
          <w:i/>
          <w:snapToGrid w:val="0"/>
        </w:rPr>
        <w:t>Metropolitan Water Authority Act 1982</w:t>
      </w:r>
      <w:r>
        <w:rPr>
          <w:snapToGrid w:val="0"/>
        </w:rPr>
        <w:t>, the period commencing on a day determined by the Corporation, being a day between 1 January and 29 June in the first of the years referred to and ending on a day determined by the Corporation, being a day within 20 days of the expiration of one year after the commencement of the period;</w:t>
      </w:r>
    </w:p>
    <w:p>
      <w:pPr>
        <w:pStyle w:val="Defsubpara"/>
        <w:keepLines w:val="0"/>
        <w:rPr>
          <w:snapToGrid w:val="0"/>
          <w:spacing w:val="-2"/>
        </w:rPr>
      </w:pPr>
      <w:r>
        <w:tab/>
        <w:t>(iii)</w:t>
      </w:r>
      <w:r>
        <w:tab/>
      </w:r>
      <w:r>
        <w:rPr>
          <w:snapToGrid w:val="0"/>
          <w:spacing w:val="-2"/>
        </w:rPr>
        <w:t xml:space="preserve">that relates to industrial waste discharged under the </w:t>
      </w:r>
      <w:r>
        <w:rPr>
          <w:i/>
          <w:snapToGrid w:val="0"/>
          <w:spacing w:val="-2"/>
        </w:rPr>
        <w:t>Metropolitan Water Supply, Sewerage, and Drainage Act 1909</w:t>
      </w:r>
      <w:r>
        <w:rPr>
          <w:snapToGrid w:val="0"/>
          <w:spacing w:val="-2"/>
        </w:rPr>
        <w:t xml:space="preserve"> or the </w:t>
      </w:r>
      <w:r>
        <w:rPr>
          <w:i/>
          <w:snapToGrid w:val="0"/>
          <w:spacing w:val="-2"/>
        </w:rPr>
        <w:t>Country Towns Sewerage Act 1948</w:t>
      </w:r>
      <w:r>
        <w:rPr>
          <w:snapToGrid w:val="0"/>
          <w:spacing w:val="-2"/>
        </w:rPr>
        <w:t>, the period commencing on a day determined by the Corporation, being a day between 15 June and 15 July in the first of the years referred to and ending on a day determined by the Corporation, being a day between 15 June and 15 July in the second of the years referred to; and</w:t>
      </w:r>
    </w:p>
    <w:p>
      <w:pPr>
        <w:pStyle w:val="Defsubpara"/>
        <w:rPr>
          <w:snapToGrid w:val="0"/>
        </w:rPr>
      </w:pPr>
      <w:r>
        <w:rPr>
          <w:snapToGrid w:val="0"/>
        </w:rPr>
        <w:tab/>
        <w:t>(iv)</w:t>
      </w:r>
      <w:r>
        <w:rPr>
          <w:snapToGrid w:val="0"/>
        </w:rPr>
        <w:tab/>
        <w:t>that relates to water discharged into the Corporation’s sewer, the period under subparagraphs (i) or (ii).</w:t>
      </w:r>
    </w:p>
    <w:p>
      <w:pPr>
        <w:pStyle w:val="Subsection"/>
        <w:rPr>
          <w:snapToGrid w:val="0"/>
        </w:rPr>
      </w:pPr>
      <w:r>
        <w:rPr>
          <w:snapToGrid w:val="0"/>
        </w:rPr>
        <w:tab/>
        <w:t>(2)</w:t>
      </w:r>
      <w:r>
        <w:rPr>
          <w:snapToGrid w:val="0"/>
        </w:rPr>
        <w:tab/>
      </w:r>
      <w:r>
        <w:rPr>
          <w:snapToGrid w:val="0"/>
          <w:spacing w:val="-4"/>
        </w:rPr>
        <w:t>A reference in these by</w:t>
      </w:r>
      <w:r>
        <w:rPr>
          <w:snapToGrid w:val="0"/>
          <w:spacing w:val="-4"/>
        </w:rPr>
        <w:noBreakHyphen/>
        <w:t xml:space="preserve">laws to a charge includes a reference to an amount in respect of rates under the </w:t>
      </w:r>
      <w:r>
        <w:rPr>
          <w:i/>
          <w:snapToGrid w:val="0"/>
          <w:spacing w:val="-4"/>
        </w:rPr>
        <w:t>Land Drainage Act 1925</w:t>
      </w:r>
      <w:r>
        <w:rPr>
          <w:snapToGrid w:val="0"/>
          <w:spacing w:val="-4"/>
        </w:rPr>
        <w:t>.</w:t>
      </w:r>
    </w:p>
    <w:p>
      <w:pPr>
        <w:pStyle w:val="Subsection"/>
        <w:keepNext/>
        <w:rPr>
          <w:snapToGrid w:val="0"/>
        </w:rPr>
      </w:pPr>
      <w:r>
        <w:rPr>
          <w:snapToGrid w:val="0"/>
        </w:rPr>
        <w:tab/>
        <w:t>(3)</w:t>
      </w:r>
      <w:r>
        <w:rPr>
          <w:snapToGrid w:val="0"/>
        </w:rPr>
        <w:tab/>
        <w:t>For the purposes of a formula in a Schedule —</w:t>
      </w:r>
    </w:p>
    <w:p>
      <w:pPr>
        <w:pStyle w:val="Indenta"/>
        <w:rPr>
          <w:snapToGrid w:val="0"/>
        </w:rPr>
      </w:pPr>
      <w:r>
        <w:rPr>
          <w:snapToGrid w:val="0"/>
        </w:rPr>
        <w:tab/>
        <w:t>(a)</w:t>
      </w:r>
      <w:r>
        <w:rPr>
          <w:snapToGrid w:val="0"/>
        </w:rPr>
        <w:tab/>
        <w:t xml:space="preserve">the symbol </w:t>
      </w:r>
      <w:r>
        <w:rPr>
          <w:rStyle w:val="CharDefText"/>
        </w:rPr>
        <w:t>≤</w:t>
      </w:r>
      <w:r>
        <w:rPr>
          <w:bCs/>
          <w:snapToGrid w:val="0"/>
        </w:rPr>
        <w:t xml:space="preserve">  </w:t>
      </w:r>
      <w:r>
        <w:rPr>
          <w:snapToGrid w:val="0"/>
        </w:rPr>
        <w:t>means less than or equal to; and</w:t>
      </w:r>
    </w:p>
    <w:p>
      <w:pPr>
        <w:pStyle w:val="Indenta"/>
        <w:rPr>
          <w:snapToGrid w:val="0"/>
        </w:rPr>
      </w:pPr>
      <w:r>
        <w:rPr>
          <w:snapToGrid w:val="0"/>
        </w:rPr>
        <w:tab/>
        <w:t>(b)</w:t>
      </w:r>
      <w:r>
        <w:rPr>
          <w:snapToGrid w:val="0"/>
        </w:rPr>
        <w:tab/>
        <w:t xml:space="preserve">the symbol </w:t>
      </w:r>
      <w:r>
        <w:rPr>
          <w:rStyle w:val="CharDefText"/>
        </w:rPr>
        <w:t>&gt;</w:t>
      </w:r>
      <w:r>
        <w:rPr>
          <w:bCs/>
          <w:snapToGrid w:val="0"/>
        </w:rPr>
        <w:t xml:space="preserve"> </w:t>
      </w:r>
      <w:r>
        <w:rPr>
          <w:snapToGrid w:val="0"/>
        </w:rPr>
        <w:t>means greater than.</w:t>
      </w:r>
    </w:p>
    <w:p>
      <w:pPr>
        <w:pStyle w:val="Footnotesection"/>
        <w:keepLines w:val="0"/>
      </w:pPr>
      <w:bookmarkStart w:id="9" w:name="_Toc91580397"/>
      <w:bookmarkStart w:id="10" w:name="_Toc103667082"/>
      <w:bookmarkStart w:id="11" w:name="_Toc103741601"/>
      <w:bookmarkStart w:id="12" w:name="_Toc107981844"/>
      <w:bookmarkStart w:id="13" w:name="_Toc118800011"/>
      <w:bookmarkStart w:id="14" w:name="_Toc118860019"/>
      <w:bookmarkStart w:id="15" w:name="_Toc121545519"/>
      <w:bookmarkStart w:id="16" w:name="_Toc121801042"/>
      <w:bookmarkStart w:id="17" w:name="_Toc121818155"/>
      <w:bookmarkStart w:id="18" w:name="_Toc121880765"/>
      <w:bookmarkStart w:id="19" w:name="_Toc129481836"/>
      <w:bookmarkStart w:id="20" w:name="_Toc130095205"/>
      <w:bookmarkStart w:id="21" w:name="_Toc130273269"/>
      <w:r>
        <w:tab/>
        <w:t>[By</w:t>
      </w:r>
      <w:r>
        <w:noBreakHyphen/>
        <w:t>law 2 amended in Gazette 29 Jun 1988 p. 2112; 29 Jun 1989 p. 1870; 28 Jun 1991 p. 3267</w:t>
      </w:r>
      <w:r>
        <w:noBreakHyphen/>
        <w:t>8; 1 Jul 1993 p. 3215; 29 Jun 1994 p. 3171; 30 Jun 1995 p. 2735; 29 Dec 1995 p. 6331; 28 Jun 1996 p. 3104</w:t>
      </w:r>
      <w:r>
        <w:noBreakHyphen/>
        <w:t>5; 23 Aug 1996 p. 4129; 13 May 1997 p. 2350; 27 Jun 1997 p. 3175 and 3203; 7 May 1999 p. 1859; 29 Jun 1999 p. 2789; 29 Jun 2001 p. 3187; 27 Jun 2003 p. 2285-6; 31 Mar 2006 p. 1357; 29 Jun 2007 p. 3245; 20 Jun 2012 p. 2695</w:t>
      </w:r>
      <w:r>
        <w:noBreakHyphen/>
        <w:t>6.]</w:t>
      </w:r>
    </w:p>
    <w:p>
      <w:pPr>
        <w:pStyle w:val="Heading2"/>
      </w:pPr>
      <w:bookmarkStart w:id="22" w:name="_Toc139770942"/>
      <w:bookmarkStart w:id="23" w:name="_Toc139771320"/>
      <w:bookmarkStart w:id="24" w:name="_Toc151191535"/>
      <w:bookmarkStart w:id="25" w:name="_Toc151260428"/>
      <w:bookmarkStart w:id="26" w:name="_Toc164158533"/>
      <w:bookmarkStart w:id="27" w:name="_Toc164220905"/>
      <w:bookmarkStart w:id="28" w:name="_Toc170878864"/>
      <w:bookmarkStart w:id="29" w:name="_Toc170894617"/>
      <w:bookmarkStart w:id="30" w:name="_Toc175712583"/>
      <w:bookmarkStart w:id="31" w:name="_Toc175970524"/>
      <w:bookmarkStart w:id="32" w:name="_Toc176335243"/>
      <w:bookmarkStart w:id="33" w:name="_Toc176338818"/>
      <w:bookmarkStart w:id="34" w:name="_Toc178742843"/>
      <w:bookmarkStart w:id="35" w:name="_Toc179363266"/>
      <w:bookmarkStart w:id="36" w:name="_Toc179604335"/>
      <w:bookmarkStart w:id="37" w:name="_Toc180204528"/>
      <w:bookmarkStart w:id="38" w:name="_Toc180204744"/>
      <w:bookmarkStart w:id="39" w:name="_Toc185844489"/>
      <w:bookmarkStart w:id="40" w:name="_Toc185845109"/>
      <w:bookmarkStart w:id="41" w:name="_Toc185927074"/>
      <w:bookmarkStart w:id="42" w:name="_Toc202505821"/>
      <w:bookmarkStart w:id="43" w:name="_Toc202672607"/>
      <w:bookmarkStart w:id="44" w:name="_Toc202691698"/>
      <w:bookmarkStart w:id="45" w:name="_Toc233448320"/>
      <w:bookmarkStart w:id="46" w:name="_Toc233611634"/>
      <w:bookmarkStart w:id="47" w:name="_Toc234730641"/>
      <w:bookmarkStart w:id="48" w:name="_Toc234733167"/>
      <w:bookmarkStart w:id="49" w:name="_Toc235863904"/>
      <w:bookmarkStart w:id="50" w:name="_Toc235933379"/>
      <w:bookmarkStart w:id="51" w:name="_Toc237164367"/>
      <w:bookmarkStart w:id="52" w:name="_Toc237244250"/>
      <w:bookmarkStart w:id="53" w:name="_Toc237245551"/>
      <w:bookmarkStart w:id="54" w:name="_Toc237245682"/>
      <w:bookmarkStart w:id="55" w:name="_Toc237247790"/>
      <w:bookmarkStart w:id="56" w:name="_Toc237254093"/>
      <w:bookmarkStart w:id="57" w:name="_Toc237309512"/>
      <w:bookmarkStart w:id="58" w:name="_Toc265743451"/>
      <w:bookmarkStart w:id="59" w:name="_Toc297540709"/>
      <w:bookmarkStart w:id="60" w:name="_Toc297541137"/>
      <w:bookmarkStart w:id="61" w:name="_Toc328403371"/>
      <w:bookmarkStart w:id="62" w:name="_Toc328471420"/>
      <w:r>
        <w:rPr>
          <w:rStyle w:val="CharPartNo"/>
        </w:rPr>
        <w:t>Part 1</w:t>
      </w:r>
      <w:r>
        <w:rPr>
          <w:rStyle w:val="CharDivNo"/>
        </w:rPr>
        <w:t> </w:t>
      </w:r>
      <w:r>
        <w:t>—</w:t>
      </w:r>
      <w:r>
        <w:rPr>
          <w:rStyle w:val="CharDivText"/>
        </w:rPr>
        <w:t> </w:t>
      </w:r>
      <w:r>
        <w:rPr>
          <w:rStyle w:val="CharPartText"/>
        </w:rPr>
        <w:t>General</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rPr>
          <w:snapToGrid w:val="0"/>
        </w:rPr>
      </w:pPr>
      <w:bookmarkStart w:id="63" w:name="_Toc487428939"/>
      <w:bookmarkStart w:id="64" w:name="_Toc17278647"/>
      <w:bookmarkStart w:id="65" w:name="_Toc180204745"/>
      <w:bookmarkStart w:id="66" w:name="_Toc328471421"/>
      <w:r>
        <w:rPr>
          <w:rStyle w:val="CharSectno"/>
        </w:rPr>
        <w:t>3</w:t>
      </w:r>
      <w:r>
        <w:rPr>
          <w:snapToGrid w:val="0"/>
        </w:rPr>
        <w:t>.</w:t>
      </w:r>
      <w:r>
        <w:rPr>
          <w:snapToGrid w:val="0"/>
        </w:rPr>
        <w:tab/>
        <w:t>Proportionate charges for part of year</w:t>
      </w:r>
      <w:bookmarkEnd w:id="63"/>
      <w:bookmarkEnd w:id="64"/>
      <w:bookmarkEnd w:id="65"/>
      <w:bookmarkEnd w:id="66"/>
    </w:p>
    <w:p>
      <w:pPr>
        <w:pStyle w:val="Subsection"/>
        <w:rPr>
          <w:snapToGrid w:val="0"/>
        </w:rPr>
      </w:pPr>
      <w:r>
        <w:rPr>
          <w:snapToGrid w:val="0"/>
        </w:rPr>
        <w:tab/>
        <w:t>(1)</w:t>
      </w:r>
      <w:r>
        <w:rPr>
          <w:snapToGrid w:val="0"/>
        </w:rPr>
        <w:tab/>
        <w:t>Subject to sub</w:t>
      </w:r>
      <w:r>
        <w:rPr>
          <w:snapToGrid w:val="0"/>
        </w:rPr>
        <w:noBreakHyphen/>
        <w:t>bylaw (3), where —</w:t>
      </w:r>
    </w:p>
    <w:p>
      <w:pPr>
        <w:pStyle w:val="Indenta"/>
      </w:pPr>
      <w:r>
        <w:tab/>
        <w:t>(a)</w:t>
      </w:r>
      <w:r>
        <w:tab/>
        <w:t>a charge, other than a quantity charge, is prescribed for a year; and</w:t>
      </w:r>
    </w:p>
    <w:p>
      <w:pPr>
        <w:pStyle w:val="Indenta"/>
        <w:rPr>
          <w:snapToGrid w:val="0"/>
          <w:spacing w:val="-4"/>
        </w:rPr>
      </w:pPr>
      <w:r>
        <w:rPr>
          <w:snapToGrid w:val="0"/>
          <w:spacing w:val="-4"/>
        </w:rPr>
        <w:tab/>
        <w:t>(b)</w:t>
      </w:r>
      <w:r>
        <w:rPr>
          <w:snapToGrid w:val="0"/>
          <w:spacing w:val="-4"/>
        </w:rPr>
        <w:tab/>
        <w:t>part of the way through that year, land becomes, or ceases to be, land in respect of which that charge applies,</w:t>
      </w:r>
    </w:p>
    <w:p>
      <w:pPr>
        <w:pStyle w:val="Subsection"/>
        <w:rPr>
          <w:snapToGrid w:val="0"/>
        </w:rPr>
      </w:pPr>
      <w:r>
        <w:rPr>
          <w:snapToGrid w:val="0"/>
        </w:rPr>
        <w:tab/>
      </w:r>
      <w:r>
        <w:rPr>
          <w:snapToGrid w:val="0"/>
        </w:rPr>
        <w:tab/>
        <w:t>the amount of the charge in respect of that land applicable for the part of the year concerned shall be an amount that bears to the charge prescribed for a full year the same ratio as the part of the year for which the charge applies bears to the full year.</w:t>
      </w:r>
    </w:p>
    <w:p>
      <w:pPr>
        <w:pStyle w:val="Subsection"/>
        <w:rPr>
          <w:snapToGrid w:val="0"/>
        </w:rPr>
      </w:pPr>
      <w:r>
        <w:rPr>
          <w:snapToGrid w:val="0"/>
        </w:rPr>
        <w:tab/>
        <w:t>(2)</w:t>
      </w:r>
      <w:r>
        <w:rPr>
          <w:snapToGrid w:val="0"/>
        </w:rPr>
        <w:tab/>
        <w:t>Subject to sub</w:t>
      </w:r>
      <w:r>
        <w:rPr>
          <w:snapToGrid w:val="0"/>
        </w:rPr>
        <w:noBreakHyphen/>
        <w:t>bylaw (1), a charge prescribed in respect of land for a year applies for the whole year notwithstanding that the charge may not have been prescribed until after the commencement of the year.</w:t>
      </w:r>
    </w:p>
    <w:p>
      <w:pPr>
        <w:pStyle w:val="Subsection"/>
        <w:rPr>
          <w:snapToGrid w:val="0"/>
        </w:rPr>
      </w:pPr>
      <w:r>
        <w:rPr>
          <w:snapToGrid w:val="0"/>
        </w:rPr>
        <w:tab/>
        <w:t>(3)</w:t>
      </w:r>
      <w:r>
        <w:rPr>
          <w:snapToGrid w:val="0"/>
        </w:rPr>
        <w:tab/>
        <w:t>Sub</w:t>
      </w:r>
      <w:r>
        <w:rPr>
          <w:snapToGrid w:val="0"/>
        </w:rPr>
        <w:noBreakHyphen/>
        <w:t>bylaw (1) does not apply in respect of land used, at any time during the year for which a charge is to be assessed, for the purpose of providing holiday accommodation unless —</w:t>
      </w:r>
    </w:p>
    <w:p>
      <w:pPr>
        <w:pStyle w:val="Indenta"/>
        <w:rPr>
          <w:snapToGrid w:val="0"/>
        </w:rPr>
      </w:pPr>
      <w:r>
        <w:rPr>
          <w:snapToGrid w:val="0"/>
        </w:rPr>
        <w:tab/>
        <w:t>(a)</w:t>
      </w:r>
      <w:r>
        <w:rPr>
          <w:snapToGrid w:val="0"/>
        </w:rPr>
        <w:tab/>
        <w:t>the ownership or occupation of that land changes; and</w:t>
      </w:r>
    </w:p>
    <w:p>
      <w:pPr>
        <w:pStyle w:val="Indenta"/>
        <w:rPr>
          <w:snapToGrid w:val="0"/>
        </w:rPr>
      </w:pPr>
      <w:r>
        <w:rPr>
          <w:snapToGrid w:val="0"/>
        </w:rPr>
        <w:tab/>
        <w:t>(b)</w:t>
      </w:r>
      <w:r>
        <w:rPr>
          <w:snapToGrid w:val="0"/>
        </w:rPr>
        <w:tab/>
        <w:t>the Corporation is of the opinion that the land ceases to be land used in whole or in part for the purpose of providing holiday accommodation.</w:t>
      </w:r>
    </w:p>
    <w:p>
      <w:pPr>
        <w:pStyle w:val="Subsection"/>
        <w:rPr>
          <w:spacing w:val="-4"/>
        </w:rPr>
      </w:pPr>
      <w:r>
        <w:rPr>
          <w:spacing w:val="-4"/>
        </w:rPr>
        <w:tab/>
        <w:t>(4)</w:t>
      </w:r>
      <w:r>
        <w:rPr>
          <w:spacing w:val="-4"/>
        </w:rPr>
        <w:tab/>
        <w:t>Where, part of the way through a year, a property is provided with a new meter and, as a result, there is a change in a meter</w:t>
      </w:r>
      <w:r>
        <w:rPr>
          <w:spacing w:val="-4"/>
        </w:rPr>
        <w:noBreakHyphen/>
        <w:t>based charge applicable to the property, the amount of the meter</w:t>
      </w:r>
      <w:r>
        <w:rPr>
          <w:spacing w:val="-4"/>
        </w:rPr>
        <w:noBreakHyphen/>
        <w:t>based charge for that year is to be calculated on a pro rata basis.</w:t>
      </w:r>
    </w:p>
    <w:p>
      <w:pPr>
        <w:pStyle w:val="Footnotesection"/>
      </w:pPr>
      <w:r>
        <w:tab/>
        <w:t>[By</w:t>
      </w:r>
      <w:r>
        <w:noBreakHyphen/>
        <w:t>law 3 amended in Gazette 29 Jun 1988 p. 2112; 29 Dec 1995 p. 6331; 29 Jun 2000 p. 3323; 29 Jun 2001 p. 3187; 27 Jun 2008 p. 2983.]</w:t>
      </w:r>
    </w:p>
    <w:p>
      <w:pPr>
        <w:pStyle w:val="Heading5"/>
        <w:rPr>
          <w:snapToGrid w:val="0"/>
        </w:rPr>
      </w:pPr>
      <w:bookmarkStart w:id="67" w:name="_Toc487428940"/>
      <w:bookmarkStart w:id="68" w:name="_Toc17278648"/>
      <w:bookmarkStart w:id="69" w:name="_Toc180204746"/>
      <w:bookmarkStart w:id="70" w:name="_Toc328471422"/>
      <w:r>
        <w:rPr>
          <w:rStyle w:val="CharSectno"/>
        </w:rPr>
        <w:t>3A</w:t>
      </w:r>
      <w:r>
        <w:rPr>
          <w:snapToGrid w:val="0"/>
        </w:rPr>
        <w:t>.</w:t>
      </w:r>
      <w:r>
        <w:rPr>
          <w:snapToGrid w:val="0"/>
        </w:rPr>
        <w:tab/>
        <w:t>Minimum charge prior to revaluation</w:t>
      </w:r>
      <w:bookmarkEnd w:id="67"/>
      <w:bookmarkEnd w:id="68"/>
      <w:bookmarkEnd w:id="69"/>
      <w:bookmarkEnd w:id="70"/>
    </w:p>
    <w:p>
      <w:pPr>
        <w:pStyle w:val="Subsection"/>
        <w:rPr>
          <w:snapToGrid w:val="0"/>
        </w:rPr>
      </w:pPr>
      <w:r>
        <w:rPr>
          <w:snapToGrid w:val="0"/>
        </w:rPr>
        <w:tab/>
      </w:r>
      <w:r>
        <w:rPr>
          <w:snapToGrid w:val="0"/>
        </w:rPr>
        <w:tab/>
        <w:t>The charges under by</w:t>
      </w:r>
      <w:r>
        <w:rPr>
          <w:snapToGrid w:val="0"/>
        </w:rPr>
        <w:noBreakHyphen/>
        <w:t>laws 11, 21 and 27 for land which —</w:t>
      </w:r>
    </w:p>
    <w:p>
      <w:pPr>
        <w:pStyle w:val="Indenta"/>
        <w:rPr>
          <w:snapToGrid w:val="0"/>
        </w:rPr>
      </w:pPr>
      <w:r>
        <w:rPr>
          <w:snapToGrid w:val="0"/>
        </w:rPr>
        <w:tab/>
        <w:t>(a)</w:t>
      </w:r>
      <w:r>
        <w:rPr>
          <w:snapToGrid w:val="0"/>
        </w:rPr>
        <w:tab/>
        <w:t>is the subject of a subdivision or amalgamation of land, or becomes vacant from some other action in the period prior to a general valuation of that land by the Valuer General;</w:t>
      </w:r>
    </w:p>
    <w:p>
      <w:pPr>
        <w:pStyle w:val="Indenta"/>
        <w:rPr>
          <w:snapToGrid w:val="0"/>
        </w:rPr>
      </w:pPr>
      <w:r>
        <w:rPr>
          <w:snapToGrid w:val="0"/>
        </w:rPr>
        <w:tab/>
        <w:t>(b)</w:t>
      </w:r>
      <w:r>
        <w:rPr>
          <w:snapToGrid w:val="0"/>
        </w:rPr>
        <w:tab/>
        <w:t>is, in the opinion of the Corporation, intended for residential purposes; and</w:t>
      </w:r>
    </w:p>
    <w:p>
      <w:pPr>
        <w:pStyle w:val="Indenta"/>
        <w:rPr>
          <w:snapToGrid w:val="0"/>
        </w:rPr>
      </w:pPr>
      <w:r>
        <w:rPr>
          <w:snapToGrid w:val="0"/>
        </w:rPr>
        <w:tab/>
        <w:t>(c)</w:t>
      </w:r>
      <w:r>
        <w:rPr>
          <w:snapToGrid w:val="0"/>
        </w:rPr>
        <w:tab/>
        <w:t>does not exceed 1 200 m</w:t>
      </w:r>
      <w:r>
        <w:rPr>
          <w:snapToGrid w:val="0"/>
          <w:vertAlign w:val="superscript"/>
        </w:rPr>
        <w:t>2</w:t>
      </w:r>
      <w:r>
        <w:rPr>
          <w:snapToGrid w:val="0"/>
        </w:rPr>
        <w:t xml:space="preserve"> in area,</w:t>
      </w:r>
    </w:p>
    <w:p>
      <w:pPr>
        <w:pStyle w:val="Subsection"/>
        <w:rPr>
          <w:snapToGrid w:val="0"/>
        </w:rPr>
      </w:pPr>
      <w:r>
        <w:rPr>
          <w:snapToGrid w:val="0"/>
        </w:rPr>
        <w:tab/>
      </w:r>
      <w:r>
        <w:rPr>
          <w:snapToGrid w:val="0"/>
        </w:rPr>
        <w:tab/>
        <w:t>until the commencement of the next rating year, are the minimum charges —</w:t>
      </w:r>
    </w:p>
    <w:p>
      <w:pPr>
        <w:pStyle w:val="Indenta"/>
        <w:rPr>
          <w:snapToGrid w:val="0"/>
        </w:rPr>
      </w:pPr>
      <w:r>
        <w:rPr>
          <w:snapToGrid w:val="0"/>
        </w:rPr>
        <w:tab/>
        <w:t>(d)</w:t>
      </w:r>
      <w:r>
        <w:rPr>
          <w:snapToGrid w:val="0"/>
        </w:rPr>
        <w:tab/>
        <w:t>for water supply, set out in</w:t>
      </w:r>
      <w:r>
        <w:t xml:space="preserve"> Schedule 1 item 18</w:t>
      </w:r>
      <w:r>
        <w:rPr>
          <w:snapToGrid w:val="0"/>
        </w:rPr>
        <w:t>;</w:t>
      </w:r>
    </w:p>
    <w:p>
      <w:pPr>
        <w:pStyle w:val="Indenta"/>
        <w:rPr>
          <w:snapToGrid w:val="0"/>
        </w:rPr>
      </w:pPr>
      <w:r>
        <w:rPr>
          <w:snapToGrid w:val="0"/>
        </w:rPr>
        <w:tab/>
        <w:t>(e)</w:t>
      </w:r>
      <w:r>
        <w:rPr>
          <w:snapToGrid w:val="0"/>
        </w:rPr>
        <w:tab/>
        <w:t>for sewerage, set out in</w:t>
      </w:r>
      <w:r>
        <w:t xml:space="preserve"> Schedule 3 item 9 or 10(d)</w:t>
      </w:r>
      <w:r>
        <w:rPr>
          <w:snapToGrid w:val="0"/>
        </w:rPr>
        <w:t>; and</w:t>
      </w:r>
    </w:p>
    <w:p>
      <w:pPr>
        <w:pStyle w:val="Indenta"/>
        <w:rPr>
          <w:snapToGrid w:val="0"/>
        </w:rPr>
      </w:pPr>
      <w:r>
        <w:rPr>
          <w:snapToGrid w:val="0"/>
        </w:rPr>
        <w:tab/>
        <w:t>(f)</w:t>
      </w:r>
      <w:r>
        <w:rPr>
          <w:snapToGrid w:val="0"/>
        </w:rPr>
        <w:tab/>
        <w:t xml:space="preserve">for drainage, set out in </w:t>
      </w:r>
      <w:r>
        <w:t>Schedule 4 item 4</w:t>
      </w:r>
      <w:r>
        <w:rPr>
          <w:snapToGrid w:val="0"/>
        </w:rPr>
        <w:t>,</w:t>
      </w:r>
    </w:p>
    <w:p>
      <w:pPr>
        <w:pStyle w:val="Subsection"/>
        <w:rPr>
          <w:snapToGrid w:val="0"/>
        </w:rPr>
      </w:pPr>
      <w:r>
        <w:rPr>
          <w:snapToGrid w:val="0"/>
        </w:rPr>
        <w:tab/>
      </w:r>
      <w:r>
        <w:rPr>
          <w:snapToGrid w:val="0"/>
        </w:rPr>
        <w:tab/>
        <w:t>which correspond to the location of the land.</w:t>
      </w:r>
    </w:p>
    <w:p>
      <w:pPr>
        <w:pStyle w:val="Footnotesection"/>
      </w:pPr>
      <w:r>
        <w:tab/>
        <w:t>[By</w:t>
      </w:r>
      <w:r>
        <w:noBreakHyphen/>
        <w:t>law 3A inserted in Gazette 20 Sep 1991 p. 4953; amended in Gazette 1 Jul 1993 p. 3215; 29 Dec 1995 p. 6331; 29 Jun 1999 p. 2789</w:t>
      </w:r>
      <w:r>
        <w:noBreakHyphen/>
        <w:t>90; 29 Jun 2001 p. 3187</w:t>
      </w:r>
      <w:r>
        <w:noBreakHyphen/>
        <w:t>8; 1 Jul 2002 p. 3155; 29 Jun 2007 p. 3246.]</w:t>
      </w:r>
    </w:p>
    <w:p>
      <w:pPr>
        <w:pStyle w:val="Heading5"/>
        <w:rPr>
          <w:snapToGrid w:val="0"/>
        </w:rPr>
      </w:pPr>
      <w:bookmarkStart w:id="71" w:name="_Toc487428941"/>
      <w:bookmarkStart w:id="72" w:name="_Toc17278649"/>
      <w:bookmarkStart w:id="73" w:name="_Toc180204747"/>
      <w:bookmarkStart w:id="74" w:name="_Toc328471423"/>
      <w:r>
        <w:rPr>
          <w:rStyle w:val="CharSectno"/>
        </w:rPr>
        <w:t>4</w:t>
      </w:r>
      <w:r>
        <w:rPr>
          <w:snapToGrid w:val="0"/>
        </w:rPr>
        <w:t>.</w:t>
      </w:r>
      <w:r>
        <w:rPr>
          <w:snapToGrid w:val="0"/>
        </w:rPr>
        <w:tab/>
        <w:t>Exempt land</w:t>
      </w:r>
      <w:bookmarkEnd w:id="71"/>
      <w:bookmarkEnd w:id="72"/>
      <w:bookmarkEnd w:id="73"/>
      <w:bookmarkEnd w:id="74"/>
    </w:p>
    <w:p>
      <w:pPr>
        <w:pStyle w:val="Subsection"/>
        <w:keepNext/>
        <w:keepLines/>
        <w:rPr>
          <w:snapToGrid w:val="0"/>
        </w:rPr>
      </w:pPr>
      <w:r>
        <w:rPr>
          <w:snapToGrid w:val="0"/>
        </w:rPr>
        <w:tab/>
        <w:t>(1)</w:t>
      </w:r>
      <w:r>
        <w:rPr>
          <w:snapToGrid w:val="0"/>
        </w:rPr>
        <w:tab/>
        <w:t>The exemptions given by by</w:t>
      </w:r>
      <w:r>
        <w:rPr>
          <w:snapToGrid w:val="0"/>
        </w:rPr>
        <w:noBreakHyphen/>
        <w:t>laws 12, 22, 28, and 32 apply, subject in each case to the by</w:t>
      </w:r>
      <w:r>
        <w:rPr>
          <w:snapToGrid w:val="0"/>
        </w:rPr>
        <w:noBreakHyphen/>
        <w:t>law concerned, to —</w:t>
      </w:r>
    </w:p>
    <w:p>
      <w:pPr>
        <w:pStyle w:val="Indenta"/>
        <w:rPr>
          <w:snapToGrid w:val="0"/>
        </w:rPr>
      </w:pPr>
      <w:r>
        <w:rPr>
          <w:snapToGrid w:val="0"/>
        </w:rPr>
        <w:tab/>
        <w:t>(a)</w:t>
      </w:r>
      <w:r>
        <w:rPr>
          <w:snapToGrid w:val="0"/>
        </w:rPr>
        <w:tab/>
        <w:t>land the property of the Crown in right of the State that is used for a public purpose or is unoccupied;</w:t>
      </w:r>
    </w:p>
    <w:p>
      <w:pPr>
        <w:pStyle w:val="Indenta"/>
        <w:rPr>
          <w:snapToGrid w:val="0"/>
        </w:rPr>
      </w:pPr>
      <w:r>
        <w:rPr>
          <w:snapToGrid w:val="0"/>
        </w:rPr>
        <w:tab/>
        <w:t>(b)</w:t>
      </w:r>
      <w:r>
        <w:rPr>
          <w:snapToGrid w:val="0"/>
        </w:rPr>
        <w:tab/>
        <w:t>land vested in or in the use and occupation of a local government, not being land —</w:t>
      </w:r>
    </w:p>
    <w:p>
      <w:pPr>
        <w:pStyle w:val="Indenti"/>
        <w:rPr>
          <w:snapToGrid w:val="0"/>
        </w:rPr>
      </w:pPr>
      <w:r>
        <w:rPr>
          <w:snapToGrid w:val="0"/>
        </w:rPr>
        <w:tab/>
        <w:t>(i)</w:t>
      </w:r>
      <w:r>
        <w:rPr>
          <w:snapToGrid w:val="0"/>
        </w:rPr>
        <w:tab/>
        <w:t>used for the purposes of a trading concern; or</w:t>
      </w:r>
    </w:p>
    <w:p>
      <w:pPr>
        <w:pStyle w:val="Indenti"/>
        <w:rPr>
          <w:snapToGrid w:val="0"/>
        </w:rPr>
      </w:pPr>
      <w:r>
        <w:rPr>
          <w:snapToGrid w:val="0"/>
        </w:rPr>
        <w:tab/>
        <w:t>(ii)</w:t>
      </w:r>
      <w:r>
        <w:rPr>
          <w:snapToGrid w:val="0"/>
        </w:rPr>
        <w:tab/>
        <w:t>held or occupied by any tenant under the local government;</w:t>
      </w:r>
    </w:p>
    <w:p>
      <w:pPr>
        <w:pStyle w:val="Indenta"/>
        <w:rPr>
          <w:snapToGrid w:val="0"/>
          <w:spacing w:val="-4"/>
        </w:rPr>
      </w:pPr>
      <w:r>
        <w:rPr>
          <w:snapToGrid w:val="0"/>
          <w:spacing w:val="-4"/>
        </w:rPr>
        <w:tab/>
        <w:t>(c)</w:t>
      </w:r>
      <w:r>
        <w:rPr>
          <w:snapToGrid w:val="0"/>
          <w:spacing w:val="-4"/>
        </w:rPr>
        <w:tab/>
        <w:t>land belonging to or leased by a religious body, being land used or held exclusively as or for a place of public worship, Sunday</w:t>
      </w:r>
      <w:r>
        <w:rPr>
          <w:snapToGrid w:val="0"/>
          <w:spacing w:val="-4"/>
        </w:rPr>
        <w:noBreakHyphen/>
        <w:t>school, a place of residence of a minister of religion, a convent, nunnery or monastery, or occupied exclusively by a religious brotherhood or sisterhood, and not being land leased or occupied for any private purpose;</w:t>
      </w:r>
    </w:p>
    <w:p>
      <w:pPr>
        <w:pStyle w:val="Indenta"/>
        <w:rPr>
          <w:snapToGrid w:val="0"/>
        </w:rPr>
      </w:pPr>
      <w:r>
        <w:rPr>
          <w:snapToGrid w:val="0"/>
        </w:rPr>
        <w:tab/>
        <w:t>(d)</w:t>
      </w:r>
      <w:r>
        <w:rPr>
          <w:snapToGrid w:val="0"/>
        </w:rPr>
        <w:tab/>
        <w:t>land used exclusively as a public hospital, benevolent asylum, orphanage, public school, private school (being the property of a religious body), public library, public museum, public art gallery, or mechanics’ institute, and not being land leased or occupied for any private purpose;</w:t>
      </w:r>
    </w:p>
    <w:p>
      <w:pPr>
        <w:pStyle w:val="Indenta"/>
        <w:rPr>
          <w:snapToGrid w:val="0"/>
        </w:rPr>
      </w:pPr>
      <w:r>
        <w:rPr>
          <w:snapToGrid w:val="0"/>
        </w:rPr>
        <w:tab/>
        <w:t>(e)</w:t>
      </w:r>
      <w:r>
        <w:rPr>
          <w:snapToGrid w:val="0"/>
        </w:rPr>
        <w:tab/>
        <w:t>land used, occupied, or held exclusively for charitable purposes, not being land leased or occupied for any private purpose;</w:t>
      </w:r>
    </w:p>
    <w:p>
      <w:pPr>
        <w:pStyle w:val="Indenta"/>
        <w:rPr>
          <w:snapToGrid w:val="0"/>
        </w:rPr>
      </w:pPr>
      <w:r>
        <w:rPr>
          <w:snapToGrid w:val="0"/>
        </w:rPr>
        <w:tab/>
        <w:t>(f)</w:t>
      </w:r>
      <w:r>
        <w:rPr>
          <w:snapToGrid w:val="0"/>
        </w:rPr>
        <w:tab/>
        <w:t xml:space="preserve">land vested in any board under the </w:t>
      </w:r>
      <w:r>
        <w:rPr>
          <w:i/>
          <w:snapToGrid w:val="0"/>
        </w:rPr>
        <w:t>Parks and Reserves Act 1895</w:t>
      </w:r>
      <w:r>
        <w:rPr>
          <w:snapToGrid w:val="0"/>
        </w:rPr>
        <w:t>, or in trustees for agricultural or horticultural show purposes, for zoological or acclimatisation gardens or purposes, or for public resort and recreation, and not being land leased or occupied for any private purpose;</w:t>
      </w:r>
    </w:p>
    <w:p>
      <w:pPr>
        <w:pStyle w:val="Indenta"/>
        <w:keepNext/>
        <w:keepLines/>
        <w:rPr>
          <w:snapToGrid w:val="0"/>
        </w:rPr>
      </w:pPr>
      <w:r>
        <w:rPr>
          <w:snapToGrid w:val="0"/>
        </w:rPr>
        <w:tab/>
        <w:t>(fa)</w:t>
      </w:r>
      <w:r>
        <w:rPr>
          <w:snapToGrid w:val="0"/>
        </w:rPr>
        <w:tab/>
        <w:t>land used, occupied or held exclusively for the purposes of societies, clubs, associations and other bodies that —</w:t>
      </w:r>
    </w:p>
    <w:p>
      <w:pPr>
        <w:pStyle w:val="Indenti"/>
        <w:rPr>
          <w:snapToGrid w:val="0"/>
        </w:rPr>
      </w:pPr>
      <w:r>
        <w:rPr>
          <w:snapToGrid w:val="0"/>
        </w:rPr>
        <w:tab/>
        <w:t>(i)</w:t>
      </w:r>
      <w:r>
        <w:rPr>
          <w:snapToGrid w:val="0"/>
        </w:rPr>
        <w:tab/>
        <w:t>conduct sporting, hobby or like activities as their sole or principal activities;</w:t>
      </w:r>
    </w:p>
    <w:p>
      <w:pPr>
        <w:pStyle w:val="Indenti"/>
      </w:pPr>
      <w:r>
        <w:rPr>
          <w:snapToGrid w:val="0"/>
        </w:rPr>
        <w:tab/>
        <w:t>(ii)</w:t>
      </w:r>
      <w:r>
        <w:rPr>
          <w:snapToGrid w:val="0"/>
        </w:rPr>
        <w:tab/>
        <w:t>in the opinion of the Corporation, are not operated for the purpose of profit or gain to individual members, shareholders or owners; and</w:t>
      </w:r>
    </w:p>
    <w:p>
      <w:pPr>
        <w:pStyle w:val="Indenti"/>
        <w:keepNext/>
        <w:rPr>
          <w:snapToGrid w:val="0"/>
        </w:rPr>
      </w:pPr>
      <w:r>
        <w:rPr>
          <w:snapToGrid w:val="0"/>
        </w:rPr>
        <w:tab/>
        <w:t>(iii)</w:t>
      </w:r>
      <w:r>
        <w:rPr>
          <w:snapToGrid w:val="0"/>
        </w:rPr>
        <w:tab/>
        <w:t>are not listed in the following table —</w:t>
      </w:r>
    </w:p>
    <w:p>
      <w:pPr>
        <w:pStyle w:val="THeadingNAm"/>
        <w:rPr>
          <w:snapToGrid w:val="0"/>
        </w:rPr>
      </w:pPr>
      <w:r>
        <w:rPr>
          <w:snapToGrid w:val="0"/>
        </w:rPr>
        <w:t>Table</w:t>
      </w:r>
    </w:p>
    <w:tbl>
      <w:tblPr>
        <w:tblW w:w="0" w:type="auto"/>
        <w:tblInd w:w="2432" w:type="dxa"/>
        <w:tblLayout w:type="fixed"/>
        <w:tblLook w:val="0000" w:firstRow="0" w:lastRow="0" w:firstColumn="0" w:lastColumn="0" w:noHBand="0" w:noVBand="0"/>
      </w:tblPr>
      <w:tblGrid>
        <w:gridCol w:w="4880"/>
      </w:tblGrid>
      <w:tr>
        <w:trPr>
          <w:cantSplit/>
        </w:trPr>
        <w:tc>
          <w:tcPr>
            <w:tcW w:w="4880" w:type="dxa"/>
          </w:tcPr>
          <w:p>
            <w:pPr>
              <w:pStyle w:val="TableNAm"/>
              <w:ind w:left="568" w:hanging="568"/>
              <w:rPr>
                <w:snapToGrid w:val="0"/>
              </w:rPr>
            </w:pPr>
            <w:r>
              <w:rPr>
                <w:snapToGrid w:val="0"/>
              </w:rPr>
              <w:t>1.</w:t>
            </w:r>
            <w:r>
              <w:rPr>
                <w:snapToGrid w:val="0"/>
              </w:rPr>
              <w:tab/>
              <w:t xml:space="preserve">the body known as The Western Australian Turf Club, and any club or association formed for the conduct or promotion of galloping horse races in </w:t>
            </w:r>
            <w:smartTag w:uri="urn:schemas-microsoft-com:office:smarttags" w:element="place">
              <w:smartTag w:uri="urn:schemas-microsoft-com:office:smarttags" w:element="State">
                <w:r>
                  <w:rPr>
                    <w:snapToGrid w:val="0"/>
                  </w:rPr>
                  <w:t>Western Australia</w:t>
                </w:r>
              </w:smartTag>
            </w:smartTag>
            <w:r>
              <w:rPr>
                <w:snapToGrid w:val="0"/>
              </w:rPr>
              <w:t>;</w:t>
            </w:r>
          </w:p>
        </w:tc>
      </w:tr>
      <w:tr>
        <w:trPr>
          <w:cantSplit/>
        </w:trPr>
        <w:tc>
          <w:tcPr>
            <w:tcW w:w="4880" w:type="dxa"/>
          </w:tcPr>
          <w:p>
            <w:pPr>
              <w:pStyle w:val="TableNAm"/>
              <w:ind w:left="568" w:hanging="568"/>
              <w:rPr>
                <w:snapToGrid w:val="0"/>
              </w:rPr>
            </w:pPr>
            <w:r>
              <w:rPr>
                <w:snapToGrid w:val="0"/>
              </w:rPr>
              <w:t>2.</w:t>
            </w:r>
            <w:r>
              <w:rPr>
                <w:snapToGrid w:val="0"/>
              </w:rPr>
              <w:tab/>
              <w:t xml:space="preserve">the Western Australian Trotting Association constituted under the </w:t>
            </w:r>
            <w:r>
              <w:rPr>
                <w:i/>
                <w:snapToGrid w:val="0"/>
              </w:rPr>
              <w:t>Western Australian Trotting Association Act 1946</w:t>
            </w:r>
            <w:r>
              <w:rPr>
                <w:snapToGrid w:val="0"/>
              </w:rPr>
              <w:t xml:space="preserve"> and any trotting club or association formed for the conduct or promotion of trotting or pacing horse races in Western Australia;</w:t>
            </w:r>
          </w:p>
        </w:tc>
      </w:tr>
      <w:tr>
        <w:trPr>
          <w:cantSplit/>
        </w:trPr>
        <w:tc>
          <w:tcPr>
            <w:tcW w:w="4880" w:type="dxa"/>
          </w:tcPr>
          <w:p>
            <w:pPr>
              <w:pStyle w:val="TableNAm"/>
              <w:ind w:left="568" w:hanging="568"/>
              <w:rPr>
                <w:snapToGrid w:val="0"/>
              </w:rPr>
            </w:pPr>
            <w:r>
              <w:rPr>
                <w:snapToGrid w:val="0"/>
              </w:rPr>
              <w:t>3.</w:t>
            </w:r>
            <w:r>
              <w:rPr>
                <w:snapToGrid w:val="0"/>
              </w:rPr>
              <w:tab/>
              <w:t xml:space="preserve">the Western Australian Greyhound Racing Association constituted under the </w:t>
            </w:r>
            <w:r>
              <w:rPr>
                <w:i/>
                <w:snapToGrid w:val="0"/>
              </w:rPr>
              <w:t>Western Australian Greyhound Racing Association Act 1981</w:t>
            </w:r>
            <w:r>
              <w:rPr>
                <w:snapToGrid w:val="0"/>
                <w:vertAlign w:val="superscript"/>
              </w:rPr>
              <w:t> 10</w:t>
            </w:r>
            <w:r>
              <w:rPr>
                <w:snapToGrid w:val="0"/>
              </w:rPr>
              <w:t xml:space="preserve"> and any greyhound club or association formed for the conduct or promotion of greyhound racing in Western Australia;</w:t>
            </w:r>
          </w:p>
        </w:tc>
      </w:tr>
    </w:tbl>
    <w:p>
      <w:pPr>
        <w:pStyle w:val="Indenta"/>
        <w:rPr>
          <w:snapToGrid w:val="0"/>
        </w:rPr>
      </w:pPr>
      <w:r>
        <w:rPr>
          <w:snapToGrid w:val="0"/>
        </w:rPr>
        <w:tab/>
        <w:t>(fb)</w:t>
      </w:r>
      <w:r>
        <w:rPr>
          <w:snapToGrid w:val="0"/>
        </w:rPr>
        <w:tab/>
        <w:t>land used on occasion for horse or greyhound racing if the land is used principally by societies, clubs, associations and other bodies referred to in paragraph (fa) and not listed in the table to that paragraph;</w:t>
      </w:r>
    </w:p>
    <w:p>
      <w:pPr>
        <w:pStyle w:val="Indenta"/>
        <w:keepLines/>
        <w:rPr>
          <w:snapToGrid w:val="0"/>
        </w:rPr>
      </w:pPr>
      <w:r>
        <w:rPr>
          <w:snapToGrid w:val="0"/>
        </w:rPr>
        <w:tab/>
        <w:t>(fc)</w:t>
      </w:r>
      <w:r>
        <w:rPr>
          <w:snapToGrid w:val="0"/>
        </w:rPr>
        <w:tab/>
        <w:t>land used, occupied or held exclusively for the purposes of a club or association referred to in the table to paragraph (fa) if —</w:t>
      </w:r>
    </w:p>
    <w:p>
      <w:pPr>
        <w:pStyle w:val="Indenti"/>
        <w:rPr>
          <w:snapToGrid w:val="0"/>
        </w:rPr>
      </w:pPr>
      <w:r>
        <w:rPr>
          <w:snapToGrid w:val="0"/>
        </w:rPr>
        <w:tab/>
        <w:t>(i)</w:t>
      </w:r>
      <w:r>
        <w:rPr>
          <w:snapToGrid w:val="0"/>
        </w:rPr>
        <w:tab/>
        <w:t>the land is used principally for horse or greyhound racing; and</w:t>
      </w:r>
    </w:p>
    <w:p>
      <w:pPr>
        <w:pStyle w:val="Indenti"/>
        <w:rPr>
          <w:snapToGrid w:val="0"/>
        </w:rPr>
      </w:pPr>
      <w:r>
        <w:rPr>
          <w:snapToGrid w:val="0"/>
        </w:rPr>
        <w:tab/>
        <w:t>(ii)</w:t>
      </w:r>
      <w:r>
        <w:rPr>
          <w:snapToGrid w:val="0"/>
        </w:rPr>
        <w:tab/>
        <w:t>no off</w:t>
      </w:r>
      <w:r>
        <w:rPr>
          <w:snapToGrid w:val="0"/>
        </w:rPr>
        <w:noBreakHyphen/>
        <w:t xml:space="preserve">course betting facilities are provided by the Totalisator Agency Board constituted under the </w:t>
      </w:r>
      <w:r>
        <w:rPr>
          <w:i/>
          <w:snapToGrid w:val="0"/>
        </w:rPr>
        <w:t>Totalisator Agency Board Betting Act 1960</w:t>
      </w:r>
      <w:r>
        <w:rPr>
          <w:snapToGrid w:val="0"/>
          <w:vertAlign w:val="superscript"/>
        </w:rPr>
        <w:t> 11</w:t>
      </w:r>
      <w:r>
        <w:rPr>
          <w:snapToGrid w:val="0"/>
        </w:rPr>
        <w:t xml:space="preserve"> for any of the race meetings conducted on the land;</w:t>
      </w:r>
    </w:p>
    <w:p>
      <w:pPr>
        <w:pStyle w:val="Indenta"/>
        <w:rPr>
          <w:snapToGrid w:val="0"/>
        </w:rPr>
      </w:pPr>
      <w:r>
        <w:rPr>
          <w:snapToGrid w:val="0"/>
        </w:rPr>
        <w:tab/>
        <w:t>(g)</w:t>
      </w:r>
      <w:r>
        <w:rPr>
          <w:snapToGrid w:val="0"/>
        </w:rPr>
        <w:tab/>
        <w:t>land used or held as a cemetery; or</w:t>
      </w:r>
    </w:p>
    <w:p>
      <w:pPr>
        <w:pStyle w:val="Indenta"/>
        <w:rPr>
          <w:snapToGrid w:val="0"/>
        </w:rPr>
      </w:pPr>
      <w:r>
        <w:rPr>
          <w:snapToGrid w:val="0"/>
        </w:rPr>
        <w:tab/>
        <w:t>(h)</w:t>
      </w:r>
      <w:r>
        <w:rPr>
          <w:snapToGrid w:val="0"/>
        </w:rPr>
        <w:tab/>
        <w:t>land that the Corporation may declare under this paragraph to be exempt land for the purposes of this by</w:t>
      </w:r>
      <w:r>
        <w:rPr>
          <w:snapToGrid w:val="0"/>
        </w:rPr>
        <w:noBreakHyphen/>
        <w:t>law.</w:t>
      </w:r>
    </w:p>
    <w:p>
      <w:pPr>
        <w:pStyle w:val="Subsection"/>
        <w:rPr>
          <w:snapToGrid w:val="0"/>
        </w:rPr>
      </w:pPr>
      <w:r>
        <w:rPr>
          <w:snapToGrid w:val="0"/>
        </w:rPr>
        <w:tab/>
        <w:t>(2)</w:t>
      </w:r>
      <w:r>
        <w:rPr>
          <w:snapToGrid w:val="0"/>
        </w:rPr>
        <w:tab/>
        <w:t>Land does not cease to be used exclusively for a purpose mentioned in sub</w:t>
      </w:r>
      <w:r>
        <w:rPr>
          <w:snapToGrid w:val="0"/>
        </w:rPr>
        <w:noBreakHyphen/>
        <w:t>bylaw (1) merely because it is used for the purposes of a bazaar, or as a place of meeting for any religious, charitable, temperance, or benevolent object, or for a polling place at any parliamentary or other election.</w:t>
      </w:r>
    </w:p>
    <w:p>
      <w:pPr>
        <w:pStyle w:val="Subsection"/>
        <w:rPr>
          <w:snapToGrid w:val="0"/>
        </w:rPr>
      </w:pPr>
      <w:r>
        <w:rPr>
          <w:snapToGrid w:val="0"/>
        </w:rPr>
        <w:tab/>
        <w:t>(3)</w:t>
      </w:r>
      <w:r>
        <w:rPr>
          <w:snapToGrid w:val="0"/>
        </w:rPr>
        <w:tab/>
        <w:t>In sub</w:t>
      </w:r>
      <w:r>
        <w:rPr>
          <w:snapToGrid w:val="0"/>
        </w:rPr>
        <w:noBreakHyphen/>
        <w:t xml:space="preserve">bylaw (1)(e) </w:t>
      </w:r>
      <w:r>
        <w:rPr>
          <w:rStyle w:val="CharDefText"/>
        </w:rPr>
        <w:t>charitable purposes</w:t>
      </w:r>
      <w:r>
        <w:rPr>
          <w:snapToGrid w:val="0"/>
        </w:rPr>
        <w:t xml:space="preserve"> means purposes that, in the opinion of the Corporation, involve —</w:t>
      </w:r>
    </w:p>
    <w:p>
      <w:pPr>
        <w:pStyle w:val="Indenta"/>
        <w:rPr>
          <w:snapToGrid w:val="0"/>
        </w:rPr>
      </w:pPr>
      <w:r>
        <w:rPr>
          <w:snapToGrid w:val="0"/>
        </w:rPr>
        <w:tab/>
        <w:t>(a)</w:t>
      </w:r>
      <w:r>
        <w:rPr>
          <w:snapToGrid w:val="0"/>
        </w:rPr>
        <w:tab/>
        <w:t>the provision of relief or assistance to sick, aged, disadvantaged, unemployed or young persons; or</w:t>
      </w:r>
    </w:p>
    <w:p>
      <w:pPr>
        <w:pStyle w:val="Indenta"/>
        <w:rPr>
          <w:snapToGrid w:val="0"/>
        </w:rPr>
      </w:pPr>
      <w:r>
        <w:rPr>
          <w:snapToGrid w:val="0"/>
        </w:rPr>
        <w:tab/>
        <w:t>(b)</w:t>
      </w:r>
      <w:r>
        <w:rPr>
          <w:snapToGrid w:val="0"/>
        </w:rPr>
        <w:tab/>
        <w:t>the conducting of other activities for the benefit of the public or in the interests of social welfare not otherwise mentioned in sub</w:t>
      </w:r>
      <w:r>
        <w:rPr>
          <w:snapToGrid w:val="0"/>
        </w:rPr>
        <w:noBreakHyphen/>
        <w:t>bylaw (1),</w:t>
      </w:r>
    </w:p>
    <w:p>
      <w:pPr>
        <w:pStyle w:val="Subsection"/>
        <w:rPr>
          <w:snapToGrid w:val="0"/>
        </w:rPr>
      </w:pPr>
      <w:r>
        <w:rPr>
          <w:snapToGrid w:val="0"/>
        </w:rPr>
        <w:tab/>
      </w:r>
      <w:r>
        <w:rPr>
          <w:snapToGrid w:val="0"/>
        </w:rPr>
        <w:tab/>
        <w:t>by a private organisation that is not operated for the purpose of profit or gain to individual members, shareholders or owners.</w:t>
      </w:r>
    </w:p>
    <w:p>
      <w:pPr>
        <w:pStyle w:val="Subsection"/>
      </w:pPr>
      <w:r>
        <w:tab/>
        <w:t>(4)</w:t>
      </w:r>
      <w:r>
        <w:tab/>
        <w:t>If, for the provision of relief or assistance referred to in sub</w:t>
      </w:r>
      <w:r>
        <w:noBreakHyphen/>
        <w:t>bylaw (3)(a) land is provided to a person for residential use, then for the purposes of sub</w:t>
      </w:r>
      <w:r>
        <w:noBreakHyphen/>
        <w:t>bylaw (1)(e) the use of that land by that person and any of his or her family for residential purposes shall not be taken to be use for a private purpose.</w:t>
      </w:r>
    </w:p>
    <w:p>
      <w:pPr>
        <w:pStyle w:val="Footnotesection"/>
      </w:pPr>
      <w:r>
        <w:tab/>
        <w:t>[By</w:t>
      </w:r>
      <w:r>
        <w:noBreakHyphen/>
        <w:t>law 4 amended in Gazette 20 Jan 1989 p. 121; 29 Jun 1989 p. 1870; 29 Dec 1995 p. 6331; 28 Jun 1996 p. 3105; 29 Jun 2007 p. 3246; 19 Jun 2009 p. 2321.]</w:t>
      </w:r>
    </w:p>
    <w:p>
      <w:pPr>
        <w:pStyle w:val="Heading5"/>
      </w:pPr>
      <w:bookmarkStart w:id="75" w:name="_Toc328471424"/>
      <w:bookmarkStart w:id="76" w:name="_Toc487428942"/>
      <w:bookmarkStart w:id="77" w:name="_Toc17278650"/>
      <w:bookmarkStart w:id="78" w:name="_Toc180204748"/>
      <w:r>
        <w:rPr>
          <w:rStyle w:val="CharSectno"/>
        </w:rPr>
        <w:t>5A</w:t>
      </w:r>
      <w:r>
        <w:t>.</w:t>
      </w:r>
      <w:r>
        <w:tab/>
        <w:t>Exempt land, amount of exemption calculated</w:t>
      </w:r>
      <w:bookmarkEnd w:id="75"/>
    </w:p>
    <w:p>
      <w:pPr>
        <w:pStyle w:val="Subsection"/>
      </w:pPr>
      <w:r>
        <w:tab/>
        <w:t>(1)</w:t>
      </w:r>
      <w:r>
        <w:tab/>
        <w:t>In this by</w:t>
      </w:r>
      <w:r>
        <w:noBreakHyphen/>
        <w:t xml:space="preserve">law — </w:t>
      </w:r>
    </w:p>
    <w:p>
      <w:pPr>
        <w:pStyle w:val="Defstart"/>
      </w:pPr>
      <w:r>
        <w:tab/>
      </w:r>
      <w:r>
        <w:rPr>
          <w:rStyle w:val="CharDefText"/>
        </w:rPr>
        <w:t>exempt land</w:t>
      </w:r>
      <w:r>
        <w:t xml:space="preserve"> means land — </w:t>
      </w:r>
    </w:p>
    <w:p>
      <w:pPr>
        <w:pStyle w:val="Defpara"/>
      </w:pPr>
      <w:r>
        <w:tab/>
        <w:t>(a)</w:t>
      </w:r>
      <w:r>
        <w:tab/>
        <w:t>which is exempt from a charge for a water service; or</w:t>
      </w:r>
    </w:p>
    <w:p>
      <w:pPr>
        <w:pStyle w:val="Defpara"/>
      </w:pPr>
      <w:r>
        <w:tab/>
        <w:t>(b)</w:t>
      </w:r>
      <w:r>
        <w:tab/>
        <w:t>for which a discount is prescribed for a water service.</w:t>
      </w:r>
    </w:p>
    <w:p>
      <w:pPr>
        <w:pStyle w:val="Subsection"/>
      </w:pPr>
      <w:r>
        <w:tab/>
        <w:t>(2)</w:t>
      </w:r>
      <w:r>
        <w:tab/>
        <w:t>The Corporation may provide a person with an account in respect of exempt land showing the charge that would have been payable for a water service if the exemption or discount did not apply.</w:t>
      </w:r>
    </w:p>
    <w:p>
      <w:pPr>
        <w:pStyle w:val="Subsection"/>
      </w:pPr>
      <w:r>
        <w:tab/>
        <w:t>(3)</w:t>
      </w:r>
      <w:r>
        <w:tab/>
        <w:t xml:space="preserve">For the purposes of the definition of </w:t>
      </w:r>
      <w:r>
        <w:rPr>
          <w:b/>
          <w:i/>
        </w:rPr>
        <w:t>exempt land</w:t>
      </w:r>
      <w:r>
        <w:t xml:space="preserve"> paragraph (a) in this by</w:t>
      </w:r>
      <w:r>
        <w:noBreakHyphen/>
        <w:t>law, the amount of the exemption is to be calculated by reference to the quantity of water or wastewater concerned or the gross rental value, unimproved value or area of the land in respect of which the water service is provided.</w:t>
      </w:r>
    </w:p>
    <w:p>
      <w:pPr>
        <w:pStyle w:val="Footnotesection"/>
      </w:pPr>
      <w:r>
        <w:tab/>
        <w:t>[By-law 5A inserted in Gazette 20 Jun 2012 p. 2696-7.]</w:t>
      </w:r>
    </w:p>
    <w:p>
      <w:pPr>
        <w:pStyle w:val="Heading5"/>
        <w:rPr>
          <w:snapToGrid w:val="0"/>
        </w:rPr>
      </w:pPr>
      <w:bookmarkStart w:id="79" w:name="_Toc328471425"/>
      <w:r>
        <w:rPr>
          <w:rStyle w:val="CharSectno"/>
        </w:rPr>
        <w:t>5</w:t>
      </w:r>
      <w:r>
        <w:rPr>
          <w:snapToGrid w:val="0"/>
        </w:rPr>
        <w:t>.</w:t>
      </w:r>
      <w:r>
        <w:rPr>
          <w:snapToGrid w:val="0"/>
        </w:rPr>
        <w:tab/>
        <w:t>Separately assessable residential land</w:t>
      </w:r>
      <w:bookmarkEnd w:id="76"/>
      <w:bookmarkEnd w:id="77"/>
      <w:bookmarkEnd w:id="78"/>
      <w:bookmarkEnd w:id="79"/>
    </w:p>
    <w:p>
      <w:pPr>
        <w:pStyle w:val="Subsection"/>
        <w:rPr>
          <w:snapToGrid w:val="0"/>
        </w:rPr>
      </w:pPr>
      <w:r>
        <w:rPr>
          <w:snapToGrid w:val="0"/>
        </w:rPr>
        <w:tab/>
      </w:r>
      <w:r>
        <w:rPr>
          <w:snapToGrid w:val="0"/>
        </w:rPr>
        <w:tab/>
        <w:t>Where a charge prescribed by these by</w:t>
      </w:r>
      <w:r>
        <w:rPr>
          <w:snapToGrid w:val="0"/>
        </w:rPr>
        <w:noBreakHyphen/>
        <w:t>laws is expressed to apply in respect of residential properties, land classified for the purposes of the Part or Division under which the charge is made as residential that is used as a discrete residential unit shall be the subject of a separate assessment of the charge.</w:t>
      </w:r>
    </w:p>
    <w:p>
      <w:pPr>
        <w:pStyle w:val="Footnotesection"/>
      </w:pPr>
      <w:r>
        <w:tab/>
        <w:t>[By</w:t>
      </w:r>
      <w:r>
        <w:noBreakHyphen/>
        <w:t xml:space="preserve">law 5 amended in Gazette 29 Jun 2007 p. 3246.] </w:t>
      </w:r>
    </w:p>
    <w:p>
      <w:pPr>
        <w:pStyle w:val="Heading5"/>
        <w:rPr>
          <w:snapToGrid w:val="0"/>
        </w:rPr>
      </w:pPr>
      <w:bookmarkStart w:id="80" w:name="_Toc487428943"/>
      <w:bookmarkStart w:id="81" w:name="_Toc17278651"/>
      <w:bookmarkStart w:id="82" w:name="_Toc180204749"/>
      <w:bookmarkStart w:id="83" w:name="_Toc328471426"/>
      <w:r>
        <w:rPr>
          <w:rStyle w:val="CharSectno"/>
        </w:rPr>
        <w:t>6</w:t>
      </w:r>
      <w:r>
        <w:rPr>
          <w:snapToGrid w:val="0"/>
        </w:rPr>
        <w:t>.</w:t>
      </w:r>
      <w:r>
        <w:rPr>
          <w:snapToGrid w:val="0"/>
        </w:rPr>
        <w:tab/>
        <w:t>Estimation upon meter malfunction or of non</w:t>
      </w:r>
      <w:r>
        <w:rPr>
          <w:snapToGrid w:val="0"/>
        </w:rPr>
        <w:noBreakHyphen/>
        <w:t>metered quantity</w:t>
      </w:r>
      <w:bookmarkEnd w:id="80"/>
      <w:bookmarkEnd w:id="81"/>
      <w:bookmarkEnd w:id="82"/>
      <w:bookmarkEnd w:id="83"/>
    </w:p>
    <w:p>
      <w:pPr>
        <w:pStyle w:val="Subsection"/>
        <w:rPr>
          <w:rFonts w:ascii="Times" w:hAnsi="Times"/>
          <w:snapToGrid w:val="0"/>
        </w:rPr>
      </w:pPr>
      <w:r>
        <w:rPr>
          <w:snapToGrid w:val="0"/>
          <w:spacing w:val="-4"/>
        </w:rPr>
        <w:tab/>
        <w:t>(1)</w:t>
      </w:r>
      <w:r>
        <w:rPr>
          <w:snapToGrid w:val="0"/>
          <w:spacing w:val="-4"/>
        </w:rPr>
        <w:tab/>
      </w:r>
      <w:r>
        <w:rPr>
          <w:rFonts w:ascii="Times" w:hAnsi="Times"/>
          <w:snapToGrid w:val="0"/>
        </w:rPr>
        <w:t>Where a charge is to be assessed by reference to the quantity of water concerned and a meter for measuring that quantity is found not to be in proper order</w:t>
      </w:r>
      <w:r>
        <w:rPr>
          <w:rFonts w:ascii="Times" w:hAnsi="Times"/>
        </w:rPr>
        <w:t xml:space="preserve">, has been removed for repair or a meter reading cannot be obtained </w:t>
      </w:r>
      <w:r>
        <w:t xml:space="preserve">because of a physical obstruction preventing practicable access to the meter or because the face of the meter is obscured by damage, marking, dirt or any other substance, </w:t>
      </w:r>
      <w:r>
        <w:rPr>
          <w:rFonts w:ascii="Times" w:hAnsi="Times"/>
          <w:snapToGrid w:val="0"/>
        </w:rPr>
        <w:t>the Corporation may estimate the quantity of water concerned —</w:t>
      </w:r>
    </w:p>
    <w:p>
      <w:pPr>
        <w:pStyle w:val="Indenta"/>
        <w:rPr>
          <w:snapToGrid w:val="0"/>
        </w:rPr>
      </w:pPr>
      <w:r>
        <w:rPr>
          <w:snapToGrid w:val="0"/>
        </w:rPr>
        <w:tab/>
        <w:t>(a)</w:t>
      </w:r>
      <w:r>
        <w:rPr>
          <w:snapToGrid w:val="0"/>
        </w:rPr>
        <w:tab/>
        <w:t>by reference to a daily average of the quantity of water supplied during another period;</w:t>
      </w:r>
    </w:p>
    <w:p>
      <w:pPr>
        <w:pStyle w:val="Indenta"/>
        <w:spacing w:before="60"/>
        <w:rPr>
          <w:snapToGrid w:val="0"/>
        </w:rPr>
      </w:pPr>
      <w:r>
        <w:rPr>
          <w:snapToGrid w:val="0"/>
        </w:rPr>
        <w:tab/>
        <w:t>(b)</w:t>
      </w:r>
      <w:r>
        <w:rPr>
          <w:snapToGrid w:val="0"/>
        </w:rPr>
        <w:tab/>
        <w:t>by adjusting the quantity registered by the meter to take account of the error found upon testing the meter; or</w:t>
      </w:r>
    </w:p>
    <w:p>
      <w:pPr>
        <w:pStyle w:val="Indenta"/>
        <w:spacing w:before="60"/>
        <w:rPr>
          <w:snapToGrid w:val="0"/>
        </w:rPr>
      </w:pPr>
      <w:r>
        <w:rPr>
          <w:snapToGrid w:val="0"/>
        </w:rPr>
        <w:tab/>
        <w:t>(c)</w:t>
      </w:r>
      <w:r>
        <w:rPr>
          <w:snapToGrid w:val="0"/>
        </w:rPr>
        <w:tab/>
        <w:t>on such other basis as the Corporation may determine,</w:t>
      </w:r>
    </w:p>
    <w:p>
      <w:pPr>
        <w:pStyle w:val="Subsection"/>
        <w:rPr>
          <w:snapToGrid w:val="0"/>
        </w:rPr>
      </w:pPr>
      <w:r>
        <w:rPr>
          <w:snapToGrid w:val="0"/>
        </w:rPr>
        <w:tab/>
      </w:r>
      <w:r>
        <w:rPr>
          <w:snapToGrid w:val="0"/>
        </w:rPr>
        <w:tab/>
        <w:t>and the charge shall be assessed by reference to the quantity so estimated.</w:t>
      </w:r>
    </w:p>
    <w:p>
      <w:pPr>
        <w:pStyle w:val="Subsection"/>
        <w:rPr>
          <w:snapToGrid w:val="0"/>
        </w:rPr>
      </w:pPr>
      <w:r>
        <w:rPr>
          <w:snapToGrid w:val="0"/>
        </w:rPr>
        <w:tab/>
        <w:t>(2)</w:t>
      </w:r>
      <w:r>
        <w:rPr>
          <w:snapToGrid w:val="0"/>
        </w:rPr>
        <w:tab/>
        <w:t>A charge that is to be assessed by reference to the quantity of water supplied for irrigation may, where the water —</w:t>
      </w:r>
    </w:p>
    <w:p>
      <w:pPr>
        <w:pStyle w:val="Indenta"/>
        <w:rPr>
          <w:snapToGrid w:val="0"/>
        </w:rPr>
      </w:pPr>
      <w:r>
        <w:rPr>
          <w:snapToGrid w:val="0"/>
        </w:rPr>
        <w:tab/>
        <w:t>(a)</w:t>
      </w:r>
      <w:r>
        <w:rPr>
          <w:snapToGrid w:val="0"/>
        </w:rPr>
        <w:tab/>
        <w:t>is not supplied through a measuring device; or</w:t>
      </w:r>
    </w:p>
    <w:p>
      <w:pPr>
        <w:pStyle w:val="Indenta"/>
        <w:rPr>
          <w:snapToGrid w:val="0"/>
        </w:rPr>
      </w:pPr>
      <w:r>
        <w:rPr>
          <w:snapToGrid w:val="0"/>
        </w:rPr>
        <w:tab/>
        <w:t>(b)</w:t>
      </w:r>
      <w:r>
        <w:rPr>
          <w:snapToGrid w:val="0"/>
        </w:rPr>
        <w:tab/>
        <w:t>is supplied through a measuring device but the measuring device is not functioning properly,</w:t>
      </w:r>
    </w:p>
    <w:p>
      <w:pPr>
        <w:pStyle w:val="Subsection"/>
        <w:spacing w:before="120"/>
        <w:rPr>
          <w:snapToGrid w:val="0"/>
        </w:rPr>
      </w:pPr>
      <w:r>
        <w:rPr>
          <w:snapToGrid w:val="0"/>
        </w:rPr>
        <w:tab/>
      </w:r>
      <w:r>
        <w:rPr>
          <w:snapToGrid w:val="0"/>
        </w:rPr>
        <w:tab/>
        <w:t>be assessed by reference to the quantity estimated by the Corporation to have been supplied having regard to the rate of flow and the period of supply.</w:t>
      </w:r>
    </w:p>
    <w:p>
      <w:pPr>
        <w:pStyle w:val="Footnotesection"/>
      </w:pPr>
      <w:r>
        <w:tab/>
        <w:t>[By</w:t>
      </w:r>
      <w:r>
        <w:noBreakHyphen/>
        <w:t>law 6 amended in Gazette 29 Dec 1995 p. 6331; 29 Jun 2007 p. 3246; 21 Dec 2007 p. 6349.]</w:t>
      </w:r>
    </w:p>
    <w:p>
      <w:pPr>
        <w:pStyle w:val="Heading5"/>
        <w:rPr>
          <w:snapToGrid w:val="0"/>
        </w:rPr>
      </w:pPr>
      <w:bookmarkStart w:id="84" w:name="_Toc487428944"/>
      <w:bookmarkStart w:id="85" w:name="_Toc17278652"/>
      <w:bookmarkStart w:id="86" w:name="_Toc180204750"/>
      <w:bookmarkStart w:id="87" w:name="_Toc328471427"/>
      <w:r>
        <w:rPr>
          <w:rStyle w:val="CharSectno"/>
        </w:rPr>
        <w:t>7</w:t>
      </w:r>
      <w:r>
        <w:rPr>
          <w:snapToGrid w:val="0"/>
        </w:rPr>
        <w:t>.</w:t>
      </w:r>
      <w:r>
        <w:rPr>
          <w:snapToGrid w:val="0"/>
        </w:rPr>
        <w:tab/>
        <w:t>Manner of payment of charges other than quantity and single capital infrastructure charges</w:t>
      </w:r>
      <w:bookmarkEnd w:id="84"/>
      <w:bookmarkEnd w:id="85"/>
      <w:bookmarkEnd w:id="86"/>
      <w:bookmarkEnd w:id="87"/>
    </w:p>
    <w:p>
      <w:pPr>
        <w:pStyle w:val="Subsection"/>
        <w:keepNext/>
        <w:rPr>
          <w:snapToGrid w:val="0"/>
        </w:rPr>
      </w:pPr>
      <w:r>
        <w:rPr>
          <w:snapToGrid w:val="0"/>
        </w:rPr>
        <w:tab/>
        <w:t>(1)</w:t>
      </w:r>
      <w:r>
        <w:rPr>
          <w:snapToGrid w:val="0"/>
        </w:rPr>
        <w:tab/>
        <w:t>In this by</w:t>
      </w:r>
      <w:r>
        <w:rPr>
          <w:snapToGrid w:val="0"/>
        </w:rPr>
        <w:noBreakHyphen/>
        <w:t>law —</w:t>
      </w:r>
    </w:p>
    <w:p>
      <w:pPr>
        <w:pStyle w:val="Defstart"/>
        <w:keepNext/>
      </w:pPr>
      <w:r>
        <w:rPr>
          <w:b/>
        </w:rPr>
        <w:tab/>
      </w:r>
      <w:r>
        <w:rPr>
          <w:rStyle w:val="CharDefText"/>
        </w:rPr>
        <w:t>charge</w:t>
      </w:r>
      <w:r>
        <w:t xml:space="preserve"> means —</w:t>
      </w:r>
    </w:p>
    <w:p>
      <w:pPr>
        <w:pStyle w:val="Defpara"/>
      </w:pPr>
      <w:r>
        <w:tab/>
        <w:t>(a)</w:t>
      </w:r>
      <w:r>
        <w:tab/>
        <w:t>a charge other than —</w:t>
      </w:r>
    </w:p>
    <w:p>
      <w:pPr>
        <w:pStyle w:val="Defsubpara"/>
        <w:rPr>
          <w:snapToGrid w:val="0"/>
        </w:rPr>
      </w:pPr>
      <w:r>
        <w:rPr>
          <w:snapToGrid w:val="0"/>
        </w:rPr>
        <w:tab/>
        <w:t>(i)</w:t>
      </w:r>
      <w:r>
        <w:rPr>
          <w:snapToGrid w:val="0"/>
        </w:rPr>
        <w:tab/>
        <w:t>a quantity charge; or</w:t>
      </w:r>
    </w:p>
    <w:p>
      <w:pPr>
        <w:pStyle w:val="Defsubpara"/>
        <w:keepNext/>
        <w:rPr>
          <w:snapToGrid w:val="0"/>
        </w:rPr>
      </w:pPr>
      <w:r>
        <w:rPr>
          <w:snapToGrid w:val="0"/>
        </w:rPr>
        <w:tab/>
        <w:t>(ii)</w:t>
      </w:r>
      <w:r>
        <w:rPr>
          <w:snapToGrid w:val="0"/>
        </w:rPr>
        <w:tab/>
        <w:t>a single capital infrastructure charge;</w:t>
      </w:r>
    </w:p>
    <w:p>
      <w:pPr>
        <w:pStyle w:val="Defpara"/>
      </w:pPr>
      <w:r>
        <w:tab/>
      </w:r>
      <w:r>
        <w:tab/>
        <w:t>or</w:t>
      </w:r>
    </w:p>
    <w:p>
      <w:pPr>
        <w:pStyle w:val="Defpara"/>
      </w:pPr>
      <w:r>
        <w:tab/>
        <w:t>(b)</w:t>
      </w:r>
      <w:r>
        <w:tab/>
        <w:t xml:space="preserve">an amount payable in respect of rates under the </w:t>
      </w:r>
      <w:r>
        <w:rPr>
          <w:i/>
        </w:rPr>
        <w:t>Land Drainage Act 1925</w:t>
      </w:r>
      <w:r>
        <w:t>.</w:t>
      </w:r>
    </w:p>
    <w:p>
      <w:pPr>
        <w:pStyle w:val="Subsection"/>
        <w:rPr>
          <w:snapToGrid w:val="0"/>
        </w:rPr>
      </w:pPr>
      <w:r>
        <w:rPr>
          <w:snapToGrid w:val="0"/>
        </w:rPr>
        <w:tab/>
        <w:t>(2)</w:t>
      </w:r>
      <w:r>
        <w:rPr>
          <w:snapToGrid w:val="0"/>
        </w:rPr>
        <w:tab/>
        <w:t>Unless, in accordance with by</w:t>
      </w:r>
      <w:r>
        <w:rPr>
          <w:snapToGrid w:val="0"/>
        </w:rPr>
        <w:noBreakHyphen/>
        <w:t>law 8, special arrangements for payment have been made a charge is payable in accordance with this by</w:t>
      </w:r>
      <w:r>
        <w:rPr>
          <w:snapToGrid w:val="0"/>
        </w:rPr>
        <w:noBreakHyphen/>
        <w:t>law.</w:t>
      </w:r>
    </w:p>
    <w:p>
      <w:pPr>
        <w:pStyle w:val="Subsection"/>
        <w:rPr>
          <w:rFonts w:ascii="Times" w:hAnsi="Times"/>
          <w:snapToGrid w:val="0"/>
        </w:rPr>
      </w:pPr>
      <w:r>
        <w:rPr>
          <w:snapToGrid w:val="0"/>
          <w:spacing w:val="-4"/>
        </w:rPr>
        <w:tab/>
        <w:t>(3)</w:t>
      </w:r>
      <w:r>
        <w:rPr>
          <w:snapToGrid w:val="0"/>
          <w:spacing w:val="-4"/>
        </w:rPr>
        <w:tab/>
      </w:r>
      <w:r>
        <w:rPr>
          <w:rFonts w:ascii="Times" w:hAnsi="Times"/>
          <w:snapToGrid w:val="0"/>
        </w:rPr>
        <w:t>Subject to sub</w:t>
      </w:r>
      <w:r>
        <w:rPr>
          <w:rFonts w:ascii="Times" w:hAnsi="Times"/>
          <w:snapToGrid w:val="0"/>
        </w:rPr>
        <w:noBreakHyphen/>
        <w:t>bylaws (4) and (8), a charge is payable to the Corporation in 2 equal instalments due on 31 July and 31 December, respectively, in the year for which the charge is made.</w:t>
      </w:r>
    </w:p>
    <w:p>
      <w:pPr>
        <w:pStyle w:val="Subsection"/>
        <w:keepNext/>
        <w:rPr>
          <w:snapToGrid w:val="0"/>
        </w:rPr>
      </w:pPr>
      <w:r>
        <w:rPr>
          <w:snapToGrid w:val="0"/>
        </w:rPr>
        <w:tab/>
        <w:t>(4)</w:t>
      </w:r>
      <w:r>
        <w:rPr>
          <w:snapToGrid w:val="0"/>
        </w:rPr>
        <w:tab/>
        <w:t>Subject to sub</w:t>
      </w:r>
      <w:r>
        <w:rPr>
          <w:snapToGrid w:val="0"/>
        </w:rPr>
        <w:noBreakHyphen/>
        <w:t>bylaws (5) and (8), a person may elect to pay an account relating to a charge —</w:t>
      </w:r>
    </w:p>
    <w:p>
      <w:pPr>
        <w:pStyle w:val="Indenta"/>
        <w:rPr>
          <w:snapToGrid w:val="0"/>
        </w:rPr>
      </w:pPr>
      <w:r>
        <w:rPr>
          <w:snapToGrid w:val="0"/>
        </w:rPr>
        <w:tab/>
        <w:t>(a)</w:t>
      </w:r>
      <w:r>
        <w:rPr>
          <w:snapToGrid w:val="0"/>
        </w:rPr>
        <w:tab/>
        <w:t>in full (whether or not it also relates to other charges in respect of the same year) on or before 31 July in that year in which case the person is to receive a discount of —</w:t>
      </w:r>
    </w:p>
    <w:p>
      <w:pPr>
        <w:pStyle w:val="Indenti"/>
        <w:rPr>
          <w:snapToGrid w:val="0"/>
        </w:rPr>
      </w:pPr>
      <w:r>
        <w:rPr>
          <w:snapToGrid w:val="0"/>
        </w:rPr>
        <w:tab/>
        <w:t>(i)</w:t>
      </w:r>
      <w:r>
        <w:rPr>
          <w:snapToGrid w:val="0"/>
        </w:rPr>
        <w:tab/>
        <w:t xml:space="preserve">the amount prescribed in </w:t>
      </w:r>
      <w:r>
        <w:t xml:space="preserve">Schedule 7 item 1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5 months on one</w:t>
      </w:r>
      <w:r>
        <w:rPr>
          <w:snapToGrid w:val="0"/>
        </w:rPr>
        <w:noBreakHyphen/>
        <w:t>half of the charge for the year;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4 equal instalments on or before 31 July, 31 October, 31 December, and 31 March, respectively, in that year, in which case the person is to be liable for an additional charge of —</w:t>
      </w:r>
    </w:p>
    <w:p>
      <w:pPr>
        <w:pStyle w:val="Indenti"/>
        <w:rPr>
          <w:snapToGrid w:val="0"/>
        </w:rPr>
      </w:pPr>
      <w:r>
        <w:rPr>
          <w:snapToGrid w:val="0"/>
        </w:rPr>
        <w:tab/>
        <w:t>(i)</w:t>
      </w:r>
      <w:r>
        <w:rPr>
          <w:snapToGrid w:val="0"/>
        </w:rPr>
        <w:tab/>
        <w:t xml:space="preserve">the amount prescribed in </w:t>
      </w:r>
      <w:r>
        <w:t xml:space="preserve">Schedule 7 item 2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3 months on one</w:t>
      </w:r>
      <w:r>
        <w:rPr>
          <w:snapToGrid w:val="0"/>
        </w:rPr>
        <w:noBreakHyphen/>
        <w:t>half of the charge for the year.</w:t>
      </w:r>
    </w:p>
    <w:p>
      <w:pPr>
        <w:pStyle w:val="Subsection"/>
        <w:rPr>
          <w:snapToGrid w:val="0"/>
        </w:rPr>
      </w:pPr>
      <w:r>
        <w:rPr>
          <w:snapToGrid w:val="0"/>
        </w:rPr>
        <w:tab/>
        <w:t>(5)</w:t>
      </w:r>
      <w:r>
        <w:rPr>
          <w:snapToGrid w:val="0"/>
        </w:rPr>
        <w:tab/>
        <w:t>The options provided by sub</w:t>
      </w:r>
      <w:r>
        <w:rPr>
          <w:snapToGrid w:val="0"/>
        </w:rPr>
        <w:noBreakHyphen/>
        <w:t>bylaw (4) do not apply where payment of any amount due and payable to the Corporation in relation to any water service in respect of the land concerned is outstanding.</w:t>
      </w:r>
    </w:p>
    <w:p>
      <w:pPr>
        <w:pStyle w:val="Subsection"/>
        <w:rPr>
          <w:snapToGrid w:val="0"/>
        </w:rPr>
      </w:pPr>
      <w:r>
        <w:rPr>
          <w:snapToGrid w:val="0"/>
        </w:rPr>
        <w:tab/>
        <w:t>(6)</w:t>
      </w:r>
      <w:r>
        <w:rPr>
          <w:snapToGrid w:val="0"/>
        </w:rPr>
        <w:tab/>
        <w:t>For the purposes of sub</w:t>
      </w:r>
      <w:r>
        <w:rPr>
          <w:snapToGrid w:val="0"/>
        </w:rPr>
        <w:noBreakHyphen/>
        <w:t xml:space="preserve">bylaw (5), where payment of an amount has been deferred under the </w:t>
      </w:r>
      <w:r>
        <w:rPr>
          <w:i/>
          <w:snapToGrid w:val="0"/>
        </w:rPr>
        <w:t>Rates and Charges (Rebates and Deferments) Act 1992</w:t>
      </w:r>
      <w:r>
        <w:rPr>
          <w:snapToGrid w:val="0"/>
        </w:rPr>
        <w:t xml:space="preserve"> that amount shall not be regarded as due and payable until payment of it is required in accordance with that Act.</w:t>
      </w:r>
    </w:p>
    <w:p>
      <w:pPr>
        <w:pStyle w:val="Subsection"/>
        <w:rPr>
          <w:snapToGrid w:val="0"/>
        </w:rPr>
      </w:pPr>
      <w:r>
        <w:rPr>
          <w:snapToGrid w:val="0"/>
        </w:rPr>
        <w:tab/>
        <w:t>(7)</w:t>
      </w:r>
      <w:r>
        <w:rPr>
          <w:snapToGrid w:val="0"/>
        </w:rPr>
        <w:tab/>
        <w:t>The Corporation may, after having regard to the circumstances in a particular case, allow a person to elect to pay an account in accordance with the options provided in sub</w:t>
      </w:r>
      <w:r>
        <w:rPr>
          <w:snapToGrid w:val="0"/>
        </w:rPr>
        <w:noBreakHyphen/>
        <w:t>bylaw (4), without the requirement for the appropriate amount to be paid on or before 31 July.</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charge is for a period less than a full year; or</w:t>
      </w:r>
    </w:p>
    <w:p>
      <w:pPr>
        <w:pStyle w:val="Indenta"/>
        <w:rPr>
          <w:snapToGrid w:val="0"/>
        </w:rPr>
      </w:pPr>
      <w:r>
        <w:rPr>
          <w:snapToGrid w:val="0"/>
        </w:rPr>
        <w:tab/>
        <w:t>(b)</w:t>
      </w:r>
      <w:r>
        <w:rPr>
          <w:snapToGrid w:val="0"/>
        </w:rPr>
        <w:tab/>
        <w:t>an account for a charge is given after 31 July in the year to which the charge relates,</w:t>
      </w:r>
    </w:p>
    <w:p>
      <w:pPr>
        <w:pStyle w:val="Subsection"/>
        <w:rPr>
          <w:snapToGrid w:val="0"/>
        </w:rPr>
      </w:pPr>
      <w:r>
        <w:rPr>
          <w:snapToGrid w:val="0"/>
        </w:rPr>
        <w:tab/>
      </w:r>
      <w:r>
        <w:rPr>
          <w:snapToGrid w:val="0"/>
        </w:rPr>
        <w:tab/>
        <w:t>the charge is due in full by the date stated in the account.</w:t>
      </w:r>
    </w:p>
    <w:p>
      <w:pPr>
        <w:pStyle w:val="Subsection"/>
        <w:rPr>
          <w:snapToGrid w:val="0"/>
        </w:rPr>
      </w:pPr>
      <w:r>
        <w:rPr>
          <w:snapToGrid w:val="0"/>
        </w:rPr>
        <w:tab/>
        <w:t>(9)</w:t>
      </w:r>
      <w:r>
        <w:rPr>
          <w:snapToGrid w:val="0"/>
        </w:rPr>
        <w:tab/>
        <w:t>For the purposes of sub</w:t>
      </w:r>
      <w:r>
        <w:rPr>
          <w:snapToGrid w:val="0"/>
        </w:rPr>
        <w:noBreakHyphen/>
        <w:t>bylaw (8), a date stated in an account shall be a date not earlier than 28 days after the giving of the account.</w:t>
      </w:r>
    </w:p>
    <w:p>
      <w:pPr>
        <w:pStyle w:val="Footnotesection"/>
      </w:pPr>
      <w:r>
        <w:tab/>
        <w:t>[By</w:t>
      </w:r>
      <w:r>
        <w:noBreakHyphen/>
        <w:t>law 7 inserted in Gazette 13 May 1997 p. 2350</w:t>
      </w:r>
      <w:r>
        <w:noBreakHyphen/>
        <w:t>1; amended in Gazette 29 Jun 2001 p. 3188.]</w:t>
      </w:r>
    </w:p>
    <w:p>
      <w:pPr>
        <w:pStyle w:val="Heading5"/>
        <w:rPr>
          <w:snapToGrid w:val="0"/>
        </w:rPr>
      </w:pPr>
      <w:bookmarkStart w:id="88" w:name="_Toc487428945"/>
      <w:bookmarkStart w:id="89" w:name="_Toc17278653"/>
      <w:bookmarkStart w:id="90" w:name="_Toc180204751"/>
      <w:bookmarkStart w:id="91" w:name="_Toc328471428"/>
      <w:r>
        <w:rPr>
          <w:rStyle w:val="CharSectno"/>
        </w:rPr>
        <w:t>7A</w:t>
      </w:r>
      <w:r>
        <w:rPr>
          <w:snapToGrid w:val="0"/>
        </w:rPr>
        <w:t>.</w:t>
      </w:r>
      <w:r>
        <w:rPr>
          <w:snapToGrid w:val="0"/>
        </w:rPr>
        <w:tab/>
        <w:t>Manner of payment of quantity charges</w:t>
      </w:r>
      <w:bookmarkEnd w:id="88"/>
      <w:bookmarkEnd w:id="89"/>
      <w:bookmarkEnd w:id="90"/>
      <w:bookmarkEnd w:id="91"/>
    </w:p>
    <w:p>
      <w:pPr>
        <w:pStyle w:val="Subsection"/>
        <w:rPr>
          <w:snapToGrid w:val="0"/>
        </w:rPr>
      </w:pPr>
      <w:r>
        <w:rPr>
          <w:snapToGrid w:val="0"/>
        </w:rPr>
        <w:tab/>
        <w:t>(1)</w:t>
      </w:r>
      <w:r>
        <w:rPr>
          <w:snapToGrid w:val="0"/>
        </w:rPr>
        <w:tab/>
        <w:t>Unless, in accordance with by</w:t>
      </w:r>
      <w:r>
        <w:rPr>
          <w:snapToGrid w:val="0"/>
        </w:rPr>
        <w:noBreakHyphen/>
        <w:t>law 8, special arrangements for payment have been made a quantity charge is due in full on the date stated in the account given for that charge.</w:t>
      </w:r>
    </w:p>
    <w:p>
      <w:pPr>
        <w:pStyle w:val="Subsection"/>
        <w:rPr>
          <w:snapToGrid w:val="0"/>
        </w:rPr>
      </w:pPr>
      <w:r>
        <w:rPr>
          <w:snapToGrid w:val="0"/>
        </w:rPr>
        <w:tab/>
        <w:t>(2)</w:t>
      </w:r>
      <w:r>
        <w:rPr>
          <w:snapToGrid w:val="0"/>
        </w:rPr>
        <w:tab/>
        <w:t>For the purposes of sub</w:t>
      </w:r>
      <w:r>
        <w:rPr>
          <w:snapToGrid w:val="0"/>
        </w:rPr>
        <w:noBreakHyphen/>
        <w:t>bylaw (1), a date stated in an account shall be a date not earlier than 14 days after the giving of the account.</w:t>
      </w:r>
    </w:p>
    <w:p>
      <w:pPr>
        <w:pStyle w:val="Footnotesection"/>
      </w:pPr>
      <w:r>
        <w:tab/>
        <w:t>[By</w:t>
      </w:r>
      <w:r>
        <w:noBreakHyphen/>
        <w:t>law 7A inserted in Gazette 13 May 1997 p. 2351.]</w:t>
      </w:r>
    </w:p>
    <w:p>
      <w:pPr>
        <w:pStyle w:val="Heading5"/>
        <w:spacing w:before="240"/>
        <w:rPr>
          <w:snapToGrid w:val="0"/>
        </w:rPr>
      </w:pPr>
      <w:bookmarkStart w:id="92" w:name="_Toc487428946"/>
      <w:bookmarkStart w:id="93" w:name="_Toc17278654"/>
      <w:bookmarkStart w:id="94" w:name="_Toc180204752"/>
      <w:bookmarkStart w:id="95" w:name="_Toc328471429"/>
      <w:r>
        <w:rPr>
          <w:rStyle w:val="CharSectno"/>
        </w:rPr>
        <w:t>7B</w:t>
      </w:r>
      <w:r>
        <w:rPr>
          <w:snapToGrid w:val="0"/>
        </w:rPr>
        <w:t>.</w:t>
      </w:r>
      <w:r>
        <w:rPr>
          <w:snapToGrid w:val="0"/>
        </w:rPr>
        <w:tab/>
        <w:t>Manner of payment of single capital infrastructure charges</w:t>
      </w:r>
      <w:bookmarkEnd w:id="92"/>
      <w:bookmarkEnd w:id="93"/>
      <w:bookmarkEnd w:id="94"/>
      <w:bookmarkEnd w:id="95"/>
    </w:p>
    <w:p>
      <w:pPr>
        <w:pStyle w:val="Subsection"/>
        <w:spacing w:before="200"/>
        <w:rPr>
          <w:snapToGrid w:val="0"/>
        </w:rPr>
      </w:pPr>
      <w:r>
        <w:rPr>
          <w:snapToGrid w:val="0"/>
        </w:rPr>
        <w:tab/>
        <w:t>(1)</w:t>
      </w:r>
      <w:r>
        <w:rPr>
          <w:snapToGrid w:val="0"/>
        </w:rPr>
        <w:tab/>
        <w:t>A single capital infrastructure charge is due in full on the date stated in the account given for that charge.</w:t>
      </w:r>
    </w:p>
    <w:p>
      <w:pPr>
        <w:pStyle w:val="Subsection"/>
        <w:spacing w:before="200"/>
        <w:rPr>
          <w:snapToGrid w:val="0"/>
        </w:rPr>
      </w:pPr>
      <w:r>
        <w:rPr>
          <w:snapToGrid w:val="0"/>
        </w:rPr>
        <w:tab/>
        <w:t>(2)</w:t>
      </w:r>
      <w:r>
        <w:rPr>
          <w:snapToGrid w:val="0"/>
        </w:rPr>
        <w:tab/>
        <w:t>For the purposes of sub</w:t>
      </w:r>
      <w:r>
        <w:rPr>
          <w:snapToGrid w:val="0"/>
        </w:rPr>
        <w:noBreakHyphen/>
        <w:t>bylaw (1), a date stated in an account shall be a date not earlier than 28 days after the giving of the account.</w:t>
      </w:r>
    </w:p>
    <w:p>
      <w:pPr>
        <w:pStyle w:val="Footnotesection"/>
      </w:pPr>
      <w:r>
        <w:tab/>
        <w:t>[By</w:t>
      </w:r>
      <w:r>
        <w:noBreakHyphen/>
        <w:t>law 7B inserted in Gazette 13 May 1997 p. 2351.]</w:t>
      </w:r>
    </w:p>
    <w:p>
      <w:pPr>
        <w:pStyle w:val="Heading5"/>
      </w:pPr>
      <w:bookmarkStart w:id="96" w:name="_Toc328471430"/>
      <w:bookmarkStart w:id="97" w:name="_Toc487428948"/>
      <w:bookmarkStart w:id="98" w:name="_Toc17278656"/>
      <w:bookmarkStart w:id="99" w:name="_Toc180204754"/>
      <w:r>
        <w:rPr>
          <w:rStyle w:val="CharSectno"/>
        </w:rPr>
        <w:t>8</w:t>
      </w:r>
      <w:r>
        <w:t>.</w:t>
      </w:r>
      <w:r>
        <w:tab/>
        <w:t>Special arrangements</w:t>
      </w:r>
      <w:bookmarkEnd w:id="96"/>
    </w:p>
    <w:p>
      <w:pPr>
        <w:pStyle w:val="Subsection"/>
      </w:pPr>
      <w:r>
        <w:tab/>
        <w:t>(1)</w:t>
      </w:r>
      <w:r>
        <w:tab/>
        <w:t>This by</w:t>
      </w:r>
      <w:r>
        <w:noBreakHyphen/>
        <w:t>law does not apply to a single capital infrastructure charge.</w:t>
      </w:r>
    </w:p>
    <w:p>
      <w:pPr>
        <w:pStyle w:val="Subsection"/>
      </w:pPr>
      <w:r>
        <w:tab/>
        <w:t>(2)</w:t>
      </w:r>
      <w:r>
        <w:tab/>
        <w:t>If, in a particular case, the Corporation is satisfied that there is proper cause, the Corporation may enter into a special arrangement with a person for the payment of charges.</w:t>
      </w:r>
    </w:p>
    <w:p>
      <w:pPr>
        <w:pStyle w:val="Subsection"/>
      </w:pPr>
      <w:r>
        <w:tab/>
        <w:t>(3)</w:t>
      </w:r>
      <w:r>
        <w:tab/>
        <w:t>A special arrangement may be on such terms and conditions, including as to the payment of additional charges and interest, as the Corporation, having regard to the person’s circumstances, considers appropriate.</w:t>
      </w:r>
    </w:p>
    <w:p>
      <w:pPr>
        <w:pStyle w:val="Subsection"/>
      </w:pPr>
      <w:r>
        <w:tab/>
        <w:t>(4)</w:t>
      </w:r>
      <w:r>
        <w:tab/>
        <w:t>Despite sub</w:t>
      </w:r>
      <w:r>
        <w:noBreakHyphen/>
        <w:t xml:space="preserve">bylaw (3) — </w:t>
      </w:r>
    </w:p>
    <w:p>
      <w:pPr>
        <w:pStyle w:val="Indenta"/>
      </w:pPr>
      <w:r>
        <w:tab/>
        <w:t>(a)</w:t>
      </w:r>
      <w:r>
        <w:tab/>
        <w:t>a special arrangement must provide for payment by regular instalments; and</w:t>
      </w:r>
    </w:p>
    <w:p>
      <w:pPr>
        <w:pStyle w:val="Indenta"/>
      </w:pPr>
      <w:r>
        <w:tab/>
        <w:t>(b)</w:t>
      </w:r>
      <w:r>
        <w:tab/>
        <w:t>if additional charges are payable under the arrangement — the amount of each additional charge must not exceed the amount set out in Schedule 7 item 2; and</w:t>
      </w:r>
    </w:p>
    <w:p>
      <w:pPr>
        <w:pStyle w:val="Indenta"/>
      </w:pPr>
      <w:r>
        <w:tab/>
        <w:t>(c)</w:t>
      </w:r>
      <w:r>
        <w:tab/>
        <w:t>if interest is payable under the arrangement — the rate at which the interest is calculated must not exceed the amount set out in Schedule 7 item 5.</w:t>
      </w:r>
    </w:p>
    <w:p>
      <w:pPr>
        <w:pStyle w:val="Footnotesection"/>
      </w:pPr>
      <w:r>
        <w:tab/>
        <w:t>[By-law 8 inserted in Gazette 27 Jun 2008 p. 2984.]</w:t>
      </w:r>
    </w:p>
    <w:p>
      <w:pPr>
        <w:pStyle w:val="Heading5"/>
        <w:rPr>
          <w:snapToGrid w:val="0"/>
        </w:rPr>
      </w:pPr>
      <w:bookmarkStart w:id="100" w:name="_Toc328471431"/>
      <w:r>
        <w:rPr>
          <w:rStyle w:val="CharSectno"/>
        </w:rPr>
        <w:t>8A</w:t>
      </w:r>
      <w:r>
        <w:rPr>
          <w:snapToGrid w:val="0"/>
        </w:rPr>
        <w:t>.</w:t>
      </w:r>
      <w:r>
        <w:rPr>
          <w:snapToGrid w:val="0"/>
        </w:rPr>
        <w:tab/>
        <w:t>Concessional charges for retirement village residents</w:t>
      </w:r>
      <w:bookmarkEnd w:id="97"/>
      <w:bookmarkEnd w:id="98"/>
      <w:bookmarkEnd w:id="99"/>
      <w:bookmarkEnd w:id="100"/>
    </w:p>
    <w:p>
      <w:pPr>
        <w:pStyle w:val="Subsection"/>
      </w:pPr>
      <w:r>
        <w:tab/>
        <w:t>(1)</w:t>
      </w:r>
      <w:r>
        <w:tab/>
        <w:t>This by-law does not apply —</w:t>
      </w:r>
    </w:p>
    <w:p>
      <w:pPr>
        <w:pStyle w:val="Indenta"/>
      </w:pPr>
      <w:r>
        <w:tab/>
        <w:t>(a)</w:t>
      </w:r>
      <w:r>
        <w:tab/>
        <w:t xml:space="preserve">to a person who registers an entitlement to a rebate under the </w:t>
      </w:r>
      <w:r>
        <w:rPr>
          <w:i/>
        </w:rPr>
        <w:t>Rates and Charges (Rebates and Deferments) Act 1992</w:t>
      </w:r>
      <w:r>
        <w:t xml:space="preserve"> in respect to a unit in a retirement village; or</w:t>
      </w:r>
    </w:p>
    <w:p>
      <w:pPr>
        <w:pStyle w:val="Indenta"/>
      </w:pPr>
      <w:r>
        <w:tab/>
        <w:t>(b)</w:t>
      </w:r>
      <w:r>
        <w:tab/>
        <w:t xml:space="preserve">to a unit in a retirement village once a person has registered an entitlement to a rebate under the </w:t>
      </w:r>
      <w:r>
        <w:rPr>
          <w:i/>
        </w:rPr>
        <w:t>Rates and Charges (Rebates and Deferments) Act 1992.</w:t>
      </w:r>
    </w:p>
    <w:p>
      <w:pPr>
        <w:pStyle w:val="Subsection"/>
      </w:pPr>
      <w:r>
        <w:tab/>
        <w:t>(1a)</w:t>
      </w:r>
      <w:r>
        <w:tab/>
        <w:t>Where a person was liable, immediately prior to 1 July 2005, to pay a charge under —</w:t>
      </w:r>
    </w:p>
    <w:p>
      <w:pPr>
        <w:pStyle w:val="Indenta"/>
      </w:pPr>
      <w:r>
        <w:tab/>
        <w:t>(a)</w:t>
      </w:r>
      <w:r>
        <w:tab/>
        <w:t>Schedule 1 item 1;</w:t>
      </w:r>
    </w:p>
    <w:p>
      <w:pPr>
        <w:pStyle w:val="Indenta"/>
      </w:pPr>
      <w:r>
        <w:tab/>
        <w:t>(b)</w:t>
      </w:r>
      <w:r>
        <w:tab/>
        <w:t>Schedule 3 item 8;</w:t>
      </w:r>
    </w:p>
    <w:p>
      <w:pPr>
        <w:pStyle w:val="Indenta"/>
      </w:pPr>
      <w:r>
        <w:tab/>
        <w:t>(c)</w:t>
      </w:r>
      <w:r>
        <w:tab/>
        <w:t>Schedule 3 item 10(a); or</w:t>
      </w:r>
    </w:p>
    <w:p>
      <w:pPr>
        <w:pStyle w:val="Indenta"/>
      </w:pPr>
      <w:r>
        <w:tab/>
        <w:t>(d)</w:t>
      </w:r>
      <w:r>
        <w:tab/>
        <w:t>Schedule 4 item 3,</w:t>
      </w:r>
    </w:p>
    <w:p>
      <w:pPr>
        <w:pStyle w:val="Subsection"/>
      </w:pPr>
      <w:r>
        <w:tab/>
      </w:r>
      <w:r>
        <w:tab/>
        <w:t>to these by-laws in respect of a unit in a retirement village and that person is liable on or after 1 July 2005 to pay that charge in respect of that unit, the person is to be allowed a concession in respect of the charge in accordance with sub-bylaw (2).</w:t>
      </w:r>
    </w:p>
    <w:p>
      <w:pPr>
        <w:pStyle w:val="Subsection"/>
        <w:spacing w:before="120"/>
        <w:rPr>
          <w:snapToGrid w:val="0"/>
        </w:rPr>
      </w:pPr>
      <w:r>
        <w:rPr>
          <w:snapToGrid w:val="0"/>
        </w:rPr>
        <w:tab/>
        <w:t>(2)</w:t>
      </w:r>
      <w:r>
        <w:rPr>
          <w:snapToGrid w:val="0"/>
        </w:rPr>
        <w:tab/>
        <w:t>The concession to be allowed under this by</w:t>
      </w:r>
      <w:r>
        <w:rPr>
          <w:snapToGrid w:val="0"/>
        </w:rPr>
        <w:noBreakHyphen/>
        <w:t xml:space="preserve">law in respect of a charge referred to </w:t>
      </w:r>
      <w:r>
        <w:t xml:space="preserve">in sub-bylaw (1a) </w:t>
      </w:r>
      <w:r>
        <w:rPr>
          <w:snapToGrid w:val="0"/>
        </w:rPr>
        <w:t xml:space="preserve">is 25% of the charge, or the amount set out in </w:t>
      </w:r>
      <w:r>
        <w:t xml:space="preserve">Schedule 7 item 4 </w:t>
      </w:r>
      <w:r>
        <w:rPr>
          <w:snapToGrid w:val="0"/>
        </w:rPr>
        <w:t>opposite the particular kind of charge, whichever is the lesser amount.</w:t>
      </w:r>
    </w:p>
    <w:p>
      <w:pPr>
        <w:pStyle w:val="Subsection"/>
        <w:spacing w:before="120"/>
      </w:pPr>
      <w:r>
        <w:rPr>
          <w:snapToGrid w:val="0"/>
        </w:rPr>
        <w:tab/>
        <w:t>(3)</w:t>
      </w:r>
      <w:r>
        <w:rPr>
          <w:snapToGrid w:val="0"/>
        </w:rPr>
        <w:tab/>
        <w:t>In this by</w:t>
      </w:r>
      <w:r>
        <w:rPr>
          <w:snapToGrid w:val="0"/>
        </w:rPr>
        <w:noBreakHyphen/>
        <w:t xml:space="preserve">law, </w:t>
      </w:r>
      <w:r>
        <w:rPr>
          <w:rStyle w:val="CharDefText"/>
          <w:spacing w:val="-4"/>
        </w:rPr>
        <w:t>retirement village</w:t>
      </w:r>
      <w:r>
        <w:t xml:space="preserve"> means a number of units, the residents of which have a right to life tenancy under a lease arrangement, or a similar form of lease, and are predominantly —</w:t>
      </w:r>
    </w:p>
    <w:p>
      <w:pPr>
        <w:pStyle w:val="Indenta"/>
      </w:pPr>
      <w:r>
        <w:tab/>
        <w:t>(a)</w:t>
      </w:r>
      <w:r>
        <w:tab/>
        <w:t>over 55 years old and not in full</w:t>
      </w:r>
      <w:r>
        <w:noBreakHyphen/>
        <w:t>time employment; or</w:t>
      </w:r>
    </w:p>
    <w:p>
      <w:pPr>
        <w:pStyle w:val="Indenta"/>
      </w:pPr>
      <w:r>
        <w:tab/>
        <w:t>(b)</w:t>
      </w:r>
      <w:r>
        <w:tab/>
        <w:t>retired.</w:t>
      </w:r>
    </w:p>
    <w:p>
      <w:pPr>
        <w:pStyle w:val="Footnotesection"/>
      </w:pPr>
      <w:r>
        <w:tab/>
        <w:t>[By</w:t>
      </w:r>
      <w:r>
        <w:noBreakHyphen/>
        <w:t>law 8A inserted in Gazette 29 Jun 1990 p. 3227; amended in Gazette 29 Jun 1999 p. 2790; 29 Jun 2001 p. 3189; 1 Jul 2005 p. 3008-9.]</w:t>
      </w:r>
    </w:p>
    <w:p>
      <w:pPr>
        <w:pStyle w:val="Heading5"/>
      </w:pPr>
      <w:bookmarkStart w:id="101" w:name="_Toc17278657"/>
      <w:bookmarkStart w:id="102" w:name="_Toc180204755"/>
      <w:bookmarkStart w:id="103" w:name="_Toc328471432"/>
      <w:bookmarkStart w:id="104" w:name="_Toc487428950"/>
      <w:r>
        <w:rPr>
          <w:rStyle w:val="CharSectno"/>
        </w:rPr>
        <w:t>8B</w:t>
      </w:r>
      <w:r>
        <w:t>.</w:t>
      </w:r>
      <w:r>
        <w:tab/>
        <w:t>Government trading organisation and non</w:t>
      </w:r>
      <w:r>
        <w:noBreakHyphen/>
        <w:t>commercial Government property</w:t>
      </w:r>
      <w:bookmarkEnd w:id="101"/>
      <w:bookmarkEnd w:id="102"/>
      <w:bookmarkEnd w:id="103"/>
    </w:p>
    <w:p>
      <w:pPr>
        <w:pStyle w:val="Subsection"/>
      </w:pPr>
      <w:r>
        <w:tab/>
      </w:r>
      <w:r>
        <w:tab/>
        <w:t>Where a body holding non</w:t>
      </w:r>
      <w:r>
        <w:noBreakHyphen/>
        <w:t>commercial Government property, or a Government trading organisation is liable to pay a charge, whether in respect of exempt land or otherwise, under —</w:t>
      </w:r>
    </w:p>
    <w:p>
      <w:pPr>
        <w:pStyle w:val="Indenta"/>
      </w:pPr>
      <w:r>
        <w:tab/>
        <w:t>(a)</w:t>
      </w:r>
      <w:r>
        <w:tab/>
        <w:t>Schedule 1 item 3(b) or 10(a) or (b); or</w:t>
      </w:r>
    </w:p>
    <w:p>
      <w:pPr>
        <w:pStyle w:val="Indenta"/>
      </w:pPr>
      <w:r>
        <w:tab/>
        <w:t>(b)</w:t>
      </w:r>
      <w:r>
        <w:tab/>
        <w:t>Schedule 1 item 25 or 27(a) or (f); or</w:t>
      </w:r>
    </w:p>
    <w:p>
      <w:pPr>
        <w:pStyle w:val="Indenta"/>
        <w:keepNext/>
        <w:keepLines/>
      </w:pPr>
      <w:r>
        <w:tab/>
        <w:t>(c)</w:t>
      </w:r>
      <w:r>
        <w:tab/>
        <w:t>Schedule 1 item 33,</w:t>
      </w:r>
    </w:p>
    <w:p>
      <w:pPr>
        <w:pStyle w:val="Subsection"/>
      </w:pPr>
      <w:r>
        <w:tab/>
      </w:r>
      <w:r>
        <w:tab/>
        <w:t>for each water service provided to property held by that body or organisation, with the exception of services that are provided exclusively for fire fighting purposes and charged as such, and used for commercial (other than community</w:t>
      </w:r>
      <w:r>
        <w:noBreakHyphen/>
        <w:t>related or charitable) purposes, the body or organisation is instead to pay the appropriate charge set out in Schedule 8.</w:t>
      </w:r>
    </w:p>
    <w:p>
      <w:pPr>
        <w:pStyle w:val="Footnotesection"/>
      </w:pPr>
      <w:r>
        <w:tab/>
        <w:t>[By-law 8B inserted in Gazette 29 Jun 2001 p. 3189; amended in Gazette 29 Jun 2007 p. 3246; 27 Jun 2008 p. 2984</w:t>
      </w:r>
      <w:r>
        <w:noBreakHyphen/>
        <w:t>5; 19 Jun 2009 p. 2322.]</w:t>
      </w:r>
    </w:p>
    <w:p>
      <w:pPr>
        <w:pStyle w:val="Heading5"/>
        <w:rPr>
          <w:snapToGrid w:val="0"/>
        </w:rPr>
      </w:pPr>
      <w:bookmarkStart w:id="105" w:name="_Toc17278658"/>
      <w:bookmarkStart w:id="106" w:name="_Toc180204756"/>
      <w:bookmarkStart w:id="107" w:name="_Toc328471433"/>
      <w:r>
        <w:rPr>
          <w:rStyle w:val="CharSectno"/>
        </w:rPr>
        <w:t>8BA</w:t>
      </w:r>
      <w:r>
        <w:rPr>
          <w:snapToGrid w:val="0"/>
        </w:rPr>
        <w:t>.</w:t>
      </w:r>
      <w:r>
        <w:rPr>
          <w:snapToGrid w:val="0"/>
        </w:rPr>
        <w:tab/>
        <w:t>Annual charges to Government trading organisations that supply water to lessees or ships</w:t>
      </w:r>
      <w:bookmarkEnd w:id="104"/>
      <w:bookmarkEnd w:id="105"/>
      <w:bookmarkEnd w:id="106"/>
      <w:bookmarkEnd w:id="107"/>
    </w:p>
    <w:p>
      <w:pPr>
        <w:pStyle w:val="Subsection"/>
        <w:rPr>
          <w:snapToGrid w:val="0"/>
        </w:rPr>
      </w:pPr>
      <w:r>
        <w:rPr>
          <w:snapToGrid w:val="0"/>
        </w:rPr>
        <w:tab/>
        <w:t>(1)</w:t>
      </w:r>
      <w:r>
        <w:rPr>
          <w:snapToGrid w:val="0"/>
        </w:rPr>
        <w:tab/>
        <w:t>Where a Government trading organisation —</w:t>
      </w:r>
    </w:p>
    <w:p>
      <w:pPr>
        <w:pStyle w:val="Indenta"/>
        <w:rPr>
          <w:snapToGrid w:val="0"/>
        </w:rPr>
      </w:pPr>
      <w:r>
        <w:rPr>
          <w:snapToGrid w:val="0"/>
        </w:rPr>
        <w:tab/>
        <w:t>(a)</w:t>
      </w:r>
      <w:r>
        <w:rPr>
          <w:snapToGrid w:val="0"/>
        </w:rPr>
        <w:tab/>
        <w:t>holds land that is provided with a water supply by the Corporation; and</w:t>
      </w:r>
    </w:p>
    <w:p>
      <w:pPr>
        <w:pStyle w:val="Indenta"/>
        <w:keepNext/>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land; or</w:t>
      </w:r>
    </w:p>
    <w:p>
      <w:pPr>
        <w:pStyle w:val="Indenti"/>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Government trading organisation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(2)</w:t>
      </w:r>
      <w:r>
        <w:rPr>
          <w:snapToGrid w:val="0"/>
        </w:rPr>
        <w:tab/>
        <w:t>Sub</w:t>
      </w:r>
      <w:r>
        <w:rPr>
          <w:snapToGrid w:val="0"/>
        </w:rPr>
        <w:noBreakHyphen/>
        <w:t>bylaw (1) does not apply where the meter required by the Government trading organisation for its water supply would be the same for size whether or not it supplied water as described in sub</w:t>
      </w:r>
      <w:r>
        <w:rPr>
          <w:snapToGrid w:val="0"/>
        </w:rPr>
        <w:noBreakHyphen/>
        <w:t>bylaw (1)(b).</w:t>
      </w:r>
    </w:p>
    <w:p>
      <w:pPr>
        <w:pStyle w:val="Subsection"/>
        <w:spacing w:before="100"/>
        <w:rPr>
          <w:snapToGrid w:val="0"/>
        </w:rPr>
      </w:pPr>
      <w:r>
        <w:rPr>
          <w:snapToGrid w:val="0"/>
        </w:rPr>
        <w:tab/>
        <w:t>(3)</w:t>
      </w:r>
      <w:r>
        <w:rPr>
          <w:snapToGrid w:val="0"/>
        </w:rPr>
        <w:tab/>
        <w:t>Where a body —</w:t>
      </w:r>
    </w:p>
    <w:p>
      <w:pPr>
        <w:pStyle w:val="Indenta"/>
        <w:rPr>
          <w:snapToGrid w:val="0"/>
        </w:rPr>
      </w:pPr>
      <w:r>
        <w:rPr>
          <w:snapToGrid w:val="0"/>
        </w:rPr>
        <w:tab/>
        <w:t>(a)</w:t>
      </w:r>
      <w:r>
        <w:rPr>
          <w:snapToGrid w:val="0"/>
        </w:rPr>
        <w:tab/>
        <w:t>holds non</w:t>
      </w:r>
      <w:r>
        <w:rPr>
          <w:snapToGrid w:val="0"/>
        </w:rPr>
        <w:noBreakHyphen/>
        <w:t>commercial Government property that is provided with a water supply by the Corporation; and</w:t>
      </w:r>
    </w:p>
    <w:p>
      <w:pPr>
        <w:pStyle w:val="Indenta"/>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property; or</w:t>
      </w:r>
    </w:p>
    <w:p>
      <w:pPr>
        <w:pStyle w:val="Indenti"/>
        <w:keepNext/>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body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(4)</w:t>
      </w:r>
      <w:r>
        <w:rPr>
          <w:snapToGrid w:val="0"/>
        </w:rPr>
        <w:tab/>
        <w:t>Sub</w:t>
      </w:r>
      <w:r>
        <w:rPr>
          <w:snapToGrid w:val="0"/>
        </w:rPr>
        <w:noBreakHyphen/>
        <w:t>bylaw (3) does not apply where the meter required by the body holding the non</w:t>
      </w:r>
      <w:r>
        <w:rPr>
          <w:snapToGrid w:val="0"/>
        </w:rPr>
        <w:noBreakHyphen/>
        <w:t>commercial Government property for its water supply would be the same size whether or not it supplied water as described in sub</w:t>
      </w:r>
      <w:r>
        <w:rPr>
          <w:snapToGrid w:val="0"/>
        </w:rPr>
        <w:noBreakHyphen/>
        <w:t>bylaw (3)(b).</w:t>
      </w:r>
    </w:p>
    <w:p>
      <w:pPr>
        <w:pStyle w:val="Footnotesection"/>
      </w:pPr>
      <w:r>
        <w:tab/>
        <w:t>[By</w:t>
      </w:r>
      <w:r>
        <w:noBreakHyphen/>
        <w:t>law 8BA inserted in Gazette 1 May 1992 p. 1864; amended in Gazette 29 Jun 1994 p. 3172; 29 Dec 1995 p. 6331; 29 Jun 2001 p. 3189</w:t>
      </w:r>
      <w:r>
        <w:noBreakHyphen/>
        <w:t>90.]</w:t>
      </w:r>
    </w:p>
    <w:p>
      <w:pPr>
        <w:pStyle w:val="Ednotesection"/>
      </w:pPr>
      <w:r>
        <w:t>[</w:t>
      </w:r>
      <w:r>
        <w:rPr>
          <w:b/>
        </w:rPr>
        <w:t>8C.</w:t>
      </w:r>
      <w:r>
        <w:tab/>
        <w:t>Deleted in Gazette 30 Jun 1995 p. 2735.]</w:t>
      </w:r>
    </w:p>
    <w:p>
      <w:pPr>
        <w:pStyle w:val="Heading5"/>
        <w:rPr>
          <w:snapToGrid w:val="0"/>
        </w:rPr>
      </w:pPr>
      <w:bookmarkStart w:id="108" w:name="_Toc487428951"/>
      <w:bookmarkStart w:id="109" w:name="_Toc17278659"/>
      <w:bookmarkStart w:id="110" w:name="_Toc180204757"/>
      <w:bookmarkStart w:id="111" w:name="_Toc328471434"/>
      <w:r>
        <w:rPr>
          <w:rStyle w:val="CharSectno"/>
        </w:rPr>
        <w:t>9</w:t>
      </w:r>
      <w:r>
        <w:rPr>
          <w:snapToGrid w:val="0"/>
        </w:rPr>
        <w:t>.</w:t>
      </w:r>
      <w:r>
        <w:rPr>
          <w:snapToGrid w:val="0"/>
        </w:rPr>
        <w:tab/>
        <w:t>Interest on overdue amounts</w:t>
      </w:r>
      <w:bookmarkEnd w:id="108"/>
      <w:bookmarkEnd w:id="109"/>
      <w:bookmarkEnd w:id="110"/>
      <w:bookmarkEnd w:id="111"/>
    </w:p>
    <w:p>
      <w:pPr>
        <w:pStyle w:val="Subsection"/>
        <w:rPr>
          <w:snapToGrid w:val="0"/>
        </w:rPr>
      </w:pPr>
      <w:r>
        <w:rPr>
          <w:snapToGrid w:val="0"/>
        </w:rPr>
        <w:tab/>
        <w:t>(1)</w:t>
      </w:r>
      <w:r>
        <w:rPr>
          <w:snapToGrid w:val="0"/>
        </w:rPr>
        <w:tab/>
        <w:t xml:space="preserve">For the purposes of section 41L, the time from which interest shall be calculated on overdue amounts is one day after the amount was due and payable, and interest shall be calculated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Subsection"/>
        <w:rPr>
          <w:snapToGrid w:val="0"/>
        </w:rPr>
      </w:pPr>
      <w:r>
        <w:rPr>
          <w:snapToGrid w:val="0"/>
        </w:rPr>
        <w:tab/>
        <w:t>(2)</w:t>
      </w:r>
      <w:r>
        <w:rPr>
          <w:snapToGrid w:val="0"/>
        </w:rPr>
        <w:tab/>
        <w:t xml:space="preserve">For the purposes of section 100B of the </w:t>
      </w:r>
      <w:r>
        <w:rPr>
          <w:i/>
          <w:snapToGrid w:val="0"/>
        </w:rPr>
        <w:t>Land Drainage Act 1925</w:t>
      </w:r>
      <w:r>
        <w:rPr>
          <w:snapToGrid w:val="0"/>
        </w:rPr>
        <w:t xml:space="preserve">, the period after which interest is payable is prescribed to be one day and interest is prescribed to be payable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Footnotesection"/>
      </w:pPr>
      <w:r>
        <w:tab/>
        <w:t>[By</w:t>
      </w:r>
      <w:r>
        <w:noBreakHyphen/>
        <w:t>law 9 amended in Gazette 26 Jun 1992 p. 2813; 24 Jul 1992 p. 3661; 9 Apr 1998 p. 2035; 29 Jun 2001 p. 3190.]</w:t>
      </w:r>
    </w:p>
    <w:p>
      <w:pPr>
        <w:pStyle w:val="Heading5"/>
        <w:rPr>
          <w:snapToGrid w:val="0"/>
        </w:rPr>
      </w:pPr>
      <w:bookmarkStart w:id="112" w:name="_Toc487428952"/>
      <w:bookmarkStart w:id="113" w:name="_Toc17278660"/>
      <w:bookmarkStart w:id="114" w:name="_Toc180204758"/>
      <w:bookmarkStart w:id="115" w:name="_Toc328471435"/>
      <w:r>
        <w:rPr>
          <w:rStyle w:val="CharSectno"/>
        </w:rPr>
        <w:t>9A</w:t>
      </w:r>
      <w:r>
        <w:rPr>
          <w:snapToGrid w:val="0"/>
        </w:rPr>
        <w:t>.</w:t>
      </w:r>
      <w:r>
        <w:rPr>
          <w:snapToGrid w:val="0"/>
        </w:rPr>
        <w:tab/>
        <w:t>Amounts rounded</w:t>
      </w:r>
      <w:bookmarkEnd w:id="112"/>
      <w:bookmarkEnd w:id="113"/>
      <w:bookmarkEnd w:id="114"/>
      <w:bookmarkEnd w:id="115"/>
    </w:p>
    <w:p>
      <w:pPr>
        <w:pStyle w:val="Subsection"/>
        <w:keepNext/>
        <w:keepLines/>
        <w:rPr>
          <w:snapToGrid w:val="0"/>
        </w:rPr>
      </w:pPr>
      <w:r>
        <w:rPr>
          <w:snapToGrid w:val="0"/>
        </w:rPr>
        <w:tab/>
      </w:r>
      <w:r>
        <w:rPr>
          <w:snapToGrid w:val="0"/>
        </w:rPr>
        <w:tab/>
        <w:t>Where a fee or charge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pPr>
      <w:r>
        <w:tab/>
        <w:t>[By</w:t>
      </w:r>
      <w:r>
        <w:noBreakHyphen/>
        <w:t>law 9A inserted in Gazette 26 Jun 1992 p. 2813.]</w:t>
      </w:r>
    </w:p>
    <w:p>
      <w:pPr>
        <w:pStyle w:val="Heading5"/>
      </w:pPr>
      <w:bookmarkStart w:id="116" w:name="_Toc328471436"/>
      <w:bookmarkStart w:id="117" w:name="_Toc91580413"/>
      <w:bookmarkStart w:id="118" w:name="_Toc103667098"/>
      <w:bookmarkStart w:id="119" w:name="_Toc103741617"/>
      <w:bookmarkStart w:id="120" w:name="_Toc107981860"/>
      <w:bookmarkStart w:id="121" w:name="_Toc118800027"/>
      <w:bookmarkStart w:id="122" w:name="_Toc118860035"/>
      <w:bookmarkStart w:id="123" w:name="_Toc121545535"/>
      <w:bookmarkStart w:id="124" w:name="_Toc121801058"/>
      <w:bookmarkStart w:id="125" w:name="_Toc121818171"/>
      <w:bookmarkStart w:id="126" w:name="_Toc121880781"/>
      <w:bookmarkStart w:id="127" w:name="_Toc129481852"/>
      <w:bookmarkStart w:id="128" w:name="_Toc130095221"/>
      <w:bookmarkStart w:id="129" w:name="_Toc130273285"/>
      <w:bookmarkStart w:id="130" w:name="_Toc139770958"/>
      <w:bookmarkStart w:id="131" w:name="_Toc139771336"/>
      <w:bookmarkStart w:id="132" w:name="_Toc151191551"/>
      <w:bookmarkStart w:id="133" w:name="_Toc151260444"/>
      <w:bookmarkStart w:id="134" w:name="_Toc164158549"/>
      <w:bookmarkStart w:id="135" w:name="_Toc164220921"/>
      <w:bookmarkStart w:id="136" w:name="_Toc170878880"/>
      <w:bookmarkStart w:id="137" w:name="_Toc170894633"/>
      <w:bookmarkStart w:id="138" w:name="_Toc175712599"/>
      <w:bookmarkStart w:id="139" w:name="_Toc175970540"/>
      <w:bookmarkStart w:id="140" w:name="_Toc176335259"/>
      <w:bookmarkStart w:id="141" w:name="_Toc176338834"/>
      <w:bookmarkStart w:id="142" w:name="_Toc178742859"/>
      <w:bookmarkStart w:id="143" w:name="_Toc179363282"/>
      <w:bookmarkStart w:id="144" w:name="_Toc179604351"/>
      <w:bookmarkStart w:id="145" w:name="_Toc180204544"/>
      <w:bookmarkStart w:id="146" w:name="_Toc180204760"/>
      <w:bookmarkStart w:id="147" w:name="_Toc185844505"/>
      <w:bookmarkStart w:id="148" w:name="_Toc185845125"/>
      <w:bookmarkStart w:id="149" w:name="_Toc185927090"/>
      <w:bookmarkStart w:id="150" w:name="_Toc202505838"/>
      <w:bookmarkStart w:id="151" w:name="_Toc202672623"/>
      <w:bookmarkStart w:id="152" w:name="_Toc202691714"/>
      <w:bookmarkStart w:id="153" w:name="_Toc233448336"/>
      <w:bookmarkStart w:id="154" w:name="_Toc233611650"/>
      <w:bookmarkStart w:id="155" w:name="_Toc234730657"/>
      <w:bookmarkStart w:id="156" w:name="_Toc234733183"/>
      <w:bookmarkStart w:id="157" w:name="_Toc235863920"/>
      <w:bookmarkStart w:id="158" w:name="_Toc235933395"/>
      <w:bookmarkStart w:id="159" w:name="_Toc237164383"/>
      <w:bookmarkStart w:id="160" w:name="_Toc237244266"/>
      <w:bookmarkStart w:id="161" w:name="_Toc237245567"/>
      <w:bookmarkStart w:id="162" w:name="_Toc237245698"/>
      <w:bookmarkStart w:id="163" w:name="_Toc237247806"/>
      <w:bookmarkStart w:id="164" w:name="_Toc237254109"/>
      <w:bookmarkStart w:id="165" w:name="_Toc237309528"/>
      <w:r>
        <w:rPr>
          <w:rStyle w:val="CharSectno"/>
        </w:rPr>
        <w:t>9B</w:t>
      </w:r>
      <w:r>
        <w:t>.</w:t>
      </w:r>
      <w:r>
        <w:tab/>
        <w:t>Calculations, including maxima, for various GRV based charges</w:t>
      </w:r>
      <w:bookmarkEnd w:id="116"/>
    </w:p>
    <w:p>
      <w:pPr>
        <w:pStyle w:val="Subsection"/>
      </w:pPr>
      <w:r>
        <w:tab/>
        <w:t>(1)</w:t>
      </w:r>
      <w:r>
        <w:tab/>
        <w:t>Where a charge that is determined by reference to the GRV of the relevant land under Schedule 3 item 8 or 10, or Schedule 4 item 5, for the current year, is more than 13.6% greater than the charge calculated for the same service (and under the same circumstances) in the previous year, the charge is only payable up to that 13.6% increase.</w:t>
      </w:r>
    </w:p>
    <w:p>
      <w:pPr>
        <w:pStyle w:val="Subsection"/>
      </w:pPr>
      <w:r>
        <w:tab/>
        <w:t>(2)</w:t>
      </w:r>
      <w:r>
        <w:tab/>
        <w:t>Where a charge that is determined by reference to the GRV of the relevant land under Schedule 4 item 3 or 4, for the current year, is more than $25.00 greater than the charge calculated for the same service (and under the same circumstances) in the previous year, the charge is only payable up to that $25.00 increase per residential unit in the case of residential land, or per lot in the case of vacant land.</w:t>
      </w:r>
    </w:p>
    <w:p>
      <w:pPr>
        <w:pStyle w:val="Subsection"/>
      </w:pPr>
      <w:r>
        <w:tab/>
        <w:t>(3)</w:t>
      </w:r>
      <w:r>
        <w:tab/>
        <w:t xml:space="preserve">Where, for a portion of the current year (the </w:t>
      </w:r>
      <w:r>
        <w:rPr>
          <w:rStyle w:val="CharDefText"/>
        </w:rPr>
        <w:t>part year</w:t>
      </w:r>
      <w:r>
        <w:t xml:space="preserve">), in respect of property subject to a charge that is determined by reference to the GRV of the relevant land under Schedule 3 item 8 or 10, or Schedule 4 item 3, 4 or 5, there is a change in the circumstances that affects the method of calculating the charge for that property, the charge payable for the part year is to be determined as follows — </w:t>
      </w:r>
    </w:p>
    <w:p>
      <w:pPr>
        <w:pStyle w:val="Indenta"/>
      </w:pPr>
      <w:r>
        <w:tab/>
        <w:t>(a)</w:t>
      </w:r>
      <w:r>
        <w:tab/>
        <w:t>the charge is to be determined for the whole of the current year on the basis of the changed circumstances;</w:t>
      </w:r>
    </w:p>
    <w:p>
      <w:pPr>
        <w:pStyle w:val="Indenta"/>
      </w:pPr>
      <w:r>
        <w:tab/>
        <w:t>(b)</w:t>
      </w:r>
      <w:r>
        <w:tab/>
        <w:t>the Corporation may estimate a notional charge for the previous year in respect of that property, being the charge that would have been payable for that year if the matters and circumstances currently prevailing had prevailed for the whole of that year;</w:t>
      </w:r>
    </w:p>
    <w:p>
      <w:pPr>
        <w:pStyle w:val="Indenta"/>
      </w:pPr>
      <w:r>
        <w:tab/>
        <w:t>(c)</w:t>
      </w:r>
      <w:r>
        <w:tab/>
        <w:t>the charge determined in accordance with paragraph (a) is to be limited (where relevant) in accordance with sub</w:t>
      </w:r>
      <w:r>
        <w:noBreakHyphen/>
        <w:t>bylaw (1) or (2) (whichever is relevant), using the notional charge estimated in accordance with paragraph (b);</w:t>
      </w:r>
    </w:p>
    <w:p>
      <w:pPr>
        <w:pStyle w:val="Indenta"/>
      </w:pPr>
      <w:r>
        <w:tab/>
        <w:t>(d)</w:t>
      </w:r>
      <w:r>
        <w:tab/>
        <w:t>the charge determined in accordance with paragraph (a) (as limited in accordance with paragraph (c) where relevant) is to be reduced by the same proportion that the part year bears to the whole of the current year.</w:t>
      </w:r>
    </w:p>
    <w:p>
      <w:pPr>
        <w:pStyle w:val="Footnotesection"/>
      </w:pPr>
      <w:r>
        <w:tab/>
        <w:t>[By-law 9B inserted in Gazette 25 Jun 2010 p. 2901</w:t>
      </w:r>
      <w:r>
        <w:noBreakHyphen/>
        <w:t>3; amended in Gazette 23 Jun 2011 p. 2417; 20 Jun 2012 p. 2697.]</w:t>
      </w:r>
    </w:p>
    <w:p>
      <w:pPr>
        <w:pStyle w:val="Heading2"/>
      </w:pPr>
      <w:bookmarkStart w:id="166" w:name="_Toc265743467"/>
      <w:bookmarkStart w:id="167" w:name="_Toc297540725"/>
      <w:bookmarkStart w:id="168" w:name="_Toc297541153"/>
      <w:bookmarkStart w:id="169" w:name="_Toc328403388"/>
      <w:bookmarkStart w:id="170" w:name="_Toc328471437"/>
      <w:r>
        <w:rPr>
          <w:rStyle w:val="CharPartNo"/>
        </w:rPr>
        <w:t>Part 2</w:t>
      </w:r>
      <w:r>
        <w:t> — </w:t>
      </w:r>
      <w:r>
        <w:rPr>
          <w:rStyle w:val="CharPartText"/>
        </w:rPr>
        <w:t>Water supply</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Heading3"/>
        <w:rPr>
          <w:snapToGrid w:val="0"/>
          <w:spacing w:val="-4"/>
        </w:rPr>
      </w:pPr>
      <w:bookmarkStart w:id="171" w:name="_Toc91580414"/>
      <w:bookmarkStart w:id="172" w:name="_Toc103667099"/>
      <w:bookmarkStart w:id="173" w:name="_Toc103741618"/>
      <w:bookmarkStart w:id="174" w:name="_Toc107981861"/>
      <w:bookmarkStart w:id="175" w:name="_Toc118800028"/>
      <w:bookmarkStart w:id="176" w:name="_Toc118860036"/>
      <w:bookmarkStart w:id="177" w:name="_Toc121545536"/>
      <w:bookmarkStart w:id="178" w:name="_Toc121801059"/>
      <w:bookmarkStart w:id="179" w:name="_Toc121818172"/>
      <w:bookmarkStart w:id="180" w:name="_Toc121880782"/>
      <w:bookmarkStart w:id="181" w:name="_Toc129481853"/>
      <w:bookmarkStart w:id="182" w:name="_Toc130095222"/>
      <w:bookmarkStart w:id="183" w:name="_Toc130273286"/>
      <w:bookmarkStart w:id="184" w:name="_Toc139770959"/>
      <w:bookmarkStart w:id="185" w:name="_Toc139771337"/>
      <w:bookmarkStart w:id="186" w:name="_Toc151191552"/>
      <w:bookmarkStart w:id="187" w:name="_Toc151260445"/>
      <w:bookmarkStart w:id="188" w:name="_Toc164158550"/>
      <w:bookmarkStart w:id="189" w:name="_Toc164220922"/>
      <w:bookmarkStart w:id="190" w:name="_Toc170878881"/>
      <w:bookmarkStart w:id="191" w:name="_Toc170894634"/>
      <w:bookmarkStart w:id="192" w:name="_Toc175712600"/>
      <w:bookmarkStart w:id="193" w:name="_Toc175970541"/>
      <w:bookmarkStart w:id="194" w:name="_Toc176335260"/>
      <w:bookmarkStart w:id="195" w:name="_Toc176338835"/>
      <w:bookmarkStart w:id="196" w:name="_Toc178742860"/>
      <w:bookmarkStart w:id="197" w:name="_Toc179363283"/>
      <w:bookmarkStart w:id="198" w:name="_Toc179604352"/>
      <w:bookmarkStart w:id="199" w:name="_Toc180204545"/>
      <w:bookmarkStart w:id="200" w:name="_Toc180204761"/>
      <w:bookmarkStart w:id="201" w:name="_Toc185844506"/>
      <w:bookmarkStart w:id="202" w:name="_Toc185845126"/>
      <w:bookmarkStart w:id="203" w:name="_Toc185927091"/>
      <w:bookmarkStart w:id="204" w:name="_Toc202505839"/>
      <w:bookmarkStart w:id="205" w:name="_Toc202672624"/>
      <w:bookmarkStart w:id="206" w:name="_Toc202691715"/>
      <w:bookmarkStart w:id="207" w:name="_Toc233448337"/>
      <w:bookmarkStart w:id="208" w:name="_Toc233611651"/>
      <w:bookmarkStart w:id="209" w:name="_Toc234730658"/>
      <w:bookmarkStart w:id="210" w:name="_Toc234733184"/>
      <w:bookmarkStart w:id="211" w:name="_Toc235863921"/>
      <w:bookmarkStart w:id="212" w:name="_Toc235933396"/>
      <w:bookmarkStart w:id="213" w:name="_Toc237164384"/>
      <w:bookmarkStart w:id="214" w:name="_Toc237244267"/>
      <w:bookmarkStart w:id="215" w:name="_Toc237245568"/>
      <w:bookmarkStart w:id="216" w:name="_Toc237245699"/>
      <w:bookmarkStart w:id="217" w:name="_Toc237247807"/>
      <w:bookmarkStart w:id="218" w:name="_Toc237254110"/>
      <w:bookmarkStart w:id="219" w:name="_Toc237309529"/>
      <w:bookmarkStart w:id="220" w:name="_Toc265743468"/>
      <w:bookmarkStart w:id="221" w:name="_Toc297540726"/>
      <w:bookmarkStart w:id="222" w:name="_Toc297541154"/>
      <w:bookmarkStart w:id="223" w:name="_Toc328403389"/>
      <w:bookmarkStart w:id="224" w:name="_Toc328471438"/>
      <w:r>
        <w:rPr>
          <w:rStyle w:val="CharDivNo"/>
          <w:spacing w:val="-4"/>
        </w:rPr>
        <w:t>Division 1</w:t>
      </w:r>
      <w:r>
        <w:rPr>
          <w:snapToGrid w:val="0"/>
          <w:spacing w:val="-4"/>
        </w:rPr>
        <w:t> — </w:t>
      </w:r>
      <w:r>
        <w:rPr>
          <w:rStyle w:val="CharDivText"/>
          <w:spacing w:val="-4"/>
        </w:rPr>
        <w:t xml:space="preserve">Water supply other than under </w:t>
      </w:r>
      <w:r>
        <w:rPr>
          <w:rStyle w:val="CharDivText"/>
          <w:i/>
          <w:spacing w:val="-4"/>
        </w:rPr>
        <w:t>Rights in Water and Irrigation Act 1914</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5"/>
        <w:rPr>
          <w:snapToGrid w:val="0"/>
        </w:rPr>
      </w:pPr>
      <w:bookmarkStart w:id="225" w:name="_Toc487428954"/>
      <w:bookmarkStart w:id="226" w:name="_Toc17278662"/>
      <w:bookmarkStart w:id="227" w:name="_Toc180204762"/>
      <w:bookmarkStart w:id="228" w:name="_Toc328471439"/>
      <w:r>
        <w:rPr>
          <w:rStyle w:val="CharSectno"/>
        </w:rPr>
        <w:t>10</w:t>
      </w:r>
      <w:r>
        <w:rPr>
          <w:snapToGrid w:val="0"/>
        </w:rPr>
        <w:t>.</w:t>
      </w:r>
      <w:r>
        <w:rPr>
          <w:snapToGrid w:val="0"/>
        </w:rPr>
        <w:tab/>
        <w:t>Certain matters to be disregarded</w:t>
      </w:r>
      <w:bookmarkEnd w:id="225"/>
      <w:bookmarkEnd w:id="226"/>
      <w:bookmarkEnd w:id="227"/>
      <w:bookmarkEnd w:id="228"/>
    </w:p>
    <w:p>
      <w:pPr>
        <w:pStyle w:val="Subsection"/>
        <w:rPr>
          <w:snapToGrid w:val="0"/>
        </w:rPr>
      </w:pPr>
      <w:r>
        <w:rPr>
          <w:snapToGrid w:val="0"/>
        </w:rPr>
        <w:tab/>
      </w:r>
      <w:r>
        <w:rPr>
          <w:snapToGrid w:val="0"/>
        </w:rPr>
        <w:tab/>
        <w:t xml:space="preserve">For the purposes of applying this Division and Schedule 1 the supply of water, or any other thing done or provided, under the </w:t>
      </w:r>
      <w:r>
        <w:rPr>
          <w:i/>
          <w:snapToGrid w:val="0"/>
        </w:rPr>
        <w:t>Rights in Water and Irrigation Act 1914</w:t>
      </w:r>
      <w:r>
        <w:rPr>
          <w:snapToGrid w:val="0"/>
        </w:rPr>
        <w:t>, or the fact that land is capable of being supplied with water under that Act, shall be disregarded.</w:t>
      </w:r>
    </w:p>
    <w:p>
      <w:pPr>
        <w:pStyle w:val="Footnotesection"/>
      </w:pPr>
      <w:r>
        <w:tab/>
        <w:t>[By</w:t>
      </w:r>
      <w:r>
        <w:noBreakHyphen/>
        <w:t>law 10 amended in Gazette 29 Jun 1999 p. 2791; 29 Jun 2001 p. 3190.]</w:t>
      </w:r>
    </w:p>
    <w:p>
      <w:pPr>
        <w:pStyle w:val="Heading5"/>
        <w:rPr>
          <w:snapToGrid w:val="0"/>
        </w:rPr>
      </w:pPr>
      <w:bookmarkStart w:id="229" w:name="_Toc487428955"/>
      <w:bookmarkStart w:id="230" w:name="_Toc17278663"/>
      <w:bookmarkStart w:id="231" w:name="_Toc180204763"/>
      <w:bookmarkStart w:id="232" w:name="_Toc328471440"/>
      <w:r>
        <w:rPr>
          <w:rStyle w:val="CharSectno"/>
        </w:rPr>
        <w:t>11</w:t>
      </w:r>
      <w:r>
        <w:rPr>
          <w:snapToGrid w:val="0"/>
        </w:rPr>
        <w:t>.</w:t>
      </w:r>
      <w:r>
        <w:rPr>
          <w:snapToGrid w:val="0"/>
        </w:rPr>
        <w:tab/>
        <w:t>Land subject to water supply charges under this Division</w:t>
      </w:r>
      <w:bookmarkEnd w:id="229"/>
      <w:bookmarkEnd w:id="230"/>
      <w:bookmarkEnd w:id="231"/>
      <w:bookmarkEnd w:id="232"/>
    </w:p>
    <w:p>
      <w:pPr>
        <w:pStyle w:val="Subsection"/>
        <w:rPr>
          <w:snapToGrid w:val="0"/>
        </w:rPr>
      </w:pPr>
      <w:r>
        <w:rPr>
          <w:snapToGrid w:val="0"/>
        </w:rPr>
        <w:tab/>
      </w:r>
      <w:r>
        <w:rPr>
          <w:snapToGrid w:val="0"/>
        </w:rPr>
        <w:tab/>
        <w:t xml:space="preserve">Land that is actually supplied or, although not actually supplied, is in the opinion of the Corporation reasonably capable of being supplied with water by the Corporation shall be taken, in accordance with section 41(1)(b) of the </w:t>
      </w:r>
      <w:r>
        <w:rPr>
          <w:i/>
          <w:snapToGrid w:val="0"/>
        </w:rPr>
        <w:t>Water Agencies (Powers) Act 1984</w:t>
      </w:r>
      <w:r>
        <w:rPr>
          <w:snapToGrid w:val="0"/>
        </w:rPr>
        <w:t>, to be land in respect of which the Corporation provides water supply and, subject to by</w:t>
      </w:r>
      <w:r>
        <w:rPr>
          <w:snapToGrid w:val="0"/>
        </w:rPr>
        <w:noBreakHyphen/>
        <w:t>law 12, charges as set out in Schedule 1 shall apply in respect of that land.</w:t>
      </w:r>
    </w:p>
    <w:p>
      <w:pPr>
        <w:pStyle w:val="Footnotesection"/>
      </w:pPr>
      <w:r>
        <w:tab/>
        <w:t>[By</w:t>
      </w:r>
      <w:r>
        <w:noBreakHyphen/>
        <w:t>law 11 amended in Gazette 29 Dec 1995 p. 6331</w:t>
      </w:r>
      <w:r>
        <w:noBreakHyphen/>
        <w:t>2; 29 Jun 1999 p. 2791; 29 Jun 2001 p. 3190.]</w:t>
      </w:r>
    </w:p>
    <w:p>
      <w:pPr>
        <w:pStyle w:val="Heading5"/>
        <w:rPr>
          <w:snapToGrid w:val="0"/>
        </w:rPr>
      </w:pPr>
      <w:bookmarkStart w:id="233" w:name="_Toc487428956"/>
      <w:bookmarkStart w:id="234" w:name="_Toc17278664"/>
      <w:bookmarkStart w:id="235" w:name="_Toc180204764"/>
      <w:bookmarkStart w:id="236" w:name="_Toc328471441"/>
      <w:r>
        <w:rPr>
          <w:rStyle w:val="CharSectno"/>
        </w:rPr>
        <w:t>12</w:t>
      </w:r>
      <w:r>
        <w:rPr>
          <w:snapToGrid w:val="0"/>
        </w:rPr>
        <w:t>.</w:t>
      </w:r>
      <w:r>
        <w:rPr>
          <w:snapToGrid w:val="0"/>
        </w:rPr>
        <w:tab/>
        <w:t>Exempt land</w:t>
      </w:r>
      <w:bookmarkEnd w:id="233"/>
      <w:bookmarkEnd w:id="234"/>
      <w:bookmarkEnd w:id="235"/>
      <w:bookmarkEnd w:id="236"/>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r>
      <w:r>
        <w:rPr>
          <w:rStyle w:val="CharDefText"/>
        </w:rPr>
        <w:t>water supply connection</w:t>
      </w:r>
      <w:r>
        <w:t xml:space="preserve"> does not include a local government standpipe.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land described in by</w:t>
      </w:r>
      <w:r>
        <w:rPr>
          <w:snapToGrid w:val="0"/>
        </w:rPr>
        <w:noBreakHyphen/>
        <w:t>law 4; or</w:t>
      </w:r>
    </w:p>
    <w:p>
      <w:pPr>
        <w:pStyle w:val="Indenta"/>
        <w:rPr>
          <w:snapToGrid w:val="0"/>
        </w:rPr>
      </w:pPr>
      <w:r>
        <w:rPr>
          <w:snapToGrid w:val="0"/>
        </w:rPr>
        <w:tab/>
        <w:t>(b)</w:t>
      </w:r>
      <w:r>
        <w:rPr>
          <w:snapToGrid w:val="0"/>
        </w:rPr>
        <w:tab/>
        <w:t xml:space="preserve">land that is not classified </w:t>
      </w:r>
      <w:r>
        <w:t>capital infrastructure</w:t>
      </w:r>
      <w:r>
        <w:rPr>
          <w:snapToGrid w:val="0"/>
        </w:rPr>
        <w:t xml:space="preserve"> but is reasonably capable of being supplied by the Corporation with water from works provided in relation to land that is so classified,</w:t>
      </w:r>
    </w:p>
    <w:p>
      <w:pPr>
        <w:pStyle w:val="Subsection"/>
        <w:rPr>
          <w:snapToGrid w:val="0"/>
        </w:rPr>
      </w:pPr>
      <w:r>
        <w:rPr>
          <w:snapToGrid w:val="0"/>
        </w:rPr>
        <w:tab/>
      </w:r>
      <w:r>
        <w:rPr>
          <w:snapToGrid w:val="0"/>
        </w:rPr>
        <w:tab/>
        <w:t>is not provided with a water supply connection, the land is exempt from any charge set out in Schedule 1</w:t>
      </w:r>
      <w:r>
        <w:t xml:space="preserve"> to the extent set out in that Schedule</w:t>
      </w:r>
      <w:r>
        <w:rPr>
          <w:snapToGrid w:val="0"/>
        </w:rPr>
        <w:t xml:space="preserve"> other than a charge specifically provided in respect of local government standpipes.</w:t>
      </w:r>
    </w:p>
    <w:p>
      <w:pPr>
        <w:pStyle w:val="Footnotesection"/>
      </w:pPr>
      <w:r>
        <w:tab/>
        <w:t>[By</w:t>
      </w:r>
      <w:r>
        <w:noBreakHyphen/>
        <w:t>law 12 inserted in Gazette 13 May 1997 p. 2352; amended in Gazette 29 Jun 1999 p. 2791; 29 Jun 2001 p. 3190; 29 Jun 2007 p. 3246; 20 Jun 2012 p. 2697.]</w:t>
      </w:r>
    </w:p>
    <w:p>
      <w:pPr>
        <w:pStyle w:val="Heading5"/>
      </w:pPr>
      <w:bookmarkStart w:id="237" w:name="_Toc180204765"/>
      <w:bookmarkStart w:id="238" w:name="_Toc328471442"/>
      <w:r>
        <w:rPr>
          <w:rStyle w:val="CharSectno"/>
        </w:rPr>
        <w:t>13</w:t>
      </w:r>
      <w:r>
        <w:t>.</w:t>
      </w:r>
      <w:r>
        <w:tab/>
        <w:t>Classification of land</w:t>
      </w:r>
      <w:bookmarkEnd w:id="237"/>
      <w:bookmarkEnd w:id="238"/>
    </w:p>
    <w:p>
      <w:pPr>
        <w:pStyle w:val="Subsection"/>
      </w:pPr>
      <w:r>
        <w:tab/>
        <w:t>(1)</w:t>
      </w:r>
      <w:r>
        <w:tab/>
        <w:t>For the purposes of this Division, land may, irrespective of any other classification under these by</w:t>
      </w:r>
      <w:r>
        <w:noBreakHyphen/>
        <w:t xml:space="preserve">laws, be classified by the Corporation as follows — </w:t>
      </w:r>
    </w:p>
    <w:p>
      <w:pPr>
        <w:pStyle w:val="Indenta"/>
      </w:pPr>
      <w:r>
        <w:tab/>
        <w:t>(a)</w:t>
      </w:r>
      <w:r>
        <w:tab/>
        <w:t xml:space="preserve">residential, if the land — </w:t>
      </w:r>
    </w:p>
    <w:p>
      <w:pPr>
        <w:pStyle w:val="Indenti"/>
      </w:pPr>
      <w:r>
        <w:tab/>
        <w:t>(i)</w:t>
      </w:r>
      <w:r>
        <w:tab/>
        <w:t>is used wholly or primarily for the purpose of providing the owner or occupier of the land with a residence for himself, his family or servants, or any of them; and</w:t>
      </w:r>
    </w:p>
    <w:p>
      <w:pPr>
        <w:pStyle w:val="Indenti"/>
      </w:pPr>
      <w:r>
        <w:tab/>
        <w:t>(ii)</w:t>
      </w:r>
      <w:r>
        <w:tab/>
        <w:t>in the opinion of the Corporation, is not used in whole or in part for the purpose of providing holiday accommodation;</w:t>
      </w:r>
    </w:p>
    <w:p>
      <w:pPr>
        <w:pStyle w:val="Indenta"/>
      </w:pPr>
      <w:r>
        <w:tab/>
        <w:t>(b)</w:t>
      </w:r>
      <w:r>
        <w:tab/>
        <w:t>commercial residential, if the land, although not used wholly or primarily for the purpose mentioned in paragraph (a), is used for the purpose while also being used for the purpose of a shop, workshop, office, bakery, surgery or another business purpose;</w:t>
      </w:r>
    </w:p>
    <w:p>
      <w:pPr>
        <w:pStyle w:val="Indenta"/>
      </w:pPr>
      <w:r>
        <w:tab/>
        <w:t>(c)</w:t>
      </w:r>
      <w:r>
        <w:tab/>
        <w:t xml:space="preserve">semi-rural residential, if the land is in the metropolitan area and — </w:t>
      </w:r>
    </w:p>
    <w:p>
      <w:pPr>
        <w:pStyle w:val="Indenti"/>
      </w:pPr>
      <w:r>
        <w:tab/>
        <w:t>(i)</w:t>
      </w:r>
      <w:r>
        <w:tab/>
        <w:t>although not used primarily for the purpose mentioned in paragraph (a), is used for that purpose; and</w:t>
      </w:r>
    </w:p>
    <w:p>
      <w:pPr>
        <w:pStyle w:val="Indenti"/>
      </w:pPr>
      <w:r>
        <w:tab/>
        <w:t>(ii)</w:t>
      </w:r>
      <w:r>
        <w:tab/>
        <w:t>is also used for the purpose of primary production (which includes use for the purpose of a farm, market garden, kennel, plant nursery, orchard, stable, vineyard or other similar purpose),</w:t>
      </w:r>
    </w:p>
    <w:p>
      <w:pPr>
        <w:pStyle w:val="Indenta"/>
      </w:pPr>
      <w:r>
        <w:tab/>
      </w:r>
      <w:r>
        <w:tab/>
        <w:t>and water is used on the land wholly or primarily for the purpose mentioned in paragraph (a);</w:t>
      </w:r>
    </w:p>
    <w:p>
      <w:pPr>
        <w:pStyle w:val="Indenta"/>
      </w:pPr>
      <w:r>
        <w:tab/>
        <w:t>(d)</w:t>
      </w:r>
      <w:r>
        <w:tab/>
        <w:t>non</w:t>
      </w:r>
      <w:r>
        <w:noBreakHyphen/>
        <w:t>residential, if the land is used for business, professional, holiday accommodation, manufacturing, processing or other commercial processes that are not the subject of another class prescribed in this by</w:t>
      </w:r>
      <w:r>
        <w:noBreakHyphen/>
        <w:t>law;</w:t>
      </w:r>
    </w:p>
    <w:p>
      <w:pPr>
        <w:pStyle w:val="Indenta"/>
      </w:pPr>
      <w:r>
        <w:tab/>
        <w:t>(e)</w:t>
      </w:r>
      <w:r>
        <w:tab/>
        <w:t>vacant land, if there is no building on the land and it is not appropriate to otherwise classify the land under this by</w:t>
      </w:r>
      <w:r>
        <w:noBreakHyphen/>
        <w:t>law;</w:t>
      </w:r>
    </w:p>
    <w:p>
      <w:pPr>
        <w:pStyle w:val="Indenta"/>
      </w:pPr>
      <w:r>
        <w:tab/>
        <w:t>(f)</w:t>
      </w:r>
      <w:r>
        <w:tab/>
        <w:t xml:space="preserve">farmland, if the land comes within the definition of </w:t>
      </w:r>
      <w:r>
        <w:rPr>
          <w:b/>
          <w:bCs/>
          <w:i/>
          <w:iCs/>
        </w:rPr>
        <w:t>farm land</w:t>
      </w:r>
      <w:r>
        <w:t xml:space="preserve"> in the </w:t>
      </w:r>
      <w:r>
        <w:rPr>
          <w:i/>
          <w:iCs/>
        </w:rPr>
        <w:t>Country Areas Water Supply Act 1947</w:t>
      </w:r>
      <w:r>
        <w:t xml:space="preserve"> section 5(1) and is within 2.5 kilometres of a main or other pipe from which the Corporation is prepared to supply water to the land;</w:t>
      </w:r>
    </w:p>
    <w:p>
      <w:pPr>
        <w:pStyle w:val="Ednotepara"/>
      </w:pPr>
      <w:r>
        <w:tab/>
        <w:t>[(g)</w:t>
      </w:r>
      <w:r>
        <w:tab/>
        <w:t>deleted]</w:t>
      </w:r>
    </w:p>
    <w:p>
      <w:pPr>
        <w:pStyle w:val="Indenta"/>
      </w:pPr>
      <w:r>
        <w:tab/>
        <w:t>(h)</w:t>
      </w:r>
      <w:r>
        <w:tab/>
        <w:t>local government, if the land is not in the metropolitan area and is used by a local government for business, professional, commercial or office purposes, or as a power station, and the classification of the land is not otherwise specifically provided for in this by</w:t>
      </w:r>
      <w:r>
        <w:noBreakHyphen/>
        <w:t>law;</w:t>
      </w:r>
    </w:p>
    <w:p>
      <w:pPr>
        <w:pStyle w:val="Indenta"/>
      </w:pPr>
      <w:r>
        <w:tab/>
        <w:t>(i)</w:t>
      </w:r>
      <w:r>
        <w:tab/>
        <w:t>mining, if the land is not in the metropolitan area and is used for the purposes of mining;</w:t>
      </w:r>
    </w:p>
    <w:p>
      <w:pPr>
        <w:pStyle w:val="Indenta"/>
      </w:pPr>
      <w:r>
        <w:tab/>
        <w:t>(j)</w:t>
      </w:r>
      <w:r>
        <w:tab/>
        <w:t>institutional public, if the land is not in the metropolitan area and is used for such club, institutional or public purpose as the Corporation approves, not being a purpose otherwise specifically provided for in this by</w:t>
      </w:r>
      <w:r>
        <w:noBreakHyphen/>
        <w:t>law;</w:t>
      </w:r>
    </w:p>
    <w:p>
      <w:pPr>
        <w:pStyle w:val="Indenta"/>
      </w:pPr>
      <w:r>
        <w:tab/>
        <w:t>(k)</w:t>
      </w:r>
      <w:r>
        <w:tab/>
        <w:t>community residential, if the land is occupied as a communal property on which several family units dwell at the same time and is managed by the persons dwelling on the land or a committee of them;</w:t>
      </w:r>
    </w:p>
    <w:p>
      <w:pPr>
        <w:pStyle w:val="Indenta"/>
      </w:pPr>
      <w:r>
        <w:tab/>
        <w:t>(l)</w:t>
      </w:r>
      <w:r>
        <w:tab/>
        <w:t>charitable purposes, if, in the opinion of the Corporation, the land is used for the purpose of —</w:t>
      </w:r>
    </w:p>
    <w:p>
      <w:pPr>
        <w:pStyle w:val="Indenti"/>
      </w:pPr>
      <w:r>
        <w:tab/>
        <w:t>(i)</w:t>
      </w:r>
      <w:r>
        <w:tab/>
        <w:t>providing relief or assistance to sick, aged, disadvantaged, unemployed or young persons; or</w:t>
      </w:r>
    </w:p>
    <w:p>
      <w:pPr>
        <w:pStyle w:val="Indenti"/>
      </w:pPr>
      <w:r>
        <w:tab/>
        <w:t>(ii)</w:t>
      </w:r>
      <w:r>
        <w:tab/>
        <w:t>conducting other activities for the benefit of the public or in the interests of social welfare,</w:t>
      </w:r>
    </w:p>
    <w:p>
      <w:pPr>
        <w:pStyle w:val="Indenta"/>
      </w:pPr>
      <w:r>
        <w:tab/>
      </w:r>
      <w:r>
        <w:tab/>
        <w:t>by a private organisation that is not operated for the purpose of profit or gain to individual members, shareholders or owners;</w:t>
      </w:r>
    </w:p>
    <w:p>
      <w:pPr>
        <w:pStyle w:val="Indenta"/>
      </w:pPr>
      <w:r>
        <w:tab/>
        <w:t>(m)</w:t>
      </w:r>
      <w:r>
        <w:tab/>
        <w:t>aged home, if the land is in the metropolitan area and the classification of the land is not otherwise specifically provided for in this by</w:t>
      </w:r>
      <w:r>
        <w:noBreakHyphen/>
        <w:t>law.</w:t>
      </w:r>
    </w:p>
    <w:p>
      <w:pPr>
        <w:pStyle w:val="Subsection"/>
      </w:pPr>
      <w:r>
        <w:tab/>
        <w:t>(2A)</w:t>
      </w:r>
      <w:r>
        <w:tab/>
        <w:t>For the purposes of this Division, land described in by</w:t>
      </w:r>
      <w:r>
        <w:noBreakHyphen/>
        <w:t xml:space="preserve">law 4 that is — </w:t>
      </w:r>
    </w:p>
    <w:p>
      <w:pPr>
        <w:pStyle w:val="Indenta"/>
      </w:pPr>
      <w:r>
        <w:tab/>
        <w:t>(a)</w:t>
      </w:r>
      <w:r>
        <w:tab/>
        <w:t xml:space="preserve">provided with a water supply connection; and </w:t>
      </w:r>
    </w:p>
    <w:p>
      <w:pPr>
        <w:pStyle w:val="Indenta"/>
      </w:pPr>
      <w:r>
        <w:tab/>
        <w:t>(b)</w:t>
      </w:r>
      <w:r>
        <w:tab/>
        <w:t>not otherwise classified under sub</w:t>
      </w:r>
      <w:r>
        <w:noBreakHyphen/>
        <w:t xml:space="preserve">bylaw (1), </w:t>
      </w:r>
    </w:p>
    <w:p>
      <w:pPr>
        <w:pStyle w:val="Subsection"/>
      </w:pPr>
      <w:r>
        <w:tab/>
      </w:r>
      <w:r>
        <w:tab/>
        <w:t>is classified as community purpose irrespective of any other classification under these by</w:t>
      </w:r>
      <w:r>
        <w:noBreakHyphen/>
        <w:t>laws.</w:t>
      </w:r>
    </w:p>
    <w:p>
      <w:pPr>
        <w:pStyle w:val="Subsection"/>
      </w:pPr>
      <w:r>
        <w:tab/>
        <w:t>(2)</w:t>
      </w:r>
      <w:r>
        <w:tab/>
        <w:t>If land satisfies the criteria set out in sub</w:t>
      </w:r>
      <w:r>
        <w:noBreakHyphen/>
        <w:t>bylaw (1)(a), the land may be classified as residential, notwithstanding that it may also satisfy the criteria set out in sub</w:t>
      </w:r>
      <w:r>
        <w:noBreakHyphen/>
        <w:t>bylaw (1)(l).</w:t>
      </w:r>
    </w:p>
    <w:p>
      <w:pPr>
        <w:pStyle w:val="Subsection"/>
      </w:pPr>
      <w:r>
        <w:tab/>
        <w:t>(3)</w:t>
      </w:r>
      <w:r>
        <w:tab/>
        <w:t>For the purposes of this Division, land may, irrespective of any other classification under sub</w:t>
      </w:r>
      <w:r>
        <w:noBreakHyphen/>
        <w:t>bylaw (1), be classified by the Corporation as capital infrastructure if —</w:t>
      </w:r>
    </w:p>
    <w:p>
      <w:pPr>
        <w:pStyle w:val="Indenta"/>
      </w:pPr>
      <w:r>
        <w:tab/>
        <w:t>(a)</w:t>
      </w:r>
      <w:r>
        <w:tab/>
        <w:t>the Corporation determines that the land is in an area specified in Column 1 of the Table to Schedule 1 item 36; and</w:t>
      </w:r>
    </w:p>
    <w:p>
      <w:pPr>
        <w:pStyle w:val="Indenta"/>
      </w:pPr>
      <w:r>
        <w:tab/>
        <w:t>(b)</w:t>
      </w:r>
      <w:r>
        <w:tab/>
        <w:t>the Corporation provides or is to provide works to ensure the supply of water to the land.</w:t>
      </w:r>
    </w:p>
    <w:p>
      <w:pPr>
        <w:pStyle w:val="Footnotesection"/>
      </w:pPr>
      <w:r>
        <w:tab/>
        <w:t>[By</w:t>
      </w:r>
      <w:r>
        <w:noBreakHyphen/>
        <w:t>law 13 inserted in Gazette 29 Jun 2007 p. 3247</w:t>
      </w:r>
      <w:r>
        <w:noBreakHyphen/>
        <w:t>8; amended in Gazette 19 Jun 2009 p. 2322; 25 Jun 2010 p. 2903; 20 Jun 2012 p. 2697</w:t>
      </w:r>
      <w:r>
        <w:noBreakHyphen/>
        <w:t xml:space="preserve">8.] </w:t>
      </w:r>
    </w:p>
    <w:p>
      <w:pPr>
        <w:pStyle w:val="Ednotesection"/>
      </w:pPr>
      <w:r>
        <w:t>[</w:t>
      </w:r>
      <w:r>
        <w:rPr>
          <w:b/>
        </w:rPr>
        <w:t>13A.</w:t>
      </w:r>
      <w:r>
        <w:tab/>
        <w:t>Deleted in Gazette 29 Jun 1988 p. 2113.]</w:t>
      </w:r>
    </w:p>
    <w:p>
      <w:pPr>
        <w:pStyle w:val="Heading5"/>
        <w:rPr>
          <w:snapToGrid w:val="0"/>
        </w:rPr>
      </w:pPr>
      <w:bookmarkStart w:id="239" w:name="_Toc487428958"/>
      <w:bookmarkStart w:id="240" w:name="_Toc17278666"/>
      <w:bookmarkStart w:id="241" w:name="_Toc180204766"/>
      <w:bookmarkStart w:id="242" w:name="_Toc328471443"/>
      <w:r>
        <w:rPr>
          <w:rStyle w:val="CharSectno"/>
        </w:rPr>
        <w:t>14</w:t>
      </w:r>
      <w:r>
        <w:rPr>
          <w:snapToGrid w:val="0"/>
        </w:rPr>
        <w:t>.</w:t>
      </w:r>
      <w:r>
        <w:rPr>
          <w:snapToGrid w:val="0"/>
        </w:rPr>
        <w:tab/>
        <w:t>Indexation of certain valuations</w:t>
      </w:r>
      <w:bookmarkEnd w:id="239"/>
      <w:bookmarkEnd w:id="240"/>
      <w:bookmarkEnd w:id="241"/>
      <w:bookmarkEnd w:id="242"/>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supply of water under the </w:t>
      </w:r>
      <w:r>
        <w:rPr>
          <w:i/>
          <w:snapToGrid w:val="0"/>
        </w:rPr>
        <w:t>Country Areas Water Supply Act 1947</w:t>
      </w:r>
      <w:r>
        <w:rPr>
          <w:snapToGrid w:val="0"/>
        </w:rPr>
        <w:t xml:space="preserve"> is to be assessed in respect of land by reference to GRV, the GRV for the purposes of assessing that charge shall be an adjusted GRV (</w:t>
      </w:r>
      <w:r>
        <w:rPr>
          <w:rStyle w:val="CharDefText"/>
        </w:rPr>
        <w:t>AGRV</w:t>
      </w:r>
      <w:r>
        <w:rPr>
          <w:snapToGrid w:val="0"/>
        </w:rPr>
        <w:t>) calculated in accordance with the formula in Schedule 6.</w:t>
      </w:r>
    </w:p>
    <w:p>
      <w:pPr>
        <w:pStyle w:val="Footnotesection"/>
      </w:pPr>
      <w:r>
        <w:tab/>
        <w:t>[By</w:t>
      </w:r>
      <w:r>
        <w:noBreakHyphen/>
        <w:t>law 14 amended in Gazette 29 Jun 1999 p. 2791; 29 Jun 2001 p. 3190.]</w:t>
      </w:r>
    </w:p>
    <w:p>
      <w:pPr>
        <w:pStyle w:val="Ednotesection"/>
      </w:pPr>
      <w:r>
        <w:t>[</w:t>
      </w:r>
      <w:r>
        <w:rPr>
          <w:b/>
        </w:rPr>
        <w:t>15.</w:t>
      </w:r>
      <w:r>
        <w:tab/>
        <w:t>Deleted in Gazette 1 Jul 2002 p. 3156.]</w:t>
      </w:r>
    </w:p>
    <w:p>
      <w:pPr>
        <w:pStyle w:val="Heading5"/>
        <w:rPr>
          <w:snapToGrid w:val="0"/>
        </w:rPr>
      </w:pPr>
      <w:bookmarkStart w:id="243" w:name="_Toc487428960"/>
      <w:bookmarkStart w:id="244" w:name="_Toc17278667"/>
      <w:bookmarkStart w:id="245" w:name="_Toc180204767"/>
      <w:bookmarkStart w:id="246" w:name="_Toc328471444"/>
      <w:r>
        <w:rPr>
          <w:rStyle w:val="CharSectno"/>
        </w:rPr>
        <w:t>16</w:t>
      </w:r>
      <w:r>
        <w:rPr>
          <w:snapToGrid w:val="0"/>
        </w:rPr>
        <w:t>.</w:t>
      </w:r>
      <w:r>
        <w:rPr>
          <w:snapToGrid w:val="0"/>
        </w:rPr>
        <w:tab/>
        <w:t>Discrete residential units</w:t>
      </w:r>
      <w:bookmarkEnd w:id="243"/>
      <w:bookmarkEnd w:id="244"/>
      <w:bookmarkEnd w:id="245"/>
      <w:bookmarkEnd w:id="246"/>
    </w:p>
    <w:p>
      <w:pPr>
        <w:pStyle w:val="Subsection"/>
        <w:rPr>
          <w:snapToGrid w:val="0"/>
        </w:rPr>
      </w:pPr>
      <w:r>
        <w:rPr>
          <w:snapToGrid w:val="0"/>
        </w:rPr>
        <w:tab/>
      </w:r>
      <w:r>
        <w:rPr>
          <w:snapToGrid w:val="0"/>
        </w:rPr>
        <w:tab/>
        <w:t xml:space="preserve">In respect of land that is classified as </w:t>
      </w:r>
      <w:r>
        <w:t xml:space="preserve">community residential, </w:t>
      </w:r>
      <w:r>
        <w:rPr>
          <w:snapToGrid w:val="0"/>
        </w:rPr>
        <w:t>the Corporation shall determine by reference to the anticipated water supply requirements, the number of discrete residential units to which that land is in its opinion equivalent and the land shall be regarded as including that number of discrete residential units.</w:t>
      </w:r>
    </w:p>
    <w:p>
      <w:pPr>
        <w:pStyle w:val="Footnotesection"/>
      </w:pPr>
      <w:r>
        <w:tab/>
        <w:t>[By</w:t>
      </w:r>
      <w:r>
        <w:noBreakHyphen/>
        <w:t>law 16 amended in Gazette 29 Dec 1995 p. 6331; 29 Jun 2007 p. 3248; 27 Jun 2008 p. 2985.]</w:t>
      </w:r>
    </w:p>
    <w:p>
      <w:pPr>
        <w:pStyle w:val="Heading5"/>
        <w:spacing w:before="240"/>
        <w:rPr>
          <w:snapToGrid w:val="0"/>
        </w:rPr>
      </w:pPr>
      <w:bookmarkStart w:id="247" w:name="_Toc487428961"/>
      <w:bookmarkStart w:id="248" w:name="_Toc17278668"/>
      <w:bookmarkStart w:id="249" w:name="_Toc180204768"/>
      <w:bookmarkStart w:id="250" w:name="_Toc328471445"/>
      <w:r>
        <w:rPr>
          <w:rStyle w:val="CharSectno"/>
        </w:rPr>
        <w:t>17</w:t>
      </w:r>
      <w:r>
        <w:rPr>
          <w:snapToGrid w:val="0"/>
        </w:rPr>
        <w:t>.</w:t>
      </w:r>
      <w:r>
        <w:rPr>
          <w:snapToGrid w:val="0"/>
        </w:rPr>
        <w:tab/>
        <w:t>Quantity charges for the supply of water</w:t>
      </w:r>
      <w:bookmarkEnd w:id="247"/>
      <w:bookmarkEnd w:id="248"/>
      <w:bookmarkEnd w:id="249"/>
      <w:bookmarkEnd w:id="250"/>
    </w:p>
    <w:p>
      <w:pPr>
        <w:pStyle w:val="Subsection"/>
        <w:rPr>
          <w:snapToGrid w:val="0"/>
        </w:rPr>
      </w:pPr>
      <w:r>
        <w:rPr>
          <w:snapToGrid w:val="0"/>
        </w:rPr>
        <w:tab/>
        <w:t>(1)</w:t>
      </w:r>
      <w:r>
        <w:rPr>
          <w:snapToGrid w:val="0"/>
        </w:rPr>
        <w:tab/>
        <w:t>Except as provided in this by</w:t>
      </w:r>
      <w:r>
        <w:rPr>
          <w:snapToGrid w:val="0"/>
        </w:rPr>
        <w:noBreakHyphen/>
        <w:t>law, the quantity charge payable for the supply of water to a property is an amount calculated under</w:t>
      </w:r>
      <w:r>
        <w:t xml:space="preserve"> Schedule 1 Division 2</w:t>
      </w:r>
      <w:r>
        <w:rPr>
          <w:snapToGrid w:val="0"/>
        </w:rPr>
        <w:t>.</w:t>
      </w:r>
    </w:p>
    <w:p>
      <w:pPr>
        <w:pStyle w:val="Subsection"/>
        <w:rPr>
          <w:snapToGrid w:val="0"/>
        </w:rPr>
      </w:pPr>
      <w:r>
        <w:rPr>
          <w:snapToGrid w:val="0"/>
        </w:rPr>
        <w:tab/>
        <w:t>(2)</w:t>
      </w:r>
      <w:r>
        <w:rPr>
          <w:snapToGrid w:val="0"/>
        </w:rPr>
        <w:tab/>
        <w:t xml:space="preserve">Where </w:t>
      </w:r>
      <w:r>
        <w:t xml:space="preserve">Schedule 1 Division 2 </w:t>
      </w:r>
      <w:r>
        <w:rPr>
          <w:snapToGrid w:val="0"/>
        </w:rPr>
        <w:t>is amended during a charge period the amount payable for the period is to be calculated as if that amendment had not occurred.</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there is a change in the occupation of a property referred to in</w:t>
      </w:r>
      <w:r>
        <w:t xml:space="preserve"> Schedule 1 item 20, 21, 22 or 23</w:t>
      </w:r>
      <w:r>
        <w:rPr>
          <w:snapToGrid w:val="0"/>
        </w:rPr>
        <w:t>; and</w:t>
      </w:r>
    </w:p>
    <w:p>
      <w:pPr>
        <w:pStyle w:val="Indenta"/>
        <w:keepNext/>
        <w:keepLines/>
        <w:spacing w:before="60"/>
        <w:rPr>
          <w:snapToGrid w:val="0"/>
        </w:rPr>
      </w:pPr>
      <w:r>
        <w:rPr>
          <w:snapToGrid w:val="0"/>
        </w:rPr>
        <w:tab/>
        <w:t>(b)</w:t>
      </w:r>
      <w:r>
        <w:rPr>
          <w:snapToGrid w:val="0"/>
        </w:rPr>
        <w:tab/>
        <w:t>within 10 days before or after the change in occupation the new occupier has obtained a special meter reading from the Corporation,</w:t>
      </w:r>
    </w:p>
    <w:p>
      <w:pPr>
        <w:pStyle w:val="Subsection"/>
        <w:rPr>
          <w:snapToGrid w:val="0"/>
        </w:rPr>
      </w:pPr>
      <w:r>
        <w:rPr>
          <w:snapToGrid w:val="0"/>
        </w:rPr>
        <w:tab/>
      </w:r>
      <w:r>
        <w:rPr>
          <w:snapToGrid w:val="0"/>
        </w:rPr>
        <w:tab/>
        <w:t>the quantity charge payable for the supply of water to the property from that day until the end of the consumption year is the sum of all of the amounts calculated in accordance with the formula in Schedule 1</w:t>
      </w:r>
      <w:r>
        <w:t xml:space="preserve"> item 35</w:t>
      </w:r>
      <w:r>
        <w:rPr>
          <w:snapToGrid w:val="0"/>
        </w:rPr>
        <w:t>.</w:t>
      </w:r>
    </w:p>
    <w:p>
      <w:pPr>
        <w:pStyle w:val="Footnotesection"/>
        <w:ind w:left="890" w:hanging="890"/>
      </w:pPr>
      <w:r>
        <w:tab/>
        <w:t>[By</w:t>
      </w:r>
      <w:r>
        <w:noBreakHyphen/>
        <w:t>law 17 inserted in Gazette 6 Jan 1998 p. 40; amended in Gazette 7 May 1999 p. 1859</w:t>
      </w:r>
      <w:r>
        <w:noBreakHyphen/>
        <w:t>60; 29 Jun 1999 p. 2791</w:t>
      </w:r>
      <w:r>
        <w:noBreakHyphen/>
        <w:t>2; 29 Jun 2001 p. 3191; 29 Jun 2007 p. 3248-9.]</w:t>
      </w:r>
    </w:p>
    <w:p>
      <w:pPr>
        <w:pStyle w:val="Heading5"/>
        <w:spacing w:before="240"/>
        <w:rPr>
          <w:snapToGrid w:val="0"/>
        </w:rPr>
      </w:pPr>
      <w:bookmarkStart w:id="251" w:name="_Toc487428962"/>
      <w:bookmarkStart w:id="252" w:name="_Toc17278669"/>
      <w:bookmarkStart w:id="253" w:name="_Toc180204769"/>
      <w:bookmarkStart w:id="254" w:name="_Toc328471446"/>
      <w:r>
        <w:rPr>
          <w:rStyle w:val="CharSectno"/>
        </w:rPr>
        <w:t>17A</w:t>
      </w:r>
      <w:r>
        <w:rPr>
          <w:snapToGrid w:val="0"/>
        </w:rPr>
        <w:t>.</w:t>
      </w:r>
      <w:r>
        <w:rPr>
          <w:snapToGrid w:val="0"/>
        </w:rPr>
        <w:tab/>
        <w:t>Caravan parks</w:t>
      </w:r>
      <w:bookmarkEnd w:id="251"/>
      <w:bookmarkEnd w:id="252"/>
      <w:bookmarkEnd w:id="253"/>
      <w:bookmarkEnd w:id="254"/>
    </w:p>
    <w:p>
      <w:pPr>
        <w:pStyle w:val="Subsection"/>
        <w:rPr>
          <w:snapToGrid w:val="0"/>
        </w:rPr>
      </w:pPr>
      <w:r>
        <w:rPr>
          <w:snapToGrid w:val="0"/>
        </w:rPr>
        <w:tab/>
        <w:t>(1)</w:t>
      </w:r>
      <w:r>
        <w:rPr>
          <w:snapToGrid w:val="0"/>
        </w:rPr>
        <w:tab/>
        <w:t>The charges for water supply to strata titled caravan bays are the annual charge per bay set out in Schedule 1 item 4 together with a quantity charge calculated under by</w:t>
      </w:r>
      <w:r>
        <w:rPr>
          <w:snapToGrid w:val="0"/>
        </w:rPr>
        <w:noBreakHyphen/>
        <w:t>law 17 with the following variations to Schedule 1 —</w:t>
      </w:r>
    </w:p>
    <w:p>
      <w:pPr>
        <w:pStyle w:val="Indenta"/>
        <w:rPr>
          <w:snapToGrid w:val="0"/>
        </w:rPr>
      </w:pPr>
      <w:r>
        <w:rPr>
          <w:snapToGrid w:val="0"/>
        </w:rPr>
        <w:tab/>
        <w:t>(a)</w:t>
      </w:r>
      <w:r>
        <w:rPr>
          <w:snapToGrid w:val="0"/>
        </w:rPr>
        <w:tab/>
        <w:t xml:space="preserve">for bays in the metropolitan area, the first 150 kL of water supplied is charged at the rate for metropolitan residential usage shown in Schedule 1 item 20 and water usage over 150 kL is charged at the maximum rate for metropolitan </w:t>
      </w:r>
      <w:r>
        <w:t>commercial residential usage set out in Schedule 1 item 24(b);</w:t>
      </w:r>
    </w:p>
    <w:p>
      <w:pPr>
        <w:pStyle w:val="Indenta"/>
        <w:rPr>
          <w:snapToGrid w:val="0"/>
        </w:rPr>
      </w:pPr>
      <w:r>
        <w:rPr>
          <w:snapToGrid w:val="0"/>
        </w:rPr>
        <w:tab/>
        <w:t>(b)</w:t>
      </w:r>
      <w:r>
        <w:rPr>
          <w:snapToGrid w:val="0"/>
        </w:rPr>
        <w:tab/>
        <w:t>for bays in the non</w:t>
      </w:r>
      <w:r>
        <w:rPr>
          <w:snapToGrid w:val="0"/>
        </w:rPr>
        <w:noBreakHyphen/>
        <w:t>metropolitan area, the first 150 kL of water supplied is charged at the rate for non</w:t>
      </w:r>
      <w:r>
        <w:rPr>
          <w:snapToGrid w:val="0"/>
        </w:rPr>
        <w:noBreakHyphen/>
        <w:t>metropolitan residential usage shown in</w:t>
      </w:r>
      <w:r>
        <w:t xml:space="preserve"> Schedule 1 item 22</w:t>
      </w:r>
      <w:r>
        <w:rPr>
          <w:snapToGrid w:val="0"/>
        </w:rPr>
        <w:t xml:space="preserve"> </w:t>
      </w:r>
      <w:r>
        <w:t xml:space="preserve">(according to the residential classification of the town/area set out in Schedule 10) </w:t>
      </w:r>
      <w:r>
        <w:rPr>
          <w:snapToGrid w:val="0"/>
        </w:rPr>
        <w:t>and water usage over 150 kL is charged at the maximum rate for non</w:t>
      </w:r>
      <w:r>
        <w:rPr>
          <w:snapToGrid w:val="0"/>
        </w:rPr>
        <w:noBreakHyphen/>
        <w:t>metropolitan</w:t>
      </w:r>
      <w:r>
        <w:t xml:space="preserve"> commercial residential usage set out in Schedule 1 item 27(g) (according to the non</w:t>
      </w:r>
      <w:r>
        <w:noBreakHyphen/>
        <w:t>residential classification of the town/area set out in Schedule 10).</w:t>
      </w:r>
    </w:p>
    <w:p>
      <w:pPr>
        <w:pStyle w:val="Subsection"/>
        <w:keepNext/>
        <w:keepLines/>
        <w:rPr>
          <w:snapToGrid w:val="0"/>
        </w:rPr>
      </w:pPr>
      <w:r>
        <w:rPr>
          <w:snapToGrid w:val="0"/>
        </w:rPr>
        <w:tab/>
        <w:t>(2)</w:t>
      </w:r>
      <w:r>
        <w:rPr>
          <w:snapToGrid w:val="0"/>
        </w:rPr>
        <w:tab/>
        <w:t>Subject to sub</w:t>
      </w:r>
      <w:r>
        <w:rPr>
          <w:snapToGrid w:val="0"/>
        </w:rPr>
        <w:noBreakHyphen/>
        <w:t>bylaw (3), the charges for water supply to a commercial caravan park are calculated in the same manner as for other commercial properties, i.e. —</w:t>
      </w:r>
    </w:p>
    <w:p>
      <w:pPr>
        <w:pStyle w:val="Indenta"/>
        <w:spacing w:before="60"/>
        <w:rPr>
          <w:snapToGrid w:val="0"/>
        </w:rPr>
      </w:pPr>
      <w:r>
        <w:rPr>
          <w:snapToGrid w:val="0"/>
        </w:rPr>
        <w:tab/>
        <w:t>(a)</w:t>
      </w:r>
      <w:r>
        <w:rPr>
          <w:snapToGrid w:val="0"/>
        </w:rPr>
        <w:tab/>
        <w:t>for bays in the metropolitan area, the metropolitan non</w:t>
      </w:r>
      <w:r>
        <w:rPr>
          <w:snapToGrid w:val="0"/>
        </w:rPr>
        <w:noBreakHyphen/>
        <w:t>residential meter</w:t>
      </w:r>
      <w:r>
        <w:rPr>
          <w:snapToGrid w:val="0"/>
        </w:rPr>
        <w:noBreakHyphen/>
        <w:t xml:space="preserve">based charge set out in </w:t>
      </w:r>
      <w:r>
        <w:t>Schedule 1 item 17</w:t>
      </w:r>
      <w:r>
        <w:rPr>
          <w:snapToGrid w:val="0"/>
        </w:rPr>
        <w:t>, together with the metropolitan non</w:t>
      </w:r>
      <w:r>
        <w:rPr>
          <w:snapToGrid w:val="0"/>
        </w:rPr>
        <w:noBreakHyphen/>
        <w:t>residential quantity charge calculated under by</w:t>
      </w:r>
      <w:r>
        <w:rPr>
          <w:snapToGrid w:val="0"/>
        </w:rPr>
        <w:noBreakHyphen/>
        <w:t>law 17 and</w:t>
      </w:r>
      <w:r>
        <w:t xml:space="preserve"> Schedule 1 item 24(a)</w:t>
      </w:r>
      <w:r>
        <w:rPr>
          <w:snapToGrid w:val="0"/>
        </w:rPr>
        <w:t>;</w:t>
      </w:r>
    </w:p>
    <w:p>
      <w:pPr>
        <w:pStyle w:val="Indenta"/>
        <w:spacing w:before="60"/>
        <w:rPr>
          <w:snapToGrid w:val="0"/>
        </w:rPr>
      </w:pPr>
      <w:r>
        <w:rPr>
          <w:snapToGrid w:val="0"/>
        </w:rPr>
        <w:tab/>
        <w:t>(b)</w:t>
      </w:r>
      <w:r>
        <w:rPr>
          <w:snapToGrid w:val="0"/>
        </w:rPr>
        <w:tab/>
        <w:t>for bays in the non</w:t>
      </w:r>
      <w:r>
        <w:rPr>
          <w:snapToGrid w:val="0"/>
        </w:rPr>
        <w:noBreakHyphen/>
        <w:t>metropolitan area, the non</w:t>
      </w:r>
      <w:r>
        <w:rPr>
          <w:snapToGrid w:val="0"/>
        </w:rPr>
        <w:noBreakHyphen/>
        <w:t>metropolitan non</w:t>
      </w:r>
      <w:r>
        <w:rPr>
          <w:snapToGrid w:val="0"/>
        </w:rPr>
        <w:noBreakHyphen/>
        <w:t>residential meter</w:t>
      </w:r>
      <w:r>
        <w:rPr>
          <w:snapToGrid w:val="0"/>
        </w:rPr>
        <w:noBreakHyphen/>
        <w:t xml:space="preserve">based charge set out in </w:t>
      </w:r>
      <w:r>
        <w:t>Schedule 1 item 10(c)</w:t>
      </w:r>
      <w:r>
        <w:rPr>
          <w:snapToGrid w:val="0"/>
        </w:rPr>
        <w:t>, together with the non</w:t>
      </w:r>
      <w:r>
        <w:rPr>
          <w:snapToGrid w:val="0"/>
        </w:rPr>
        <w:noBreakHyphen/>
        <w:t>metropolitan non</w:t>
      </w:r>
      <w:r>
        <w:rPr>
          <w:snapToGrid w:val="0"/>
        </w:rPr>
        <w:noBreakHyphen/>
        <w:t>residential quantity charge calculated under by</w:t>
      </w:r>
      <w:r>
        <w:rPr>
          <w:snapToGrid w:val="0"/>
        </w:rPr>
        <w:noBreakHyphen/>
        <w:t xml:space="preserve">law 17 and </w:t>
      </w:r>
      <w:r>
        <w:t>Schedule 1 item 27(b) (according to the non</w:t>
      </w:r>
      <w:r>
        <w:noBreakHyphen/>
        <w:t>residential classification of the town/area set out in Schedule 10)</w:t>
      </w:r>
      <w:r>
        <w:rPr>
          <w:snapToGrid w:val="0"/>
        </w:rPr>
        <w:t>.</w:t>
      </w:r>
    </w:p>
    <w:p>
      <w:pPr>
        <w:pStyle w:val="Subsection"/>
        <w:spacing w:before="100"/>
        <w:rPr>
          <w:snapToGrid w:val="0"/>
        </w:rPr>
      </w:pPr>
      <w:r>
        <w:rPr>
          <w:snapToGrid w:val="0"/>
        </w:rPr>
        <w:tab/>
        <w:t>(3)</w:t>
      </w:r>
      <w:r>
        <w:rPr>
          <w:snapToGrid w:val="0"/>
        </w:rPr>
        <w:tab/>
        <w:t>The operator of a commercial caravan park may, at his or her option, nominate a number of bays as long term residential caravan bays, and as a consequence —</w:t>
      </w:r>
    </w:p>
    <w:p>
      <w:pPr>
        <w:pStyle w:val="Indenta"/>
        <w:spacing w:before="60"/>
        <w:rPr>
          <w:snapToGrid w:val="0"/>
          <w:spacing w:val="-4"/>
        </w:rPr>
      </w:pPr>
      <w:r>
        <w:rPr>
          <w:snapToGrid w:val="0"/>
          <w:spacing w:val="-4"/>
        </w:rPr>
        <w:tab/>
        <w:t>(a)</w:t>
      </w:r>
      <w:r>
        <w:rPr>
          <w:snapToGrid w:val="0"/>
          <w:spacing w:val="-4"/>
        </w:rPr>
        <w:tab/>
        <w:t>those bays will be treated as if they were strata</w:t>
      </w:r>
      <w:r>
        <w:rPr>
          <w:snapToGrid w:val="0"/>
          <w:spacing w:val="-4"/>
        </w:rPr>
        <w:noBreakHyphen/>
        <w:t>titled bays for the purposes of annual charges, with the charges for the commercial park being adjusted accordingly and proportionally to the number of long term residential caravan bays in that commercial caravan park; and</w:t>
      </w:r>
    </w:p>
    <w:p>
      <w:pPr>
        <w:pStyle w:val="Indenta"/>
        <w:spacing w:before="60"/>
        <w:rPr>
          <w:snapToGrid w:val="0"/>
        </w:rPr>
      </w:pPr>
      <w:r>
        <w:rPr>
          <w:snapToGrid w:val="0"/>
        </w:rPr>
        <w:tab/>
        <w:t>(b)</w:t>
      </w:r>
      <w:r>
        <w:rPr>
          <w:snapToGrid w:val="0"/>
        </w:rPr>
        <w:tab/>
        <w:t>the quantity charges apply for the property as a whole in accordance with sub</w:t>
      </w:r>
      <w:r>
        <w:rPr>
          <w:snapToGrid w:val="0"/>
        </w:rPr>
        <w:noBreakHyphen/>
        <w:t>bylaws (1)(a) and (1)(b), except that the respective rates for residential quantity charges only apply for the first 150 kL per nominated long term residential caravan bay.</w:t>
      </w:r>
    </w:p>
    <w:p>
      <w:pPr>
        <w:pStyle w:val="Footnotesection"/>
        <w:keepLines w:val="0"/>
      </w:pPr>
      <w:r>
        <w:tab/>
        <w:t>[By</w:t>
      </w:r>
      <w:r>
        <w:noBreakHyphen/>
        <w:t>law 17A inserted in Gazette 30 Jun 1995 p. 2735</w:t>
      </w:r>
      <w:r>
        <w:noBreakHyphen/>
        <w:t>6; amended in Gazette 28 Jun 1996 p. 3106; 27 Jun 1997 p. 3176; 6 Jan 1998 p. 40; 26 Jun 1998 p. 3400; 29 Jun 1999 p. 2792</w:t>
      </w:r>
      <w:r>
        <w:noBreakHyphen/>
        <w:t>3; 29 Jun 2001 p. 3191</w:t>
      </w:r>
      <w:r>
        <w:noBreakHyphen/>
        <w:t>2; 1 Jul 2002 p. 3156; 29 Jun 2007 p. 3249; 27 Jun 2008 p. 2985</w:t>
      </w:r>
      <w:r>
        <w:noBreakHyphen/>
        <w:t>6; 25 Jun 2010 p. 2903.]</w:t>
      </w:r>
    </w:p>
    <w:p>
      <w:pPr>
        <w:pStyle w:val="Heading5"/>
        <w:rPr>
          <w:snapToGrid w:val="0"/>
        </w:rPr>
      </w:pPr>
      <w:bookmarkStart w:id="255" w:name="_Toc17278670"/>
      <w:bookmarkStart w:id="256" w:name="_Toc180204770"/>
      <w:bookmarkStart w:id="257" w:name="_Toc328471447"/>
      <w:bookmarkStart w:id="258" w:name="_Toc487428964"/>
      <w:r>
        <w:rPr>
          <w:rStyle w:val="CharSectno"/>
        </w:rPr>
        <w:t>17B</w:t>
      </w:r>
      <w:r>
        <w:t>.</w:t>
      </w:r>
      <w:r>
        <w:tab/>
      </w:r>
      <w:r>
        <w:rPr>
          <w:snapToGrid w:val="0"/>
        </w:rPr>
        <w:t>Metropolitan non</w:t>
      </w:r>
      <w:r>
        <w:rPr>
          <w:snapToGrid w:val="0"/>
        </w:rPr>
        <w:noBreakHyphen/>
        <w:t xml:space="preserve">residential </w:t>
      </w:r>
      <w:r>
        <w:t>or commercial residential</w:t>
      </w:r>
      <w:r>
        <w:rPr>
          <w:snapToGrid w:val="0"/>
        </w:rPr>
        <w:t xml:space="preserve"> property water supply charges</w:t>
      </w:r>
      <w:bookmarkEnd w:id="255"/>
      <w:bookmarkEnd w:id="256"/>
      <w:bookmarkEnd w:id="257"/>
    </w:p>
    <w:p>
      <w:pPr>
        <w:pStyle w:val="Subsection"/>
        <w:rPr>
          <w:snapToGrid w:val="0"/>
        </w:rPr>
      </w:pPr>
      <w:r>
        <w:rPr>
          <w:snapToGrid w:val="0"/>
        </w:rPr>
        <w:tab/>
        <w:t>(1)</w:t>
      </w:r>
      <w:r>
        <w:rPr>
          <w:snapToGrid w:val="0"/>
        </w:rPr>
        <w:tab/>
        <w:t>Where a metropolitan non</w:t>
      </w:r>
      <w:r>
        <w:rPr>
          <w:snapToGrid w:val="0"/>
        </w:rPr>
        <w:noBreakHyphen/>
        <w:t xml:space="preserve">residential </w:t>
      </w:r>
      <w:r>
        <w:t>or commercial residential</w:t>
      </w:r>
      <w:r>
        <w:rPr>
          <w:snapToGrid w:val="0"/>
        </w:rPr>
        <w:t xml:space="preserve"> property is metered by the Corporation, the charge payable for the current year for the provision of water supply to the property is the charge payable for the relevant size meter as set out in Schedule 1</w:t>
      </w:r>
      <w:r>
        <w:t xml:space="preserve"> item 17.</w:t>
      </w:r>
    </w:p>
    <w:p>
      <w:pPr>
        <w:pStyle w:val="Subsection"/>
        <w:rPr>
          <w:snapToGrid w:val="0"/>
        </w:rPr>
      </w:pPr>
      <w:r>
        <w:rPr>
          <w:snapToGrid w:val="0"/>
        </w:rPr>
        <w:tab/>
        <w:t>(2)</w:t>
      </w:r>
      <w:r>
        <w:rPr>
          <w:snapToGrid w:val="0"/>
        </w:rPr>
        <w:tab/>
        <w:t>Where a metropolitan non</w:t>
      </w:r>
      <w:r>
        <w:rPr>
          <w:snapToGrid w:val="0"/>
        </w:rPr>
        <w:noBreakHyphen/>
        <w:t xml:space="preserve">residential </w:t>
      </w:r>
      <w:r>
        <w:t>or commercial residential</w:t>
      </w:r>
      <w:r>
        <w:rPr>
          <w:snapToGrid w:val="0"/>
        </w:rPr>
        <w:t xml:space="preserve"> property is not directly served by the Corporation, the charge payable for the current year for the provision of water supply to the property is the charge determined as if the water supply to the property was metered through a 20 mm meter.</w:t>
      </w:r>
    </w:p>
    <w:p>
      <w:pPr>
        <w:pStyle w:val="Subsection"/>
        <w:rPr>
          <w:snapToGrid w:val="0"/>
        </w:rPr>
      </w:pPr>
      <w:r>
        <w:rPr>
          <w:snapToGrid w:val="0"/>
        </w:rPr>
        <w:tab/>
        <w:t>(3)</w:t>
      </w:r>
      <w:r>
        <w:rPr>
          <w:snapToGrid w:val="0"/>
        </w:rPr>
        <w:tab/>
        <w:t>Where a metropolitan non</w:t>
      </w:r>
      <w:r>
        <w:rPr>
          <w:snapToGrid w:val="0"/>
        </w:rPr>
        <w:noBreakHyphen/>
        <w:t>residential property is served but not metered by the Corporation, the charge payable for the current year for the provision of water supply to the property is the charge determined as if the water supply to the property was metered through a meter of a size equal to the diameter of the connecting pipe serving that property.</w:t>
      </w:r>
    </w:p>
    <w:p>
      <w:pPr>
        <w:pStyle w:val="Subsection"/>
        <w:rPr>
          <w:snapToGrid w:val="0"/>
        </w:rPr>
      </w:pPr>
      <w:r>
        <w:tab/>
      </w:r>
      <w:r>
        <w:rPr>
          <w:snapToGrid w:val="0"/>
        </w:rPr>
        <w:t>(4)</w:t>
      </w:r>
      <w:r>
        <w:rPr>
          <w:snapToGrid w:val="0"/>
        </w:rPr>
        <w:tab/>
        <w:t>If a charge determined under this by</w:t>
      </w:r>
      <w:r>
        <w:rPr>
          <w:snapToGrid w:val="0"/>
        </w:rPr>
        <w:noBreakHyphen/>
        <w:t>law for the current year is more than 30% greater than the charge calculated for the same service (and under the same circumstances) in the previous year, the charge is only payable up to that 30% increase.</w:t>
      </w:r>
    </w:p>
    <w:p>
      <w:pPr>
        <w:pStyle w:val="Footnotesection"/>
      </w:pPr>
      <w:r>
        <w:tab/>
        <w:t>[By</w:t>
      </w:r>
      <w:r>
        <w:noBreakHyphen/>
        <w:t>law 17B inserted in Gazette 1 Jul 2002 p. 3156</w:t>
      </w:r>
      <w:r>
        <w:noBreakHyphen/>
        <w:t>7; amended in Gazette 29 Jun 2007 p. 3250.]</w:t>
      </w:r>
    </w:p>
    <w:p>
      <w:pPr>
        <w:pStyle w:val="Heading5"/>
      </w:pPr>
      <w:bookmarkStart w:id="259" w:name="_Toc17278671"/>
      <w:bookmarkStart w:id="260" w:name="_Toc180204771"/>
      <w:bookmarkStart w:id="261" w:name="_Toc328471448"/>
      <w:r>
        <w:rPr>
          <w:rStyle w:val="CharSectno"/>
        </w:rPr>
        <w:t>17C</w:t>
      </w:r>
      <w:r>
        <w:t>.</w:t>
      </w:r>
      <w:r>
        <w:tab/>
        <w:t>Non</w:t>
      </w:r>
      <w:r>
        <w:noBreakHyphen/>
        <w:t>metropolitan, non</w:t>
      </w:r>
      <w:r>
        <w:noBreakHyphen/>
        <w:t>strata titled, Commercial or Industrial property water supply charges</w:t>
      </w:r>
      <w:bookmarkEnd w:id="258"/>
      <w:bookmarkEnd w:id="259"/>
      <w:bookmarkEnd w:id="260"/>
      <w:bookmarkEnd w:id="261"/>
    </w:p>
    <w:p>
      <w:pPr>
        <w:pStyle w:val="Subsection"/>
      </w:pPr>
      <w:r>
        <w:tab/>
        <w:t>(1)</w:t>
      </w:r>
      <w:r>
        <w:tab/>
        <w:t>Where a property referred to in Schedule 1 item 10(c) is not directly served by the Corporation, the charge payable for the current year for the provision of water supply to the property is the charge determined as if the water supply to the property was metered through a 20 mm meter.</w:t>
      </w:r>
    </w:p>
    <w:p>
      <w:pPr>
        <w:pStyle w:val="Subsection"/>
      </w:pPr>
      <w:r>
        <w:tab/>
        <w:t>(2)</w:t>
      </w:r>
      <w:r>
        <w:tab/>
        <w:t>Where a property referred to in Schedule 1 item 10(c) is served but not metered by the Corporation, the charge payable for the current year for the provision of water supply to the property is the charge calculated as if the water supply to the property was metered through a meter of a size equal to the diameter of the connecting pipe serving that property.</w:t>
      </w:r>
    </w:p>
    <w:p>
      <w:pPr>
        <w:pStyle w:val="Subsection"/>
      </w:pPr>
      <w:r>
        <w:tab/>
        <w:t>(3)</w:t>
      </w:r>
      <w:r>
        <w:tab/>
        <w:t>Where a charge for the current year under Schedule 1 item 10(c) is more than 13.6% greater than the charge calculated for the same service (and under the same circumstances) in the previous year, the charge is only payable up to that 13.6% increase.</w:t>
      </w:r>
    </w:p>
    <w:p>
      <w:pPr>
        <w:pStyle w:val="Footnotesection"/>
      </w:pPr>
      <w:r>
        <w:tab/>
        <w:t>[By</w:t>
      </w:r>
      <w:r>
        <w:noBreakHyphen/>
        <w:t>law 17C inserted in Gazette 29 Jun 2000 p. 3324; amended in Gazette 29 Jun 2001 p. 3192; 7 Aug 2001 p. 4037; 1 Jul 2002 p. 3157; 27 Jun 2003 p. 2287; 29 Jun 2004 p. 2467-8; 1 Jul 2005 p. 3034; 30 Jun 2006 p. 2416; 29 Jun 2007 p. 3250; 27 Jun 2008 p. 2986; 19 Jun 2009 p. 2322; 25 Jun 2010 p. 2903; 23 Jun 2011 p. 2418; 20 Jun 2012 p. 2698.]</w:t>
      </w:r>
    </w:p>
    <w:p>
      <w:pPr>
        <w:pStyle w:val="Heading5"/>
        <w:rPr>
          <w:snapToGrid w:val="0"/>
        </w:rPr>
      </w:pPr>
      <w:bookmarkStart w:id="262" w:name="_Toc487428965"/>
      <w:bookmarkStart w:id="263" w:name="_Toc17278672"/>
      <w:bookmarkStart w:id="264" w:name="_Toc180204772"/>
      <w:bookmarkStart w:id="265" w:name="_Toc328471449"/>
      <w:r>
        <w:rPr>
          <w:rStyle w:val="CharSectno"/>
        </w:rPr>
        <w:t>17D</w:t>
      </w:r>
      <w:r>
        <w:rPr>
          <w:snapToGrid w:val="0"/>
        </w:rPr>
        <w:t>.</w:t>
      </w:r>
      <w:r>
        <w:rPr>
          <w:snapToGrid w:val="0"/>
        </w:rPr>
        <w:tab/>
        <w:t>Various non</w:t>
      </w:r>
      <w:r>
        <w:rPr>
          <w:snapToGrid w:val="0"/>
        </w:rPr>
        <w:noBreakHyphen/>
        <w:t>metropolitan water supply charges and classifications</w:t>
      </w:r>
      <w:bookmarkEnd w:id="262"/>
      <w:bookmarkEnd w:id="263"/>
      <w:bookmarkEnd w:id="264"/>
      <w:bookmarkEnd w:id="265"/>
    </w:p>
    <w:p>
      <w:pPr>
        <w:pStyle w:val="Subsection"/>
        <w:rPr>
          <w:snapToGrid w:val="0"/>
        </w:rPr>
      </w:pPr>
      <w:r>
        <w:rPr>
          <w:snapToGrid w:val="0"/>
        </w:rPr>
        <w:tab/>
        <w:t>(1)</w:t>
      </w:r>
      <w:r>
        <w:rPr>
          <w:snapToGrid w:val="0"/>
        </w:rPr>
        <w:tab/>
        <w:t>The charges for water supplied to non</w:t>
      </w:r>
      <w:r>
        <w:rPr>
          <w:snapToGrid w:val="0"/>
        </w:rPr>
        <w:noBreakHyphen/>
        <w:t>metropolitan residential</w:t>
      </w:r>
      <w:r>
        <w:t>, non</w:t>
      </w:r>
      <w:r>
        <w:noBreakHyphen/>
        <w:t xml:space="preserve">metropolitan community residential </w:t>
      </w:r>
      <w:r>
        <w:rPr>
          <w:snapToGrid w:val="0"/>
        </w:rPr>
        <w:t>and non</w:t>
      </w:r>
      <w:r>
        <w:rPr>
          <w:snapToGrid w:val="0"/>
        </w:rPr>
        <w:noBreakHyphen/>
        <w:t xml:space="preserve">metropolitan </w:t>
      </w:r>
      <w:r>
        <w:t>non</w:t>
      </w:r>
      <w:r>
        <w:noBreakHyphen/>
        <w:t>residential</w:t>
      </w:r>
      <w:r>
        <w:rPr>
          <w:snapToGrid w:val="0"/>
        </w:rPr>
        <w:t xml:space="preserve"> properties (including caravan parks), set out in —</w:t>
      </w:r>
    </w:p>
    <w:p>
      <w:pPr>
        <w:pStyle w:val="Indenta"/>
      </w:pPr>
      <w:r>
        <w:tab/>
        <w:t>(a)</w:t>
      </w:r>
      <w:r>
        <w:tab/>
        <w:t>Schedule 1 item 22; and</w:t>
      </w:r>
    </w:p>
    <w:p>
      <w:pPr>
        <w:pStyle w:val="Indenta"/>
      </w:pPr>
      <w:r>
        <w:tab/>
        <w:t>(ba)</w:t>
      </w:r>
      <w:r>
        <w:tab/>
        <w:t>Schedule 1 item 23(2); and</w:t>
      </w:r>
    </w:p>
    <w:p>
      <w:pPr>
        <w:pStyle w:val="Indenta"/>
      </w:pPr>
      <w:r>
        <w:tab/>
        <w:t>(b)</w:t>
      </w:r>
      <w:r>
        <w:tab/>
        <w:t>Schedule 1 item 27(b); and</w:t>
      </w:r>
    </w:p>
    <w:p>
      <w:pPr>
        <w:pStyle w:val="Indenta"/>
      </w:pPr>
      <w:r>
        <w:tab/>
        <w:t>(c)</w:t>
      </w:r>
      <w:r>
        <w:tab/>
        <w:t>Schedule 1 item 27(g); and</w:t>
      </w:r>
    </w:p>
    <w:p>
      <w:pPr>
        <w:pStyle w:val="Indenta"/>
      </w:pPr>
      <w:r>
        <w:tab/>
        <w:t>(d)</w:t>
      </w:r>
      <w:r>
        <w:tab/>
        <w:t>Schedule 8 item 2(2),</w:t>
      </w:r>
    </w:p>
    <w:p>
      <w:pPr>
        <w:pStyle w:val="Subsection"/>
        <w:rPr>
          <w:snapToGrid w:val="0"/>
        </w:rPr>
      </w:pPr>
      <w:r>
        <w:rPr>
          <w:snapToGrid w:val="0"/>
        </w:rPr>
        <w:tab/>
      </w:r>
      <w:r>
        <w:rPr>
          <w:snapToGrid w:val="0"/>
        </w:rPr>
        <w:tab/>
        <w:t>apply to towns/areas according to the classifications given to the towns/areas by the Corporation.</w:t>
      </w:r>
    </w:p>
    <w:p>
      <w:pPr>
        <w:pStyle w:val="Ednotesubsection"/>
      </w:pPr>
      <w:r>
        <w:tab/>
        <w:t>[(2)</w:t>
      </w:r>
      <w:r>
        <w:tab/>
        <w:t>deleted]</w:t>
      </w:r>
    </w:p>
    <w:p>
      <w:pPr>
        <w:pStyle w:val="Subsection"/>
        <w:rPr>
          <w:snapToGrid w:val="0"/>
        </w:rPr>
      </w:pPr>
      <w:r>
        <w:rPr>
          <w:snapToGrid w:val="0"/>
        </w:rPr>
        <w:tab/>
        <w:t>(3)</w:t>
      </w:r>
      <w:r>
        <w:rPr>
          <w:snapToGrid w:val="0"/>
        </w:rPr>
        <w:tab/>
        <w:t>For the purpose of determining quantity charges in the previous year, the towns/areas and the respective classes to which they are allocated are set out in Schedule 9.</w:t>
      </w:r>
    </w:p>
    <w:p>
      <w:pPr>
        <w:pStyle w:val="Subsection"/>
        <w:spacing w:before="120"/>
        <w:rPr>
          <w:snapToGrid w:val="0"/>
        </w:rPr>
      </w:pPr>
      <w:r>
        <w:rPr>
          <w:snapToGrid w:val="0"/>
        </w:rPr>
        <w:tab/>
        <w:t>(4)</w:t>
      </w:r>
      <w:r>
        <w:rPr>
          <w:snapToGrid w:val="0"/>
        </w:rPr>
        <w:tab/>
        <w:t>For the purpose of determining quantity charges in the current year, the towns/areas and the respective classes to which they are allocated are set out in Schedule 10.</w:t>
      </w:r>
    </w:p>
    <w:p>
      <w:pPr>
        <w:pStyle w:val="Footnotesection"/>
      </w:pPr>
      <w:r>
        <w:tab/>
        <w:t>[By</w:t>
      </w:r>
      <w:r>
        <w:noBreakHyphen/>
        <w:t>law 17D inserted in Gazette 27 Jun 1997 p. 3179</w:t>
      </w:r>
      <w:r>
        <w:noBreakHyphen/>
        <w:t>80; amended in Gazette 6 Jan 1998 p. 40; 26 Jun 1998 p. 3400; 29 Jun 1999 p. 2793; 29 Jun 2001 p. 3192</w:t>
      </w:r>
      <w:r>
        <w:noBreakHyphen/>
        <w:t>3; 5 Oct 2001 p. 5479; 29 Jun 2007 p. 3250; 27 Jun 2008 p. 2986</w:t>
      </w:r>
      <w:r>
        <w:noBreakHyphen/>
        <w:t>7.]</w:t>
      </w:r>
    </w:p>
    <w:p>
      <w:pPr>
        <w:pStyle w:val="Heading5"/>
        <w:rPr>
          <w:snapToGrid w:val="0"/>
        </w:rPr>
      </w:pPr>
      <w:bookmarkStart w:id="266" w:name="_Toc487428966"/>
      <w:bookmarkStart w:id="267" w:name="_Toc17278673"/>
      <w:bookmarkStart w:id="268" w:name="_Toc180204773"/>
      <w:bookmarkStart w:id="269" w:name="_Toc328471450"/>
      <w:r>
        <w:rPr>
          <w:rStyle w:val="CharSectno"/>
        </w:rPr>
        <w:t>18</w:t>
      </w:r>
      <w:r>
        <w:rPr>
          <w:snapToGrid w:val="0"/>
        </w:rPr>
        <w:t>.</w:t>
      </w:r>
      <w:r>
        <w:rPr>
          <w:snapToGrid w:val="0"/>
        </w:rPr>
        <w:tab/>
        <w:t>Concessional non</w:t>
      </w:r>
      <w:r>
        <w:rPr>
          <w:snapToGrid w:val="0"/>
        </w:rPr>
        <w:noBreakHyphen/>
        <w:t>metropolitan quantity charge</w:t>
      </w:r>
      <w:bookmarkEnd w:id="266"/>
      <w:bookmarkEnd w:id="267"/>
      <w:bookmarkEnd w:id="268"/>
      <w:bookmarkEnd w:id="269"/>
    </w:p>
    <w:p>
      <w:pPr>
        <w:pStyle w:val="Subsection"/>
        <w:spacing w:before="120"/>
      </w:pPr>
      <w:r>
        <w:tab/>
        <w:t>(1)</w:t>
      </w:r>
      <w:r>
        <w:tab/>
        <w:t>In this by</w:t>
      </w:r>
      <w:r>
        <w:noBreakHyphen/>
        <w:t>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 xml:space="preserve">law 17A(1)(b) or 17A(3)(b) or under </w:t>
      </w:r>
      <w:r>
        <w:t xml:space="preserve">Schedule 1 item 22 </w:t>
      </w:r>
      <w:r>
        <w:rPr>
          <w:snapToGrid w:val="0"/>
        </w:rPr>
        <w:t>in respect of particular land shall be allowed a concession under this by</w:t>
      </w:r>
      <w:r>
        <w:rPr>
          <w:snapToGrid w:val="0"/>
        </w:rPr>
        <w:noBreakHyphen/>
        <w:t xml:space="preserve">law in respect of the charge if — </w:t>
      </w:r>
    </w:p>
    <w:p>
      <w:pPr>
        <w:pStyle w:val="Indenta"/>
        <w:rPr>
          <w:snapToGrid w:val="0"/>
        </w:rPr>
      </w:pPr>
      <w:r>
        <w:rPr>
          <w:snapToGrid w:val="0"/>
        </w:rPr>
        <w:tab/>
        <w:t>(a)</w:t>
      </w:r>
      <w:r>
        <w:rPr>
          <w:snapToGrid w:val="0"/>
        </w:rPr>
        <w:tab/>
        <w:t>the person satisfies the Corporation that he or she was an eligible pensioner at any time during the period to which the charge relates; and</w:t>
      </w:r>
    </w:p>
    <w:p>
      <w:pPr>
        <w:pStyle w:val="Indenta"/>
        <w:rPr>
          <w:snapToGrid w:val="0"/>
        </w:rPr>
      </w:pPr>
      <w:r>
        <w:rPr>
          <w:snapToGrid w:val="0"/>
        </w:rPr>
        <w:tab/>
        <w:t>(b)</w:t>
      </w:r>
      <w:r>
        <w:rPr>
          <w:snapToGrid w:val="0"/>
        </w:rPr>
        <w:tab/>
        <w:t>subject to sub</w:t>
      </w:r>
      <w:r>
        <w:rPr>
          <w:snapToGrid w:val="0"/>
        </w:rPr>
        <w:noBreakHyphen/>
        <w:t>bylaw (3), the land was occupied by the person during the period to which the charge relates, whether or not the land is also occupied by any other person; and</w:t>
      </w:r>
    </w:p>
    <w:p>
      <w:pPr>
        <w:pStyle w:val="Indenta"/>
        <w:rPr>
          <w:snapToGrid w:val="0"/>
        </w:rPr>
      </w:pPr>
      <w:r>
        <w:rPr>
          <w:snapToGrid w:val="0"/>
        </w:rPr>
        <w:tab/>
        <w:t>(c)</w:t>
      </w:r>
      <w:r>
        <w:rPr>
          <w:snapToGrid w:val="0"/>
        </w:rPr>
        <w:tab/>
      </w:r>
      <w:r>
        <w:t>t</w:t>
      </w:r>
      <w:r>
        <w:rPr>
          <w:snapToGrid w:val="0"/>
        </w:rPr>
        <w:t>he person is not liable for the payment of any amount due in respect of a charge assessed according to the quantity of water supplied to that or any other land during a period that commenced before the period to which the charge relates; and</w:t>
      </w:r>
    </w:p>
    <w:p>
      <w:pPr>
        <w:pStyle w:val="Indenta"/>
      </w:pPr>
      <w:r>
        <w:rPr>
          <w:snapToGrid w:val="0"/>
        </w:rPr>
        <w:tab/>
        <w:t>(d)</w:t>
      </w:r>
      <w:r>
        <w:rPr>
          <w:snapToGrid w:val="0"/>
        </w:rPr>
        <w:tab/>
        <w:t>the person has not been allowed a concession under this by</w:t>
      </w:r>
      <w:r>
        <w:rPr>
          <w:snapToGrid w:val="0"/>
        </w:rPr>
        <w:noBreakHyphen/>
        <w:t>law in respect of water supplied to any other land except where the portions of the periods to which the respective concessions relate do not, to any extent, coincide.</w:t>
      </w:r>
    </w:p>
    <w:p>
      <w:pPr>
        <w:pStyle w:val="Subsection"/>
        <w:spacing w:before="120"/>
        <w:rPr>
          <w:snapToGrid w:val="0"/>
        </w:rPr>
      </w:pPr>
      <w:r>
        <w:rPr>
          <w:snapToGrid w:val="0"/>
        </w:rPr>
        <w:tab/>
        <w:t>(3)</w:t>
      </w:r>
      <w:r>
        <w:rPr>
          <w:snapToGrid w:val="0"/>
        </w:rPr>
        <w:tab/>
        <w:t>Where the Corporation, having regard to the circumstances of the case, sees fit, it may dispense with the requirements of sub</w:t>
      </w:r>
      <w:r>
        <w:rPr>
          <w:snapToGrid w:val="0"/>
        </w:rPr>
        <w:noBreakHyphen/>
        <w:t>bylaw (2)(b).</w:t>
      </w:r>
    </w:p>
    <w:p>
      <w:pPr>
        <w:pStyle w:val="Subsection"/>
        <w:spacing w:before="120"/>
        <w:rPr>
          <w:snapToGrid w:val="0"/>
        </w:rPr>
      </w:pPr>
      <w:r>
        <w:rPr>
          <w:snapToGrid w:val="0"/>
        </w:rPr>
        <w:tab/>
        <w:t>(4)</w:t>
      </w:r>
      <w:r>
        <w:rPr>
          <w:snapToGrid w:val="0"/>
        </w:rPr>
        <w:tab/>
        <w:t xml:space="preserve">The </w:t>
      </w:r>
      <w:r>
        <w:t>amount of the concession</w:t>
      </w:r>
      <w:r>
        <w:rPr>
          <w:snapToGrid w:val="0"/>
        </w:rPr>
        <w:t xml:space="preserve"> to be allowed under this by</w:t>
      </w:r>
      <w:r>
        <w:rPr>
          <w:snapToGrid w:val="0"/>
        </w:rPr>
        <w:noBreakHyphen/>
        <w:t>law in respect of a charge under by</w:t>
      </w:r>
      <w:r>
        <w:rPr>
          <w:snapToGrid w:val="0"/>
        </w:rPr>
        <w:noBreakHyphen/>
        <w:t>law 17A(1)(b) or 17A(3)(b) or under by</w:t>
      </w:r>
      <w:r>
        <w:rPr>
          <w:snapToGrid w:val="0"/>
        </w:rPr>
        <w:noBreakHyphen/>
        <w:t xml:space="preserve">law 17 and </w:t>
      </w:r>
      <w:r>
        <w:t xml:space="preserve">Schedule 1 item 22 </w:t>
      </w:r>
      <w:r>
        <w:rPr>
          <w:snapToGrid w:val="0"/>
        </w:rPr>
        <w:t>is 50% of the amount calculated from the annual charge rates applicable —</w:t>
      </w:r>
    </w:p>
    <w:p>
      <w:pPr>
        <w:pStyle w:val="Indenta"/>
        <w:rPr>
          <w:snapToGrid w:val="0"/>
        </w:rPr>
      </w:pPr>
      <w:r>
        <w:rPr>
          <w:snapToGrid w:val="0"/>
        </w:rPr>
        <w:tab/>
        <w:t>(a)</w:t>
      </w:r>
      <w:r>
        <w:rPr>
          <w:snapToGrid w:val="0"/>
        </w:rPr>
        <w:tab/>
        <w:t>where the land concerned is —</w:t>
      </w:r>
    </w:p>
    <w:p>
      <w:pPr>
        <w:pStyle w:val="Indenti"/>
        <w:spacing w:before="90"/>
        <w:rPr>
          <w:snapToGrid w:val="0"/>
        </w:rPr>
      </w:pPr>
      <w:r>
        <w:rPr>
          <w:snapToGrid w:val="0"/>
        </w:rPr>
        <w:tab/>
        <w:t>(i)</w:t>
      </w:r>
      <w:r>
        <w:rPr>
          <w:snapToGrid w:val="0"/>
        </w:rPr>
        <w:tab/>
        <w:t xml:space="preserve">in the town of Cue, Laverton, Leonora, Meekatharra, Menzies, Mt Magnet (from 1995/1996 onwards), </w:t>
      </w:r>
      <w:r>
        <w:t xml:space="preserve">Mullewa (from 2009/2010 onwards), </w:t>
      </w:r>
      <w:r>
        <w:rPr>
          <w:snapToGrid w:val="0"/>
        </w:rPr>
        <w:t>Sandstone, Wiluna or Yalgoo (from 1995/1996 onwards) and where up to 600 kL of water is supplied in one year; or</w:t>
      </w:r>
    </w:p>
    <w:p>
      <w:pPr>
        <w:pStyle w:val="Indenti"/>
        <w:spacing w:before="90"/>
        <w:rPr>
          <w:snapToGrid w:val="0"/>
        </w:rPr>
      </w:pPr>
      <w:r>
        <w:rPr>
          <w:snapToGrid w:val="0"/>
        </w:rPr>
        <w:tab/>
        <w:t>(ii)</w:t>
      </w:r>
      <w:r>
        <w:rPr>
          <w:snapToGrid w:val="0"/>
        </w:rPr>
        <w:tab/>
        <w:t>any other land south of 26° South Latitude and where up to 400 kL of water is supplied in one year;</w:t>
      </w:r>
    </w:p>
    <w:p>
      <w:pPr>
        <w:pStyle w:val="Indenta"/>
        <w:rPr>
          <w:snapToGrid w:val="0"/>
        </w:rPr>
      </w:pPr>
      <w:r>
        <w:rPr>
          <w:snapToGrid w:val="0"/>
        </w:rPr>
        <w:tab/>
        <w:t>(b)</w:t>
      </w:r>
      <w:r>
        <w:rPr>
          <w:snapToGrid w:val="0"/>
        </w:rPr>
        <w:tab/>
        <w:t>where the land concerned is north of 26° South Latitude and where up to 600 kL of water is supplied in one year.</w:t>
      </w:r>
    </w:p>
    <w:p>
      <w:pPr>
        <w:pStyle w:val="Subsection"/>
        <w:spacing w:before="120"/>
        <w:rPr>
          <w:snapToGrid w:val="0"/>
        </w:rPr>
      </w:pPr>
      <w:r>
        <w:rPr>
          <w:snapToGrid w:val="0"/>
        </w:rPr>
        <w:tab/>
        <w:t>(5)</w:t>
      </w:r>
      <w:r>
        <w:rPr>
          <w:snapToGrid w:val="0"/>
        </w:rPr>
        <w:tab/>
        <w:t xml:space="preserve">A person who, in connection with or for the purpose of obtaining a </w:t>
      </w:r>
      <w:r>
        <w:t>concession</w:t>
      </w:r>
      <w:r>
        <w:rPr>
          <w:snapToGrid w:val="0"/>
        </w:rPr>
        <w:t xml:space="preserve"> under this by</w:t>
      </w:r>
      <w:r>
        <w:rPr>
          <w:snapToGrid w:val="0"/>
        </w:rPr>
        <w:noBreakHyphen/>
        <w:t xml:space="preserve">law, gives information that </w:t>
      </w:r>
      <w:r>
        <w:t>he or she</w:t>
      </w:r>
      <w:r>
        <w:rPr>
          <w:snapToGrid w:val="0"/>
        </w:rPr>
        <w:t xml:space="preserv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 amended in Gazette 29 Jun 1988 p. 2113; 14 Oct 1988 p. 4174; 31 Dec 1992 p. 6412</w:t>
      </w:r>
      <w:r>
        <w:noBreakHyphen/>
        <w:t>13; 4 Mar 1994 p. 904; 30 Jun 1995 p. 2736</w:t>
      </w:r>
      <w:r>
        <w:noBreakHyphen/>
        <w:t>7; 17 Nov 1995 p. 5344; 29 Dec 1995 p. 6331; 6 Jan 1998 p. 40; 29 Jun 1999 p. 2793</w:t>
      </w:r>
      <w:r>
        <w:noBreakHyphen/>
        <w:t>4; 29 Jun 2001 p. 3193; 7 Aug 2001 p. 4037; 29 Jun 2007 p. 3250; 25 Jun 2010 p. 2903</w:t>
      </w:r>
      <w:r>
        <w:noBreakHyphen/>
        <w:t>5.]</w:t>
      </w:r>
    </w:p>
    <w:p>
      <w:pPr>
        <w:pStyle w:val="Heading5"/>
        <w:rPr>
          <w:snapToGrid w:val="0"/>
        </w:rPr>
      </w:pPr>
      <w:bookmarkStart w:id="270" w:name="_Toc487428967"/>
      <w:bookmarkStart w:id="271" w:name="_Toc17278674"/>
      <w:bookmarkStart w:id="272" w:name="_Toc180204774"/>
      <w:bookmarkStart w:id="273" w:name="_Toc328471451"/>
      <w:r>
        <w:rPr>
          <w:rStyle w:val="CharSectno"/>
        </w:rPr>
        <w:t>18A</w:t>
      </w:r>
      <w:r>
        <w:rPr>
          <w:snapToGrid w:val="0"/>
        </w:rPr>
        <w:t>.</w:t>
      </w:r>
      <w:r>
        <w:rPr>
          <w:snapToGrid w:val="0"/>
        </w:rPr>
        <w:tab/>
        <w:t>Concessional metropolitan quantity charge</w:t>
      </w:r>
      <w:bookmarkEnd w:id="270"/>
      <w:bookmarkEnd w:id="271"/>
      <w:bookmarkEnd w:id="272"/>
      <w:bookmarkEnd w:id="273"/>
    </w:p>
    <w:p>
      <w:pPr>
        <w:pStyle w:val="Subsection"/>
      </w:pPr>
      <w:r>
        <w:tab/>
        <w:t>(1)</w:t>
      </w:r>
      <w:r>
        <w:tab/>
        <w:t>In this by</w:t>
      </w:r>
      <w:r>
        <w:noBreakHyphen/>
        <w:t>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law 17A(1)(a) or 17A(3)(a) or under by</w:t>
      </w:r>
      <w:r>
        <w:rPr>
          <w:snapToGrid w:val="0"/>
        </w:rPr>
        <w:noBreakHyphen/>
        <w:t xml:space="preserve">law 17 and </w:t>
      </w:r>
      <w:r>
        <w:t xml:space="preserve">Schedule 1 item 20 or 21 </w:t>
      </w:r>
      <w:r>
        <w:rPr>
          <w:snapToGrid w:val="0"/>
        </w:rPr>
        <w:t>in respect of land in the metropolitan area shall be allowed a concession under this by</w:t>
      </w:r>
      <w:r>
        <w:rPr>
          <w:snapToGrid w:val="0"/>
        </w:rPr>
        <w:noBreakHyphen/>
        <w:t xml:space="preserve">law in respect of the charge if — </w:t>
      </w:r>
    </w:p>
    <w:p>
      <w:pPr>
        <w:pStyle w:val="Indenta"/>
        <w:rPr>
          <w:snapToGrid w:val="0"/>
        </w:rPr>
      </w:pPr>
      <w:r>
        <w:rPr>
          <w:snapToGrid w:val="0"/>
        </w:rPr>
        <w:tab/>
        <w:t>(a)</w:t>
      </w:r>
      <w:r>
        <w:rPr>
          <w:snapToGrid w:val="0"/>
        </w:rPr>
        <w:tab/>
        <w:t>the person satisfies the Corporation that he or she was an eligible pensioner at any time during the period to which the charge relates; and</w:t>
      </w:r>
    </w:p>
    <w:p>
      <w:pPr>
        <w:pStyle w:val="Indenta"/>
        <w:rPr>
          <w:snapToGrid w:val="0"/>
        </w:rPr>
      </w:pPr>
      <w:r>
        <w:rPr>
          <w:snapToGrid w:val="0"/>
        </w:rPr>
        <w:tab/>
        <w:t>(b)</w:t>
      </w:r>
      <w:r>
        <w:rPr>
          <w:snapToGrid w:val="0"/>
        </w:rPr>
        <w:tab/>
        <w:t>the land was occupied by the person during the period to which the charge relates, whether or not the land is also occupied by any other person; and</w:t>
      </w:r>
    </w:p>
    <w:p>
      <w:pPr>
        <w:pStyle w:val="Indenta"/>
        <w:rPr>
          <w:snapToGrid w:val="0"/>
        </w:rPr>
      </w:pPr>
      <w:r>
        <w:rPr>
          <w:snapToGrid w:val="0"/>
        </w:rPr>
        <w:tab/>
        <w:t>(c)</w:t>
      </w:r>
      <w:r>
        <w:rPr>
          <w:snapToGrid w:val="0"/>
        </w:rPr>
        <w:tab/>
      </w:r>
      <w:r>
        <w:t>t</w:t>
      </w:r>
      <w:r>
        <w:rPr>
          <w:snapToGrid w:val="0"/>
        </w:rPr>
        <w:t>he person is not liable for the payment of any amount due in respect of a charge assessed according to the quantity of water supplied to that or any other land during a period that commenced before the period to which the charge relates; and</w:t>
      </w:r>
    </w:p>
    <w:p>
      <w:pPr>
        <w:pStyle w:val="Indenta"/>
        <w:rPr>
          <w:snapToGrid w:val="0"/>
        </w:rPr>
      </w:pPr>
      <w:r>
        <w:rPr>
          <w:snapToGrid w:val="0"/>
        </w:rPr>
        <w:tab/>
        <w:t>(d)</w:t>
      </w:r>
      <w:r>
        <w:rPr>
          <w:snapToGrid w:val="0"/>
        </w:rPr>
        <w:tab/>
        <w:t>the person has not been allowed a concession under this by</w:t>
      </w:r>
      <w:r>
        <w:rPr>
          <w:snapToGrid w:val="0"/>
        </w:rPr>
        <w:noBreakHyphen/>
        <w:t>law in respect of water supplied to any other land except where the portions of the periods to which the respective concessions relate do not, to any extent, coincide.</w:t>
      </w:r>
    </w:p>
    <w:p>
      <w:pPr>
        <w:pStyle w:val="Subsection"/>
        <w:spacing w:before="100"/>
        <w:rPr>
          <w:snapToGrid w:val="0"/>
        </w:rPr>
      </w:pPr>
      <w:r>
        <w:rPr>
          <w:snapToGrid w:val="0"/>
        </w:rPr>
        <w:tab/>
        <w:t>(3)</w:t>
      </w:r>
      <w:r>
        <w:rPr>
          <w:snapToGrid w:val="0"/>
        </w:rPr>
        <w:tab/>
        <w:t>The concession to be allowed under this by</w:t>
      </w:r>
      <w:r>
        <w:rPr>
          <w:snapToGrid w:val="0"/>
        </w:rPr>
        <w:noBreakHyphen/>
        <w:t>law in respect of a charge under by</w:t>
      </w:r>
      <w:r>
        <w:rPr>
          <w:snapToGrid w:val="0"/>
        </w:rPr>
        <w:noBreakHyphen/>
        <w:t>law 17A(1)(a) or 17A(3)(a) or under by</w:t>
      </w:r>
      <w:r>
        <w:rPr>
          <w:snapToGrid w:val="0"/>
        </w:rPr>
        <w:noBreakHyphen/>
        <w:t xml:space="preserve">law 17 and </w:t>
      </w:r>
      <w:r>
        <w:t xml:space="preserve">Schedule 1 item 20 or 21 </w:t>
      </w:r>
      <w:r>
        <w:rPr>
          <w:snapToGrid w:val="0"/>
        </w:rPr>
        <w:t>is 50% of the amount calculated from the annual charge rates applicable where up to 150 kL of water is supplied in one year and where the land concerned is in the metropolitan area.</w:t>
      </w:r>
    </w:p>
    <w:p>
      <w:pPr>
        <w:pStyle w:val="Subsection"/>
        <w:spacing w:before="100"/>
        <w:rPr>
          <w:snapToGrid w:val="0"/>
        </w:rPr>
      </w:pPr>
      <w:r>
        <w:rPr>
          <w:snapToGrid w:val="0"/>
        </w:rPr>
        <w:tab/>
        <w:t>(4)</w:t>
      </w:r>
      <w:r>
        <w:rPr>
          <w:snapToGrid w:val="0"/>
        </w:rPr>
        <w:tab/>
        <w:t>A person who, in connection with or for the purpose of being allowed a concession under this by</w:t>
      </w:r>
      <w:r>
        <w:rPr>
          <w:snapToGrid w:val="0"/>
        </w:rPr>
        <w:noBreakHyphen/>
        <w:t xml:space="preserve">law, gives information that </w:t>
      </w:r>
      <w:r>
        <w:t>he or she</w:t>
      </w:r>
      <w:r>
        <w:rPr>
          <w:snapToGrid w:val="0"/>
        </w:rPr>
        <w:t xml:space="preserv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18A inserted in Gazette 1 Jul 1993 p. 3215; amended in Gazette 30 Jun 1995 p. 2737; 29 Dec 1995 p. 6331; 6 Jan 1998 p. 40; 26 Jun 1998 p. 3400; 29 Jun 1999 p. 2794; 29 Jun 2001 p. 3193; 7 Aug 2001 p. 4038; 29 Jun 2007 p. 3251; 25 Jun 2010 p. 2905</w:t>
      </w:r>
      <w:r>
        <w:noBreakHyphen/>
        <w:t>6.]</w:t>
      </w:r>
    </w:p>
    <w:p>
      <w:pPr>
        <w:pStyle w:val="Heading5"/>
        <w:rPr>
          <w:snapToGrid w:val="0"/>
        </w:rPr>
      </w:pPr>
      <w:bookmarkStart w:id="274" w:name="_Toc487428968"/>
      <w:bookmarkStart w:id="275" w:name="_Toc17278675"/>
      <w:bookmarkStart w:id="276" w:name="_Toc180204775"/>
      <w:bookmarkStart w:id="277" w:name="_Toc328471452"/>
      <w:r>
        <w:rPr>
          <w:rStyle w:val="CharSectno"/>
        </w:rPr>
        <w:t>18B</w:t>
      </w:r>
      <w:r>
        <w:rPr>
          <w:snapToGrid w:val="0"/>
        </w:rPr>
        <w:t>.</w:t>
      </w:r>
      <w:r>
        <w:rPr>
          <w:snapToGrid w:val="0"/>
        </w:rPr>
        <w:tab/>
        <w:t>Residential multi</w:t>
      </w:r>
      <w:r>
        <w:rPr>
          <w:snapToGrid w:val="0"/>
        </w:rPr>
        <w:noBreakHyphen/>
        <w:t>unit properties — rebates for eligible pensioners</w:t>
      </w:r>
      <w:bookmarkEnd w:id="274"/>
      <w:bookmarkEnd w:id="275"/>
      <w:bookmarkEnd w:id="276"/>
      <w:bookmarkEnd w:id="277"/>
    </w:p>
    <w:p>
      <w:pPr>
        <w:pStyle w:val="Subsection"/>
      </w:pPr>
      <w:r>
        <w:tab/>
        <w:t>(1)</w:t>
      </w:r>
      <w:r>
        <w:tab/>
        <w:t>In this by-law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Defstart"/>
      </w:pPr>
      <w:r>
        <w:rPr>
          <w:b/>
        </w:rPr>
        <w:tab/>
      </w:r>
      <w:r>
        <w:rPr>
          <w:rStyle w:val="CharDefText"/>
        </w:rPr>
        <w:t>registered</w:t>
      </w:r>
      <w:r>
        <w:t xml:space="preserve"> in the case of an eligible pensioner who is a tenant, means registered or listed with the Corporation for the purposes of assessment under this by</w:t>
      </w:r>
      <w:r>
        <w:noBreakHyphen/>
        <w:t>law.</w:t>
      </w:r>
    </w:p>
    <w:p>
      <w:pPr>
        <w:pStyle w:val="Subsection"/>
        <w:rPr>
          <w:snapToGrid w:val="0"/>
        </w:rPr>
      </w:pPr>
      <w:r>
        <w:rPr>
          <w:snapToGrid w:val="0"/>
        </w:rPr>
        <w:tab/>
        <w:t>(2)</w:t>
      </w:r>
      <w:r>
        <w:rPr>
          <w:snapToGrid w:val="0"/>
        </w:rPr>
        <w:tab/>
      </w:r>
      <w:r>
        <w:rPr>
          <w:snapToGrid w:val="0"/>
          <w:spacing w:val="-4"/>
        </w:rPr>
        <w:t xml:space="preserve">Where land </w:t>
      </w:r>
      <w:r>
        <w:rPr>
          <w:snapToGrid w:val="0"/>
        </w:rPr>
        <w:t>comprises</w:t>
      </w:r>
      <w:r>
        <w:rPr>
          <w:snapToGrid w:val="0"/>
          <w:spacing w:val="-4"/>
        </w:rPr>
        <w:t xml:space="preserve"> a residential multi</w:t>
      </w:r>
      <w:r>
        <w:rPr>
          <w:snapToGrid w:val="0"/>
          <w:spacing w:val="-4"/>
        </w:rPr>
        <w:noBreakHyphen/>
        <w:t>unit property served by a single meter and one or more of those units are occupied by —</w:t>
      </w:r>
    </w:p>
    <w:p>
      <w:pPr>
        <w:pStyle w:val="Indenta"/>
        <w:rPr>
          <w:snapToGrid w:val="0"/>
        </w:rPr>
      </w:pPr>
      <w:r>
        <w:rPr>
          <w:snapToGrid w:val="0"/>
        </w:rPr>
        <w:tab/>
        <w:t>(a)</w:t>
      </w:r>
      <w:r>
        <w:rPr>
          <w:snapToGrid w:val="0"/>
        </w:rPr>
        <w:tab/>
        <w:t xml:space="preserve">an eligible pensioner who has registered an entitlement under the </w:t>
      </w:r>
      <w:r>
        <w:rPr>
          <w:i/>
          <w:snapToGrid w:val="0"/>
        </w:rPr>
        <w:t>Rates and Charges (Rebates and Deferments) Act 1992</w:t>
      </w:r>
      <w:r>
        <w:rPr>
          <w:snapToGrid w:val="0"/>
        </w:rPr>
        <w:t xml:space="preserve"> before the commencement of the period to which a quantity charge applies; or</w:t>
      </w:r>
    </w:p>
    <w:p>
      <w:pPr>
        <w:pStyle w:val="Indenta"/>
        <w:rPr>
          <w:snapToGrid w:val="0"/>
        </w:rPr>
      </w:pPr>
      <w:r>
        <w:rPr>
          <w:snapToGrid w:val="0"/>
        </w:rPr>
        <w:tab/>
        <w:t>(b)</w:t>
      </w:r>
      <w:r>
        <w:rPr>
          <w:snapToGrid w:val="0"/>
        </w:rPr>
        <w:tab/>
        <w:t>an eligible pensioner who is registered as a tenant with the Corporation before the commencement of the period to which a quantity charge applies,</w:t>
      </w:r>
    </w:p>
    <w:p>
      <w:pPr>
        <w:pStyle w:val="Subsection"/>
        <w:rPr>
          <w:snapToGrid w:val="0"/>
        </w:rPr>
      </w:pPr>
      <w:r>
        <w:rPr>
          <w:snapToGrid w:val="0"/>
        </w:rPr>
        <w:tab/>
      </w:r>
      <w:r>
        <w:rPr>
          <w:snapToGrid w:val="0"/>
        </w:rPr>
        <w:tab/>
        <w:t>then sub</w:t>
      </w:r>
      <w:r>
        <w:rPr>
          <w:snapToGrid w:val="0"/>
        </w:rPr>
        <w:noBreakHyphen/>
        <w:t>bylaw (3) applies.</w:t>
      </w:r>
    </w:p>
    <w:p>
      <w:pPr>
        <w:pStyle w:val="Subsection"/>
        <w:rPr>
          <w:snapToGrid w:val="0"/>
        </w:rPr>
      </w:pPr>
      <w:r>
        <w:rPr>
          <w:snapToGrid w:val="0"/>
        </w:rPr>
        <w:tab/>
        <w:t>(3)</w:t>
      </w:r>
      <w:r>
        <w:rPr>
          <w:snapToGrid w:val="0"/>
        </w:rPr>
        <w:tab/>
        <w:t>Where the Corporation is satisfied that a person described in sub</w:t>
      </w:r>
      <w:r>
        <w:rPr>
          <w:snapToGrid w:val="0"/>
        </w:rPr>
        <w:noBreakHyphen/>
        <w:t>bylaw (2)(a) or (b) is liable to pay a charge in relation to the water supplied to the property referred to in that sub</w:t>
      </w:r>
      <w:r>
        <w:rPr>
          <w:snapToGrid w:val="0"/>
        </w:rPr>
        <w:noBreakHyphen/>
        <w:t>bylaw, the person is entitled to a rebate to be calculated as 50% of the amount calculated from the annual charge rates, based on averaged unit consumption —</w:t>
      </w:r>
    </w:p>
    <w:p>
      <w:pPr>
        <w:pStyle w:val="Indenta"/>
        <w:rPr>
          <w:snapToGrid w:val="0"/>
        </w:rPr>
      </w:pPr>
      <w:r>
        <w:rPr>
          <w:snapToGrid w:val="0"/>
        </w:rPr>
        <w:tab/>
        <w:t>(a)</w:t>
      </w:r>
      <w:r>
        <w:rPr>
          <w:snapToGrid w:val="0"/>
        </w:rPr>
        <w:tab/>
        <w:t>where up to 150 kL of water is supplied in one year and where the land concerned is in the metropolitan area and is charged under by</w:t>
      </w:r>
      <w:r>
        <w:rPr>
          <w:snapToGrid w:val="0"/>
        </w:rPr>
        <w:noBreakHyphen/>
        <w:t>law 17A(1)(a), 17A(1)(b), 17A(3)(a) or 17A(3)(b) or under by</w:t>
      </w:r>
      <w:r>
        <w:rPr>
          <w:snapToGrid w:val="0"/>
        </w:rPr>
        <w:noBreakHyphen/>
        <w:t>law 17 and</w:t>
      </w:r>
      <w:r>
        <w:t xml:space="preserve"> Schedule 1 item 20 or 21</w:t>
      </w:r>
      <w:r>
        <w:rPr>
          <w:snapToGrid w:val="0"/>
        </w:rPr>
        <w:t>;</w:t>
      </w:r>
    </w:p>
    <w:p>
      <w:pPr>
        <w:pStyle w:val="Indenta"/>
        <w:keepNext/>
        <w:rPr>
          <w:snapToGrid w:val="0"/>
        </w:rPr>
      </w:pPr>
      <w:r>
        <w:rPr>
          <w:snapToGrid w:val="0"/>
        </w:rPr>
        <w:tab/>
        <w:t>(b)</w:t>
      </w:r>
      <w:r>
        <w:rPr>
          <w:snapToGrid w:val="0"/>
        </w:rPr>
        <w:tab/>
        <w:t>where up to —</w:t>
      </w:r>
    </w:p>
    <w:p>
      <w:pPr>
        <w:pStyle w:val="Indenti"/>
        <w:rPr>
          <w:snapToGrid w:val="0"/>
        </w:rPr>
      </w:pPr>
      <w:r>
        <w:rPr>
          <w:snapToGrid w:val="0"/>
        </w:rPr>
        <w:tab/>
        <w:t>(i)</w:t>
      </w:r>
      <w:r>
        <w:rPr>
          <w:snapToGrid w:val="0"/>
        </w:rPr>
        <w:tab/>
        <w:t xml:space="preserve">600 kL of water is supplied in one year and where the land concerned is in the town of Cue, Laverton, Leonora, Meekatharra, Menzies, Mt Magnet (from 1995/1996 onwards), </w:t>
      </w:r>
      <w:r>
        <w:t xml:space="preserve">Mullewa (from 2009/2010 onwards), </w:t>
      </w:r>
      <w:r>
        <w:rPr>
          <w:snapToGrid w:val="0"/>
        </w:rPr>
        <w:t>Sandstone, Wiluna or Yalgoo (from 1995/1996 onwards); or</w:t>
      </w:r>
    </w:p>
    <w:p>
      <w:pPr>
        <w:pStyle w:val="Indenti"/>
        <w:rPr>
          <w:snapToGrid w:val="0"/>
        </w:rPr>
      </w:pPr>
      <w:r>
        <w:rPr>
          <w:snapToGrid w:val="0"/>
        </w:rPr>
        <w:tab/>
        <w:t>(ii)</w:t>
      </w:r>
      <w:r>
        <w:rPr>
          <w:snapToGrid w:val="0"/>
        </w:rPr>
        <w:tab/>
        <w:t>400 kL of water is supplied in one year and where the land concerned is any other land south of 26° South Latitude,</w:t>
      </w:r>
    </w:p>
    <w:p>
      <w:pPr>
        <w:pStyle w:val="Indenta"/>
        <w:rPr>
          <w:snapToGrid w:val="0"/>
        </w:rPr>
      </w:pPr>
      <w:r>
        <w:rPr>
          <w:snapToGrid w:val="0"/>
        </w:rPr>
        <w:tab/>
      </w:r>
      <w:r>
        <w:rPr>
          <w:snapToGrid w:val="0"/>
        </w:rPr>
        <w:tab/>
        <w:t>and is charged under by</w:t>
      </w:r>
      <w:r>
        <w:rPr>
          <w:snapToGrid w:val="0"/>
        </w:rPr>
        <w:noBreakHyphen/>
        <w:t>law 17A(1)(a), 17A(1)(b), 17A(3)(a) or 17A(3)(b) or under by</w:t>
      </w:r>
      <w:r>
        <w:rPr>
          <w:snapToGrid w:val="0"/>
        </w:rPr>
        <w:noBreakHyphen/>
        <w:t>law 17 and</w:t>
      </w:r>
      <w:r>
        <w:t xml:space="preserve"> Schedule 1 item 22</w:t>
      </w:r>
      <w:r>
        <w:rPr>
          <w:snapToGrid w:val="0"/>
        </w:rPr>
        <w:t>; or</w:t>
      </w:r>
    </w:p>
    <w:p>
      <w:pPr>
        <w:pStyle w:val="Indenta"/>
        <w:rPr>
          <w:snapToGrid w:val="0"/>
        </w:rPr>
      </w:pPr>
      <w:r>
        <w:rPr>
          <w:snapToGrid w:val="0"/>
        </w:rPr>
        <w:tab/>
        <w:t>(c)</w:t>
      </w:r>
      <w:r>
        <w:rPr>
          <w:snapToGrid w:val="0"/>
        </w:rPr>
        <w:tab/>
        <w:t>where up to 600 kL of water is supplied in one year and where the land concerned is land north of 26° South Latitude and is charged under by</w:t>
      </w:r>
      <w:r>
        <w:rPr>
          <w:snapToGrid w:val="0"/>
        </w:rPr>
        <w:noBreakHyphen/>
        <w:t>law 17A(1)(a), 17A(1)(b), 17A(3)(a) or 17A(3)(b) or under by</w:t>
      </w:r>
      <w:r>
        <w:rPr>
          <w:snapToGrid w:val="0"/>
        </w:rPr>
        <w:noBreakHyphen/>
        <w:t>law 17 and</w:t>
      </w:r>
      <w:r>
        <w:t xml:space="preserve"> Schedule 1 item 22</w:t>
      </w:r>
      <w:r>
        <w:rPr>
          <w:snapToGrid w:val="0"/>
        </w:rPr>
        <w:t>,</w:t>
      </w:r>
    </w:p>
    <w:p>
      <w:pPr>
        <w:pStyle w:val="Subsection"/>
        <w:rPr>
          <w:snapToGrid w:val="0"/>
          <w:spacing w:val="-2"/>
        </w:rPr>
      </w:pPr>
      <w:r>
        <w:rPr>
          <w:snapToGrid w:val="0"/>
        </w:rPr>
        <w:tab/>
      </w:r>
      <w:r>
        <w:rPr>
          <w:snapToGrid w:val="0"/>
        </w:rPr>
        <w:tab/>
      </w:r>
      <w:r>
        <w:rPr>
          <w:snapToGrid w:val="0"/>
          <w:spacing w:val="-2"/>
        </w:rPr>
        <w:t>and the rebate is to be credited in accordance with sub</w:t>
      </w:r>
      <w:r>
        <w:rPr>
          <w:snapToGrid w:val="0"/>
          <w:spacing w:val="-2"/>
        </w:rPr>
        <w:noBreakHyphen/>
        <w:t>bylaw (4).</w:t>
      </w:r>
    </w:p>
    <w:p>
      <w:pPr>
        <w:pStyle w:val="Subsection"/>
        <w:rPr>
          <w:snapToGrid w:val="0"/>
        </w:rPr>
      </w:pPr>
      <w:r>
        <w:rPr>
          <w:snapToGrid w:val="0"/>
        </w:rPr>
        <w:tab/>
        <w:t>(4)</w:t>
      </w:r>
      <w:r>
        <w:rPr>
          <w:snapToGrid w:val="0"/>
        </w:rPr>
        <w:tab/>
        <w:t>The rebate set out in sub</w:t>
      </w:r>
      <w:r>
        <w:rPr>
          <w:snapToGrid w:val="0"/>
        </w:rPr>
        <w:noBreakHyphen/>
        <w:t>bylaw (3) can only be given —</w:t>
      </w:r>
    </w:p>
    <w:p>
      <w:pPr>
        <w:pStyle w:val="Indenta"/>
        <w:rPr>
          <w:snapToGrid w:val="0"/>
        </w:rPr>
      </w:pPr>
      <w:r>
        <w:rPr>
          <w:snapToGrid w:val="0"/>
        </w:rPr>
        <w:tab/>
        <w:t>(a)</w:t>
      </w:r>
      <w:r>
        <w:rPr>
          <w:snapToGrid w:val="0"/>
        </w:rPr>
        <w:tab/>
        <w:t>in the case of a person described in sub</w:t>
      </w:r>
      <w:r>
        <w:rPr>
          <w:snapToGrid w:val="0"/>
        </w:rPr>
        <w:noBreakHyphen/>
        <w:t>bylaw (2)(a), by direct credit to that person’s bank account or to his or her Annual Charges assessment;</w:t>
      </w:r>
    </w:p>
    <w:p>
      <w:pPr>
        <w:pStyle w:val="Indenta"/>
        <w:rPr>
          <w:snapToGrid w:val="0"/>
        </w:rPr>
      </w:pPr>
      <w:r>
        <w:rPr>
          <w:snapToGrid w:val="0"/>
        </w:rPr>
        <w:tab/>
        <w:t>(b)</w:t>
      </w:r>
      <w:r>
        <w:rPr>
          <w:snapToGrid w:val="0"/>
        </w:rPr>
        <w:tab/>
      </w:r>
      <w:r>
        <w:rPr>
          <w:snapToGrid w:val="0"/>
          <w:spacing w:val="-2"/>
        </w:rPr>
        <w:t>in the case of a person described in sub</w:t>
      </w:r>
      <w:r>
        <w:rPr>
          <w:snapToGrid w:val="0"/>
          <w:spacing w:val="-2"/>
        </w:rPr>
        <w:noBreakHyphen/>
        <w:t>bylaw (2)(b), by direct credit to that person’s bank account or credit to that person by such other means as the Corporation sees fit.</w:t>
      </w:r>
    </w:p>
    <w:p>
      <w:pPr>
        <w:pStyle w:val="Subsection"/>
        <w:rPr>
          <w:snapToGrid w:val="0"/>
        </w:rPr>
      </w:pPr>
      <w:r>
        <w:rPr>
          <w:snapToGrid w:val="0"/>
        </w:rPr>
        <w:tab/>
        <w:t>(5)</w:t>
      </w:r>
      <w:r>
        <w:rPr>
          <w:snapToGrid w:val="0"/>
        </w:rPr>
        <w:tab/>
        <w:t>The Corporation may, after having regard to the circumstances in a particular case, dispense with the requirement in sub</w:t>
      </w:r>
      <w:r>
        <w:rPr>
          <w:snapToGrid w:val="0"/>
        </w:rPr>
        <w:noBreakHyphen/>
        <w:t>bylaw (2) for a pensioner to register or be listed prior to the commencement of the period to which a quantity charge applies.</w:t>
      </w:r>
    </w:p>
    <w:p>
      <w:pPr>
        <w:pStyle w:val="Subsection"/>
        <w:rPr>
          <w:snapToGrid w:val="0"/>
        </w:rPr>
      </w:pPr>
      <w:r>
        <w:rPr>
          <w:snapToGrid w:val="0"/>
        </w:rPr>
        <w:tab/>
        <w:t>(6)</w:t>
      </w:r>
      <w:r>
        <w:rPr>
          <w:snapToGrid w:val="0"/>
        </w:rPr>
        <w:tab/>
        <w:t>An eligible pensioner registered for the purpose of this by</w:t>
      </w:r>
      <w:r>
        <w:rPr>
          <w:snapToGrid w:val="0"/>
        </w:rPr>
        <w:noBreakHyphen/>
        <w:t>law must advise the Corporation, in writing, if that pensioner —</w:t>
      </w:r>
    </w:p>
    <w:p>
      <w:pPr>
        <w:pStyle w:val="Indenta"/>
        <w:rPr>
          <w:snapToGrid w:val="0"/>
        </w:rPr>
      </w:pPr>
      <w:r>
        <w:rPr>
          <w:snapToGrid w:val="0"/>
        </w:rPr>
        <w:tab/>
        <w:t>(a)</w:t>
      </w:r>
      <w:r>
        <w:rPr>
          <w:snapToGrid w:val="0"/>
        </w:rPr>
        <w:tab/>
        <w:t>ceases to be an eligible pensioner; or</w:t>
      </w:r>
    </w:p>
    <w:p>
      <w:pPr>
        <w:pStyle w:val="Indenta"/>
        <w:rPr>
          <w:snapToGrid w:val="0"/>
        </w:rPr>
      </w:pPr>
      <w:r>
        <w:rPr>
          <w:snapToGrid w:val="0"/>
        </w:rPr>
        <w:tab/>
        <w:t>(b)</w:t>
      </w:r>
      <w:r>
        <w:rPr>
          <w:snapToGrid w:val="0"/>
        </w:rPr>
        <w:tab/>
        <w:t>ceases to occupy the property which is the subject of the registration.</w:t>
      </w:r>
    </w:p>
    <w:p>
      <w:pPr>
        <w:pStyle w:val="Subsection"/>
        <w:rPr>
          <w:snapToGrid w:val="0"/>
        </w:rPr>
      </w:pPr>
      <w:r>
        <w:rPr>
          <w:snapToGrid w:val="0"/>
        </w:rPr>
        <w:tab/>
        <w:t>(7)</w:t>
      </w:r>
      <w:r>
        <w:rPr>
          <w:snapToGrid w:val="0"/>
        </w:rPr>
        <w:tab/>
        <w:t>A person who, in connection with or for the purpose of being eligible to have a rebate credited in accordance with this by</w:t>
      </w:r>
      <w:r>
        <w:rPr>
          <w:snapToGrid w:val="0"/>
        </w:rPr>
        <w:noBreakHyphen/>
        <w:t>law, gives information that he or she knows or has reasonable cause to believe to be false or misleading commits an offence.</w:t>
      </w:r>
    </w:p>
    <w:p>
      <w:pPr>
        <w:pStyle w:val="Penstart"/>
        <w:rPr>
          <w:snapToGrid w:val="0"/>
        </w:rPr>
      </w:pPr>
      <w:r>
        <w:rPr>
          <w:snapToGrid w:val="0"/>
        </w:rPr>
        <w:tab/>
        <w:t>Penalty: $1 000.</w:t>
      </w:r>
    </w:p>
    <w:p>
      <w:pPr>
        <w:pStyle w:val="Footnotesection"/>
        <w:keepLines w:val="0"/>
      </w:pPr>
      <w:r>
        <w:tab/>
        <w:t>[By</w:t>
      </w:r>
      <w:r>
        <w:noBreakHyphen/>
        <w:t>law 18B inserted in Gazette 30 Dec 1994 p. 7351</w:t>
      </w:r>
      <w:r>
        <w:noBreakHyphen/>
        <w:t>3; amended in Gazette 30 Jun 1995 p. 2737; 17 Nov 1995 p. 5344</w:t>
      </w:r>
      <w:r>
        <w:noBreakHyphen/>
        <w:t>5; 29 Dec 1995 p. 6331; 6 Jan 1998 p. 41; 26 Jun 1998 p. 3400; 29 Jun 1999 p. 2794; 29 Jun 2001 p. 3193; 7 Aug 2001 p. 4038; 29 Jun 2007 p. 3251; 25 Jun 2010 p. 2906.]</w:t>
      </w:r>
    </w:p>
    <w:p>
      <w:pPr>
        <w:pStyle w:val="Ednotesection"/>
      </w:pPr>
      <w:r>
        <w:t>[</w:t>
      </w:r>
      <w:r>
        <w:rPr>
          <w:b/>
        </w:rPr>
        <w:t>19.</w:t>
      </w:r>
      <w:r>
        <w:rPr>
          <w:b/>
        </w:rPr>
        <w:tab/>
      </w:r>
      <w:r>
        <w:t>Deleted in Gazette 26 Jun 1998 p. 3400.]</w:t>
      </w:r>
    </w:p>
    <w:p>
      <w:pPr>
        <w:pStyle w:val="Heading5"/>
        <w:rPr>
          <w:snapToGrid w:val="0"/>
        </w:rPr>
      </w:pPr>
      <w:bookmarkStart w:id="278" w:name="_Toc487428969"/>
      <w:bookmarkStart w:id="279" w:name="_Toc17278676"/>
      <w:bookmarkStart w:id="280" w:name="_Toc180204776"/>
      <w:bookmarkStart w:id="281" w:name="_Toc328471453"/>
      <w:r>
        <w:rPr>
          <w:rStyle w:val="CharSectno"/>
        </w:rPr>
        <w:t>19A</w:t>
      </w:r>
      <w:r>
        <w:rPr>
          <w:snapToGrid w:val="0"/>
        </w:rPr>
        <w:t>.</w:t>
      </w:r>
      <w:r>
        <w:rPr>
          <w:snapToGrid w:val="0"/>
        </w:rPr>
        <w:tab/>
        <w:t>Capital infrastructure charges</w:t>
      </w:r>
      <w:bookmarkEnd w:id="278"/>
      <w:bookmarkEnd w:id="279"/>
      <w:bookmarkEnd w:id="280"/>
      <w:bookmarkEnd w:id="281"/>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r>
      <w:r>
        <w:rPr>
          <w:rStyle w:val="CharDefText"/>
        </w:rPr>
        <w:t>land</w:t>
      </w:r>
      <w:r>
        <w:t xml:space="preserve"> means a residential property or any other land.</w:t>
      </w:r>
    </w:p>
    <w:p>
      <w:pPr>
        <w:pStyle w:val="Subsection"/>
        <w:rPr>
          <w:snapToGrid w:val="0"/>
        </w:rPr>
      </w:pPr>
      <w:r>
        <w:rPr>
          <w:snapToGrid w:val="0"/>
        </w:rPr>
        <w:tab/>
        <w:t>(2)</w:t>
      </w:r>
      <w:r>
        <w:rPr>
          <w:snapToGrid w:val="0"/>
        </w:rPr>
        <w:tab/>
        <w:t>Subject to sub</w:t>
      </w:r>
      <w:r>
        <w:rPr>
          <w:snapToGrid w:val="0"/>
        </w:rPr>
        <w:noBreakHyphen/>
        <w:t>bylaw (3), if land is classified as</w:t>
      </w:r>
      <w:r>
        <w:t xml:space="preserve"> capital infrastructure</w:t>
      </w:r>
      <w:r>
        <w:rPr>
          <w:snapToGrid w:val="0"/>
        </w:rPr>
        <w:t>, the charge —</w:t>
      </w:r>
    </w:p>
    <w:p>
      <w:pPr>
        <w:pStyle w:val="Indenta"/>
        <w:rPr>
          <w:snapToGrid w:val="0"/>
        </w:rPr>
      </w:pPr>
      <w:r>
        <w:rPr>
          <w:snapToGrid w:val="0"/>
        </w:rPr>
        <w:tab/>
        <w:t>(a)</w:t>
      </w:r>
      <w:r>
        <w:rPr>
          <w:snapToGrid w:val="0"/>
        </w:rPr>
        <w:tab/>
        <w:t>set out in</w:t>
      </w:r>
      <w:r>
        <w:t xml:space="preserve"> Column 3 of the Table to Schedule 1 item 36</w:t>
      </w:r>
      <w:r>
        <w:rPr>
          <w:snapToGrid w:val="0"/>
        </w:rPr>
        <w:t>; and</w:t>
      </w:r>
    </w:p>
    <w:p>
      <w:pPr>
        <w:pStyle w:val="Indenta"/>
        <w:rPr>
          <w:snapToGrid w:val="0"/>
        </w:rPr>
      </w:pPr>
      <w:r>
        <w:rPr>
          <w:snapToGrid w:val="0"/>
        </w:rPr>
        <w:tab/>
        <w:t>(b)</w:t>
      </w:r>
      <w:r>
        <w:rPr>
          <w:snapToGrid w:val="0"/>
        </w:rPr>
        <w:tab/>
        <w:t>corresponding to the area within which the land is situated as specified in</w:t>
      </w:r>
      <w:r>
        <w:t xml:space="preserve"> Column 1 of the Table to Schedule 1 item 36</w:t>
      </w:r>
      <w:r>
        <w:rPr>
          <w:snapToGrid w:val="0"/>
        </w:rPr>
        <w:t>,</w:t>
      </w:r>
    </w:p>
    <w:p>
      <w:pPr>
        <w:pStyle w:val="Subsection"/>
        <w:rPr>
          <w:snapToGrid w:val="0"/>
        </w:rPr>
      </w:pPr>
      <w:r>
        <w:rPr>
          <w:snapToGrid w:val="0"/>
        </w:rPr>
        <w:tab/>
      </w:r>
      <w:r>
        <w:rPr>
          <w:snapToGrid w:val="0"/>
        </w:rPr>
        <w:tab/>
        <w:t>is a charge for a year in respect of that land, applicable for the number of years specified in</w:t>
      </w:r>
      <w:r>
        <w:t xml:space="preserve"> Column 4 of the Table to Schedule 1 item 36</w:t>
      </w:r>
      <w:r>
        <w:rPr>
          <w:snapToGrid w:val="0"/>
        </w:rPr>
        <w:t>.</w:t>
      </w:r>
    </w:p>
    <w:p>
      <w:pPr>
        <w:pStyle w:val="Subsection"/>
        <w:rPr>
          <w:snapToGrid w:val="0"/>
        </w:rPr>
      </w:pPr>
      <w:r>
        <w:rPr>
          <w:snapToGrid w:val="0"/>
        </w:rPr>
        <w:tab/>
        <w:t>(3)</w:t>
      </w:r>
      <w:r>
        <w:rPr>
          <w:snapToGrid w:val="0"/>
        </w:rPr>
        <w:tab/>
        <w:t>A person liable to pay a charge under sub</w:t>
      </w:r>
      <w:r>
        <w:rPr>
          <w:snapToGrid w:val="0"/>
        </w:rPr>
        <w:noBreakHyphen/>
        <w:t>bylaw (2) may, within 28 days of receiving notice of the charge from the Corporation, elect to pay the corresponding single charge specified in Column 2 of</w:t>
      </w:r>
      <w:r>
        <w:t xml:space="preserve"> the Table to Schedule 1 item 36</w:t>
      </w:r>
      <w:r>
        <w:rPr>
          <w:snapToGrid w:val="0"/>
        </w:rPr>
        <w:t>.</w:t>
      </w:r>
    </w:p>
    <w:p>
      <w:pPr>
        <w:pStyle w:val="Subsection"/>
        <w:rPr>
          <w:snapToGrid w:val="0"/>
        </w:rPr>
      </w:pPr>
      <w:r>
        <w:rPr>
          <w:snapToGrid w:val="0"/>
        </w:rPr>
        <w:tab/>
        <w:t>(4)</w:t>
      </w:r>
      <w:r>
        <w:rPr>
          <w:snapToGrid w:val="0"/>
        </w:rPr>
        <w:tab/>
        <w:t>Where a person elects to pay a single charge under sub</w:t>
      </w:r>
      <w:r>
        <w:rPr>
          <w:snapToGrid w:val="0"/>
        </w:rPr>
        <w:noBreakHyphen/>
        <w:t>bylaw (3) the single charge is payable in relation to the land instead of the annual charges specified in</w:t>
      </w:r>
      <w:r>
        <w:t xml:space="preserve"> sub</w:t>
      </w:r>
      <w:r>
        <w:noBreakHyphen/>
        <w:t>bylaw (2)</w:t>
      </w:r>
      <w:r>
        <w:rPr>
          <w:snapToGrid w:val="0"/>
        </w:rPr>
        <w:t>.</w:t>
      </w:r>
    </w:p>
    <w:p>
      <w:pPr>
        <w:pStyle w:val="Subsection"/>
        <w:rPr>
          <w:snapToGrid w:val="0"/>
        </w:rPr>
      </w:pPr>
      <w:r>
        <w:rPr>
          <w:snapToGrid w:val="0"/>
        </w:rPr>
        <w:tab/>
        <w:t>(5)</w:t>
      </w:r>
      <w:r>
        <w:rPr>
          <w:snapToGrid w:val="0"/>
        </w:rPr>
        <w:tab/>
        <w:t xml:space="preserve">A charge set out in </w:t>
      </w:r>
      <w:r>
        <w:t xml:space="preserve">the Table to Schedule 1 item 36 </w:t>
      </w:r>
      <w:r>
        <w:rPr>
          <w:snapToGrid w:val="0"/>
        </w:rPr>
        <w:t>is payable in addition to any other charges payable for water supply under these by</w:t>
      </w:r>
      <w:r>
        <w:rPr>
          <w:snapToGrid w:val="0"/>
        </w:rPr>
        <w:noBreakHyphen/>
        <w:t>laws.</w:t>
      </w:r>
    </w:p>
    <w:p>
      <w:pPr>
        <w:pStyle w:val="Footnotesection"/>
      </w:pPr>
      <w:r>
        <w:tab/>
        <w:t>[By</w:t>
      </w:r>
      <w:r>
        <w:noBreakHyphen/>
        <w:t>law 19A inserted in Gazette 13 May 1997 p. 2352</w:t>
      </w:r>
      <w:r>
        <w:noBreakHyphen/>
        <w:t>3; amended in Gazette 7 May 1999 p. 1860; 29 Jun 1999 p. 2794</w:t>
      </w:r>
      <w:r>
        <w:noBreakHyphen/>
        <w:t>5; 29 Jun 2001 p. 3193; 29 Jun 2007 p. 3251.]</w:t>
      </w:r>
    </w:p>
    <w:p>
      <w:pPr>
        <w:pStyle w:val="Heading3"/>
      </w:pPr>
      <w:bookmarkStart w:id="282" w:name="_Toc91580430"/>
      <w:bookmarkStart w:id="283" w:name="_Toc103667115"/>
      <w:bookmarkStart w:id="284" w:name="_Toc103741634"/>
      <w:bookmarkStart w:id="285" w:name="_Toc107981877"/>
      <w:bookmarkStart w:id="286" w:name="_Toc118800044"/>
      <w:bookmarkStart w:id="287" w:name="_Toc118860052"/>
      <w:bookmarkStart w:id="288" w:name="_Toc121545552"/>
      <w:bookmarkStart w:id="289" w:name="_Toc121801075"/>
      <w:bookmarkStart w:id="290" w:name="_Toc121818188"/>
      <w:bookmarkStart w:id="291" w:name="_Toc121880798"/>
      <w:bookmarkStart w:id="292" w:name="_Toc129481869"/>
      <w:bookmarkStart w:id="293" w:name="_Toc130095238"/>
      <w:bookmarkStart w:id="294" w:name="_Toc130273302"/>
      <w:bookmarkStart w:id="295" w:name="_Toc139770975"/>
      <w:bookmarkStart w:id="296" w:name="_Toc139771353"/>
      <w:bookmarkStart w:id="297" w:name="_Toc151191568"/>
      <w:bookmarkStart w:id="298" w:name="_Toc151260461"/>
      <w:bookmarkStart w:id="299" w:name="_Toc164158566"/>
      <w:bookmarkStart w:id="300" w:name="_Toc164220938"/>
      <w:bookmarkStart w:id="301" w:name="_Toc170878898"/>
      <w:bookmarkStart w:id="302" w:name="_Toc170894650"/>
      <w:bookmarkStart w:id="303" w:name="_Toc175712616"/>
      <w:bookmarkStart w:id="304" w:name="_Toc175970557"/>
      <w:bookmarkStart w:id="305" w:name="_Toc176335276"/>
      <w:bookmarkStart w:id="306" w:name="_Toc176338851"/>
      <w:bookmarkStart w:id="307" w:name="_Toc178742876"/>
      <w:bookmarkStart w:id="308" w:name="_Toc179363299"/>
      <w:bookmarkStart w:id="309" w:name="_Toc179604368"/>
      <w:bookmarkStart w:id="310" w:name="_Toc180204561"/>
      <w:bookmarkStart w:id="311" w:name="_Toc180204777"/>
      <w:bookmarkStart w:id="312" w:name="_Toc185844522"/>
      <w:bookmarkStart w:id="313" w:name="_Toc185845142"/>
      <w:bookmarkStart w:id="314" w:name="_Toc185927107"/>
      <w:bookmarkStart w:id="315" w:name="_Toc202505855"/>
      <w:bookmarkStart w:id="316" w:name="_Toc202672640"/>
      <w:bookmarkStart w:id="317" w:name="_Toc202691731"/>
      <w:bookmarkStart w:id="318" w:name="_Toc233448353"/>
      <w:bookmarkStart w:id="319" w:name="_Toc233611667"/>
      <w:bookmarkStart w:id="320" w:name="_Toc234730674"/>
      <w:bookmarkStart w:id="321" w:name="_Toc234733200"/>
      <w:bookmarkStart w:id="322" w:name="_Toc235863937"/>
      <w:bookmarkStart w:id="323" w:name="_Toc235933412"/>
      <w:bookmarkStart w:id="324" w:name="_Toc237164400"/>
      <w:bookmarkStart w:id="325" w:name="_Toc237244283"/>
      <w:bookmarkStart w:id="326" w:name="_Toc237245584"/>
      <w:bookmarkStart w:id="327" w:name="_Toc237245715"/>
      <w:bookmarkStart w:id="328" w:name="_Toc237247823"/>
      <w:bookmarkStart w:id="329" w:name="_Toc237254126"/>
      <w:bookmarkStart w:id="330" w:name="_Toc237309545"/>
      <w:bookmarkStart w:id="331" w:name="_Toc265743484"/>
      <w:bookmarkStart w:id="332" w:name="_Toc297540742"/>
      <w:bookmarkStart w:id="333" w:name="_Toc297541170"/>
      <w:bookmarkStart w:id="334" w:name="_Toc328403405"/>
      <w:bookmarkStart w:id="335" w:name="_Toc328471454"/>
      <w:r>
        <w:rPr>
          <w:rStyle w:val="CharDivNo"/>
        </w:rPr>
        <w:t>Division 2</w:t>
      </w:r>
      <w:r>
        <w:rPr>
          <w:snapToGrid w:val="0"/>
        </w:rPr>
        <w:t> — </w:t>
      </w:r>
      <w:r>
        <w:rPr>
          <w:rStyle w:val="CharDivText"/>
        </w:rPr>
        <w:t xml:space="preserve">Water supply under </w:t>
      </w:r>
      <w:r>
        <w:rPr>
          <w:rStyle w:val="CharDivText"/>
          <w:i/>
        </w:rPr>
        <w:t>Rights in Water and Irrigation Act 1914</w:t>
      </w:r>
      <w:r>
        <w:rPr>
          <w:rStyle w:val="CharDivText"/>
        </w:rPr>
        <w:t xml:space="preserve"> other than for irrigation</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Heading5"/>
        <w:rPr>
          <w:snapToGrid w:val="0"/>
        </w:rPr>
      </w:pPr>
      <w:bookmarkStart w:id="336" w:name="_Toc487428970"/>
      <w:bookmarkStart w:id="337" w:name="_Toc17278677"/>
      <w:bookmarkStart w:id="338" w:name="_Toc180204778"/>
      <w:bookmarkStart w:id="339" w:name="_Toc328471455"/>
      <w:r>
        <w:rPr>
          <w:rStyle w:val="CharSectno"/>
        </w:rPr>
        <w:t>20</w:t>
      </w:r>
      <w:r>
        <w:rPr>
          <w:snapToGrid w:val="0"/>
        </w:rPr>
        <w:t>.</w:t>
      </w:r>
      <w:r>
        <w:rPr>
          <w:snapToGrid w:val="0"/>
        </w:rPr>
        <w:tab/>
        <w:t>Land subject to water supply charges under this Division</w:t>
      </w:r>
      <w:bookmarkEnd w:id="336"/>
      <w:bookmarkEnd w:id="337"/>
      <w:bookmarkEnd w:id="338"/>
      <w:bookmarkEnd w:id="339"/>
    </w:p>
    <w:p>
      <w:pPr>
        <w:pStyle w:val="Subsection"/>
        <w:rPr>
          <w:snapToGrid w:val="0"/>
        </w:rPr>
      </w:pPr>
      <w:r>
        <w:rPr>
          <w:snapToGrid w:val="0"/>
        </w:rPr>
        <w:tab/>
      </w:r>
      <w:r>
        <w:rPr>
          <w:snapToGrid w:val="0"/>
        </w:rPr>
        <w:tab/>
        <w:t xml:space="preserve">Land that is actually supplied by the Corporation under the </w:t>
      </w:r>
      <w:r>
        <w:rPr>
          <w:i/>
          <w:snapToGrid w:val="0"/>
        </w:rPr>
        <w:t>Rights in Water and Irrigation Act 1914</w:t>
      </w:r>
      <w:r>
        <w:rPr>
          <w:snapToGrid w:val="0"/>
        </w:rPr>
        <w:t xml:space="preserve"> with water for purposes other than irrigation shall be taken, in accordance with section 41(1)(b) of the </w:t>
      </w:r>
      <w:r>
        <w:rPr>
          <w:i/>
          <w:snapToGrid w:val="0"/>
        </w:rPr>
        <w:t>Water Agencies (Powers) Act 1984</w:t>
      </w:r>
      <w:r>
        <w:rPr>
          <w:snapToGrid w:val="0"/>
        </w:rPr>
        <w:t xml:space="preserve">, to be land in respect of which the Corporation provides water supply and charges under </w:t>
      </w:r>
      <w:r>
        <w:t xml:space="preserve">Schedule 2 </w:t>
      </w:r>
      <w:r>
        <w:rPr>
          <w:snapToGrid w:val="0"/>
        </w:rPr>
        <w:t>shall apply in respect of that land.</w:t>
      </w:r>
    </w:p>
    <w:p>
      <w:pPr>
        <w:pStyle w:val="Footnotesection"/>
      </w:pPr>
      <w:r>
        <w:tab/>
        <w:t>[By</w:t>
      </w:r>
      <w:r>
        <w:noBreakHyphen/>
        <w:t>law 20 amended in Gazette 29 Dec 1995 p. 6331</w:t>
      </w:r>
      <w:r>
        <w:noBreakHyphen/>
        <w:t>2; 29 Jun 1999 p. 2795; 29 Jun 2001 p. 3194.]</w:t>
      </w:r>
    </w:p>
    <w:p>
      <w:pPr>
        <w:pStyle w:val="Ednotedivision"/>
      </w:pPr>
      <w:r>
        <w:t>[Divisions 3 and 4 deleted in Gazette 27 Jun 1997 p. 3180.]</w:t>
      </w:r>
    </w:p>
    <w:p>
      <w:pPr>
        <w:pStyle w:val="Heading2"/>
      </w:pPr>
      <w:bookmarkStart w:id="340" w:name="_Toc91580432"/>
      <w:bookmarkStart w:id="341" w:name="_Toc103667117"/>
      <w:bookmarkStart w:id="342" w:name="_Toc103741636"/>
      <w:bookmarkStart w:id="343" w:name="_Toc107981879"/>
      <w:bookmarkStart w:id="344" w:name="_Toc118800046"/>
      <w:bookmarkStart w:id="345" w:name="_Toc118860054"/>
      <w:bookmarkStart w:id="346" w:name="_Toc121545554"/>
      <w:bookmarkStart w:id="347" w:name="_Toc121801077"/>
      <w:bookmarkStart w:id="348" w:name="_Toc121818190"/>
      <w:bookmarkStart w:id="349" w:name="_Toc121880800"/>
      <w:bookmarkStart w:id="350" w:name="_Toc129481871"/>
      <w:bookmarkStart w:id="351" w:name="_Toc130095240"/>
      <w:bookmarkStart w:id="352" w:name="_Toc130273304"/>
      <w:bookmarkStart w:id="353" w:name="_Toc139770977"/>
      <w:bookmarkStart w:id="354" w:name="_Toc139771355"/>
      <w:bookmarkStart w:id="355" w:name="_Toc151191570"/>
      <w:bookmarkStart w:id="356" w:name="_Toc151260463"/>
      <w:bookmarkStart w:id="357" w:name="_Toc164158568"/>
      <w:bookmarkStart w:id="358" w:name="_Toc164220940"/>
      <w:bookmarkStart w:id="359" w:name="_Toc170878900"/>
      <w:bookmarkStart w:id="360" w:name="_Toc170894652"/>
      <w:bookmarkStart w:id="361" w:name="_Toc175712618"/>
      <w:bookmarkStart w:id="362" w:name="_Toc175970559"/>
      <w:bookmarkStart w:id="363" w:name="_Toc176335278"/>
      <w:bookmarkStart w:id="364" w:name="_Toc176338853"/>
      <w:bookmarkStart w:id="365" w:name="_Toc178742878"/>
      <w:bookmarkStart w:id="366" w:name="_Toc179363301"/>
      <w:bookmarkStart w:id="367" w:name="_Toc179604370"/>
      <w:bookmarkStart w:id="368" w:name="_Toc180204563"/>
      <w:bookmarkStart w:id="369" w:name="_Toc180204779"/>
      <w:bookmarkStart w:id="370" w:name="_Toc185844524"/>
      <w:bookmarkStart w:id="371" w:name="_Toc185845144"/>
      <w:bookmarkStart w:id="372" w:name="_Toc185927109"/>
      <w:bookmarkStart w:id="373" w:name="_Toc202505857"/>
      <w:bookmarkStart w:id="374" w:name="_Toc202672642"/>
      <w:bookmarkStart w:id="375" w:name="_Toc202691733"/>
      <w:bookmarkStart w:id="376" w:name="_Toc233448355"/>
      <w:bookmarkStart w:id="377" w:name="_Toc233611669"/>
      <w:bookmarkStart w:id="378" w:name="_Toc234730676"/>
      <w:bookmarkStart w:id="379" w:name="_Toc234733202"/>
      <w:bookmarkStart w:id="380" w:name="_Toc235863939"/>
      <w:bookmarkStart w:id="381" w:name="_Toc235933414"/>
      <w:bookmarkStart w:id="382" w:name="_Toc237164402"/>
      <w:bookmarkStart w:id="383" w:name="_Toc237244285"/>
      <w:bookmarkStart w:id="384" w:name="_Toc237245586"/>
      <w:bookmarkStart w:id="385" w:name="_Toc237245717"/>
      <w:bookmarkStart w:id="386" w:name="_Toc237247825"/>
      <w:bookmarkStart w:id="387" w:name="_Toc237254128"/>
      <w:bookmarkStart w:id="388" w:name="_Toc237309547"/>
      <w:bookmarkStart w:id="389" w:name="_Toc265743486"/>
      <w:bookmarkStart w:id="390" w:name="_Toc297540744"/>
      <w:bookmarkStart w:id="391" w:name="_Toc297541172"/>
      <w:bookmarkStart w:id="392" w:name="_Toc328403407"/>
      <w:bookmarkStart w:id="393" w:name="_Toc328471456"/>
      <w:r>
        <w:rPr>
          <w:rStyle w:val="CharPartNo"/>
        </w:rPr>
        <w:t>Part 3</w:t>
      </w:r>
      <w:r>
        <w:rPr>
          <w:rStyle w:val="CharDivNo"/>
        </w:rPr>
        <w:t> </w:t>
      </w:r>
      <w:r>
        <w:t>—</w:t>
      </w:r>
      <w:r>
        <w:rPr>
          <w:rStyle w:val="CharDivText"/>
        </w:rPr>
        <w:t> </w:t>
      </w:r>
      <w:r>
        <w:rPr>
          <w:rStyle w:val="CharPartText"/>
        </w:rPr>
        <w:t>Sewerage</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Heading5"/>
      </w:pPr>
      <w:bookmarkStart w:id="394" w:name="_Toc180204780"/>
      <w:bookmarkStart w:id="395" w:name="_Toc328471457"/>
      <w:bookmarkStart w:id="396" w:name="_Toc487428972"/>
      <w:bookmarkStart w:id="397" w:name="_Toc17278679"/>
      <w:r>
        <w:rPr>
          <w:rStyle w:val="CharSectno"/>
        </w:rPr>
        <w:t>21A</w:t>
      </w:r>
      <w:r>
        <w:t>.</w:t>
      </w:r>
      <w:r>
        <w:tab/>
        <w:t>Terms used</w:t>
      </w:r>
      <w:bookmarkEnd w:id="394"/>
      <w:bookmarkEnd w:id="395"/>
    </w:p>
    <w:p>
      <w:pPr>
        <w:pStyle w:val="Subsection"/>
      </w:pPr>
      <w:r>
        <w:tab/>
      </w:r>
      <w:r>
        <w:tab/>
        <w:t>In this Part —</w:t>
      </w:r>
    </w:p>
    <w:p>
      <w:pPr>
        <w:pStyle w:val="Defstart"/>
      </w:pPr>
      <w:r>
        <w:rPr>
          <w:b/>
        </w:rPr>
        <w:tab/>
      </w:r>
      <w:r>
        <w:rPr>
          <w:rStyle w:val="CharDefText"/>
        </w:rPr>
        <w:t>country non</w:t>
      </w:r>
      <w:r>
        <w:rPr>
          <w:rStyle w:val="CharDefText"/>
        </w:rPr>
        <w:noBreakHyphen/>
        <w:t>residential or commercial residential property</w:t>
      </w:r>
      <w:r>
        <w:t xml:space="preserve"> means land referred to in Schedule 3 item 31;</w:t>
      </w:r>
    </w:p>
    <w:p>
      <w:pPr>
        <w:pStyle w:val="Defstart"/>
      </w:pPr>
      <w:r>
        <w:rPr>
          <w:b/>
        </w:rPr>
        <w:tab/>
      </w:r>
      <w:r>
        <w:rPr>
          <w:rStyle w:val="CharDefText"/>
        </w:rPr>
        <w:t>formula</w:t>
      </w:r>
      <w:r>
        <w:t xml:space="preserve"> means —</w:t>
      </w:r>
    </w:p>
    <w:p>
      <w:pPr>
        <w:pStyle w:val="Defpara"/>
        <w:spacing w:before="120"/>
      </w:pPr>
      <w:r>
        <w:tab/>
        <w:t>(a)</w:t>
      </w:r>
      <w:r>
        <w:tab/>
        <w:t>in a metropolitan context, the formula set out in Schedule 3 item 18; or</w:t>
      </w:r>
    </w:p>
    <w:p>
      <w:pPr>
        <w:pStyle w:val="Defpara"/>
        <w:spacing w:before="120"/>
      </w:pPr>
      <w:r>
        <w:tab/>
        <w:t>(b)</w:t>
      </w:r>
      <w:r>
        <w:tab/>
        <w:t>in a country context, the formula set out in Schedule 3 item 36;</w:t>
      </w:r>
    </w:p>
    <w:p>
      <w:pPr>
        <w:pStyle w:val="Defstart"/>
      </w:pPr>
      <w:r>
        <w:rPr>
          <w:b/>
        </w:rPr>
        <w:tab/>
      </w:r>
      <w:r>
        <w:rPr>
          <w:rStyle w:val="CharDefText"/>
        </w:rPr>
        <w:t>metropolitan non</w:t>
      </w:r>
      <w:r>
        <w:rPr>
          <w:rStyle w:val="CharDefText"/>
        </w:rPr>
        <w:noBreakHyphen/>
        <w:t>residential property</w:t>
      </w:r>
      <w:r>
        <w:t xml:space="preserve"> means land referred to in Schedule 3 item 13;</w:t>
      </w:r>
    </w:p>
    <w:p>
      <w:pPr>
        <w:pStyle w:val="Defstart"/>
        <w:outlineLvl w:val="0"/>
      </w:pPr>
      <w:r>
        <w:tab/>
      </w:r>
      <w:r>
        <w:rPr>
          <w:rStyle w:val="CharDefText"/>
        </w:rPr>
        <w:t>Table</w:t>
      </w:r>
      <w:r>
        <w:t xml:space="preserve"> means —</w:t>
      </w:r>
    </w:p>
    <w:p>
      <w:pPr>
        <w:pStyle w:val="Defpara"/>
        <w:spacing w:before="120"/>
      </w:pPr>
      <w:r>
        <w:tab/>
        <w:t>(a)</w:t>
      </w:r>
      <w:r>
        <w:tab/>
        <w:t>in a metropolitan context, the Table to Schedule 3 item 18; or</w:t>
      </w:r>
    </w:p>
    <w:p>
      <w:pPr>
        <w:pStyle w:val="Defpara"/>
        <w:spacing w:before="120"/>
      </w:pPr>
      <w:r>
        <w:tab/>
        <w:t>(b)</w:t>
      </w:r>
      <w:r>
        <w:tab/>
        <w:t>in a country context, the Table to Schedule 3 item 36.</w:t>
      </w:r>
    </w:p>
    <w:p>
      <w:pPr>
        <w:pStyle w:val="Footnotesection"/>
      </w:pPr>
      <w:r>
        <w:tab/>
        <w:t>[By</w:t>
      </w:r>
      <w:r>
        <w:noBreakHyphen/>
        <w:t>law 21A inserted in Gazette 27 Jun 2003 p. 2287; amended in Gazette 29 Jun 2007 p. 3251</w:t>
      </w:r>
      <w:r>
        <w:noBreakHyphen/>
        <w:t>2.]</w:t>
      </w:r>
    </w:p>
    <w:p>
      <w:pPr>
        <w:pStyle w:val="Heading5"/>
        <w:rPr>
          <w:snapToGrid w:val="0"/>
        </w:rPr>
      </w:pPr>
      <w:bookmarkStart w:id="398" w:name="_Toc180204781"/>
      <w:bookmarkStart w:id="399" w:name="_Toc328471458"/>
      <w:r>
        <w:rPr>
          <w:rStyle w:val="CharSectno"/>
        </w:rPr>
        <w:t>21</w:t>
      </w:r>
      <w:r>
        <w:rPr>
          <w:snapToGrid w:val="0"/>
        </w:rPr>
        <w:t>.</w:t>
      </w:r>
      <w:r>
        <w:rPr>
          <w:snapToGrid w:val="0"/>
        </w:rPr>
        <w:tab/>
        <w:t>Land subject to sewerage charges</w:t>
      </w:r>
      <w:bookmarkEnd w:id="396"/>
      <w:bookmarkEnd w:id="397"/>
      <w:bookmarkEnd w:id="398"/>
      <w:bookmarkEnd w:id="399"/>
    </w:p>
    <w:p>
      <w:pPr>
        <w:pStyle w:val="Subsection"/>
        <w:rPr>
          <w:snapToGrid w:val="0"/>
        </w:rPr>
      </w:pPr>
      <w:r>
        <w:rPr>
          <w:snapToGrid w:val="0"/>
        </w:rPr>
        <w:tab/>
      </w:r>
      <w:r>
        <w:rPr>
          <w:snapToGrid w:val="0"/>
        </w:rPr>
        <w:tab/>
        <w:t>Land that is connected with a sewer or, although not connected —</w:t>
      </w:r>
    </w:p>
    <w:p>
      <w:pPr>
        <w:pStyle w:val="Indenta"/>
        <w:spacing w:before="120"/>
        <w:rPr>
          <w:snapToGrid w:val="0"/>
        </w:rPr>
      </w:pPr>
      <w:r>
        <w:rPr>
          <w:snapToGrid w:val="0"/>
        </w:rPr>
        <w:tab/>
        <w:t>(a)</w:t>
      </w:r>
      <w:r>
        <w:rPr>
          <w:snapToGrid w:val="0"/>
        </w:rPr>
        <w:tab/>
        <w:t>is in the opinion of the Corporation reasonably capable of being connected with a sewer; and</w:t>
      </w:r>
    </w:p>
    <w:p>
      <w:pPr>
        <w:pStyle w:val="Indenta"/>
        <w:spacing w:before="120"/>
        <w:rPr>
          <w:snapToGrid w:val="0"/>
        </w:rPr>
      </w:pPr>
      <w:r>
        <w:rPr>
          <w:snapToGrid w:val="0"/>
        </w:rPr>
        <w:tab/>
        <w:t>(b)</w:t>
      </w:r>
      <w:r>
        <w:rPr>
          <w:snapToGrid w:val="0"/>
        </w:rPr>
        <w:tab/>
        <w:t>has been the subject of a notice advising the owner or occupier of the land that it is reasonably capable of being connected with a sewer,</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sewerage and, subject to by</w:t>
      </w:r>
      <w:r>
        <w:rPr>
          <w:snapToGrid w:val="0"/>
        </w:rPr>
        <w:noBreakHyphen/>
        <w:t>law 22, charges as set out in Schedule 3, shall apply in respect of that land.</w:t>
      </w:r>
    </w:p>
    <w:p>
      <w:pPr>
        <w:pStyle w:val="Footnotesection"/>
        <w:spacing w:before="100"/>
        <w:ind w:left="890" w:hanging="890"/>
      </w:pPr>
      <w:r>
        <w:tab/>
        <w:t>[By</w:t>
      </w:r>
      <w:r>
        <w:noBreakHyphen/>
        <w:t>law 21 amended in Gazette 29 Dec 1995 p. 6331</w:t>
      </w:r>
      <w:r>
        <w:noBreakHyphen/>
        <w:t>2; 29 Jun 2001 p. 3194.]</w:t>
      </w:r>
    </w:p>
    <w:p>
      <w:pPr>
        <w:pStyle w:val="Heading5"/>
        <w:rPr>
          <w:snapToGrid w:val="0"/>
        </w:rPr>
      </w:pPr>
      <w:bookmarkStart w:id="400" w:name="_Toc487428973"/>
      <w:bookmarkStart w:id="401" w:name="_Toc17278680"/>
      <w:bookmarkStart w:id="402" w:name="_Toc180204782"/>
      <w:bookmarkStart w:id="403" w:name="_Toc328471459"/>
      <w:r>
        <w:rPr>
          <w:rStyle w:val="CharSectno"/>
        </w:rPr>
        <w:t>22</w:t>
      </w:r>
      <w:r>
        <w:rPr>
          <w:snapToGrid w:val="0"/>
        </w:rPr>
        <w:t>.</w:t>
      </w:r>
      <w:r>
        <w:rPr>
          <w:snapToGrid w:val="0"/>
        </w:rPr>
        <w:tab/>
        <w:t>Exempt land</w:t>
      </w:r>
      <w:bookmarkEnd w:id="400"/>
      <w:bookmarkEnd w:id="401"/>
      <w:bookmarkEnd w:id="402"/>
      <w:bookmarkEnd w:id="403"/>
    </w:p>
    <w:p>
      <w:pPr>
        <w:pStyle w:val="Subsection"/>
        <w:rPr>
          <w:snapToGrid w:val="0"/>
        </w:rPr>
      </w:pPr>
      <w:r>
        <w:rPr>
          <w:snapToGrid w:val="0"/>
        </w:rPr>
        <w:tab/>
      </w:r>
      <w:r>
        <w:rPr>
          <w:snapToGrid w:val="0"/>
        </w:rPr>
        <w:tab/>
        <w:t>Where land described in by</w:t>
      </w:r>
      <w:r>
        <w:rPr>
          <w:snapToGrid w:val="0"/>
        </w:rPr>
        <w:noBreakHyphen/>
        <w:t>law 4 is not connected with a sewer, it is exempt from any charge set out in</w:t>
      </w:r>
      <w:r>
        <w:t xml:space="preserve"> Schedule 3 to the extent set out in that Schedule.</w:t>
      </w:r>
    </w:p>
    <w:p>
      <w:pPr>
        <w:pStyle w:val="Footnotesection"/>
        <w:spacing w:before="100"/>
        <w:ind w:left="890" w:hanging="890"/>
      </w:pPr>
      <w:r>
        <w:tab/>
        <w:t>[By</w:t>
      </w:r>
      <w:r>
        <w:noBreakHyphen/>
        <w:t>law 22 amended in Gazette 29 Jun 2001 p. 3194; 20 Jun 2012 p. 2699.]</w:t>
      </w:r>
    </w:p>
    <w:p>
      <w:pPr>
        <w:pStyle w:val="Heading5"/>
        <w:rPr>
          <w:rStyle w:val="CharSectno"/>
        </w:rPr>
      </w:pPr>
      <w:bookmarkStart w:id="404" w:name="_Toc180204783"/>
      <w:bookmarkStart w:id="405" w:name="_Toc328471460"/>
      <w:bookmarkStart w:id="406" w:name="_Toc487428975"/>
      <w:bookmarkStart w:id="407" w:name="_Toc17278682"/>
      <w:r>
        <w:rPr>
          <w:rStyle w:val="CharSectno"/>
        </w:rPr>
        <w:t>23.</w:t>
      </w:r>
      <w:r>
        <w:rPr>
          <w:rStyle w:val="CharSectno"/>
        </w:rPr>
        <w:tab/>
        <w:t>Classification of land</w:t>
      </w:r>
      <w:bookmarkEnd w:id="404"/>
      <w:bookmarkEnd w:id="405"/>
    </w:p>
    <w:p>
      <w:pPr>
        <w:pStyle w:val="Subsection"/>
      </w:pPr>
      <w:r>
        <w:rPr>
          <w:snapToGrid w:val="0"/>
        </w:rPr>
        <w:tab/>
        <w:t>(1)</w:t>
      </w:r>
      <w:r>
        <w:rPr>
          <w:snapToGrid w:val="0"/>
        </w:rPr>
        <w:tab/>
        <w:t>For the purposes of this Part, land described in by</w:t>
      </w:r>
      <w:r>
        <w:rPr>
          <w:snapToGrid w:val="0"/>
        </w:rPr>
        <w:noBreakHyphen/>
        <w:t>law 4 that is</w:t>
      </w:r>
      <w:r>
        <w:t xml:space="preserve"> in a country sewerage area and is connected with a sewer may, irrespective of any other classification under these by</w:t>
      </w:r>
      <w:r>
        <w:noBreakHyphen/>
        <w:t xml:space="preserve">laws, be classified by the Corporation as follows — </w:t>
      </w:r>
    </w:p>
    <w:p>
      <w:pPr>
        <w:pStyle w:val="Indenta"/>
        <w:spacing w:before="100"/>
      </w:pPr>
      <w:r>
        <w:tab/>
        <w:t>(a)</w:t>
      </w:r>
      <w:r>
        <w:tab/>
        <w:t>institutional public, if the land is used for such club, institutional or public purpose as the Corporation approves, not being a purpose mentioned in paragraph (b);</w:t>
      </w:r>
    </w:p>
    <w:p>
      <w:pPr>
        <w:pStyle w:val="Indenta"/>
        <w:spacing w:before="100"/>
      </w:pPr>
      <w:r>
        <w:tab/>
        <w:t>(b)</w:t>
      </w:r>
      <w:r>
        <w:tab/>
        <w:t xml:space="preserve">charitable purposes, if, in the opinion of the Corporation, the land is used for the purpose of — </w:t>
      </w:r>
    </w:p>
    <w:p>
      <w:pPr>
        <w:pStyle w:val="Indenti"/>
        <w:spacing w:before="100"/>
      </w:pPr>
      <w:r>
        <w:tab/>
        <w:t>(i)</w:t>
      </w:r>
      <w:r>
        <w:tab/>
        <w:t>providing relief or assistance to sick, aged, disadvantaged, unemployed or young persons; or</w:t>
      </w:r>
    </w:p>
    <w:p>
      <w:pPr>
        <w:pStyle w:val="Indenti"/>
        <w:spacing w:before="100"/>
      </w:pPr>
      <w:r>
        <w:tab/>
        <w:t>(ii)</w:t>
      </w:r>
      <w:r>
        <w:tab/>
        <w:t>conducting other activities for the benefit of the public or in the interests of social welfare,</w:t>
      </w:r>
    </w:p>
    <w:p>
      <w:pPr>
        <w:pStyle w:val="Indenta"/>
        <w:spacing w:before="100"/>
      </w:pPr>
      <w:r>
        <w:tab/>
      </w:r>
      <w:r>
        <w:tab/>
        <w:t>by a private organisation that is not operated for the purpose of profit or gain to individual members, shareholders or owners;</w:t>
      </w:r>
    </w:p>
    <w:p>
      <w:pPr>
        <w:pStyle w:val="Indenta"/>
        <w:spacing w:before="100"/>
      </w:pPr>
      <w:r>
        <w:tab/>
        <w:t>(c)</w:t>
      </w:r>
      <w:r>
        <w:tab/>
        <w:t>community residential, if the land is occupied as a communal property on which several family units dwell at the same time and is managed by the persons dwelling on the land or a committee of them;</w:t>
      </w:r>
    </w:p>
    <w:p>
      <w:pPr>
        <w:pStyle w:val="Indenta"/>
      </w:pPr>
      <w:r>
        <w:tab/>
        <w:t>(d)</w:t>
      </w:r>
      <w:r>
        <w:tab/>
        <w:t>local government, if the land is not in the metropolitan area and is used by the local government for business, professional, commercial or office purposes, or as a power station, and the classification of the land is not otherwise specifically provided for in this by</w:t>
      </w:r>
      <w:r>
        <w:noBreakHyphen/>
        <w:t>law;</w:t>
      </w:r>
    </w:p>
    <w:p>
      <w:pPr>
        <w:pStyle w:val="Indenta"/>
      </w:pPr>
      <w:r>
        <w:tab/>
        <w:t>(e)</w:t>
      </w:r>
      <w:r>
        <w:tab/>
        <w:t>aged home, if the land is in the metropolitan area and the classification of the land is not otherwise specifically provided for in this by</w:t>
      </w:r>
      <w:r>
        <w:noBreakHyphen/>
        <w:t>law,</w:t>
      </w:r>
    </w:p>
    <w:p>
      <w:pPr>
        <w:pStyle w:val="Subsection"/>
        <w:spacing w:before="120"/>
      </w:pPr>
      <w:r>
        <w:tab/>
      </w:r>
      <w:r>
        <w:tab/>
        <w:t>and, where it is not classified under paragraph (a), (b), (c), (d) or (e), shall be taken to have been classified as community purpose.</w:t>
      </w:r>
    </w:p>
    <w:p>
      <w:pPr>
        <w:pStyle w:val="Subsection"/>
      </w:pPr>
      <w:r>
        <w:tab/>
        <w:t>(2)</w:t>
      </w:r>
      <w:r>
        <w:tab/>
        <w:t>For the purposes of this Part, land, not being land mentioned in sub</w:t>
      </w:r>
      <w:r>
        <w:noBreakHyphen/>
        <w:t>bylaw (1), may, irrespective of any other classification under these by</w:t>
      </w:r>
      <w:r>
        <w:noBreakHyphen/>
        <w:t xml:space="preserve">laws, be classified by the Corporation as follows — </w:t>
      </w:r>
    </w:p>
    <w:p>
      <w:pPr>
        <w:pStyle w:val="Indenta"/>
      </w:pPr>
      <w:r>
        <w:tab/>
        <w:t>(a)</w:t>
      </w:r>
      <w:r>
        <w:tab/>
        <w:t>residential, if the land is used wholly or primarily for the purpose of providing the owner or occupier of the land with a residence for himself, his family or servants, or any of them;</w:t>
      </w:r>
    </w:p>
    <w:p>
      <w:pPr>
        <w:pStyle w:val="Indenta"/>
      </w:pPr>
      <w:r>
        <w:tab/>
        <w:t>(b)</w:t>
      </w:r>
      <w:r>
        <w:tab/>
        <w:t>non</w:t>
      </w:r>
      <w:r>
        <w:noBreakHyphen/>
        <w:t>residential property, if the land is used for business, professional, holiday accommodation, manufacturing, processing or other commercial processes that are not the subject of another class prescribed in this by</w:t>
      </w:r>
      <w:r>
        <w:noBreakHyphen/>
        <w:t>law;</w:t>
      </w:r>
    </w:p>
    <w:p>
      <w:pPr>
        <w:pStyle w:val="Indenta"/>
      </w:pPr>
      <w:r>
        <w:tab/>
        <w:t>(c)</w:t>
      </w:r>
      <w:r>
        <w:tab/>
        <w:t>vacant land, if there is no building on the land.</w:t>
      </w:r>
    </w:p>
    <w:p>
      <w:pPr>
        <w:pStyle w:val="Footnotesection"/>
      </w:pPr>
      <w:r>
        <w:tab/>
        <w:t>[By</w:t>
      </w:r>
      <w:r>
        <w:noBreakHyphen/>
        <w:t xml:space="preserve">law 23 inserted in Gazette 29 Jun 2007 p. 3252-3; amended in Gazette 19 Jun 2009 p. 2322; 20 Jun 2012 p. 2699.] </w:t>
      </w:r>
    </w:p>
    <w:p>
      <w:pPr>
        <w:pStyle w:val="Heading5"/>
        <w:rPr>
          <w:snapToGrid w:val="0"/>
        </w:rPr>
      </w:pPr>
      <w:bookmarkStart w:id="408" w:name="_Toc180204784"/>
      <w:bookmarkStart w:id="409" w:name="_Toc328471461"/>
      <w:r>
        <w:rPr>
          <w:rStyle w:val="CharSectno"/>
        </w:rPr>
        <w:t>24</w:t>
      </w:r>
      <w:r>
        <w:rPr>
          <w:snapToGrid w:val="0"/>
        </w:rPr>
        <w:t>.</w:t>
      </w:r>
      <w:r>
        <w:rPr>
          <w:snapToGrid w:val="0"/>
        </w:rPr>
        <w:tab/>
        <w:t>Indexation of certain valuations</w:t>
      </w:r>
      <w:bookmarkEnd w:id="406"/>
      <w:bookmarkEnd w:id="407"/>
      <w:bookmarkEnd w:id="408"/>
      <w:bookmarkEnd w:id="409"/>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provision of sewerage under the </w:t>
      </w:r>
      <w:r>
        <w:rPr>
          <w:i/>
          <w:snapToGrid w:val="0"/>
        </w:rPr>
        <w:t>Country Towns Sewerage Act 1948</w:t>
      </w:r>
      <w:r>
        <w:rPr>
          <w:snapToGrid w:val="0"/>
        </w:rPr>
        <w:t xml:space="preserve"> is to be assessed in respect of land by reference to GRV, the GRV for the purposes of assessing that charge shall be an adjusted GRV (</w:t>
      </w:r>
      <w:r>
        <w:rPr>
          <w:rStyle w:val="CharDefText"/>
        </w:rPr>
        <w:t>AGRV</w:t>
      </w:r>
      <w:r>
        <w:rPr>
          <w:snapToGrid w:val="0"/>
        </w:rPr>
        <w:t>) calculated in accordance with the formula in</w:t>
      </w:r>
      <w:r>
        <w:t xml:space="preserve"> Schedule 6</w:t>
      </w:r>
      <w:r>
        <w:rPr>
          <w:snapToGrid w:val="0"/>
        </w:rPr>
        <w:t>.</w:t>
      </w:r>
    </w:p>
    <w:p>
      <w:pPr>
        <w:pStyle w:val="Footnotesection"/>
      </w:pPr>
      <w:r>
        <w:tab/>
        <w:t>[By</w:t>
      </w:r>
      <w:r>
        <w:noBreakHyphen/>
        <w:t>law 24 amended in Gazette 29 Jun 1999 p. 2795; 29 Jun 2001 p. 3194.]</w:t>
      </w:r>
    </w:p>
    <w:p>
      <w:pPr>
        <w:pStyle w:val="Ednotesection"/>
      </w:pPr>
      <w:r>
        <w:t>[</w:t>
      </w:r>
      <w:r>
        <w:rPr>
          <w:b/>
        </w:rPr>
        <w:t>25.</w:t>
      </w:r>
      <w:r>
        <w:tab/>
        <w:t>Deleted in Gazette 1 Jul 2002 p. 3157.]</w:t>
      </w:r>
    </w:p>
    <w:p>
      <w:pPr>
        <w:pStyle w:val="Heading5"/>
        <w:rPr>
          <w:snapToGrid w:val="0"/>
        </w:rPr>
      </w:pPr>
      <w:bookmarkStart w:id="410" w:name="_Toc487428977"/>
      <w:bookmarkStart w:id="411" w:name="_Toc17278683"/>
      <w:bookmarkStart w:id="412" w:name="_Toc180204785"/>
      <w:bookmarkStart w:id="413" w:name="_Toc328471462"/>
      <w:r>
        <w:rPr>
          <w:rStyle w:val="CharSectno"/>
        </w:rPr>
        <w:t>25A</w:t>
      </w:r>
      <w:r>
        <w:rPr>
          <w:snapToGrid w:val="0"/>
        </w:rPr>
        <w:t>.</w:t>
      </w:r>
      <w:r>
        <w:rPr>
          <w:snapToGrid w:val="0"/>
        </w:rPr>
        <w:tab/>
        <w:t>Metered metropolitan non</w:t>
      </w:r>
      <w:r>
        <w:rPr>
          <w:snapToGrid w:val="0"/>
        </w:rPr>
        <w:noBreakHyphen/>
        <w:t>residential property sewerage charges</w:t>
      </w:r>
      <w:bookmarkEnd w:id="410"/>
      <w:bookmarkEnd w:id="411"/>
      <w:bookmarkEnd w:id="412"/>
      <w:bookmarkEnd w:id="413"/>
    </w:p>
    <w:p>
      <w:pPr>
        <w:pStyle w:val="Subsection"/>
        <w:rPr>
          <w:snapToGrid w:val="0"/>
        </w:rPr>
      </w:pPr>
      <w:r>
        <w:rPr>
          <w:snapToGrid w:val="0"/>
        </w:rPr>
        <w:tab/>
        <w:t>(1)</w:t>
      </w:r>
      <w:r>
        <w:rPr>
          <w:snapToGrid w:val="0"/>
        </w:rPr>
        <w:tab/>
        <w:t>Subject to sub</w:t>
      </w:r>
      <w:r>
        <w:rPr>
          <w:snapToGrid w:val="0"/>
        </w:rPr>
        <w:noBreakHyphen/>
        <w:t>bylaws (3), (5) and (6) and notwithstanding any other provision of these by</w:t>
      </w:r>
      <w:r>
        <w:rPr>
          <w:snapToGrid w:val="0"/>
        </w:rPr>
        <w:noBreakHyphen/>
        <w:t>laws, the minimum charge payable for the current year for the provision of sewerage to metropolitan non</w:t>
      </w:r>
      <w:r>
        <w:rPr>
          <w:snapToGrid w:val="0"/>
        </w:rPr>
        <w:noBreakHyphen/>
        <w:t>residential property that has metered water supply is —</w:t>
      </w:r>
    </w:p>
    <w:p>
      <w:pPr>
        <w:pStyle w:val="Indenta"/>
        <w:rPr>
          <w:snapToGrid w:val="0"/>
        </w:rPr>
      </w:pPr>
      <w:r>
        <w:rPr>
          <w:snapToGrid w:val="0"/>
        </w:rPr>
        <w:tab/>
        <w:t>(a)</w:t>
      </w:r>
      <w:r>
        <w:rPr>
          <w:snapToGrid w:val="0"/>
        </w:rPr>
        <w:tab/>
        <w:t>the charge calculated in accordance with the formula; or</w:t>
      </w:r>
    </w:p>
    <w:p>
      <w:pPr>
        <w:pStyle w:val="Indenta"/>
        <w:rPr>
          <w:snapToGrid w:val="0"/>
        </w:rPr>
      </w:pPr>
      <w:r>
        <w:rPr>
          <w:snapToGrid w:val="0"/>
        </w:rPr>
        <w:tab/>
        <w:t>(b)</w:t>
      </w:r>
      <w:r>
        <w:rPr>
          <w:snapToGrid w:val="0"/>
        </w:rPr>
        <w:tab/>
        <w:t>the minimum charge payable for relevant number of major fixtures in the current year, as set out in the Table,</w:t>
      </w:r>
    </w:p>
    <w:p>
      <w:pPr>
        <w:pStyle w:val="Subsection"/>
        <w:spacing w:before="100"/>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Where land classified as metropolitan non</w:t>
      </w:r>
      <w:r>
        <w:rPr>
          <w:snapToGrid w:val="0"/>
        </w:rPr>
        <w:noBreakHyphen/>
        <w:t>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rPr>
          <w:snapToGrid w:val="0"/>
        </w:rPr>
      </w:pPr>
      <w:r>
        <w:rPr>
          <w:snapToGrid w:val="0"/>
        </w:rPr>
        <w:tab/>
        <w:t>(a)</w:t>
      </w:r>
      <w:r>
        <w:rPr>
          <w:snapToGrid w:val="0"/>
        </w:rPr>
        <w:tab/>
        <w:t>the land had been classified as metropolitan non</w:t>
      </w:r>
      <w:r>
        <w:rPr>
          <w:snapToGrid w:val="0"/>
        </w:rPr>
        <w:noBreakHyphen/>
        <w:t>residential; and</w:t>
      </w:r>
    </w:p>
    <w:p>
      <w:pPr>
        <w:pStyle w:val="Indenta"/>
        <w:rPr>
          <w:snapToGrid w:val="0"/>
        </w:rPr>
      </w:pPr>
      <w:r>
        <w:rPr>
          <w:snapToGrid w:val="0"/>
        </w:rPr>
        <w:tab/>
        <w:t>(b)</w:t>
      </w:r>
      <w:r>
        <w:rPr>
          <w:snapToGrid w:val="0"/>
        </w:rPr>
        <w:tab/>
        <w:t>the matters and circumstances currently prevailing had prevailed,</w:t>
      </w:r>
    </w:p>
    <w:p>
      <w:pPr>
        <w:pStyle w:val="Subsection"/>
        <w:spacing w:before="100"/>
        <w:rPr>
          <w:snapToGrid w:val="0"/>
        </w:rPr>
      </w:pPr>
      <w:r>
        <w:rPr>
          <w:snapToGrid w:val="0"/>
        </w:rPr>
        <w:tab/>
      </w:r>
      <w:r>
        <w:rPr>
          <w:snapToGrid w:val="0"/>
        </w:rPr>
        <w:tab/>
        <w:t xml:space="preserve">for the whole of the previous year, and that notional charge shall be regarded as the charge payable in the previous year as set out for the purposes of variable </w:t>
      </w:r>
      <w:r>
        <w:rPr>
          <w:b/>
          <w:snapToGrid w:val="0"/>
        </w:rPr>
        <w:t>“A”</w:t>
      </w:r>
      <w:r>
        <w:rPr>
          <w:snapToGrid w:val="0"/>
        </w:rPr>
        <w:t xml:space="preserve"> of the formula.</w:t>
      </w:r>
    </w:p>
    <w:p>
      <w:pPr>
        <w:pStyle w:val="Subsection"/>
        <w:rPr>
          <w:snapToGrid w:val="0"/>
        </w:rPr>
      </w:pPr>
      <w:r>
        <w:rPr>
          <w:snapToGrid w:val="0"/>
        </w:rPr>
        <w:tab/>
        <w:t>(3)</w:t>
      </w:r>
      <w:r>
        <w:rPr>
          <w:snapToGrid w:val="0"/>
        </w:rPr>
        <w:tab/>
        <w:t>Where part of the way through the current year land ceases to be, or becomes, metropolitan non</w:t>
      </w:r>
      <w:r>
        <w:rPr>
          <w:snapToGrid w:val="0"/>
        </w:rPr>
        <w:noBreakHyphen/>
        <w:t>residential property, the charge payable in respect of that land shall be payable in the same ratio as the part of the year for which the charge applies bears to the full year.</w:t>
      </w:r>
    </w:p>
    <w:p>
      <w:pPr>
        <w:pStyle w:val="Subsection"/>
        <w:rPr>
          <w:snapToGrid w:val="0"/>
        </w:rPr>
      </w:pPr>
      <w:r>
        <w:rPr>
          <w:snapToGrid w:val="0"/>
        </w:rPr>
        <w:tab/>
        <w:t>(4)</w:t>
      </w:r>
      <w:r>
        <w:rPr>
          <w:snapToGrid w:val="0"/>
        </w:rPr>
        <w:tab/>
        <w:t>Where, for a portion of the current year, in respect of metropolitan non</w:t>
      </w:r>
      <w:r>
        <w:rPr>
          <w:snapToGrid w:val="0"/>
        </w:rPr>
        <w:noBreakHyphen/>
        <w:t>residential property, there is —</w:t>
      </w:r>
    </w:p>
    <w:p>
      <w:pPr>
        <w:pStyle w:val="Indenta"/>
        <w:rPr>
          <w:snapToGrid w:val="0"/>
        </w:rPr>
      </w:pPr>
      <w:r>
        <w:rPr>
          <w:snapToGrid w:val="0"/>
        </w:rPr>
        <w:tab/>
        <w:t>(a)</w:t>
      </w:r>
      <w:r>
        <w:rPr>
          <w:snapToGrid w:val="0"/>
        </w:rPr>
        <w:tab/>
        <w:t>a change in the amount of the charges for the current year as a result of an alteration in the method in which the discharge charge is calculated for that property;</w:t>
      </w:r>
    </w:p>
    <w:p>
      <w:pPr>
        <w:pStyle w:val="Indenta"/>
        <w:spacing w:before="60"/>
        <w:rPr>
          <w:snapToGrid w:val="0"/>
        </w:rPr>
      </w:pPr>
      <w:r>
        <w:rPr>
          <w:snapToGrid w:val="0"/>
        </w:rPr>
        <w:tab/>
        <w:t>(b)</w:t>
      </w:r>
      <w:r>
        <w:rPr>
          <w:snapToGrid w:val="0"/>
        </w:rPr>
        <w:tab/>
        <w:t>a change in the amount of the charges for the current year as a result of a change in the number of major fixtures relevant to that property; or</w:t>
      </w:r>
    </w:p>
    <w:p>
      <w:pPr>
        <w:pStyle w:val="Indenta"/>
        <w:spacing w:before="60"/>
        <w:rPr>
          <w:snapToGrid w:val="0"/>
          <w:spacing w:val="-4"/>
        </w:rPr>
      </w:pPr>
      <w:r>
        <w:rPr>
          <w:snapToGrid w:val="0"/>
          <w:spacing w:val="-4"/>
        </w:rPr>
        <w:tab/>
        <w:t>(c)</w:t>
      </w:r>
      <w:r>
        <w:rPr>
          <w:snapToGrid w:val="0"/>
          <w:spacing w:val="-4"/>
        </w:rPr>
        <w:tab/>
        <w:t xml:space="preserve">an interim valuation under the </w:t>
      </w:r>
      <w:r>
        <w:rPr>
          <w:i/>
          <w:snapToGrid w:val="0"/>
          <w:spacing w:val="-4"/>
        </w:rPr>
        <w:t>Valuation of Land Act 1978</w:t>
      </w:r>
      <w:r>
        <w:rPr>
          <w:snapToGrid w:val="0"/>
          <w:spacing w:val="-4"/>
        </w:rPr>
        <w:t xml:space="preserve"> reflecting any development or change of use of that land,</w:t>
      </w:r>
    </w:p>
    <w:p>
      <w:pPr>
        <w:pStyle w:val="Subsection"/>
        <w:rPr>
          <w:rFonts w:ascii="Times" w:hAnsi="Times"/>
          <w:snapToGrid w:val="0"/>
        </w:rPr>
      </w:pPr>
      <w:r>
        <w:rPr>
          <w:rFonts w:ascii="Times" w:hAnsi="Times"/>
          <w:snapToGrid w:val="0"/>
        </w:rPr>
        <w:tab/>
      </w:r>
      <w:r>
        <w:rPr>
          <w:rFonts w:ascii="Times" w:hAnsi="Times"/>
          <w:snapToGrid w:val="0"/>
        </w:rPr>
        <w:tab/>
        <w:t>the Corporation may, for the purposes of sub</w:t>
      </w:r>
      <w:r>
        <w:rPr>
          <w:rFonts w:ascii="Times" w:hAnsi="Times"/>
          <w:snapToGrid w:val="0"/>
        </w:rPr>
        <w:noBreakHyphen/>
        <w:t>bylaw (5), estimate a notional charge for the previous year in respect of that property, being the charge that would have been payable for that year if —</w:t>
      </w:r>
    </w:p>
    <w:p>
      <w:pPr>
        <w:pStyle w:val="Indenta"/>
        <w:spacing w:before="60"/>
        <w:rPr>
          <w:snapToGrid w:val="0"/>
        </w:rPr>
      </w:pPr>
      <w:r>
        <w:rPr>
          <w:snapToGrid w:val="0"/>
        </w:rPr>
        <w:tab/>
        <w:t>(d)</w:t>
      </w:r>
      <w:r>
        <w:rPr>
          <w:snapToGrid w:val="0"/>
        </w:rPr>
        <w:tab/>
        <w:t>the matters and circumstances currently prevailing had prevailed;</w:t>
      </w:r>
    </w:p>
    <w:p>
      <w:pPr>
        <w:pStyle w:val="Indenta"/>
        <w:spacing w:before="60"/>
        <w:rPr>
          <w:snapToGrid w:val="0"/>
        </w:rPr>
      </w:pPr>
      <w:r>
        <w:rPr>
          <w:snapToGrid w:val="0"/>
        </w:rPr>
        <w:tab/>
        <w:t>(e)</w:t>
      </w:r>
      <w:r>
        <w:rPr>
          <w:snapToGrid w:val="0"/>
        </w:rPr>
        <w:tab/>
        <w:t>the method of calculation of the discharge charge currently prevailing had been used;</w:t>
      </w:r>
    </w:p>
    <w:p>
      <w:pPr>
        <w:pStyle w:val="Indenta"/>
        <w:spacing w:before="60"/>
        <w:rPr>
          <w:snapToGrid w:val="0"/>
        </w:rPr>
      </w:pPr>
      <w:r>
        <w:rPr>
          <w:snapToGrid w:val="0"/>
        </w:rPr>
        <w:tab/>
        <w:t>(f)</w:t>
      </w:r>
      <w:r>
        <w:rPr>
          <w:snapToGrid w:val="0"/>
        </w:rPr>
        <w:tab/>
        <w:t>any changed number of major fixtures referred to in paragraph (b) had been provided; and</w:t>
      </w:r>
    </w:p>
    <w:p>
      <w:pPr>
        <w:pStyle w:val="Indenta"/>
        <w:spacing w:before="60"/>
        <w:rPr>
          <w:snapToGrid w:val="0"/>
        </w:rPr>
      </w:pPr>
      <w:r>
        <w:rPr>
          <w:snapToGrid w:val="0"/>
        </w:rPr>
        <w:tab/>
        <w:t>(g)</w:t>
      </w:r>
      <w:r>
        <w:rPr>
          <w:snapToGrid w:val="0"/>
        </w:rPr>
        <w:tab/>
        <w:t>any interim valuation reflecting any development or change in use referred to in paragraph (c) had been made and in force,</w:t>
      </w:r>
    </w:p>
    <w:p>
      <w:pPr>
        <w:pStyle w:val="Subsection"/>
        <w:rPr>
          <w:snapToGrid w:val="0"/>
        </w:rPr>
      </w:pPr>
      <w:r>
        <w:rPr>
          <w:snapToGrid w:val="0"/>
        </w:rPr>
        <w:tab/>
      </w:r>
      <w:r>
        <w:rPr>
          <w:snapToGrid w:val="0"/>
        </w:rPr>
        <w:tab/>
        <w:t>for the whole of that year.</w:t>
      </w:r>
    </w:p>
    <w:p>
      <w:pPr>
        <w:pStyle w:val="Subsection"/>
        <w:rPr>
          <w:snapToGrid w:val="0"/>
        </w:rPr>
      </w:pPr>
      <w:r>
        <w:rPr>
          <w:snapToGrid w:val="0"/>
        </w:rPr>
        <w:tab/>
        <w:t>(5)</w:t>
      </w:r>
      <w:r>
        <w:rPr>
          <w:snapToGrid w:val="0"/>
        </w:rPr>
        <w:tab/>
        <w:t>A charge payable for the portion of the current year referred to in sub</w:t>
      </w:r>
      <w:r>
        <w:rPr>
          <w:snapToGrid w:val="0"/>
        </w:rPr>
        <w:noBreakHyphen/>
        <w:t>bylaw (4) is payable in the same ratio as the portion bears to the full year.</w:t>
      </w:r>
    </w:p>
    <w:p>
      <w:pPr>
        <w:pStyle w:val="Subsection"/>
        <w:rPr>
          <w:snapToGrid w:val="0"/>
        </w:rPr>
      </w:pPr>
      <w:r>
        <w:rPr>
          <w:snapToGrid w:val="0"/>
        </w:rPr>
        <w:tab/>
        <w:t>(6)</w:t>
      </w:r>
      <w:r>
        <w:rPr>
          <w:snapToGrid w:val="0"/>
        </w:rPr>
        <w:tab/>
        <w:t>If a charge calculated under this by</w:t>
      </w:r>
      <w:r>
        <w:rPr>
          <w:snapToGrid w:val="0"/>
        </w:rPr>
        <w:noBreakHyphen/>
        <w:t xml:space="preserve">law for the current year is more than </w:t>
      </w:r>
      <w:r>
        <w:t xml:space="preserve">13.6% </w:t>
      </w:r>
      <w:r>
        <w:rPr>
          <w:snapToGrid w:val="0"/>
        </w:rPr>
        <w:t xml:space="preserve">greater than the charge calculated for the same service (and under the same circumstances) in the previous year, the charge is only payable up to that </w:t>
      </w:r>
      <w:r>
        <w:t xml:space="preserve">13.6% </w:t>
      </w:r>
      <w:r>
        <w:rPr>
          <w:snapToGrid w:val="0"/>
        </w:rPr>
        <w:t>increase.</w:t>
      </w:r>
    </w:p>
    <w:p>
      <w:pPr>
        <w:pStyle w:val="Footnotesection"/>
        <w:spacing w:before="80"/>
        <w:ind w:left="890" w:hanging="890"/>
      </w:pPr>
      <w:r>
        <w:tab/>
        <w:t>[By</w:t>
      </w:r>
      <w:r>
        <w:noBreakHyphen/>
        <w:t>law 25A inserted in Gazette 28 Jun 1996 p. 3110</w:t>
      </w:r>
      <w:r>
        <w:noBreakHyphen/>
        <w:t>11 (correction 9 Jul 1996 p. 3281); amended in Gazette 27 Jun 1997 p. 3180 and 3203; 26 Jun 1998 p. 3400; 29 Jun 1999 p. 2795; 29 Jun 2001 p. 3194; 1 Jul 2002 p. 3157; 27 Jun 2003 p. 2288; 29 Jun 2004 p. 2468; 1 Jul 2005 p. 3034; 30 Jun 2006 p. 2417; 29 Jun 2007 p. 3253; 27 Jun 2008 p. 2987; 19 Jun 2009 p. 2323; 25 Jun 2010 p. 2906; 23 Jun 2011 p. 2418; 20 Jun 2012 p. 2700.]</w:t>
      </w:r>
    </w:p>
    <w:p>
      <w:pPr>
        <w:pStyle w:val="Heading5"/>
        <w:keepLines w:val="0"/>
        <w:spacing w:before="180"/>
        <w:rPr>
          <w:snapToGrid w:val="0"/>
        </w:rPr>
      </w:pPr>
      <w:bookmarkStart w:id="414" w:name="_Toc487428978"/>
      <w:bookmarkStart w:id="415" w:name="_Toc17278684"/>
      <w:bookmarkStart w:id="416" w:name="_Toc180204786"/>
      <w:bookmarkStart w:id="417" w:name="_Toc328471463"/>
      <w:r>
        <w:rPr>
          <w:rStyle w:val="CharSectno"/>
        </w:rPr>
        <w:t>25B</w:t>
      </w:r>
      <w:r>
        <w:rPr>
          <w:snapToGrid w:val="0"/>
        </w:rPr>
        <w:t>.</w:t>
      </w:r>
      <w:r>
        <w:rPr>
          <w:snapToGrid w:val="0"/>
        </w:rPr>
        <w:tab/>
        <w:t>Un</w:t>
      </w:r>
      <w:r>
        <w:rPr>
          <w:snapToGrid w:val="0"/>
        </w:rPr>
        <w:noBreakHyphen/>
        <w:t>metered or unconnected metropolitan non</w:t>
      </w:r>
      <w:r>
        <w:rPr>
          <w:snapToGrid w:val="0"/>
        </w:rPr>
        <w:noBreakHyphen/>
        <w:t>residential property sewerage charges</w:t>
      </w:r>
      <w:bookmarkEnd w:id="414"/>
      <w:bookmarkEnd w:id="415"/>
      <w:bookmarkEnd w:id="416"/>
      <w:bookmarkEnd w:id="417"/>
    </w:p>
    <w:p>
      <w:pPr>
        <w:pStyle w:val="Subsection"/>
        <w:rPr>
          <w:snapToGrid w:val="0"/>
        </w:rPr>
      </w:pPr>
      <w:r>
        <w:rPr>
          <w:snapToGrid w:val="0"/>
        </w:rPr>
        <w:tab/>
        <w:t>(1)</w:t>
      </w:r>
      <w:r>
        <w:rPr>
          <w:snapToGrid w:val="0"/>
        </w:rPr>
        <w:tab/>
        <w:t>Subject to sub</w:t>
      </w:r>
      <w:r>
        <w:rPr>
          <w:snapToGrid w:val="0"/>
        </w:rPr>
        <w:noBreakHyphen/>
        <w:t>bylaw (2), the minimum charge payable for the current year for the provision of sewerage to a metropolitan non</w:t>
      </w:r>
      <w:r>
        <w:rPr>
          <w:snapToGrid w:val="0"/>
        </w:rPr>
        <w:noBreakHyphen/>
        <w:t xml:space="preserve">residential property which has sewerage available but not connected is calculated in accordance with the formula, with the variable </w:t>
      </w:r>
      <w:r>
        <w:rPr>
          <w:b/>
          <w:snapToGrid w:val="0"/>
        </w:rPr>
        <w:t>“Q”</w:t>
      </w:r>
      <w:r>
        <w:rPr>
          <w:snapToGrid w:val="0"/>
        </w:rPr>
        <w:t xml:space="preserve"> in the formula having a value of nil.</w:t>
      </w:r>
    </w:p>
    <w:p>
      <w:pPr>
        <w:pStyle w:val="Subsection"/>
        <w:rPr>
          <w:snapToGrid w:val="0"/>
        </w:rPr>
      </w:pPr>
      <w:r>
        <w:rPr>
          <w:snapToGrid w:val="0"/>
        </w:rPr>
        <w:tab/>
        <w:t>(2)</w:t>
      </w:r>
      <w:r>
        <w:rPr>
          <w:snapToGrid w:val="0"/>
        </w:rPr>
        <w:tab/>
        <w:t>Where a metropolitan non</w:t>
      </w:r>
      <w:r>
        <w:rPr>
          <w:snapToGrid w:val="0"/>
        </w:rPr>
        <w:noBreakHyphen/>
        <w:t>residential property has no major fixtures, or no shared major fixtures as described in by</w:t>
      </w:r>
      <w:r>
        <w:rPr>
          <w:snapToGrid w:val="0"/>
        </w:rPr>
        <w:noBreakHyphen/>
        <w:t xml:space="preserve">law 25C, the minimum charge payable for the current year for one major fixture, as set out in the Table, is the value of the variable </w:t>
      </w:r>
      <w:r>
        <w:rPr>
          <w:b/>
          <w:snapToGrid w:val="0"/>
        </w:rPr>
        <w:t>“P”</w:t>
      </w:r>
      <w:r>
        <w:rPr>
          <w:snapToGrid w:val="0"/>
        </w:rPr>
        <w:t xml:space="preserve"> in the formula.</w:t>
      </w:r>
    </w:p>
    <w:p>
      <w:pPr>
        <w:pStyle w:val="Subsection"/>
        <w:rPr>
          <w:snapToGrid w:val="0"/>
        </w:rPr>
      </w:pPr>
      <w:r>
        <w:rPr>
          <w:snapToGrid w:val="0"/>
        </w:rPr>
        <w:tab/>
        <w:t>(3)</w:t>
      </w:r>
      <w:r>
        <w:rPr>
          <w:snapToGrid w:val="0"/>
        </w:rPr>
        <w:tab/>
        <w:t>The minimum charge payable for the current year for the provision of sewerage to a metropolitan non</w:t>
      </w:r>
      <w:r>
        <w:rPr>
          <w:snapToGrid w:val="0"/>
        </w:rPr>
        <w:noBreakHyphen/>
        <w:t>residential property which is sewered but where any water supply to the property is not separately metered by the Corporation, is calculated in accordance with the formula, and, for the purposes of the calculation, the discharge charge has a value of nil.</w:t>
      </w:r>
    </w:p>
    <w:p>
      <w:pPr>
        <w:pStyle w:val="Footnotesection"/>
        <w:spacing w:before="80"/>
        <w:ind w:left="890" w:hanging="890"/>
      </w:pPr>
      <w:r>
        <w:tab/>
        <w:t>[By</w:t>
      </w:r>
      <w:r>
        <w:noBreakHyphen/>
        <w:t>law 25B inserted in Gazette 28 Jun 1996 p. 3111; amended in Gazette 27 Jun 1997 p. 3180 and 3203.]</w:t>
      </w:r>
    </w:p>
    <w:p>
      <w:pPr>
        <w:pStyle w:val="Heading5"/>
        <w:rPr>
          <w:snapToGrid w:val="0"/>
        </w:rPr>
      </w:pPr>
      <w:bookmarkStart w:id="418" w:name="_Toc487428979"/>
      <w:bookmarkStart w:id="419" w:name="_Toc17278685"/>
      <w:bookmarkStart w:id="420" w:name="_Toc180204787"/>
      <w:bookmarkStart w:id="421" w:name="_Toc328471464"/>
      <w:r>
        <w:rPr>
          <w:rStyle w:val="CharSectno"/>
        </w:rPr>
        <w:t>25C</w:t>
      </w:r>
      <w:r>
        <w:rPr>
          <w:snapToGrid w:val="0"/>
        </w:rPr>
        <w:t>.</w:t>
      </w:r>
      <w:r>
        <w:rPr>
          <w:snapToGrid w:val="0"/>
        </w:rPr>
        <w:tab/>
        <w:t>Charging for shared sewerage fixtures on metropolitan non</w:t>
      </w:r>
      <w:r>
        <w:rPr>
          <w:snapToGrid w:val="0"/>
        </w:rPr>
        <w:noBreakHyphen/>
        <w:t>residential property</w:t>
      </w:r>
      <w:bookmarkEnd w:id="418"/>
      <w:bookmarkEnd w:id="419"/>
      <w:bookmarkEnd w:id="420"/>
      <w:bookmarkEnd w:id="421"/>
    </w:p>
    <w:p>
      <w:pPr>
        <w:pStyle w:val="Subsection"/>
        <w:rPr>
          <w:snapToGrid w:val="0"/>
        </w:rPr>
      </w:pPr>
      <w:r>
        <w:rPr>
          <w:snapToGrid w:val="0"/>
        </w:rPr>
        <w:tab/>
      </w:r>
      <w:r>
        <w:rPr>
          <w:snapToGrid w:val="0"/>
        </w:rPr>
        <w:tab/>
        <w:t>Where all or some major sewerage fixtures are shared between metropolitan non</w:t>
      </w:r>
      <w:r>
        <w:rPr>
          <w:snapToGrid w:val="0"/>
        </w:rPr>
        <w:noBreakHyphen/>
        <w:t>residential properties the number of major fixtures for a single property shall be calculated as —</w:t>
      </w:r>
    </w:p>
    <w:p>
      <w:pPr>
        <w:pStyle w:val="Indenta"/>
        <w:spacing w:before="60"/>
        <w:rPr>
          <w:snapToGrid w:val="0"/>
        </w:rPr>
      </w:pPr>
      <w:r>
        <w:rPr>
          <w:snapToGrid w:val="0"/>
        </w:rPr>
        <w:tab/>
      </w:r>
      <w:r>
        <w:rPr>
          <w:snapToGrid w:val="0"/>
        </w:rPr>
        <w:tab/>
        <w:t>the number of major fixtures exclusive to that property (if any)</w:t>
      </w:r>
    </w:p>
    <w:p>
      <w:pPr>
        <w:pStyle w:val="Indenta"/>
        <w:rPr>
          <w:snapToGrid w:val="0"/>
        </w:rPr>
      </w:pPr>
      <w:r>
        <w:rPr>
          <w:snapToGrid w:val="0"/>
        </w:rPr>
        <w:tab/>
      </w:r>
      <w:r>
        <w:rPr>
          <w:snapToGrid w:val="0"/>
        </w:rPr>
        <w:tab/>
        <w:t>plus</w:t>
      </w:r>
    </w:p>
    <w:p>
      <w:pPr>
        <w:pStyle w:val="Indenta"/>
        <w:spacing w:before="60"/>
        <w:rPr>
          <w:snapToGrid w:val="0"/>
        </w:rPr>
      </w:pPr>
      <w:r>
        <w:rPr>
          <w:snapToGrid w:val="0"/>
        </w:rPr>
        <w:tab/>
      </w:r>
      <w:r>
        <w:rPr>
          <w:snapToGrid w:val="0"/>
        </w:rPr>
        <w:tab/>
        <w:t>the number of major fixtures divided by the number of properties sharing those fixtures, rounded down to the nearest whole number but with a minimum of one additional fixture per property.</w:t>
      </w:r>
    </w:p>
    <w:p>
      <w:pPr>
        <w:pStyle w:val="Footnotesection"/>
        <w:spacing w:before="80"/>
        <w:ind w:left="890" w:hanging="890"/>
      </w:pPr>
      <w:r>
        <w:tab/>
        <w:t>[By</w:t>
      </w:r>
      <w:r>
        <w:noBreakHyphen/>
        <w:t>law 25C inserted in Gazette 30 Jun 1995 p. 2743</w:t>
      </w:r>
      <w:r>
        <w:noBreakHyphen/>
        <w:t>4.]</w:t>
      </w:r>
    </w:p>
    <w:p>
      <w:pPr>
        <w:pStyle w:val="Heading5"/>
        <w:rPr>
          <w:snapToGrid w:val="0"/>
        </w:rPr>
      </w:pPr>
      <w:bookmarkStart w:id="422" w:name="_Toc180204788"/>
      <w:bookmarkStart w:id="423" w:name="_Toc328471465"/>
      <w:r>
        <w:rPr>
          <w:rStyle w:val="CharSectno"/>
        </w:rPr>
        <w:t>26</w:t>
      </w:r>
      <w:r>
        <w:t>.</w:t>
      </w:r>
      <w:r>
        <w:tab/>
      </w:r>
      <w:bookmarkStart w:id="424" w:name="_Toc43099247"/>
      <w:r>
        <w:rPr>
          <w:snapToGrid w:val="0"/>
        </w:rPr>
        <w:t xml:space="preserve">Metered country </w:t>
      </w:r>
      <w:r>
        <w:t>non</w:t>
      </w:r>
      <w:r>
        <w:noBreakHyphen/>
        <w:t>residential or commercial residential</w:t>
      </w:r>
      <w:r>
        <w:rPr>
          <w:snapToGrid w:val="0"/>
        </w:rPr>
        <w:t xml:space="preserve"> property sewerage charges</w:t>
      </w:r>
      <w:bookmarkEnd w:id="422"/>
      <w:bookmarkEnd w:id="423"/>
      <w:bookmarkEnd w:id="424"/>
    </w:p>
    <w:p>
      <w:pPr>
        <w:pStyle w:val="Subsection"/>
        <w:spacing w:before="200"/>
      </w:pPr>
      <w:r>
        <w:tab/>
        <w:t>(1)</w:t>
      </w:r>
      <w:r>
        <w:tab/>
        <w:t>Subject to sub</w:t>
      </w:r>
      <w:r>
        <w:noBreakHyphen/>
        <w:t>bylaws (3) and (5) and notwithstanding any other provision of these by</w:t>
      </w:r>
      <w:r>
        <w:noBreakHyphen/>
        <w:t>laws, the minimum charge payable for the current year for the provision of sewerage to a country non</w:t>
      </w:r>
      <w:r>
        <w:noBreakHyphen/>
        <w:t>residential or commercial residential property that has metered water supply is —</w:t>
      </w:r>
    </w:p>
    <w:p>
      <w:pPr>
        <w:pStyle w:val="Indenta"/>
      </w:pPr>
      <w:r>
        <w:tab/>
        <w:t>(a)</w:t>
      </w:r>
      <w:r>
        <w:tab/>
        <w:t>the charge calculated in accordance with the formula; or</w:t>
      </w:r>
    </w:p>
    <w:p>
      <w:pPr>
        <w:pStyle w:val="Indenta"/>
      </w:pPr>
      <w:r>
        <w:tab/>
        <w:t>(b)</w:t>
      </w:r>
      <w:r>
        <w:tab/>
        <w:t>the minimum charge payable for relevant number of major fixtures in the current year, as set out in the Table,</w:t>
      </w:r>
    </w:p>
    <w:p>
      <w:pPr>
        <w:pStyle w:val="Subsection"/>
      </w:pPr>
      <w:r>
        <w:tab/>
      </w:r>
      <w:r>
        <w:tab/>
        <w:t>whichever is the greater.</w:t>
      </w:r>
    </w:p>
    <w:p>
      <w:pPr>
        <w:pStyle w:val="Subsection"/>
        <w:spacing w:before="200"/>
      </w:pPr>
      <w:r>
        <w:tab/>
        <w:t>(2)</w:t>
      </w:r>
      <w:r>
        <w:tab/>
        <w:t xml:space="preserve">Where land classified as </w:t>
      </w:r>
      <w:r>
        <w:rPr>
          <w:snapToGrid w:val="0"/>
        </w:rPr>
        <w:t xml:space="preserve">country </w:t>
      </w:r>
      <w:r>
        <w:t>non</w:t>
      </w:r>
      <w:r>
        <w:noBreakHyphen/>
        <w:t>residential or commercial 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pPr>
      <w:r>
        <w:tab/>
        <w:t>(a)</w:t>
      </w:r>
      <w:r>
        <w:tab/>
        <w:t xml:space="preserve">the land had been classified as </w:t>
      </w:r>
      <w:r>
        <w:rPr>
          <w:snapToGrid w:val="0"/>
        </w:rPr>
        <w:t xml:space="preserve">country </w:t>
      </w:r>
      <w:r>
        <w:t>non</w:t>
      </w:r>
      <w:r>
        <w:noBreakHyphen/>
        <w:t>residential or commercial residential; and</w:t>
      </w:r>
    </w:p>
    <w:p>
      <w:pPr>
        <w:pStyle w:val="Indenta"/>
      </w:pPr>
      <w:r>
        <w:tab/>
        <w:t>(b)</w:t>
      </w:r>
      <w:r>
        <w:tab/>
        <w:t>the matters and circumstances currently prevailing had prevailed,</w:t>
      </w:r>
    </w:p>
    <w:p>
      <w:pPr>
        <w:pStyle w:val="Subsection"/>
        <w:spacing w:before="100"/>
      </w:pPr>
      <w:r>
        <w:tab/>
      </w:r>
      <w:r>
        <w:tab/>
        <w:t xml:space="preserve">for the </w:t>
      </w:r>
      <w:r>
        <w:rPr>
          <w:snapToGrid w:val="0"/>
        </w:rPr>
        <w:t>whole</w:t>
      </w:r>
      <w:r>
        <w:t xml:space="preserve"> of the previous year, and that notional charge shall be regarded as the charge payable in the previous year as set out for the purposes of variable </w:t>
      </w:r>
      <w:r>
        <w:rPr>
          <w:b/>
        </w:rPr>
        <w:t>“A”</w:t>
      </w:r>
      <w:r>
        <w:t xml:space="preserve"> of the formula.</w:t>
      </w:r>
    </w:p>
    <w:p>
      <w:pPr>
        <w:pStyle w:val="Subsection"/>
      </w:pPr>
      <w:r>
        <w:tab/>
        <w:t>(3)</w:t>
      </w:r>
      <w:r>
        <w:tab/>
        <w:t xml:space="preserve">Where part of the way through the current year land </w:t>
      </w:r>
      <w:r>
        <w:rPr>
          <w:spacing w:val="-4"/>
        </w:rPr>
        <w:t xml:space="preserve">ceases to be, or becomes, </w:t>
      </w:r>
      <w:r>
        <w:rPr>
          <w:snapToGrid w:val="0"/>
          <w:spacing w:val="-4"/>
        </w:rPr>
        <w:t>country</w:t>
      </w:r>
      <w:r>
        <w:t xml:space="preserve"> non</w:t>
      </w:r>
      <w:r>
        <w:noBreakHyphen/>
        <w:t>residential or commercial residential</w:t>
      </w:r>
      <w:r>
        <w:rPr>
          <w:snapToGrid w:val="0"/>
        </w:rPr>
        <w:t xml:space="preserve"> </w:t>
      </w:r>
      <w:r>
        <w:t>property, the charge payable in respect of that land shall be payable in the same ratio as the part of the year for which the charge applies bears to the full year.</w:t>
      </w:r>
    </w:p>
    <w:p>
      <w:pPr>
        <w:pStyle w:val="Subsection"/>
        <w:keepNext/>
        <w:keepLines/>
      </w:pPr>
      <w:r>
        <w:tab/>
        <w:t>(4)</w:t>
      </w:r>
      <w:r>
        <w:tab/>
        <w:t xml:space="preserve">Where, for a portion of the current year, in respect of </w:t>
      </w:r>
      <w:r>
        <w:rPr>
          <w:snapToGrid w:val="0"/>
        </w:rPr>
        <w:t xml:space="preserve">country </w:t>
      </w:r>
      <w:r>
        <w:t>non</w:t>
      </w:r>
      <w:r>
        <w:noBreakHyphen/>
        <w:t>residential or commercial residential property, there is —</w:t>
      </w:r>
    </w:p>
    <w:p>
      <w:pPr>
        <w:pStyle w:val="Indenta"/>
      </w:pPr>
      <w:r>
        <w:tab/>
        <w:t>(a)</w:t>
      </w:r>
      <w:r>
        <w:tab/>
        <w:t>a change in the amount of the charges for the current year as a result of an alteration in the method in which the discharge charge is calculated for that property;</w:t>
      </w:r>
    </w:p>
    <w:p>
      <w:pPr>
        <w:pStyle w:val="Indenta"/>
      </w:pPr>
      <w:r>
        <w:tab/>
        <w:t>(b)</w:t>
      </w:r>
      <w:r>
        <w:tab/>
        <w:t>a change in the amount of the charges for the current year as a result of a change in the number of major fixtures relevant to that property; or</w:t>
      </w:r>
    </w:p>
    <w:p>
      <w:pPr>
        <w:pStyle w:val="Indenta"/>
      </w:pPr>
      <w:r>
        <w:tab/>
        <w:t>(c)</w:t>
      </w:r>
      <w:r>
        <w:tab/>
        <w:t xml:space="preserve">an interim valuation under the </w:t>
      </w:r>
      <w:r>
        <w:rPr>
          <w:i/>
        </w:rPr>
        <w:t>Valuation of Land Act 1978</w:t>
      </w:r>
      <w:r>
        <w:t xml:space="preserve"> reflecting any development or change of use of that land,</w:t>
      </w:r>
    </w:p>
    <w:p>
      <w:pPr>
        <w:pStyle w:val="Subsection"/>
      </w:pPr>
      <w:r>
        <w:tab/>
      </w:r>
      <w:r>
        <w:tab/>
        <w:t>the Corporation may, for the purposes of sub</w:t>
      </w:r>
      <w:r>
        <w:noBreakHyphen/>
        <w:t>bylaw (5), estimate a notional charge for the previous year in respect of that property, being the charge that would have been payable for that year if —</w:t>
      </w:r>
    </w:p>
    <w:p>
      <w:pPr>
        <w:pStyle w:val="Indenta"/>
      </w:pPr>
      <w:r>
        <w:tab/>
        <w:t>(d)</w:t>
      </w:r>
      <w:r>
        <w:tab/>
        <w:t>the matters and circumstances currently prevailing had prevailed;</w:t>
      </w:r>
    </w:p>
    <w:p>
      <w:pPr>
        <w:pStyle w:val="Indenta"/>
      </w:pPr>
      <w:r>
        <w:tab/>
        <w:t>(e)</w:t>
      </w:r>
      <w:r>
        <w:tab/>
        <w:t>the method of calculation of the discharge charge currently prevailing had been used;</w:t>
      </w:r>
    </w:p>
    <w:p>
      <w:pPr>
        <w:pStyle w:val="Indenta"/>
      </w:pPr>
      <w:r>
        <w:tab/>
        <w:t>(f)</w:t>
      </w:r>
      <w:r>
        <w:tab/>
        <w:t>any changed number of major fixtures referred to in paragraph (b) had been provided; and</w:t>
      </w:r>
    </w:p>
    <w:p>
      <w:pPr>
        <w:pStyle w:val="Indenta"/>
      </w:pPr>
      <w:r>
        <w:tab/>
        <w:t>(g)</w:t>
      </w:r>
      <w:r>
        <w:tab/>
        <w:t>any interim valuation reflecting any development or change in use referred to in paragraph (c) had been made and in force,</w:t>
      </w:r>
    </w:p>
    <w:p>
      <w:pPr>
        <w:pStyle w:val="Subsection"/>
      </w:pPr>
      <w:r>
        <w:tab/>
      </w:r>
      <w:r>
        <w:tab/>
        <w:t>for the whole of that year.</w:t>
      </w:r>
    </w:p>
    <w:p>
      <w:pPr>
        <w:pStyle w:val="Subsection"/>
      </w:pPr>
      <w:r>
        <w:tab/>
        <w:t>(5)</w:t>
      </w:r>
      <w:r>
        <w:tab/>
        <w:t>A charge payable for the portion of the current year referred to in sub</w:t>
      </w:r>
      <w:r>
        <w:noBreakHyphen/>
        <w:t>bylaw (4) is payable in the same ratio as the portion bears to the full year.</w:t>
      </w:r>
    </w:p>
    <w:p>
      <w:pPr>
        <w:pStyle w:val="Footnotesection"/>
      </w:pPr>
      <w:bookmarkStart w:id="425" w:name="_Toc43099248"/>
      <w:r>
        <w:tab/>
        <w:t>[By</w:t>
      </w:r>
      <w:r>
        <w:noBreakHyphen/>
        <w:t>law 26 inserted in Gazette 27 Jun 2003 p. 2288-90; amended in Gazette 29 Jun 2007 p. 3253.]</w:t>
      </w:r>
    </w:p>
    <w:p>
      <w:pPr>
        <w:pStyle w:val="Heading5"/>
      </w:pPr>
      <w:bookmarkStart w:id="426" w:name="_Toc180204789"/>
      <w:bookmarkStart w:id="427" w:name="_Toc328471466"/>
      <w:r>
        <w:rPr>
          <w:rStyle w:val="CharSectno"/>
        </w:rPr>
        <w:t>26A</w:t>
      </w:r>
      <w:r>
        <w:t>.</w:t>
      </w:r>
      <w:r>
        <w:tab/>
        <w:t>Un</w:t>
      </w:r>
      <w:r>
        <w:noBreakHyphen/>
        <w:t xml:space="preserve">metered or unconnected </w:t>
      </w:r>
      <w:r>
        <w:rPr>
          <w:snapToGrid w:val="0"/>
        </w:rPr>
        <w:t>country non</w:t>
      </w:r>
      <w:r>
        <w:rPr>
          <w:snapToGrid w:val="0"/>
        </w:rPr>
        <w:noBreakHyphen/>
        <w:t>residential or commercial residential</w:t>
      </w:r>
      <w:r>
        <w:t xml:space="preserve"> property sewerage charges</w:t>
      </w:r>
      <w:bookmarkEnd w:id="425"/>
      <w:bookmarkEnd w:id="426"/>
      <w:bookmarkEnd w:id="427"/>
    </w:p>
    <w:p>
      <w:pPr>
        <w:pStyle w:val="Subsection"/>
      </w:pPr>
      <w:r>
        <w:tab/>
        <w:t>(1)</w:t>
      </w:r>
      <w:r>
        <w:tab/>
        <w:t>Subject to sub</w:t>
      </w:r>
      <w:r>
        <w:noBreakHyphen/>
        <w:t xml:space="preserve">bylaw (2), the minimum charge payable for the current year for the provision of sewerage to a </w:t>
      </w:r>
      <w:r>
        <w:rPr>
          <w:snapToGrid w:val="0"/>
        </w:rPr>
        <w:t xml:space="preserve">country </w:t>
      </w:r>
      <w:r>
        <w:t>non</w:t>
      </w:r>
      <w:r>
        <w:noBreakHyphen/>
        <w:t xml:space="preserve">residential or commercial residential property which has sewerage available but not connected is calculated in accordance with the formula, with the variable </w:t>
      </w:r>
      <w:r>
        <w:rPr>
          <w:b/>
        </w:rPr>
        <w:t>“Q”</w:t>
      </w:r>
      <w:r>
        <w:t xml:space="preserve"> in the formula having a value of nil.</w:t>
      </w:r>
    </w:p>
    <w:p>
      <w:pPr>
        <w:pStyle w:val="Subsection"/>
      </w:pPr>
      <w:r>
        <w:tab/>
        <w:t>(2)</w:t>
      </w:r>
      <w:r>
        <w:tab/>
        <w:t xml:space="preserve">Where a </w:t>
      </w:r>
      <w:r>
        <w:rPr>
          <w:snapToGrid w:val="0"/>
        </w:rPr>
        <w:t xml:space="preserve">country </w:t>
      </w:r>
      <w:r>
        <w:t>non</w:t>
      </w:r>
      <w:r>
        <w:noBreakHyphen/>
        <w:t>residential or commercial residential property has no major fixtures, or no shared major fixtures as described in by</w:t>
      </w:r>
      <w:r>
        <w:noBreakHyphen/>
        <w:t xml:space="preserve">law 26B, the minimum charge payable for the current year for one major fixture, as set out in the Table, is the value of the variable </w:t>
      </w:r>
      <w:r>
        <w:rPr>
          <w:b/>
        </w:rPr>
        <w:t>“P”</w:t>
      </w:r>
      <w:r>
        <w:t xml:space="preserve"> in the formula.</w:t>
      </w:r>
    </w:p>
    <w:p>
      <w:pPr>
        <w:pStyle w:val="Subsection"/>
      </w:pPr>
      <w:r>
        <w:tab/>
        <w:t>(3)</w:t>
      </w:r>
      <w:r>
        <w:tab/>
        <w:t xml:space="preserve">The minimum charge payable for the current year for the provision of sewerage to a </w:t>
      </w:r>
      <w:r>
        <w:rPr>
          <w:snapToGrid w:val="0"/>
        </w:rPr>
        <w:t xml:space="preserve">country </w:t>
      </w:r>
      <w:r>
        <w:t>non</w:t>
      </w:r>
      <w:r>
        <w:noBreakHyphen/>
        <w:t>residential or commercial residential property which is sewered but where any water supply to the property —</w:t>
      </w:r>
    </w:p>
    <w:p>
      <w:pPr>
        <w:pStyle w:val="Indenta"/>
      </w:pPr>
      <w:r>
        <w:tab/>
        <w:t>(a)</w:t>
      </w:r>
      <w:r>
        <w:tab/>
        <w:t>is not separately metered by the Corporation but is supplied solely by the Corporation — is calculated in accordance with the formula; or</w:t>
      </w:r>
    </w:p>
    <w:p>
      <w:pPr>
        <w:pStyle w:val="Indenta"/>
      </w:pPr>
      <w:r>
        <w:tab/>
        <w:t>(b)</w:t>
      </w:r>
      <w:r>
        <w:tab/>
        <w:t>is not separately metered by the Corporation and is partially or fully supplied by a supplier other than the Corporation — is calculated, based on an estimate of water volume delivered or using an estimate of the water volume discharged, in accordance with the formula,</w:t>
      </w:r>
    </w:p>
    <w:p>
      <w:pPr>
        <w:pStyle w:val="Subsection"/>
      </w:pPr>
      <w:r>
        <w:tab/>
      </w:r>
      <w:r>
        <w:tab/>
        <w:t>and the discharge charge will be applied accordingly.</w:t>
      </w:r>
    </w:p>
    <w:p>
      <w:pPr>
        <w:pStyle w:val="Footnotesection"/>
      </w:pPr>
      <w:bookmarkStart w:id="428" w:name="_Toc43099249"/>
      <w:r>
        <w:tab/>
        <w:t>[By</w:t>
      </w:r>
      <w:r>
        <w:noBreakHyphen/>
        <w:t>law 26A inserted in Gazette 27 Jun 2003 p. 2290-1; amended in Gazette 29 Jun 2007 p. 3253.]</w:t>
      </w:r>
    </w:p>
    <w:p>
      <w:pPr>
        <w:pStyle w:val="Heading5"/>
      </w:pPr>
      <w:bookmarkStart w:id="429" w:name="_Toc180204790"/>
      <w:bookmarkStart w:id="430" w:name="_Toc328471467"/>
      <w:r>
        <w:rPr>
          <w:rStyle w:val="CharSectno"/>
        </w:rPr>
        <w:t>26B</w:t>
      </w:r>
      <w:r>
        <w:t>.</w:t>
      </w:r>
      <w:r>
        <w:tab/>
        <w:t xml:space="preserve">Charging for shared sewerage fixtures on </w:t>
      </w:r>
      <w:r>
        <w:rPr>
          <w:snapToGrid w:val="0"/>
        </w:rPr>
        <w:t xml:space="preserve">country </w:t>
      </w:r>
      <w:r>
        <w:t>non</w:t>
      </w:r>
      <w:r>
        <w:noBreakHyphen/>
        <w:t>residential or commercial residential property</w:t>
      </w:r>
      <w:bookmarkEnd w:id="428"/>
      <w:bookmarkEnd w:id="429"/>
      <w:bookmarkEnd w:id="430"/>
    </w:p>
    <w:p>
      <w:pPr>
        <w:pStyle w:val="Subsection"/>
      </w:pPr>
      <w:r>
        <w:tab/>
      </w:r>
      <w:r>
        <w:tab/>
        <w:t xml:space="preserve">Where all or some major sewerage fixtures are shared between </w:t>
      </w:r>
      <w:r>
        <w:rPr>
          <w:snapToGrid w:val="0"/>
        </w:rPr>
        <w:t xml:space="preserve">country </w:t>
      </w:r>
      <w:r>
        <w:t>non</w:t>
      </w:r>
      <w:r>
        <w:noBreakHyphen/>
        <w:t>residential or commercial residential properties the number of major fixtures for a single property shall be calculated as —</w:t>
      </w:r>
    </w:p>
    <w:p>
      <w:pPr>
        <w:pStyle w:val="Indenta"/>
      </w:pPr>
      <w:r>
        <w:tab/>
      </w:r>
      <w:r>
        <w:tab/>
        <w:t>the number of major fixtures exclusive to that property (if any)</w:t>
      </w:r>
    </w:p>
    <w:p>
      <w:pPr>
        <w:pStyle w:val="Indenta"/>
      </w:pPr>
      <w:r>
        <w:tab/>
      </w:r>
      <w:r>
        <w:tab/>
      </w:r>
      <w:r>
        <w:tab/>
      </w:r>
      <w:r>
        <w:tab/>
        <w:t>plus</w:t>
      </w:r>
    </w:p>
    <w:p>
      <w:pPr>
        <w:pStyle w:val="Indenta"/>
      </w:pPr>
      <w:r>
        <w:tab/>
      </w:r>
      <w:r>
        <w:tab/>
        <w:t>the number of major fixtures divided by the number of properties sharing those fixtures, rounded down to the nearest whole number but with a minimum of one additional fixture per property.</w:t>
      </w:r>
    </w:p>
    <w:p>
      <w:pPr>
        <w:pStyle w:val="Footnotesection"/>
      </w:pPr>
      <w:r>
        <w:tab/>
        <w:t>[By</w:t>
      </w:r>
      <w:r>
        <w:noBreakHyphen/>
        <w:t>law 26B inserted in Gazette 27 Jun 2003 p. 2291-2; amended in Gazette 29 Jun 2007 p. 3253.]</w:t>
      </w:r>
    </w:p>
    <w:p>
      <w:pPr>
        <w:pStyle w:val="Heading2"/>
      </w:pPr>
      <w:bookmarkStart w:id="431" w:name="_Toc91580444"/>
      <w:bookmarkStart w:id="432" w:name="_Toc103667129"/>
      <w:bookmarkStart w:id="433" w:name="_Toc103741648"/>
      <w:bookmarkStart w:id="434" w:name="_Toc107981891"/>
      <w:bookmarkStart w:id="435" w:name="_Toc118800058"/>
      <w:bookmarkStart w:id="436" w:name="_Toc118860066"/>
      <w:bookmarkStart w:id="437" w:name="_Toc121545566"/>
      <w:bookmarkStart w:id="438" w:name="_Toc121801089"/>
      <w:bookmarkStart w:id="439" w:name="_Toc121818202"/>
      <w:bookmarkStart w:id="440" w:name="_Toc121880812"/>
      <w:bookmarkStart w:id="441" w:name="_Toc129481883"/>
      <w:bookmarkStart w:id="442" w:name="_Toc130095252"/>
      <w:bookmarkStart w:id="443" w:name="_Toc130273316"/>
      <w:bookmarkStart w:id="444" w:name="_Toc139770989"/>
      <w:bookmarkStart w:id="445" w:name="_Toc139771367"/>
      <w:bookmarkStart w:id="446" w:name="_Toc151191582"/>
      <w:bookmarkStart w:id="447" w:name="_Toc151260475"/>
      <w:bookmarkStart w:id="448" w:name="_Toc164158580"/>
      <w:bookmarkStart w:id="449" w:name="_Toc164220952"/>
      <w:bookmarkStart w:id="450" w:name="_Toc170878913"/>
      <w:bookmarkStart w:id="451" w:name="_Toc170894664"/>
      <w:bookmarkStart w:id="452" w:name="_Toc175712630"/>
      <w:bookmarkStart w:id="453" w:name="_Toc175970571"/>
      <w:bookmarkStart w:id="454" w:name="_Toc176335290"/>
      <w:bookmarkStart w:id="455" w:name="_Toc176338865"/>
      <w:bookmarkStart w:id="456" w:name="_Toc178742890"/>
      <w:bookmarkStart w:id="457" w:name="_Toc179363313"/>
      <w:bookmarkStart w:id="458" w:name="_Toc179604382"/>
      <w:bookmarkStart w:id="459" w:name="_Toc180204575"/>
      <w:bookmarkStart w:id="460" w:name="_Toc180204791"/>
      <w:bookmarkStart w:id="461" w:name="_Toc185844536"/>
      <w:bookmarkStart w:id="462" w:name="_Toc185845156"/>
      <w:bookmarkStart w:id="463" w:name="_Toc185927121"/>
      <w:bookmarkStart w:id="464" w:name="_Toc202505869"/>
      <w:bookmarkStart w:id="465" w:name="_Toc202672654"/>
      <w:bookmarkStart w:id="466" w:name="_Toc202691745"/>
      <w:bookmarkStart w:id="467" w:name="_Toc233448367"/>
      <w:bookmarkStart w:id="468" w:name="_Toc233611681"/>
      <w:bookmarkStart w:id="469" w:name="_Toc234730688"/>
      <w:bookmarkStart w:id="470" w:name="_Toc234733214"/>
      <w:bookmarkStart w:id="471" w:name="_Toc235863951"/>
      <w:bookmarkStart w:id="472" w:name="_Toc235933426"/>
      <w:bookmarkStart w:id="473" w:name="_Toc237164414"/>
      <w:bookmarkStart w:id="474" w:name="_Toc237244297"/>
      <w:bookmarkStart w:id="475" w:name="_Toc237245598"/>
      <w:bookmarkStart w:id="476" w:name="_Toc237245729"/>
      <w:bookmarkStart w:id="477" w:name="_Toc237247837"/>
      <w:bookmarkStart w:id="478" w:name="_Toc237254140"/>
      <w:bookmarkStart w:id="479" w:name="_Toc237309559"/>
      <w:bookmarkStart w:id="480" w:name="_Toc265743498"/>
      <w:bookmarkStart w:id="481" w:name="_Toc297540756"/>
      <w:bookmarkStart w:id="482" w:name="_Toc297541184"/>
      <w:bookmarkStart w:id="483" w:name="_Toc328403419"/>
      <w:bookmarkStart w:id="484" w:name="_Toc328471468"/>
      <w:r>
        <w:rPr>
          <w:rStyle w:val="CharPartNo"/>
        </w:rPr>
        <w:t>Part 4</w:t>
      </w:r>
      <w:r>
        <w:rPr>
          <w:rStyle w:val="CharDivNo"/>
        </w:rPr>
        <w:t> </w:t>
      </w:r>
      <w:r>
        <w:t>—</w:t>
      </w:r>
      <w:r>
        <w:rPr>
          <w:rStyle w:val="CharDivText"/>
        </w:rPr>
        <w:t> </w:t>
      </w:r>
      <w:r>
        <w:rPr>
          <w:rStyle w:val="CharPartText"/>
        </w:rPr>
        <w:t>Drainage</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Heading5"/>
        <w:rPr>
          <w:snapToGrid w:val="0"/>
        </w:rPr>
      </w:pPr>
      <w:bookmarkStart w:id="485" w:name="_Toc487428980"/>
      <w:bookmarkStart w:id="486" w:name="_Toc17278686"/>
      <w:bookmarkStart w:id="487" w:name="_Toc180204792"/>
      <w:bookmarkStart w:id="488" w:name="_Toc328471469"/>
      <w:r>
        <w:rPr>
          <w:rStyle w:val="CharSectno"/>
        </w:rPr>
        <w:t>27</w:t>
      </w:r>
      <w:r>
        <w:rPr>
          <w:snapToGrid w:val="0"/>
        </w:rPr>
        <w:t>.</w:t>
      </w:r>
      <w:r>
        <w:rPr>
          <w:snapToGrid w:val="0"/>
        </w:rPr>
        <w:tab/>
        <w:t>Land subject to drainage charges</w:t>
      </w:r>
      <w:bookmarkEnd w:id="485"/>
      <w:bookmarkEnd w:id="486"/>
      <w:bookmarkEnd w:id="487"/>
      <w:bookmarkEnd w:id="488"/>
    </w:p>
    <w:p>
      <w:pPr>
        <w:pStyle w:val="Subsection"/>
        <w:rPr>
          <w:snapToGrid w:val="0"/>
        </w:rPr>
      </w:pPr>
      <w:r>
        <w:rPr>
          <w:snapToGrid w:val="0"/>
        </w:rPr>
        <w:tab/>
      </w:r>
      <w:r>
        <w:rPr>
          <w:snapToGrid w:val="0"/>
        </w:rPr>
        <w:tab/>
        <w:t xml:space="preserve">Land in a drainage area within the meaning of the </w:t>
      </w:r>
      <w:r>
        <w:rPr>
          <w:i/>
          <w:snapToGrid w:val="0"/>
        </w:rPr>
        <w:t>Metropolitan Water Authority Act 1982</w:t>
      </w:r>
      <w:r>
        <w:rPr>
          <w:snapToGrid w:val="0"/>
        </w:rPr>
        <w:t xml:space="preserve"> shall be taken, in accordance with section 41(1)(b) of the </w:t>
      </w:r>
      <w:r>
        <w:rPr>
          <w:i/>
          <w:snapToGrid w:val="0"/>
        </w:rPr>
        <w:t>Water Agencies (Powers) Act 1984</w:t>
      </w:r>
      <w:r>
        <w:rPr>
          <w:snapToGrid w:val="0"/>
        </w:rPr>
        <w:t>, to be land in respect of which the Corporation provides drainage and, subject to by</w:t>
      </w:r>
      <w:r>
        <w:rPr>
          <w:snapToGrid w:val="0"/>
        </w:rPr>
        <w:noBreakHyphen/>
        <w:t xml:space="preserve">law 28, charges as set out in </w:t>
      </w:r>
      <w:r>
        <w:t xml:space="preserve">Schedule 4 </w:t>
      </w:r>
      <w:r>
        <w:rPr>
          <w:snapToGrid w:val="0"/>
        </w:rPr>
        <w:t>shall apply in respect of that land.</w:t>
      </w:r>
    </w:p>
    <w:p>
      <w:pPr>
        <w:pStyle w:val="Footnotesection"/>
        <w:spacing w:before="80"/>
        <w:ind w:left="890" w:hanging="890"/>
      </w:pPr>
      <w:r>
        <w:tab/>
        <w:t>[By</w:t>
      </w:r>
      <w:r>
        <w:noBreakHyphen/>
        <w:t>law 27 amended in Gazette 29 Dec 1995 p. 6331</w:t>
      </w:r>
      <w:r>
        <w:noBreakHyphen/>
        <w:t>2; 29 Jun 2001 p. 3194; 19 Jun 2009 p. 2323.]</w:t>
      </w:r>
    </w:p>
    <w:p>
      <w:pPr>
        <w:pStyle w:val="Heading5"/>
        <w:rPr>
          <w:snapToGrid w:val="0"/>
        </w:rPr>
      </w:pPr>
      <w:bookmarkStart w:id="489" w:name="_Toc487428981"/>
      <w:bookmarkStart w:id="490" w:name="_Toc17278687"/>
      <w:bookmarkStart w:id="491" w:name="_Toc180204793"/>
      <w:bookmarkStart w:id="492" w:name="_Toc328471470"/>
      <w:r>
        <w:rPr>
          <w:rStyle w:val="CharSectno"/>
        </w:rPr>
        <w:t>28</w:t>
      </w:r>
      <w:r>
        <w:rPr>
          <w:snapToGrid w:val="0"/>
        </w:rPr>
        <w:t>.</w:t>
      </w:r>
      <w:r>
        <w:rPr>
          <w:snapToGrid w:val="0"/>
        </w:rPr>
        <w:tab/>
        <w:t>Exempt land</w:t>
      </w:r>
      <w:bookmarkEnd w:id="489"/>
      <w:bookmarkEnd w:id="490"/>
      <w:bookmarkEnd w:id="491"/>
      <w:bookmarkEnd w:id="492"/>
    </w:p>
    <w:p>
      <w:pPr>
        <w:pStyle w:val="Subsection"/>
        <w:rPr>
          <w:snapToGrid w:val="0"/>
        </w:rPr>
      </w:pPr>
      <w:r>
        <w:rPr>
          <w:snapToGrid w:val="0"/>
        </w:rPr>
        <w:tab/>
        <w:t>(1)</w:t>
      </w:r>
      <w:r>
        <w:rPr>
          <w:snapToGrid w:val="0"/>
        </w:rPr>
        <w:tab/>
        <w:t>Land described in by</w:t>
      </w:r>
      <w:r>
        <w:rPr>
          <w:snapToGrid w:val="0"/>
        </w:rPr>
        <w:noBreakHyphen/>
        <w:t>law 4 is exempt from any charge set out in</w:t>
      </w:r>
      <w:r>
        <w:t xml:space="preserve"> Schedule 4</w:t>
      </w:r>
      <w:r>
        <w:rPr>
          <w:snapToGrid w:val="0"/>
        </w:rPr>
        <w:t>.</w:t>
      </w:r>
    </w:p>
    <w:p>
      <w:pPr>
        <w:pStyle w:val="Subsection"/>
      </w:pPr>
      <w:r>
        <w:tab/>
        <w:t>(2)</w:t>
      </w:r>
      <w:r>
        <w:tab/>
        <w:t xml:space="preserve">A lot that is — </w:t>
      </w:r>
    </w:p>
    <w:p>
      <w:pPr>
        <w:pStyle w:val="Indenta"/>
      </w:pPr>
      <w:r>
        <w:tab/>
        <w:t>(a)</w:t>
      </w:r>
      <w:r>
        <w:tab/>
        <w:t>greater than one hectare in area; and</w:t>
      </w:r>
    </w:p>
    <w:p>
      <w:pPr>
        <w:pStyle w:val="Indenta"/>
      </w:pPr>
      <w:r>
        <w:tab/>
        <w:t>(b)</w:t>
      </w:r>
      <w:r>
        <w:tab/>
        <w:t xml:space="preserve">comprised wholly of — </w:t>
      </w:r>
    </w:p>
    <w:p>
      <w:pPr>
        <w:pStyle w:val="Indenti"/>
      </w:pPr>
      <w:r>
        <w:tab/>
        <w:t>(i)</w:t>
      </w:r>
      <w:r>
        <w:tab/>
        <w:t>rural land; or</w:t>
      </w:r>
    </w:p>
    <w:p>
      <w:pPr>
        <w:pStyle w:val="Indenti"/>
      </w:pPr>
      <w:r>
        <w:tab/>
        <w:t>(ii)</w:t>
      </w:r>
      <w:r>
        <w:tab/>
        <w:t>land that has not been the subject of development,</w:t>
      </w:r>
    </w:p>
    <w:p>
      <w:pPr>
        <w:pStyle w:val="Subsection"/>
      </w:pPr>
      <w:r>
        <w:tab/>
      </w:r>
      <w:r>
        <w:tab/>
        <w:t>is exempt from any charge set out in Schedule 4.</w:t>
      </w:r>
    </w:p>
    <w:p>
      <w:pPr>
        <w:pStyle w:val="Subsection"/>
      </w:pPr>
      <w:r>
        <w:tab/>
        <w:t>(3)</w:t>
      </w:r>
      <w:r>
        <w:tab/>
        <w:t>In sub</w:t>
      </w:r>
      <w:r>
        <w:noBreakHyphen/>
        <w:t xml:space="preserve">bylaw (2) — </w:t>
      </w:r>
    </w:p>
    <w:p>
      <w:pPr>
        <w:pStyle w:val="Defstart"/>
      </w:pPr>
      <w:r>
        <w:rPr>
          <w:b/>
        </w:rPr>
        <w:tab/>
      </w:r>
      <w:r>
        <w:rPr>
          <w:rStyle w:val="CharDefText"/>
        </w:rPr>
        <w:t>development</w:t>
      </w:r>
      <w:r>
        <w:t xml:space="preserve"> has the meaning given in the </w:t>
      </w:r>
      <w:r>
        <w:rPr>
          <w:i/>
        </w:rPr>
        <w:t>Planning and Development Act 2005</w:t>
      </w:r>
      <w:r>
        <w:t>;</w:t>
      </w:r>
    </w:p>
    <w:p>
      <w:pPr>
        <w:pStyle w:val="Defstart"/>
      </w:pPr>
      <w:r>
        <w:rPr>
          <w:b/>
        </w:rPr>
        <w:tab/>
      </w:r>
      <w:r>
        <w:rPr>
          <w:rStyle w:val="CharDefText"/>
        </w:rPr>
        <w:t>lot</w:t>
      </w:r>
      <w:r>
        <w:t xml:space="preserve"> has the meaning given in the </w:t>
      </w:r>
      <w:r>
        <w:rPr>
          <w:i/>
        </w:rPr>
        <w:t>Planning and Development Act 2005</w:t>
      </w:r>
      <w:r>
        <w:t>;</w:t>
      </w:r>
    </w:p>
    <w:p>
      <w:pPr>
        <w:pStyle w:val="Defstart"/>
      </w:pPr>
      <w:r>
        <w:rPr>
          <w:b/>
        </w:rPr>
        <w:tab/>
      </w:r>
      <w:r>
        <w:rPr>
          <w:rStyle w:val="CharDefText"/>
        </w:rPr>
        <w:t>rural land</w:t>
      </w:r>
      <w:r>
        <w:t xml:space="preserve"> means land zoned for agricultural or rural use under a local planning scheme made under the </w:t>
      </w:r>
      <w:r>
        <w:rPr>
          <w:i/>
        </w:rPr>
        <w:t>Planning and Development Act 2005</w:t>
      </w:r>
      <w:r>
        <w:t>.</w:t>
      </w:r>
    </w:p>
    <w:p>
      <w:pPr>
        <w:pStyle w:val="Footnotesection"/>
      </w:pPr>
      <w:r>
        <w:tab/>
        <w:t>[By</w:t>
      </w:r>
      <w:r>
        <w:noBreakHyphen/>
        <w:t>law 28 amended in Gazette 29 Jun 2001 p. 3194; 27 Jun 2008 p. 2987.]</w:t>
      </w:r>
    </w:p>
    <w:p>
      <w:pPr>
        <w:pStyle w:val="Heading5"/>
      </w:pPr>
      <w:bookmarkStart w:id="493" w:name="_Toc180204794"/>
      <w:bookmarkStart w:id="494" w:name="_Toc328471471"/>
      <w:r>
        <w:rPr>
          <w:rStyle w:val="CharSectno"/>
        </w:rPr>
        <w:t>29</w:t>
      </w:r>
      <w:r>
        <w:t>.</w:t>
      </w:r>
      <w:r>
        <w:tab/>
        <w:t>Classification of land</w:t>
      </w:r>
      <w:bookmarkEnd w:id="493"/>
      <w:bookmarkEnd w:id="494"/>
    </w:p>
    <w:p>
      <w:pPr>
        <w:pStyle w:val="Subsection"/>
      </w:pPr>
      <w:r>
        <w:tab/>
      </w:r>
      <w:r>
        <w:tab/>
        <w:t>For the purposes of this Part, land may, irrespective of any other classification under these by</w:t>
      </w:r>
      <w:r>
        <w:noBreakHyphen/>
        <w:t xml:space="preserve">laws, be classified by the Corporation as follows — </w:t>
      </w:r>
    </w:p>
    <w:p>
      <w:pPr>
        <w:pStyle w:val="Indenta"/>
      </w:pPr>
      <w:r>
        <w:tab/>
        <w:t>(a)</w:t>
      </w:r>
      <w:r>
        <w:tab/>
        <w:t>residential, if the land is used wholly or primarily for the purpose of providing the owner or occupier of the land with a residence for himself, his family or servants, or any of them;</w:t>
      </w:r>
    </w:p>
    <w:p>
      <w:pPr>
        <w:pStyle w:val="Indenta"/>
      </w:pPr>
      <w:r>
        <w:tab/>
        <w:t>(b)</w:t>
      </w:r>
      <w:r>
        <w:tab/>
        <w:t>non</w:t>
      </w:r>
      <w:r>
        <w:noBreakHyphen/>
        <w:t>residential property, if the land is used for business, professional, holiday accommodation, manufacturing, processing or other commercial processes that are not the subject of another class prescribed in this by</w:t>
      </w:r>
      <w:r>
        <w:noBreakHyphen/>
        <w:t>law;</w:t>
      </w:r>
    </w:p>
    <w:p>
      <w:pPr>
        <w:pStyle w:val="Indenta"/>
      </w:pPr>
      <w:r>
        <w:tab/>
        <w:t>(c)</w:t>
      </w:r>
      <w:r>
        <w:tab/>
        <w:t>vacant land, if there is no building on the land.</w:t>
      </w:r>
    </w:p>
    <w:p>
      <w:pPr>
        <w:pStyle w:val="Footnotesection"/>
      </w:pPr>
      <w:r>
        <w:tab/>
        <w:t>[By</w:t>
      </w:r>
      <w:r>
        <w:noBreakHyphen/>
        <w:t xml:space="preserve">law 29 inserted in Gazette 29 Jun 2007 p. 3254; amended in Gazette 19 Jun 2009 p. 2323.] </w:t>
      </w:r>
    </w:p>
    <w:p>
      <w:pPr>
        <w:pStyle w:val="Ednotesection"/>
      </w:pPr>
      <w:r>
        <w:t>[</w:t>
      </w:r>
      <w:r>
        <w:rPr>
          <w:b/>
        </w:rPr>
        <w:t>30.</w:t>
      </w:r>
      <w:r>
        <w:tab/>
        <w:t>Deleted in Gazette 1 Jul 2002 p. 3157.]</w:t>
      </w:r>
    </w:p>
    <w:p>
      <w:pPr>
        <w:pStyle w:val="Heading2"/>
      </w:pPr>
      <w:bookmarkStart w:id="495" w:name="_Toc91580448"/>
      <w:bookmarkStart w:id="496" w:name="_Toc103667133"/>
      <w:bookmarkStart w:id="497" w:name="_Toc103741652"/>
      <w:bookmarkStart w:id="498" w:name="_Toc107981895"/>
      <w:bookmarkStart w:id="499" w:name="_Toc118800062"/>
      <w:bookmarkStart w:id="500" w:name="_Toc118860070"/>
      <w:bookmarkStart w:id="501" w:name="_Toc121545570"/>
      <w:bookmarkStart w:id="502" w:name="_Toc121801093"/>
      <w:bookmarkStart w:id="503" w:name="_Toc121818206"/>
      <w:bookmarkStart w:id="504" w:name="_Toc121880816"/>
      <w:bookmarkStart w:id="505" w:name="_Toc129481887"/>
      <w:bookmarkStart w:id="506" w:name="_Toc130095256"/>
      <w:bookmarkStart w:id="507" w:name="_Toc130273320"/>
      <w:bookmarkStart w:id="508" w:name="_Toc139770993"/>
      <w:bookmarkStart w:id="509" w:name="_Toc139771371"/>
      <w:bookmarkStart w:id="510" w:name="_Toc151191586"/>
      <w:bookmarkStart w:id="511" w:name="_Toc151260479"/>
      <w:bookmarkStart w:id="512" w:name="_Toc164158584"/>
      <w:bookmarkStart w:id="513" w:name="_Toc164220956"/>
      <w:bookmarkStart w:id="514" w:name="_Toc170878918"/>
      <w:bookmarkStart w:id="515" w:name="_Toc170894668"/>
      <w:bookmarkStart w:id="516" w:name="_Toc175712634"/>
      <w:bookmarkStart w:id="517" w:name="_Toc175970575"/>
      <w:bookmarkStart w:id="518" w:name="_Toc176335294"/>
      <w:bookmarkStart w:id="519" w:name="_Toc176338869"/>
      <w:bookmarkStart w:id="520" w:name="_Toc178742894"/>
      <w:bookmarkStart w:id="521" w:name="_Toc179363317"/>
      <w:bookmarkStart w:id="522" w:name="_Toc179604386"/>
      <w:bookmarkStart w:id="523" w:name="_Toc180204579"/>
      <w:bookmarkStart w:id="524" w:name="_Toc180204795"/>
      <w:bookmarkStart w:id="525" w:name="_Toc185844540"/>
      <w:bookmarkStart w:id="526" w:name="_Toc185845160"/>
      <w:bookmarkStart w:id="527" w:name="_Toc185927125"/>
      <w:bookmarkStart w:id="528" w:name="_Toc202505873"/>
      <w:bookmarkStart w:id="529" w:name="_Toc202672658"/>
      <w:bookmarkStart w:id="530" w:name="_Toc202691749"/>
      <w:bookmarkStart w:id="531" w:name="_Toc233448371"/>
      <w:bookmarkStart w:id="532" w:name="_Toc233611685"/>
      <w:bookmarkStart w:id="533" w:name="_Toc234730692"/>
      <w:bookmarkStart w:id="534" w:name="_Toc234733218"/>
      <w:bookmarkStart w:id="535" w:name="_Toc235863955"/>
      <w:bookmarkStart w:id="536" w:name="_Toc235933430"/>
      <w:bookmarkStart w:id="537" w:name="_Toc237164418"/>
      <w:bookmarkStart w:id="538" w:name="_Toc237244301"/>
      <w:bookmarkStart w:id="539" w:name="_Toc237245602"/>
      <w:bookmarkStart w:id="540" w:name="_Toc237245733"/>
      <w:bookmarkStart w:id="541" w:name="_Toc237247841"/>
      <w:bookmarkStart w:id="542" w:name="_Toc237254144"/>
      <w:bookmarkStart w:id="543" w:name="_Toc237309563"/>
      <w:bookmarkStart w:id="544" w:name="_Toc265743502"/>
      <w:bookmarkStart w:id="545" w:name="_Toc297540760"/>
      <w:bookmarkStart w:id="546" w:name="_Toc297541188"/>
      <w:bookmarkStart w:id="547" w:name="_Toc328403423"/>
      <w:bookmarkStart w:id="548" w:name="_Toc328471472"/>
      <w:r>
        <w:rPr>
          <w:rStyle w:val="CharPartNo"/>
        </w:rPr>
        <w:t>Part 5</w:t>
      </w:r>
      <w:r>
        <w:rPr>
          <w:rStyle w:val="CharDivNo"/>
        </w:rPr>
        <w:t> </w:t>
      </w:r>
      <w:r>
        <w:t>—</w:t>
      </w:r>
      <w:r>
        <w:rPr>
          <w:rStyle w:val="CharDivText"/>
        </w:rPr>
        <w:t> </w:t>
      </w:r>
      <w:r>
        <w:rPr>
          <w:rStyle w:val="CharPartText"/>
        </w:rPr>
        <w:t>Irrigation</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Heading5"/>
        <w:rPr>
          <w:snapToGrid w:val="0"/>
        </w:rPr>
      </w:pPr>
      <w:bookmarkStart w:id="549" w:name="_Toc487428984"/>
      <w:bookmarkStart w:id="550" w:name="_Toc17278689"/>
      <w:bookmarkStart w:id="551" w:name="_Toc180204796"/>
      <w:bookmarkStart w:id="552" w:name="_Toc328471473"/>
      <w:r>
        <w:rPr>
          <w:rStyle w:val="CharSectno"/>
        </w:rPr>
        <w:t>31</w:t>
      </w:r>
      <w:r>
        <w:rPr>
          <w:snapToGrid w:val="0"/>
        </w:rPr>
        <w:t>.</w:t>
      </w:r>
      <w:r>
        <w:rPr>
          <w:snapToGrid w:val="0"/>
        </w:rPr>
        <w:tab/>
        <w:t>Land subject to irrigation charges</w:t>
      </w:r>
      <w:bookmarkEnd w:id="549"/>
      <w:bookmarkEnd w:id="550"/>
      <w:bookmarkEnd w:id="551"/>
      <w:bookmarkEnd w:id="552"/>
    </w:p>
    <w:p>
      <w:pPr>
        <w:pStyle w:val="Subsection"/>
        <w:rPr>
          <w:snapToGrid w:val="0"/>
        </w:rPr>
      </w:pPr>
      <w:r>
        <w:rPr>
          <w:snapToGrid w:val="0"/>
        </w:rPr>
        <w:tab/>
      </w:r>
      <w:r>
        <w:rPr>
          <w:snapToGrid w:val="0"/>
        </w:rPr>
        <w:tab/>
        <w:t xml:space="preserve">Land that is actually supplied under the </w:t>
      </w:r>
      <w:r>
        <w:rPr>
          <w:i/>
          <w:snapToGrid w:val="0"/>
        </w:rPr>
        <w:t>Rights in Water and Irrigation Act 1914</w:t>
      </w:r>
      <w:r>
        <w:rPr>
          <w:snapToGrid w:val="0"/>
        </w:rPr>
        <w:t xml:space="preserve"> with water for irrigation or, although not actually so supplied, is land —</w:t>
      </w:r>
    </w:p>
    <w:p>
      <w:pPr>
        <w:pStyle w:val="Indenta"/>
        <w:rPr>
          <w:snapToGrid w:val="0"/>
        </w:rPr>
      </w:pPr>
      <w:r>
        <w:rPr>
          <w:snapToGrid w:val="0"/>
        </w:rPr>
        <w:tab/>
        <w:t>(a)</w:t>
      </w:r>
      <w:r>
        <w:rPr>
          <w:snapToGrid w:val="0"/>
        </w:rPr>
        <w:tab/>
        <w:t>that is, in the opinion of the Corporation —</w:t>
      </w:r>
    </w:p>
    <w:p>
      <w:pPr>
        <w:pStyle w:val="Indenti"/>
        <w:rPr>
          <w:snapToGrid w:val="0"/>
        </w:rPr>
      </w:pPr>
      <w:r>
        <w:rPr>
          <w:snapToGrid w:val="0"/>
        </w:rPr>
        <w:tab/>
        <w:t>(i)</w:t>
      </w:r>
      <w:r>
        <w:rPr>
          <w:snapToGrid w:val="0"/>
        </w:rPr>
        <w:tab/>
        <w:t>suitable for irrigation; and</w:t>
      </w:r>
    </w:p>
    <w:p>
      <w:pPr>
        <w:pStyle w:val="Indenti"/>
        <w:rPr>
          <w:snapToGrid w:val="0"/>
        </w:rPr>
      </w:pPr>
      <w:r>
        <w:rPr>
          <w:snapToGrid w:val="0"/>
        </w:rPr>
        <w:tab/>
        <w:t>(ii)</w:t>
      </w:r>
      <w:r>
        <w:rPr>
          <w:snapToGrid w:val="0"/>
        </w:rPr>
        <w:tab/>
        <w:t>reasonably capable of being supplied under that Act with water for irrigation;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which the Corporation is prepared to supply water under that Act for irrigation,</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irrigation and, subject to by</w:t>
      </w:r>
      <w:r>
        <w:rPr>
          <w:snapToGrid w:val="0"/>
        </w:rPr>
        <w:noBreakHyphen/>
        <w:t xml:space="preserve">law 32, charges as set out in </w:t>
      </w:r>
      <w:r>
        <w:t xml:space="preserve">Schedule 5 </w:t>
      </w:r>
      <w:r>
        <w:rPr>
          <w:snapToGrid w:val="0"/>
        </w:rPr>
        <w:t>shall apply in respect of that land.</w:t>
      </w:r>
    </w:p>
    <w:p>
      <w:pPr>
        <w:pStyle w:val="Footnotesection"/>
      </w:pPr>
      <w:r>
        <w:tab/>
        <w:t>[By</w:t>
      </w:r>
      <w:r>
        <w:noBreakHyphen/>
        <w:t>law 31 inserted in Gazette 26 Jun 1992 p. 2813; amended in Gazette 29 Dec 1995 p. 6331</w:t>
      </w:r>
      <w:r>
        <w:noBreakHyphen/>
        <w:t>2; 29 Jun 2001 p. 3195.]</w:t>
      </w:r>
    </w:p>
    <w:p>
      <w:pPr>
        <w:pStyle w:val="Heading5"/>
        <w:rPr>
          <w:snapToGrid w:val="0"/>
        </w:rPr>
      </w:pPr>
      <w:bookmarkStart w:id="553" w:name="_Toc487428985"/>
      <w:bookmarkStart w:id="554" w:name="_Toc17278690"/>
      <w:bookmarkStart w:id="555" w:name="_Toc180204797"/>
      <w:bookmarkStart w:id="556" w:name="_Toc328471474"/>
      <w:r>
        <w:rPr>
          <w:rStyle w:val="CharSectno"/>
        </w:rPr>
        <w:t>32</w:t>
      </w:r>
      <w:r>
        <w:rPr>
          <w:snapToGrid w:val="0"/>
        </w:rPr>
        <w:t>.</w:t>
      </w:r>
      <w:r>
        <w:rPr>
          <w:snapToGrid w:val="0"/>
        </w:rPr>
        <w:tab/>
        <w:t>Exempt land</w:t>
      </w:r>
      <w:bookmarkEnd w:id="553"/>
      <w:bookmarkEnd w:id="554"/>
      <w:bookmarkEnd w:id="555"/>
      <w:bookmarkEnd w:id="556"/>
    </w:p>
    <w:p>
      <w:pPr>
        <w:pStyle w:val="Subsection"/>
        <w:rPr>
          <w:snapToGrid w:val="0"/>
        </w:rPr>
      </w:pPr>
      <w:r>
        <w:rPr>
          <w:snapToGrid w:val="0"/>
        </w:rPr>
        <w:tab/>
      </w:r>
      <w:r>
        <w:rPr>
          <w:snapToGrid w:val="0"/>
        </w:rPr>
        <w:tab/>
        <w:t>Land described in by</w:t>
      </w:r>
      <w:r>
        <w:rPr>
          <w:snapToGrid w:val="0"/>
        </w:rPr>
        <w:noBreakHyphen/>
        <w:t>law 4 is exempt from any charge set out in</w:t>
      </w:r>
      <w:r>
        <w:t xml:space="preserve"> Schedule 5</w:t>
      </w:r>
      <w:r>
        <w:rPr>
          <w:snapToGrid w:val="0"/>
        </w:rPr>
        <w:t>.</w:t>
      </w:r>
    </w:p>
    <w:p>
      <w:pPr>
        <w:pStyle w:val="Footnotesection"/>
      </w:pPr>
      <w:r>
        <w:tab/>
        <w:t>[By</w:t>
      </w:r>
      <w:r>
        <w:noBreakHyphen/>
        <w:t>law 32 amended in Gazette 29 Jun 2001 p. 3195.]</w:t>
      </w:r>
    </w:p>
    <w:p>
      <w:pPr>
        <w:pStyle w:val="Heading5"/>
      </w:pPr>
      <w:bookmarkStart w:id="557" w:name="_Toc17278691"/>
      <w:bookmarkStart w:id="558" w:name="_Toc180204798"/>
      <w:bookmarkStart w:id="559" w:name="_Toc328471475"/>
      <w:r>
        <w:rPr>
          <w:rStyle w:val="CharSectno"/>
        </w:rPr>
        <w:t>33</w:t>
      </w:r>
      <w:r>
        <w:t>.</w:t>
      </w:r>
      <w:r>
        <w:tab/>
        <w:t>Charge options for land in Carnarvon Irrigation District</w:t>
      </w:r>
      <w:bookmarkEnd w:id="557"/>
      <w:bookmarkEnd w:id="558"/>
      <w:bookmarkEnd w:id="559"/>
    </w:p>
    <w:p>
      <w:pPr>
        <w:pStyle w:val="Subsection"/>
      </w:pPr>
      <w:r>
        <w:tab/>
        <w:t>(1)</w:t>
      </w:r>
      <w:r>
        <w:tab/>
        <w:t>In this by</w:t>
      </w:r>
      <w:r>
        <w:noBreakHyphen/>
        <w:t>law —</w:t>
      </w:r>
    </w:p>
    <w:p>
      <w:pPr>
        <w:pStyle w:val="Defstart"/>
      </w:pPr>
      <w:r>
        <w:tab/>
      </w:r>
      <w:r>
        <w:rPr>
          <w:rStyle w:val="CharDefText"/>
        </w:rPr>
        <w:t>customer</w:t>
      </w:r>
      <w:r>
        <w:t xml:space="preserve"> means an owner or occupier of land in the Carnarvon Irrigation District who is entitled under the</w:t>
      </w:r>
      <w:r>
        <w:rPr>
          <w:i/>
        </w:rPr>
        <w:t xml:space="preserve"> Rights in Water and Irrigation Act 1914</w:t>
      </w:r>
      <w:r>
        <w:t xml:space="preserve"> to the supply to the land of water for irrigation purposes.</w:t>
      </w:r>
    </w:p>
    <w:p>
      <w:pPr>
        <w:pStyle w:val="Subsection"/>
      </w:pPr>
      <w:r>
        <w:tab/>
        <w:t>(2)</w:t>
      </w:r>
      <w:r>
        <w:tab/>
        <w:t>A customer is to select whether the charges for the supply to the land of water for irrigation purpose are to be made in accordance with —</w:t>
      </w:r>
    </w:p>
    <w:p>
      <w:pPr>
        <w:pStyle w:val="Indenta"/>
      </w:pPr>
      <w:r>
        <w:tab/>
        <w:t>(a)</w:t>
      </w:r>
      <w:r>
        <w:tab/>
        <w:t>Schedule 5 clause 1(1)(a) (</w:t>
      </w:r>
      <w:r>
        <w:rPr>
          <w:rStyle w:val="CharDefText"/>
        </w:rPr>
        <w:t>option A</w:t>
      </w:r>
      <w:r>
        <w:t>); or</w:t>
      </w:r>
    </w:p>
    <w:p>
      <w:pPr>
        <w:pStyle w:val="Indenta"/>
      </w:pPr>
      <w:r>
        <w:tab/>
        <w:t>(b)</w:t>
      </w:r>
      <w:r>
        <w:tab/>
        <w:t>Schedule 5 clause 1(1)(b) (</w:t>
      </w:r>
      <w:r>
        <w:rPr>
          <w:rStyle w:val="CharDefText"/>
        </w:rPr>
        <w:t>option B</w:t>
      </w:r>
      <w:r>
        <w:t>).</w:t>
      </w:r>
    </w:p>
    <w:p>
      <w:pPr>
        <w:pStyle w:val="Subsection"/>
      </w:pPr>
      <w:r>
        <w:tab/>
        <w:t>(3)</w:t>
      </w:r>
      <w:r>
        <w:tab/>
        <w:t>Until a customer selects otherwise, the customer is taken to have selected option A.</w:t>
      </w:r>
    </w:p>
    <w:p>
      <w:pPr>
        <w:pStyle w:val="Subsection"/>
      </w:pPr>
      <w:r>
        <w:tab/>
        <w:t>(4)</w:t>
      </w:r>
      <w:r>
        <w:tab/>
        <w:t>A customer may change the customer’s selection by giving notice in writing to the Corporation.</w:t>
      </w:r>
    </w:p>
    <w:p>
      <w:pPr>
        <w:pStyle w:val="Subsection"/>
      </w:pPr>
      <w:r>
        <w:tab/>
        <w:t>(5)</w:t>
      </w:r>
      <w:r>
        <w:tab/>
        <w:t>If notice of a change of selection is received by the Corporation before 1 June in a calendar year, the change has effect with respect to water supplied on or after 1 July in that year.</w:t>
      </w:r>
    </w:p>
    <w:p>
      <w:pPr>
        <w:pStyle w:val="Subsection"/>
      </w:pPr>
      <w:r>
        <w:tab/>
        <w:t>(6)</w:t>
      </w:r>
      <w:r>
        <w:tab/>
        <w:t>If notice of a change of selection is received by the Corporation on or after 1 June in a calendar year, the change has effect with respect to water supplied on or after 1 July in the next year.</w:t>
      </w:r>
    </w:p>
    <w:p>
      <w:pPr>
        <w:pStyle w:val="Subsection"/>
      </w:pPr>
      <w:r>
        <w:tab/>
        <w:t>(7)</w:t>
      </w:r>
      <w:r>
        <w:tab/>
        <w:t>If there is a change in the person who is the customer in respect of land, then until the new customer selects otherwise, the new customer is taken to have selected the option that applied in relation to the old customer immediately before the change.</w:t>
      </w:r>
    </w:p>
    <w:p>
      <w:pPr>
        <w:pStyle w:val="Footnotesection"/>
      </w:pPr>
      <w:r>
        <w:tab/>
        <w:t>[By</w:t>
      </w:r>
      <w:r>
        <w:noBreakHyphen/>
        <w:t>law 33 inserted in Gazette 22 Feb 2002 p. 767</w:t>
      </w:r>
      <w:r>
        <w:noBreakHyphen/>
        <w:t>8.]</w:t>
      </w:r>
    </w:p>
    <w:p>
      <w:pPr>
        <w:pStyle w:val="Ednotepart"/>
      </w:pPr>
      <w:r>
        <w:t>[Part 6 deleted in Gazette 29 Jun 1989 p. 1871.]</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560" w:name="_Toc328403427"/>
      <w:bookmarkStart w:id="561" w:name="_Toc328471476"/>
      <w:bookmarkStart w:id="562" w:name="_Toc103741755"/>
      <w:bookmarkStart w:id="563" w:name="_Toc139771095"/>
      <w:bookmarkStart w:id="564" w:name="_Toc139771473"/>
      <w:bookmarkStart w:id="565" w:name="_Toc151191688"/>
      <w:bookmarkStart w:id="566" w:name="_Toc151260581"/>
      <w:bookmarkStart w:id="567" w:name="_Toc164158688"/>
      <w:bookmarkStart w:id="568" w:name="_Toc164221060"/>
      <w:bookmarkStart w:id="569" w:name="_Toc170879115"/>
      <w:bookmarkStart w:id="570" w:name="_Toc170894765"/>
      <w:bookmarkStart w:id="571" w:name="_Toc175712731"/>
      <w:bookmarkStart w:id="572" w:name="_Toc175970672"/>
      <w:bookmarkStart w:id="573" w:name="_Toc176335391"/>
      <w:bookmarkStart w:id="574" w:name="_Toc176338966"/>
      <w:bookmarkStart w:id="575" w:name="_Toc178742991"/>
      <w:bookmarkStart w:id="576" w:name="_Toc179363414"/>
      <w:bookmarkStart w:id="577" w:name="_Toc179604483"/>
      <w:bookmarkStart w:id="578" w:name="_Toc180204676"/>
      <w:bookmarkStart w:id="579" w:name="_Toc180204892"/>
      <w:bookmarkStart w:id="580" w:name="_Toc185844637"/>
      <w:bookmarkStart w:id="581" w:name="_Toc185845257"/>
      <w:bookmarkStart w:id="582" w:name="_Toc185927222"/>
      <w:bookmarkStart w:id="583" w:name="_Toc202506016"/>
      <w:bookmarkStart w:id="584" w:name="_Toc202672748"/>
      <w:bookmarkStart w:id="585" w:name="_Toc202691763"/>
      <w:bookmarkStart w:id="586" w:name="_Toc265743581"/>
      <w:bookmarkStart w:id="587" w:name="_Toc297540764"/>
      <w:bookmarkStart w:id="588" w:name="_Toc297541192"/>
      <w:bookmarkStart w:id="589" w:name="_Toc121801198"/>
      <w:bookmarkStart w:id="590" w:name="_Toc121818311"/>
      <w:bookmarkStart w:id="591" w:name="_Toc121880921"/>
      <w:bookmarkStart w:id="592" w:name="_Toc129481992"/>
      <w:bookmarkStart w:id="593" w:name="_Toc130095361"/>
      <w:bookmarkStart w:id="594" w:name="_Toc130273425"/>
      <w:r>
        <w:rPr>
          <w:rStyle w:val="CharSchNo"/>
        </w:rPr>
        <w:t>Schedule 1</w:t>
      </w:r>
      <w:r>
        <w:t> — </w:t>
      </w:r>
      <w:r>
        <w:rPr>
          <w:rStyle w:val="CharSchText"/>
        </w:rPr>
        <w:t xml:space="preserve">Charges for water supply other than under the </w:t>
      </w:r>
      <w:r>
        <w:rPr>
          <w:rStyle w:val="CharSchText"/>
          <w:i/>
        </w:rPr>
        <w:t>Rights in Water and Irrigation Act 1914</w:t>
      </w:r>
      <w:r>
        <w:rPr>
          <w:rStyle w:val="CharSchText"/>
        </w:rPr>
        <w:t xml:space="preserve"> for 2012/2013</w:t>
      </w:r>
      <w:bookmarkEnd w:id="560"/>
      <w:bookmarkEnd w:id="561"/>
    </w:p>
    <w:p>
      <w:pPr>
        <w:pStyle w:val="yShoulderClause"/>
      </w:pPr>
      <w:r>
        <w:t xml:space="preserve">[bl. </w:t>
      </w:r>
      <w:r>
        <w:rPr>
          <w:snapToGrid w:val="0"/>
        </w:rPr>
        <w:t>11, 17B, 17C and 19A</w:t>
      </w:r>
      <w:r>
        <w:t>]</w:t>
      </w:r>
    </w:p>
    <w:p>
      <w:pPr>
        <w:pStyle w:val="yFootnoteheading"/>
        <w:spacing w:after="60"/>
      </w:pPr>
      <w:r>
        <w:tab/>
        <w:t>[Heading inserted in Gazette 20 Jun 2012 p. 2700.]</w:t>
      </w:r>
    </w:p>
    <w:p>
      <w:pPr>
        <w:pStyle w:val="yHeading3"/>
      </w:pPr>
      <w:bookmarkStart w:id="595" w:name="_Toc328403428"/>
      <w:bookmarkStart w:id="596" w:name="_Toc328471477"/>
      <w:r>
        <w:rPr>
          <w:rStyle w:val="CharSDivNo"/>
        </w:rPr>
        <w:t>Division 1</w:t>
      </w:r>
      <w:r>
        <w:rPr>
          <w:b w:val="0"/>
        </w:rPr>
        <w:t> — </w:t>
      </w:r>
      <w:r>
        <w:rPr>
          <w:rStyle w:val="CharSDivText"/>
        </w:rPr>
        <w:t>Fixed charges</w:t>
      </w:r>
      <w:bookmarkEnd w:id="595"/>
      <w:bookmarkEnd w:id="596"/>
    </w:p>
    <w:p>
      <w:pPr>
        <w:pStyle w:val="yFootnoteheading"/>
        <w:spacing w:after="60"/>
      </w:pPr>
      <w:r>
        <w:tab/>
        <w:t>[Heading inserted in Gazette 20 Jun 2012 p. 2700.]</w:t>
      </w:r>
    </w:p>
    <w:tbl>
      <w:tblPr>
        <w:tblW w:w="0" w:type="auto"/>
        <w:tblInd w:w="534" w:type="dxa"/>
        <w:tblLook w:val="0000" w:firstRow="0" w:lastRow="0" w:firstColumn="0" w:lastColumn="0" w:noHBand="0" w:noVBand="0"/>
      </w:tblPr>
      <w:tblGrid>
        <w:gridCol w:w="850"/>
        <w:gridCol w:w="4235"/>
        <w:gridCol w:w="1152"/>
      </w:tblGrid>
      <w:tr>
        <w:trPr>
          <w:cantSplit/>
        </w:trPr>
        <w:tc>
          <w:tcPr>
            <w:tcW w:w="850" w:type="dxa"/>
          </w:tcPr>
          <w:p>
            <w:pPr>
              <w:pStyle w:val="yTableNAm"/>
            </w:pPr>
            <w:r>
              <w:rPr>
                <w:b/>
                <w:bCs/>
              </w:rPr>
              <w:t>1.</w:t>
            </w:r>
          </w:p>
        </w:tc>
        <w:tc>
          <w:tcPr>
            <w:tcW w:w="4235" w:type="dxa"/>
          </w:tcPr>
          <w:p>
            <w:pPr>
              <w:pStyle w:val="yTableNAm"/>
              <w:tabs>
                <w:tab w:val="left" w:pos="1016"/>
                <w:tab w:val="left" w:pos="1323"/>
                <w:tab w:val="left" w:leader="dot" w:pos="4876"/>
              </w:tabs>
            </w:pPr>
            <w:r>
              <w:rPr>
                <w:b/>
                <w:bCs/>
              </w:rPr>
              <w:t>Residential</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right" w:leader="dot" w:pos="4019"/>
              </w:tabs>
            </w:pPr>
            <w:r>
              <w:t xml:space="preserve">In respect of each residential property, not being land mentioned in item 3, 4, 7, 8 or 9 </w:t>
            </w:r>
            <w:r>
              <w:tab/>
            </w:r>
          </w:p>
        </w:tc>
        <w:tc>
          <w:tcPr>
            <w:tcW w:w="1152" w:type="dxa"/>
            <w:vAlign w:val="bottom"/>
          </w:tcPr>
          <w:p>
            <w:pPr>
              <w:pStyle w:val="yTableNAm"/>
            </w:pPr>
            <w:r>
              <w:t>$188.10</w:t>
            </w:r>
          </w:p>
        </w:tc>
      </w:tr>
      <w:tr>
        <w:trPr>
          <w:cantSplit/>
        </w:trPr>
        <w:tc>
          <w:tcPr>
            <w:tcW w:w="850" w:type="dxa"/>
          </w:tcPr>
          <w:p>
            <w:pPr>
              <w:pStyle w:val="yTableNAm"/>
            </w:pPr>
            <w:r>
              <w:rPr>
                <w:b/>
                <w:bCs/>
              </w:rPr>
              <w:t>2.</w:t>
            </w:r>
          </w:p>
        </w:tc>
        <w:tc>
          <w:tcPr>
            <w:tcW w:w="4235" w:type="dxa"/>
          </w:tcPr>
          <w:p>
            <w:pPr>
              <w:pStyle w:val="yTableNAm"/>
              <w:tabs>
                <w:tab w:val="left" w:pos="1016"/>
                <w:tab w:val="left" w:pos="1323"/>
                <w:tab w:val="left" w:leader="dot" w:pos="4876"/>
              </w:tabs>
            </w:pPr>
            <w:r>
              <w:rPr>
                <w:b/>
                <w:bCs/>
              </w:rPr>
              <w:t>Metropolitan residential garden supply</w:t>
            </w:r>
          </w:p>
        </w:tc>
        <w:tc>
          <w:tcPr>
            <w:tcW w:w="1152" w:type="dxa"/>
            <w:vAlign w:val="bottom"/>
          </w:tcPr>
          <w:p>
            <w:pPr>
              <w:pStyle w:val="yTableNAm"/>
            </w:pPr>
          </w:p>
        </w:tc>
      </w:tr>
      <w:tr>
        <w:trPr>
          <w:cantSplit/>
        </w:trPr>
        <w:tc>
          <w:tcPr>
            <w:tcW w:w="850" w:type="dxa"/>
          </w:tcPr>
          <w:p>
            <w:pPr>
              <w:pStyle w:val="zyTableNAm"/>
              <w:keepNext/>
              <w:keepLines/>
            </w:pPr>
          </w:p>
        </w:tc>
        <w:tc>
          <w:tcPr>
            <w:tcW w:w="4235" w:type="dxa"/>
          </w:tcPr>
          <w:p>
            <w:pPr>
              <w:pStyle w:val="yTableNAm"/>
              <w:tabs>
                <w:tab w:val="left" w:pos="1016"/>
                <w:tab w:val="left" w:pos="1323"/>
                <w:tab w:val="left" w:leader="dot" w:pos="4876"/>
              </w:tabs>
            </w:pPr>
            <w:r>
              <w:t xml:space="preserve">In respect of each residential property in the metropolitan area, not being land mentioned in item 3, 4, 7 or 8, that is provided with a water supply that is reticulated separately from any other water supply provided in respect of the land and is provided solely for garden purposes as defined in the </w:t>
            </w:r>
            <w:r>
              <w:rPr>
                <w:i/>
                <w:iCs/>
              </w:rPr>
              <w:t>Metropolitan Water Supply, Sewerage and Drainage By</w:t>
            </w:r>
            <w:r>
              <w:rPr>
                <w:i/>
                <w:iCs/>
              </w:rPr>
              <w:noBreakHyphen/>
              <w:t>laws 1981</w:t>
            </w:r>
            <w:r>
              <w:t xml:space="preserve"> by</w:t>
            </w:r>
            <w:r>
              <w:noBreakHyphen/>
              <w:t xml:space="preserve">law 1.1 — </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296"/>
                <w:tab w:val="left" w:pos="776"/>
              </w:tabs>
              <w:ind w:left="776" w:hanging="776"/>
            </w:pPr>
            <w:r>
              <w:tab/>
              <w:t>(a)</w:t>
            </w:r>
            <w:r>
              <w:tab/>
              <w:t>if the area of land is less than 400 m</w:t>
            </w:r>
            <w:r>
              <w:rPr>
                <w:vertAlign w:val="superscript"/>
              </w:rPr>
              <w:t>2</w:t>
            </w:r>
            <w:r>
              <w:t xml:space="preserve">, in addition to any other charge applicable to the land under this Schedule, a charge of — </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814"/>
                <w:tab w:val="left" w:pos="1323"/>
                <w:tab w:val="right" w:leader="dot" w:pos="4020"/>
              </w:tabs>
              <w:ind w:left="1318" w:hanging="1318"/>
            </w:pPr>
            <w:r>
              <w:tab/>
              <w:t>(i)</w:t>
            </w:r>
            <w:r>
              <w:tab/>
              <w:t xml:space="preserve">in the suburb of </w:t>
            </w:r>
            <w:smartTag w:uri="urn:schemas-microsoft-com:office:smarttags" w:element="place">
              <w:smartTag w:uri="urn:schemas-microsoft-com:office:smarttags" w:element="City">
                <w:r>
                  <w:t>Butler</w:t>
                </w:r>
              </w:smartTag>
            </w:smartTag>
            <w:r>
              <w:tab/>
            </w:r>
          </w:p>
        </w:tc>
        <w:tc>
          <w:tcPr>
            <w:tcW w:w="1152" w:type="dxa"/>
            <w:vAlign w:val="bottom"/>
          </w:tcPr>
          <w:p>
            <w:pPr>
              <w:pStyle w:val="yTableNAm"/>
            </w:pPr>
            <w:r>
              <w:t>$74.00</w:t>
            </w:r>
          </w:p>
        </w:tc>
      </w:tr>
      <w:tr>
        <w:trPr>
          <w:cantSplit/>
        </w:trPr>
        <w:tc>
          <w:tcPr>
            <w:tcW w:w="850" w:type="dxa"/>
          </w:tcPr>
          <w:p>
            <w:pPr>
              <w:pStyle w:val="zyTableNAm"/>
            </w:pPr>
          </w:p>
        </w:tc>
        <w:tc>
          <w:tcPr>
            <w:tcW w:w="4235" w:type="dxa"/>
          </w:tcPr>
          <w:p>
            <w:pPr>
              <w:pStyle w:val="yTableNAm"/>
              <w:tabs>
                <w:tab w:val="clear" w:pos="567"/>
                <w:tab w:val="left" w:pos="814"/>
                <w:tab w:val="left" w:pos="1323"/>
                <w:tab w:val="right" w:leader="dot" w:pos="4020"/>
              </w:tabs>
              <w:ind w:left="1318" w:hanging="1318"/>
            </w:pPr>
            <w:r>
              <w:tab/>
              <w:t>(ii)</w:t>
            </w:r>
            <w:r>
              <w:tab/>
              <w:t>in the suburb of Baldivis</w:t>
            </w:r>
            <w:r>
              <w:tab/>
            </w:r>
          </w:p>
        </w:tc>
        <w:tc>
          <w:tcPr>
            <w:tcW w:w="1152" w:type="dxa"/>
            <w:vAlign w:val="bottom"/>
          </w:tcPr>
          <w:p>
            <w:pPr>
              <w:pStyle w:val="yTableNAm"/>
            </w:pPr>
            <w:r>
              <w:t>$119.30</w:t>
            </w:r>
          </w:p>
        </w:tc>
      </w:tr>
      <w:tr>
        <w:trPr>
          <w:cantSplit/>
        </w:trPr>
        <w:tc>
          <w:tcPr>
            <w:tcW w:w="850" w:type="dxa"/>
          </w:tcPr>
          <w:p>
            <w:pPr>
              <w:pStyle w:val="zyTableNAm"/>
            </w:pPr>
          </w:p>
        </w:tc>
        <w:tc>
          <w:tcPr>
            <w:tcW w:w="4235" w:type="dxa"/>
          </w:tcPr>
          <w:p>
            <w:pPr>
              <w:pStyle w:val="yTableNAm"/>
              <w:tabs>
                <w:tab w:val="clear" w:pos="567"/>
                <w:tab w:val="left" w:pos="296"/>
                <w:tab w:val="left" w:pos="776"/>
              </w:tabs>
              <w:ind w:left="776" w:hanging="776"/>
            </w:pPr>
            <w:r>
              <w:tab/>
              <w:t>(b)</w:t>
            </w:r>
            <w:r>
              <w:tab/>
              <w:t>if the area of land is equal to or greater than 400 m</w:t>
            </w:r>
            <w:r>
              <w:rPr>
                <w:vertAlign w:val="superscript"/>
              </w:rPr>
              <w:t>2</w:t>
            </w:r>
            <w:r>
              <w:t xml:space="preserve">, in addition to any other charge applicable to the land under this Schedule, a charge of — </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814"/>
                <w:tab w:val="left" w:pos="1323"/>
                <w:tab w:val="right" w:leader="dot" w:pos="4020"/>
              </w:tabs>
              <w:ind w:left="1318" w:hanging="1318"/>
            </w:pPr>
            <w:r>
              <w:tab/>
              <w:t>(i)</w:t>
            </w:r>
            <w:r>
              <w:tab/>
              <w:t xml:space="preserve">in the suburb of </w:t>
            </w:r>
            <w:smartTag w:uri="urn:schemas-microsoft-com:office:smarttags" w:element="place">
              <w:smartTag w:uri="urn:schemas-microsoft-com:office:smarttags" w:element="City">
                <w:r>
                  <w:t>Butler</w:t>
                </w:r>
              </w:smartTag>
            </w:smartTag>
            <w:r>
              <w:t xml:space="preserve"> </w:t>
            </w:r>
            <w:r>
              <w:tab/>
            </w:r>
          </w:p>
        </w:tc>
        <w:tc>
          <w:tcPr>
            <w:tcW w:w="1152" w:type="dxa"/>
            <w:vAlign w:val="bottom"/>
          </w:tcPr>
          <w:p>
            <w:pPr>
              <w:pStyle w:val="yTableNAm"/>
            </w:pPr>
            <w:r>
              <w:t>$148.00</w:t>
            </w:r>
          </w:p>
        </w:tc>
      </w:tr>
      <w:tr>
        <w:trPr>
          <w:cantSplit/>
        </w:trPr>
        <w:tc>
          <w:tcPr>
            <w:tcW w:w="850" w:type="dxa"/>
          </w:tcPr>
          <w:p>
            <w:pPr>
              <w:pStyle w:val="zyTableNAm"/>
            </w:pPr>
          </w:p>
        </w:tc>
        <w:tc>
          <w:tcPr>
            <w:tcW w:w="4235" w:type="dxa"/>
          </w:tcPr>
          <w:p>
            <w:pPr>
              <w:pStyle w:val="yTableNAm"/>
              <w:tabs>
                <w:tab w:val="clear" w:pos="567"/>
                <w:tab w:val="left" w:pos="814"/>
                <w:tab w:val="left" w:pos="1323"/>
                <w:tab w:val="right" w:leader="dot" w:pos="4020"/>
              </w:tabs>
              <w:ind w:left="1318" w:hanging="1318"/>
            </w:pPr>
            <w:r>
              <w:tab/>
              <w:t>(ii)</w:t>
            </w:r>
            <w:r>
              <w:tab/>
              <w:t xml:space="preserve">in the suburb of Baldivis </w:t>
            </w:r>
            <w:r>
              <w:tab/>
            </w:r>
          </w:p>
        </w:tc>
        <w:tc>
          <w:tcPr>
            <w:tcW w:w="1152" w:type="dxa"/>
            <w:vAlign w:val="bottom"/>
          </w:tcPr>
          <w:p>
            <w:pPr>
              <w:pStyle w:val="yTableNAm"/>
            </w:pPr>
            <w:r>
              <w:t>$238.60</w:t>
            </w:r>
          </w:p>
        </w:tc>
      </w:tr>
      <w:tr>
        <w:trPr>
          <w:cantSplit/>
        </w:trPr>
        <w:tc>
          <w:tcPr>
            <w:tcW w:w="850" w:type="dxa"/>
          </w:tcPr>
          <w:p>
            <w:pPr>
              <w:pStyle w:val="yTableNAm"/>
            </w:pPr>
            <w:r>
              <w:rPr>
                <w:b/>
                <w:bCs/>
              </w:rPr>
              <w:t>3.</w:t>
            </w:r>
          </w:p>
        </w:tc>
        <w:tc>
          <w:tcPr>
            <w:tcW w:w="4235" w:type="dxa"/>
          </w:tcPr>
          <w:p>
            <w:pPr>
              <w:pStyle w:val="yTableNAm"/>
              <w:tabs>
                <w:tab w:val="left" w:pos="1016"/>
                <w:tab w:val="left" w:pos="1323"/>
                <w:tab w:val="left" w:leader="dot" w:pos="4876"/>
              </w:tabs>
            </w:pPr>
            <w:r>
              <w:rPr>
                <w:b/>
                <w:bCs/>
              </w:rPr>
              <w:t xml:space="preserve">Connected metropolitan exempt </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left" w:pos="1016"/>
                <w:tab w:val="left" w:pos="1323"/>
                <w:tab w:val="left" w:leader="dot" w:pos="4876"/>
              </w:tabs>
            </w:pPr>
            <w:r>
              <w:t xml:space="preserve">In respect of land </w:t>
            </w:r>
            <w:r>
              <w:rPr>
                <w:szCs w:val="22"/>
              </w:rPr>
              <w:t>that is in the metropolitan area and is</w:t>
            </w:r>
            <w:r>
              <w:t xml:space="preserve"> — </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296"/>
                <w:tab w:val="left" w:pos="776"/>
              </w:tabs>
              <w:ind w:left="776" w:hanging="776"/>
            </w:pPr>
            <w:r>
              <w:tab/>
              <w:t>(a)</w:t>
            </w:r>
            <w:r>
              <w:tab/>
              <w:t>described in by</w:t>
            </w:r>
            <w:r>
              <w:noBreakHyphen/>
              <w:t>law 4; or</w:t>
            </w:r>
          </w:p>
        </w:tc>
        <w:tc>
          <w:tcPr>
            <w:tcW w:w="1152" w:type="dxa"/>
            <w:vAlign w:val="bottom"/>
          </w:tcPr>
          <w:p>
            <w:pPr>
              <w:pStyle w:val="yTableNAm"/>
            </w:pPr>
          </w:p>
        </w:tc>
      </w:tr>
      <w:tr>
        <w:trPr>
          <w:cantSplit/>
        </w:trPr>
        <w:tc>
          <w:tcPr>
            <w:tcW w:w="850" w:type="dxa"/>
          </w:tcPr>
          <w:p>
            <w:pPr>
              <w:pStyle w:val="yTableNAm"/>
            </w:pPr>
          </w:p>
        </w:tc>
        <w:tc>
          <w:tcPr>
            <w:tcW w:w="4235" w:type="dxa"/>
          </w:tcPr>
          <w:p>
            <w:pPr>
              <w:pStyle w:val="yTableNAm"/>
              <w:tabs>
                <w:tab w:val="clear" w:pos="567"/>
                <w:tab w:val="left" w:pos="296"/>
                <w:tab w:val="left" w:pos="776"/>
              </w:tabs>
              <w:ind w:left="776" w:hanging="776"/>
            </w:pPr>
            <w:r>
              <w:tab/>
              <w:t>(b)</w:t>
            </w:r>
            <w:r>
              <w:tab/>
              <w:t>classified as aged home or charitable purposes,</w:t>
            </w:r>
          </w:p>
        </w:tc>
        <w:tc>
          <w:tcPr>
            <w:tcW w:w="1152" w:type="dxa"/>
            <w:vAlign w:val="bottom"/>
          </w:tcPr>
          <w:p>
            <w:pPr>
              <w:pStyle w:val="yTableNAm"/>
            </w:pPr>
          </w:p>
        </w:tc>
      </w:tr>
      <w:tr>
        <w:trPr>
          <w:cantSplit/>
        </w:trPr>
        <w:tc>
          <w:tcPr>
            <w:tcW w:w="850" w:type="dxa"/>
          </w:tcPr>
          <w:p>
            <w:pPr>
              <w:pStyle w:val="yTableNAm"/>
            </w:pPr>
          </w:p>
        </w:tc>
        <w:tc>
          <w:tcPr>
            <w:tcW w:w="4235" w:type="dxa"/>
          </w:tcPr>
          <w:p>
            <w:pPr>
              <w:pStyle w:val="yTableNAm"/>
              <w:tabs>
                <w:tab w:val="clear" w:pos="567"/>
                <w:tab w:val="left" w:pos="1016"/>
                <w:tab w:val="left" w:pos="1323"/>
                <w:tab w:val="left" w:leader="dot" w:pos="4876"/>
              </w:tabs>
            </w:pPr>
            <w:r>
              <w:rPr>
                <w:szCs w:val="22"/>
              </w:rPr>
              <w:t xml:space="preserve">a charge for each connection, not being a connection the subject of a charge under item 15, determined by meter size minus the discount as set out in the following Table — </w:t>
            </w:r>
          </w:p>
        </w:tc>
        <w:tc>
          <w:tcPr>
            <w:tcW w:w="1152" w:type="dxa"/>
            <w:vAlign w:val="bottom"/>
          </w:tcPr>
          <w:p>
            <w:pPr>
              <w:pStyle w:val="yTableNAm"/>
            </w:pPr>
          </w:p>
        </w:tc>
      </w:tr>
    </w:tbl>
    <w:p>
      <w:pPr>
        <w:pStyle w:val="yTHeadingNAm"/>
      </w:pPr>
      <w:r>
        <w:t>Table of meter</w:t>
      </w:r>
      <w:r>
        <w:noBreakHyphen/>
        <w:t>based fixed charges</w:t>
      </w:r>
    </w:p>
    <w:tbl>
      <w:tblPr>
        <w:tblW w:w="4281" w:type="pct"/>
        <w:jc w:val="center"/>
        <w:tblInd w:w="772" w:type="dxa"/>
        <w:tblLook w:val="0000" w:firstRow="0" w:lastRow="0" w:firstColumn="0" w:lastColumn="0" w:noHBand="0" w:noVBand="0"/>
      </w:tblPr>
      <w:tblGrid>
        <w:gridCol w:w="2088"/>
        <w:gridCol w:w="2087"/>
        <w:gridCol w:w="2086"/>
      </w:tblGrid>
      <w:tr>
        <w:trPr>
          <w:cantSplit/>
          <w:tblHeader/>
          <w:jc w:val="center"/>
        </w:trPr>
        <w:tc>
          <w:tcPr>
            <w:tcW w:w="1667" w:type="pct"/>
            <w:tcBorders>
              <w:top w:val="single" w:sz="4" w:space="0" w:color="auto"/>
              <w:bottom w:val="single" w:sz="4" w:space="0" w:color="auto"/>
            </w:tcBorders>
          </w:tcPr>
          <w:p>
            <w:pPr>
              <w:pStyle w:val="yTableNAm"/>
              <w:jc w:val="center"/>
            </w:pPr>
            <w:r>
              <w:rPr>
                <w:b/>
                <w:bCs/>
              </w:rPr>
              <w:t>Meter size</w:t>
            </w:r>
            <w:r>
              <w:rPr>
                <w:b/>
                <w:bCs/>
              </w:rPr>
              <w:br/>
              <w:t>mm</w:t>
            </w:r>
          </w:p>
        </w:tc>
        <w:tc>
          <w:tcPr>
            <w:tcW w:w="1667" w:type="pct"/>
            <w:tcBorders>
              <w:top w:val="single" w:sz="4" w:space="0" w:color="auto"/>
              <w:bottom w:val="single" w:sz="4" w:space="0" w:color="auto"/>
            </w:tcBorders>
          </w:tcPr>
          <w:p>
            <w:pPr>
              <w:pStyle w:val="yTableNAm"/>
              <w:jc w:val="center"/>
            </w:pPr>
            <w:r>
              <w:rPr>
                <w:b/>
                <w:bCs/>
              </w:rPr>
              <w:t>Charge</w:t>
            </w:r>
            <w:r>
              <w:rPr>
                <w:b/>
                <w:bCs/>
              </w:rPr>
              <w:br/>
              <w:t>$</w:t>
            </w:r>
          </w:p>
        </w:tc>
        <w:tc>
          <w:tcPr>
            <w:tcW w:w="1666" w:type="pct"/>
            <w:tcBorders>
              <w:top w:val="single" w:sz="4" w:space="0" w:color="auto"/>
              <w:bottom w:val="single" w:sz="4" w:space="0" w:color="auto"/>
            </w:tcBorders>
          </w:tcPr>
          <w:p>
            <w:pPr>
              <w:pStyle w:val="yTableNAm"/>
              <w:jc w:val="center"/>
            </w:pPr>
            <w:r>
              <w:rPr>
                <w:b/>
                <w:bCs/>
              </w:rPr>
              <w:t>Discount</w:t>
            </w:r>
            <w:r>
              <w:rPr>
                <w:b/>
                <w:bCs/>
              </w:rPr>
              <w:br/>
              <w:t>%</w:t>
            </w:r>
          </w:p>
        </w:tc>
      </w:tr>
      <w:tr>
        <w:trPr>
          <w:cantSplit/>
          <w:jc w:val="center"/>
        </w:trPr>
        <w:tc>
          <w:tcPr>
            <w:tcW w:w="1667" w:type="pct"/>
          </w:tcPr>
          <w:p>
            <w:pPr>
              <w:pStyle w:val="yTableNAm"/>
              <w:jc w:val="center"/>
            </w:pPr>
            <w:r>
              <w:t>20</w:t>
            </w:r>
          </w:p>
        </w:tc>
        <w:tc>
          <w:tcPr>
            <w:tcW w:w="1667" w:type="pct"/>
            <w:vAlign w:val="bottom"/>
          </w:tcPr>
          <w:p>
            <w:pPr>
              <w:pStyle w:val="yTableNAm"/>
              <w:jc w:val="center"/>
            </w:pPr>
            <w:r>
              <w:t>188.10</w:t>
            </w:r>
          </w:p>
        </w:tc>
        <w:tc>
          <w:tcPr>
            <w:tcW w:w="1666" w:type="pct"/>
          </w:tcPr>
          <w:p>
            <w:pPr>
              <w:pStyle w:val="yTableNAm"/>
              <w:jc w:val="center"/>
            </w:pPr>
            <w:r>
              <w:t>100</w:t>
            </w:r>
          </w:p>
        </w:tc>
      </w:tr>
      <w:tr>
        <w:trPr>
          <w:cantSplit/>
          <w:jc w:val="center"/>
        </w:trPr>
        <w:tc>
          <w:tcPr>
            <w:tcW w:w="1667" w:type="pct"/>
          </w:tcPr>
          <w:p>
            <w:pPr>
              <w:pStyle w:val="yTableNAm"/>
              <w:jc w:val="center"/>
            </w:pPr>
            <w:r>
              <w:t>25</w:t>
            </w:r>
          </w:p>
        </w:tc>
        <w:tc>
          <w:tcPr>
            <w:tcW w:w="1667" w:type="pct"/>
            <w:vAlign w:val="bottom"/>
          </w:tcPr>
          <w:p>
            <w:pPr>
              <w:pStyle w:val="yTableNAm"/>
              <w:jc w:val="center"/>
            </w:pPr>
            <w:r>
              <w:t>293.90</w:t>
            </w:r>
          </w:p>
        </w:tc>
        <w:tc>
          <w:tcPr>
            <w:tcW w:w="1666" w:type="pct"/>
          </w:tcPr>
          <w:p>
            <w:pPr>
              <w:pStyle w:val="yTableNAm"/>
              <w:jc w:val="center"/>
            </w:pPr>
            <w:r>
              <w:t>100</w:t>
            </w:r>
          </w:p>
        </w:tc>
      </w:tr>
      <w:tr>
        <w:trPr>
          <w:cantSplit/>
          <w:jc w:val="center"/>
        </w:trPr>
        <w:tc>
          <w:tcPr>
            <w:tcW w:w="1667" w:type="pct"/>
          </w:tcPr>
          <w:p>
            <w:pPr>
              <w:pStyle w:val="yTableNAm"/>
              <w:jc w:val="center"/>
            </w:pPr>
            <w:r>
              <w:t>30</w:t>
            </w:r>
          </w:p>
        </w:tc>
        <w:tc>
          <w:tcPr>
            <w:tcW w:w="1667" w:type="pct"/>
            <w:vAlign w:val="bottom"/>
          </w:tcPr>
          <w:p>
            <w:pPr>
              <w:pStyle w:val="yTableNAm"/>
              <w:jc w:val="center"/>
            </w:pPr>
            <w:r>
              <w:t>423.20</w:t>
            </w:r>
          </w:p>
        </w:tc>
        <w:tc>
          <w:tcPr>
            <w:tcW w:w="1666" w:type="pct"/>
          </w:tcPr>
          <w:p>
            <w:pPr>
              <w:pStyle w:val="yTableNAm"/>
              <w:jc w:val="center"/>
            </w:pPr>
            <w:r>
              <w:t>100</w:t>
            </w:r>
          </w:p>
        </w:tc>
      </w:tr>
      <w:tr>
        <w:trPr>
          <w:cantSplit/>
          <w:jc w:val="center"/>
        </w:trPr>
        <w:tc>
          <w:tcPr>
            <w:tcW w:w="1667" w:type="pct"/>
          </w:tcPr>
          <w:p>
            <w:pPr>
              <w:pStyle w:val="yTableNAm"/>
              <w:jc w:val="center"/>
            </w:pPr>
            <w:r>
              <w:t>40</w:t>
            </w:r>
          </w:p>
        </w:tc>
        <w:tc>
          <w:tcPr>
            <w:tcW w:w="1667" w:type="pct"/>
            <w:vAlign w:val="bottom"/>
          </w:tcPr>
          <w:p>
            <w:pPr>
              <w:pStyle w:val="yTableNAm"/>
              <w:jc w:val="center"/>
            </w:pPr>
            <w:r>
              <w:t>752.40</w:t>
            </w:r>
          </w:p>
        </w:tc>
        <w:tc>
          <w:tcPr>
            <w:tcW w:w="1666" w:type="pct"/>
          </w:tcPr>
          <w:p>
            <w:pPr>
              <w:pStyle w:val="yTableNAm"/>
              <w:jc w:val="center"/>
            </w:pPr>
            <w:r>
              <w:t>100</w:t>
            </w:r>
          </w:p>
        </w:tc>
      </w:tr>
      <w:tr>
        <w:trPr>
          <w:cantSplit/>
          <w:jc w:val="center"/>
        </w:trPr>
        <w:tc>
          <w:tcPr>
            <w:tcW w:w="1667" w:type="pct"/>
          </w:tcPr>
          <w:p>
            <w:pPr>
              <w:pStyle w:val="yTableNAm"/>
              <w:jc w:val="center"/>
            </w:pPr>
            <w:r>
              <w:t>50</w:t>
            </w:r>
          </w:p>
        </w:tc>
        <w:tc>
          <w:tcPr>
            <w:tcW w:w="1667" w:type="pct"/>
            <w:vAlign w:val="bottom"/>
          </w:tcPr>
          <w:p>
            <w:pPr>
              <w:pStyle w:val="yTableNAm"/>
              <w:jc w:val="center"/>
            </w:pPr>
            <w:r>
              <w:t>1 175.60</w:t>
            </w:r>
          </w:p>
        </w:tc>
        <w:tc>
          <w:tcPr>
            <w:tcW w:w="1666" w:type="pct"/>
          </w:tcPr>
          <w:p>
            <w:pPr>
              <w:pStyle w:val="yTableNAm"/>
              <w:jc w:val="center"/>
            </w:pPr>
            <w:r>
              <w:t>100</w:t>
            </w:r>
          </w:p>
        </w:tc>
      </w:tr>
      <w:tr>
        <w:trPr>
          <w:cantSplit/>
          <w:jc w:val="center"/>
        </w:trPr>
        <w:tc>
          <w:tcPr>
            <w:tcW w:w="1667" w:type="pct"/>
          </w:tcPr>
          <w:p>
            <w:pPr>
              <w:pStyle w:val="yTableNAm"/>
              <w:jc w:val="center"/>
            </w:pPr>
            <w:r>
              <w:t>80</w:t>
            </w:r>
          </w:p>
        </w:tc>
        <w:tc>
          <w:tcPr>
            <w:tcW w:w="1667" w:type="pct"/>
            <w:vAlign w:val="bottom"/>
          </w:tcPr>
          <w:p>
            <w:pPr>
              <w:pStyle w:val="yTableNAm"/>
              <w:jc w:val="center"/>
            </w:pPr>
            <w:r>
              <w:t>3 009.60</w:t>
            </w:r>
          </w:p>
        </w:tc>
        <w:tc>
          <w:tcPr>
            <w:tcW w:w="1666" w:type="pct"/>
          </w:tcPr>
          <w:p>
            <w:pPr>
              <w:pStyle w:val="yTableNAm"/>
              <w:jc w:val="center"/>
            </w:pPr>
            <w:r>
              <w:t>100</w:t>
            </w:r>
          </w:p>
        </w:tc>
      </w:tr>
      <w:tr>
        <w:trPr>
          <w:cantSplit/>
          <w:jc w:val="center"/>
        </w:trPr>
        <w:tc>
          <w:tcPr>
            <w:tcW w:w="1667" w:type="pct"/>
          </w:tcPr>
          <w:p>
            <w:pPr>
              <w:pStyle w:val="yTableNAm"/>
              <w:jc w:val="center"/>
            </w:pPr>
            <w:r>
              <w:t>100</w:t>
            </w:r>
          </w:p>
        </w:tc>
        <w:tc>
          <w:tcPr>
            <w:tcW w:w="1667" w:type="pct"/>
            <w:vAlign w:val="bottom"/>
          </w:tcPr>
          <w:p>
            <w:pPr>
              <w:pStyle w:val="yTableNAm"/>
              <w:jc w:val="center"/>
            </w:pPr>
            <w:r>
              <w:t>4 702.50</w:t>
            </w:r>
          </w:p>
        </w:tc>
        <w:tc>
          <w:tcPr>
            <w:tcW w:w="1666" w:type="pct"/>
          </w:tcPr>
          <w:p>
            <w:pPr>
              <w:pStyle w:val="yTableNAm"/>
              <w:jc w:val="center"/>
            </w:pPr>
            <w:r>
              <w:t>100</w:t>
            </w:r>
          </w:p>
        </w:tc>
      </w:tr>
      <w:tr>
        <w:trPr>
          <w:cantSplit/>
          <w:jc w:val="center"/>
        </w:trPr>
        <w:tc>
          <w:tcPr>
            <w:tcW w:w="1667" w:type="pct"/>
          </w:tcPr>
          <w:p>
            <w:pPr>
              <w:pStyle w:val="yTableNAm"/>
              <w:jc w:val="center"/>
            </w:pPr>
            <w:r>
              <w:t>150</w:t>
            </w:r>
          </w:p>
        </w:tc>
        <w:tc>
          <w:tcPr>
            <w:tcW w:w="1667" w:type="pct"/>
            <w:vAlign w:val="bottom"/>
          </w:tcPr>
          <w:p>
            <w:pPr>
              <w:pStyle w:val="yTableNAm"/>
              <w:jc w:val="center"/>
            </w:pPr>
            <w:r>
              <w:t>10 580.60</w:t>
            </w:r>
          </w:p>
        </w:tc>
        <w:tc>
          <w:tcPr>
            <w:tcW w:w="1666" w:type="pct"/>
          </w:tcPr>
          <w:p>
            <w:pPr>
              <w:pStyle w:val="yTableNAm"/>
              <w:jc w:val="center"/>
            </w:pPr>
            <w:r>
              <w:t>100</w:t>
            </w:r>
          </w:p>
        </w:tc>
      </w:tr>
      <w:tr>
        <w:trPr>
          <w:cantSplit/>
          <w:jc w:val="center"/>
        </w:trPr>
        <w:tc>
          <w:tcPr>
            <w:tcW w:w="1667" w:type="pct"/>
          </w:tcPr>
          <w:p>
            <w:pPr>
              <w:pStyle w:val="yTableNAm"/>
              <w:jc w:val="center"/>
            </w:pPr>
            <w:r>
              <w:t>200</w:t>
            </w:r>
          </w:p>
        </w:tc>
        <w:tc>
          <w:tcPr>
            <w:tcW w:w="1667" w:type="pct"/>
            <w:vAlign w:val="bottom"/>
          </w:tcPr>
          <w:p>
            <w:pPr>
              <w:pStyle w:val="yTableNAm"/>
              <w:jc w:val="center"/>
            </w:pPr>
            <w:r>
              <w:t>18 810.00</w:t>
            </w:r>
          </w:p>
        </w:tc>
        <w:tc>
          <w:tcPr>
            <w:tcW w:w="1666" w:type="pct"/>
          </w:tcPr>
          <w:p>
            <w:pPr>
              <w:pStyle w:val="yTableNAm"/>
              <w:jc w:val="center"/>
            </w:pPr>
            <w:r>
              <w:t>100</w:t>
            </w:r>
          </w:p>
        </w:tc>
      </w:tr>
      <w:tr>
        <w:trPr>
          <w:cantSplit/>
          <w:jc w:val="center"/>
        </w:trPr>
        <w:tc>
          <w:tcPr>
            <w:tcW w:w="1667" w:type="pct"/>
          </w:tcPr>
          <w:p>
            <w:pPr>
              <w:pStyle w:val="yTableNAm"/>
              <w:jc w:val="center"/>
            </w:pPr>
            <w:r>
              <w:t>250</w:t>
            </w:r>
          </w:p>
        </w:tc>
        <w:tc>
          <w:tcPr>
            <w:tcW w:w="1667" w:type="pct"/>
            <w:vAlign w:val="bottom"/>
          </w:tcPr>
          <w:p>
            <w:pPr>
              <w:pStyle w:val="yTableNAm"/>
              <w:jc w:val="center"/>
            </w:pPr>
            <w:r>
              <w:t>29 390.60</w:t>
            </w:r>
          </w:p>
        </w:tc>
        <w:tc>
          <w:tcPr>
            <w:tcW w:w="1666" w:type="pct"/>
          </w:tcPr>
          <w:p>
            <w:pPr>
              <w:pStyle w:val="yTableNAm"/>
              <w:jc w:val="center"/>
            </w:pPr>
            <w:r>
              <w:t>100</w:t>
            </w:r>
          </w:p>
        </w:tc>
      </w:tr>
      <w:tr>
        <w:trPr>
          <w:cantSplit/>
          <w:jc w:val="center"/>
        </w:trPr>
        <w:tc>
          <w:tcPr>
            <w:tcW w:w="1667" w:type="pct"/>
          </w:tcPr>
          <w:p>
            <w:pPr>
              <w:pStyle w:val="yTableNAm"/>
              <w:jc w:val="center"/>
            </w:pPr>
            <w:r>
              <w:t>300</w:t>
            </w:r>
          </w:p>
        </w:tc>
        <w:tc>
          <w:tcPr>
            <w:tcW w:w="1667" w:type="pct"/>
            <w:vAlign w:val="bottom"/>
          </w:tcPr>
          <w:p>
            <w:pPr>
              <w:pStyle w:val="yTableNAm"/>
              <w:jc w:val="center"/>
            </w:pPr>
            <w:r>
              <w:t>42 322.50</w:t>
            </w:r>
          </w:p>
        </w:tc>
        <w:tc>
          <w:tcPr>
            <w:tcW w:w="1666" w:type="pct"/>
          </w:tcPr>
          <w:p>
            <w:pPr>
              <w:pStyle w:val="yTableNAm"/>
              <w:jc w:val="center"/>
            </w:pPr>
            <w:r>
              <w:t>100</w:t>
            </w:r>
          </w:p>
        </w:tc>
      </w:tr>
      <w:tr>
        <w:trPr>
          <w:cantSplit/>
          <w:jc w:val="center"/>
        </w:trPr>
        <w:tc>
          <w:tcPr>
            <w:tcW w:w="1667" w:type="pct"/>
            <w:tcBorders>
              <w:bottom w:val="single" w:sz="4" w:space="0" w:color="auto"/>
            </w:tcBorders>
          </w:tcPr>
          <w:p>
            <w:pPr>
              <w:pStyle w:val="yTableNAm"/>
              <w:jc w:val="center"/>
            </w:pPr>
            <w:r>
              <w:t>350</w:t>
            </w:r>
          </w:p>
        </w:tc>
        <w:tc>
          <w:tcPr>
            <w:tcW w:w="1667" w:type="pct"/>
            <w:tcBorders>
              <w:bottom w:val="single" w:sz="4" w:space="0" w:color="auto"/>
            </w:tcBorders>
            <w:vAlign w:val="bottom"/>
          </w:tcPr>
          <w:p>
            <w:pPr>
              <w:pStyle w:val="yTableNAm"/>
              <w:jc w:val="center"/>
            </w:pPr>
            <w:r>
              <w:t>57 605.60</w:t>
            </w:r>
          </w:p>
        </w:tc>
        <w:tc>
          <w:tcPr>
            <w:tcW w:w="1666" w:type="pct"/>
            <w:tcBorders>
              <w:bottom w:val="single" w:sz="4" w:space="0" w:color="auto"/>
            </w:tcBorders>
          </w:tcPr>
          <w:p>
            <w:pPr>
              <w:pStyle w:val="yTableNAm"/>
              <w:jc w:val="center"/>
            </w:pPr>
            <w:r>
              <w:t>100</w:t>
            </w:r>
          </w:p>
        </w:tc>
      </w:tr>
    </w:tbl>
    <w:p>
      <w:pPr>
        <w:pStyle w:val="yMiscellaneousBody"/>
      </w:pPr>
    </w:p>
    <w:tbl>
      <w:tblPr>
        <w:tblW w:w="0" w:type="auto"/>
        <w:tblInd w:w="534" w:type="dxa"/>
        <w:tblLook w:val="0000" w:firstRow="0" w:lastRow="0" w:firstColumn="0" w:lastColumn="0" w:noHBand="0" w:noVBand="0"/>
      </w:tblPr>
      <w:tblGrid>
        <w:gridCol w:w="850"/>
        <w:gridCol w:w="4235"/>
        <w:gridCol w:w="1152"/>
      </w:tblGrid>
      <w:tr>
        <w:trPr>
          <w:cantSplit/>
        </w:trPr>
        <w:tc>
          <w:tcPr>
            <w:tcW w:w="850" w:type="dxa"/>
          </w:tcPr>
          <w:p>
            <w:pPr>
              <w:pStyle w:val="yTableNAm"/>
              <w:keepNext/>
            </w:pPr>
            <w:r>
              <w:rPr>
                <w:b/>
                <w:bCs/>
              </w:rPr>
              <w:t>4.</w:t>
            </w:r>
          </w:p>
        </w:tc>
        <w:tc>
          <w:tcPr>
            <w:tcW w:w="4235" w:type="dxa"/>
          </w:tcPr>
          <w:p>
            <w:pPr>
              <w:pStyle w:val="yTableNAm"/>
              <w:keepNext/>
              <w:tabs>
                <w:tab w:val="left" w:leader="dot" w:pos="4876"/>
              </w:tabs>
            </w:pPr>
            <w:r>
              <w:rPr>
                <w:b/>
                <w:bCs/>
              </w:rPr>
              <w:t>Strata</w:t>
            </w:r>
            <w:r>
              <w:rPr>
                <w:b/>
                <w:bCs/>
              </w:rPr>
              <w:noBreakHyphen/>
              <w:t>titled (or long</w:t>
            </w:r>
            <w:r>
              <w:rPr>
                <w:b/>
                <w:bCs/>
              </w:rPr>
              <w:noBreakHyphen/>
              <w:t>term residential) caravan bays</w:t>
            </w:r>
          </w:p>
        </w:tc>
        <w:tc>
          <w:tcPr>
            <w:tcW w:w="1152" w:type="dxa"/>
            <w:vAlign w:val="bottom"/>
          </w:tcPr>
          <w:p>
            <w:pPr>
              <w:pStyle w:val="yTableNAm"/>
              <w:keepNext/>
            </w:pPr>
          </w:p>
        </w:tc>
      </w:tr>
      <w:tr>
        <w:trPr>
          <w:cantSplit/>
        </w:trPr>
        <w:tc>
          <w:tcPr>
            <w:tcW w:w="850" w:type="dxa"/>
          </w:tcPr>
          <w:p>
            <w:pPr>
              <w:pStyle w:val="zyTableNAm"/>
              <w:keepNext/>
              <w:keepLines/>
            </w:pPr>
          </w:p>
        </w:tc>
        <w:tc>
          <w:tcPr>
            <w:tcW w:w="4235" w:type="dxa"/>
          </w:tcPr>
          <w:p>
            <w:pPr>
              <w:pStyle w:val="yTableNAm"/>
              <w:tabs>
                <w:tab w:val="clear" w:pos="567"/>
                <w:tab w:val="right" w:leader="dot" w:pos="4019"/>
              </w:tabs>
            </w:pPr>
            <w:r>
              <w:t xml:space="preserve">In respect of each caravan bay that is a residential property and a lot within the meaning of the </w:t>
            </w:r>
            <w:r>
              <w:rPr>
                <w:i/>
                <w:iCs/>
              </w:rPr>
              <w:t>Strata Titles Act 1985</w:t>
            </w:r>
            <w:r>
              <w:t>, or a caravan bay designated as a long</w:t>
            </w:r>
            <w:r>
              <w:noBreakHyphen/>
              <w:t xml:space="preserve">term residential caravan bay </w:t>
            </w:r>
            <w:r>
              <w:tab/>
            </w:r>
          </w:p>
        </w:tc>
        <w:tc>
          <w:tcPr>
            <w:tcW w:w="1152" w:type="dxa"/>
            <w:vAlign w:val="bottom"/>
          </w:tcPr>
          <w:p>
            <w:pPr>
              <w:pStyle w:val="yTableNAm"/>
            </w:pPr>
            <w:r>
              <w:t>$132.20</w:t>
            </w:r>
          </w:p>
        </w:tc>
      </w:tr>
      <w:tr>
        <w:trPr>
          <w:cantSplit/>
        </w:trPr>
        <w:tc>
          <w:tcPr>
            <w:tcW w:w="850" w:type="dxa"/>
          </w:tcPr>
          <w:p>
            <w:pPr>
              <w:pStyle w:val="yTableNAm"/>
            </w:pPr>
            <w:r>
              <w:rPr>
                <w:b/>
                <w:bCs/>
              </w:rPr>
              <w:t>5.</w:t>
            </w:r>
          </w:p>
        </w:tc>
        <w:tc>
          <w:tcPr>
            <w:tcW w:w="4235" w:type="dxa"/>
          </w:tcPr>
          <w:p>
            <w:pPr>
              <w:pStyle w:val="yTableNAm"/>
              <w:tabs>
                <w:tab w:val="left" w:leader="dot" w:pos="4876"/>
              </w:tabs>
            </w:pPr>
            <w:r>
              <w:rPr>
                <w:b/>
                <w:bCs/>
              </w:rPr>
              <w:t>Strata</w:t>
            </w:r>
            <w:r>
              <w:rPr>
                <w:b/>
                <w:bCs/>
              </w:rPr>
              <w:noBreakHyphen/>
              <w:t>titled storage unit and strata</w:t>
            </w:r>
            <w:r>
              <w:rPr>
                <w:b/>
                <w:bCs/>
              </w:rPr>
              <w:noBreakHyphen/>
              <w:t>titled parking bay</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right" w:leader="dot" w:pos="4019"/>
              </w:tabs>
            </w:pPr>
            <w:r>
              <w:t xml:space="preserve">In respect of land comprised in a unit used for storage purposes or as a parking bay that is a lot within the meaning of the </w:t>
            </w:r>
            <w:r>
              <w:rPr>
                <w:i/>
                <w:iCs/>
              </w:rPr>
              <w:t>Strata Titles Act 1985</w:t>
            </w:r>
            <w:r>
              <w:t xml:space="preserve"> </w:t>
            </w:r>
            <w:r>
              <w:tab/>
            </w:r>
          </w:p>
        </w:tc>
        <w:tc>
          <w:tcPr>
            <w:tcW w:w="1152" w:type="dxa"/>
            <w:vAlign w:val="bottom"/>
          </w:tcPr>
          <w:p>
            <w:pPr>
              <w:pStyle w:val="yTableNAm"/>
            </w:pPr>
            <w:r>
              <w:t>$66.20</w:t>
            </w:r>
          </w:p>
        </w:tc>
      </w:tr>
      <w:tr>
        <w:trPr>
          <w:cantSplit/>
        </w:trPr>
        <w:tc>
          <w:tcPr>
            <w:tcW w:w="850" w:type="dxa"/>
          </w:tcPr>
          <w:p>
            <w:pPr>
              <w:pStyle w:val="yTableNAm"/>
            </w:pPr>
            <w:r>
              <w:rPr>
                <w:b/>
                <w:bCs/>
              </w:rPr>
              <w:t>6.</w:t>
            </w:r>
          </w:p>
        </w:tc>
        <w:tc>
          <w:tcPr>
            <w:tcW w:w="4235" w:type="dxa"/>
          </w:tcPr>
          <w:p>
            <w:pPr>
              <w:pStyle w:val="yTableNAm"/>
              <w:tabs>
                <w:tab w:val="left" w:leader="dot" w:pos="4876"/>
              </w:tabs>
            </w:pPr>
            <w:r>
              <w:rPr>
                <w:b/>
                <w:bCs/>
              </w:rPr>
              <w:t>Non</w:t>
            </w:r>
            <w:r>
              <w:rPr>
                <w:b/>
                <w:bCs/>
              </w:rPr>
              <w:noBreakHyphen/>
              <w:t>residential strata</w:t>
            </w:r>
            <w:r>
              <w:rPr>
                <w:b/>
                <w:bCs/>
              </w:rPr>
              <w:noBreakHyphen/>
              <w:t>titled units that share a service</w:t>
            </w:r>
          </w:p>
        </w:tc>
        <w:tc>
          <w:tcPr>
            <w:tcW w:w="1152" w:type="dxa"/>
            <w:vAlign w:val="bottom"/>
          </w:tcPr>
          <w:p>
            <w:pPr>
              <w:pStyle w:val="yTableNAm"/>
            </w:pPr>
          </w:p>
        </w:tc>
      </w:tr>
      <w:tr>
        <w:trPr>
          <w:cantSplit/>
        </w:trPr>
        <w:tc>
          <w:tcPr>
            <w:tcW w:w="850" w:type="dxa"/>
          </w:tcPr>
          <w:p>
            <w:pPr>
              <w:pStyle w:val="zyTableNAm"/>
              <w:keepNext/>
            </w:pPr>
          </w:p>
        </w:tc>
        <w:tc>
          <w:tcPr>
            <w:tcW w:w="4235" w:type="dxa"/>
          </w:tcPr>
          <w:p>
            <w:pPr>
              <w:pStyle w:val="yTableNAm"/>
              <w:tabs>
                <w:tab w:val="left" w:leader="dot" w:pos="4876"/>
              </w:tabs>
            </w:pPr>
            <w:r>
              <w:t>In respect of land that —</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296"/>
                <w:tab w:val="left" w:pos="776"/>
              </w:tabs>
              <w:ind w:left="776" w:hanging="776"/>
            </w:pPr>
            <w:r>
              <w:tab/>
              <w:t>(a)</w:t>
            </w:r>
            <w:r>
              <w:tab/>
              <w:t>is not referred to in item 4 or 5; and</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296"/>
                <w:tab w:val="left" w:pos="776"/>
              </w:tabs>
              <w:ind w:left="776" w:hanging="776"/>
            </w:pPr>
            <w:r>
              <w:tab/>
              <w:t>(b)</w:t>
            </w:r>
            <w:r>
              <w:tab/>
              <w:t xml:space="preserve">comprises a unit that is a lot within the meaning of the </w:t>
            </w:r>
            <w:r>
              <w:rPr>
                <w:i/>
                <w:iCs/>
              </w:rPr>
              <w:t>Strata Titles Act 1985</w:t>
            </w:r>
            <w:r>
              <w:t>; and</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296"/>
                <w:tab w:val="left" w:pos="776"/>
                <w:tab w:val="right" w:leader="dot" w:pos="4020"/>
              </w:tabs>
              <w:ind w:left="776" w:hanging="776"/>
            </w:pPr>
            <w:r>
              <w:tab/>
              <w:t>(c)</w:t>
            </w:r>
            <w:r>
              <w:tab/>
              <w:t xml:space="preserve">shares a service with another unit described in paragraph (b) </w:t>
            </w:r>
            <w:r>
              <w:tab/>
            </w:r>
          </w:p>
        </w:tc>
        <w:tc>
          <w:tcPr>
            <w:tcW w:w="1152" w:type="dxa"/>
            <w:vAlign w:val="bottom"/>
          </w:tcPr>
          <w:p>
            <w:pPr>
              <w:pStyle w:val="yTableNAm"/>
            </w:pPr>
            <w:r>
              <w:t>$188.10</w:t>
            </w:r>
          </w:p>
        </w:tc>
      </w:tr>
    </w:tbl>
    <w:p>
      <w:pPr>
        <w:pStyle w:val="yHeading5"/>
        <w:tabs>
          <w:tab w:val="clear" w:pos="879"/>
        </w:tabs>
        <w:ind w:left="1400" w:hanging="868"/>
      </w:pPr>
      <w:bookmarkStart w:id="597" w:name="_Toc328471478"/>
      <w:r>
        <w:t>7.</w:t>
      </w:r>
      <w:r>
        <w:tab/>
        <w:t>Community residential</w:t>
      </w:r>
      <w:bookmarkEnd w:id="597"/>
    </w:p>
    <w:p>
      <w:pPr>
        <w:pStyle w:val="ySubsection"/>
        <w:tabs>
          <w:tab w:val="clear" w:pos="879"/>
        </w:tabs>
        <w:ind w:left="1400" w:hanging="908"/>
      </w:pPr>
      <w:r>
        <w:tab/>
      </w:r>
      <w:r>
        <w:tab/>
        <w:t>In respect of each discrete residential unit as determined under by</w:t>
      </w:r>
      <w:r>
        <w:noBreakHyphen/>
        <w:t xml:space="preserve">law 16 the charge payable in accordance with the following formula — </w:t>
      </w:r>
    </w:p>
    <w:p>
      <w:pPr>
        <w:pStyle w:val="ySubsection"/>
        <w:tabs>
          <w:tab w:val="clear" w:pos="879"/>
        </w:tabs>
        <w:ind w:left="1414" w:hanging="908"/>
      </w:pPr>
      <w:r>
        <w:rPr>
          <w:b/>
        </w:rPr>
        <w:tab/>
      </w:r>
      <w:r>
        <w:rPr>
          <w:b/>
        </w:rPr>
        <w:tab/>
        <w:t>A</w:t>
      </w:r>
      <w:r>
        <w:t xml:space="preserve"> </w:t>
      </w:r>
      <w:r>
        <w:sym w:font="Symbol" w:char="F02D"/>
      </w:r>
      <w:r>
        <w:t xml:space="preserve"> (</w:t>
      </w:r>
      <w:r>
        <w:rPr>
          <w:b/>
        </w:rPr>
        <w:t>A</w:t>
      </w:r>
      <w:r>
        <w:t xml:space="preserve"> </w:t>
      </w:r>
      <w:r>
        <w:sym w:font="Symbol" w:char="F0B4"/>
      </w:r>
      <w:r>
        <w:t xml:space="preserve"> </w:t>
      </w:r>
      <w:r>
        <w:rPr>
          <w:b/>
        </w:rPr>
        <w:t>B</w:t>
      </w:r>
      <w:r>
        <w:t>)</w:t>
      </w:r>
    </w:p>
    <w:p>
      <w:pPr>
        <w:pStyle w:val="ySubsection"/>
        <w:tabs>
          <w:tab w:val="clear" w:pos="879"/>
        </w:tabs>
        <w:ind w:left="1440" w:hanging="908"/>
      </w:pPr>
      <w:r>
        <w:tab/>
      </w:r>
      <w:r>
        <w:tab/>
        <w:t xml:space="preserve">where — </w:t>
      </w:r>
    </w:p>
    <w:p>
      <w:pPr>
        <w:pStyle w:val="yIndenta"/>
        <w:tabs>
          <w:tab w:val="clear" w:pos="1332"/>
          <w:tab w:val="clear" w:pos="1616"/>
          <w:tab w:val="left" w:pos="1680"/>
        </w:tabs>
        <w:ind w:left="1320" w:hanging="668"/>
      </w:pPr>
      <w:r>
        <w:rPr>
          <w:b/>
        </w:rPr>
        <w:tab/>
      </w:r>
      <w:r>
        <w:rPr>
          <w:b/>
        </w:rPr>
        <w:tab/>
        <w:t>A</w:t>
      </w:r>
      <w:r>
        <w:t xml:space="preserve"> =</w:t>
      </w:r>
      <w:r>
        <w:tab/>
        <w:t>$188.10;</w:t>
      </w:r>
    </w:p>
    <w:p>
      <w:pPr>
        <w:pStyle w:val="yIndenta"/>
        <w:tabs>
          <w:tab w:val="clear" w:pos="1332"/>
          <w:tab w:val="clear" w:pos="1616"/>
          <w:tab w:val="left" w:pos="1680"/>
        </w:tabs>
        <w:ind w:left="1560" w:hanging="908"/>
      </w:pPr>
      <w:r>
        <w:rPr>
          <w:b/>
        </w:rPr>
        <w:tab/>
      </w:r>
      <w:r>
        <w:rPr>
          <w:b/>
        </w:rPr>
        <w:tab/>
        <w:t>B</w:t>
      </w:r>
      <w:r>
        <w:t xml:space="preserve"> =</w:t>
      </w:r>
      <w:r>
        <w:tab/>
        <w:t>50%.</w:t>
      </w:r>
    </w:p>
    <w:tbl>
      <w:tblPr>
        <w:tblW w:w="0" w:type="auto"/>
        <w:tblInd w:w="534" w:type="dxa"/>
        <w:tblLook w:val="0000" w:firstRow="0" w:lastRow="0" w:firstColumn="0" w:lastColumn="0" w:noHBand="0" w:noVBand="0"/>
      </w:tblPr>
      <w:tblGrid>
        <w:gridCol w:w="850"/>
        <w:gridCol w:w="4235"/>
        <w:gridCol w:w="1152"/>
      </w:tblGrid>
      <w:tr>
        <w:trPr>
          <w:cantSplit/>
        </w:trPr>
        <w:tc>
          <w:tcPr>
            <w:tcW w:w="850" w:type="dxa"/>
          </w:tcPr>
          <w:p>
            <w:pPr>
              <w:pStyle w:val="yTableNAm"/>
              <w:keepNext/>
            </w:pPr>
            <w:r>
              <w:rPr>
                <w:b/>
                <w:bCs/>
              </w:rPr>
              <w:t>8.</w:t>
            </w:r>
          </w:p>
        </w:tc>
        <w:tc>
          <w:tcPr>
            <w:tcW w:w="4235" w:type="dxa"/>
          </w:tcPr>
          <w:p>
            <w:pPr>
              <w:pStyle w:val="yTableNAm"/>
              <w:keepNext/>
              <w:tabs>
                <w:tab w:val="left" w:leader="dot" w:pos="4876"/>
              </w:tabs>
            </w:pPr>
            <w:r>
              <w:rPr>
                <w:b/>
                <w:bCs/>
              </w:rPr>
              <w:t>Semi</w:t>
            </w:r>
            <w:r>
              <w:rPr>
                <w:b/>
                <w:bCs/>
              </w:rPr>
              <w:noBreakHyphen/>
              <w:t>rural residential</w:t>
            </w:r>
          </w:p>
        </w:tc>
        <w:tc>
          <w:tcPr>
            <w:tcW w:w="1152" w:type="dxa"/>
            <w:vAlign w:val="bottom"/>
          </w:tcPr>
          <w:p>
            <w:pPr>
              <w:pStyle w:val="yTableNAm"/>
              <w:keepNext/>
            </w:pPr>
          </w:p>
        </w:tc>
      </w:tr>
      <w:tr>
        <w:trPr>
          <w:cantSplit/>
        </w:trPr>
        <w:tc>
          <w:tcPr>
            <w:tcW w:w="850" w:type="dxa"/>
          </w:tcPr>
          <w:p>
            <w:pPr>
              <w:pStyle w:val="zyTableNAm"/>
              <w:keepNext/>
              <w:keepLines/>
            </w:pPr>
          </w:p>
        </w:tc>
        <w:tc>
          <w:tcPr>
            <w:tcW w:w="4235" w:type="dxa"/>
          </w:tcPr>
          <w:p>
            <w:pPr>
              <w:pStyle w:val="yTableNAm"/>
              <w:tabs>
                <w:tab w:val="clear" w:pos="567"/>
                <w:tab w:val="right" w:leader="dot" w:pos="4019"/>
              </w:tabs>
            </w:pPr>
            <w:r>
              <w:t>In respect of each semi</w:t>
            </w:r>
            <w:r>
              <w:noBreakHyphen/>
              <w:t xml:space="preserve">rural residential property not being land mentioned in item 3 </w:t>
            </w:r>
            <w:r>
              <w:tab/>
            </w:r>
          </w:p>
        </w:tc>
        <w:tc>
          <w:tcPr>
            <w:tcW w:w="1152" w:type="dxa"/>
            <w:vAlign w:val="bottom"/>
          </w:tcPr>
          <w:p>
            <w:pPr>
              <w:pStyle w:val="yTableNAm"/>
            </w:pPr>
            <w:r>
              <w:t>$188.10</w:t>
            </w:r>
          </w:p>
        </w:tc>
      </w:tr>
      <w:tr>
        <w:trPr>
          <w:cantSplit/>
        </w:trPr>
        <w:tc>
          <w:tcPr>
            <w:tcW w:w="850" w:type="dxa"/>
          </w:tcPr>
          <w:p>
            <w:pPr>
              <w:pStyle w:val="yTableNAm"/>
            </w:pPr>
            <w:r>
              <w:rPr>
                <w:b/>
                <w:bCs/>
              </w:rPr>
              <w:t>9.</w:t>
            </w:r>
          </w:p>
        </w:tc>
        <w:tc>
          <w:tcPr>
            <w:tcW w:w="4235" w:type="dxa"/>
          </w:tcPr>
          <w:p>
            <w:pPr>
              <w:pStyle w:val="yTableNAm"/>
              <w:tabs>
                <w:tab w:val="left" w:leader="dot" w:pos="4876"/>
              </w:tabs>
            </w:pPr>
            <w:r>
              <w:rPr>
                <w:b/>
                <w:bCs/>
              </w:rPr>
              <w:t>Connected non</w:t>
            </w:r>
            <w:r>
              <w:rPr>
                <w:b/>
                <w:bCs/>
              </w:rPr>
              <w:noBreakHyphen/>
              <w:t>metropolitan exempt</w:t>
            </w:r>
          </w:p>
        </w:tc>
        <w:tc>
          <w:tcPr>
            <w:tcW w:w="1152" w:type="dxa"/>
            <w:vAlign w:val="bottom"/>
          </w:tcPr>
          <w:p>
            <w:pPr>
              <w:pStyle w:val="yTableNAm"/>
            </w:pPr>
          </w:p>
        </w:tc>
      </w:tr>
      <w:tr>
        <w:trPr>
          <w:cantSplit/>
        </w:trPr>
        <w:tc>
          <w:tcPr>
            <w:tcW w:w="850" w:type="dxa"/>
          </w:tcPr>
          <w:p>
            <w:pPr>
              <w:pStyle w:val="zyTableNAm"/>
              <w:keepLines/>
            </w:pPr>
          </w:p>
        </w:tc>
        <w:tc>
          <w:tcPr>
            <w:tcW w:w="4235" w:type="dxa"/>
          </w:tcPr>
          <w:p>
            <w:pPr>
              <w:pStyle w:val="yTableNAm"/>
              <w:tabs>
                <w:tab w:val="left" w:leader="dot" w:pos="4876"/>
              </w:tabs>
            </w:pPr>
            <w:r>
              <w:t xml:space="preserve">In respect of land — </w:t>
            </w:r>
          </w:p>
        </w:tc>
        <w:tc>
          <w:tcPr>
            <w:tcW w:w="1152" w:type="dxa"/>
            <w:vAlign w:val="bottom"/>
          </w:tcPr>
          <w:p>
            <w:pPr>
              <w:pStyle w:val="yTableNAm"/>
            </w:pPr>
          </w:p>
        </w:tc>
      </w:tr>
      <w:tr>
        <w:trPr>
          <w:cantSplit/>
        </w:trPr>
        <w:tc>
          <w:tcPr>
            <w:tcW w:w="850" w:type="dxa"/>
          </w:tcPr>
          <w:p>
            <w:pPr>
              <w:pStyle w:val="zyTableNAm"/>
              <w:keepLines/>
            </w:pPr>
          </w:p>
        </w:tc>
        <w:tc>
          <w:tcPr>
            <w:tcW w:w="4235" w:type="dxa"/>
          </w:tcPr>
          <w:p>
            <w:pPr>
              <w:pStyle w:val="yTableNAm"/>
              <w:tabs>
                <w:tab w:val="clear" w:pos="567"/>
                <w:tab w:val="left" w:pos="296"/>
                <w:tab w:val="left" w:pos="776"/>
              </w:tabs>
              <w:ind w:left="776" w:hanging="776"/>
            </w:pPr>
            <w:r>
              <w:tab/>
              <w:t>(a)</w:t>
            </w:r>
            <w:r>
              <w:tab/>
              <w:t>described in by</w:t>
            </w:r>
            <w:r>
              <w:noBreakHyphen/>
              <w:t>law 4 that is comprised in a residential property and is not in the metropolitan area;</w:t>
            </w:r>
          </w:p>
        </w:tc>
        <w:tc>
          <w:tcPr>
            <w:tcW w:w="1152" w:type="dxa"/>
            <w:vAlign w:val="bottom"/>
          </w:tcPr>
          <w:p>
            <w:pPr>
              <w:pStyle w:val="yTableNAm"/>
            </w:pPr>
          </w:p>
        </w:tc>
      </w:tr>
      <w:tr>
        <w:trPr>
          <w:cantSplit/>
        </w:trPr>
        <w:tc>
          <w:tcPr>
            <w:tcW w:w="850" w:type="dxa"/>
          </w:tcPr>
          <w:p>
            <w:pPr>
              <w:pStyle w:val="zyTableNAm"/>
              <w:keepNext/>
              <w:keepLines/>
            </w:pPr>
          </w:p>
        </w:tc>
        <w:tc>
          <w:tcPr>
            <w:tcW w:w="4235" w:type="dxa"/>
          </w:tcPr>
          <w:p>
            <w:pPr>
              <w:pStyle w:val="yTableNAm"/>
              <w:tabs>
                <w:tab w:val="clear" w:pos="567"/>
                <w:tab w:val="left" w:pos="296"/>
                <w:tab w:val="left" w:pos="776"/>
              </w:tabs>
              <w:ind w:left="776" w:hanging="776"/>
            </w:pPr>
            <w:r>
              <w:tab/>
              <w:t>(b)</w:t>
            </w:r>
            <w:r>
              <w:tab/>
              <w:t>classified as local government, charitable purposes or institutional public that is neither in the metropolitan area or comprised in a residential property,</w:t>
            </w:r>
          </w:p>
        </w:tc>
        <w:tc>
          <w:tcPr>
            <w:tcW w:w="1152" w:type="dxa"/>
            <w:vAlign w:val="bottom"/>
          </w:tcPr>
          <w:p>
            <w:pPr>
              <w:pStyle w:val="yTableNAm"/>
            </w:pPr>
          </w:p>
        </w:tc>
      </w:tr>
      <w:tr>
        <w:trPr>
          <w:cantSplit/>
        </w:trPr>
        <w:tc>
          <w:tcPr>
            <w:tcW w:w="850" w:type="dxa"/>
          </w:tcPr>
          <w:p>
            <w:pPr>
              <w:pStyle w:val="zyTableNAm"/>
              <w:keepNext/>
              <w:keepLines/>
            </w:pPr>
          </w:p>
        </w:tc>
        <w:tc>
          <w:tcPr>
            <w:tcW w:w="4235" w:type="dxa"/>
          </w:tcPr>
          <w:p>
            <w:pPr>
              <w:pStyle w:val="yTableNAm"/>
              <w:tabs>
                <w:tab w:val="left" w:leader="dot" w:pos="4876"/>
              </w:tabs>
            </w:pPr>
            <w:r>
              <w:rPr>
                <w:szCs w:val="22"/>
              </w:rPr>
              <w:t>a charge, not being a connection the subject of a charge under item 15, determined by meter size minus the discount as set out in the following Table —</w:t>
            </w:r>
          </w:p>
        </w:tc>
        <w:tc>
          <w:tcPr>
            <w:tcW w:w="1152" w:type="dxa"/>
            <w:vAlign w:val="bottom"/>
          </w:tcPr>
          <w:p>
            <w:pPr>
              <w:pStyle w:val="yTableNAm"/>
            </w:pPr>
          </w:p>
        </w:tc>
      </w:tr>
    </w:tbl>
    <w:p>
      <w:pPr>
        <w:pStyle w:val="yTHeadingNAm"/>
      </w:pPr>
      <w:r>
        <w:t>Table of meter</w:t>
      </w:r>
      <w:r>
        <w:noBreakHyphen/>
        <w:t>based fixed charges</w:t>
      </w:r>
    </w:p>
    <w:tbl>
      <w:tblPr>
        <w:tblW w:w="62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4"/>
        <w:gridCol w:w="2094"/>
        <w:gridCol w:w="2095"/>
      </w:tblGrid>
      <w:tr>
        <w:trPr>
          <w:cantSplit/>
          <w:tblHeader/>
          <w:jc w:val="center"/>
        </w:trPr>
        <w:tc>
          <w:tcPr>
            <w:tcW w:w="2094" w:type="dxa"/>
            <w:tcBorders>
              <w:top w:val="single" w:sz="4" w:space="0" w:color="auto"/>
              <w:left w:val="nil"/>
              <w:bottom w:val="single" w:sz="4" w:space="0" w:color="auto"/>
              <w:right w:val="nil"/>
            </w:tcBorders>
          </w:tcPr>
          <w:p>
            <w:pPr>
              <w:pStyle w:val="yTableNAm"/>
              <w:jc w:val="center"/>
            </w:pPr>
            <w:r>
              <w:rPr>
                <w:b/>
                <w:bCs/>
              </w:rPr>
              <w:t>Meter size</w:t>
            </w:r>
            <w:r>
              <w:rPr>
                <w:b/>
                <w:bCs/>
              </w:rPr>
              <w:br/>
              <w:t>mm</w:t>
            </w:r>
          </w:p>
        </w:tc>
        <w:tc>
          <w:tcPr>
            <w:tcW w:w="2094" w:type="dxa"/>
            <w:tcBorders>
              <w:top w:val="single" w:sz="4" w:space="0" w:color="auto"/>
              <w:left w:val="nil"/>
              <w:bottom w:val="single" w:sz="4" w:space="0" w:color="auto"/>
              <w:right w:val="nil"/>
            </w:tcBorders>
          </w:tcPr>
          <w:p>
            <w:pPr>
              <w:pStyle w:val="yTableNAm"/>
              <w:jc w:val="center"/>
            </w:pPr>
            <w:r>
              <w:rPr>
                <w:b/>
                <w:bCs/>
              </w:rPr>
              <w:t>Charge</w:t>
            </w:r>
            <w:r>
              <w:rPr>
                <w:b/>
                <w:bCs/>
              </w:rPr>
              <w:br/>
              <w:t>$</w:t>
            </w:r>
          </w:p>
        </w:tc>
        <w:tc>
          <w:tcPr>
            <w:tcW w:w="2095" w:type="dxa"/>
            <w:tcBorders>
              <w:top w:val="single" w:sz="4" w:space="0" w:color="auto"/>
              <w:left w:val="nil"/>
              <w:bottom w:val="single" w:sz="4" w:space="0" w:color="auto"/>
              <w:right w:val="nil"/>
            </w:tcBorders>
          </w:tcPr>
          <w:p>
            <w:pPr>
              <w:pStyle w:val="yTableNAm"/>
              <w:jc w:val="center"/>
            </w:pPr>
            <w:r>
              <w:rPr>
                <w:b/>
                <w:bCs/>
              </w:rPr>
              <w:t>Discount</w:t>
            </w:r>
            <w:r>
              <w:rPr>
                <w:b/>
                <w:bCs/>
              </w:rPr>
              <w:br/>
              <w:t>%</w:t>
            </w:r>
          </w:p>
        </w:tc>
      </w:tr>
      <w:tr>
        <w:trPr>
          <w:cantSplit/>
          <w:jc w:val="center"/>
        </w:trPr>
        <w:tc>
          <w:tcPr>
            <w:tcW w:w="2094" w:type="dxa"/>
            <w:tcBorders>
              <w:top w:val="nil"/>
              <w:left w:val="nil"/>
              <w:bottom w:val="nil"/>
              <w:right w:val="nil"/>
            </w:tcBorders>
          </w:tcPr>
          <w:p>
            <w:pPr>
              <w:pStyle w:val="yTableNAm"/>
              <w:jc w:val="center"/>
            </w:pPr>
            <w:r>
              <w:t>15, 20</w:t>
            </w:r>
          </w:p>
        </w:tc>
        <w:tc>
          <w:tcPr>
            <w:tcW w:w="2094" w:type="dxa"/>
            <w:tcBorders>
              <w:top w:val="nil"/>
              <w:left w:val="nil"/>
              <w:bottom w:val="nil"/>
              <w:right w:val="nil"/>
            </w:tcBorders>
            <w:vAlign w:val="bottom"/>
          </w:tcPr>
          <w:p>
            <w:pPr>
              <w:pStyle w:val="yTableNAm"/>
              <w:jc w:val="center"/>
            </w:pPr>
            <w:r>
              <w:t>188.10</w:t>
            </w:r>
          </w:p>
        </w:tc>
        <w:tc>
          <w:tcPr>
            <w:tcW w:w="2095" w:type="dxa"/>
            <w:tcBorders>
              <w:top w:val="nil"/>
              <w:left w:val="nil"/>
              <w:bottom w:val="nil"/>
              <w:right w:val="nil"/>
            </w:tcBorders>
          </w:tcPr>
          <w:p>
            <w:pPr>
              <w:pStyle w:val="yTableNAm"/>
              <w:jc w:val="center"/>
            </w:pPr>
            <w:r>
              <w:t>100</w:t>
            </w:r>
          </w:p>
        </w:tc>
      </w:tr>
      <w:tr>
        <w:trPr>
          <w:cantSplit/>
          <w:jc w:val="center"/>
        </w:trPr>
        <w:tc>
          <w:tcPr>
            <w:tcW w:w="2094" w:type="dxa"/>
            <w:tcBorders>
              <w:top w:val="nil"/>
              <w:left w:val="nil"/>
              <w:bottom w:val="nil"/>
              <w:right w:val="nil"/>
            </w:tcBorders>
          </w:tcPr>
          <w:p>
            <w:pPr>
              <w:pStyle w:val="yTableNAm"/>
              <w:jc w:val="center"/>
            </w:pPr>
            <w:r>
              <w:t>25</w:t>
            </w:r>
          </w:p>
        </w:tc>
        <w:tc>
          <w:tcPr>
            <w:tcW w:w="2094" w:type="dxa"/>
            <w:tcBorders>
              <w:top w:val="nil"/>
              <w:left w:val="nil"/>
              <w:bottom w:val="nil"/>
              <w:right w:val="nil"/>
            </w:tcBorders>
            <w:vAlign w:val="bottom"/>
          </w:tcPr>
          <w:p>
            <w:pPr>
              <w:pStyle w:val="yTableNAm"/>
              <w:jc w:val="center"/>
            </w:pPr>
            <w:r>
              <w:t>293.90</w:t>
            </w:r>
          </w:p>
        </w:tc>
        <w:tc>
          <w:tcPr>
            <w:tcW w:w="2095" w:type="dxa"/>
            <w:tcBorders>
              <w:top w:val="nil"/>
              <w:left w:val="nil"/>
              <w:bottom w:val="nil"/>
              <w:right w:val="nil"/>
            </w:tcBorders>
          </w:tcPr>
          <w:p>
            <w:pPr>
              <w:pStyle w:val="yTableNAm"/>
              <w:jc w:val="center"/>
            </w:pPr>
            <w:r>
              <w:t>100</w:t>
            </w:r>
          </w:p>
        </w:tc>
      </w:tr>
      <w:tr>
        <w:trPr>
          <w:cantSplit/>
          <w:jc w:val="center"/>
        </w:trPr>
        <w:tc>
          <w:tcPr>
            <w:tcW w:w="2094" w:type="dxa"/>
            <w:tcBorders>
              <w:top w:val="nil"/>
              <w:left w:val="nil"/>
              <w:bottom w:val="nil"/>
              <w:right w:val="nil"/>
            </w:tcBorders>
          </w:tcPr>
          <w:p>
            <w:pPr>
              <w:pStyle w:val="yTableNAm"/>
              <w:jc w:val="center"/>
            </w:pPr>
            <w:r>
              <w:t>30</w:t>
            </w:r>
          </w:p>
        </w:tc>
        <w:tc>
          <w:tcPr>
            <w:tcW w:w="2094" w:type="dxa"/>
            <w:tcBorders>
              <w:top w:val="nil"/>
              <w:left w:val="nil"/>
              <w:bottom w:val="nil"/>
              <w:right w:val="nil"/>
            </w:tcBorders>
            <w:vAlign w:val="bottom"/>
          </w:tcPr>
          <w:p>
            <w:pPr>
              <w:pStyle w:val="yTableNAm"/>
              <w:jc w:val="center"/>
            </w:pPr>
            <w:r>
              <w:t>423.20</w:t>
            </w:r>
          </w:p>
        </w:tc>
        <w:tc>
          <w:tcPr>
            <w:tcW w:w="2095" w:type="dxa"/>
            <w:tcBorders>
              <w:top w:val="nil"/>
              <w:left w:val="nil"/>
              <w:bottom w:val="nil"/>
              <w:right w:val="nil"/>
            </w:tcBorders>
          </w:tcPr>
          <w:p>
            <w:pPr>
              <w:pStyle w:val="yTableNAm"/>
              <w:jc w:val="center"/>
            </w:pPr>
            <w:r>
              <w:t>100</w:t>
            </w:r>
          </w:p>
        </w:tc>
      </w:tr>
      <w:tr>
        <w:trPr>
          <w:cantSplit/>
          <w:jc w:val="center"/>
        </w:trPr>
        <w:tc>
          <w:tcPr>
            <w:tcW w:w="2094" w:type="dxa"/>
            <w:tcBorders>
              <w:top w:val="nil"/>
              <w:left w:val="nil"/>
              <w:bottom w:val="nil"/>
              <w:right w:val="nil"/>
            </w:tcBorders>
          </w:tcPr>
          <w:p>
            <w:pPr>
              <w:pStyle w:val="yTableNAm"/>
              <w:jc w:val="center"/>
            </w:pPr>
            <w:r>
              <w:t>35, 38, 40</w:t>
            </w:r>
          </w:p>
        </w:tc>
        <w:tc>
          <w:tcPr>
            <w:tcW w:w="2094" w:type="dxa"/>
            <w:tcBorders>
              <w:top w:val="nil"/>
              <w:left w:val="nil"/>
              <w:bottom w:val="nil"/>
              <w:right w:val="nil"/>
            </w:tcBorders>
            <w:vAlign w:val="bottom"/>
          </w:tcPr>
          <w:p>
            <w:pPr>
              <w:pStyle w:val="yTableNAm"/>
              <w:jc w:val="center"/>
            </w:pPr>
            <w:r>
              <w:t>752.40</w:t>
            </w:r>
          </w:p>
        </w:tc>
        <w:tc>
          <w:tcPr>
            <w:tcW w:w="2095" w:type="dxa"/>
            <w:tcBorders>
              <w:top w:val="nil"/>
              <w:left w:val="nil"/>
              <w:bottom w:val="nil"/>
              <w:right w:val="nil"/>
            </w:tcBorders>
          </w:tcPr>
          <w:p>
            <w:pPr>
              <w:pStyle w:val="yTableNAm"/>
              <w:jc w:val="center"/>
            </w:pPr>
            <w:r>
              <w:t>100</w:t>
            </w:r>
          </w:p>
        </w:tc>
      </w:tr>
      <w:tr>
        <w:trPr>
          <w:cantSplit/>
          <w:jc w:val="center"/>
        </w:trPr>
        <w:tc>
          <w:tcPr>
            <w:tcW w:w="2094" w:type="dxa"/>
            <w:tcBorders>
              <w:top w:val="nil"/>
              <w:left w:val="nil"/>
              <w:bottom w:val="nil"/>
              <w:right w:val="nil"/>
            </w:tcBorders>
          </w:tcPr>
          <w:p>
            <w:pPr>
              <w:pStyle w:val="yTableNAm"/>
              <w:jc w:val="center"/>
            </w:pPr>
            <w:r>
              <w:t>50</w:t>
            </w:r>
          </w:p>
        </w:tc>
        <w:tc>
          <w:tcPr>
            <w:tcW w:w="2094" w:type="dxa"/>
            <w:tcBorders>
              <w:top w:val="nil"/>
              <w:left w:val="nil"/>
              <w:bottom w:val="nil"/>
              <w:right w:val="nil"/>
            </w:tcBorders>
            <w:vAlign w:val="bottom"/>
          </w:tcPr>
          <w:p>
            <w:pPr>
              <w:pStyle w:val="yTableNAm"/>
              <w:jc w:val="center"/>
            </w:pPr>
            <w:r>
              <w:t>1 175.60</w:t>
            </w:r>
          </w:p>
        </w:tc>
        <w:tc>
          <w:tcPr>
            <w:tcW w:w="2095" w:type="dxa"/>
            <w:tcBorders>
              <w:top w:val="nil"/>
              <w:left w:val="nil"/>
              <w:bottom w:val="nil"/>
              <w:right w:val="nil"/>
            </w:tcBorders>
          </w:tcPr>
          <w:p>
            <w:pPr>
              <w:pStyle w:val="yTableNAm"/>
              <w:jc w:val="center"/>
            </w:pPr>
            <w:r>
              <w:t>100</w:t>
            </w:r>
          </w:p>
        </w:tc>
      </w:tr>
      <w:tr>
        <w:trPr>
          <w:cantSplit/>
          <w:jc w:val="center"/>
        </w:trPr>
        <w:tc>
          <w:tcPr>
            <w:tcW w:w="2094" w:type="dxa"/>
            <w:tcBorders>
              <w:top w:val="nil"/>
              <w:left w:val="nil"/>
              <w:bottom w:val="nil"/>
              <w:right w:val="nil"/>
            </w:tcBorders>
          </w:tcPr>
          <w:p>
            <w:pPr>
              <w:pStyle w:val="yTableNAm"/>
              <w:jc w:val="center"/>
            </w:pPr>
            <w:r>
              <w:t>70, 75, 80</w:t>
            </w:r>
          </w:p>
        </w:tc>
        <w:tc>
          <w:tcPr>
            <w:tcW w:w="2094" w:type="dxa"/>
            <w:tcBorders>
              <w:top w:val="nil"/>
              <w:left w:val="nil"/>
              <w:bottom w:val="nil"/>
              <w:right w:val="nil"/>
            </w:tcBorders>
            <w:vAlign w:val="bottom"/>
          </w:tcPr>
          <w:p>
            <w:pPr>
              <w:pStyle w:val="yTableNAm"/>
              <w:jc w:val="center"/>
            </w:pPr>
            <w:r>
              <w:t>3 009.60</w:t>
            </w:r>
          </w:p>
        </w:tc>
        <w:tc>
          <w:tcPr>
            <w:tcW w:w="2095" w:type="dxa"/>
            <w:tcBorders>
              <w:top w:val="nil"/>
              <w:left w:val="nil"/>
              <w:bottom w:val="nil"/>
              <w:right w:val="nil"/>
            </w:tcBorders>
          </w:tcPr>
          <w:p>
            <w:pPr>
              <w:pStyle w:val="yTableNAm"/>
              <w:jc w:val="center"/>
            </w:pPr>
            <w:r>
              <w:t>100</w:t>
            </w:r>
          </w:p>
        </w:tc>
      </w:tr>
      <w:tr>
        <w:trPr>
          <w:cantSplit/>
          <w:jc w:val="center"/>
        </w:trPr>
        <w:tc>
          <w:tcPr>
            <w:tcW w:w="2094" w:type="dxa"/>
            <w:tcBorders>
              <w:top w:val="nil"/>
              <w:left w:val="nil"/>
              <w:bottom w:val="nil"/>
              <w:right w:val="nil"/>
            </w:tcBorders>
          </w:tcPr>
          <w:p>
            <w:pPr>
              <w:pStyle w:val="yTableNAm"/>
              <w:jc w:val="center"/>
            </w:pPr>
            <w:r>
              <w:t>100</w:t>
            </w:r>
          </w:p>
        </w:tc>
        <w:tc>
          <w:tcPr>
            <w:tcW w:w="2094" w:type="dxa"/>
            <w:tcBorders>
              <w:top w:val="nil"/>
              <w:left w:val="nil"/>
              <w:bottom w:val="nil"/>
              <w:right w:val="nil"/>
            </w:tcBorders>
            <w:vAlign w:val="bottom"/>
          </w:tcPr>
          <w:p>
            <w:pPr>
              <w:pStyle w:val="yTableNAm"/>
              <w:jc w:val="center"/>
            </w:pPr>
            <w:r>
              <w:t>4 702.50</w:t>
            </w:r>
          </w:p>
        </w:tc>
        <w:tc>
          <w:tcPr>
            <w:tcW w:w="2095" w:type="dxa"/>
            <w:tcBorders>
              <w:top w:val="nil"/>
              <w:left w:val="nil"/>
              <w:bottom w:val="nil"/>
              <w:right w:val="nil"/>
            </w:tcBorders>
          </w:tcPr>
          <w:p>
            <w:pPr>
              <w:pStyle w:val="yTableNAm"/>
              <w:jc w:val="center"/>
            </w:pPr>
            <w:r>
              <w:t>100</w:t>
            </w:r>
          </w:p>
        </w:tc>
      </w:tr>
      <w:tr>
        <w:trPr>
          <w:cantSplit/>
          <w:jc w:val="center"/>
        </w:trPr>
        <w:tc>
          <w:tcPr>
            <w:tcW w:w="2094" w:type="dxa"/>
            <w:tcBorders>
              <w:top w:val="nil"/>
              <w:left w:val="nil"/>
              <w:bottom w:val="single" w:sz="4" w:space="0" w:color="auto"/>
              <w:right w:val="nil"/>
            </w:tcBorders>
          </w:tcPr>
          <w:p>
            <w:pPr>
              <w:pStyle w:val="yTableNAm"/>
              <w:jc w:val="center"/>
            </w:pPr>
            <w:r>
              <w:t>140, 150</w:t>
            </w:r>
          </w:p>
        </w:tc>
        <w:tc>
          <w:tcPr>
            <w:tcW w:w="2094" w:type="dxa"/>
            <w:tcBorders>
              <w:top w:val="nil"/>
              <w:left w:val="nil"/>
              <w:bottom w:val="single" w:sz="4" w:space="0" w:color="auto"/>
              <w:right w:val="nil"/>
            </w:tcBorders>
            <w:vAlign w:val="bottom"/>
          </w:tcPr>
          <w:p>
            <w:pPr>
              <w:pStyle w:val="yTableNAm"/>
              <w:jc w:val="center"/>
            </w:pPr>
            <w:r>
              <w:t>10 580.60</w:t>
            </w:r>
          </w:p>
        </w:tc>
        <w:tc>
          <w:tcPr>
            <w:tcW w:w="2095" w:type="dxa"/>
            <w:tcBorders>
              <w:top w:val="nil"/>
              <w:left w:val="nil"/>
              <w:bottom w:val="single" w:sz="4" w:space="0" w:color="auto"/>
              <w:right w:val="nil"/>
            </w:tcBorders>
          </w:tcPr>
          <w:p>
            <w:pPr>
              <w:pStyle w:val="yTableNAm"/>
              <w:jc w:val="center"/>
            </w:pPr>
            <w:r>
              <w:t>100</w:t>
            </w:r>
          </w:p>
        </w:tc>
      </w:tr>
    </w:tbl>
    <w:p>
      <w:pPr>
        <w:pStyle w:val="yMiscellaneousBody"/>
      </w:pPr>
    </w:p>
    <w:tbl>
      <w:tblPr>
        <w:tblW w:w="0" w:type="auto"/>
        <w:tblInd w:w="534" w:type="dxa"/>
        <w:tblLook w:val="0000" w:firstRow="0" w:lastRow="0" w:firstColumn="0" w:lastColumn="0" w:noHBand="0" w:noVBand="0"/>
      </w:tblPr>
      <w:tblGrid>
        <w:gridCol w:w="850"/>
        <w:gridCol w:w="4235"/>
        <w:gridCol w:w="1152"/>
      </w:tblGrid>
      <w:tr>
        <w:trPr>
          <w:cantSplit/>
        </w:trPr>
        <w:tc>
          <w:tcPr>
            <w:tcW w:w="850" w:type="dxa"/>
          </w:tcPr>
          <w:p>
            <w:pPr>
              <w:pStyle w:val="yTableNAm"/>
              <w:keepNext/>
            </w:pPr>
            <w:r>
              <w:rPr>
                <w:b/>
                <w:bCs/>
              </w:rPr>
              <w:t>10.</w:t>
            </w:r>
          </w:p>
        </w:tc>
        <w:tc>
          <w:tcPr>
            <w:tcW w:w="4235" w:type="dxa"/>
          </w:tcPr>
          <w:p>
            <w:pPr>
              <w:pStyle w:val="yTableNAm"/>
              <w:keepNext/>
              <w:tabs>
                <w:tab w:val="left" w:leader="dot" w:pos="4876"/>
              </w:tabs>
            </w:pPr>
            <w:r>
              <w:rPr>
                <w:b/>
                <w:bCs/>
              </w:rPr>
              <w:t>Non</w:t>
            </w:r>
            <w:r>
              <w:rPr>
                <w:b/>
                <w:bCs/>
              </w:rPr>
              <w:noBreakHyphen/>
              <w:t>metropolitan non</w:t>
            </w:r>
            <w:r>
              <w:rPr>
                <w:b/>
                <w:bCs/>
              </w:rPr>
              <w:noBreakHyphen/>
              <w:t>residential or commercial residential</w:t>
            </w:r>
          </w:p>
        </w:tc>
        <w:tc>
          <w:tcPr>
            <w:tcW w:w="1152" w:type="dxa"/>
            <w:vAlign w:val="bottom"/>
          </w:tcPr>
          <w:p>
            <w:pPr>
              <w:pStyle w:val="yTableNAm"/>
              <w:keepNext/>
            </w:pPr>
          </w:p>
        </w:tc>
      </w:tr>
      <w:tr>
        <w:trPr>
          <w:cantSplit/>
        </w:trPr>
        <w:tc>
          <w:tcPr>
            <w:tcW w:w="850" w:type="dxa"/>
          </w:tcPr>
          <w:p>
            <w:pPr>
              <w:pStyle w:val="zyTableNAm"/>
              <w:keepNext/>
              <w:keepLines/>
            </w:pPr>
          </w:p>
        </w:tc>
        <w:tc>
          <w:tcPr>
            <w:tcW w:w="4235" w:type="dxa"/>
          </w:tcPr>
          <w:p>
            <w:pPr>
              <w:pStyle w:val="yTableNAm"/>
              <w:tabs>
                <w:tab w:val="left" w:leader="dot" w:pos="4876"/>
              </w:tabs>
            </w:pPr>
            <w:r>
              <w:t>In respect of land that is neither in the metropolitan area nor comprised in a residential property, where the land —</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296"/>
                <w:tab w:val="left" w:pos="776"/>
              </w:tabs>
              <w:ind w:left="776" w:hanging="776"/>
            </w:pPr>
            <w:r>
              <w:tab/>
              <w:t>(a)</w:t>
            </w:r>
            <w:r>
              <w:tab/>
              <w:t>is classified as non</w:t>
            </w:r>
            <w:r>
              <w:noBreakHyphen/>
              <w:t xml:space="preserve">residential or commercial residential; and </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296"/>
                <w:tab w:val="left" w:pos="776"/>
              </w:tabs>
              <w:ind w:left="776" w:hanging="776"/>
            </w:pPr>
            <w:r>
              <w:tab/>
              <w:t>(b)</w:t>
            </w:r>
            <w:r>
              <w:tab/>
              <w:t>is not mentioned in item 5 or 6,</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left" w:leader="dot" w:pos="4876"/>
              </w:tabs>
            </w:pPr>
            <w:r>
              <w:t>a charge payable for the relevant meter size as set out in the following Table —</w:t>
            </w:r>
          </w:p>
        </w:tc>
        <w:tc>
          <w:tcPr>
            <w:tcW w:w="1152" w:type="dxa"/>
            <w:vAlign w:val="bottom"/>
          </w:tcPr>
          <w:p>
            <w:pPr>
              <w:pStyle w:val="yTableNAm"/>
            </w:pPr>
          </w:p>
        </w:tc>
      </w:tr>
    </w:tbl>
    <w:p>
      <w:pPr>
        <w:pStyle w:val="yTHeadingNAm"/>
      </w:pPr>
      <w:r>
        <w:t>Table of meter</w:t>
      </w:r>
      <w:r>
        <w:noBreakHyphen/>
        <w:t>based fixed charges</w:t>
      </w:r>
    </w:p>
    <w:tbl>
      <w:tblPr>
        <w:tblW w:w="62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87"/>
        <w:gridCol w:w="3084"/>
      </w:tblGrid>
      <w:tr>
        <w:trPr>
          <w:cantSplit/>
          <w:tblHeader/>
          <w:jc w:val="center"/>
        </w:trPr>
        <w:tc>
          <w:tcPr>
            <w:tcW w:w="3187" w:type="dxa"/>
            <w:tcBorders>
              <w:top w:val="single" w:sz="4" w:space="0" w:color="auto"/>
              <w:left w:val="nil"/>
              <w:bottom w:val="single" w:sz="4" w:space="0" w:color="auto"/>
              <w:right w:val="nil"/>
            </w:tcBorders>
          </w:tcPr>
          <w:p>
            <w:pPr>
              <w:pStyle w:val="yTableNAm"/>
              <w:jc w:val="center"/>
            </w:pPr>
            <w:r>
              <w:rPr>
                <w:b/>
                <w:bCs/>
              </w:rPr>
              <w:t>Meter size</w:t>
            </w:r>
            <w:r>
              <w:rPr>
                <w:b/>
                <w:bCs/>
              </w:rPr>
              <w:br/>
              <w:t>mm</w:t>
            </w:r>
          </w:p>
        </w:tc>
        <w:tc>
          <w:tcPr>
            <w:tcW w:w="3084" w:type="dxa"/>
            <w:tcBorders>
              <w:top w:val="single" w:sz="4" w:space="0" w:color="auto"/>
              <w:left w:val="nil"/>
              <w:bottom w:val="single" w:sz="4" w:space="0" w:color="auto"/>
              <w:right w:val="nil"/>
            </w:tcBorders>
          </w:tcPr>
          <w:p>
            <w:pPr>
              <w:pStyle w:val="yTableNAm"/>
              <w:jc w:val="center"/>
            </w:pPr>
            <w:r>
              <w:rPr>
                <w:b/>
                <w:bCs/>
              </w:rPr>
              <w:t>Charge</w:t>
            </w:r>
            <w:r>
              <w:rPr>
                <w:b/>
                <w:bCs/>
              </w:rPr>
              <w:br/>
              <w:t>$</w:t>
            </w:r>
          </w:p>
        </w:tc>
      </w:tr>
      <w:tr>
        <w:trPr>
          <w:cantSplit/>
          <w:jc w:val="center"/>
        </w:trPr>
        <w:tc>
          <w:tcPr>
            <w:tcW w:w="3187" w:type="dxa"/>
            <w:tcBorders>
              <w:top w:val="nil"/>
              <w:left w:val="nil"/>
              <w:bottom w:val="nil"/>
              <w:right w:val="nil"/>
            </w:tcBorders>
          </w:tcPr>
          <w:p>
            <w:pPr>
              <w:pStyle w:val="yTableNAm"/>
              <w:jc w:val="center"/>
            </w:pPr>
            <w:r>
              <w:t>15, 20</w:t>
            </w:r>
          </w:p>
        </w:tc>
        <w:tc>
          <w:tcPr>
            <w:tcW w:w="3084" w:type="dxa"/>
            <w:tcBorders>
              <w:top w:val="nil"/>
              <w:left w:val="nil"/>
              <w:bottom w:val="nil"/>
              <w:right w:val="nil"/>
            </w:tcBorders>
            <w:vAlign w:val="bottom"/>
          </w:tcPr>
          <w:p>
            <w:pPr>
              <w:pStyle w:val="yTableNAm"/>
              <w:jc w:val="center"/>
            </w:pPr>
            <w:r>
              <w:t>188.10</w:t>
            </w:r>
          </w:p>
        </w:tc>
      </w:tr>
      <w:tr>
        <w:trPr>
          <w:cantSplit/>
          <w:jc w:val="center"/>
        </w:trPr>
        <w:tc>
          <w:tcPr>
            <w:tcW w:w="3187" w:type="dxa"/>
            <w:tcBorders>
              <w:top w:val="nil"/>
              <w:left w:val="nil"/>
              <w:bottom w:val="nil"/>
              <w:right w:val="nil"/>
            </w:tcBorders>
          </w:tcPr>
          <w:p>
            <w:pPr>
              <w:pStyle w:val="yTableNAm"/>
              <w:jc w:val="center"/>
            </w:pPr>
            <w:r>
              <w:t>25</w:t>
            </w:r>
          </w:p>
        </w:tc>
        <w:tc>
          <w:tcPr>
            <w:tcW w:w="3084" w:type="dxa"/>
            <w:tcBorders>
              <w:top w:val="nil"/>
              <w:left w:val="nil"/>
              <w:bottom w:val="nil"/>
              <w:right w:val="nil"/>
            </w:tcBorders>
            <w:vAlign w:val="bottom"/>
          </w:tcPr>
          <w:p>
            <w:pPr>
              <w:pStyle w:val="yTableNAm"/>
              <w:jc w:val="center"/>
            </w:pPr>
            <w:r>
              <w:t>293.90</w:t>
            </w:r>
          </w:p>
        </w:tc>
      </w:tr>
      <w:tr>
        <w:trPr>
          <w:cantSplit/>
          <w:jc w:val="center"/>
        </w:trPr>
        <w:tc>
          <w:tcPr>
            <w:tcW w:w="3187" w:type="dxa"/>
            <w:tcBorders>
              <w:top w:val="nil"/>
              <w:left w:val="nil"/>
              <w:bottom w:val="nil"/>
              <w:right w:val="nil"/>
            </w:tcBorders>
          </w:tcPr>
          <w:p>
            <w:pPr>
              <w:pStyle w:val="yTableNAm"/>
              <w:jc w:val="center"/>
            </w:pPr>
            <w:r>
              <w:t>30</w:t>
            </w:r>
          </w:p>
        </w:tc>
        <w:tc>
          <w:tcPr>
            <w:tcW w:w="3084" w:type="dxa"/>
            <w:tcBorders>
              <w:top w:val="nil"/>
              <w:left w:val="nil"/>
              <w:bottom w:val="nil"/>
              <w:right w:val="nil"/>
            </w:tcBorders>
            <w:vAlign w:val="bottom"/>
          </w:tcPr>
          <w:p>
            <w:pPr>
              <w:pStyle w:val="yTableNAm"/>
              <w:jc w:val="center"/>
            </w:pPr>
            <w:r>
              <w:t>423.20</w:t>
            </w:r>
          </w:p>
        </w:tc>
      </w:tr>
      <w:tr>
        <w:trPr>
          <w:cantSplit/>
          <w:jc w:val="center"/>
        </w:trPr>
        <w:tc>
          <w:tcPr>
            <w:tcW w:w="3187" w:type="dxa"/>
            <w:tcBorders>
              <w:top w:val="nil"/>
              <w:left w:val="nil"/>
              <w:bottom w:val="nil"/>
              <w:right w:val="nil"/>
            </w:tcBorders>
          </w:tcPr>
          <w:p>
            <w:pPr>
              <w:pStyle w:val="yTableNAm"/>
              <w:jc w:val="center"/>
            </w:pPr>
            <w:r>
              <w:t>35, 38, 40</w:t>
            </w:r>
          </w:p>
        </w:tc>
        <w:tc>
          <w:tcPr>
            <w:tcW w:w="3084" w:type="dxa"/>
            <w:tcBorders>
              <w:top w:val="nil"/>
              <w:left w:val="nil"/>
              <w:bottom w:val="nil"/>
              <w:right w:val="nil"/>
            </w:tcBorders>
            <w:vAlign w:val="bottom"/>
          </w:tcPr>
          <w:p>
            <w:pPr>
              <w:pStyle w:val="yTableNAm"/>
              <w:jc w:val="center"/>
            </w:pPr>
            <w:r>
              <w:t>752.40</w:t>
            </w:r>
          </w:p>
        </w:tc>
      </w:tr>
      <w:tr>
        <w:trPr>
          <w:cantSplit/>
          <w:jc w:val="center"/>
        </w:trPr>
        <w:tc>
          <w:tcPr>
            <w:tcW w:w="3187" w:type="dxa"/>
            <w:tcBorders>
              <w:top w:val="nil"/>
              <w:left w:val="nil"/>
              <w:bottom w:val="nil"/>
              <w:right w:val="nil"/>
            </w:tcBorders>
          </w:tcPr>
          <w:p>
            <w:pPr>
              <w:pStyle w:val="yTableNAm"/>
              <w:jc w:val="center"/>
            </w:pPr>
            <w:r>
              <w:t>50</w:t>
            </w:r>
          </w:p>
        </w:tc>
        <w:tc>
          <w:tcPr>
            <w:tcW w:w="3084" w:type="dxa"/>
            <w:tcBorders>
              <w:top w:val="nil"/>
              <w:left w:val="nil"/>
              <w:bottom w:val="nil"/>
              <w:right w:val="nil"/>
            </w:tcBorders>
            <w:vAlign w:val="bottom"/>
          </w:tcPr>
          <w:p>
            <w:pPr>
              <w:pStyle w:val="yTableNAm"/>
              <w:jc w:val="center"/>
            </w:pPr>
            <w:r>
              <w:t>1 175.60</w:t>
            </w:r>
          </w:p>
        </w:tc>
      </w:tr>
      <w:tr>
        <w:trPr>
          <w:cantSplit/>
          <w:jc w:val="center"/>
        </w:trPr>
        <w:tc>
          <w:tcPr>
            <w:tcW w:w="3187" w:type="dxa"/>
            <w:tcBorders>
              <w:top w:val="nil"/>
              <w:left w:val="nil"/>
              <w:bottom w:val="nil"/>
              <w:right w:val="nil"/>
            </w:tcBorders>
          </w:tcPr>
          <w:p>
            <w:pPr>
              <w:pStyle w:val="yTableNAm"/>
              <w:jc w:val="center"/>
            </w:pPr>
            <w:r>
              <w:t>70, 75, 80</w:t>
            </w:r>
          </w:p>
        </w:tc>
        <w:tc>
          <w:tcPr>
            <w:tcW w:w="3084" w:type="dxa"/>
            <w:tcBorders>
              <w:top w:val="nil"/>
              <w:left w:val="nil"/>
              <w:bottom w:val="nil"/>
              <w:right w:val="nil"/>
            </w:tcBorders>
            <w:vAlign w:val="bottom"/>
          </w:tcPr>
          <w:p>
            <w:pPr>
              <w:pStyle w:val="yTableNAm"/>
              <w:jc w:val="center"/>
            </w:pPr>
            <w:r>
              <w:t>3 009.60</w:t>
            </w:r>
          </w:p>
        </w:tc>
      </w:tr>
      <w:tr>
        <w:trPr>
          <w:cantSplit/>
          <w:jc w:val="center"/>
        </w:trPr>
        <w:tc>
          <w:tcPr>
            <w:tcW w:w="3187" w:type="dxa"/>
            <w:tcBorders>
              <w:top w:val="nil"/>
              <w:left w:val="nil"/>
              <w:bottom w:val="nil"/>
              <w:right w:val="nil"/>
            </w:tcBorders>
          </w:tcPr>
          <w:p>
            <w:pPr>
              <w:pStyle w:val="yTableNAm"/>
              <w:jc w:val="center"/>
            </w:pPr>
            <w:r>
              <w:t>100</w:t>
            </w:r>
          </w:p>
        </w:tc>
        <w:tc>
          <w:tcPr>
            <w:tcW w:w="3084" w:type="dxa"/>
            <w:tcBorders>
              <w:top w:val="nil"/>
              <w:left w:val="nil"/>
              <w:bottom w:val="nil"/>
              <w:right w:val="nil"/>
            </w:tcBorders>
            <w:vAlign w:val="bottom"/>
          </w:tcPr>
          <w:p>
            <w:pPr>
              <w:pStyle w:val="yTableNAm"/>
              <w:jc w:val="center"/>
            </w:pPr>
            <w:r>
              <w:t>4 702.50</w:t>
            </w:r>
          </w:p>
        </w:tc>
      </w:tr>
      <w:tr>
        <w:trPr>
          <w:cantSplit/>
          <w:jc w:val="center"/>
        </w:trPr>
        <w:tc>
          <w:tcPr>
            <w:tcW w:w="3187" w:type="dxa"/>
            <w:tcBorders>
              <w:top w:val="nil"/>
              <w:left w:val="nil"/>
              <w:bottom w:val="single" w:sz="4" w:space="0" w:color="auto"/>
              <w:right w:val="nil"/>
            </w:tcBorders>
          </w:tcPr>
          <w:p>
            <w:pPr>
              <w:pStyle w:val="yTableNAm"/>
              <w:jc w:val="center"/>
            </w:pPr>
            <w:r>
              <w:t>140, 150</w:t>
            </w:r>
          </w:p>
        </w:tc>
        <w:tc>
          <w:tcPr>
            <w:tcW w:w="3084" w:type="dxa"/>
            <w:tcBorders>
              <w:top w:val="nil"/>
              <w:left w:val="nil"/>
              <w:bottom w:val="single" w:sz="4" w:space="0" w:color="auto"/>
              <w:right w:val="nil"/>
            </w:tcBorders>
            <w:vAlign w:val="bottom"/>
          </w:tcPr>
          <w:p>
            <w:pPr>
              <w:pStyle w:val="yTableNAm"/>
              <w:jc w:val="center"/>
            </w:pPr>
            <w:r>
              <w:t>10 580.60</w:t>
            </w:r>
          </w:p>
        </w:tc>
      </w:tr>
    </w:tbl>
    <w:p>
      <w:pPr>
        <w:pStyle w:val="yMiscellaneousBody"/>
      </w:pPr>
    </w:p>
    <w:tbl>
      <w:tblPr>
        <w:tblW w:w="6237" w:type="dxa"/>
        <w:tblInd w:w="534" w:type="dxa"/>
        <w:tblLayout w:type="fixed"/>
        <w:tblLook w:val="0000" w:firstRow="0" w:lastRow="0" w:firstColumn="0" w:lastColumn="0" w:noHBand="0" w:noVBand="0"/>
      </w:tblPr>
      <w:tblGrid>
        <w:gridCol w:w="850"/>
        <w:gridCol w:w="4235"/>
        <w:gridCol w:w="1152"/>
      </w:tblGrid>
      <w:tr>
        <w:trPr>
          <w:cantSplit/>
        </w:trPr>
        <w:tc>
          <w:tcPr>
            <w:tcW w:w="850" w:type="dxa"/>
          </w:tcPr>
          <w:p>
            <w:pPr>
              <w:pStyle w:val="yTableNAm"/>
            </w:pPr>
            <w:r>
              <w:rPr>
                <w:b/>
                <w:bCs/>
              </w:rPr>
              <w:t>11.</w:t>
            </w:r>
          </w:p>
        </w:tc>
        <w:tc>
          <w:tcPr>
            <w:tcW w:w="4235" w:type="dxa"/>
          </w:tcPr>
          <w:p>
            <w:pPr>
              <w:pStyle w:val="yTableNAm"/>
              <w:tabs>
                <w:tab w:val="left" w:leader="dot" w:pos="4876"/>
              </w:tabs>
            </w:pPr>
            <w:r>
              <w:rPr>
                <w:b/>
                <w:bCs/>
              </w:rPr>
              <w:t>Stock</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right" w:leader="dot" w:pos="4019"/>
              </w:tabs>
            </w:pPr>
            <w:r>
              <w:t xml:space="preserve">For the supply of water for the purpose of watering stock on land that is not the subject of a charge under item 10 </w:t>
            </w:r>
            <w:r>
              <w:tab/>
            </w:r>
          </w:p>
        </w:tc>
        <w:tc>
          <w:tcPr>
            <w:tcW w:w="1152" w:type="dxa"/>
            <w:vAlign w:val="bottom"/>
          </w:tcPr>
          <w:p>
            <w:pPr>
              <w:pStyle w:val="yTableNAm"/>
            </w:pPr>
            <w:r>
              <w:t>$188.10</w:t>
            </w:r>
          </w:p>
        </w:tc>
      </w:tr>
      <w:tr>
        <w:trPr>
          <w:cantSplit/>
        </w:trPr>
        <w:tc>
          <w:tcPr>
            <w:tcW w:w="850" w:type="dxa"/>
          </w:tcPr>
          <w:p>
            <w:pPr>
              <w:pStyle w:val="yTableNAm"/>
              <w:keepNext/>
            </w:pPr>
            <w:r>
              <w:rPr>
                <w:b/>
                <w:bCs/>
              </w:rPr>
              <w:t>12.</w:t>
            </w:r>
          </w:p>
        </w:tc>
        <w:tc>
          <w:tcPr>
            <w:tcW w:w="4235" w:type="dxa"/>
          </w:tcPr>
          <w:p>
            <w:pPr>
              <w:pStyle w:val="yTableNAm"/>
              <w:keepNext/>
              <w:tabs>
                <w:tab w:val="left" w:leader="dot" w:pos="4876"/>
              </w:tabs>
            </w:pPr>
            <w:r>
              <w:rPr>
                <w:b/>
                <w:bCs/>
              </w:rPr>
              <w:t>Additional connections</w:t>
            </w:r>
          </w:p>
        </w:tc>
        <w:tc>
          <w:tcPr>
            <w:tcW w:w="1152" w:type="dxa"/>
            <w:vAlign w:val="bottom"/>
          </w:tcPr>
          <w:p>
            <w:pPr>
              <w:pStyle w:val="yTableNAm"/>
              <w:keepNext/>
            </w:pPr>
          </w:p>
        </w:tc>
      </w:tr>
      <w:tr>
        <w:trPr>
          <w:cantSplit/>
        </w:trPr>
        <w:tc>
          <w:tcPr>
            <w:tcW w:w="850" w:type="dxa"/>
          </w:tcPr>
          <w:p>
            <w:pPr>
              <w:pStyle w:val="zyTableNAm"/>
              <w:keepNext/>
              <w:keepLines/>
            </w:pPr>
          </w:p>
        </w:tc>
        <w:tc>
          <w:tcPr>
            <w:tcW w:w="4235" w:type="dxa"/>
          </w:tcPr>
          <w:p>
            <w:pPr>
              <w:pStyle w:val="yTableNAm"/>
              <w:tabs>
                <w:tab w:val="left" w:leader="dot" w:pos="4876"/>
              </w:tabs>
            </w:pPr>
            <w:r>
              <w:t>Other than land described in items 3 and 9, where water is supplied to land through more than one water supply connection, for each additional connection, not being a connection the subject of a charge under item 15 or a connection for a water supply the subject of item 2 or 19 —</w:t>
            </w:r>
          </w:p>
        </w:tc>
        <w:tc>
          <w:tcPr>
            <w:tcW w:w="1152" w:type="dxa"/>
            <w:vAlign w:val="bottom"/>
          </w:tcPr>
          <w:p>
            <w:pPr>
              <w:pStyle w:val="yTableNAm"/>
            </w:pPr>
          </w:p>
        </w:tc>
      </w:tr>
      <w:tr>
        <w:trPr>
          <w:cantSplit/>
        </w:trPr>
        <w:tc>
          <w:tcPr>
            <w:tcW w:w="850" w:type="dxa"/>
          </w:tcPr>
          <w:p>
            <w:pPr>
              <w:pStyle w:val="zyTableNAm"/>
              <w:keepNext/>
              <w:keepLines/>
            </w:pPr>
          </w:p>
        </w:tc>
        <w:tc>
          <w:tcPr>
            <w:tcW w:w="4235" w:type="dxa"/>
          </w:tcPr>
          <w:p>
            <w:pPr>
              <w:pStyle w:val="yTableNAm"/>
              <w:tabs>
                <w:tab w:val="clear" w:pos="567"/>
                <w:tab w:val="left" w:pos="296"/>
                <w:tab w:val="left" w:pos="776"/>
                <w:tab w:val="right" w:leader="dot" w:pos="4020"/>
              </w:tabs>
              <w:ind w:left="776" w:hanging="776"/>
            </w:pPr>
            <w:r>
              <w:tab/>
              <w:t>(a)</w:t>
            </w:r>
            <w:r>
              <w:tab/>
              <w:t xml:space="preserve">for land, other than land to which paragraph (b) applies, a charge of </w:t>
            </w:r>
            <w:r>
              <w:tab/>
            </w:r>
          </w:p>
        </w:tc>
        <w:tc>
          <w:tcPr>
            <w:tcW w:w="1152" w:type="dxa"/>
            <w:vAlign w:val="bottom"/>
          </w:tcPr>
          <w:p>
            <w:pPr>
              <w:pStyle w:val="yTableNAm"/>
            </w:pPr>
            <w:r>
              <w:t>$188.10</w:t>
            </w:r>
          </w:p>
        </w:tc>
      </w:tr>
      <w:tr>
        <w:trPr>
          <w:cantSplit/>
        </w:trPr>
        <w:tc>
          <w:tcPr>
            <w:tcW w:w="850" w:type="dxa"/>
          </w:tcPr>
          <w:p>
            <w:pPr>
              <w:pStyle w:val="zyTableNAm"/>
            </w:pPr>
          </w:p>
        </w:tc>
        <w:tc>
          <w:tcPr>
            <w:tcW w:w="4235" w:type="dxa"/>
          </w:tcPr>
          <w:p>
            <w:pPr>
              <w:pStyle w:val="yTableNAm"/>
              <w:tabs>
                <w:tab w:val="clear" w:pos="567"/>
                <w:tab w:val="left" w:pos="296"/>
                <w:tab w:val="left" w:pos="776"/>
                <w:tab w:val="right" w:leader="dot" w:pos="4020"/>
              </w:tabs>
              <w:ind w:left="776" w:hanging="776"/>
            </w:pPr>
            <w:r>
              <w:tab/>
              <w:t>(b)</w:t>
            </w:r>
            <w:r>
              <w:tab/>
              <w:t>for land that is classified as non</w:t>
            </w:r>
            <w:r>
              <w:noBreakHyphen/>
              <w:t>residential or commercial residential, a charge based on meter size of the additional service as set out in the following Table —</w:t>
            </w:r>
          </w:p>
        </w:tc>
        <w:tc>
          <w:tcPr>
            <w:tcW w:w="1152" w:type="dxa"/>
            <w:vAlign w:val="bottom"/>
          </w:tcPr>
          <w:p>
            <w:pPr>
              <w:pStyle w:val="yTableNAm"/>
            </w:pPr>
          </w:p>
        </w:tc>
      </w:tr>
    </w:tbl>
    <w:p>
      <w:pPr>
        <w:pStyle w:val="yTHeadingNAm"/>
      </w:pPr>
      <w:r>
        <w:t>Table of meter</w:t>
      </w:r>
      <w:r>
        <w:noBreakHyphen/>
        <w:t>based fixed charges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15"/>
        <w:gridCol w:w="3084"/>
      </w:tblGrid>
      <w:tr>
        <w:trPr>
          <w:cantSplit/>
          <w:tblHeader/>
          <w:jc w:val="center"/>
        </w:trPr>
        <w:tc>
          <w:tcPr>
            <w:tcW w:w="3215" w:type="dxa"/>
            <w:tcBorders>
              <w:top w:val="single" w:sz="4" w:space="0" w:color="auto"/>
              <w:left w:val="nil"/>
              <w:bottom w:val="single" w:sz="4" w:space="0" w:color="auto"/>
              <w:right w:val="nil"/>
            </w:tcBorders>
          </w:tcPr>
          <w:p>
            <w:pPr>
              <w:pStyle w:val="yTableNAm"/>
              <w:jc w:val="center"/>
            </w:pPr>
            <w:r>
              <w:rPr>
                <w:b/>
                <w:bCs/>
              </w:rPr>
              <w:t>Meter size</w:t>
            </w:r>
            <w:r>
              <w:rPr>
                <w:b/>
                <w:bCs/>
              </w:rPr>
              <w:br/>
              <w:t>mm</w:t>
            </w:r>
          </w:p>
        </w:tc>
        <w:tc>
          <w:tcPr>
            <w:tcW w:w="3084" w:type="dxa"/>
            <w:tcBorders>
              <w:top w:val="single" w:sz="4" w:space="0" w:color="auto"/>
              <w:left w:val="nil"/>
              <w:bottom w:val="single" w:sz="4" w:space="0" w:color="auto"/>
              <w:right w:val="nil"/>
            </w:tcBorders>
          </w:tcPr>
          <w:p>
            <w:pPr>
              <w:pStyle w:val="yTableNAm"/>
              <w:jc w:val="center"/>
            </w:pPr>
            <w:r>
              <w:rPr>
                <w:b/>
                <w:bCs/>
              </w:rPr>
              <w:t>Charge</w:t>
            </w:r>
            <w:r>
              <w:rPr>
                <w:b/>
                <w:bCs/>
              </w:rPr>
              <w:br/>
              <w:t>$</w:t>
            </w:r>
          </w:p>
        </w:tc>
      </w:tr>
      <w:tr>
        <w:trPr>
          <w:cantSplit/>
          <w:jc w:val="center"/>
        </w:trPr>
        <w:tc>
          <w:tcPr>
            <w:tcW w:w="3215" w:type="dxa"/>
            <w:tcBorders>
              <w:top w:val="nil"/>
              <w:left w:val="nil"/>
              <w:bottom w:val="nil"/>
              <w:right w:val="nil"/>
            </w:tcBorders>
          </w:tcPr>
          <w:p>
            <w:pPr>
              <w:pStyle w:val="yTableNAm"/>
              <w:jc w:val="center"/>
            </w:pPr>
            <w:r>
              <w:t>15, 20</w:t>
            </w:r>
          </w:p>
        </w:tc>
        <w:tc>
          <w:tcPr>
            <w:tcW w:w="3084" w:type="dxa"/>
            <w:tcBorders>
              <w:top w:val="nil"/>
              <w:left w:val="nil"/>
              <w:bottom w:val="nil"/>
              <w:right w:val="nil"/>
            </w:tcBorders>
            <w:vAlign w:val="bottom"/>
          </w:tcPr>
          <w:p>
            <w:pPr>
              <w:pStyle w:val="yTableNAm"/>
              <w:jc w:val="center"/>
            </w:pPr>
            <w:r>
              <w:t>188.10</w:t>
            </w:r>
          </w:p>
        </w:tc>
      </w:tr>
      <w:tr>
        <w:trPr>
          <w:cantSplit/>
          <w:jc w:val="center"/>
        </w:trPr>
        <w:tc>
          <w:tcPr>
            <w:tcW w:w="3215" w:type="dxa"/>
            <w:tcBorders>
              <w:top w:val="nil"/>
              <w:left w:val="nil"/>
              <w:bottom w:val="nil"/>
              <w:right w:val="nil"/>
            </w:tcBorders>
          </w:tcPr>
          <w:p>
            <w:pPr>
              <w:pStyle w:val="yTableNAm"/>
              <w:jc w:val="center"/>
            </w:pPr>
            <w:r>
              <w:t>25</w:t>
            </w:r>
          </w:p>
        </w:tc>
        <w:tc>
          <w:tcPr>
            <w:tcW w:w="3084" w:type="dxa"/>
            <w:tcBorders>
              <w:top w:val="nil"/>
              <w:left w:val="nil"/>
              <w:bottom w:val="nil"/>
              <w:right w:val="nil"/>
            </w:tcBorders>
            <w:vAlign w:val="bottom"/>
          </w:tcPr>
          <w:p>
            <w:pPr>
              <w:pStyle w:val="yTableNAm"/>
              <w:jc w:val="center"/>
            </w:pPr>
            <w:r>
              <w:t>293.90</w:t>
            </w:r>
          </w:p>
        </w:tc>
      </w:tr>
      <w:tr>
        <w:trPr>
          <w:cantSplit/>
          <w:jc w:val="center"/>
        </w:trPr>
        <w:tc>
          <w:tcPr>
            <w:tcW w:w="3215" w:type="dxa"/>
            <w:tcBorders>
              <w:top w:val="nil"/>
              <w:left w:val="nil"/>
              <w:bottom w:val="nil"/>
              <w:right w:val="nil"/>
            </w:tcBorders>
          </w:tcPr>
          <w:p>
            <w:pPr>
              <w:pStyle w:val="yTableNAm"/>
              <w:jc w:val="center"/>
            </w:pPr>
            <w:r>
              <w:t>30</w:t>
            </w:r>
          </w:p>
        </w:tc>
        <w:tc>
          <w:tcPr>
            <w:tcW w:w="3084" w:type="dxa"/>
            <w:tcBorders>
              <w:top w:val="nil"/>
              <w:left w:val="nil"/>
              <w:bottom w:val="nil"/>
              <w:right w:val="nil"/>
            </w:tcBorders>
            <w:vAlign w:val="bottom"/>
          </w:tcPr>
          <w:p>
            <w:pPr>
              <w:pStyle w:val="yTableNAm"/>
              <w:jc w:val="center"/>
            </w:pPr>
            <w:r>
              <w:t>423.20</w:t>
            </w:r>
          </w:p>
        </w:tc>
      </w:tr>
      <w:tr>
        <w:trPr>
          <w:cantSplit/>
          <w:jc w:val="center"/>
        </w:trPr>
        <w:tc>
          <w:tcPr>
            <w:tcW w:w="3215" w:type="dxa"/>
            <w:tcBorders>
              <w:top w:val="nil"/>
              <w:left w:val="nil"/>
              <w:bottom w:val="nil"/>
              <w:right w:val="nil"/>
            </w:tcBorders>
          </w:tcPr>
          <w:p>
            <w:pPr>
              <w:pStyle w:val="yTableNAm"/>
              <w:jc w:val="center"/>
            </w:pPr>
            <w:r>
              <w:t>35, 38, 40</w:t>
            </w:r>
          </w:p>
        </w:tc>
        <w:tc>
          <w:tcPr>
            <w:tcW w:w="3084" w:type="dxa"/>
            <w:tcBorders>
              <w:top w:val="nil"/>
              <w:left w:val="nil"/>
              <w:bottom w:val="nil"/>
              <w:right w:val="nil"/>
            </w:tcBorders>
            <w:vAlign w:val="bottom"/>
          </w:tcPr>
          <w:p>
            <w:pPr>
              <w:pStyle w:val="yTableNAm"/>
              <w:jc w:val="center"/>
            </w:pPr>
            <w:r>
              <w:t>752.40</w:t>
            </w:r>
          </w:p>
        </w:tc>
      </w:tr>
      <w:tr>
        <w:trPr>
          <w:cantSplit/>
          <w:jc w:val="center"/>
        </w:trPr>
        <w:tc>
          <w:tcPr>
            <w:tcW w:w="3215" w:type="dxa"/>
            <w:tcBorders>
              <w:top w:val="nil"/>
              <w:left w:val="nil"/>
              <w:bottom w:val="nil"/>
              <w:right w:val="nil"/>
            </w:tcBorders>
          </w:tcPr>
          <w:p>
            <w:pPr>
              <w:pStyle w:val="yTableNAm"/>
              <w:jc w:val="center"/>
            </w:pPr>
            <w:r>
              <w:t>50</w:t>
            </w:r>
          </w:p>
        </w:tc>
        <w:tc>
          <w:tcPr>
            <w:tcW w:w="3084" w:type="dxa"/>
            <w:tcBorders>
              <w:top w:val="nil"/>
              <w:left w:val="nil"/>
              <w:bottom w:val="nil"/>
              <w:right w:val="nil"/>
            </w:tcBorders>
            <w:vAlign w:val="bottom"/>
          </w:tcPr>
          <w:p>
            <w:pPr>
              <w:pStyle w:val="yTableNAm"/>
              <w:jc w:val="center"/>
            </w:pPr>
            <w:r>
              <w:t>1 175.60</w:t>
            </w:r>
          </w:p>
        </w:tc>
      </w:tr>
      <w:tr>
        <w:trPr>
          <w:cantSplit/>
          <w:jc w:val="center"/>
        </w:trPr>
        <w:tc>
          <w:tcPr>
            <w:tcW w:w="3215" w:type="dxa"/>
            <w:tcBorders>
              <w:top w:val="nil"/>
              <w:left w:val="nil"/>
              <w:bottom w:val="nil"/>
              <w:right w:val="nil"/>
            </w:tcBorders>
          </w:tcPr>
          <w:p>
            <w:pPr>
              <w:pStyle w:val="yTableNAm"/>
              <w:jc w:val="center"/>
            </w:pPr>
            <w:r>
              <w:t>70, 75, 80</w:t>
            </w:r>
          </w:p>
        </w:tc>
        <w:tc>
          <w:tcPr>
            <w:tcW w:w="3084" w:type="dxa"/>
            <w:tcBorders>
              <w:top w:val="nil"/>
              <w:left w:val="nil"/>
              <w:bottom w:val="nil"/>
              <w:right w:val="nil"/>
            </w:tcBorders>
            <w:vAlign w:val="bottom"/>
          </w:tcPr>
          <w:p>
            <w:pPr>
              <w:pStyle w:val="yTableNAm"/>
              <w:jc w:val="center"/>
            </w:pPr>
            <w:r>
              <w:t>3 009.60</w:t>
            </w:r>
          </w:p>
        </w:tc>
      </w:tr>
      <w:tr>
        <w:trPr>
          <w:cantSplit/>
          <w:jc w:val="center"/>
        </w:trPr>
        <w:tc>
          <w:tcPr>
            <w:tcW w:w="3215" w:type="dxa"/>
            <w:tcBorders>
              <w:top w:val="nil"/>
              <w:left w:val="nil"/>
              <w:bottom w:val="nil"/>
              <w:right w:val="nil"/>
            </w:tcBorders>
          </w:tcPr>
          <w:p>
            <w:pPr>
              <w:pStyle w:val="yTableNAm"/>
              <w:jc w:val="center"/>
            </w:pPr>
            <w:r>
              <w:t>100</w:t>
            </w:r>
          </w:p>
        </w:tc>
        <w:tc>
          <w:tcPr>
            <w:tcW w:w="3084" w:type="dxa"/>
            <w:tcBorders>
              <w:top w:val="nil"/>
              <w:left w:val="nil"/>
              <w:bottom w:val="nil"/>
              <w:right w:val="nil"/>
            </w:tcBorders>
            <w:vAlign w:val="bottom"/>
          </w:tcPr>
          <w:p>
            <w:pPr>
              <w:pStyle w:val="yTableNAm"/>
              <w:jc w:val="center"/>
            </w:pPr>
            <w:r>
              <w:t>4 702.50</w:t>
            </w:r>
          </w:p>
        </w:tc>
      </w:tr>
      <w:tr>
        <w:trPr>
          <w:cantSplit/>
          <w:jc w:val="center"/>
        </w:trPr>
        <w:tc>
          <w:tcPr>
            <w:tcW w:w="3215" w:type="dxa"/>
            <w:tcBorders>
              <w:top w:val="nil"/>
              <w:left w:val="nil"/>
              <w:bottom w:val="nil"/>
              <w:right w:val="nil"/>
            </w:tcBorders>
          </w:tcPr>
          <w:p>
            <w:pPr>
              <w:pStyle w:val="yTableNAm"/>
              <w:jc w:val="center"/>
            </w:pPr>
            <w:r>
              <w:t>140, 150</w:t>
            </w:r>
          </w:p>
        </w:tc>
        <w:tc>
          <w:tcPr>
            <w:tcW w:w="3084" w:type="dxa"/>
            <w:tcBorders>
              <w:top w:val="nil"/>
              <w:left w:val="nil"/>
              <w:bottom w:val="nil"/>
              <w:right w:val="nil"/>
            </w:tcBorders>
            <w:vAlign w:val="bottom"/>
          </w:tcPr>
          <w:p>
            <w:pPr>
              <w:pStyle w:val="yTableNAm"/>
              <w:jc w:val="center"/>
            </w:pPr>
            <w:r>
              <w:t>10 580.60</w:t>
            </w:r>
          </w:p>
        </w:tc>
      </w:tr>
      <w:tr>
        <w:trPr>
          <w:cantSplit/>
          <w:jc w:val="center"/>
        </w:trPr>
        <w:tc>
          <w:tcPr>
            <w:tcW w:w="3215" w:type="dxa"/>
            <w:tcBorders>
              <w:top w:val="nil"/>
              <w:left w:val="nil"/>
              <w:bottom w:val="nil"/>
              <w:right w:val="nil"/>
            </w:tcBorders>
          </w:tcPr>
          <w:p>
            <w:pPr>
              <w:pStyle w:val="yTableNAm"/>
              <w:jc w:val="center"/>
            </w:pPr>
            <w:r>
              <w:t>200</w:t>
            </w:r>
          </w:p>
        </w:tc>
        <w:tc>
          <w:tcPr>
            <w:tcW w:w="3084" w:type="dxa"/>
            <w:tcBorders>
              <w:top w:val="nil"/>
              <w:left w:val="nil"/>
              <w:bottom w:val="nil"/>
              <w:right w:val="nil"/>
            </w:tcBorders>
            <w:vAlign w:val="bottom"/>
          </w:tcPr>
          <w:p>
            <w:pPr>
              <w:pStyle w:val="yTableNAm"/>
              <w:jc w:val="center"/>
            </w:pPr>
            <w:r>
              <w:t>18 810.00</w:t>
            </w:r>
          </w:p>
        </w:tc>
      </w:tr>
      <w:tr>
        <w:trPr>
          <w:cantSplit/>
          <w:jc w:val="center"/>
        </w:trPr>
        <w:tc>
          <w:tcPr>
            <w:tcW w:w="3215" w:type="dxa"/>
            <w:tcBorders>
              <w:top w:val="nil"/>
              <w:left w:val="nil"/>
              <w:bottom w:val="nil"/>
              <w:right w:val="nil"/>
            </w:tcBorders>
          </w:tcPr>
          <w:p>
            <w:pPr>
              <w:pStyle w:val="yTableNAm"/>
              <w:jc w:val="center"/>
            </w:pPr>
            <w:r>
              <w:t>250</w:t>
            </w:r>
          </w:p>
        </w:tc>
        <w:tc>
          <w:tcPr>
            <w:tcW w:w="3084" w:type="dxa"/>
            <w:tcBorders>
              <w:top w:val="nil"/>
              <w:left w:val="nil"/>
              <w:bottom w:val="nil"/>
              <w:right w:val="nil"/>
            </w:tcBorders>
            <w:vAlign w:val="bottom"/>
          </w:tcPr>
          <w:p>
            <w:pPr>
              <w:pStyle w:val="yTableNAm"/>
              <w:jc w:val="center"/>
            </w:pPr>
            <w:r>
              <w:t>29 390.60</w:t>
            </w:r>
          </w:p>
        </w:tc>
      </w:tr>
      <w:tr>
        <w:trPr>
          <w:cantSplit/>
          <w:jc w:val="center"/>
        </w:trPr>
        <w:tc>
          <w:tcPr>
            <w:tcW w:w="3215" w:type="dxa"/>
            <w:tcBorders>
              <w:top w:val="nil"/>
              <w:left w:val="nil"/>
              <w:bottom w:val="nil"/>
              <w:right w:val="nil"/>
            </w:tcBorders>
          </w:tcPr>
          <w:p>
            <w:pPr>
              <w:pStyle w:val="yTableNAm"/>
              <w:jc w:val="center"/>
            </w:pPr>
            <w:r>
              <w:t>300</w:t>
            </w:r>
          </w:p>
        </w:tc>
        <w:tc>
          <w:tcPr>
            <w:tcW w:w="3084" w:type="dxa"/>
            <w:tcBorders>
              <w:top w:val="nil"/>
              <w:left w:val="nil"/>
              <w:bottom w:val="nil"/>
              <w:right w:val="nil"/>
            </w:tcBorders>
            <w:vAlign w:val="bottom"/>
          </w:tcPr>
          <w:p>
            <w:pPr>
              <w:pStyle w:val="yTableNAm"/>
              <w:jc w:val="center"/>
            </w:pPr>
            <w:r>
              <w:t>42 322.50</w:t>
            </w:r>
          </w:p>
        </w:tc>
      </w:tr>
      <w:tr>
        <w:trPr>
          <w:cantSplit/>
          <w:jc w:val="center"/>
        </w:trPr>
        <w:tc>
          <w:tcPr>
            <w:tcW w:w="3215" w:type="dxa"/>
            <w:tcBorders>
              <w:top w:val="nil"/>
              <w:left w:val="nil"/>
              <w:bottom w:val="single" w:sz="4" w:space="0" w:color="auto"/>
              <w:right w:val="nil"/>
            </w:tcBorders>
          </w:tcPr>
          <w:p>
            <w:pPr>
              <w:pStyle w:val="yTableNAm"/>
              <w:jc w:val="center"/>
            </w:pPr>
            <w:r>
              <w:t>350</w:t>
            </w:r>
          </w:p>
        </w:tc>
        <w:tc>
          <w:tcPr>
            <w:tcW w:w="3084" w:type="dxa"/>
            <w:tcBorders>
              <w:top w:val="nil"/>
              <w:left w:val="nil"/>
              <w:bottom w:val="single" w:sz="4" w:space="0" w:color="auto"/>
              <w:right w:val="nil"/>
            </w:tcBorders>
            <w:vAlign w:val="bottom"/>
          </w:tcPr>
          <w:p>
            <w:pPr>
              <w:pStyle w:val="yTableNAm"/>
              <w:jc w:val="center"/>
            </w:pPr>
            <w:r>
              <w:t>57 605.60</w:t>
            </w:r>
          </w:p>
        </w:tc>
      </w:tr>
    </w:tbl>
    <w:p>
      <w:pPr>
        <w:pStyle w:val="yMiscellaneousBody"/>
      </w:pPr>
    </w:p>
    <w:tbl>
      <w:tblPr>
        <w:tblW w:w="0" w:type="auto"/>
        <w:tblInd w:w="534" w:type="dxa"/>
        <w:tblLayout w:type="fixed"/>
        <w:tblLook w:val="0000" w:firstRow="0" w:lastRow="0" w:firstColumn="0" w:lastColumn="0" w:noHBand="0" w:noVBand="0"/>
      </w:tblPr>
      <w:tblGrid>
        <w:gridCol w:w="850"/>
        <w:gridCol w:w="4234"/>
        <w:gridCol w:w="1153"/>
      </w:tblGrid>
      <w:tr>
        <w:trPr>
          <w:cantSplit/>
        </w:trPr>
        <w:tc>
          <w:tcPr>
            <w:tcW w:w="850" w:type="dxa"/>
          </w:tcPr>
          <w:p>
            <w:pPr>
              <w:pStyle w:val="yTableNAm"/>
            </w:pPr>
            <w:r>
              <w:rPr>
                <w:b/>
                <w:bCs/>
              </w:rPr>
              <w:t>13.</w:t>
            </w:r>
          </w:p>
        </w:tc>
        <w:tc>
          <w:tcPr>
            <w:tcW w:w="4234" w:type="dxa"/>
          </w:tcPr>
          <w:p>
            <w:pPr>
              <w:pStyle w:val="yTableNAm"/>
              <w:tabs>
                <w:tab w:val="left" w:leader="dot" w:pos="4876"/>
              </w:tabs>
            </w:pPr>
            <w:r>
              <w:rPr>
                <w:b/>
                <w:bCs/>
              </w:rPr>
              <w:t>Shipping (non</w:t>
            </w:r>
            <w:r>
              <w:rPr>
                <w:b/>
                <w:bCs/>
              </w:rPr>
              <w:noBreakHyphen/>
              <w:t>metropolitan)</w:t>
            </w:r>
          </w:p>
        </w:tc>
        <w:tc>
          <w:tcPr>
            <w:tcW w:w="1153" w:type="dxa"/>
            <w:vAlign w:val="bottom"/>
          </w:tcPr>
          <w:p>
            <w:pPr>
              <w:pStyle w:val="yTableNAm"/>
            </w:pPr>
          </w:p>
        </w:tc>
      </w:tr>
      <w:tr>
        <w:trPr>
          <w:cantSplit/>
        </w:trPr>
        <w:tc>
          <w:tcPr>
            <w:tcW w:w="850" w:type="dxa"/>
          </w:tcPr>
          <w:p>
            <w:pPr>
              <w:pStyle w:val="zyTableNAm"/>
            </w:pPr>
          </w:p>
        </w:tc>
        <w:tc>
          <w:tcPr>
            <w:tcW w:w="4234" w:type="dxa"/>
          </w:tcPr>
          <w:p>
            <w:pPr>
              <w:pStyle w:val="yTableNAm"/>
              <w:tabs>
                <w:tab w:val="left" w:leader="dot" w:pos="4876"/>
              </w:tabs>
            </w:pPr>
            <w:r>
              <w:t>For each water supply connection provided for the purpose of water being taken on board any ship in a port not in the metropolitan area the charge applicable for the relevant meter size in the Table to item 10.</w:t>
            </w:r>
          </w:p>
        </w:tc>
        <w:tc>
          <w:tcPr>
            <w:tcW w:w="1153" w:type="dxa"/>
            <w:vAlign w:val="bottom"/>
          </w:tcPr>
          <w:p>
            <w:pPr>
              <w:pStyle w:val="yTableNAm"/>
            </w:pPr>
          </w:p>
        </w:tc>
      </w:tr>
      <w:tr>
        <w:trPr>
          <w:cantSplit/>
        </w:trPr>
        <w:tc>
          <w:tcPr>
            <w:tcW w:w="850" w:type="dxa"/>
          </w:tcPr>
          <w:p>
            <w:pPr>
              <w:pStyle w:val="yTableNAm"/>
            </w:pPr>
            <w:r>
              <w:rPr>
                <w:b/>
                <w:bCs/>
              </w:rPr>
              <w:t>14.</w:t>
            </w:r>
          </w:p>
        </w:tc>
        <w:tc>
          <w:tcPr>
            <w:tcW w:w="4234" w:type="dxa"/>
          </w:tcPr>
          <w:p>
            <w:pPr>
              <w:pStyle w:val="yTableNAm"/>
              <w:tabs>
                <w:tab w:val="left" w:leader="dot" w:pos="4876"/>
              </w:tabs>
            </w:pPr>
            <w:r>
              <w:rPr>
                <w:b/>
                <w:bCs/>
              </w:rPr>
              <w:t>Local government standpipes</w:t>
            </w:r>
          </w:p>
        </w:tc>
        <w:tc>
          <w:tcPr>
            <w:tcW w:w="1153" w:type="dxa"/>
            <w:vAlign w:val="bottom"/>
          </w:tcPr>
          <w:p>
            <w:pPr>
              <w:pStyle w:val="yTableNAm"/>
            </w:pPr>
          </w:p>
        </w:tc>
      </w:tr>
      <w:tr>
        <w:trPr>
          <w:cantSplit/>
        </w:trPr>
        <w:tc>
          <w:tcPr>
            <w:tcW w:w="850" w:type="dxa"/>
          </w:tcPr>
          <w:p>
            <w:pPr>
              <w:pStyle w:val="zyTableNAm"/>
            </w:pPr>
          </w:p>
        </w:tc>
        <w:tc>
          <w:tcPr>
            <w:tcW w:w="4234" w:type="dxa"/>
          </w:tcPr>
          <w:p>
            <w:pPr>
              <w:pStyle w:val="yTableNAm"/>
              <w:tabs>
                <w:tab w:val="clear" w:pos="567"/>
                <w:tab w:val="right" w:leader="dot" w:pos="4019"/>
              </w:tabs>
            </w:pPr>
            <w:r>
              <w:t xml:space="preserve">For each local government standpipe </w:t>
            </w:r>
            <w:r>
              <w:tab/>
            </w:r>
          </w:p>
        </w:tc>
        <w:tc>
          <w:tcPr>
            <w:tcW w:w="1153" w:type="dxa"/>
            <w:vAlign w:val="bottom"/>
          </w:tcPr>
          <w:p>
            <w:pPr>
              <w:pStyle w:val="yTableNAm"/>
            </w:pPr>
            <w:r>
              <w:t>$188.10</w:t>
            </w:r>
          </w:p>
        </w:tc>
      </w:tr>
      <w:tr>
        <w:trPr>
          <w:cantSplit/>
        </w:trPr>
        <w:tc>
          <w:tcPr>
            <w:tcW w:w="850" w:type="dxa"/>
          </w:tcPr>
          <w:p>
            <w:pPr>
              <w:pStyle w:val="yTableNAm"/>
            </w:pPr>
            <w:r>
              <w:rPr>
                <w:b/>
                <w:bCs/>
              </w:rPr>
              <w:t>15.</w:t>
            </w:r>
          </w:p>
        </w:tc>
        <w:tc>
          <w:tcPr>
            <w:tcW w:w="4234" w:type="dxa"/>
          </w:tcPr>
          <w:p>
            <w:pPr>
              <w:pStyle w:val="yTableNAm"/>
              <w:tabs>
                <w:tab w:val="left" w:leader="dot" w:pos="4876"/>
              </w:tabs>
            </w:pPr>
            <w:r>
              <w:rPr>
                <w:b/>
                <w:bCs/>
              </w:rPr>
              <w:t>Firefighting connections</w:t>
            </w:r>
          </w:p>
        </w:tc>
        <w:tc>
          <w:tcPr>
            <w:tcW w:w="1153" w:type="dxa"/>
            <w:vAlign w:val="bottom"/>
          </w:tcPr>
          <w:p>
            <w:pPr>
              <w:pStyle w:val="yTableNAm"/>
            </w:pPr>
          </w:p>
        </w:tc>
      </w:tr>
      <w:tr>
        <w:trPr>
          <w:cantSplit/>
        </w:trPr>
        <w:tc>
          <w:tcPr>
            <w:tcW w:w="850" w:type="dxa"/>
          </w:tcPr>
          <w:p>
            <w:pPr>
              <w:pStyle w:val="zyTableNAm"/>
            </w:pPr>
          </w:p>
        </w:tc>
        <w:tc>
          <w:tcPr>
            <w:tcW w:w="4234" w:type="dxa"/>
          </w:tcPr>
          <w:p>
            <w:pPr>
              <w:pStyle w:val="yTableNAm"/>
              <w:tabs>
                <w:tab w:val="clear" w:pos="567"/>
                <w:tab w:val="right" w:leader="dot" w:pos="4019"/>
              </w:tabs>
            </w:pPr>
            <w:r>
              <w:t xml:space="preserve">For each water supply connection provided for the purpose of firefighting </w:t>
            </w:r>
            <w:r>
              <w:tab/>
            </w:r>
          </w:p>
        </w:tc>
        <w:tc>
          <w:tcPr>
            <w:tcW w:w="1153" w:type="dxa"/>
            <w:vAlign w:val="bottom"/>
          </w:tcPr>
          <w:p>
            <w:pPr>
              <w:pStyle w:val="yTableNAm"/>
            </w:pPr>
            <w:r>
              <w:t>$188.10</w:t>
            </w:r>
          </w:p>
        </w:tc>
      </w:tr>
      <w:tr>
        <w:trPr>
          <w:cantSplit/>
        </w:trPr>
        <w:tc>
          <w:tcPr>
            <w:tcW w:w="850" w:type="dxa"/>
          </w:tcPr>
          <w:p>
            <w:pPr>
              <w:pStyle w:val="yTableNAm"/>
            </w:pPr>
            <w:r>
              <w:rPr>
                <w:b/>
                <w:bCs/>
              </w:rPr>
              <w:t>16.</w:t>
            </w:r>
          </w:p>
        </w:tc>
        <w:tc>
          <w:tcPr>
            <w:tcW w:w="4234" w:type="dxa"/>
          </w:tcPr>
          <w:p>
            <w:pPr>
              <w:pStyle w:val="yTableNAm"/>
              <w:tabs>
                <w:tab w:val="left" w:leader="dot" w:pos="4876"/>
              </w:tabs>
            </w:pPr>
            <w:r>
              <w:rPr>
                <w:b/>
                <w:bCs/>
              </w:rPr>
              <w:t>Farmland</w:t>
            </w:r>
          </w:p>
        </w:tc>
        <w:tc>
          <w:tcPr>
            <w:tcW w:w="1153" w:type="dxa"/>
            <w:vAlign w:val="bottom"/>
          </w:tcPr>
          <w:p>
            <w:pPr>
              <w:pStyle w:val="yTableNAm"/>
            </w:pPr>
          </w:p>
        </w:tc>
      </w:tr>
      <w:tr>
        <w:trPr>
          <w:cantSplit/>
        </w:trPr>
        <w:tc>
          <w:tcPr>
            <w:tcW w:w="850" w:type="dxa"/>
          </w:tcPr>
          <w:p>
            <w:pPr>
              <w:pStyle w:val="zyTableNAm"/>
              <w:keepNext/>
              <w:keepLines/>
            </w:pPr>
          </w:p>
        </w:tc>
        <w:tc>
          <w:tcPr>
            <w:tcW w:w="4234" w:type="dxa"/>
          </w:tcPr>
          <w:p>
            <w:pPr>
              <w:pStyle w:val="yTableNAm"/>
              <w:tabs>
                <w:tab w:val="clear" w:pos="567"/>
                <w:tab w:val="right" w:leader="dot" w:pos="4019"/>
              </w:tabs>
            </w:pPr>
            <w:r>
              <w:t xml:space="preserve">In respect of land that is classified as farmland </w:t>
            </w:r>
            <w:r>
              <w:tab/>
            </w:r>
          </w:p>
        </w:tc>
        <w:tc>
          <w:tcPr>
            <w:tcW w:w="1153" w:type="dxa"/>
            <w:vAlign w:val="bottom"/>
          </w:tcPr>
          <w:p>
            <w:pPr>
              <w:pStyle w:val="yTableNAm"/>
            </w:pPr>
            <w:r>
              <w:t>$188.10</w:t>
            </w:r>
          </w:p>
        </w:tc>
      </w:tr>
      <w:tr>
        <w:trPr>
          <w:cantSplit/>
        </w:trPr>
        <w:tc>
          <w:tcPr>
            <w:tcW w:w="850" w:type="dxa"/>
          </w:tcPr>
          <w:p>
            <w:pPr>
              <w:pStyle w:val="yTableNAm"/>
            </w:pPr>
            <w:r>
              <w:rPr>
                <w:b/>
                <w:bCs/>
              </w:rPr>
              <w:t>17.</w:t>
            </w:r>
          </w:p>
        </w:tc>
        <w:tc>
          <w:tcPr>
            <w:tcW w:w="4234" w:type="dxa"/>
          </w:tcPr>
          <w:p>
            <w:pPr>
              <w:pStyle w:val="yTableNAm"/>
              <w:tabs>
                <w:tab w:val="left" w:leader="dot" w:pos="4876"/>
              </w:tabs>
            </w:pPr>
            <w:r>
              <w:rPr>
                <w:b/>
                <w:bCs/>
              </w:rPr>
              <w:t>Metropolitan non</w:t>
            </w:r>
            <w:r>
              <w:rPr>
                <w:b/>
                <w:bCs/>
              </w:rPr>
              <w:noBreakHyphen/>
              <w:t>residential (except strata</w:t>
            </w:r>
            <w:r>
              <w:rPr>
                <w:b/>
                <w:bCs/>
              </w:rPr>
              <w:noBreakHyphen/>
              <w:t>titled units that share a service)</w:t>
            </w:r>
          </w:p>
        </w:tc>
        <w:tc>
          <w:tcPr>
            <w:tcW w:w="1153" w:type="dxa"/>
            <w:vAlign w:val="bottom"/>
          </w:tcPr>
          <w:p>
            <w:pPr>
              <w:pStyle w:val="yTableNAm"/>
            </w:pPr>
          </w:p>
        </w:tc>
      </w:tr>
      <w:tr>
        <w:trPr>
          <w:cantSplit/>
        </w:trPr>
        <w:tc>
          <w:tcPr>
            <w:tcW w:w="850" w:type="dxa"/>
          </w:tcPr>
          <w:p>
            <w:pPr>
              <w:pStyle w:val="zyTableNAm"/>
            </w:pPr>
          </w:p>
        </w:tc>
        <w:tc>
          <w:tcPr>
            <w:tcW w:w="4234" w:type="dxa"/>
          </w:tcPr>
          <w:p>
            <w:pPr>
              <w:pStyle w:val="yTableNAm"/>
              <w:tabs>
                <w:tab w:val="left" w:leader="dot" w:pos="4876"/>
              </w:tabs>
            </w:pPr>
            <w:r>
              <w:t>In respect of non</w:t>
            </w:r>
            <w:r>
              <w:noBreakHyphen/>
              <w:t>residential land in the metropolitan area, not being land mentioned in item 18, a charge determined by meter size as set out in the following Table —</w:t>
            </w:r>
          </w:p>
        </w:tc>
        <w:tc>
          <w:tcPr>
            <w:tcW w:w="1153" w:type="dxa"/>
            <w:vAlign w:val="bottom"/>
          </w:tcPr>
          <w:p>
            <w:pPr>
              <w:pStyle w:val="yTableNAm"/>
            </w:pPr>
          </w:p>
        </w:tc>
      </w:tr>
    </w:tbl>
    <w:p>
      <w:pPr>
        <w:pStyle w:val="yTHeadingNAm"/>
      </w:pPr>
      <w:r>
        <w:t>Table of meter</w:t>
      </w:r>
      <w:r>
        <w:noBreakHyphen/>
        <w:t>based fixed charges</w:t>
      </w:r>
    </w:p>
    <w:tbl>
      <w:tblPr>
        <w:tblW w:w="0" w:type="auto"/>
        <w:jc w:val="center"/>
        <w:tblLayout w:type="fixed"/>
        <w:tblLook w:val="0000" w:firstRow="0" w:lastRow="0" w:firstColumn="0" w:lastColumn="0" w:noHBand="0" w:noVBand="0"/>
      </w:tblPr>
      <w:tblGrid>
        <w:gridCol w:w="3206"/>
        <w:gridCol w:w="3093"/>
      </w:tblGrid>
      <w:tr>
        <w:trPr>
          <w:cantSplit/>
          <w:tblHeader/>
          <w:jc w:val="center"/>
        </w:trPr>
        <w:tc>
          <w:tcPr>
            <w:tcW w:w="3206" w:type="dxa"/>
            <w:tcBorders>
              <w:top w:val="single" w:sz="4" w:space="0" w:color="auto"/>
              <w:bottom w:val="single" w:sz="4" w:space="0" w:color="auto"/>
            </w:tcBorders>
          </w:tcPr>
          <w:p>
            <w:pPr>
              <w:pStyle w:val="yTableNAm"/>
              <w:jc w:val="center"/>
            </w:pPr>
            <w:r>
              <w:rPr>
                <w:b/>
                <w:bCs/>
              </w:rPr>
              <w:t>Meter size</w:t>
            </w:r>
            <w:r>
              <w:rPr>
                <w:b/>
                <w:bCs/>
              </w:rPr>
              <w:br/>
              <w:t>mm</w:t>
            </w:r>
          </w:p>
        </w:tc>
        <w:tc>
          <w:tcPr>
            <w:tcW w:w="3093" w:type="dxa"/>
            <w:tcBorders>
              <w:top w:val="single" w:sz="4" w:space="0" w:color="auto"/>
              <w:bottom w:val="single" w:sz="4" w:space="0" w:color="auto"/>
            </w:tcBorders>
          </w:tcPr>
          <w:p>
            <w:pPr>
              <w:pStyle w:val="yTableNAm"/>
              <w:jc w:val="center"/>
            </w:pPr>
            <w:r>
              <w:rPr>
                <w:b/>
                <w:bCs/>
              </w:rPr>
              <w:t>Charge</w:t>
            </w:r>
            <w:r>
              <w:rPr>
                <w:b/>
                <w:bCs/>
              </w:rPr>
              <w:br/>
              <w:t>$</w:t>
            </w:r>
          </w:p>
        </w:tc>
      </w:tr>
      <w:tr>
        <w:trPr>
          <w:cantSplit/>
          <w:jc w:val="center"/>
        </w:trPr>
        <w:tc>
          <w:tcPr>
            <w:tcW w:w="3206" w:type="dxa"/>
          </w:tcPr>
          <w:p>
            <w:pPr>
              <w:pStyle w:val="yTableNAm"/>
              <w:jc w:val="center"/>
            </w:pPr>
            <w:r>
              <w:t>20</w:t>
            </w:r>
          </w:p>
        </w:tc>
        <w:tc>
          <w:tcPr>
            <w:tcW w:w="3093" w:type="dxa"/>
            <w:vAlign w:val="bottom"/>
          </w:tcPr>
          <w:p>
            <w:pPr>
              <w:pStyle w:val="yTableNAm"/>
              <w:jc w:val="center"/>
            </w:pPr>
            <w:r>
              <w:t>188.10</w:t>
            </w:r>
          </w:p>
        </w:tc>
      </w:tr>
      <w:tr>
        <w:trPr>
          <w:cantSplit/>
          <w:jc w:val="center"/>
        </w:trPr>
        <w:tc>
          <w:tcPr>
            <w:tcW w:w="3206" w:type="dxa"/>
          </w:tcPr>
          <w:p>
            <w:pPr>
              <w:pStyle w:val="yTableNAm"/>
              <w:jc w:val="center"/>
            </w:pPr>
            <w:r>
              <w:t>25</w:t>
            </w:r>
          </w:p>
        </w:tc>
        <w:tc>
          <w:tcPr>
            <w:tcW w:w="3093" w:type="dxa"/>
            <w:vAlign w:val="bottom"/>
          </w:tcPr>
          <w:p>
            <w:pPr>
              <w:pStyle w:val="yTableNAm"/>
              <w:jc w:val="center"/>
            </w:pPr>
            <w:r>
              <w:t>293.90</w:t>
            </w:r>
          </w:p>
        </w:tc>
      </w:tr>
      <w:tr>
        <w:trPr>
          <w:cantSplit/>
          <w:jc w:val="center"/>
        </w:trPr>
        <w:tc>
          <w:tcPr>
            <w:tcW w:w="3206" w:type="dxa"/>
          </w:tcPr>
          <w:p>
            <w:pPr>
              <w:pStyle w:val="yTableNAm"/>
              <w:jc w:val="center"/>
            </w:pPr>
            <w:r>
              <w:t>30</w:t>
            </w:r>
          </w:p>
        </w:tc>
        <w:tc>
          <w:tcPr>
            <w:tcW w:w="3093" w:type="dxa"/>
            <w:vAlign w:val="bottom"/>
          </w:tcPr>
          <w:p>
            <w:pPr>
              <w:pStyle w:val="yTableNAm"/>
              <w:jc w:val="center"/>
            </w:pPr>
            <w:r>
              <w:t>423.20</w:t>
            </w:r>
          </w:p>
        </w:tc>
      </w:tr>
      <w:tr>
        <w:trPr>
          <w:cantSplit/>
          <w:jc w:val="center"/>
        </w:trPr>
        <w:tc>
          <w:tcPr>
            <w:tcW w:w="3206" w:type="dxa"/>
          </w:tcPr>
          <w:p>
            <w:pPr>
              <w:pStyle w:val="yTableNAm"/>
              <w:jc w:val="center"/>
            </w:pPr>
            <w:r>
              <w:t>40</w:t>
            </w:r>
          </w:p>
        </w:tc>
        <w:tc>
          <w:tcPr>
            <w:tcW w:w="3093" w:type="dxa"/>
            <w:vAlign w:val="bottom"/>
          </w:tcPr>
          <w:p>
            <w:pPr>
              <w:pStyle w:val="yTableNAm"/>
              <w:jc w:val="center"/>
            </w:pPr>
            <w:r>
              <w:t>752.40</w:t>
            </w:r>
          </w:p>
        </w:tc>
      </w:tr>
      <w:tr>
        <w:trPr>
          <w:cantSplit/>
          <w:jc w:val="center"/>
        </w:trPr>
        <w:tc>
          <w:tcPr>
            <w:tcW w:w="3206" w:type="dxa"/>
          </w:tcPr>
          <w:p>
            <w:pPr>
              <w:pStyle w:val="yTableNAm"/>
              <w:jc w:val="center"/>
            </w:pPr>
            <w:r>
              <w:t>50</w:t>
            </w:r>
          </w:p>
        </w:tc>
        <w:tc>
          <w:tcPr>
            <w:tcW w:w="3093" w:type="dxa"/>
            <w:vAlign w:val="bottom"/>
          </w:tcPr>
          <w:p>
            <w:pPr>
              <w:pStyle w:val="yTableNAm"/>
              <w:jc w:val="center"/>
            </w:pPr>
            <w:r>
              <w:t>1 175.60</w:t>
            </w:r>
          </w:p>
        </w:tc>
      </w:tr>
      <w:tr>
        <w:trPr>
          <w:cantSplit/>
          <w:jc w:val="center"/>
        </w:trPr>
        <w:tc>
          <w:tcPr>
            <w:tcW w:w="3206" w:type="dxa"/>
          </w:tcPr>
          <w:p>
            <w:pPr>
              <w:pStyle w:val="yTableNAm"/>
              <w:jc w:val="center"/>
            </w:pPr>
            <w:r>
              <w:t>80</w:t>
            </w:r>
          </w:p>
        </w:tc>
        <w:tc>
          <w:tcPr>
            <w:tcW w:w="3093" w:type="dxa"/>
            <w:vAlign w:val="bottom"/>
          </w:tcPr>
          <w:p>
            <w:pPr>
              <w:pStyle w:val="yTableNAm"/>
              <w:jc w:val="center"/>
            </w:pPr>
            <w:r>
              <w:t>3 009.60</w:t>
            </w:r>
          </w:p>
        </w:tc>
      </w:tr>
      <w:tr>
        <w:trPr>
          <w:cantSplit/>
          <w:jc w:val="center"/>
        </w:trPr>
        <w:tc>
          <w:tcPr>
            <w:tcW w:w="3206" w:type="dxa"/>
          </w:tcPr>
          <w:p>
            <w:pPr>
              <w:pStyle w:val="yTableNAm"/>
              <w:jc w:val="center"/>
            </w:pPr>
            <w:r>
              <w:t>100</w:t>
            </w:r>
          </w:p>
        </w:tc>
        <w:tc>
          <w:tcPr>
            <w:tcW w:w="3093" w:type="dxa"/>
            <w:vAlign w:val="bottom"/>
          </w:tcPr>
          <w:p>
            <w:pPr>
              <w:pStyle w:val="yTableNAm"/>
              <w:jc w:val="center"/>
            </w:pPr>
            <w:r>
              <w:t>4 702.50</w:t>
            </w:r>
          </w:p>
        </w:tc>
      </w:tr>
      <w:tr>
        <w:trPr>
          <w:cantSplit/>
          <w:jc w:val="center"/>
        </w:trPr>
        <w:tc>
          <w:tcPr>
            <w:tcW w:w="3206" w:type="dxa"/>
          </w:tcPr>
          <w:p>
            <w:pPr>
              <w:pStyle w:val="yTableNAm"/>
              <w:jc w:val="center"/>
            </w:pPr>
            <w:r>
              <w:t>150</w:t>
            </w:r>
          </w:p>
        </w:tc>
        <w:tc>
          <w:tcPr>
            <w:tcW w:w="3093" w:type="dxa"/>
            <w:vAlign w:val="bottom"/>
          </w:tcPr>
          <w:p>
            <w:pPr>
              <w:pStyle w:val="yTableNAm"/>
              <w:jc w:val="center"/>
            </w:pPr>
            <w:r>
              <w:t>10 580.60</w:t>
            </w:r>
          </w:p>
        </w:tc>
      </w:tr>
      <w:tr>
        <w:trPr>
          <w:cantSplit/>
          <w:jc w:val="center"/>
        </w:trPr>
        <w:tc>
          <w:tcPr>
            <w:tcW w:w="3206" w:type="dxa"/>
          </w:tcPr>
          <w:p>
            <w:pPr>
              <w:pStyle w:val="yTableNAm"/>
              <w:jc w:val="center"/>
            </w:pPr>
            <w:r>
              <w:t>200</w:t>
            </w:r>
          </w:p>
        </w:tc>
        <w:tc>
          <w:tcPr>
            <w:tcW w:w="3093" w:type="dxa"/>
            <w:vAlign w:val="bottom"/>
          </w:tcPr>
          <w:p>
            <w:pPr>
              <w:pStyle w:val="yTableNAm"/>
              <w:jc w:val="center"/>
            </w:pPr>
            <w:r>
              <w:t>18 810.00</w:t>
            </w:r>
          </w:p>
        </w:tc>
      </w:tr>
      <w:tr>
        <w:trPr>
          <w:cantSplit/>
          <w:jc w:val="center"/>
        </w:trPr>
        <w:tc>
          <w:tcPr>
            <w:tcW w:w="3206" w:type="dxa"/>
          </w:tcPr>
          <w:p>
            <w:pPr>
              <w:pStyle w:val="yTableNAm"/>
              <w:jc w:val="center"/>
            </w:pPr>
            <w:r>
              <w:t>250</w:t>
            </w:r>
          </w:p>
        </w:tc>
        <w:tc>
          <w:tcPr>
            <w:tcW w:w="3093" w:type="dxa"/>
            <w:vAlign w:val="bottom"/>
          </w:tcPr>
          <w:p>
            <w:pPr>
              <w:pStyle w:val="yTableNAm"/>
              <w:jc w:val="center"/>
            </w:pPr>
            <w:r>
              <w:t>29 390.60</w:t>
            </w:r>
          </w:p>
        </w:tc>
      </w:tr>
      <w:tr>
        <w:trPr>
          <w:cantSplit/>
          <w:jc w:val="center"/>
        </w:trPr>
        <w:tc>
          <w:tcPr>
            <w:tcW w:w="3206" w:type="dxa"/>
          </w:tcPr>
          <w:p>
            <w:pPr>
              <w:pStyle w:val="yTableNAm"/>
              <w:jc w:val="center"/>
            </w:pPr>
            <w:r>
              <w:t>300</w:t>
            </w:r>
          </w:p>
        </w:tc>
        <w:tc>
          <w:tcPr>
            <w:tcW w:w="3093" w:type="dxa"/>
            <w:vAlign w:val="bottom"/>
          </w:tcPr>
          <w:p>
            <w:pPr>
              <w:pStyle w:val="yTableNAm"/>
              <w:jc w:val="center"/>
            </w:pPr>
            <w:r>
              <w:t>42 322.50</w:t>
            </w:r>
          </w:p>
        </w:tc>
      </w:tr>
      <w:tr>
        <w:trPr>
          <w:cantSplit/>
          <w:jc w:val="center"/>
        </w:trPr>
        <w:tc>
          <w:tcPr>
            <w:tcW w:w="3206" w:type="dxa"/>
            <w:tcBorders>
              <w:bottom w:val="single" w:sz="4" w:space="0" w:color="auto"/>
            </w:tcBorders>
          </w:tcPr>
          <w:p>
            <w:pPr>
              <w:pStyle w:val="yTableNAm"/>
              <w:jc w:val="center"/>
            </w:pPr>
            <w:r>
              <w:t>350</w:t>
            </w:r>
          </w:p>
        </w:tc>
        <w:tc>
          <w:tcPr>
            <w:tcW w:w="3093" w:type="dxa"/>
            <w:tcBorders>
              <w:bottom w:val="single" w:sz="4" w:space="0" w:color="auto"/>
            </w:tcBorders>
            <w:vAlign w:val="bottom"/>
          </w:tcPr>
          <w:p>
            <w:pPr>
              <w:pStyle w:val="yTableNAm"/>
              <w:jc w:val="center"/>
            </w:pPr>
            <w:r>
              <w:t>57 605.60</w:t>
            </w:r>
          </w:p>
        </w:tc>
      </w:tr>
    </w:tbl>
    <w:p>
      <w:pPr>
        <w:pStyle w:val="yMiscellaneousBody"/>
      </w:pPr>
    </w:p>
    <w:tbl>
      <w:tblPr>
        <w:tblW w:w="0" w:type="auto"/>
        <w:tblInd w:w="534" w:type="dxa"/>
        <w:tblLayout w:type="fixed"/>
        <w:tblLook w:val="0000" w:firstRow="0" w:lastRow="0" w:firstColumn="0" w:lastColumn="0" w:noHBand="0" w:noVBand="0"/>
      </w:tblPr>
      <w:tblGrid>
        <w:gridCol w:w="850"/>
        <w:gridCol w:w="4235"/>
        <w:gridCol w:w="1153"/>
      </w:tblGrid>
      <w:tr>
        <w:trPr>
          <w:cantSplit/>
        </w:trPr>
        <w:tc>
          <w:tcPr>
            <w:tcW w:w="850" w:type="dxa"/>
          </w:tcPr>
          <w:p>
            <w:pPr>
              <w:pStyle w:val="yTableNAm"/>
            </w:pPr>
            <w:r>
              <w:rPr>
                <w:b/>
                <w:bCs/>
              </w:rPr>
              <w:t>18.</w:t>
            </w:r>
          </w:p>
        </w:tc>
        <w:tc>
          <w:tcPr>
            <w:tcW w:w="4235" w:type="dxa"/>
          </w:tcPr>
          <w:p>
            <w:pPr>
              <w:pStyle w:val="yTableNAm"/>
              <w:tabs>
                <w:tab w:val="left" w:leader="dot" w:pos="4876"/>
              </w:tabs>
            </w:pPr>
            <w:r>
              <w:rPr>
                <w:b/>
                <w:bCs/>
              </w:rPr>
              <w:t>Vacant land</w:t>
            </w:r>
          </w:p>
        </w:tc>
        <w:tc>
          <w:tcPr>
            <w:tcW w:w="1153"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right" w:leader="dot" w:pos="4019"/>
              </w:tabs>
            </w:pPr>
            <w:r>
              <w:t xml:space="preserve">In respect of land classified as vacant land </w:t>
            </w:r>
            <w:r>
              <w:tab/>
            </w:r>
          </w:p>
        </w:tc>
        <w:tc>
          <w:tcPr>
            <w:tcW w:w="1153" w:type="dxa"/>
            <w:vAlign w:val="bottom"/>
          </w:tcPr>
          <w:p>
            <w:pPr>
              <w:pStyle w:val="yTableNAm"/>
            </w:pPr>
            <w:r>
              <w:t>$188.10</w:t>
            </w:r>
          </w:p>
        </w:tc>
      </w:tr>
      <w:tr>
        <w:trPr>
          <w:cantSplit/>
        </w:trPr>
        <w:tc>
          <w:tcPr>
            <w:tcW w:w="850" w:type="dxa"/>
          </w:tcPr>
          <w:p>
            <w:pPr>
              <w:pStyle w:val="yTableNAm"/>
            </w:pPr>
            <w:r>
              <w:rPr>
                <w:b/>
                <w:bCs/>
              </w:rPr>
              <w:t>19.</w:t>
            </w:r>
          </w:p>
        </w:tc>
        <w:tc>
          <w:tcPr>
            <w:tcW w:w="4235" w:type="dxa"/>
          </w:tcPr>
          <w:p>
            <w:pPr>
              <w:pStyle w:val="yTableNAm"/>
              <w:tabs>
                <w:tab w:val="left" w:leader="dot" w:pos="4876"/>
              </w:tabs>
            </w:pPr>
            <w:r>
              <w:rPr>
                <w:b/>
                <w:bCs/>
              </w:rPr>
              <w:t>Garden supply for metropolitan vacant land</w:t>
            </w:r>
          </w:p>
        </w:tc>
        <w:tc>
          <w:tcPr>
            <w:tcW w:w="1153" w:type="dxa"/>
            <w:vAlign w:val="bottom"/>
          </w:tcPr>
          <w:p>
            <w:pPr>
              <w:pStyle w:val="yTableNAm"/>
            </w:pPr>
          </w:p>
        </w:tc>
      </w:tr>
      <w:tr>
        <w:trPr>
          <w:cantSplit/>
        </w:trPr>
        <w:tc>
          <w:tcPr>
            <w:tcW w:w="850" w:type="dxa"/>
          </w:tcPr>
          <w:p>
            <w:pPr>
              <w:pStyle w:val="zyTableNAm"/>
            </w:pPr>
          </w:p>
        </w:tc>
        <w:tc>
          <w:tcPr>
            <w:tcW w:w="4235" w:type="dxa"/>
          </w:tcPr>
          <w:p>
            <w:pPr>
              <w:pStyle w:val="yTableNAm"/>
              <w:tabs>
                <w:tab w:val="left" w:leader="dot" w:pos="4876"/>
              </w:tabs>
            </w:pPr>
            <w:r>
              <w:t xml:space="preserve">In respect of land in the metropolitan area that is classified as vacant land and is provided with a water supply that is reticulated separately from any other water supply provided in respect of the land and is provided solely for garden purposes as defined in the </w:t>
            </w:r>
            <w:r>
              <w:rPr>
                <w:i/>
                <w:iCs/>
              </w:rPr>
              <w:t>Metropolitan Water Supply, Sewerage and Drainage By</w:t>
            </w:r>
            <w:r>
              <w:rPr>
                <w:i/>
                <w:iCs/>
              </w:rPr>
              <w:noBreakHyphen/>
              <w:t>laws 1981</w:t>
            </w:r>
            <w:r>
              <w:t xml:space="preserve"> by</w:t>
            </w:r>
            <w:r>
              <w:noBreakHyphen/>
              <w:t>law 1.1 —</w:t>
            </w:r>
          </w:p>
        </w:tc>
        <w:tc>
          <w:tcPr>
            <w:tcW w:w="1153"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296"/>
                <w:tab w:val="left" w:pos="776"/>
                <w:tab w:val="left" w:leader="dot" w:pos="4876"/>
              </w:tabs>
              <w:ind w:left="776" w:hanging="776"/>
            </w:pPr>
            <w:r>
              <w:tab/>
              <w:t>(a)</w:t>
            </w:r>
            <w:r>
              <w:tab/>
              <w:t>if the area of land is less than 400 m</w:t>
            </w:r>
            <w:r>
              <w:rPr>
                <w:vertAlign w:val="superscript"/>
              </w:rPr>
              <w:t>2</w:t>
            </w:r>
            <w:r>
              <w:t xml:space="preserve">, in addition to any other charge applicable to the land under this Schedule, a charge of — </w:t>
            </w:r>
          </w:p>
        </w:tc>
        <w:tc>
          <w:tcPr>
            <w:tcW w:w="1153"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814"/>
                <w:tab w:val="left" w:pos="1323"/>
                <w:tab w:val="right" w:leader="dot" w:pos="4020"/>
              </w:tabs>
              <w:ind w:left="1318" w:hanging="1318"/>
            </w:pPr>
            <w:r>
              <w:tab/>
              <w:t>(i)</w:t>
            </w:r>
            <w:r>
              <w:tab/>
              <w:t xml:space="preserve">in the suburb of </w:t>
            </w:r>
            <w:smartTag w:uri="urn:schemas-microsoft-com:office:smarttags" w:element="place">
              <w:smartTag w:uri="urn:schemas-microsoft-com:office:smarttags" w:element="City">
                <w:r>
                  <w:t>Butler</w:t>
                </w:r>
              </w:smartTag>
            </w:smartTag>
            <w:r>
              <w:t xml:space="preserve"> </w:t>
            </w:r>
            <w:r>
              <w:tab/>
            </w:r>
          </w:p>
        </w:tc>
        <w:tc>
          <w:tcPr>
            <w:tcW w:w="1153" w:type="dxa"/>
            <w:vAlign w:val="bottom"/>
          </w:tcPr>
          <w:p>
            <w:pPr>
              <w:pStyle w:val="yTableNAm"/>
            </w:pPr>
            <w:r>
              <w:t>$74.00</w:t>
            </w:r>
          </w:p>
        </w:tc>
      </w:tr>
      <w:tr>
        <w:trPr>
          <w:cantSplit/>
        </w:trPr>
        <w:tc>
          <w:tcPr>
            <w:tcW w:w="850" w:type="dxa"/>
          </w:tcPr>
          <w:p>
            <w:pPr>
              <w:pStyle w:val="zyTableNAm"/>
            </w:pPr>
          </w:p>
        </w:tc>
        <w:tc>
          <w:tcPr>
            <w:tcW w:w="4235" w:type="dxa"/>
          </w:tcPr>
          <w:p>
            <w:pPr>
              <w:pStyle w:val="yTableNAm"/>
              <w:tabs>
                <w:tab w:val="clear" w:pos="567"/>
                <w:tab w:val="left" w:pos="814"/>
                <w:tab w:val="left" w:pos="1323"/>
                <w:tab w:val="right" w:leader="dot" w:pos="4020"/>
              </w:tabs>
              <w:ind w:left="1318" w:hanging="1318"/>
            </w:pPr>
            <w:r>
              <w:tab/>
              <w:t>(ii)</w:t>
            </w:r>
            <w:r>
              <w:tab/>
              <w:t xml:space="preserve">in the suburb of Baldivis </w:t>
            </w:r>
            <w:r>
              <w:tab/>
            </w:r>
          </w:p>
        </w:tc>
        <w:tc>
          <w:tcPr>
            <w:tcW w:w="1153" w:type="dxa"/>
            <w:vAlign w:val="bottom"/>
          </w:tcPr>
          <w:p>
            <w:pPr>
              <w:pStyle w:val="yTableNAm"/>
            </w:pPr>
            <w:r>
              <w:t>$119.30</w:t>
            </w:r>
          </w:p>
        </w:tc>
      </w:tr>
      <w:tr>
        <w:trPr>
          <w:cantSplit/>
        </w:trPr>
        <w:tc>
          <w:tcPr>
            <w:tcW w:w="850" w:type="dxa"/>
          </w:tcPr>
          <w:p>
            <w:pPr>
              <w:pStyle w:val="zyTableNAm"/>
            </w:pPr>
          </w:p>
        </w:tc>
        <w:tc>
          <w:tcPr>
            <w:tcW w:w="4235" w:type="dxa"/>
          </w:tcPr>
          <w:p>
            <w:pPr>
              <w:pStyle w:val="yTableNAm"/>
              <w:tabs>
                <w:tab w:val="clear" w:pos="567"/>
                <w:tab w:val="left" w:pos="296"/>
                <w:tab w:val="left" w:pos="776"/>
                <w:tab w:val="left" w:leader="dot" w:pos="4876"/>
              </w:tabs>
              <w:ind w:left="776" w:hanging="776"/>
            </w:pPr>
            <w:r>
              <w:tab/>
              <w:t>(b)</w:t>
            </w:r>
            <w:r>
              <w:tab/>
              <w:t>if the area of land is equal to or greater than 400 m</w:t>
            </w:r>
            <w:r>
              <w:rPr>
                <w:vertAlign w:val="superscript"/>
              </w:rPr>
              <w:t>2</w:t>
            </w:r>
            <w:r>
              <w:t xml:space="preserve">, in addition to any other charge applicable to the land under this Schedule, a charge of — </w:t>
            </w:r>
          </w:p>
        </w:tc>
        <w:tc>
          <w:tcPr>
            <w:tcW w:w="1153"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814"/>
                <w:tab w:val="left" w:pos="1323"/>
                <w:tab w:val="right" w:leader="dot" w:pos="4020"/>
              </w:tabs>
              <w:ind w:left="1318" w:hanging="1318"/>
            </w:pPr>
            <w:r>
              <w:tab/>
              <w:t>(i)</w:t>
            </w:r>
            <w:r>
              <w:tab/>
              <w:t xml:space="preserve">in the suburb of </w:t>
            </w:r>
            <w:smartTag w:uri="urn:schemas-microsoft-com:office:smarttags" w:element="place">
              <w:smartTag w:uri="urn:schemas-microsoft-com:office:smarttags" w:element="City">
                <w:r>
                  <w:t>Butler</w:t>
                </w:r>
              </w:smartTag>
            </w:smartTag>
            <w:r>
              <w:t xml:space="preserve"> </w:t>
            </w:r>
            <w:r>
              <w:tab/>
            </w:r>
          </w:p>
        </w:tc>
        <w:tc>
          <w:tcPr>
            <w:tcW w:w="1153" w:type="dxa"/>
            <w:vAlign w:val="bottom"/>
          </w:tcPr>
          <w:p>
            <w:pPr>
              <w:pStyle w:val="yTableNAm"/>
            </w:pPr>
            <w:r>
              <w:t>$148.00</w:t>
            </w:r>
          </w:p>
        </w:tc>
      </w:tr>
      <w:tr>
        <w:trPr>
          <w:cantSplit/>
        </w:trPr>
        <w:tc>
          <w:tcPr>
            <w:tcW w:w="850" w:type="dxa"/>
          </w:tcPr>
          <w:p>
            <w:pPr>
              <w:pStyle w:val="zyTableNAm"/>
            </w:pPr>
          </w:p>
        </w:tc>
        <w:tc>
          <w:tcPr>
            <w:tcW w:w="4235" w:type="dxa"/>
          </w:tcPr>
          <w:p>
            <w:pPr>
              <w:pStyle w:val="yTableNAm"/>
              <w:tabs>
                <w:tab w:val="clear" w:pos="567"/>
                <w:tab w:val="left" w:pos="814"/>
                <w:tab w:val="left" w:pos="1323"/>
                <w:tab w:val="right" w:leader="dot" w:pos="4020"/>
              </w:tabs>
              <w:ind w:left="1318" w:hanging="1318"/>
            </w:pPr>
            <w:r>
              <w:tab/>
              <w:t>(ii)</w:t>
            </w:r>
            <w:r>
              <w:tab/>
              <w:t xml:space="preserve">in the suburb of Baldivis </w:t>
            </w:r>
            <w:r>
              <w:tab/>
            </w:r>
          </w:p>
        </w:tc>
        <w:tc>
          <w:tcPr>
            <w:tcW w:w="1153" w:type="dxa"/>
            <w:vAlign w:val="bottom"/>
          </w:tcPr>
          <w:p>
            <w:pPr>
              <w:pStyle w:val="yTableNAm"/>
            </w:pPr>
            <w:r>
              <w:t>$238.60</w:t>
            </w:r>
          </w:p>
        </w:tc>
      </w:tr>
    </w:tbl>
    <w:p>
      <w:pPr>
        <w:pStyle w:val="yFootnotesection"/>
      </w:pPr>
      <w:r>
        <w:tab/>
        <w:t>[Division 1 inserted in Gazette 20 Jun 2012 p. 2700</w:t>
      </w:r>
      <w:r>
        <w:noBreakHyphen/>
        <w:t>8.]</w:t>
      </w:r>
    </w:p>
    <w:p>
      <w:pPr>
        <w:pStyle w:val="yHeading3"/>
      </w:pPr>
      <w:bookmarkStart w:id="598" w:name="_Toc328403430"/>
      <w:bookmarkStart w:id="599" w:name="_Toc328471479"/>
      <w:r>
        <w:rPr>
          <w:rStyle w:val="CharSDivNo"/>
        </w:rPr>
        <w:t>Division 2</w:t>
      </w:r>
      <w:r>
        <w:rPr>
          <w:b w:val="0"/>
        </w:rPr>
        <w:t> — </w:t>
      </w:r>
      <w:r>
        <w:rPr>
          <w:rStyle w:val="CharSDivText"/>
        </w:rPr>
        <w:t>Quantity charges</w:t>
      </w:r>
      <w:bookmarkEnd w:id="598"/>
      <w:bookmarkEnd w:id="599"/>
    </w:p>
    <w:p>
      <w:pPr>
        <w:pStyle w:val="yFootnoteheading"/>
        <w:spacing w:after="60"/>
      </w:pPr>
      <w:r>
        <w:tab/>
        <w:t>[Heading inserted in Gazette 20 Jun 2012 p. 2708.]</w:t>
      </w:r>
    </w:p>
    <w:tbl>
      <w:tblPr>
        <w:tblW w:w="0" w:type="auto"/>
        <w:tblInd w:w="534" w:type="dxa"/>
        <w:tblLook w:val="0000" w:firstRow="0" w:lastRow="0" w:firstColumn="0" w:lastColumn="0" w:noHBand="0" w:noVBand="0"/>
      </w:tblPr>
      <w:tblGrid>
        <w:gridCol w:w="850"/>
        <w:gridCol w:w="4237"/>
        <w:gridCol w:w="1292"/>
      </w:tblGrid>
      <w:tr>
        <w:trPr>
          <w:cantSplit/>
        </w:trPr>
        <w:tc>
          <w:tcPr>
            <w:tcW w:w="850" w:type="dxa"/>
          </w:tcPr>
          <w:p>
            <w:pPr>
              <w:pStyle w:val="yTableNAm"/>
            </w:pPr>
            <w:r>
              <w:rPr>
                <w:b/>
                <w:bCs/>
              </w:rPr>
              <w:t>20.</w:t>
            </w:r>
          </w:p>
        </w:tc>
        <w:tc>
          <w:tcPr>
            <w:tcW w:w="4237" w:type="dxa"/>
          </w:tcPr>
          <w:p>
            <w:pPr>
              <w:pStyle w:val="yTableNAm"/>
              <w:tabs>
                <w:tab w:val="left" w:leader="dot" w:pos="4876"/>
              </w:tabs>
            </w:pPr>
            <w:r>
              <w:rPr>
                <w:b/>
                <w:bCs/>
              </w:rPr>
              <w:t>Metropolitan residential</w:t>
            </w:r>
          </w:p>
        </w:tc>
        <w:tc>
          <w:tcPr>
            <w:tcW w:w="1292" w:type="dxa"/>
            <w:vAlign w:val="bottom"/>
          </w:tcPr>
          <w:p>
            <w:pPr>
              <w:pStyle w:val="yTableNAm"/>
            </w:pPr>
          </w:p>
        </w:tc>
      </w:tr>
      <w:tr>
        <w:trPr>
          <w:cantSplit/>
        </w:trPr>
        <w:tc>
          <w:tcPr>
            <w:tcW w:w="850" w:type="dxa"/>
          </w:tcPr>
          <w:p>
            <w:pPr>
              <w:pStyle w:val="zyTableNAm"/>
            </w:pPr>
          </w:p>
        </w:tc>
        <w:tc>
          <w:tcPr>
            <w:tcW w:w="4237" w:type="dxa"/>
          </w:tcPr>
          <w:p>
            <w:pPr>
              <w:pStyle w:val="yTableNAm"/>
              <w:tabs>
                <w:tab w:val="left" w:leader="dot" w:pos="4876"/>
              </w:tabs>
            </w:pPr>
            <w:r>
              <w:t>For each kilolitre of water supplied to a residential property, or any other land classified as vacant land and held for residential purposes, in the metropolitan area, not being water for which a charge is otherwise specifically provided in this Division or water from a water supply the subject of item 2 or 19 —</w:t>
            </w:r>
          </w:p>
        </w:tc>
        <w:tc>
          <w:tcPr>
            <w:tcW w:w="1292" w:type="dxa"/>
            <w:vAlign w:val="bottom"/>
          </w:tcPr>
          <w:p>
            <w:pPr>
              <w:pStyle w:val="yTableNAm"/>
            </w:pPr>
          </w:p>
        </w:tc>
      </w:tr>
      <w:tr>
        <w:trPr>
          <w:cantSplit/>
        </w:trPr>
        <w:tc>
          <w:tcPr>
            <w:tcW w:w="850" w:type="dxa"/>
          </w:tcPr>
          <w:p>
            <w:pPr>
              <w:pStyle w:val="zyTableNAm"/>
            </w:pPr>
          </w:p>
        </w:tc>
        <w:tc>
          <w:tcPr>
            <w:tcW w:w="4237" w:type="dxa"/>
          </w:tcPr>
          <w:p>
            <w:pPr>
              <w:pStyle w:val="yTableNAm"/>
              <w:tabs>
                <w:tab w:val="clear" w:pos="567"/>
                <w:tab w:val="left" w:pos="296"/>
                <w:tab w:val="right" w:leader="dot" w:pos="4003"/>
              </w:tabs>
            </w:pPr>
            <w:r>
              <w:tab/>
              <w:t xml:space="preserve">up to 150 kL </w:t>
            </w:r>
            <w:r>
              <w:tab/>
            </w:r>
          </w:p>
        </w:tc>
        <w:tc>
          <w:tcPr>
            <w:tcW w:w="1292" w:type="dxa"/>
            <w:vAlign w:val="bottom"/>
          </w:tcPr>
          <w:p>
            <w:pPr>
              <w:pStyle w:val="yTableNAm"/>
            </w:pPr>
            <w:r>
              <w:rPr>
                <w:szCs w:val="22"/>
              </w:rPr>
              <w:t>133.6 cents</w:t>
            </w:r>
          </w:p>
        </w:tc>
      </w:tr>
      <w:tr>
        <w:trPr>
          <w:cantSplit/>
        </w:trPr>
        <w:tc>
          <w:tcPr>
            <w:tcW w:w="850" w:type="dxa"/>
          </w:tcPr>
          <w:p>
            <w:pPr>
              <w:pStyle w:val="zyTableNAm"/>
            </w:pPr>
          </w:p>
        </w:tc>
        <w:tc>
          <w:tcPr>
            <w:tcW w:w="4237" w:type="dxa"/>
          </w:tcPr>
          <w:p>
            <w:pPr>
              <w:pStyle w:val="yTableNAm"/>
              <w:tabs>
                <w:tab w:val="clear" w:pos="567"/>
                <w:tab w:val="left" w:pos="296"/>
                <w:tab w:val="right" w:leader="dot" w:pos="4003"/>
              </w:tabs>
            </w:pPr>
            <w:r>
              <w:tab/>
              <w:t xml:space="preserve">over 150 but not over 350 kL </w:t>
            </w:r>
            <w:r>
              <w:tab/>
            </w:r>
          </w:p>
        </w:tc>
        <w:tc>
          <w:tcPr>
            <w:tcW w:w="1292" w:type="dxa"/>
            <w:vAlign w:val="bottom"/>
          </w:tcPr>
          <w:p>
            <w:pPr>
              <w:pStyle w:val="yTableNAm"/>
            </w:pPr>
            <w:r>
              <w:rPr>
                <w:szCs w:val="22"/>
              </w:rPr>
              <w:t>174.7 cents</w:t>
            </w:r>
          </w:p>
        </w:tc>
      </w:tr>
      <w:tr>
        <w:trPr>
          <w:cantSplit/>
        </w:trPr>
        <w:tc>
          <w:tcPr>
            <w:tcW w:w="850" w:type="dxa"/>
          </w:tcPr>
          <w:p>
            <w:pPr>
              <w:pStyle w:val="zyTableNAm"/>
            </w:pPr>
          </w:p>
        </w:tc>
        <w:tc>
          <w:tcPr>
            <w:tcW w:w="4237" w:type="dxa"/>
          </w:tcPr>
          <w:p>
            <w:pPr>
              <w:pStyle w:val="yTableNAm"/>
              <w:tabs>
                <w:tab w:val="clear" w:pos="567"/>
                <w:tab w:val="left" w:pos="296"/>
                <w:tab w:val="right" w:leader="dot" w:pos="4003"/>
              </w:tabs>
            </w:pPr>
            <w:r>
              <w:tab/>
              <w:t xml:space="preserve">over 350 but not over 500 kL </w:t>
            </w:r>
            <w:r>
              <w:tab/>
            </w:r>
          </w:p>
        </w:tc>
        <w:tc>
          <w:tcPr>
            <w:tcW w:w="1292" w:type="dxa"/>
            <w:vAlign w:val="bottom"/>
          </w:tcPr>
          <w:p>
            <w:pPr>
              <w:pStyle w:val="yTableNAm"/>
            </w:pPr>
            <w:r>
              <w:rPr>
                <w:szCs w:val="22"/>
              </w:rPr>
              <w:t>174.7 cents</w:t>
            </w:r>
          </w:p>
        </w:tc>
      </w:tr>
      <w:tr>
        <w:trPr>
          <w:cantSplit/>
        </w:trPr>
        <w:tc>
          <w:tcPr>
            <w:tcW w:w="850" w:type="dxa"/>
          </w:tcPr>
          <w:p>
            <w:pPr>
              <w:pStyle w:val="zyTableNAm"/>
            </w:pPr>
          </w:p>
        </w:tc>
        <w:tc>
          <w:tcPr>
            <w:tcW w:w="4237" w:type="dxa"/>
          </w:tcPr>
          <w:p>
            <w:pPr>
              <w:pStyle w:val="yTableNAm"/>
              <w:tabs>
                <w:tab w:val="clear" w:pos="567"/>
                <w:tab w:val="left" w:pos="296"/>
                <w:tab w:val="right" w:leader="dot" w:pos="4003"/>
              </w:tabs>
            </w:pPr>
            <w:r>
              <w:tab/>
              <w:t xml:space="preserve">over 500 but not over 550 kL </w:t>
            </w:r>
            <w:r>
              <w:tab/>
            </w:r>
          </w:p>
        </w:tc>
        <w:tc>
          <w:tcPr>
            <w:tcW w:w="1292" w:type="dxa"/>
            <w:vAlign w:val="bottom"/>
          </w:tcPr>
          <w:p>
            <w:pPr>
              <w:pStyle w:val="yTableNAm"/>
            </w:pPr>
            <w:r>
              <w:rPr>
                <w:szCs w:val="22"/>
              </w:rPr>
              <w:t>239.8 cents</w:t>
            </w:r>
          </w:p>
        </w:tc>
      </w:tr>
      <w:tr>
        <w:trPr>
          <w:cantSplit/>
        </w:trPr>
        <w:tc>
          <w:tcPr>
            <w:tcW w:w="850" w:type="dxa"/>
          </w:tcPr>
          <w:p>
            <w:pPr>
              <w:pStyle w:val="zyTableNAm"/>
            </w:pPr>
          </w:p>
        </w:tc>
        <w:tc>
          <w:tcPr>
            <w:tcW w:w="4237" w:type="dxa"/>
          </w:tcPr>
          <w:p>
            <w:pPr>
              <w:pStyle w:val="yTableNAm"/>
              <w:tabs>
                <w:tab w:val="clear" w:pos="567"/>
                <w:tab w:val="left" w:pos="296"/>
                <w:tab w:val="right" w:leader="dot" w:pos="4003"/>
              </w:tabs>
            </w:pPr>
            <w:r>
              <w:tab/>
              <w:t xml:space="preserve">over 550 but not over 950 kL </w:t>
            </w:r>
            <w:r>
              <w:tab/>
            </w:r>
          </w:p>
        </w:tc>
        <w:tc>
          <w:tcPr>
            <w:tcW w:w="1292" w:type="dxa"/>
            <w:vAlign w:val="bottom"/>
          </w:tcPr>
          <w:p>
            <w:pPr>
              <w:pStyle w:val="yTableNAm"/>
            </w:pPr>
            <w:r>
              <w:rPr>
                <w:szCs w:val="22"/>
              </w:rPr>
              <w:t>239.8 cents</w:t>
            </w:r>
          </w:p>
        </w:tc>
      </w:tr>
      <w:tr>
        <w:trPr>
          <w:cantSplit/>
        </w:trPr>
        <w:tc>
          <w:tcPr>
            <w:tcW w:w="850" w:type="dxa"/>
          </w:tcPr>
          <w:p>
            <w:pPr>
              <w:pStyle w:val="zyTableNAm"/>
            </w:pPr>
          </w:p>
        </w:tc>
        <w:tc>
          <w:tcPr>
            <w:tcW w:w="4237" w:type="dxa"/>
          </w:tcPr>
          <w:p>
            <w:pPr>
              <w:pStyle w:val="yTableNAm"/>
              <w:tabs>
                <w:tab w:val="clear" w:pos="567"/>
                <w:tab w:val="left" w:pos="296"/>
                <w:tab w:val="right" w:leader="dot" w:pos="4003"/>
              </w:tabs>
            </w:pPr>
            <w:r>
              <w:tab/>
              <w:t xml:space="preserve">over 950 kL </w:t>
            </w:r>
            <w:r>
              <w:tab/>
            </w:r>
          </w:p>
        </w:tc>
        <w:tc>
          <w:tcPr>
            <w:tcW w:w="1292" w:type="dxa"/>
            <w:vAlign w:val="bottom"/>
          </w:tcPr>
          <w:p>
            <w:pPr>
              <w:pStyle w:val="yTableNAm"/>
            </w:pPr>
            <w:r>
              <w:rPr>
                <w:szCs w:val="22"/>
              </w:rPr>
              <w:t>239.8 cents</w:t>
            </w:r>
          </w:p>
        </w:tc>
      </w:tr>
      <w:tr>
        <w:trPr>
          <w:cantSplit/>
        </w:trPr>
        <w:tc>
          <w:tcPr>
            <w:tcW w:w="850" w:type="dxa"/>
          </w:tcPr>
          <w:p>
            <w:pPr>
              <w:pStyle w:val="yTableNAm"/>
            </w:pPr>
            <w:r>
              <w:rPr>
                <w:b/>
                <w:bCs/>
              </w:rPr>
              <w:t>21.</w:t>
            </w:r>
          </w:p>
        </w:tc>
        <w:tc>
          <w:tcPr>
            <w:tcW w:w="4237" w:type="dxa"/>
          </w:tcPr>
          <w:p>
            <w:pPr>
              <w:pStyle w:val="yTableNAm"/>
              <w:tabs>
                <w:tab w:val="left" w:leader="dot" w:pos="4876"/>
              </w:tabs>
            </w:pPr>
            <w:r>
              <w:rPr>
                <w:b/>
                <w:bCs/>
              </w:rPr>
              <w:t>Metropolitan semi</w:t>
            </w:r>
            <w:r>
              <w:rPr>
                <w:b/>
                <w:bCs/>
              </w:rPr>
              <w:noBreakHyphen/>
              <w:t>rural residential</w:t>
            </w:r>
          </w:p>
        </w:tc>
        <w:tc>
          <w:tcPr>
            <w:tcW w:w="1292" w:type="dxa"/>
            <w:vAlign w:val="bottom"/>
          </w:tcPr>
          <w:p>
            <w:pPr>
              <w:pStyle w:val="yTableNAm"/>
            </w:pPr>
          </w:p>
        </w:tc>
      </w:tr>
      <w:tr>
        <w:trPr>
          <w:cantSplit/>
        </w:trPr>
        <w:tc>
          <w:tcPr>
            <w:tcW w:w="850" w:type="dxa"/>
          </w:tcPr>
          <w:p>
            <w:pPr>
              <w:pStyle w:val="zyTableNAm"/>
            </w:pPr>
          </w:p>
        </w:tc>
        <w:tc>
          <w:tcPr>
            <w:tcW w:w="4237" w:type="dxa"/>
          </w:tcPr>
          <w:p>
            <w:pPr>
              <w:pStyle w:val="yTableNAm"/>
              <w:tabs>
                <w:tab w:val="left" w:leader="dot" w:pos="4876"/>
              </w:tabs>
            </w:pPr>
            <w:r>
              <w:t>For each kilolitre of water supplied to a semi</w:t>
            </w:r>
            <w:r>
              <w:noBreakHyphen/>
              <w:t>rural residential property, not being water for which a charge is otherwise specifically provided in this Division —</w:t>
            </w:r>
          </w:p>
        </w:tc>
        <w:tc>
          <w:tcPr>
            <w:tcW w:w="1292" w:type="dxa"/>
            <w:vAlign w:val="bottom"/>
          </w:tcPr>
          <w:p>
            <w:pPr>
              <w:pStyle w:val="yTableNAm"/>
            </w:pPr>
          </w:p>
        </w:tc>
      </w:tr>
      <w:tr>
        <w:trPr>
          <w:cantSplit/>
        </w:trPr>
        <w:tc>
          <w:tcPr>
            <w:tcW w:w="850" w:type="dxa"/>
          </w:tcPr>
          <w:p>
            <w:pPr>
              <w:pStyle w:val="zyTableNAm"/>
            </w:pPr>
          </w:p>
        </w:tc>
        <w:tc>
          <w:tcPr>
            <w:tcW w:w="4237" w:type="dxa"/>
          </w:tcPr>
          <w:p>
            <w:pPr>
              <w:pStyle w:val="yTableNAm"/>
              <w:tabs>
                <w:tab w:val="clear" w:pos="567"/>
                <w:tab w:val="left" w:pos="296"/>
                <w:tab w:val="right" w:leader="dot" w:pos="4003"/>
              </w:tabs>
            </w:pPr>
            <w:r>
              <w:tab/>
              <w:t xml:space="preserve">up to 150 kL </w:t>
            </w:r>
            <w:r>
              <w:tab/>
            </w:r>
          </w:p>
        </w:tc>
        <w:tc>
          <w:tcPr>
            <w:tcW w:w="1292" w:type="dxa"/>
            <w:vAlign w:val="bottom"/>
          </w:tcPr>
          <w:p>
            <w:pPr>
              <w:pStyle w:val="yTableNAm"/>
            </w:pPr>
            <w:r>
              <w:rPr>
                <w:szCs w:val="22"/>
              </w:rPr>
              <w:t>133.6 cents</w:t>
            </w:r>
          </w:p>
        </w:tc>
      </w:tr>
      <w:tr>
        <w:trPr>
          <w:cantSplit/>
        </w:trPr>
        <w:tc>
          <w:tcPr>
            <w:tcW w:w="850" w:type="dxa"/>
          </w:tcPr>
          <w:p>
            <w:pPr>
              <w:pStyle w:val="zyTableNAm"/>
            </w:pPr>
          </w:p>
        </w:tc>
        <w:tc>
          <w:tcPr>
            <w:tcW w:w="4237" w:type="dxa"/>
          </w:tcPr>
          <w:p>
            <w:pPr>
              <w:pStyle w:val="yTableNAm"/>
              <w:tabs>
                <w:tab w:val="clear" w:pos="567"/>
                <w:tab w:val="left" w:pos="296"/>
                <w:tab w:val="right" w:leader="dot" w:pos="4003"/>
              </w:tabs>
            </w:pPr>
            <w:r>
              <w:tab/>
              <w:t xml:space="preserve">over 150 but not over 350 kL </w:t>
            </w:r>
            <w:r>
              <w:tab/>
            </w:r>
          </w:p>
        </w:tc>
        <w:tc>
          <w:tcPr>
            <w:tcW w:w="1292" w:type="dxa"/>
            <w:vAlign w:val="bottom"/>
          </w:tcPr>
          <w:p>
            <w:pPr>
              <w:pStyle w:val="yTableNAm"/>
            </w:pPr>
            <w:r>
              <w:rPr>
                <w:szCs w:val="22"/>
              </w:rPr>
              <w:t>174.7 cents</w:t>
            </w:r>
          </w:p>
        </w:tc>
      </w:tr>
      <w:tr>
        <w:trPr>
          <w:cantSplit/>
        </w:trPr>
        <w:tc>
          <w:tcPr>
            <w:tcW w:w="850" w:type="dxa"/>
          </w:tcPr>
          <w:p>
            <w:pPr>
              <w:pStyle w:val="zyTableNAm"/>
            </w:pPr>
          </w:p>
        </w:tc>
        <w:tc>
          <w:tcPr>
            <w:tcW w:w="4237" w:type="dxa"/>
          </w:tcPr>
          <w:p>
            <w:pPr>
              <w:pStyle w:val="yTableNAm"/>
              <w:tabs>
                <w:tab w:val="clear" w:pos="567"/>
                <w:tab w:val="left" w:pos="296"/>
                <w:tab w:val="right" w:leader="dot" w:pos="4003"/>
              </w:tabs>
            </w:pPr>
            <w:r>
              <w:tab/>
              <w:t xml:space="preserve">over 350 but not over 500 kL </w:t>
            </w:r>
            <w:r>
              <w:tab/>
            </w:r>
          </w:p>
        </w:tc>
        <w:tc>
          <w:tcPr>
            <w:tcW w:w="1292" w:type="dxa"/>
            <w:vAlign w:val="bottom"/>
          </w:tcPr>
          <w:p>
            <w:pPr>
              <w:pStyle w:val="yTableNAm"/>
            </w:pPr>
            <w:r>
              <w:rPr>
                <w:szCs w:val="22"/>
              </w:rPr>
              <w:t>174.7 cents</w:t>
            </w:r>
          </w:p>
        </w:tc>
      </w:tr>
      <w:tr>
        <w:trPr>
          <w:cantSplit/>
        </w:trPr>
        <w:tc>
          <w:tcPr>
            <w:tcW w:w="850" w:type="dxa"/>
          </w:tcPr>
          <w:p>
            <w:pPr>
              <w:pStyle w:val="zyTableNAm"/>
            </w:pPr>
          </w:p>
        </w:tc>
        <w:tc>
          <w:tcPr>
            <w:tcW w:w="4237" w:type="dxa"/>
          </w:tcPr>
          <w:p>
            <w:pPr>
              <w:pStyle w:val="yTableNAm"/>
              <w:tabs>
                <w:tab w:val="clear" w:pos="567"/>
                <w:tab w:val="left" w:pos="296"/>
                <w:tab w:val="right" w:leader="dot" w:pos="4003"/>
              </w:tabs>
            </w:pPr>
            <w:r>
              <w:tab/>
              <w:t xml:space="preserve">over 500 but not over 550 kL </w:t>
            </w:r>
            <w:r>
              <w:tab/>
            </w:r>
          </w:p>
        </w:tc>
        <w:tc>
          <w:tcPr>
            <w:tcW w:w="1292" w:type="dxa"/>
            <w:vAlign w:val="bottom"/>
          </w:tcPr>
          <w:p>
            <w:pPr>
              <w:pStyle w:val="yTableNAm"/>
            </w:pPr>
            <w:r>
              <w:rPr>
                <w:szCs w:val="22"/>
              </w:rPr>
              <w:t>239.8 cents</w:t>
            </w:r>
          </w:p>
        </w:tc>
      </w:tr>
      <w:tr>
        <w:trPr>
          <w:cantSplit/>
        </w:trPr>
        <w:tc>
          <w:tcPr>
            <w:tcW w:w="850" w:type="dxa"/>
          </w:tcPr>
          <w:p>
            <w:pPr>
              <w:pStyle w:val="zyTableNAm"/>
            </w:pPr>
          </w:p>
        </w:tc>
        <w:tc>
          <w:tcPr>
            <w:tcW w:w="4237" w:type="dxa"/>
          </w:tcPr>
          <w:p>
            <w:pPr>
              <w:pStyle w:val="yTableNAm"/>
              <w:tabs>
                <w:tab w:val="clear" w:pos="567"/>
                <w:tab w:val="left" w:pos="296"/>
                <w:tab w:val="right" w:leader="dot" w:pos="4003"/>
              </w:tabs>
            </w:pPr>
            <w:r>
              <w:tab/>
              <w:t xml:space="preserve">over 550 but not over 950 kL </w:t>
            </w:r>
            <w:r>
              <w:tab/>
            </w:r>
          </w:p>
        </w:tc>
        <w:tc>
          <w:tcPr>
            <w:tcW w:w="1292" w:type="dxa"/>
            <w:vAlign w:val="bottom"/>
          </w:tcPr>
          <w:p>
            <w:pPr>
              <w:pStyle w:val="yTableNAm"/>
            </w:pPr>
            <w:r>
              <w:rPr>
                <w:szCs w:val="22"/>
              </w:rPr>
              <w:t>239.8 cents</w:t>
            </w:r>
          </w:p>
        </w:tc>
      </w:tr>
      <w:tr>
        <w:trPr>
          <w:cantSplit/>
        </w:trPr>
        <w:tc>
          <w:tcPr>
            <w:tcW w:w="850" w:type="dxa"/>
          </w:tcPr>
          <w:p>
            <w:pPr>
              <w:pStyle w:val="zyTableNAm"/>
            </w:pPr>
          </w:p>
        </w:tc>
        <w:tc>
          <w:tcPr>
            <w:tcW w:w="4237" w:type="dxa"/>
          </w:tcPr>
          <w:p>
            <w:pPr>
              <w:pStyle w:val="yTableNAm"/>
              <w:tabs>
                <w:tab w:val="clear" w:pos="567"/>
                <w:tab w:val="left" w:pos="296"/>
                <w:tab w:val="right" w:leader="dot" w:pos="4003"/>
              </w:tabs>
            </w:pPr>
            <w:r>
              <w:tab/>
              <w:t xml:space="preserve">over 950 kL </w:t>
            </w:r>
            <w:r>
              <w:tab/>
            </w:r>
          </w:p>
        </w:tc>
        <w:tc>
          <w:tcPr>
            <w:tcW w:w="1292" w:type="dxa"/>
            <w:vAlign w:val="bottom"/>
          </w:tcPr>
          <w:p>
            <w:pPr>
              <w:pStyle w:val="yTableNAm"/>
            </w:pPr>
            <w:r>
              <w:rPr>
                <w:szCs w:val="22"/>
              </w:rPr>
              <w:t>239.8 cents</w:t>
            </w:r>
          </w:p>
        </w:tc>
      </w:tr>
      <w:tr>
        <w:trPr>
          <w:cantSplit/>
        </w:trPr>
        <w:tc>
          <w:tcPr>
            <w:tcW w:w="850" w:type="dxa"/>
          </w:tcPr>
          <w:p>
            <w:pPr>
              <w:pStyle w:val="yTableNAm"/>
              <w:keepNext/>
            </w:pPr>
            <w:r>
              <w:rPr>
                <w:b/>
                <w:bCs/>
              </w:rPr>
              <w:t>22.</w:t>
            </w:r>
          </w:p>
        </w:tc>
        <w:tc>
          <w:tcPr>
            <w:tcW w:w="4237" w:type="dxa"/>
          </w:tcPr>
          <w:p>
            <w:pPr>
              <w:pStyle w:val="yTableNAm"/>
              <w:keepNext/>
              <w:tabs>
                <w:tab w:val="left" w:leader="dot" w:pos="4876"/>
              </w:tabs>
            </w:pPr>
            <w:r>
              <w:rPr>
                <w:b/>
                <w:bCs/>
              </w:rPr>
              <w:t>Non</w:t>
            </w:r>
            <w:r>
              <w:rPr>
                <w:b/>
                <w:bCs/>
              </w:rPr>
              <w:noBreakHyphen/>
              <w:t>metropolitan residential</w:t>
            </w:r>
          </w:p>
        </w:tc>
        <w:tc>
          <w:tcPr>
            <w:tcW w:w="1292" w:type="dxa"/>
            <w:vAlign w:val="bottom"/>
          </w:tcPr>
          <w:p>
            <w:pPr>
              <w:pStyle w:val="yTableNAm"/>
              <w:keepNext/>
            </w:pPr>
          </w:p>
        </w:tc>
      </w:tr>
      <w:tr>
        <w:trPr>
          <w:cantSplit/>
        </w:trPr>
        <w:tc>
          <w:tcPr>
            <w:tcW w:w="850" w:type="dxa"/>
          </w:tcPr>
          <w:p>
            <w:pPr>
              <w:pStyle w:val="zyTableNAm"/>
              <w:keepNext/>
              <w:keepLines/>
            </w:pPr>
          </w:p>
        </w:tc>
        <w:tc>
          <w:tcPr>
            <w:tcW w:w="4237" w:type="dxa"/>
          </w:tcPr>
          <w:p>
            <w:pPr>
              <w:pStyle w:val="yTableNAm"/>
              <w:tabs>
                <w:tab w:val="left" w:leader="dot" w:pos="4876"/>
              </w:tabs>
            </w:pPr>
            <w:r>
              <w:t>For each kilolitre of water, not being water for which a charge is otherwise specifically provided in this Division, supplied to a residential property, or any other land classified as vacant land and held for residential purposes, not in the metropolitan area, according to the residential classification of the town/area set out in Schedule 10 —</w:t>
            </w:r>
          </w:p>
        </w:tc>
        <w:tc>
          <w:tcPr>
            <w:tcW w:w="1292" w:type="dxa"/>
          </w:tcPr>
          <w:p>
            <w:pPr>
              <w:pStyle w:val="yTableNAm"/>
            </w:pPr>
          </w:p>
        </w:tc>
      </w:tr>
    </w:tbl>
    <w:p>
      <w:pPr>
        <w:pStyle w:val="yMiscellaneousBody"/>
      </w:pPr>
    </w:p>
    <w:tbl>
      <w:tblPr>
        <w:tblW w:w="0" w:type="auto"/>
        <w:tblInd w:w="454" w:type="dxa"/>
        <w:tblCellMar>
          <w:left w:w="28" w:type="dxa"/>
          <w:right w:w="28" w:type="dxa"/>
        </w:tblCellMar>
        <w:tblLook w:val="0000" w:firstRow="0" w:lastRow="0" w:firstColumn="0" w:lastColumn="0" w:noHBand="0" w:noVBand="0"/>
      </w:tblPr>
      <w:tblGrid>
        <w:gridCol w:w="850"/>
        <w:gridCol w:w="567"/>
        <w:gridCol w:w="992"/>
        <w:gridCol w:w="992"/>
        <w:gridCol w:w="992"/>
        <w:gridCol w:w="694"/>
        <w:gridCol w:w="298"/>
        <w:gridCol w:w="994"/>
        <w:gridCol w:w="80"/>
      </w:tblGrid>
      <w:tr>
        <w:trPr>
          <w:cantSplit/>
          <w:tblHeader/>
        </w:trPr>
        <w:tc>
          <w:tcPr>
            <w:tcW w:w="1417" w:type="dxa"/>
            <w:gridSpan w:val="2"/>
            <w:tcBorders>
              <w:top w:val="single" w:sz="4" w:space="0" w:color="auto"/>
              <w:bottom w:val="single" w:sz="4" w:space="0" w:color="auto"/>
            </w:tcBorders>
          </w:tcPr>
          <w:p>
            <w:pPr>
              <w:pStyle w:val="yTableNAm"/>
            </w:pPr>
            <w:r>
              <w:rPr>
                <w:b/>
                <w:bCs/>
              </w:rPr>
              <w:br w:type="page"/>
              <w:t>Consumption (kL)</w:t>
            </w:r>
          </w:p>
        </w:tc>
        <w:tc>
          <w:tcPr>
            <w:tcW w:w="992" w:type="dxa"/>
            <w:tcBorders>
              <w:top w:val="single" w:sz="4" w:space="0" w:color="auto"/>
              <w:bottom w:val="single" w:sz="4" w:space="0" w:color="auto"/>
            </w:tcBorders>
          </w:tcPr>
          <w:p>
            <w:pPr>
              <w:pStyle w:val="yTableNAm"/>
              <w:jc w:val="center"/>
            </w:pPr>
            <w:r>
              <w:rPr>
                <w:b/>
                <w:bCs/>
              </w:rPr>
              <w:t>Class 1 (c/kL)</w:t>
            </w:r>
          </w:p>
        </w:tc>
        <w:tc>
          <w:tcPr>
            <w:tcW w:w="992" w:type="dxa"/>
            <w:tcBorders>
              <w:top w:val="single" w:sz="4" w:space="0" w:color="auto"/>
              <w:bottom w:val="single" w:sz="4" w:space="0" w:color="auto"/>
            </w:tcBorders>
          </w:tcPr>
          <w:p>
            <w:pPr>
              <w:pStyle w:val="yTableNAm"/>
              <w:jc w:val="center"/>
            </w:pPr>
            <w:r>
              <w:rPr>
                <w:b/>
                <w:bCs/>
              </w:rPr>
              <w:t>Class 2 (c/kL)</w:t>
            </w:r>
          </w:p>
        </w:tc>
        <w:tc>
          <w:tcPr>
            <w:tcW w:w="992" w:type="dxa"/>
            <w:tcBorders>
              <w:top w:val="single" w:sz="4" w:space="0" w:color="auto"/>
              <w:bottom w:val="single" w:sz="4" w:space="0" w:color="auto"/>
            </w:tcBorders>
          </w:tcPr>
          <w:p>
            <w:pPr>
              <w:pStyle w:val="yTableNAm"/>
              <w:jc w:val="center"/>
            </w:pPr>
            <w:r>
              <w:rPr>
                <w:b/>
                <w:bCs/>
              </w:rPr>
              <w:t>Class 3 (c/kL)</w:t>
            </w:r>
          </w:p>
        </w:tc>
        <w:tc>
          <w:tcPr>
            <w:tcW w:w="992" w:type="dxa"/>
            <w:gridSpan w:val="2"/>
            <w:tcBorders>
              <w:top w:val="single" w:sz="4" w:space="0" w:color="auto"/>
              <w:bottom w:val="single" w:sz="4" w:space="0" w:color="auto"/>
            </w:tcBorders>
          </w:tcPr>
          <w:p>
            <w:pPr>
              <w:pStyle w:val="yTableNAm"/>
              <w:jc w:val="center"/>
            </w:pPr>
            <w:r>
              <w:rPr>
                <w:b/>
                <w:bCs/>
              </w:rPr>
              <w:t>Class 4 (c/kL)</w:t>
            </w:r>
          </w:p>
        </w:tc>
        <w:tc>
          <w:tcPr>
            <w:tcW w:w="1074" w:type="dxa"/>
            <w:gridSpan w:val="2"/>
            <w:tcBorders>
              <w:top w:val="single" w:sz="4" w:space="0" w:color="auto"/>
              <w:bottom w:val="single" w:sz="4" w:space="0" w:color="auto"/>
            </w:tcBorders>
          </w:tcPr>
          <w:p>
            <w:pPr>
              <w:pStyle w:val="yTableNAm"/>
              <w:jc w:val="center"/>
            </w:pPr>
            <w:r>
              <w:rPr>
                <w:b/>
                <w:bCs/>
              </w:rPr>
              <w:t>Class 5 (c/kL)</w:t>
            </w:r>
          </w:p>
        </w:tc>
      </w:tr>
      <w:tr>
        <w:trPr>
          <w:cantSplit/>
        </w:trPr>
        <w:tc>
          <w:tcPr>
            <w:tcW w:w="1417" w:type="dxa"/>
            <w:gridSpan w:val="2"/>
          </w:tcPr>
          <w:p>
            <w:pPr>
              <w:pStyle w:val="yTableNAm"/>
            </w:pPr>
            <w:r>
              <w:t>Up to 150</w:t>
            </w:r>
          </w:p>
        </w:tc>
        <w:tc>
          <w:tcPr>
            <w:tcW w:w="992" w:type="dxa"/>
            <w:vAlign w:val="bottom"/>
          </w:tcPr>
          <w:p>
            <w:pPr>
              <w:pStyle w:val="yTableNAm"/>
              <w:jc w:val="center"/>
            </w:pPr>
            <w:r>
              <w:rPr>
                <w:szCs w:val="22"/>
              </w:rPr>
              <w:t>104.0</w:t>
            </w:r>
          </w:p>
        </w:tc>
        <w:tc>
          <w:tcPr>
            <w:tcW w:w="992" w:type="dxa"/>
            <w:vAlign w:val="bottom"/>
          </w:tcPr>
          <w:p>
            <w:pPr>
              <w:pStyle w:val="yTableNAm"/>
              <w:jc w:val="center"/>
            </w:pPr>
            <w:r>
              <w:rPr>
                <w:szCs w:val="22"/>
              </w:rPr>
              <w:t>133.6</w:t>
            </w:r>
          </w:p>
        </w:tc>
        <w:tc>
          <w:tcPr>
            <w:tcW w:w="992" w:type="dxa"/>
            <w:vAlign w:val="bottom"/>
          </w:tcPr>
          <w:p>
            <w:pPr>
              <w:pStyle w:val="yTableNAm"/>
              <w:jc w:val="center"/>
            </w:pPr>
            <w:r>
              <w:rPr>
                <w:szCs w:val="22"/>
              </w:rPr>
              <w:t>133.6</w:t>
            </w:r>
          </w:p>
        </w:tc>
        <w:tc>
          <w:tcPr>
            <w:tcW w:w="992" w:type="dxa"/>
            <w:gridSpan w:val="2"/>
            <w:vAlign w:val="bottom"/>
          </w:tcPr>
          <w:p>
            <w:pPr>
              <w:pStyle w:val="yTableNAm"/>
              <w:jc w:val="center"/>
            </w:pPr>
            <w:r>
              <w:rPr>
                <w:szCs w:val="22"/>
              </w:rPr>
              <w:t>133.6</w:t>
            </w:r>
          </w:p>
        </w:tc>
        <w:tc>
          <w:tcPr>
            <w:tcW w:w="1074" w:type="dxa"/>
            <w:gridSpan w:val="2"/>
            <w:vAlign w:val="bottom"/>
          </w:tcPr>
          <w:p>
            <w:pPr>
              <w:pStyle w:val="yTableNAm"/>
              <w:jc w:val="center"/>
            </w:pPr>
            <w:r>
              <w:rPr>
                <w:szCs w:val="22"/>
              </w:rPr>
              <w:t>133.6</w:t>
            </w:r>
          </w:p>
        </w:tc>
      </w:tr>
      <w:tr>
        <w:trPr>
          <w:cantSplit/>
        </w:trPr>
        <w:tc>
          <w:tcPr>
            <w:tcW w:w="1417" w:type="dxa"/>
            <w:gridSpan w:val="2"/>
          </w:tcPr>
          <w:p>
            <w:pPr>
              <w:pStyle w:val="yTableNAm"/>
            </w:pPr>
            <w:r>
              <w:t>Over 150 but not over 300</w:t>
            </w:r>
          </w:p>
        </w:tc>
        <w:tc>
          <w:tcPr>
            <w:tcW w:w="992" w:type="dxa"/>
            <w:vAlign w:val="bottom"/>
          </w:tcPr>
          <w:p>
            <w:pPr>
              <w:pStyle w:val="yTableNAm"/>
              <w:jc w:val="center"/>
            </w:pPr>
            <w:r>
              <w:rPr>
                <w:szCs w:val="22"/>
              </w:rPr>
              <w:t>135.5</w:t>
            </w:r>
          </w:p>
        </w:tc>
        <w:tc>
          <w:tcPr>
            <w:tcW w:w="992" w:type="dxa"/>
            <w:vAlign w:val="bottom"/>
          </w:tcPr>
          <w:p>
            <w:pPr>
              <w:pStyle w:val="yTableNAm"/>
              <w:jc w:val="center"/>
            </w:pPr>
            <w:r>
              <w:rPr>
                <w:szCs w:val="22"/>
              </w:rPr>
              <w:t>174.7</w:t>
            </w:r>
          </w:p>
        </w:tc>
        <w:tc>
          <w:tcPr>
            <w:tcW w:w="992" w:type="dxa"/>
            <w:vAlign w:val="bottom"/>
          </w:tcPr>
          <w:p>
            <w:pPr>
              <w:pStyle w:val="yTableNAm"/>
              <w:jc w:val="center"/>
            </w:pPr>
            <w:r>
              <w:rPr>
                <w:szCs w:val="22"/>
              </w:rPr>
              <w:t>174.7</w:t>
            </w:r>
          </w:p>
        </w:tc>
        <w:tc>
          <w:tcPr>
            <w:tcW w:w="992" w:type="dxa"/>
            <w:gridSpan w:val="2"/>
            <w:vAlign w:val="bottom"/>
          </w:tcPr>
          <w:p>
            <w:pPr>
              <w:pStyle w:val="yTableNAm"/>
              <w:jc w:val="center"/>
            </w:pPr>
            <w:r>
              <w:rPr>
                <w:szCs w:val="22"/>
              </w:rPr>
              <w:t>174.7</w:t>
            </w:r>
          </w:p>
        </w:tc>
        <w:tc>
          <w:tcPr>
            <w:tcW w:w="1074" w:type="dxa"/>
            <w:gridSpan w:val="2"/>
            <w:vAlign w:val="bottom"/>
          </w:tcPr>
          <w:p>
            <w:pPr>
              <w:pStyle w:val="yTableNAm"/>
              <w:jc w:val="center"/>
            </w:pPr>
            <w:r>
              <w:rPr>
                <w:szCs w:val="22"/>
              </w:rPr>
              <w:t>174.7</w:t>
            </w:r>
          </w:p>
        </w:tc>
      </w:tr>
      <w:tr>
        <w:trPr>
          <w:cantSplit/>
        </w:trPr>
        <w:tc>
          <w:tcPr>
            <w:tcW w:w="1417" w:type="dxa"/>
            <w:gridSpan w:val="2"/>
          </w:tcPr>
          <w:p>
            <w:pPr>
              <w:pStyle w:val="yTableNAm"/>
            </w:pPr>
            <w:r>
              <w:t>Over 300 but not over 350</w:t>
            </w:r>
          </w:p>
        </w:tc>
        <w:tc>
          <w:tcPr>
            <w:tcW w:w="992" w:type="dxa"/>
            <w:vAlign w:val="bottom"/>
          </w:tcPr>
          <w:p>
            <w:pPr>
              <w:pStyle w:val="yTableNAm"/>
              <w:jc w:val="center"/>
            </w:pPr>
            <w:r>
              <w:rPr>
                <w:szCs w:val="22"/>
              </w:rPr>
              <w:t>147.6</w:t>
            </w:r>
          </w:p>
        </w:tc>
        <w:tc>
          <w:tcPr>
            <w:tcW w:w="992" w:type="dxa"/>
            <w:vAlign w:val="bottom"/>
          </w:tcPr>
          <w:p>
            <w:pPr>
              <w:pStyle w:val="yTableNAm"/>
              <w:jc w:val="center"/>
            </w:pPr>
            <w:r>
              <w:rPr>
                <w:szCs w:val="22"/>
              </w:rPr>
              <w:t>204.2</w:t>
            </w:r>
          </w:p>
        </w:tc>
        <w:tc>
          <w:tcPr>
            <w:tcW w:w="992" w:type="dxa"/>
            <w:vAlign w:val="bottom"/>
          </w:tcPr>
          <w:p>
            <w:pPr>
              <w:pStyle w:val="yTableNAm"/>
              <w:jc w:val="center"/>
            </w:pPr>
            <w:r>
              <w:rPr>
                <w:szCs w:val="22"/>
              </w:rPr>
              <w:t>260.2</w:t>
            </w:r>
          </w:p>
        </w:tc>
        <w:tc>
          <w:tcPr>
            <w:tcW w:w="992" w:type="dxa"/>
            <w:gridSpan w:val="2"/>
            <w:vAlign w:val="bottom"/>
          </w:tcPr>
          <w:p>
            <w:pPr>
              <w:pStyle w:val="yTableNAm"/>
              <w:jc w:val="center"/>
            </w:pPr>
            <w:r>
              <w:rPr>
                <w:szCs w:val="22"/>
              </w:rPr>
              <w:t>306.1</w:t>
            </w:r>
          </w:p>
        </w:tc>
        <w:tc>
          <w:tcPr>
            <w:tcW w:w="1074" w:type="dxa"/>
            <w:gridSpan w:val="2"/>
            <w:vAlign w:val="bottom"/>
          </w:tcPr>
          <w:p>
            <w:pPr>
              <w:pStyle w:val="yTableNAm"/>
              <w:jc w:val="center"/>
            </w:pPr>
            <w:r>
              <w:rPr>
                <w:szCs w:val="22"/>
              </w:rPr>
              <w:t>360.0</w:t>
            </w:r>
          </w:p>
        </w:tc>
      </w:tr>
      <w:tr>
        <w:trPr>
          <w:cantSplit/>
        </w:trPr>
        <w:tc>
          <w:tcPr>
            <w:tcW w:w="1417" w:type="dxa"/>
            <w:gridSpan w:val="2"/>
          </w:tcPr>
          <w:p>
            <w:pPr>
              <w:pStyle w:val="yTableNAm"/>
            </w:pPr>
            <w:r>
              <w:t>Over 350 but not over 450</w:t>
            </w:r>
          </w:p>
        </w:tc>
        <w:tc>
          <w:tcPr>
            <w:tcW w:w="992" w:type="dxa"/>
            <w:vAlign w:val="bottom"/>
          </w:tcPr>
          <w:p>
            <w:pPr>
              <w:pStyle w:val="yTableNAm"/>
              <w:jc w:val="center"/>
            </w:pPr>
            <w:r>
              <w:rPr>
                <w:szCs w:val="22"/>
              </w:rPr>
              <w:t>147.6</w:t>
            </w:r>
          </w:p>
        </w:tc>
        <w:tc>
          <w:tcPr>
            <w:tcW w:w="992" w:type="dxa"/>
            <w:vAlign w:val="bottom"/>
          </w:tcPr>
          <w:p>
            <w:pPr>
              <w:pStyle w:val="yTableNAm"/>
              <w:jc w:val="center"/>
            </w:pPr>
            <w:r>
              <w:rPr>
                <w:szCs w:val="22"/>
              </w:rPr>
              <w:t>204.2</w:t>
            </w:r>
          </w:p>
        </w:tc>
        <w:tc>
          <w:tcPr>
            <w:tcW w:w="992" w:type="dxa"/>
            <w:vAlign w:val="bottom"/>
          </w:tcPr>
          <w:p>
            <w:pPr>
              <w:pStyle w:val="yTableNAm"/>
              <w:jc w:val="center"/>
            </w:pPr>
            <w:r>
              <w:rPr>
                <w:szCs w:val="22"/>
              </w:rPr>
              <w:t>260.2</w:t>
            </w:r>
          </w:p>
        </w:tc>
        <w:tc>
          <w:tcPr>
            <w:tcW w:w="992" w:type="dxa"/>
            <w:gridSpan w:val="2"/>
            <w:vAlign w:val="bottom"/>
          </w:tcPr>
          <w:p>
            <w:pPr>
              <w:pStyle w:val="yTableNAm"/>
              <w:jc w:val="center"/>
            </w:pPr>
            <w:r>
              <w:rPr>
                <w:szCs w:val="22"/>
              </w:rPr>
              <w:t>306.1</w:t>
            </w:r>
          </w:p>
        </w:tc>
        <w:tc>
          <w:tcPr>
            <w:tcW w:w="1074" w:type="dxa"/>
            <w:gridSpan w:val="2"/>
            <w:vAlign w:val="bottom"/>
          </w:tcPr>
          <w:p>
            <w:pPr>
              <w:pStyle w:val="yTableNAm"/>
              <w:jc w:val="center"/>
            </w:pPr>
            <w:r>
              <w:rPr>
                <w:szCs w:val="22"/>
              </w:rPr>
              <w:t>360.0</w:t>
            </w:r>
          </w:p>
        </w:tc>
      </w:tr>
      <w:tr>
        <w:trPr>
          <w:cantSplit/>
        </w:trPr>
        <w:tc>
          <w:tcPr>
            <w:tcW w:w="1417" w:type="dxa"/>
            <w:gridSpan w:val="2"/>
          </w:tcPr>
          <w:p>
            <w:pPr>
              <w:pStyle w:val="yTableNAm"/>
            </w:pPr>
            <w:r>
              <w:t>Over 450 but not over 550</w:t>
            </w:r>
          </w:p>
        </w:tc>
        <w:tc>
          <w:tcPr>
            <w:tcW w:w="992" w:type="dxa"/>
            <w:vAlign w:val="bottom"/>
          </w:tcPr>
          <w:p>
            <w:pPr>
              <w:pStyle w:val="yTableNAm"/>
              <w:jc w:val="center"/>
            </w:pPr>
            <w:r>
              <w:rPr>
                <w:szCs w:val="22"/>
              </w:rPr>
              <w:t>147.6</w:t>
            </w:r>
          </w:p>
        </w:tc>
        <w:tc>
          <w:tcPr>
            <w:tcW w:w="992" w:type="dxa"/>
            <w:vAlign w:val="bottom"/>
          </w:tcPr>
          <w:p>
            <w:pPr>
              <w:pStyle w:val="yTableNAm"/>
              <w:jc w:val="center"/>
            </w:pPr>
            <w:r>
              <w:rPr>
                <w:szCs w:val="22"/>
              </w:rPr>
              <w:t>204.2</w:t>
            </w:r>
          </w:p>
        </w:tc>
        <w:tc>
          <w:tcPr>
            <w:tcW w:w="992" w:type="dxa"/>
            <w:vAlign w:val="bottom"/>
          </w:tcPr>
          <w:p>
            <w:pPr>
              <w:pStyle w:val="yTableNAm"/>
              <w:jc w:val="center"/>
            </w:pPr>
            <w:r>
              <w:rPr>
                <w:szCs w:val="22"/>
              </w:rPr>
              <w:t>260.2</w:t>
            </w:r>
          </w:p>
        </w:tc>
        <w:tc>
          <w:tcPr>
            <w:tcW w:w="992" w:type="dxa"/>
            <w:gridSpan w:val="2"/>
            <w:vAlign w:val="bottom"/>
          </w:tcPr>
          <w:p>
            <w:pPr>
              <w:pStyle w:val="yTableNAm"/>
              <w:jc w:val="center"/>
            </w:pPr>
            <w:r>
              <w:rPr>
                <w:szCs w:val="22"/>
              </w:rPr>
              <w:t>306.1</w:t>
            </w:r>
          </w:p>
        </w:tc>
        <w:tc>
          <w:tcPr>
            <w:tcW w:w="1074" w:type="dxa"/>
            <w:gridSpan w:val="2"/>
            <w:vAlign w:val="bottom"/>
          </w:tcPr>
          <w:p>
            <w:pPr>
              <w:pStyle w:val="yTableNAm"/>
              <w:jc w:val="center"/>
            </w:pPr>
            <w:r>
              <w:rPr>
                <w:szCs w:val="22"/>
              </w:rPr>
              <w:t>360.0</w:t>
            </w:r>
          </w:p>
        </w:tc>
      </w:tr>
      <w:tr>
        <w:trPr>
          <w:cantSplit/>
        </w:trPr>
        <w:tc>
          <w:tcPr>
            <w:tcW w:w="1417" w:type="dxa"/>
            <w:gridSpan w:val="2"/>
          </w:tcPr>
          <w:p>
            <w:pPr>
              <w:pStyle w:val="yTableNAm"/>
            </w:pPr>
            <w:r>
              <w:t>Over 550 but not over 750</w:t>
            </w:r>
          </w:p>
        </w:tc>
        <w:tc>
          <w:tcPr>
            <w:tcW w:w="992" w:type="dxa"/>
            <w:vAlign w:val="bottom"/>
          </w:tcPr>
          <w:p>
            <w:pPr>
              <w:pStyle w:val="yTableNAm"/>
              <w:jc w:val="center"/>
            </w:pPr>
            <w:r>
              <w:rPr>
                <w:szCs w:val="22"/>
              </w:rPr>
              <w:t>173.4</w:t>
            </w:r>
          </w:p>
        </w:tc>
        <w:tc>
          <w:tcPr>
            <w:tcW w:w="992" w:type="dxa"/>
            <w:vAlign w:val="bottom"/>
          </w:tcPr>
          <w:p>
            <w:pPr>
              <w:pStyle w:val="yTableNAm"/>
              <w:jc w:val="center"/>
            </w:pPr>
            <w:r>
              <w:rPr>
                <w:szCs w:val="22"/>
              </w:rPr>
              <w:t>239.8</w:t>
            </w:r>
          </w:p>
        </w:tc>
        <w:tc>
          <w:tcPr>
            <w:tcW w:w="992" w:type="dxa"/>
            <w:vAlign w:val="bottom"/>
          </w:tcPr>
          <w:p>
            <w:pPr>
              <w:pStyle w:val="yTableNAm"/>
              <w:jc w:val="center"/>
            </w:pPr>
            <w:r>
              <w:rPr>
                <w:szCs w:val="22"/>
              </w:rPr>
              <w:t>331.7</w:t>
            </w:r>
          </w:p>
        </w:tc>
        <w:tc>
          <w:tcPr>
            <w:tcW w:w="992" w:type="dxa"/>
            <w:gridSpan w:val="2"/>
            <w:vAlign w:val="bottom"/>
          </w:tcPr>
          <w:p>
            <w:pPr>
              <w:pStyle w:val="yTableNAm"/>
              <w:jc w:val="center"/>
            </w:pPr>
            <w:r>
              <w:rPr>
                <w:szCs w:val="22"/>
              </w:rPr>
              <w:t>458.9</w:t>
            </w:r>
          </w:p>
        </w:tc>
        <w:tc>
          <w:tcPr>
            <w:tcW w:w="1074" w:type="dxa"/>
            <w:gridSpan w:val="2"/>
            <w:vAlign w:val="bottom"/>
          </w:tcPr>
          <w:p>
            <w:pPr>
              <w:pStyle w:val="yTableNAm"/>
              <w:jc w:val="center"/>
            </w:pPr>
            <w:r>
              <w:rPr>
                <w:szCs w:val="22"/>
              </w:rPr>
              <w:t>634.7</w:t>
            </w:r>
          </w:p>
        </w:tc>
      </w:tr>
      <w:tr>
        <w:trPr>
          <w:cantSplit/>
        </w:trPr>
        <w:tc>
          <w:tcPr>
            <w:tcW w:w="1417" w:type="dxa"/>
            <w:gridSpan w:val="2"/>
          </w:tcPr>
          <w:p>
            <w:pPr>
              <w:pStyle w:val="yTableNAm"/>
            </w:pPr>
            <w:r>
              <w:t>Over 750 but not over 950</w:t>
            </w:r>
          </w:p>
        </w:tc>
        <w:tc>
          <w:tcPr>
            <w:tcW w:w="992" w:type="dxa"/>
            <w:vAlign w:val="bottom"/>
          </w:tcPr>
          <w:p>
            <w:pPr>
              <w:pStyle w:val="yTableNAm"/>
              <w:jc w:val="center"/>
            </w:pPr>
            <w:r>
              <w:rPr>
                <w:szCs w:val="22"/>
              </w:rPr>
              <w:t>173.4</w:t>
            </w:r>
          </w:p>
        </w:tc>
        <w:tc>
          <w:tcPr>
            <w:tcW w:w="992" w:type="dxa"/>
            <w:vAlign w:val="bottom"/>
          </w:tcPr>
          <w:p>
            <w:pPr>
              <w:pStyle w:val="yTableNAm"/>
              <w:jc w:val="center"/>
            </w:pPr>
            <w:r>
              <w:rPr>
                <w:szCs w:val="22"/>
              </w:rPr>
              <w:t>239.8</w:t>
            </w:r>
          </w:p>
        </w:tc>
        <w:tc>
          <w:tcPr>
            <w:tcW w:w="992" w:type="dxa"/>
            <w:vAlign w:val="bottom"/>
          </w:tcPr>
          <w:p>
            <w:pPr>
              <w:pStyle w:val="yTableNAm"/>
              <w:jc w:val="center"/>
            </w:pPr>
            <w:r>
              <w:rPr>
                <w:szCs w:val="22"/>
              </w:rPr>
              <w:t>331.7</w:t>
            </w:r>
          </w:p>
        </w:tc>
        <w:tc>
          <w:tcPr>
            <w:tcW w:w="992" w:type="dxa"/>
            <w:gridSpan w:val="2"/>
            <w:vAlign w:val="bottom"/>
          </w:tcPr>
          <w:p>
            <w:pPr>
              <w:pStyle w:val="yTableNAm"/>
              <w:jc w:val="center"/>
            </w:pPr>
            <w:r>
              <w:rPr>
                <w:szCs w:val="22"/>
              </w:rPr>
              <w:t>458.9</w:t>
            </w:r>
          </w:p>
        </w:tc>
        <w:tc>
          <w:tcPr>
            <w:tcW w:w="1074" w:type="dxa"/>
            <w:gridSpan w:val="2"/>
            <w:vAlign w:val="bottom"/>
          </w:tcPr>
          <w:p>
            <w:pPr>
              <w:pStyle w:val="yTableNAm"/>
              <w:jc w:val="center"/>
            </w:pPr>
            <w:r>
              <w:rPr>
                <w:szCs w:val="22"/>
              </w:rPr>
              <w:t>634.7</w:t>
            </w:r>
          </w:p>
        </w:tc>
      </w:tr>
      <w:tr>
        <w:trPr>
          <w:cantSplit/>
        </w:trPr>
        <w:tc>
          <w:tcPr>
            <w:tcW w:w="1417" w:type="dxa"/>
            <w:gridSpan w:val="2"/>
          </w:tcPr>
          <w:p>
            <w:pPr>
              <w:pStyle w:val="yTableNAm"/>
            </w:pPr>
            <w:r>
              <w:t>Over 950 but not over 1 150</w:t>
            </w:r>
          </w:p>
        </w:tc>
        <w:tc>
          <w:tcPr>
            <w:tcW w:w="992" w:type="dxa"/>
            <w:vAlign w:val="bottom"/>
          </w:tcPr>
          <w:p>
            <w:pPr>
              <w:pStyle w:val="yTableNAm"/>
              <w:jc w:val="center"/>
            </w:pPr>
            <w:r>
              <w:rPr>
                <w:szCs w:val="22"/>
              </w:rPr>
              <w:t>173.4</w:t>
            </w:r>
          </w:p>
        </w:tc>
        <w:tc>
          <w:tcPr>
            <w:tcW w:w="992" w:type="dxa"/>
            <w:vAlign w:val="bottom"/>
          </w:tcPr>
          <w:p>
            <w:pPr>
              <w:pStyle w:val="yTableNAm"/>
              <w:jc w:val="center"/>
            </w:pPr>
            <w:r>
              <w:rPr>
                <w:szCs w:val="22"/>
              </w:rPr>
              <w:t>239.8</w:t>
            </w:r>
          </w:p>
        </w:tc>
        <w:tc>
          <w:tcPr>
            <w:tcW w:w="992" w:type="dxa"/>
            <w:vAlign w:val="bottom"/>
          </w:tcPr>
          <w:p>
            <w:pPr>
              <w:pStyle w:val="yTableNAm"/>
              <w:jc w:val="center"/>
            </w:pPr>
            <w:r>
              <w:rPr>
                <w:szCs w:val="22"/>
              </w:rPr>
              <w:t>331.7</w:t>
            </w:r>
          </w:p>
        </w:tc>
        <w:tc>
          <w:tcPr>
            <w:tcW w:w="992" w:type="dxa"/>
            <w:gridSpan w:val="2"/>
            <w:vAlign w:val="bottom"/>
          </w:tcPr>
          <w:p>
            <w:pPr>
              <w:pStyle w:val="yTableNAm"/>
              <w:jc w:val="center"/>
            </w:pPr>
            <w:r>
              <w:rPr>
                <w:szCs w:val="22"/>
              </w:rPr>
              <w:t>458.9</w:t>
            </w:r>
          </w:p>
        </w:tc>
        <w:tc>
          <w:tcPr>
            <w:tcW w:w="1074" w:type="dxa"/>
            <w:gridSpan w:val="2"/>
            <w:vAlign w:val="bottom"/>
          </w:tcPr>
          <w:p>
            <w:pPr>
              <w:pStyle w:val="yTableNAm"/>
              <w:jc w:val="center"/>
            </w:pPr>
            <w:r>
              <w:rPr>
                <w:szCs w:val="22"/>
              </w:rPr>
              <w:t>634.7</w:t>
            </w:r>
          </w:p>
        </w:tc>
      </w:tr>
      <w:tr>
        <w:trPr>
          <w:cantSplit/>
        </w:trPr>
        <w:tc>
          <w:tcPr>
            <w:tcW w:w="1417" w:type="dxa"/>
            <w:gridSpan w:val="2"/>
          </w:tcPr>
          <w:p>
            <w:pPr>
              <w:pStyle w:val="yTableNAm"/>
            </w:pPr>
            <w:r>
              <w:t>Over 1 150 but not over 1 550</w:t>
            </w:r>
          </w:p>
        </w:tc>
        <w:tc>
          <w:tcPr>
            <w:tcW w:w="992" w:type="dxa"/>
            <w:vAlign w:val="bottom"/>
          </w:tcPr>
          <w:p>
            <w:pPr>
              <w:pStyle w:val="yTableNAm"/>
              <w:jc w:val="center"/>
            </w:pPr>
            <w:r>
              <w:rPr>
                <w:szCs w:val="22"/>
              </w:rPr>
              <w:t>173.4</w:t>
            </w:r>
          </w:p>
        </w:tc>
        <w:tc>
          <w:tcPr>
            <w:tcW w:w="992" w:type="dxa"/>
            <w:vAlign w:val="bottom"/>
          </w:tcPr>
          <w:p>
            <w:pPr>
              <w:pStyle w:val="yTableNAm"/>
              <w:jc w:val="center"/>
            </w:pPr>
            <w:r>
              <w:rPr>
                <w:szCs w:val="22"/>
              </w:rPr>
              <w:t>239.8</w:t>
            </w:r>
          </w:p>
        </w:tc>
        <w:tc>
          <w:tcPr>
            <w:tcW w:w="992" w:type="dxa"/>
            <w:vAlign w:val="bottom"/>
          </w:tcPr>
          <w:p>
            <w:pPr>
              <w:pStyle w:val="yTableNAm"/>
              <w:jc w:val="center"/>
            </w:pPr>
            <w:r>
              <w:rPr>
                <w:szCs w:val="22"/>
              </w:rPr>
              <w:t>331.7</w:t>
            </w:r>
          </w:p>
        </w:tc>
        <w:tc>
          <w:tcPr>
            <w:tcW w:w="992" w:type="dxa"/>
            <w:gridSpan w:val="2"/>
            <w:vAlign w:val="bottom"/>
          </w:tcPr>
          <w:p>
            <w:pPr>
              <w:pStyle w:val="yTableNAm"/>
              <w:jc w:val="center"/>
            </w:pPr>
            <w:r>
              <w:rPr>
                <w:szCs w:val="22"/>
              </w:rPr>
              <w:t>458.9</w:t>
            </w:r>
          </w:p>
        </w:tc>
        <w:tc>
          <w:tcPr>
            <w:tcW w:w="1074" w:type="dxa"/>
            <w:gridSpan w:val="2"/>
            <w:vAlign w:val="bottom"/>
          </w:tcPr>
          <w:p>
            <w:pPr>
              <w:pStyle w:val="yTableNAm"/>
              <w:jc w:val="center"/>
            </w:pPr>
            <w:r>
              <w:rPr>
                <w:szCs w:val="22"/>
              </w:rPr>
              <w:t>634.7</w:t>
            </w:r>
          </w:p>
        </w:tc>
      </w:tr>
      <w:tr>
        <w:trPr>
          <w:cantSplit/>
        </w:trPr>
        <w:tc>
          <w:tcPr>
            <w:tcW w:w="1417" w:type="dxa"/>
            <w:gridSpan w:val="2"/>
          </w:tcPr>
          <w:p>
            <w:pPr>
              <w:pStyle w:val="yTableNAm"/>
            </w:pPr>
            <w:r>
              <w:t>Over 1 550 but not over 1 950</w:t>
            </w:r>
          </w:p>
        </w:tc>
        <w:tc>
          <w:tcPr>
            <w:tcW w:w="992" w:type="dxa"/>
            <w:vAlign w:val="bottom"/>
          </w:tcPr>
          <w:p>
            <w:pPr>
              <w:pStyle w:val="yTableNAm"/>
              <w:jc w:val="center"/>
            </w:pPr>
            <w:r>
              <w:rPr>
                <w:szCs w:val="22"/>
              </w:rPr>
              <w:t>173.4</w:t>
            </w:r>
          </w:p>
        </w:tc>
        <w:tc>
          <w:tcPr>
            <w:tcW w:w="992" w:type="dxa"/>
            <w:vAlign w:val="bottom"/>
          </w:tcPr>
          <w:p>
            <w:pPr>
              <w:pStyle w:val="yTableNAm"/>
              <w:jc w:val="center"/>
            </w:pPr>
            <w:r>
              <w:rPr>
                <w:szCs w:val="22"/>
              </w:rPr>
              <w:t>239.8</w:t>
            </w:r>
          </w:p>
        </w:tc>
        <w:tc>
          <w:tcPr>
            <w:tcW w:w="992" w:type="dxa"/>
            <w:vAlign w:val="bottom"/>
          </w:tcPr>
          <w:p>
            <w:pPr>
              <w:pStyle w:val="yTableNAm"/>
              <w:jc w:val="center"/>
            </w:pPr>
            <w:r>
              <w:rPr>
                <w:szCs w:val="22"/>
              </w:rPr>
              <w:t>331.7</w:t>
            </w:r>
          </w:p>
        </w:tc>
        <w:tc>
          <w:tcPr>
            <w:tcW w:w="992" w:type="dxa"/>
            <w:gridSpan w:val="2"/>
            <w:vAlign w:val="bottom"/>
          </w:tcPr>
          <w:p>
            <w:pPr>
              <w:pStyle w:val="yTableNAm"/>
              <w:jc w:val="center"/>
            </w:pPr>
            <w:r>
              <w:rPr>
                <w:szCs w:val="22"/>
              </w:rPr>
              <w:t>458.9</w:t>
            </w:r>
          </w:p>
        </w:tc>
        <w:tc>
          <w:tcPr>
            <w:tcW w:w="1074" w:type="dxa"/>
            <w:gridSpan w:val="2"/>
            <w:vAlign w:val="bottom"/>
          </w:tcPr>
          <w:p>
            <w:pPr>
              <w:pStyle w:val="yTableNAm"/>
              <w:jc w:val="center"/>
            </w:pPr>
            <w:r>
              <w:rPr>
                <w:szCs w:val="22"/>
              </w:rPr>
              <w:t>634.7</w:t>
            </w:r>
          </w:p>
        </w:tc>
      </w:tr>
      <w:tr>
        <w:trPr>
          <w:cantSplit/>
        </w:trPr>
        <w:tc>
          <w:tcPr>
            <w:tcW w:w="1417" w:type="dxa"/>
            <w:gridSpan w:val="2"/>
            <w:tcBorders>
              <w:bottom w:val="single" w:sz="4" w:space="0" w:color="auto"/>
            </w:tcBorders>
          </w:tcPr>
          <w:p>
            <w:pPr>
              <w:pStyle w:val="yTableNAm"/>
            </w:pPr>
            <w:r>
              <w:t>Over 1 950</w:t>
            </w:r>
          </w:p>
        </w:tc>
        <w:tc>
          <w:tcPr>
            <w:tcW w:w="992" w:type="dxa"/>
            <w:tcBorders>
              <w:bottom w:val="single" w:sz="4" w:space="0" w:color="auto"/>
            </w:tcBorders>
            <w:vAlign w:val="bottom"/>
          </w:tcPr>
          <w:p>
            <w:pPr>
              <w:pStyle w:val="yTableNAm"/>
              <w:jc w:val="center"/>
            </w:pPr>
            <w:r>
              <w:rPr>
                <w:szCs w:val="22"/>
              </w:rPr>
              <w:t>173.4</w:t>
            </w:r>
          </w:p>
        </w:tc>
        <w:tc>
          <w:tcPr>
            <w:tcW w:w="992" w:type="dxa"/>
            <w:tcBorders>
              <w:bottom w:val="single" w:sz="4" w:space="0" w:color="auto"/>
            </w:tcBorders>
            <w:vAlign w:val="bottom"/>
          </w:tcPr>
          <w:p>
            <w:pPr>
              <w:pStyle w:val="yTableNAm"/>
              <w:jc w:val="center"/>
            </w:pPr>
            <w:r>
              <w:rPr>
                <w:szCs w:val="22"/>
              </w:rPr>
              <w:t>239.8</w:t>
            </w:r>
          </w:p>
        </w:tc>
        <w:tc>
          <w:tcPr>
            <w:tcW w:w="992" w:type="dxa"/>
            <w:tcBorders>
              <w:bottom w:val="single" w:sz="4" w:space="0" w:color="auto"/>
            </w:tcBorders>
            <w:vAlign w:val="bottom"/>
          </w:tcPr>
          <w:p>
            <w:pPr>
              <w:pStyle w:val="yTableNAm"/>
              <w:jc w:val="center"/>
            </w:pPr>
            <w:r>
              <w:rPr>
                <w:szCs w:val="22"/>
              </w:rPr>
              <w:t>331.7</w:t>
            </w:r>
          </w:p>
        </w:tc>
        <w:tc>
          <w:tcPr>
            <w:tcW w:w="992" w:type="dxa"/>
            <w:gridSpan w:val="2"/>
            <w:tcBorders>
              <w:bottom w:val="single" w:sz="4" w:space="0" w:color="auto"/>
            </w:tcBorders>
            <w:vAlign w:val="bottom"/>
          </w:tcPr>
          <w:p>
            <w:pPr>
              <w:pStyle w:val="yTableNAm"/>
              <w:jc w:val="center"/>
            </w:pPr>
            <w:r>
              <w:rPr>
                <w:szCs w:val="22"/>
              </w:rPr>
              <w:t>458.9</w:t>
            </w:r>
          </w:p>
        </w:tc>
        <w:tc>
          <w:tcPr>
            <w:tcW w:w="1074" w:type="dxa"/>
            <w:gridSpan w:val="2"/>
            <w:tcBorders>
              <w:bottom w:val="single" w:sz="4" w:space="0" w:color="auto"/>
            </w:tcBorders>
            <w:vAlign w:val="bottom"/>
          </w:tcPr>
          <w:p>
            <w:pPr>
              <w:pStyle w:val="yTableNAm"/>
              <w:jc w:val="center"/>
            </w:pPr>
            <w:r>
              <w:rPr>
                <w:szCs w:val="22"/>
              </w:rPr>
              <w:t>634.7</w:t>
            </w:r>
          </w:p>
        </w:tc>
      </w:tr>
      <w:tr>
        <w:tblPrEx>
          <w:tblCellMar>
            <w:left w:w="108" w:type="dxa"/>
            <w:right w:w="108" w:type="dxa"/>
          </w:tblCellMar>
        </w:tblPrEx>
        <w:trPr>
          <w:gridAfter w:val="1"/>
          <w:wAfter w:w="80" w:type="dxa"/>
          <w:cantSplit/>
        </w:trPr>
        <w:tc>
          <w:tcPr>
            <w:tcW w:w="850" w:type="dxa"/>
          </w:tcPr>
          <w:p>
            <w:pPr>
              <w:pStyle w:val="zyTableNAm"/>
              <w:rPr>
                <w:rStyle w:val="CharSClsNo"/>
              </w:rPr>
            </w:pPr>
          </w:p>
        </w:tc>
        <w:tc>
          <w:tcPr>
            <w:tcW w:w="4237" w:type="dxa"/>
            <w:gridSpan w:val="5"/>
          </w:tcPr>
          <w:p>
            <w:pPr>
              <w:pStyle w:val="yTableNAm"/>
            </w:pPr>
            <w:r>
              <w:t>except that if the property is —</w:t>
            </w:r>
          </w:p>
        </w:tc>
        <w:tc>
          <w:tcPr>
            <w:tcW w:w="1292" w:type="dxa"/>
            <w:gridSpan w:val="2"/>
          </w:tcPr>
          <w:p>
            <w:pPr>
              <w:pStyle w:val="yTableNAm"/>
              <w:jc w:val="center"/>
            </w:pPr>
          </w:p>
        </w:tc>
      </w:tr>
      <w:tr>
        <w:tblPrEx>
          <w:tblCellMar>
            <w:left w:w="108" w:type="dxa"/>
            <w:right w:w="108" w:type="dxa"/>
          </w:tblCellMar>
        </w:tblPrEx>
        <w:trPr>
          <w:gridAfter w:val="1"/>
          <w:wAfter w:w="80" w:type="dxa"/>
          <w:cantSplit/>
        </w:trPr>
        <w:tc>
          <w:tcPr>
            <w:tcW w:w="850" w:type="dxa"/>
          </w:tcPr>
          <w:p>
            <w:pPr>
              <w:pStyle w:val="zyTableNAm"/>
              <w:rPr>
                <w:rStyle w:val="CharSClsNo"/>
                <w:b/>
                <w:bCs/>
              </w:rPr>
            </w:pPr>
          </w:p>
        </w:tc>
        <w:tc>
          <w:tcPr>
            <w:tcW w:w="4237" w:type="dxa"/>
            <w:gridSpan w:val="5"/>
          </w:tcPr>
          <w:p>
            <w:pPr>
              <w:pStyle w:val="yTableNAm"/>
              <w:tabs>
                <w:tab w:val="clear" w:pos="567"/>
                <w:tab w:val="left" w:pos="296"/>
                <w:tab w:val="left" w:pos="776"/>
                <w:tab w:val="left" w:leader="dot" w:pos="4876"/>
              </w:tabs>
              <w:ind w:left="776" w:hanging="776"/>
            </w:pPr>
            <w:r>
              <w:rPr>
                <w:snapToGrid w:val="0"/>
              </w:rPr>
              <w:tab/>
              <w:t>(a)</w:t>
            </w:r>
            <w:r>
              <w:rPr>
                <w:snapToGrid w:val="0"/>
              </w:rPr>
              <w:tab/>
              <w:t>in the town of Cue, Laverton, Leonora, Meekatharra, Menzies, Mt Magnet, Mullewa, Sandstone, Wiluna or Yalgoo; or</w:t>
            </w:r>
          </w:p>
        </w:tc>
        <w:tc>
          <w:tcPr>
            <w:tcW w:w="1292" w:type="dxa"/>
            <w:gridSpan w:val="2"/>
          </w:tcPr>
          <w:p>
            <w:pPr>
              <w:pStyle w:val="yTableNAm"/>
              <w:jc w:val="center"/>
            </w:pPr>
          </w:p>
        </w:tc>
      </w:tr>
      <w:tr>
        <w:tblPrEx>
          <w:tblCellMar>
            <w:left w:w="108" w:type="dxa"/>
            <w:right w:w="108" w:type="dxa"/>
          </w:tblCellMar>
        </w:tblPrEx>
        <w:trPr>
          <w:gridAfter w:val="1"/>
          <w:wAfter w:w="80" w:type="dxa"/>
          <w:cantSplit/>
        </w:trPr>
        <w:tc>
          <w:tcPr>
            <w:tcW w:w="850" w:type="dxa"/>
          </w:tcPr>
          <w:p>
            <w:pPr>
              <w:pStyle w:val="zyTableNAm"/>
              <w:rPr>
                <w:rStyle w:val="CharSClsNo"/>
              </w:rPr>
            </w:pPr>
          </w:p>
        </w:tc>
        <w:tc>
          <w:tcPr>
            <w:tcW w:w="4237" w:type="dxa"/>
            <w:gridSpan w:val="5"/>
          </w:tcPr>
          <w:p>
            <w:pPr>
              <w:pStyle w:val="yTableNAm"/>
              <w:tabs>
                <w:tab w:val="clear" w:pos="567"/>
                <w:tab w:val="left" w:pos="296"/>
                <w:tab w:val="left" w:pos="776"/>
                <w:tab w:val="left" w:leader="dot" w:pos="4876"/>
              </w:tabs>
              <w:ind w:left="776" w:hanging="776"/>
            </w:pPr>
            <w:r>
              <w:rPr>
                <w:snapToGrid w:val="0"/>
              </w:rPr>
              <w:tab/>
              <w:t>(b)</w:t>
            </w:r>
            <w:r>
              <w:rPr>
                <w:snapToGrid w:val="0"/>
              </w:rPr>
              <w:tab/>
              <w:t>north of 26ºS Latitude,</w:t>
            </w:r>
          </w:p>
        </w:tc>
        <w:tc>
          <w:tcPr>
            <w:tcW w:w="1292" w:type="dxa"/>
            <w:gridSpan w:val="2"/>
          </w:tcPr>
          <w:p>
            <w:pPr>
              <w:pStyle w:val="yTableNAm"/>
              <w:jc w:val="center"/>
            </w:pPr>
          </w:p>
        </w:tc>
      </w:tr>
      <w:tr>
        <w:tblPrEx>
          <w:tblCellMar>
            <w:left w:w="108" w:type="dxa"/>
            <w:right w:w="108" w:type="dxa"/>
          </w:tblCellMar>
        </w:tblPrEx>
        <w:trPr>
          <w:gridAfter w:val="1"/>
          <w:wAfter w:w="80" w:type="dxa"/>
          <w:cantSplit/>
        </w:trPr>
        <w:tc>
          <w:tcPr>
            <w:tcW w:w="850" w:type="dxa"/>
          </w:tcPr>
          <w:p>
            <w:pPr>
              <w:pStyle w:val="zyTableNAm"/>
              <w:rPr>
                <w:rStyle w:val="CharSClsNo"/>
              </w:rPr>
            </w:pPr>
          </w:p>
        </w:tc>
        <w:tc>
          <w:tcPr>
            <w:tcW w:w="4237" w:type="dxa"/>
            <w:gridSpan w:val="5"/>
          </w:tcPr>
          <w:p>
            <w:pPr>
              <w:pStyle w:val="yTableNAm"/>
              <w:rPr>
                <w:snapToGrid w:val="0"/>
              </w:rPr>
            </w:pPr>
            <w:r>
              <w:t>the charge for each kilolitre of water is —</w:t>
            </w:r>
          </w:p>
        </w:tc>
        <w:tc>
          <w:tcPr>
            <w:tcW w:w="1292" w:type="dxa"/>
            <w:gridSpan w:val="2"/>
          </w:tcPr>
          <w:p>
            <w:pPr>
              <w:pStyle w:val="yTableNAm"/>
              <w:jc w:val="center"/>
            </w:pPr>
          </w:p>
        </w:tc>
      </w:tr>
    </w:tbl>
    <w:p/>
    <w:tbl>
      <w:tblPr>
        <w:tblW w:w="0" w:type="auto"/>
        <w:tblInd w:w="454" w:type="dxa"/>
        <w:tblCellMar>
          <w:left w:w="28" w:type="dxa"/>
          <w:right w:w="28" w:type="dxa"/>
        </w:tblCellMar>
        <w:tblLook w:val="0000" w:firstRow="0" w:lastRow="0" w:firstColumn="0" w:lastColumn="0" w:noHBand="0" w:noVBand="0"/>
      </w:tblPr>
      <w:tblGrid>
        <w:gridCol w:w="1417"/>
        <w:gridCol w:w="992"/>
        <w:gridCol w:w="992"/>
        <w:gridCol w:w="992"/>
        <w:gridCol w:w="992"/>
        <w:gridCol w:w="1074"/>
      </w:tblGrid>
      <w:tr>
        <w:trPr>
          <w:cantSplit/>
        </w:trPr>
        <w:tc>
          <w:tcPr>
            <w:tcW w:w="1417" w:type="dxa"/>
            <w:tcBorders>
              <w:top w:val="single" w:sz="4" w:space="0" w:color="auto"/>
              <w:bottom w:val="single" w:sz="4" w:space="0" w:color="auto"/>
            </w:tcBorders>
          </w:tcPr>
          <w:p>
            <w:pPr>
              <w:pStyle w:val="yTableNAm"/>
            </w:pPr>
            <w:r>
              <w:rPr>
                <w:b/>
                <w:bCs/>
              </w:rPr>
              <w:br w:type="page"/>
              <w:t>Consumption (kL)</w:t>
            </w:r>
          </w:p>
        </w:tc>
        <w:tc>
          <w:tcPr>
            <w:tcW w:w="992" w:type="dxa"/>
            <w:tcBorders>
              <w:top w:val="single" w:sz="4" w:space="0" w:color="auto"/>
              <w:bottom w:val="single" w:sz="4" w:space="0" w:color="auto"/>
            </w:tcBorders>
          </w:tcPr>
          <w:p>
            <w:pPr>
              <w:pStyle w:val="yTableNAm"/>
              <w:jc w:val="center"/>
            </w:pPr>
            <w:r>
              <w:rPr>
                <w:b/>
                <w:bCs/>
              </w:rPr>
              <w:t>Class 1 (c/kL)</w:t>
            </w:r>
          </w:p>
        </w:tc>
        <w:tc>
          <w:tcPr>
            <w:tcW w:w="992" w:type="dxa"/>
            <w:tcBorders>
              <w:top w:val="single" w:sz="4" w:space="0" w:color="auto"/>
              <w:bottom w:val="single" w:sz="4" w:space="0" w:color="auto"/>
            </w:tcBorders>
          </w:tcPr>
          <w:p>
            <w:pPr>
              <w:pStyle w:val="yTableNAm"/>
              <w:jc w:val="center"/>
            </w:pPr>
            <w:r>
              <w:rPr>
                <w:b/>
                <w:bCs/>
              </w:rPr>
              <w:t>Class 2 (c/kL)</w:t>
            </w:r>
          </w:p>
        </w:tc>
        <w:tc>
          <w:tcPr>
            <w:tcW w:w="992" w:type="dxa"/>
            <w:tcBorders>
              <w:top w:val="single" w:sz="4" w:space="0" w:color="auto"/>
              <w:bottom w:val="single" w:sz="4" w:space="0" w:color="auto"/>
            </w:tcBorders>
          </w:tcPr>
          <w:p>
            <w:pPr>
              <w:pStyle w:val="yTableNAm"/>
              <w:jc w:val="center"/>
            </w:pPr>
            <w:r>
              <w:rPr>
                <w:b/>
                <w:bCs/>
              </w:rPr>
              <w:t>Class 3 (c/kL)</w:t>
            </w:r>
          </w:p>
        </w:tc>
        <w:tc>
          <w:tcPr>
            <w:tcW w:w="992" w:type="dxa"/>
            <w:tcBorders>
              <w:top w:val="single" w:sz="4" w:space="0" w:color="auto"/>
              <w:bottom w:val="single" w:sz="4" w:space="0" w:color="auto"/>
            </w:tcBorders>
          </w:tcPr>
          <w:p>
            <w:pPr>
              <w:pStyle w:val="yTableNAm"/>
              <w:jc w:val="center"/>
            </w:pPr>
            <w:r>
              <w:rPr>
                <w:b/>
                <w:bCs/>
              </w:rPr>
              <w:t>Class 4 (c/kL)</w:t>
            </w:r>
          </w:p>
        </w:tc>
        <w:tc>
          <w:tcPr>
            <w:tcW w:w="1074" w:type="dxa"/>
            <w:tcBorders>
              <w:top w:val="single" w:sz="4" w:space="0" w:color="auto"/>
              <w:bottom w:val="single" w:sz="4" w:space="0" w:color="auto"/>
            </w:tcBorders>
          </w:tcPr>
          <w:p>
            <w:pPr>
              <w:pStyle w:val="yTableNAm"/>
              <w:jc w:val="center"/>
            </w:pPr>
            <w:r>
              <w:rPr>
                <w:b/>
                <w:bCs/>
              </w:rPr>
              <w:t>Class 5 (c/kL)</w:t>
            </w:r>
          </w:p>
        </w:tc>
      </w:tr>
      <w:tr>
        <w:trPr>
          <w:cantSplit/>
        </w:trPr>
        <w:tc>
          <w:tcPr>
            <w:tcW w:w="1417" w:type="dxa"/>
          </w:tcPr>
          <w:p>
            <w:pPr>
              <w:pStyle w:val="yTableNAm"/>
            </w:pPr>
            <w:r>
              <w:t>Up to 150</w:t>
            </w:r>
          </w:p>
        </w:tc>
        <w:tc>
          <w:tcPr>
            <w:tcW w:w="992" w:type="dxa"/>
            <w:vAlign w:val="bottom"/>
          </w:tcPr>
          <w:p>
            <w:pPr>
              <w:pStyle w:val="yTableNAm"/>
              <w:jc w:val="center"/>
            </w:pPr>
            <w:r>
              <w:rPr>
                <w:szCs w:val="22"/>
              </w:rPr>
              <w:t>104.0</w:t>
            </w:r>
          </w:p>
        </w:tc>
        <w:tc>
          <w:tcPr>
            <w:tcW w:w="992" w:type="dxa"/>
            <w:vAlign w:val="bottom"/>
          </w:tcPr>
          <w:p>
            <w:pPr>
              <w:pStyle w:val="yTableNAm"/>
              <w:jc w:val="center"/>
            </w:pPr>
            <w:r>
              <w:rPr>
                <w:szCs w:val="22"/>
              </w:rPr>
              <w:t>133.6</w:t>
            </w:r>
          </w:p>
        </w:tc>
        <w:tc>
          <w:tcPr>
            <w:tcW w:w="992" w:type="dxa"/>
            <w:vAlign w:val="bottom"/>
          </w:tcPr>
          <w:p>
            <w:pPr>
              <w:pStyle w:val="yTableNAm"/>
              <w:jc w:val="center"/>
            </w:pPr>
            <w:r>
              <w:rPr>
                <w:szCs w:val="22"/>
              </w:rPr>
              <w:t>133.6</w:t>
            </w:r>
          </w:p>
        </w:tc>
        <w:tc>
          <w:tcPr>
            <w:tcW w:w="992" w:type="dxa"/>
            <w:vAlign w:val="bottom"/>
          </w:tcPr>
          <w:p>
            <w:pPr>
              <w:pStyle w:val="yTableNAm"/>
              <w:jc w:val="center"/>
            </w:pPr>
            <w:r>
              <w:rPr>
                <w:szCs w:val="22"/>
              </w:rPr>
              <w:t>133.6</w:t>
            </w:r>
          </w:p>
        </w:tc>
        <w:tc>
          <w:tcPr>
            <w:tcW w:w="1074" w:type="dxa"/>
            <w:vAlign w:val="bottom"/>
          </w:tcPr>
          <w:p>
            <w:pPr>
              <w:pStyle w:val="yTableNAm"/>
              <w:jc w:val="center"/>
            </w:pPr>
            <w:r>
              <w:rPr>
                <w:szCs w:val="22"/>
              </w:rPr>
              <w:t>133.6</w:t>
            </w:r>
          </w:p>
        </w:tc>
      </w:tr>
      <w:tr>
        <w:trPr>
          <w:cantSplit/>
        </w:trPr>
        <w:tc>
          <w:tcPr>
            <w:tcW w:w="1417" w:type="dxa"/>
          </w:tcPr>
          <w:p>
            <w:pPr>
              <w:pStyle w:val="yTableNAm"/>
            </w:pPr>
            <w:r>
              <w:t>Over 150 but not over 350</w:t>
            </w:r>
          </w:p>
        </w:tc>
        <w:tc>
          <w:tcPr>
            <w:tcW w:w="992" w:type="dxa"/>
            <w:vAlign w:val="bottom"/>
          </w:tcPr>
          <w:p>
            <w:pPr>
              <w:pStyle w:val="yTableNAm"/>
              <w:jc w:val="center"/>
            </w:pPr>
            <w:r>
              <w:rPr>
                <w:szCs w:val="22"/>
              </w:rPr>
              <w:t>104.0</w:t>
            </w:r>
          </w:p>
        </w:tc>
        <w:tc>
          <w:tcPr>
            <w:tcW w:w="992" w:type="dxa"/>
            <w:vAlign w:val="bottom"/>
          </w:tcPr>
          <w:p>
            <w:pPr>
              <w:pStyle w:val="yTableNAm"/>
              <w:jc w:val="center"/>
            </w:pPr>
            <w:r>
              <w:rPr>
                <w:szCs w:val="22"/>
              </w:rPr>
              <w:t>133.6</w:t>
            </w:r>
          </w:p>
        </w:tc>
        <w:tc>
          <w:tcPr>
            <w:tcW w:w="992" w:type="dxa"/>
            <w:vAlign w:val="bottom"/>
          </w:tcPr>
          <w:p>
            <w:pPr>
              <w:pStyle w:val="yTableNAm"/>
              <w:jc w:val="center"/>
            </w:pPr>
            <w:r>
              <w:rPr>
                <w:szCs w:val="22"/>
              </w:rPr>
              <w:t>133.6</w:t>
            </w:r>
          </w:p>
        </w:tc>
        <w:tc>
          <w:tcPr>
            <w:tcW w:w="992" w:type="dxa"/>
            <w:vAlign w:val="bottom"/>
          </w:tcPr>
          <w:p>
            <w:pPr>
              <w:pStyle w:val="yTableNAm"/>
              <w:jc w:val="center"/>
            </w:pPr>
            <w:r>
              <w:rPr>
                <w:szCs w:val="22"/>
              </w:rPr>
              <w:t>133.6</w:t>
            </w:r>
          </w:p>
        </w:tc>
        <w:tc>
          <w:tcPr>
            <w:tcW w:w="1074" w:type="dxa"/>
            <w:vAlign w:val="bottom"/>
          </w:tcPr>
          <w:p>
            <w:pPr>
              <w:pStyle w:val="yTableNAm"/>
              <w:jc w:val="center"/>
            </w:pPr>
            <w:r>
              <w:rPr>
                <w:szCs w:val="22"/>
              </w:rPr>
              <w:t>133.6</w:t>
            </w:r>
          </w:p>
        </w:tc>
      </w:tr>
      <w:tr>
        <w:trPr>
          <w:cantSplit/>
        </w:trPr>
        <w:tc>
          <w:tcPr>
            <w:tcW w:w="1417" w:type="dxa"/>
          </w:tcPr>
          <w:p>
            <w:pPr>
              <w:pStyle w:val="yTableNAm"/>
            </w:pPr>
            <w:r>
              <w:t>Over 350 but not over 500</w:t>
            </w:r>
          </w:p>
        </w:tc>
        <w:tc>
          <w:tcPr>
            <w:tcW w:w="992" w:type="dxa"/>
            <w:vAlign w:val="bottom"/>
          </w:tcPr>
          <w:p>
            <w:pPr>
              <w:pStyle w:val="yTableNAm"/>
              <w:jc w:val="center"/>
            </w:pPr>
            <w:r>
              <w:rPr>
                <w:szCs w:val="22"/>
              </w:rPr>
              <w:t>135.5</w:t>
            </w:r>
          </w:p>
        </w:tc>
        <w:tc>
          <w:tcPr>
            <w:tcW w:w="992" w:type="dxa"/>
            <w:vAlign w:val="bottom"/>
          </w:tcPr>
          <w:p>
            <w:pPr>
              <w:pStyle w:val="yTableNAm"/>
              <w:jc w:val="center"/>
            </w:pPr>
            <w:r>
              <w:rPr>
                <w:szCs w:val="22"/>
              </w:rPr>
              <w:t>174.7</w:t>
            </w:r>
          </w:p>
        </w:tc>
        <w:tc>
          <w:tcPr>
            <w:tcW w:w="992" w:type="dxa"/>
            <w:vAlign w:val="bottom"/>
          </w:tcPr>
          <w:p>
            <w:pPr>
              <w:pStyle w:val="yTableNAm"/>
              <w:jc w:val="center"/>
            </w:pPr>
            <w:r>
              <w:rPr>
                <w:szCs w:val="22"/>
              </w:rPr>
              <w:t>174.7</w:t>
            </w:r>
          </w:p>
        </w:tc>
        <w:tc>
          <w:tcPr>
            <w:tcW w:w="992" w:type="dxa"/>
            <w:vAlign w:val="bottom"/>
          </w:tcPr>
          <w:p>
            <w:pPr>
              <w:pStyle w:val="yTableNAm"/>
              <w:jc w:val="center"/>
            </w:pPr>
            <w:r>
              <w:rPr>
                <w:szCs w:val="22"/>
              </w:rPr>
              <w:t>174.7</w:t>
            </w:r>
          </w:p>
        </w:tc>
        <w:tc>
          <w:tcPr>
            <w:tcW w:w="1074" w:type="dxa"/>
            <w:vAlign w:val="bottom"/>
          </w:tcPr>
          <w:p>
            <w:pPr>
              <w:pStyle w:val="yTableNAm"/>
              <w:jc w:val="center"/>
            </w:pPr>
            <w:r>
              <w:rPr>
                <w:szCs w:val="22"/>
              </w:rPr>
              <w:t>174.7</w:t>
            </w:r>
          </w:p>
        </w:tc>
      </w:tr>
      <w:tr>
        <w:trPr>
          <w:cantSplit/>
        </w:trPr>
        <w:tc>
          <w:tcPr>
            <w:tcW w:w="1417" w:type="dxa"/>
          </w:tcPr>
          <w:p>
            <w:pPr>
              <w:pStyle w:val="yTableNAm"/>
            </w:pPr>
            <w:r>
              <w:t>Over 500 but not over 550</w:t>
            </w:r>
          </w:p>
        </w:tc>
        <w:tc>
          <w:tcPr>
            <w:tcW w:w="992" w:type="dxa"/>
            <w:vAlign w:val="bottom"/>
          </w:tcPr>
          <w:p>
            <w:pPr>
              <w:pStyle w:val="yTableNAm"/>
              <w:jc w:val="center"/>
            </w:pPr>
            <w:r>
              <w:rPr>
                <w:szCs w:val="22"/>
              </w:rPr>
              <w:t>147.6</w:t>
            </w:r>
          </w:p>
        </w:tc>
        <w:tc>
          <w:tcPr>
            <w:tcW w:w="992" w:type="dxa"/>
            <w:vAlign w:val="bottom"/>
          </w:tcPr>
          <w:p>
            <w:pPr>
              <w:pStyle w:val="yTableNAm"/>
              <w:jc w:val="center"/>
            </w:pPr>
            <w:r>
              <w:rPr>
                <w:szCs w:val="22"/>
              </w:rPr>
              <w:t>204.2</w:t>
            </w:r>
          </w:p>
        </w:tc>
        <w:tc>
          <w:tcPr>
            <w:tcW w:w="992" w:type="dxa"/>
            <w:vAlign w:val="bottom"/>
          </w:tcPr>
          <w:p>
            <w:pPr>
              <w:pStyle w:val="yTableNAm"/>
              <w:jc w:val="center"/>
            </w:pPr>
            <w:r>
              <w:rPr>
                <w:szCs w:val="22"/>
              </w:rPr>
              <w:t>260.2</w:t>
            </w:r>
          </w:p>
        </w:tc>
        <w:tc>
          <w:tcPr>
            <w:tcW w:w="992" w:type="dxa"/>
            <w:vAlign w:val="bottom"/>
          </w:tcPr>
          <w:p>
            <w:pPr>
              <w:pStyle w:val="yTableNAm"/>
              <w:jc w:val="center"/>
            </w:pPr>
            <w:r>
              <w:rPr>
                <w:szCs w:val="22"/>
              </w:rPr>
              <w:t>306.1</w:t>
            </w:r>
          </w:p>
        </w:tc>
        <w:tc>
          <w:tcPr>
            <w:tcW w:w="1074" w:type="dxa"/>
            <w:vAlign w:val="bottom"/>
          </w:tcPr>
          <w:p>
            <w:pPr>
              <w:pStyle w:val="yTableNAm"/>
              <w:jc w:val="center"/>
            </w:pPr>
            <w:r>
              <w:rPr>
                <w:szCs w:val="22"/>
              </w:rPr>
              <w:t>360.0</w:t>
            </w:r>
          </w:p>
        </w:tc>
      </w:tr>
      <w:tr>
        <w:trPr>
          <w:cantSplit/>
        </w:trPr>
        <w:tc>
          <w:tcPr>
            <w:tcW w:w="1417" w:type="dxa"/>
          </w:tcPr>
          <w:p>
            <w:pPr>
              <w:pStyle w:val="yTableNAm"/>
            </w:pPr>
            <w:r>
              <w:t>Over 550 but not over 650</w:t>
            </w:r>
          </w:p>
        </w:tc>
        <w:tc>
          <w:tcPr>
            <w:tcW w:w="992" w:type="dxa"/>
            <w:vAlign w:val="bottom"/>
          </w:tcPr>
          <w:p>
            <w:pPr>
              <w:pStyle w:val="yTableNAm"/>
              <w:jc w:val="center"/>
            </w:pPr>
            <w:r>
              <w:rPr>
                <w:szCs w:val="22"/>
              </w:rPr>
              <w:t>147.6</w:t>
            </w:r>
          </w:p>
        </w:tc>
        <w:tc>
          <w:tcPr>
            <w:tcW w:w="992" w:type="dxa"/>
            <w:vAlign w:val="bottom"/>
          </w:tcPr>
          <w:p>
            <w:pPr>
              <w:pStyle w:val="yTableNAm"/>
              <w:jc w:val="center"/>
            </w:pPr>
            <w:r>
              <w:rPr>
                <w:szCs w:val="22"/>
              </w:rPr>
              <w:t>204.2</w:t>
            </w:r>
          </w:p>
        </w:tc>
        <w:tc>
          <w:tcPr>
            <w:tcW w:w="992" w:type="dxa"/>
            <w:vAlign w:val="bottom"/>
          </w:tcPr>
          <w:p>
            <w:pPr>
              <w:pStyle w:val="yTableNAm"/>
              <w:jc w:val="center"/>
            </w:pPr>
            <w:r>
              <w:rPr>
                <w:szCs w:val="22"/>
              </w:rPr>
              <w:t>260.2</w:t>
            </w:r>
          </w:p>
        </w:tc>
        <w:tc>
          <w:tcPr>
            <w:tcW w:w="992" w:type="dxa"/>
            <w:vAlign w:val="bottom"/>
          </w:tcPr>
          <w:p>
            <w:pPr>
              <w:pStyle w:val="yTableNAm"/>
              <w:jc w:val="center"/>
            </w:pPr>
            <w:r>
              <w:rPr>
                <w:szCs w:val="22"/>
              </w:rPr>
              <w:t>306.1</w:t>
            </w:r>
          </w:p>
        </w:tc>
        <w:tc>
          <w:tcPr>
            <w:tcW w:w="1074" w:type="dxa"/>
            <w:vAlign w:val="bottom"/>
          </w:tcPr>
          <w:p>
            <w:pPr>
              <w:pStyle w:val="yTableNAm"/>
              <w:jc w:val="center"/>
            </w:pPr>
            <w:r>
              <w:rPr>
                <w:szCs w:val="22"/>
              </w:rPr>
              <w:t>360.0</w:t>
            </w:r>
          </w:p>
        </w:tc>
      </w:tr>
      <w:tr>
        <w:trPr>
          <w:cantSplit/>
        </w:trPr>
        <w:tc>
          <w:tcPr>
            <w:tcW w:w="1417" w:type="dxa"/>
          </w:tcPr>
          <w:p>
            <w:pPr>
              <w:pStyle w:val="yTableNAm"/>
            </w:pPr>
            <w:r>
              <w:t>Over 650 but not over 750</w:t>
            </w:r>
          </w:p>
        </w:tc>
        <w:tc>
          <w:tcPr>
            <w:tcW w:w="992" w:type="dxa"/>
            <w:vAlign w:val="bottom"/>
          </w:tcPr>
          <w:p>
            <w:pPr>
              <w:pStyle w:val="yTableNAm"/>
              <w:jc w:val="center"/>
            </w:pPr>
            <w:r>
              <w:rPr>
                <w:szCs w:val="22"/>
              </w:rPr>
              <w:t>147.6</w:t>
            </w:r>
          </w:p>
        </w:tc>
        <w:tc>
          <w:tcPr>
            <w:tcW w:w="992" w:type="dxa"/>
            <w:vAlign w:val="bottom"/>
          </w:tcPr>
          <w:p>
            <w:pPr>
              <w:pStyle w:val="yTableNAm"/>
              <w:jc w:val="center"/>
            </w:pPr>
            <w:r>
              <w:rPr>
                <w:szCs w:val="22"/>
              </w:rPr>
              <w:t>204.2</w:t>
            </w:r>
          </w:p>
        </w:tc>
        <w:tc>
          <w:tcPr>
            <w:tcW w:w="992" w:type="dxa"/>
            <w:vAlign w:val="bottom"/>
          </w:tcPr>
          <w:p>
            <w:pPr>
              <w:pStyle w:val="yTableNAm"/>
              <w:jc w:val="center"/>
            </w:pPr>
            <w:r>
              <w:rPr>
                <w:szCs w:val="22"/>
              </w:rPr>
              <w:t>260.2</w:t>
            </w:r>
          </w:p>
        </w:tc>
        <w:tc>
          <w:tcPr>
            <w:tcW w:w="992" w:type="dxa"/>
            <w:vAlign w:val="bottom"/>
          </w:tcPr>
          <w:p>
            <w:pPr>
              <w:pStyle w:val="yTableNAm"/>
              <w:jc w:val="center"/>
            </w:pPr>
            <w:r>
              <w:rPr>
                <w:szCs w:val="22"/>
              </w:rPr>
              <w:t>306.1</w:t>
            </w:r>
          </w:p>
        </w:tc>
        <w:tc>
          <w:tcPr>
            <w:tcW w:w="1074" w:type="dxa"/>
            <w:vAlign w:val="bottom"/>
          </w:tcPr>
          <w:p>
            <w:pPr>
              <w:pStyle w:val="yTableNAm"/>
              <w:jc w:val="center"/>
            </w:pPr>
            <w:r>
              <w:rPr>
                <w:szCs w:val="22"/>
              </w:rPr>
              <w:t>360.0</w:t>
            </w:r>
          </w:p>
        </w:tc>
      </w:tr>
      <w:tr>
        <w:trPr>
          <w:cantSplit/>
        </w:trPr>
        <w:tc>
          <w:tcPr>
            <w:tcW w:w="1417" w:type="dxa"/>
          </w:tcPr>
          <w:p>
            <w:pPr>
              <w:pStyle w:val="yTableNAm"/>
            </w:pPr>
            <w:r>
              <w:t>Over 750 but not over 950</w:t>
            </w:r>
          </w:p>
        </w:tc>
        <w:tc>
          <w:tcPr>
            <w:tcW w:w="992" w:type="dxa"/>
            <w:vAlign w:val="bottom"/>
          </w:tcPr>
          <w:p>
            <w:pPr>
              <w:pStyle w:val="yTableNAm"/>
              <w:jc w:val="center"/>
            </w:pPr>
            <w:r>
              <w:rPr>
                <w:szCs w:val="22"/>
              </w:rPr>
              <w:t>173.4</w:t>
            </w:r>
          </w:p>
        </w:tc>
        <w:tc>
          <w:tcPr>
            <w:tcW w:w="992" w:type="dxa"/>
            <w:vAlign w:val="bottom"/>
          </w:tcPr>
          <w:p>
            <w:pPr>
              <w:pStyle w:val="yTableNAm"/>
              <w:jc w:val="center"/>
            </w:pPr>
            <w:r>
              <w:rPr>
                <w:szCs w:val="22"/>
              </w:rPr>
              <w:t>239.8</w:t>
            </w:r>
          </w:p>
        </w:tc>
        <w:tc>
          <w:tcPr>
            <w:tcW w:w="992" w:type="dxa"/>
            <w:vAlign w:val="bottom"/>
          </w:tcPr>
          <w:p>
            <w:pPr>
              <w:pStyle w:val="yTableNAm"/>
              <w:jc w:val="center"/>
            </w:pPr>
            <w:r>
              <w:rPr>
                <w:szCs w:val="22"/>
              </w:rPr>
              <w:t>331.7</w:t>
            </w:r>
          </w:p>
        </w:tc>
        <w:tc>
          <w:tcPr>
            <w:tcW w:w="992" w:type="dxa"/>
            <w:vAlign w:val="bottom"/>
          </w:tcPr>
          <w:p>
            <w:pPr>
              <w:pStyle w:val="yTableNAm"/>
              <w:jc w:val="center"/>
            </w:pPr>
            <w:r>
              <w:rPr>
                <w:szCs w:val="22"/>
              </w:rPr>
              <w:t>458.9</w:t>
            </w:r>
          </w:p>
        </w:tc>
        <w:tc>
          <w:tcPr>
            <w:tcW w:w="1074" w:type="dxa"/>
            <w:vAlign w:val="bottom"/>
          </w:tcPr>
          <w:p>
            <w:pPr>
              <w:pStyle w:val="yTableNAm"/>
              <w:jc w:val="center"/>
            </w:pPr>
            <w:r>
              <w:rPr>
                <w:szCs w:val="22"/>
              </w:rPr>
              <w:t>634.7</w:t>
            </w:r>
          </w:p>
        </w:tc>
      </w:tr>
      <w:tr>
        <w:trPr>
          <w:cantSplit/>
        </w:trPr>
        <w:tc>
          <w:tcPr>
            <w:tcW w:w="1417" w:type="dxa"/>
          </w:tcPr>
          <w:p>
            <w:pPr>
              <w:pStyle w:val="yTableNAm"/>
            </w:pPr>
            <w:r>
              <w:t>Over 950 but not over 1 150</w:t>
            </w:r>
          </w:p>
        </w:tc>
        <w:tc>
          <w:tcPr>
            <w:tcW w:w="992" w:type="dxa"/>
            <w:vAlign w:val="bottom"/>
          </w:tcPr>
          <w:p>
            <w:pPr>
              <w:pStyle w:val="yTableNAm"/>
              <w:jc w:val="center"/>
            </w:pPr>
            <w:r>
              <w:rPr>
                <w:szCs w:val="22"/>
              </w:rPr>
              <w:t>173.4</w:t>
            </w:r>
          </w:p>
        </w:tc>
        <w:tc>
          <w:tcPr>
            <w:tcW w:w="992" w:type="dxa"/>
            <w:vAlign w:val="bottom"/>
          </w:tcPr>
          <w:p>
            <w:pPr>
              <w:pStyle w:val="yTableNAm"/>
              <w:jc w:val="center"/>
            </w:pPr>
            <w:r>
              <w:rPr>
                <w:szCs w:val="22"/>
              </w:rPr>
              <w:t>239.8</w:t>
            </w:r>
          </w:p>
        </w:tc>
        <w:tc>
          <w:tcPr>
            <w:tcW w:w="992" w:type="dxa"/>
            <w:vAlign w:val="bottom"/>
          </w:tcPr>
          <w:p>
            <w:pPr>
              <w:pStyle w:val="yTableNAm"/>
              <w:jc w:val="center"/>
            </w:pPr>
            <w:r>
              <w:rPr>
                <w:szCs w:val="22"/>
              </w:rPr>
              <w:t>331.7</w:t>
            </w:r>
          </w:p>
        </w:tc>
        <w:tc>
          <w:tcPr>
            <w:tcW w:w="992" w:type="dxa"/>
            <w:vAlign w:val="bottom"/>
          </w:tcPr>
          <w:p>
            <w:pPr>
              <w:pStyle w:val="yTableNAm"/>
              <w:jc w:val="center"/>
            </w:pPr>
            <w:r>
              <w:rPr>
                <w:szCs w:val="22"/>
              </w:rPr>
              <w:t>458.9</w:t>
            </w:r>
          </w:p>
        </w:tc>
        <w:tc>
          <w:tcPr>
            <w:tcW w:w="1074" w:type="dxa"/>
            <w:vAlign w:val="bottom"/>
          </w:tcPr>
          <w:p>
            <w:pPr>
              <w:pStyle w:val="yTableNAm"/>
              <w:jc w:val="center"/>
            </w:pPr>
            <w:r>
              <w:rPr>
                <w:szCs w:val="22"/>
              </w:rPr>
              <w:t>634.7</w:t>
            </w:r>
          </w:p>
        </w:tc>
      </w:tr>
      <w:tr>
        <w:trPr>
          <w:cantSplit/>
        </w:trPr>
        <w:tc>
          <w:tcPr>
            <w:tcW w:w="1417" w:type="dxa"/>
          </w:tcPr>
          <w:p>
            <w:pPr>
              <w:pStyle w:val="yTableNAm"/>
            </w:pPr>
            <w:r>
              <w:t>Over 1 150 but not over 1 550</w:t>
            </w:r>
          </w:p>
        </w:tc>
        <w:tc>
          <w:tcPr>
            <w:tcW w:w="992" w:type="dxa"/>
            <w:vAlign w:val="bottom"/>
          </w:tcPr>
          <w:p>
            <w:pPr>
              <w:pStyle w:val="yTableNAm"/>
              <w:jc w:val="center"/>
            </w:pPr>
            <w:r>
              <w:rPr>
                <w:szCs w:val="22"/>
              </w:rPr>
              <w:t>173.4</w:t>
            </w:r>
          </w:p>
        </w:tc>
        <w:tc>
          <w:tcPr>
            <w:tcW w:w="992" w:type="dxa"/>
            <w:vAlign w:val="bottom"/>
          </w:tcPr>
          <w:p>
            <w:pPr>
              <w:pStyle w:val="yTableNAm"/>
              <w:jc w:val="center"/>
            </w:pPr>
            <w:r>
              <w:rPr>
                <w:szCs w:val="22"/>
              </w:rPr>
              <w:t>239.8</w:t>
            </w:r>
          </w:p>
        </w:tc>
        <w:tc>
          <w:tcPr>
            <w:tcW w:w="992" w:type="dxa"/>
            <w:vAlign w:val="bottom"/>
          </w:tcPr>
          <w:p>
            <w:pPr>
              <w:pStyle w:val="yTableNAm"/>
              <w:jc w:val="center"/>
            </w:pPr>
            <w:r>
              <w:rPr>
                <w:szCs w:val="22"/>
              </w:rPr>
              <w:t>331.7</w:t>
            </w:r>
          </w:p>
        </w:tc>
        <w:tc>
          <w:tcPr>
            <w:tcW w:w="992" w:type="dxa"/>
            <w:vAlign w:val="bottom"/>
          </w:tcPr>
          <w:p>
            <w:pPr>
              <w:pStyle w:val="yTableNAm"/>
              <w:jc w:val="center"/>
            </w:pPr>
            <w:r>
              <w:rPr>
                <w:szCs w:val="22"/>
              </w:rPr>
              <w:t>458.9</w:t>
            </w:r>
          </w:p>
        </w:tc>
        <w:tc>
          <w:tcPr>
            <w:tcW w:w="1074" w:type="dxa"/>
            <w:vAlign w:val="bottom"/>
          </w:tcPr>
          <w:p>
            <w:pPr>
              <w:pStyle w:val="yTableNAm"/>
              <w:jc w:val="center"/>
            </w:pPr>
            <w:r>
              <w:rPr>
                <w:szCs w:val="22"/>
              </w:rPr>
              <w:t>634.7</w:t>
            </w:r>
          </w:p>
        </w:tc>
      </w:tr>
      <w:tr>
        <w:trPr>
          <w:cantSplit/>
        </w:trPr>
        <w:tc>
          <w:tcPr>
            <w:tcW w:w="1417" w:type="dxa"/>
          </w:tcPr>
          <w:p>
            <w:pPr>
              <w:pStyle w:val="yTableNAm"/>
            </w:pPr>
            <w:r>
              <w:t>Over 1 550 but not over 1 950</w:t>
            </w:r>
          </w:p>
        </w:tc>
        <w:tc>
          <w:tcPr>
            <w:tcW w:w="992" w:type="dxa"/>
            <w:vAlign w:val="bottom"/>
          </w:tcPr>
          <w:p>
            <w:pPr>
              <w:pStyle w:val="yTableNAm"/>
              <w:jc w:val="center"/>
            </w:pPr>
            <w:r>
              <w:rPr>
                <w:szCs w:val="22"/>
              </w:rPr>
              <w:t>173.4</w:t>
            </w:r>
          </w:p>
        </w:tc>
        <w:tc>
          <w:tcPr>
            <w:tcW w:w="992" w:type="dxa"/>
            <w:vAlign w:val="bottom"/>
          </w:tcPr>
          <w:p>
            <w:pPr>
              <w:pStyle w:val="yTableNAm"/>
              <w:jc w:val="center"/>
            </w:pPr>
            <w:r>
              <w:rPr>
                <w:szCs w:val="22"/>
              </w:rPr>
              <w:t>239.8</w:t>
            </w:r>
          </w:p>
        </w:tc>
        <w:tc>
          <w:tcPr>
            <w:tcW w:w="992" w:type="dxa"/>
            <w:vAlign w:val="bottom"/>
          </w:tcPr>
          <w:p>
            <w:pPr>
              <w:pStyle w:val="yTableNAm"/>
              <w:jc w:val="center"/>
            </w:pPr>
            <w:r>
              <w:rPr>
                <w:szCs w:val="22"/>
              </w:rPr>
              <w:t>331.7</w:t>
            </w:r>
          </w:p>
        </w:tc>
        <w:tc>
          <w:tcPr>
            <w:tcW w:w="992" w:type="dxa"/>
            <w:vAlign w:val="bottom"/>
          </w:tcPr>
          <w:p>
            <w:pPr>
              <w:pStyle w:val="yTableNAm"/>
              <w:jc w:val="center"/>
            </w:pPr>
            <w:r>
              <w:rPr>
                <w:szCs w:val="22"/>
              </w:rPr>
              <w:t>458.9</w:t>
            </w:r>
          </w:p>
        </w:tc>
        <w:tc>
          <w:tcPr>
            <w:tcW w:w="1074" w:type="dxa"/>
            <w:vAlign w:val="bottom"/>
          </w:tcPr>
          <w:p>
            <w:pPr>
              <w:pStyle w:val="yTableNAm"/>
              <w:jc w:val="center"/>
            </w:pPr>
            <w:r>
              <w:rPr>
                <w:szCs w:val="22"/>
              </w:rPr>
              <w:t>634.7</w:t>
            </w:r>
          </w:p>
        </w:tc>
      </w:tr>
      <w:tr>
        <w:trPr>
          <w:cantSplit/>
        </w:trPr>
        <w:tc>
          <w:tcPr>
            <w:tcW w:w="1417" w:type="dxa"/>
            <w:tcBorders>
              <w:bottom w:val="single" w:sz="4" w:space="0" w:color="auto"/>
            </w:tcBorders>
          </w:tcPr>
          <w:p>
            <w:pPr>
              <w:pStyle w:val="yTableNAm"/>
            </w:pPr>
            <w:r>
              <w:t>Over 1 950</w:t>
            </w:r>
          </w:p>
        </w:tc>
        <w:tc>
          <w:tcPr>
            <w:tcW w:w="992" w:type="dxa"/>
            <w:tcBorders>
              <w:bottom w:val="single" w:sz="4" w:space="0" w:color="auto"/>
            </w:tcBorders>
            <w:vAlign w:val="bottom"/>
          </w:tcPr>
          <w:p>
            <w:pPr>
              <w:pStyle w:val="yTableNAm"/>
              <w:jc w:val="center"/>
            </w:pPr>
            <w:r>
              <w:rPr>
                <w:szCs w:val="22"/>
              </w:rPr>
              <w:t>173.4</w:t>
            </w:r>
          </w:p>
        </w:tc>
        <w:tc>
          <w:tcPr>
            <w:tcW w:w="992" w:type="dxa"/>
            <w:tcBorders>
              <w:bottom w:val="single" w:sz="4" w:space="0" w:color="auto"/>
            </w:tcBorders>
            <w:vAlign w:val="bottom"/>
          </w:tcPr>
          <w:p>
            <w:pPr>
              <w:pStyle w:val="yTableNAm"/>
              <w:jc w:val="center"/>
            </w:pPr>
            <w:r>
              <w:rPr>
                <w:szCs w:val="22"/>
              </w:rPr>
              <w:t>239.8</w:t>
            </w:r>
          </w:p>
        </w:tc>
        <w:tc>
          <w:tcPr>
            <w:tcW w:w="992" w:type="dxa"/>
            <w:tcBorders>
              <w:bottom w:val="single" w:sz="4" w:space="0" w:color="auto"/>
            </w:tcBorders>
            <w:vAlign w:val="bottom"/>
          </w:tcPr>
          <w:p>
            <w:pPr>
              <w:pStyle w:val="yTableNAm"/>
              <w:jc w:val="center"/>
            </w:pPr>
            <w:r>
              <w:rPr>
                <w:szCs w:val="22"/>
              </w:rPr>
              <w:t>331.7</w:t>
            </w:r>
          </w:p>
        </w:tc>
        <w:tc>
          <w:tcPr>
            <w:tcW w:w="992" w:type="dxa"/>
            <w:tcBorders>
              <w:bottom w:val="single" w:sz="4" w:space="0" w:color="auto"/>
            </w:tcBorders>
            <w:vAlign w:val="bottom"/>
          </w:tcPr>
          <w:p>
            <w:pPr>
              <w:pStyle w:val="yTableNAm"/>
              <w:jc w:val="center"/>
            </w:pPr>
            <w:r>
              <w:rPr>
                <w:szCs w:val="22"/>
              </w:rPr>
              <w:t>458.9</w:t>
            </w:r>
          </w:p>
        </w:tc>
        <w:tc>
          <w:tcPr>
            <w:tcW w:w="1074" w:type="dxa"/>
            <w:tcBorders>
              <w:bottom w:val="single" w:sz="4" w:space="0" w:color="auto"/>
            </w:tcBorders>
            <w:vAlign w:val="bottom"/>
          </w:tcPr>
          <w:p>
            <w:pPr>
              <w:pStyle w:val="yTableNAm"/>
              <w:jc w:val="center"/>
            </w:pPr>
            <w:r>
              <w:rPr>
                <w:szCs w:val="22"/>
              </w:rPr>
              <w:t>634.7</w:t>
            </w:r>
          </w:p>
        </w:tc>
      </w:tr>
    </w:tbl>
    <w:p>
      <w:pPr>
        <w:pStyle w:val="yMiscellaneousBody"/>
      </w:pPr>
    </w:p>
    <w:tbl>
      <w:tblPr>
        <w:tblW w:w="0" w:type="auto"/>
        <w:tblInd w:w="534" w:type="dxa"/>
        <w:tblLook w:val="0000" w:firstRow="0" w:lastRow="0" w:firstColumn="0" w:lastColumn="0" w:noHBand="0" w:noVBand="0"/>
      </w:tblPr>
      <w:tblGrid>
        <w:gridCol w:w="850"/>
        <w:gridCol w:w="4237"/>
        <w:gridCol w:w="1292"/>
      </w:tblGrid>
      <w:tr>
        <w:trPr>
          <w:cantSplit/>
        </w:trPr>
        <w:tc>
          <w:tcPr>
            <w:tcW w:w="850" w:type="dxa"/>
          </w:tcPr>
          <w:p>
            <w:pPr>
              <w:pStyle w:val="yTableNAm"/>
            </w:pPr>
            <w:r>
              <w:rPr>
                <w:b/>
                <w:bCs/>
              </w:rPr>
              <w:t>23.</w:t>
            </w:r>
          </w:p>
        </w:tc>
        <w:tc>
          <w:tcPr>
            <w:tcW w:w="4237" w:type="dxa"/>
          </w:tcPr>
          <w:p>
            <w:pPr>
              <w:pStyle w:val="yTableNAm"/>
            </w:pPr>
            <w:r>
              <w:rPr>
                <w:b/>
                <w:bCs/>
              </w:rPr>
              <w:t>Community residential</w:t>
            </w:r>
          </w:p>
        </w:tc>
        <w:tc>
          <w:tcPr>
            <w:tcW w:w="1292" w:type="dxa"/>
            <w:vAlign w:val="bottom"/>
          </w:tcPr>
          <w:p>
            <w:pPr>
              <w:pStyle w:val="yTableNAm"/>
            </w:pPr>
          </w:p>
        </w:tc>
      </w:tr>
      <w:tr>
        <w:trPr>
          <w:cantSplit/>
        </w:trPr>
        <w:tc>
          <w:tcPr>
            <w:tcW w:w="850" w:type="dxa"/>
          </w:tcPr>
          <w:p>
            <w:pPr>
              <w:pStyle w:val="zyTableNAm"/>
            </w:pPr>
          </w:p>
        </w:tc>
        <w:tc>
          <w:tcPr>
            <w:tcW w:w="4237" w:type="dxa"/>
          </w:tcPr>
          <w:p>
            <w:pPr>
              <w:pStyle w:val="yTableNAm"/>
              <w:tabs>
                <w:tab w:val="clear" w:pos="567"/>
                <w:tab w:val="left" w:pos="176"/>
              </w:tabs>
              <w:ind w:left="656" w:hanging="656"/>
            </w:pPr>
            <w:r>
              <w:tab/>
              <w:t>(1)</w:t>
            </w:r>
            <w:r>
              <w:tab/>
              <w:t>For each kilolitre of water supplied to a discrete residential unit as determined under by</w:t>
            </w:r>
            <w:r>
              <w:noBreakHyphen/>
              <w:t>law 16 that is in the metropolitan area —</w:t>
            </w:r>
          </w:p>
        </w:tc>
        <w:tc>
          <w:tcPr>
            <w:tcW w:w="1292" w:type="dxa"/>
            <w:vAlign w:val="bottom"/>
          </w:tcPr>
          <w:p>
            <w:pPr>
              <w:pStyle w:val="yTableNAm"/>
            </w:pPr>
          </w:p>
        </w:tc>
      </w:tr>
      <w:tr>
        <w:trPr>
          <w:cantSplit/>
        </w:trPr>
        <w:tc>
          <w:tcPr>
            <w:tcW w:w="850" w:type="dxa"/>
          </w:tcPr>
          <w:p>
            <w:pPr>
              <w:pStyle w:val="zyTableNAm"/>
            </w:pPr>
          </w:p>
        </w:tc>
        <w:tc>
          <w:tcPr>
            <w:tcW w:w="4237" w:type="dxa"/>
          </w:tcPr>
          <w:p>
            <w:pPr>
              <w:pStyle w:val="yTableNAm"/>
              <w:tabs>
                <w:tab w:val="clear" w:pos="567"/>
                <w:tab w:val="left" w:pos="1016"/>
                <w:tab w:val="right" w:leader="dot" w:pos="4020"/>
              </w:tabs>
              <w:ind w:left="776" w:hanging="776"/>
            </w:pPr>
            <w:r>
              <w:rPr>
                <w:spacing w:val="-1"/>
              </w:rPr>
              <w:tab/>
              <w:t xml:space="preserve">up to 150 kL </w:t>
            </w:r>
            <w:r>
              <w:rPr>
                <w:spacing w:val="-1"/>
              </w:rPr>
              <w:tab/>
            </w:r>
          </w:p>
        </w:tc>
        <w:tc>
          <w:tcPr>
            <w:tcW w:w="1292" w:type="dxa"/>
            <w:vAlign w:val="bottom"/>
          </w:tcPr>
          <w:p>
            <w:pPr>
              <w:pStyle w:val="yTableNAm"/>
            </w:pPr>
            <w:r>
              <w:rPr>
                <w:szCs w:val="22"/>
              </w:rPr>
              <w:t>66.8 cents</w:t>
            </w:r>
          </w:p>
        </w:tc>
      </w:tr>
      <w:tr>
        <w:trPr>
          <w:cantSplit/>
        </w:trPr>
        <w:tc>
          <w:tcPr>
            <w:tcW w:w="850" w:type="dxa"/>
          </w:tcPr>
          <w:p>
            <w:pPr>
              <w:pStyle w:val="zyTableNAm"/>
            </w:pPr>
          </w:p>
        </w:tc>
        <w:tc>
          <w:tcPr>
            <w:tcW w:w="4237" w:type="dxa"/>
          </w:tcPr>
          <w:p>
            <w:pPr>
              <w:pStyle w:val="yTableNAm"/>
              <w:tabs>
                <w:tab w:val="clear" w:pos="567"/>
                <w:tab w:val="left" w:pos="1016"/>
                <w:tab w:val="right" w:leader="dot" w:pos="4020"/>
              </w:tabs>
              <w:ind w:left="776" w:hanging="776"/>
            </w:pPr>
            <w:r>
              <w:rPr>
                <w:spacing w:val="-1"/>
              </w:rPr>
              <w:tab/>
              <w:t xml:space="preserve">over 150 but not over 350 kL </w:t>
            </w:r>
            <w:r>
              <w:rPr>
                <w:spacing w:val="-1"/>
              </w:rPr>
              <w:tab/>
            </w:r>
          </w:p>
        </w:tc>
        <w:tc>
          <w:tcPr>
            <w:tcW w:w="1292" w:type="dxa"/>
            <w:vAlign w:val="bottom"/>
          </w:tcPr>
          <w:p>
            <w:pPr>
              <w:pStyle w:val="yTableNAm"/>
            </w:pPr>
            <w:r>
              <w:rPr>
                <w:szCs w:val="22"/>
              </w:rPr>
              <w:t>174.7 cents</w:t>
            </w:r>
          </w:p>
        </w:tc>
      </w:tr>
      <w:tr>
        <w:trPr>
          <w:cantSplit/>
        </w:trPr>
        <w:tc>
          <w:tcPr>
            <w:tcW w:w="850" w:type="dxa"/>
          </w:tcPr>
          <w:p>
            <w:pPr>
              <w:pStyle w:val="zyTableNAm"/>
            </w:pPr>
          </w:p>
        </w:tc>
        <w:tc>
          <w:tcPr>
            <w:tcW w:w="4237" w:type="dxa"/>
          </w:tcPr>
          <w:p>
            <w:pPr>
              <w:pStyle w:val="yTableNAm"/>
              <w:tabs>
                <w:tab w:val="clear" w:pos="567"/>
                <w:tab w:val="left" w:pos="1016"/>
                <w:tab w:val="right" w:leader="dot" w:pos="4020"/>
              </w:tabs>
              <w:ind w:left="776" w:hanging="776"/>
            </w:pPr>
            <w:r>
              <w:rPr>
                <w:spacing w:val="-1"/>
              </w:rPr>
              <w:tab/>
              <w:t xml:space="preserve">over 350 but not over 500 kL </w:t>
            </w:r>
            <w:r>
              <w:rPr>
                <w:spacing w:val="-1"/>
              </w:rPr>
              <w:tab/>
            </w:r>
          </w:p>
        </w:tc>
        <w:tc>
          <w:tcPr>
            <w:tcW w:w="1292" w:type="dxa"/>
            <w:vAlign w:val="bottom"/>
          </w:tcPr>
          <w:p>
            <w:pPr>
              <w:pStyle w:val="yTableNAm"/>
            </w:pPr>
            <w:r>
              <w:rPr>
                <w:szCs w:val="22"/>
              </w:rPr>
              <w:t>174.7 cents</w:t>
            </w:r>
          </w:p>
        </w:tc>
      </w:tr>
      <w:tr>
        <w:trPr>
          <w:cantSplit/>
        </w:trPr>
        <w:tc>
          <w:tcPr>
            <w:tcW w:w="850" w:type="dxa"/>
          </w:tcPr>
          <w:p>
            <w:pPr>
              <w:pStyle w:val="zyTableNAm"/>
            </w:pPr>
          </w:p>
        </w:tc>
        <w:tc>
          <w:tcPr>
            <w:tcW w:w="4237" w:type="dxa"/>
          </w:tcPr>
          <w:p>
            <w:pPr>
              <w:pStyle w:val="yTableNAm"/>
              <w:tabs>
                <w:tab w:val="clear" w:pos="567"/>
                <w:tab w:val="left" w:pos="1016"/>
                <w:tab w:val="right" w:leader="dot" w:pos="4020"/>
              </w:tabs>
              <w:ind w:left="776" w:hanging="776"/>
            </w:pPr>
            <w:r>
              <w:rPr>
                <w:spacing w:val="-1"/>
              </w:rPr>
              <w:tab/>
              <w:t xml:space="preserve">over 500 but not over 550 kL </w:t>
            </w:r>
            <w:r>
              <w:rPr>
                <w:spacing w:val="-1"/>
              </w:rPr>
              <w:tab/>
            </w:r>
          </w:p>
        </w:tc>
        <w:tc>
          <w:tcPr>
            <w:tcW w:w="1292" w:type="dxa"/>
            <w:vAlign w:val="bottom"/>
          </w:tcPr>
          <w:p>
            <w:pPr>
              <w:pStyle w:val="yTableNAm"/>
            </w:pPr>
            <w:r>
              <w:rPr>
                <w:szCs w:val="22"/>
              </w:rPr>
              <w:t>239.8 cents</w:t>
            </w:r>
          </w:p>
        </w:tc>
      </w:tr>
      <w:tr>
        <w:trPr>
          <w:cantSplit/>
        </w:trPr>
        <w:tc>
          <w:tcPr>
            <w:tcW w:w="850" w:type="dxa"/>
          </w:tcPr>
          <w:p>
            <w:pPr>
              <w:pStyle w:val="zyTableNAm"/>
            </w:pPr>
          </w:p>
        </w:tc>
        <w:tc>
          <w:tcPr>
            <w:tcW w:w="4237" w:type="dxa"/>
          </w:tcPr>
          <w:p>
            <w:pPr>
              <w:pStyle w:val="yTableNAm"/>
              <w:tabs>
                <w:tab w:val="clear" w:pos="567"/>
                <w:tab w:val="left" w:pos="1016"/>
                <w:tab w:val="right" w:leader="dot" w:pos="4020"/>
              </w:tabs>
              <w:ind w:left="776" w:hanging="776"/>
            </w:pPr>
            <w:r>
              <w:rPr>
                <w:spacing w:val="-1"/>
              </w:rPr>
              <w:tab/>
              <w:t xml:space="preserve">over 550 but not over 950 kL </w:t>
            </w:r>
            <w:r>
              <w:rPr>
                <w:spacing w:val="-1"/>
              </w:rPr>
              <w:tab/>
            </w:r>
          </w:p>
        </w:tc>
        <w:tc>
          <w:tcPr>
            <w:tcW w:w="1292" w:type="dxa"/>
            <w:vAlign w:val="bottom"/>
          </w:tcPr>
          <w:p>
            <w:pPr>
              <w:pStyle w:val="yTableNAm"/>
            </w:pPr>
            <w:r>
              <w:rPr>
                <w:szCs w:val="22"/>
              </w:rPr>
              <w:t>239.8 cents</w:t>
            </w:r>
          </w:p>
        </w:tc>
      </w:tr>
      <w:tr>
        <w:trPr>
          <w:cantSplit/>
        </w:trPr>
        <w:tc>
          <w:tcPr>
            <w:tcW w:w="850" w:type="dxa"/>
          </w:tcPr>
          <w:p>
            <w:pPr>
              <w:pStyle w:val="zyTableNAm"/>
            </w:pPr>
          </w:p>
        </w:tc>
        <w:tc>
          <w:tcPr>
            <w:tcW w:w="4237" w:type="dxa"/>
          </w:tcPr>
          <w:p>
            <w:pPr>
              <w:pStyle w:val="yTableNAm"/>
              <w:tabs>
                <w:tab w:val="clear" w:pos="567"/>
                <w:tab w:val="left" w:pos="1016"/>
                <w:tab w:val="right" w:leader="dot" w:pos="4020"/>
              </w:tabs>
              <w:ind w:left="776" w:hanging="776"/>
            </w:pPr>
            <w:r>
              <w:rPr>
                <w:spacing w:val="-1"/>
              </w:rPr>
              <w:tab/>
              <w:t xml:space="preserve">over 950 kL </w:t>
            </w:r>
            <w:r>
              <w:rPr>
                <w:spacing w:val="-1"/>
              </w:rPr>
              <w:tab/>
            </w:r>
          </w:p>
        </w:tc>
        <w:tc>
          <w:tcPr>
            <w:tcW w:w="1292" w:type="dxa"/>
            <w:vAlign w:val="bottom"/>
          </w:tcPr>
          <w:p>
            <w:pPr>
              <w:pStyle w:val="yTableNAm"/>
            </w:pPr>
            <w:r>
              <w:rPr>
                <w:szCs w:val="22"/>
              </w:rPr>
              <w:t>239.8 cents</w:t>
            </w:r>
          </w:p>
        </w:tc>
      </w:tr>
      <w:tr>
        <w:trPr>
          <w:cantSplit/>
        </w:trPr>
        <w:tc>
          <w:tcPr>
            <w:tcW w:w="850" w:type="dxa"/>
          </w:tcPr>
          <w:p>
            <w:pPr>
              <w:pStyle w:val="zyTableNAm"/>
            </w:pPr>
          </w:p>
        </w:tc>
        <w:tc>
          <w:tcPr>
            <w:tcW w:w="4237" w:type="dxa"/>
          </w:tcPr>
          <w:p>
            <w:pPr>
              <w:pStyle w:val="yTableNAm"/>
              <w:tabs>
                <w:tab w:val="clear" w:pos="567"/>
                <w:tab w:val="left" w:pos="176"/>
              </w:tabs>
              <w:ind w:left="656" w:hanging="656"/>
            </w:pPr>
            <w:r>
              <w:tab/>
              <w:t>(2)</w:t>
            </w:r>
            <w:r>
              <w:tab/>
              <w:t>For each kilolitre of water supplied to a discrete residential unit as determined under by</w:t>
            </w:r>
            <w:r>
              <w:noBreakHyphen/>
              <w:t>law 16 that is not in the metropolitan area, according to the residential classification of the town/area set out in Schedule 10 —</w:t>
            </w:r>
          </w:p>
        </w:tc>
        <w:tc>
          <w:tcPr>
            <w:tcW w:w="1292" w:type="dxa"/>
            <w:vAlign w:val="bottom"/>
          </w:tcPr>
          <w:p>
            <w:pPr>
              <w:pStyle w:val="yTableNAm"/>
            </w:pPr>
          </w:p>
        </w:tc>
      </w:tr>
    </w:tbl>
    <w:p>
      <w:pPr>
        <w:pStyle w:val="yMiscellaneousBody"/>
      </w:pPr>
    </w:p>
    <w:tbl>
      <w:tblPr>
        <w:tblW w:w="0" w:type="auto"/>
        <w:tblInd w:w="454" w:type="dxa"/>
        <w:tblCellMar>
          <w:left w:w="28" w:type="dxa"/>
          <w:right w:w="28" w:type="dxa"/>
        </w:tblCellMar>
        <w:tblLook w:val="0000" w:firstRow="0" w:lastRow="0" w:firstColumn="0" w:lastColumn="0" w:noHBand="0" w:noVBand="0"/>
      </w:tblPr>
      <w:tblGrid>
        <w:gridCol w:w="1417"/>
        <w:gridCol w:w="992"/>
        <w:gridCol w:w="992"/>
        <w:gridCol w:w="992"/>
        <w:gridCol w:w="992"/>
        <w:gridCol w:w="994"/>
      </w:tblGrid>
      <w:tr>
        <w:trPr>
          <w:cantSplit/>
          <w:tblHeader/>
        </w:trPr>
        <w:tc>
          <w:tcPr>
            <w:tcW w:w="1417" w:type="dxa"/>
            <w:tcBorders>
              <w:top w:val="single" w:sz="4" w:space="0" w:color="auto"/>
              <w:bottom w:val="single" w:sz="4" w:space="0" w:color="auto"/>
            </w:tcBorders>
          </w:tcPr>
          <w:p>
            <w:pPr>
              <w:pStyle w:val="yTableNAm"/>
            </w:pPr>
            <w:r>
              <w:rPr>
                <w:b/>
                <w:bCs/>
                <w:szCs w:val="22"/>
              </w:rPr>
              <w:br w:type="page"/>
              <w:t>Consumption (kL)</w:t>
            </w:r>
          </w:p>
        </w:tc>
        <w:tc>
          <w:tcPr>
            <w:tcW w:w="992" w:type="dxa"/>
            <w:tcBorders>
              <w:top w:val="single" w:sz="4" w:space="0" w:color="auto"/>
              <w:bottom w:val="single" w:sz="4" w:space="0" w:color="auto"/>
            </w:tcBorders>
          </w:tcPr>
          <w:p>
            <w:pPr>
              <w:pStyle w:val="yTableNAm"/>
              <w:jc w:val="center"/>
            </w:pPr>
            <w:r>
              <w:rPr>
                <w:b/>
                <w:bCs/>
                <w:szCs w:val="22"/>
              </w:rPr>
              <w:t>Class 1 (c/kL)</w:t>
            </w:r>
          </w:p>
        </w:tc>
        <w:tc>
          <w:tcPr>
            <w:tcW w:w="992" w:type="dxa"/>
            <w:tcBorders>
              <w:top w:val="single" w:sz="4" w:space="0" w:color="auto"/>
              <w:bottom w:val="single" w:sz="4" w:space="0" w:color="auto"/>
            </w:tcBorders>
          </w:tcPr>
          <w:p>
            <w:pPr>
              <w:pStyle w:val="yTableNAm"/>
              <w:jc w:val="center"/>
            </w:pPr>
            <w:r>
              <w:rPr>
                <w:b/>
                <w:bCs/>
                <w:szCs w:val="22"/>
              </w:rPr>
              <w:t>Class 2 (c/kL)</w:t>
            </w:r>
          </w:p>
        </w:tc>
        <w:tc>
          <w:tcPr>
            <w:tcW w:w="992" w:type="dxa"/>
            <w:tcBorders>
              <w:top w:val="single" w:sz="4" w:space="0" w:color="auto"/>
              <w:bottom w:val="single" w:sz="4" w:space="0" w:color="auto"/>
            </w:tcBorders>
          </w:tcPr>
          <w:p>
            <w:pPr>
              <w:pStyle w:val="yTableNAm"/>
              <w:jc w:val="center"/>
            </w:pPr>
            <w:r>
              <w:rPr>
                <w:b/>
                <w:bCs/>
                <w:szCs w:val="22"/>
              </w:rPr>
              <w:t>Class 3 (c/kL)</w:t>
            </w:r>
          </w:p>
        </w:tc>
        <w:tc>
          <w:tcPr>
            <w:tcW w:w="992" w:type="dxa"/>
            <w:tcBorders>
              <w:top w:val="single" w:sz="4" w:space="0" w:color="auto"/>
              <w:bottom w:val="single" w:sz="4" w:space="0" w:color="auto"/>
            </w:tcBorders>
          </w:tcPr>
          <w:p>
            <w:pPr>
              <w:pStyle w:val="yTableNAm"/>
              <w:jc w:val="center"/>
            </w:pPr>
            <w:r>
              <w:rPr>
                <w:b/>
                <w:bCs/>
                <w:szCs w:val="22"/>
              </w:rPr>
              <w:t>Class 4 (c/kL)</w:t>
            </w:r>
          </w:p>
        </w:tc>
        <w:tc>
          <w:tcPr>
            <w:tcW w:w="994" w:type="dxa"/>
            <w:tcBorders>
              <w:top w:val="single" w:sz="4" w:space="0" w:color="auto"/>
              <w:bottom w:val="single" w:sz="4" w:space="0" w:color="auto"/>
            </w:tcBorders>
          </w:tcPr>
          <w:p>
            <w:pPr>
              <w:pStyle w:val="yTableNAm"/>
              <w:jc w:val="center"/>
            </w:pPr>
            <w:r>
              <w:rPr>
                <w:b/>
                <w:bCs/>
                <w:szCs w:val="22"/>
              </w:rPr>
              <w:t>Class 5 (c/kL)</w:t>
            </w:r>
          </w:p>
        </w:tc>
      </w:tr>
      <w:tr>
        <w:trPr>
          <w:cantSplit/>
        </w:trPr>
        <w:tc>
          <w:tcPr>
            <w:tcW w:w="1417" w:type="dxa"/>
          </w:tcPr>
          <w:p>
            <w:pPr>
              <w:pStyle w:val="yTableNAm"/>
            </w:pPr>
            <w:r>
              <w:rPr>
                <w:szCs w:val="22"/>
              </w:rPr>
              <w:t>Up to 150</w:t>
            </w:r>
          </w:p>
        </w:tc>
        <w:tc>
          <w:tcPr>
            <w:tcW w:w="992" w:type="dxa"/>
            <w:vAlign w:val="bottom"/>
          </w:tcPr>
          <w:p>
            <w:pPr>
              <w:pStyle w:val="yTableNAm"/>
              <w:jc w:val="center"/>
            </w:pPr>
            <w:r>
              <w:rPr>
                <w:szCs w:val="22"/>
              </w:rPr>
              <w:t>52.0</w:t>
            </w:r>
          </w:p>
        </w:tc>
        <w:tc>
          <w:tcPr>
            <w:tcW w:w="992" w:type="dxa"/>
            <w:vAlign w:val="bottom"/>
          </w:tcPr>
          <w:p>
            <w:pPr>
              <w:pStyle w:val="yTableNAm"/>
              <w:jc w:val="center"/>
            </w:pPr>
            <w:r>
              <w:rPr>
                <w:szCs w:val="22"/>
              </w:rPr>
              <w:t>66.8</w:t>
            </w:r>
          </w:p>
        </w:tc>
        <w:tc>
          <w:tcPr>
            <w:tcW w:w="992" w:type="dxa"/>
            <w:vAlign w:val="bottom"/>
          </w:tcPr>
          <w:p>
            <w:pPr>
              <w:pStyle w:val="yTableNAm"/>
              <w:jc w:val="center"/>
            </w:pPr>
            <w:r>
              <w:rPr>
                <w:szCs w:val="22"/>
              </w:rPr>
              <w:t>66.8</w:t>
            </w:r>
          </w:p>
        </w:tc>
        <w:tc>
          <w:tcPr>
            <w:tcW w:w="992" w:type="dxa"/>
            <w:vAlign w:val="bottom"/>
          </w:tcPr>
          <w:p>
            <w:pPr>
              <w:pStyle w:val="yTableNAm"/>
              <w:jc w:val="center"/>
            </w:pPr>
            <w:r>
              <w:rPr>
                <w:szCs w:val="22"/>
              </w:rPr>
              <w:t>66.8</w:t>
            </w:r>
          </w:p>
        </w:tc>
        <w:tc>
          <w:tcPr>
            <w:tcW w:w="994" w:type="dxa"/>
            <w:vAlign w:val="bottom"/>
          </w:tcPr>
          <w:p>
            <w:pPr>
              <w:pStyle w:val="yTableNAm"/>
              <w:jc w:val="center"/>
            </w:pPr>
            <w:r>
              <w:rPr>
                <w:szCs w:val="22"/>
              </w:rPr>
              <w:t>66.8</w:t>
            </w:r>
          </w:p>
        </w:tc>
      </w:tr>
      <w:tr>
        <w:trPr>
          <w:cantSplit/>
        </w:trPr>
        <w:tc>
          <w:tcPr>
            <w:tcW w:w="1417" w:type="dxa"/>
          </w:tcPr>
          <w:p>
            <w:pPr>
              <w:pStyle w:val="yTableNAm"/>
            </w:pPr>
            <w:r>
              <w:rPr>
                <w:szCs w:val="22"/>
              </w:rPr>
              <w:t>Over 150 but not over 300</w:t>
            </w:r>
          </w:p>
        </w:tc>
        <w:tc>
          <w:tcPr>
            <w:tcW w:w="992" w:type="dxa"/>
            <w:vAlign w:val="bottom"/>
          </w:tcPr>
          <w:p>
            <w:pPr>
              <w:pStyle w:val="yTableNAm"/>
              <w:jc w:val="center"/>
            </w:pPr>
            <w:r>
              <w:rPr>
                <w:szCs w:val="22"/>
              </w:rPr>
              <w:t>67.8</w:t>
            </w:r>
          </w:p>
        </w:tc>
        <w:tc>
          <w:tcPr>
            <w:tcW w:w="992" w:type="dxa"/>
            <w:vAlign w:val="bottom"/>
          </w:tcPr>
          <w:p>
            <w:pPr>
              <w:pStyle w:val="yTableNAm"/>
              <w:jc w:val="center"/>
            </w:pPr>
            <w:r>
              <w:rPr>
                <w:szCs w:val="22"/>
              </w:rPr>
              <w:t>87.4</w:t>
            </w:r>
          </w:p>
        </w:tc>
        <w:tc>
          <w:tcPr>
            <w:tcW w:w="992" w:type="dxa"/>
            <w:vAlign w:val="bottom"/>
          </w:tcPr>
          <w:p>
            <w:pPr>
              <w:pStyle w:val="yTableNAm"/>
              <w:jc w:val="center"/>
            </w:pPr>
            <w:r>
              <w:rPr>
                <w:szCs w:val="22"/>
              </w:rPr>
              <w:t>87.4</w:t>
            </w:r>
          </w:p>
        </w:tc>
        <w:tc>
          <w:tcPr>
            <w:tcW w:w="992" w:type="dxa"/>
            <w:vAlign w:val="bottom"/>
          </w:tcPr>
          <w:p>
            <w:pPr>
              <w:pStyle w:val="yTableNAm"/>
              <w:jc w:val="center"/>
            </w:pPr>
            <w:r>
              <w:rPr>
                <w:szCs w:val="22"/>
              </w:rPr>
              <w:t>87.4</w:t>
            </w:r>
          </w:p>
        </w:tc>
        <w:tc>
          <w:tcPr>
            <w:tcW w:w="994" w:type="dxa"/>
            <w:vAlign w:val="bottom"/>
          </w:tcPr>
          <w:p>
            <w:pPr>
              <w:pStyle w:val="yTableNAm"/>
              <w:jc w:val="center"/>
            </w:pPr>
            <w:r>
              <w:rPr>
                <w:szCs w:val="22"/>
              </w:rPr>
              <w:t>87.4</w:t>
            </w:r>
          </w:p>
        </w:tc>
      </w:tr>
      <w:tr>
        <w:trPr>
          <w:cantSplit/>
        </w:trPr>
        <w:tc>
          <w:tcPr>
            <w:tcW w:w="1417" w:type="dxa"/>
          </w:tcPr>
          <w:p>
            <w:pPr>
              <w:pStyle w:val="yTableNAm"/>
            </w:pPr>
            <w:r>
              <w:rPr>
                <w:szCs w:val="22"/>
              </w:rPr>
              <w:t>Over 300 but not over 350</w:t>
            </w:r>
          </w:p>
        </w:tc>
        <w:tc>
          <w:tcPr>
            <w:tcW w:w="992" w:type="dxa"/>
            <w:vAlign w:val="bottom"/>
          </w:tcPr>
          <w:p>
            <w:pPr>
              <w:pStyle w:val="yTableNAm"/>
              <w:jc w:val="center"/>
            </w:pPr>
            <w:r>
              <w:rPr>
                <w:szCs w:val="22"/>
              </w:rPr>
              <w:t>73.8</w:t>
            </w:r>
          </w:p>
        </w:tc>
        <w:tc>
          <w:tcPr>
            <w:tcW w:w="992" w:type="dxa"/>
            <w:vAlign w:val="bottom"/>
          </w:tcPr>
          <w:p>
            <w:pPr>
              <w:pStyle w:val="yTableNAm"/>
              <w:jc w:val="center"/>
            </w:pPr>
            <w:r>
              <w:rPr>
                <w:szCs w:val="22"/>
              </w:rPr>
              <w:t>102.1</w:t>
            </w:r>
          </w:p>
        </w:tc>
        <w:tc>
          <w:tcPr>
            <w:tcW w:w="992" w:type="dxa"/>
            <w:vAlign w:val="bottom"/>
          </w:tcPr>
          <w:p>
            <w:pPr>
              <w:pStyle w:val="yTableNAm"/>
              <w:jc w:val="center"/>
            </w:pPr>
            <w:r>
              <w:rPr>
                <w:szCs w:val="22"/>
              </w:rPr>
              <w:t>130.1</w:t>
            </w:r>
          </w:p>
        </w:tc>
        <w:tc>
          <w:tcPr>
            <w:tcW w:w="992" w:type="dxa"/>
            <w:vAlign w:val="bottom"/>
          </w:tcPr>
          <w:p>
            <w:pPr>
              <w:pStyle w:val="yTableNAm"/>
              <w:jc w:val="center"/>
            </w:pPr>
            <w:r>
              <w:rPr>
                <w:szCs w:val="22"/>
              </w:rPr>
              <w:t>153.1</w:t>
            </w:r>
          </w:p>
        </w:tc>
        <w:tc>
          <w:tcPr>
            <w:tcW w:w="994" w:type="dxa"/>
            <w:vAlign w:val="bottom"/>
          </w:tcPr>
          <w:p>
            <w:pPr>
              <w:pStyle w:val="yTableNAm"/>
              <w:jc w:val="center"/>
            </w:pPr>
            <w:r>
              <w:rPr>
                <w:szCs w:val="22"/>
              </w:rPr>
              <w:t>180.0</w:t>
            </w:r>
          </w:p>
        </w:tc>
      </w:tr>
      <w:tr>
        <w:trPr>
          <w:cantSplit/>
        </w:trPr>
        <w:tc>
          <w:tcPr>
            <w:tcW w:w="1417" w:type="dxa"/>
          </w:tcPr>
          <w:p>
            <w:pPr>
              <w:pStyle w:val="yTableNAm"/>
            </w:pPr>
            <w:r>
              <w:rPr>
                <w:szCs w:val="22"/>
              </w:rPr>
              <w:t>Over 350 but not over 400</w:t>
            </w:r>
          </w:p>
        </w:tc>
        <w:tc>
          <w:tcPr>
            <w:tcW w:w="992" w:type="dxa"/>
            <w:vAlign w:val="bottom"/>
          </w:tcPr>
          <w:p>
            <w:pPr>
              <w:pStyle w:val="yTableNAm"/>
              <w:jc w:val="center"/>
            </w:pPr>
            <w:r>
              <w:rPr>
                <w:szCs w:val="22"/>
              </w:rPr>
              <w:t>73.8</w:t>
            </w:r>
          </w:p>
        </w:tc>
        <w:tc>
          <w:tcPr>
            <w:tcW w:w="992" w:type="dxa"/>
            <w:vAlign w:val="bottom"/>
          </w:tcPr>
          <w:p>
            <w:pPr>
              <w:pStyle w:val="yTableNAm"/>
              <w:jc w:val="center"/>
            </w:pPr>
            <w:r>
              <w:rPr>
                <w:szCs w:val="22"/>
              </w:rPr>
              <w:t>102.1</w:t>
            </w:r>
          </w:p>
        </w:tc>
        <w:tc>
          <w:tcPr>
            <w:tcW w:w="992" w:type="dxa"/>
            <w:vAlign w:val="bottom"/>
          </w:tcPr>
          <w:p>
            <w:pPr>
              <w:pStyle w:val="yTableNAm"/>
              <w:jc w:val="center"/>
            </w:pPr>
            <w:r>
              <w:rPr>
                <w:szCs w:val="22"/>
              </w:rPr>
              <w:t>130.1</w:t>
            </w:r>
          </w:p>
        </w:tc>
        <w:tc>
          <w:tcPr>
            <w:tcW w:w="992" w:type="dxa"/>
            <w:vAlign w:val="bottom"/>
          </w:tcPr>
          <w:p>
            <w:pPr>
              <w:pStyle w:val="yTableNAm"/>
              <w:jc w:val="center"/>
            </w:pPr>
            <w:r>
              <w:rPr>
                <w:szCs w:val="22"/>
              </w:rPr>
              <w:t>153.1</w:t>
            </w:r>
          </w:p>
        </w:tc>
        <w:tc>
          <w:tcPr>
            <w:tcW w:w="994" w:type="dxa"/>
            <w:vAlign w:val="bottom"/>
          </w:tcPr>
          <w:p>
            <w:pPr>
              <w:pStyle w:val="yTableNAm"/>
              <w:jc w:val="center"/>
            </w:pPr>
            <w:r>
              <w:rPr>
                <w:szCs w:val="22"/>
              </w:rPr>
              <w:t>180.0</w:t>
            </w:r>
          </w:p>
        </w:tc>
      </w:tr>
      <w:tr>
        <w:trPr>
          <w:cantSplit/>
        </w:trPr>
        <w:tc>
          <w:tcPr>
            <w:tcW w:w="1417" w:type="dxa"/>
          </w:tcPr>
          <w:p>
            <w:pPr>
              <w:pStyle w:val="yTableNAm"/>
            </w:pPr>
            <w:r>
              <w:rPr>
                <w:szCs w:val="22"/>
              </w:rPr>
              <w:t>Over 400 but not over 450</w:t>
            </w:r>
          </w:p>
        </w:tc>
        <w:tc>
          <w:tcPr>
            <w:tcW w:w="992" w:type="dxa"/>
            <w:vAlign w:val="bottom"/>
          </w:tcPr>
          <w:p>
            <w:pPr>
              <w:pStyle w:val="yTableNAm"/>
              <w:jc w:val="center"/>
            </w:pPr>
            <w:r>
              <w:rPr>
                <w:szCs w:val="22"/>
              </w:rPr>
              <w:t>147.6</w:t>
            </w:r>
          </w:p>
        </w:tc>
        <w:tc>
          <w:tcPr>
            <w:tcW w:w="992" w:type="dxa"/>
            <w:vAlign w:val="bottom"/>
          </w:tcPr>
          <w:p>
            <w:pPr>
              <w:pStyle w:val="yTableNAm"/>
              <w:jc w:val="center"/>
            </w:pPr>
            <w:r>
              <w:rPr>
                <w:szCs w:val="22"/>
              </w:rPr>
              <w:t>204.2</w:t>
            </w:r>
          </w:p>
        </w:tc>
        <w:tc>
          <w:tcPr>
            <w:tcW w:w="992" w:type="dxa"/>
            <w:vAlign w:val="bottom"/>
          </w:tcPr>
          <w:p>
            <w:pPr>
              <w:pStyle w:val="yTableNAm"/>
              <w:jc w:val="center"/>
            </w:pPr>
            <w:r>
              <w:rPr>
                <w:szCs w:val="22"/>
              </w:rPr>
              <w:t>260.2</w:t>
            </w:r>
          </w:p>
        </w:tc>
        <w:tc>
          <w:tcPr>
            <w:tcW w:w="992" w:type="dxa"/>
            <w:vAlign w:val="bottom"/>
          </w:tcPr>
          <w:p>
            <w:pPr>
              <w:pStyle w:val="yTableNAm"/>
              <w:jc w:val="center"/>
            </w:pPr>
            <w:r>
              <w:rPr>
                <w:szCs w:val="22"/>
              </w:rPr>
              <w:t>306.1</w:t>
            </w:r>
          </w:p>
        </w:tc>
        <w:tc>
          <w:tcPr>
            <w:tcW w:w="994" w:type="dxa"/>
            <w:vAlign w:val="bottom"/>
          </w:tcPr>
          <w:p>
            <w:pPr>
              <w:pStyle w:val="yTableNAm"/>
              <w:jc w:val="center"/>
            </w:pPr>
            <w:r>
              <w:rPr>
                <w:szCs w:val="22"/>
              </w:rPr>
              <w:t>360.0</w:t>
            </w:r>
          </w:p>
        </w:tc>
      </w:tr>
      <w:tr>
        <w:trPr>
          <w:cantSplit/>
        </w:trPr>
        <w:tc>
          <w:tcPr>
            <w:tcW w:w="1417" w:type="dxa"/>
          </w:tcPr>
          <w:p>
            <w:pPr>
              <w:pStyle w:val="yTableNAm"/>
            </w:pPr>
            <w:r>
              <w:rPr>
                <w:szCs w:val="22"/>
              </w:rPr>
              <w:t>Over 450 but not over 550</w:t>
            </w:r>
          </w:p>
        </w:tc>
        <w:tc>
          <w:tcPr>
            <w:tcW w:w="992" w:type="dxa"/>
            <w:vAlign w:val="bottom"/>
          </w:tcPr>
          <w:p>
            <w:pPr>
              <w:pStyle w:val="yTableNAm"/>
              <w:jc w:val="center"/>
            </w:pPr>
            <w:r>
              <w:rPr>
                <w:szCs w:val="22"/>
              </w:rPr>
              <w:t>147.6</w:t>
            </w:r>
          </w:p>
        </w:tc>
        <w:tc>
          <w:tcPr>
            <w:tcW w:w="992" w:type="dxa"/>
            <w:vAlign w:val="bottom"/>
          </w:tcPr>
          <w:p>
            <w:pPr>
              <w:pStyle w:val="yTableNAm"/>
              <w:jc w:val="center"/>
            </w:pPr>
            <w:r>
              <w:rPr>
                <w:szCs w:val="22"/>
              </w:rPr>
              <w:t>204.2</w:t>
            </w:r>
          </w:p>
        </w:tc>
        <w:tc>
          <w:tcPr>
            <w:tcW w:w="992" w:type="dxa"/>
            <w:vAlign w:val="bottom"/>
          </w:tcPr>
          <w:p>
            <w:pPr>
              <w:pStyle w:val="yTableNAm"/>
              <w:jc w:val="center"/>
            </w:pPr>
            <w:r>
              <w:rPr>
                <w:szCs w:val="22"/>
              </w:rPr>
              <w:t>260.2</w:t>
            </w:r>
          </w:p>
        </w:tc>
        <w:tc>
          <w:tcPr>
            <w:tcW w:w="992" w:type="dxa"/>
            <w:vAlign w:val="bottom"/>
          </w:tcPr>
          <w:p>
            <w:pPr>
              <w:pStyle w:val="yTableNAm"/>
              <w:jc w:val="center"/>
            </w:pPr>
            <w:r>
              <w:rPr>
                <w:szCs w:val="22"/>
              </w:rPr>
              <w:t>306.1</w:t>
            </w:r>
          </w:p>
        </w:tc>
        <w:tc>
          <w:tcPr>
            <w:tcW w:w="994" w:type="dxa"/>
            <w:vAlign w:val="bottom"/>
          </w:tcPr>
          <w:p>
            <w:pPr>
              <w:pStyle w:val="yTableNAm"/>
              <w:jc w:val="center"/>
            </w:pPr>
            <w:r>
              <w:rPr>
                <w:szCs w:val="22"/>
              </w:rPr>
              <w:t>360.0</w:t>
            </w:r>
          </w:p>
        </w:tc>
      </w:tr>
      <w:tr>
        <w:trPr>
          <w:cantSplit/>
        </w:trPr>
        <w:tc>
          <w:tcPr>
            <w:tcW w:w="1417" w:type="dxa"/>
          </w:tcPr>
          <w:p>
            <w:pPr>
              <w:pStyle w:val="yTableNAm"/>
            </w:pPr>
            <w:r>
              <w:rPr>
                <w:szCs w:val="22"/>
              </w:rPr>
              <w:t>Over 550 but not over 750</w:t>
            </w:r>
          </w:p>
        </w:tc>
        <w:tc>
          <w:tcPr>
            <w:tcW w:w="992" w:type="dxa"/>
            <w:vAlign w:val="bottom"/>
          </w:tcPr>
          <w:p>
            <w:pPr>
              <w:pStyle w:val="yTableNAm"/>
              <w:jc w:val="center"/>
            </w:pPr>
            <w:r>
              <w:rPr>
                <w:szCs w:val="22"/>
              </w:rPr>
              <w:t>173.4</w:t>
            </w:r>
          </w:p>
        </w:tc>
        <w:tc>
          <w:tcPr>
            <w:tcW w:w="992" w:type="dxa"/>
            <w:vAlign w:val="bottom"/>
          </w:tcPr>
          <w:p>
            <w:pPr>
              <w:pStyle w:val="yTableNAm"/>
              <w:jc w:val="center"/>
            </w:pPr>
            <w:r>
              <w:rPr>
                <w:szCs w:val="22"/>
              </w:rPr>
              <w:t>239.8</w:t>
            </w:r>
          </w:p>
        </w:tc>
        <w:tc>
          <w:tcPr>
            <w:tcW w:w="992" w:type="dxa"/>
            <w:vAlign w:val="bottom"/>
          </w:tcPr>
          <w:p>
            <w:pPr>
              <w:pStyle w:val="yTableNAm"/>
              <w:jc w:val="center"/>
            </w:pPr>
            <w:r>
              <w:rPr>
                <w:szCs w:val="22"/>
              </w:rPr>
              <w:t>331.7</w:t>
            </w:r>
          </w:p>
        </w:tc>
        <w:tc>
          <w:tcPr>
            <w:tcW w:w="992" w:type="dxa"/>
            <w:vAlign w:val="bottom"/>
          </w:tcPr>
          <w:p>
            <w:pPr>
              <w:pStyle w:val="yTableNAm"/>
              <w:jc w:val="center"/>
            </w:pPr>
            <w:r>
              <w:rPr>
                <w:szCs w:val="22"/>
              </w:rPr>
              <w:t>458.9</w:t>
            </w:r>
          </w:p>
        </w:tc>
        <w:tc>
          <w:tcPr>
            <w:tcW w:w="994" w:type="dxa"/>
            <w:vAlign w:val="bottom"/>
          </w:tcPr>
          <w:p>
            <w:pPr>
              <w:pStyle w:val="yTableNAm"/>
              <w:jc w:val="center"/>
            </w:pPr>
            <w:r>
              <w:rPr>
                <w:szCs w:val="22"/>
              </w:rPr>
              <w:t>634.7</w:t>
            </w:r>
          </w:p>
        </w:tc>
      </w:tr>
      <w:tr>
        <w:trPr>
          <w:cantSplit/>
        </w:trPr>
        <w:tc>
          <w:tcPr>
            <w:tcW w:w="1417" w:type="dxa"/>
          </w:tcPr>
          <w:p>
            <w:pPr>
              <w:pStyle w:val="yTableNAm"/>
            </w:pPr>
            <w:r>
              <w:rPr>
                <w:szCs w:val="22"/>
              </w:rPr>
              <w:t>Over 750 but not over 950</w:t>
            </w:r>
          </w:p>
        </w:tc>
        <w:tc>
          <w:tcPr>
            <w:tcW w:w="992" w:type="dxa"/>
            <w:vAlign w:val="bottom"/>
          </w:tcPr>
          <w:p>
            <w:pPr>
              <w:pStyle w:val="yTableNAm"/>
              <w:jc w:val="center"/>
            </w:pPr>
            <w:r>
              <w:rPr>
                <w:szCs w:val="22"/>
              </w:rPr>
              <w:t>173.4</w:t>
            </w:r>
          </w:p>
        </w:tc>
        <w:tc>
          <w:tcPr>
            <w:tcW w:w="992" w:type="dxa"/>
            <w:vAlign w:val="bottom"/>
          </w:tcPr>
          <w:p>
            <w:pPr>
              <w:pStyle w:val="yTableNAm"/>
              <w:jc w:val="center"/>
            </w:pPr>
            <w:r>
              <w:rPr>
                <w:szCs w:val="22"/>
              </w:rPr>
              <w:t>239.8</w:t>
            </w:r>
          </w:p>
        </w:tc>
        <w:tc>
          <w:tcPr>
            <w:tcW w:w="992" w:type="dxa"/>
            <w:vAlign w:val="bottom"/>
          </w:tcPr>
          <w:p>
            <w:pPr>
              <w:pStyle w:val="yTableNAm"/>
              <w:jc w:val="center"/>
            </w:pPr>
            <w:r>
              <w:rPr>
                <w:szCs w:val="22"/>
              </w:rPr>
              <w:t>331.7</w:t>
            </w:r>
          </w:p>
        </w:tc>
        <w:tc>
          <w:tcPr>
            <w:tcW w:w="992" w:type="dxa"/>
            <w:vAlign w:val="bottom"/>
          </w:tcPr>
          <w:p>
            <w:pPr>
              <w:pStyle w:val="yTableNAm"/>
              <w:jc w:val="center"/>
            </w:pPr>
            <w:r>
              <w:rPr>
                <w:szCs w:val="22"/>
              </w:rPr>
              <w:t>458.9</w:t>
            </w:r>
          </w:p>
        </w:tc>
        <w:tc>
          <w:tcPr>
            <w:tcW w:w="994" w:type="dxa"/>
            <w:vAlign w:val="bottom"/>
          </w:tcPr>
          <w:p>
            <w:pPr>
              <w:pStyle w:val="yTableNAm"/>
              <w:jc w:val="center"/>
            </w:pPr>
            <w:r>
              <w:rPr>
                <w:szCs w:val="22"/>
              </w:rPr>
              <w:t>634.7</w:t>
            </w:r>
          </w:p>
        </w:tc>
      </w:tr>
      <w:tr>
        <w:trPr>
          <w:cantSplit/>
        </w:trPr>
        <w:tc>
          <w:tcPr>
            <w:tcW w:w="1417" w:type="dxa"/>
          </w:tcPr>
          <w:p>
            <w:pPr>
              <w:pStyle w:val="yTableNAm"/>
            </w:pPr>
            <w:r>
              <w:rPr>
                <w:szCs w:val="22"/>
              </w:rPr>
              <w:t>Over 950 but not over 1 150</w:t>
            </w:r>
          </w:p>
        </w:tc>
        <w:tc>
          <w:tcPr>
            <w:tcW w:w="992" w:type="dxa"/>
            <w:vAlign w:val="bottom"/>
          </w:tcPr>
          <w:p>
            <w:pPr>
              <w:pStyle w:val="yTableNAm"/>
              <w:jc w:val="center"/>
            </w:pPr>
            <w:r>
              <w:rPr>
                <w:szCs w:val="22"/>
              </w:rPr>
              <w:t>173.4</w:t>
            </w:r>
          </w:p>
        </w:tc>
        <w:tc>
          <w:tcPr>
            <w:tcW w:w="992" w:type="dxa"/>
            <w:vAlign w:val="bottom"/>
          </w:tcPr>
          <w:p>
            <w:pPr>
              <w:pStyle w:val="yTableNAm"/>
              <w:jc w:val="center"/>
            </w:pPr>
            <w:r>
              <w:rPr>
                <w:szCs w:val="22"/>
              </w:rPr>
              <w:t>239.8</w:t>
            </w:r>
          </w:p>
        </w:tc>
        <w:tc>
          <w:tcPr>
            <w:tcW w:w="992" w:type="dxa"/>
            <w:vAlign w:val="bottom"/>
          </w:tcPr>
          <w:p>
            <w:pPr>
              <w:pStyle w:val="yTableNAm"/>
              <w:jc w:val="center"/>
            </w:pPr>
            <w:r>
              <w:rPr>
                <w:szCs w:val="22"/>
              </w:rPr>
              <w:t>331.7</w:t>
            </w:r>
          </w:p>
        </w:tc>
        <w:tc>
          <w:tcPr>
            <w:tcW w:w="992" w:type="dxa"/>
            <w:vAlign w:val="bottom"/>
          </w:tcPr>
          <w:p>
            <w:pPr>
              <w:pStyle w:val="yTableNAm"/>
              <w:jc w:val="center"/>
            </w:pPr>
            <w:r>
              <w:rPr>
                <w:szCs w:val="22"/>
              </w:rPr>
              <w:t>458.9</w:t>
            </w:r>
          </w:p>
        </w:tc>
        <w:tc>
          <w:tcPr>
            <w:tcW w:w="994" w:type="dxa"/>
            <w:vAlign w:val="bottom"/>
          </w:tcPr>
          <w:p>
            <w:pPr>
              <w:pStyle w:val="yTableNAm"/>
              <w:jc w:val="center"/>
            </w:pPr>
            <w:r>
              <w:rPr>
                <w:szCs w:val="22"/>
              </w:rPr>
              <w:t>634.7</w:t>
            </w:r>
          </w:p>
        </w:tc>
      </w:tr>
      <w:tr>
        <w:trPr>
          <w:cantSplit/>
        </w:trPr>
        <w:tc>
          <w:tcPr>
            <w:tcW w:w="1417" w:type="dxa"/>
          </w:tcPr>
          <w:p>
            <w:pPr>
              <w:pStyle w:val="yTableNAm"/>
            </w:pPr>
            <w:r>
              <w:rPr>
                <w:szCs w:val="22"/>
              </w:rPr>
              <w:t>Over 1 150 but not over 1 550</w:t>
            </w:r>
          </w:p>
        </w:tc>
        <w:tc>
          <w:tcPr>
            <w:tcW w:w="992" w:type="dxa"/>
            <w:vAlign w:val="bottom"/>
          </w:tcPr>
          <w:p>
            <w:pPr>
              <w:pStyle w:val="yTableNAm"/>
              <w:jc w:val="center"/>
            </w:pPr>
            <w:r>
              <w:rPr>
                <w:szCs w:val="22"/>
              </w:rPr>
              <w:t>173.4</w:t>
            </w:r>
          </w:p>
        </w:tc>
        <w:tc>
          <w:tcPr>
            <w:tcW w:w="992" w:type="dxa"/>
            <w:vAlign w:val="bottom"/>
          </w:tcPr>
          <w:p>
            <w:pPr>
              <w:pStyle w:val="yTableNAm"/>
              <w:jc w:val="center"/>
            </w:pPr>
            <w:r>
              <w:rPr>
                <w:szCs w:val="22"/>
              </w:rPr>
              <w:t>239.8</w:t>
            </w:r>
          </w:p>
        </w:tc>
        <w:tc>
          <w:tcPr>
            <w:tcW w:w="992" w:type="dxa"/>
            <w:vAlign w:val="bottom"/>
          </w:tcPr>
          <w:p>
            <w:pPr>
              <w:pStyle w:val="yTableNAm"/>
              <w:jc w:val="center"/>
            </w:pPr>
            <w:r>
              <w:rPr>
                <w:szCs w:val="22"/>
              </w:rPr>
              <w:t>331.7</w:t>
            </w:r>
          </w:p>
        </w:tc>
        <w:tc>
          <w:tcPr>
            <w:tcW w:w="992" w:type="dxa"/>
            <w:vAlign w:val="bottom"/>
          </w:tcPr>
          <w:p>
            <w:pPr>
              <w:pStyle w:val="yTableNAm"/>
              <w:jc w:val="center"/>
            </w:pPr>
            <w:r>
              <w:rPr>
                <w:szCs w:val="22"/>
              </w:rPr>
              <w:t>458.9</w:t>
            </w:r>
          </w:p>
        </w:tc>
        <w:tc>
          <w:tcPr>
            <w:tcW w:w="994" w:type="dxa"/>
            <w:vAlign w:val="bottom"/>
          </w:tcPr>
          <w:p>
            <w:pPr>
              <w:pStyle w:val="yTableNAm"/>
              <w:jc w:val="center"/>
            </w:pPr>
            <w:r>
              <w:rPr>
                <w:szCs w:val="22"/>
              </w:rPr>
              <w:t>634.7</w:t>
            </w:r>
          </w:p>
        </w:tc>
      </w:tr>
      <w:tr>
        <w:trPr>
          <w:cantSplit/>
        </w:trPr>
        <w:tc>
          <w:tcPr>
            <w:tcW w:w="1417" w:type="dxa"/>
          </w:tcPr>
          <w:p>
            <w:pPr>
              <w:pStyle w:val="yTableNAm"/>
            </w:pPr>
            <w:r>
              <w:rPr>
                <w:szCs w:val="22"/>
              </w:rPr>
              <w:t>Over 1 550 but not over 1 950</w:t>
            </w:r>
          </w:p>
        </w:tc>
        <w:tc>
          <w:tcPr>
            <w:tcW w:w="992" w:type="dxa"/>
            <w:vAlign w:val="bottom"/>
          </w:tcPr>
          <w:p>
            <w:pPr>
              <w:pStyle w:val="yTableNAm"/>
              <w:jc w:val="center"/>
            </w:pPr>
            <w:r>
              <w:rPr>
                <w:szCs w:val="22"/>
              </w:rPr>
              <w:t>173.4</w:t>
            </w:r>
          </w:p>
        </w:tc>
        <w:tc>
          <w:tcPr>
            <w:tcW w:w="992" w:type="dxa"/>
            <w:vAlign w:val="bottom"/>
          </w:tcPr>
          <w:p>
            <w:pPr>
              <w:pStyle w:val="yTableNAm"/>
              <w:jc w:val="center"/>
            </w:pPr>
            <w:r>
              <w:rPr>
                <w:szCs w:val="22"/>
              </w:rPr>
              <w:t>239.8</w:t>
            </w:r>
          </w:p>
        </w:tc>
        <w:tc>
          <w:tcPr>
            <w:tcW w:w="992" w:type="dxa"/>
            <w:vAlign w:val="bottom"/>
          </w:tcPr>
          <w:p>
            <w:pPr>
              <w:pStyle w:val="yTableNAm"/>
              <w:jc w:val="center"/>
            </w:pPr>
            <w:r>
              <w:rPr>
                <w:szCs w:val="22"/>
              </w:rPr>
              <w:t>331.7</w:t>
            </w:r>
          </w:p>
        </w:tc>
        <w:tc>
          <w:tcPr>
            <w:tcW w:w="992" w:type="dxa"/>
            <w:vAlign w:val="bottom"/>
          </w:tcPr>
          <w:p>
            <w:pPr>
              <w:pStyle w:val="yTableNAm"/>
              <w:jc w:val="center"/>
            </w:pPr>
            <w:r>
              <w:rPr>
                <w:szCs w:val="22"/>
              </w:rPr>
              <w:t>458.9</w:t>
            </w:r>
          </w:p>
        </w:tc>
        <w:tc>
          <w:tcPr>
            <w:tcW w:w="994" w:type="dxa"/>
            <w:vAlign w:val="bottom"/>
          </w:tcPr>
          <w:p>
            <w:pPr>
              <w:pStyle w:val="yTableNAm"/>
              <w:jc w:val="center"/>
            </w:pPr>
            <w:r>
              <w:rPr>
                <w:szCs w:val="22"/>
              </w:rPr>
              <w:t>634.7</w:t>
            </w:r>
          </w:p>
        </w:tc>
      </w:tr>
      <w:tr>
        <w:trPr>
          <w:cantSplit/>
        </w:trPr>
        <w:tc>
          <w:tcPr>
            <w:tcW w:w="1417" w:type="dxa"/>
            <w:tcBorders>
              <w:bottom w:val="single" w:sz="4" w:space="0" w:color="auto"/>
            </w:tcBorders>
          </w:tcPr>
          <w:p>
            <w:pPr>
              <w:pStyle w:val="yTableNAm"/>
            </w:pPr>
            <w:r>
              <w:rPr>
                <w:szCs w:val="22"/>
              </w:rPr>
              <w:t>Over 1 950</w:t>
            </w:r>
          </w:p>
        </w:tc>
        <w:tc>
          <w:tcPr>
            <w:tcW w:w="992" w:type="dxa"/>
            <w:tcBorders>
              <w:bottom w:val="single" w:sz="4" w:space="0" w:color="auto"/>
            </w:tcBorders>
            <w:vAlign w:val="bottom"/>
          </w:tcPr>
          <w:p>
            <w:pPr>
              <w:pStyle w:val="yTableNAm"/>
              <w:jc w:val="center"/>
            </w:pPr>
            <w:r>
              <w:rPr>
                <w:szCs w:val="22"/>
              </w:rPr>
              <w:t>173.4</w:t>
            </w:r>
          </w:p>
        </w:tc>
        <w:tc>
          <w:tcPr>
            <w:tcW w:w="992" w:type="dxa"/>
            <w:tcBorders>
              <w:bottom w:val="single" w:sz="4" w:space="0" w:color="auto"/>
            </w:tcBorders>
            <w:vAlign w:val="bottom"/>
          </w:tcPr>
          <w:p>
            <w:pPr>
              <w:pStyle w:val="yTableNAm"/>
              <w:jc w:val="center"/>
            </w:pPr>
            <w:r>
              <w:rPr>
                <w:szCs w:val="22"/>
              </w:rPr>
              <w:t>239.8</w:t>
            </w:r>
          </w:p>
        </w:tc>
        <w:tc>
          <w:tcPr>
            <w:tcW w:w="992" w:type="dxa"/>
            <w:tcBorders>
              <w:bottom w:val="single" w:sz="4" w:space="0" w:color="auto"/>
            </w:tcBorders>
            <w:vAlign w:val="bottom"/>
          </w:tcPr>
          <w:p>
            <w:pPr>
              <w:pStyle w:val="yTableNAm"/>
              <w:jc w:val="center"/>
            </w:pPr>
            <w:r>
              <w:rPr>
                <w:szCs w:val="22"/>
              </w:rPr>
              <w:t>331.7</w:t>
            </w:r>
          </w:p>
        </w:tc>
        <w:tc>
          <w:tcPr>
            <w:tcW w:w="992" w:type="dxa"/>
            <w:tcBorders>
              <w:bottom w:val="single" w:sz="4" w:space="0" w:color="auto"/>
            </w:tcBorders>
            <w:vAlign w:val="bottom"/>
          </w:tcPr>
          <w:p>
            <w:pPr>
              <w:pStyle w:val="yTableNAm"/>
              <w:jc w:val="center"/>
            </w:pPr>
            <w:r>
              <w:rPr>
                <w:szCs w:val="22"/>
              </w:rPr>
              <w:t>458.9</w:t>
            </w:r>
          </w:p>
        </w:tc>
        <w:tc>
          <w:tcPr>
            <w:tcW w:w="994" w:type="dxa"/>
            <w:tcBorders>
              <w:bottom w:val="single" w:sz="4" w:space="0" w:color="auto"/>
            </w:tcBorders>
            <w:vAlign w:val="bottom"/>
          </w:tcPr>
          <w:p>
            <w:pPr>
              <w:pStyle w:val="yTableNAm"/>
              <w:jc w:val="center"/>
            </w:pPr>
            <w:r>
              <w:rPr>
                <w:szCs w:val="22"/>
              </w:rPr>
              <w:t>634.7</w:t>
            </w:r>
          </w:p>
        </w:tc>
      </w:tr>
    </w:tbl>
    <w:p>
      <w:pPr>
        <w:pStyle w:val="yMiscellaneousBody"/>
      </w:pPr>
    </w:p>
    <w:tbl>
      <w:tblPr>
        <w:tblW w:w="0" w:type="auto"/>
        <w:tblInd w:w="534" w:type="dxa"/>
        <w:tblLook w:val="0000" w:firstRow="0" w:lastRow="0" w:firstColumn="0" w:lastColumn="0" w:noHBand="0" w:noVBand="0"/>
      </w:tblPr>
      <w:tblGrid>
        <w:gridCol w:w="850"/>
        <w:gridCol w:w="4237"/>
        <w:gridCol w:w="1292"/>
      </w:tblGrid>
      <w:tr>
        <w:trPr>
          <w:cantSplit/>
        </w:trPr>
        <w:tc>
          <w:tcPr>
            <w:tcW w:w="850" w:type="dxa"/>
          </w:tcPr>
          <w:p>
            <w:pPr>
              <w:pStyle w:val="zyTableNAm"/>
              <w:rPr>
                <w:rStyle w:val="CharSClsNo"/>
              </w:rPr>
            </w:pPr>
          </w:p>
        </w:tc>
        <w:tc>
          <w:tcPr>
            <w:tcW w:w="4237" w:type="dxa"/>
          </w:tcPr>
          <w:p>
            <w:pPr>
              <w:pStyle w:val="yTableNAm"/>
            </w:pPr>
            <w:r>
              <w:t>except that if the property is —</w:t>
            </w:r>
          </w:p>
        </w:tc>
        <w:tc>
          <w:tcPr>
            <w:tcW w:w="1292" w:type="dxa"/>
          </w:tcPr>
          <w:p>
            <w:pPr>
              <w:pStyle w:val="yTableNAm"/>
            </w:pPr>
          </w:p>
        </w:tc>
      </w:tr>
      <w:tr>
        <w:trPr>
          <w:cantSplit/>
        </w:trPr>
        <w:tc>
          <w:tcPr>
            <w:tcW w:w="850" w:type="dxa"/>
          </w:tcPr>
          <w:p>
            <w:pPr>
              <w:pStyle w:val="zyTableNAm"/>
              <w:rPr>
                <w:rStyle w:val="CharSClsNo"/>
                <w:b/>
                <w:bCs/>
              </w:rPr>
            </w:pPr>
          </w:p>
        </w:tc>
        <w:tc>
          <w:tcPr>
            <w:tcW w:w="4237" w:type="dxa"/>
          </w:tcPr>
          <w:p>
            <w:pPr>
              <w:pStyle w:val="yTableNAm"/>
              <w:tabs>
                <w:tab w:val="clear" w:pos="567"/>
                <w:tab w:val="left" w:pos="176"/>
              </w:tabs>
              <w:ind w:left="656" w:hanging="656"/>
            </w:pPr>
            <w:r>
              <w:rPr>
                <w:snapToGrid w:val="0"/>
              </w:rPr>
              <w:tab/>
              <w:t>(a)</w:t>
            </w:r>
            <w:r>
              <w:rPr>
                <w:snapToGrid w:val="0"/>
              </w:rPr>
              <w:tab/>
              <w:t>in the town of Cue, Laverton, Leonora, Meekatharra, Menzies, Mt Magnet, Mullewa, Sandstone, Wiluna or Yalgoo; or</w:t>
            </w:r>
          </w:p>
        </w:tc>
        <w:tc>
          <w:tcPr>
            <w:tcW w:w="1292" w:type="dxa"/>
          </w:tcPr>
          <w:p>
            <w:pPr>
              <w:pStyle w:val="yTableNAm"/>
            </w:pPr>
          </w:p>
        </w:tc>
      </w:tr>
      <w:tr>
        <w:trPr>
          <w:cantSplit/>
        </w:trPr>
        <w:tc>
          <w:tcPr>
            <w:tcW w:w="850" w:type="dxa"/>
          </w:tcPr>
          <w:p>
            <w:pPr>
              <w:pStyle w:val="zyTableNAm"/>
              <w:rPr>
                <w:rStyle w:val="CharSClsNo"/>
              </w:rPr>
            </w:pPr>
          </w:p>
        </w:tc>
        <w:tc>
          <w:tcPr>
            <w:tcW w:w="4237" w:type="dxa"/>
          </w:tcPr>
          <w:p>
            <w:pPr>
              <w:pStyle w:val="yTableNAm"/>
              <w:tabs>
                <w:tab w:val="clear" w:pos="567"/>
                <w:tab w:val="left" w:pos="176"/>
              </w:tabs>
              <w:ind w:left="656" w:hanging="656"/>
            </w:pPr>
            <w:r>
              <w:rPr>
                <w:snapToGrid w:val="0"/>
              </w:rPr>
              <w:tab/>
              <w:t>(b)</w:t>
            </w:r>
            <w:r>
              <w:rPr>
                <w:snapToGrid w:val="0"/>
              </w:rPr>
              <w:tab/>
              <w:t>north of 26ºS Latitude,</w:t>
            </w:r>
          </w:p>
        </w:tc>
        <w:tc>
          <w:tcPr>
            <w:tcW w:w="1292" w:type="dxa"/>
          </w:tcPr>
          <w:p>
            <w:pPr>
              <w:pStyle w:val="yTableNAm"/>
            </w:pPr>
          </w:p>
        </w:tc>
      </w:tr>
      <w:tr>
        <w:trPr>
          <w:cantSplit/>
        </w:trPr>
        <w:tc>
          <w:tcPr>
            <w:tcW w:w="850" w:type="dxa"/>
          </w:tcPr>
          <w:p>
            <w:pPr>
              <w:pStyle w:val="zyTableNAm"/>
              <w:rPr>
                <w:rStyle w:val="CharSClsNo"/>
              </w:rPr>
            </w:pPr>
          </w:p>
        </w:tc>
        <w:tc>
          <w:tcPr>
            <w:tcW w:w="4237" w:type="dxa"/>
          </w:tcPr>
          <w:p>
            <w:pPr>
              <w:pStyle w:val="yTableNAm"/>
              <w:rPr>
                <w:snapToGrid w:val="0"/>
              </w:rPr>
            </w:pPr>
            <w:r>
              <w:t>the charge for each kilolitre of water is —</w:t>
            </w:r>
          </w:p>
        </w:tc>
        <w:tc>
          <w:tcPr>
            <w:tcW w:w="1292" w:type="dxa"/>
          </w:tcPr>
          <w:p>
            <w:pPr>
              <w:pStyle w:val="yTableNAm"/>
            </w:pPr>
          </w:p>
        </w:tc>
      </w:tr>
    </w:tbl>
    <w:p>
      <w:pPr>
        <w:pStyle w:val="yMiscellaneousBody"/>
      </w:pPr>
    </w:p>
    <w:tbl>
      <w:tblPr>
        <w:tblW w:w="0" w:type="auto"/>
        <w:tblInd w:w="454" w:type="dxa"/>
        <w:tblCellMar>
          <w:left w:w="28" w:type="dxa"/>
          <w:right w:w="28" w:type="dxa"/>
        </w:tblCellMar>
        <w:tblLook w:val="0000" w:firstRow="0" w:lastRow="0" w:firstColumn="0" w:lastColumn="0" w:noHBand="0" w:noVBand="0"/>
      </w:tblPr>
      <w:tblGrid>
        <w:gridCol w:w="1417"/>
        <w:gridCol w:w="992"/>
        <w:gridCol w:w="992"/>
        <w:gridCol w:w="992"/>
        <w:gridCol w:w="992"/>
        <w:gridCol w:w="994"/>
      </w:tblGrid>
      <w:tr>
        <w:trPr>
          <w:cantSplit/>
          <w:tblHeader/>
        </w:trPr>
        <w:tc>
          <w:tcPr>
            <w:tcW w:w="1417" w:type="dxa"/>
            <w:tcBorders>
              <w:top w:val="single" w:sz="4" w:space="0" w:color="auto"/>
              <w:bottom w:val="single" w:sz="4" w:space="0" w:color="auto"/>
            </w:tcBorders>
          </w:tcPr>
          <w:p>
            <w:pPr>
              <w:pStyle w:val="yTableNAm"/>
            </w:pPr>
            <w:r>
              <w:rPr>
                <w:b/>
                <w:bCs/>
              </w:rPr>
              <w:br w:type="page"/>
              <w:t>Consumption (kL)</w:t>
            </w:r>
          </w:p>
        </w:tc>
        <w:tc>
          <w:tcPr>
            <w:tcW w:w="992" w:type="dxa"/>
            <w:tcBorders>
              <w:top w:val="single" w:sz="4" w:space="0" w:color="auto"/>
              <w:bottom w:val="single" w:sz="4" w:space="0" w:color="auto"/>
            </w:tcBorders>
          </w:tcPr>
          <w:p>
            <w:pPr>
              <w:pStyle w:val="yTableNAm"/>
              <w:jc w:val="center"/>
            </w:pPr>
            <w:r>
              <w:rPr>
                <w:b/>
                <w:bCs/>
              </w:rPr>
              <w:t>Class 1 (c/kL)</w:t>
            </w:r>
          </w:p>
        </w:tc>
        <w:tc>
          <w:tcPr>
            <w:tcW w:w="992" w:type="dxa"/>
            <w:tcBorders>
              <w:top w:val="single" w:sz="4" w:space="0" w:color="auto"/>
              <w:bottom w:val="single" w:sz="4" w:space="0" w:color="auto"/>
            </w:tcBorders>
          </w:tcPr>
          <w:p>
            <w:pPr>
              <w:pStyle w:val="yTableNAm"/>
              <w:jc w:val="center"/>
            </w:pPr>
            <w:r>
              <w:rPr>
                <w:b/>
                <w:bCs/>
              </w:rPr>
              <w:t>Class 2 (c/kL)</w:t>
            </w:r>
          </w:p>
        </w:tc>
        <w:tc>
          <w:tcPr>
            <w:tcW w:w="992" w:type="dxa"/>
            <w:tcBorders>
              <w:top w:val="single" w:sz="4" w:space="0" w:color="auto"/>
              <w:bottom w:val="single" w:sz="4" w:space="0" w:color="auto"/>
            </w:tcBorders>
          </w:tcPr>
          <w:p>
            <w:pPr>
              <w:pStyle w:val="yTableNAm"/>
              <w:jc w:val="center"/>
            </w:pPr>
            <w:r>
              <w:rPr>
                <w:b/>
                <w:bCs/>
              </w:rPr>
              <w:t>Class 3 (c/kL)</w:t>
            </w:r>
          </w:p>
        </w:tc>
        <w:tc>
          <w:tcPr>
            <w:tcW w:w="992" w:type="dxa"/>
            <w:tcBorders>
              <w:top w:val="single" w:sz="4" w:space="0" w:color="auto"/>
              <w:bottom w:val="single" w:sz="4" w:space="0" w:color="auto"/>
            </w:tcBorders>
          </w:tcPr>
          <w:p>
            <w:pPr>
              <w:pStyle w:val="yTableNAm"/>
              <w:jc w:val="center"/>
            </w:pPr>
            <w:r>
              <w:rPr>
                <w:b/>
                <w:bCs/>
              </w:rPr>
              <w:t>Class 4 (c/kL)</w:t>
            </w:r>
          </w:p>
        </w:tc>
        <w:tc>
          <w:tcPr>
            <w:tcW w:w="994" w:type="dxa"/>
            <w:tcBorders>
              <w:top w:val="single" w:sz="4" w:space="0" w:color="auto"/>
              <w:bottom w:val="single" w:sz="4" w:space="0" w:color="auto"/>
            </w:tcBorders>
          </w:tcPr>
          <w:p>
            <w:pPr>
              <w:pStyle w:val="yTableNAm"/>
              <w:jc w:val="center"/>
            </w:pPr>
            <w:r>
              <w:rPr>
                <w:b/>
                <w:bCs/>
              </w:rPr>
              <w:t>Class 5 (c/kL)</w:t>
            </w:r>
          </w:p>
        </w:tc>
      </w:tr>
      <w:tr>
        <w:trPr>
          <w:cantSplit/>
        </w:trPr>
        <w:tc>
          <w:tcPr>
            <w:tcW w:w="1417" w:type="dxa"/>
          </w:tcPr>
          <w:p>
            <w:pPr>
              <w:pStyle w:val="yTableNAm"/>
            </w:pPr>
            <w:r>
              <w:t>Up to 150</w:t>
            </w:r>
          </w:p>
        </w:tc>
        <w:tc>
          <w:tcPr>
            <w:tcW w:w="992" w:type="dxa"/>
            <w:vAlign w:val="bottom"/>
          </w:tcPr>
          <w:p>
            <w:pPr>
              <w:pStyle w:val="yTableNAm"/>
              <w:jc w:val="center"/>
            </w:pPr>
            <w:r>
              <w:rPr>
                <w:szCs w:val="22"/>
              </w:rPr>
              <w:t>52.0</w:t>
            </w:r>
          </w:p>
        </w:tc>
        <w:tc>
          <w:tcPr>
            <w:tcW w:w="992" w:type="dxa"/>
            <w:vAlign w:val="bottom"/>
          </w:tcPr>
          <w:p>
            <w:pPr>
              <w:pStyle w:val="yTableNAm"/>
              <w:jc w:val="center"/>
            </w:pPr>
            <w:r>
              <w:rPr>
                <w:szCs w:val="22"/>
              </w:rPr>
              <w:t>66.8</w:t>
            </w:r>
          </w:p>
        </w:tc>
        <w:tc>
          <w:tcPr>
            <w:tcW w:w="992" w:type="dxa"/>
            <w:vAlign w:val="bottom"/>
          </w:tcPr>
          <w:p>
            <w:pPr>
              <w:pStyle w:val="yTableNAm"/>
              <w:jc w:val="center"/>
            </w:pPr>
            <w:r>
              <w:rPr>
                <w:szCs w:val="22"/>
              </w:rPr>
              <w:t>66.8</w:t>
            </w:r>
          </w:p>
        </w:tc>
        <w:tc>
          <w:tcPr>
            <w:tcW w:w="992" w:type="dxa"/>
            <w:vAlign w:val="bottom"/>
          </w:tcPr>
          <w:p>
            <w:pPr>
              <w:pStyle w:val="yTableNAm"/>
              <w:jc w:val="center"/>
            </w:pPr>
            <w:r>
              <w:rPr>
                <w:szCs w:val="22"/>
              </w:rPr>
              <w:t>66.8</w:t>
            </w:r>
          </w:p>
        </w:tc>
        <w:tc>
          <w:tcPr>
            <w:tcW w:w="994" w:type="dxa"/>
            <w:vAlign w:val="bottom"/>
          </w:tcPr>
          <w:p>
            <w:pPr>
              <w:pStyle w:val="yTableNAm"/>
              <w:jc w:val="center"/>
            </w:pPr>
            <w:r>
              <w:rPr>
                <w:szCs w:val="22"/>
              </w:rPr>
              <w:t>66.8</w:t>
            </w:r>
          </w:p>
        </w:tc>
      </w:tr>
      <w:tr>
        <w:trPr>
          <w:cantSplit/>
        </w:trPr>
        <w:tc>
          <w:tcPr>
            <w:tcW w:w="1417" w:type="dxa"/>
          </w:tcPr>
          <w:p>
            <w:pPr>
              <w:pStyle w:val="yTableNAm"/>
            </w:pPr>
            <w:r>
              <w:t>Over 150 but not over 350</w:t>
            </w:r>
          </w:p>
        </w:tc>
        <w:tc>
          <w:tcPr>
            <w:tcW w:w="992" w:type="dxa"/>
            <w:vAlign w:val="bottom"/>
          </w:tcPr>
          <w:p>
            <w:pPr>
              <w:pStyle w:val="yTableNAm"/>
              <w:jc w:val="center"/>
            </w:pPr>
            <w:r>
              <w:rPr>
                <w:szCs w:val="22"/>
              </w:rPr>
              <w:t>52.0</w:t>
            </w:r>
          </w:p>
        </w:tc>
        <w:tc>
          <w:tcPr>
            <w:tcW w:w="992" w:type="dxa"/>
            <w:vAlign w:val="bottom"/>
          </w:tcPr>
          <w:p>
            <w:pPr>
              <w:pStyle w:val="yTableNAm"/>
              <w:jc w:val="center"/>
            </w:pPr>
            <w:r>
              <w:rPr>
                <w:szCs w:val="22"/>
              </w:rPr>
              <w:t>66.8</w:t>
            </w:r>
          </w:p>
        </w:tc>
        <w:tc>
          <w:tcPr>
            <w:tcW w:w="992" w:type="dxa"/>
            <w:vAlign w:val="bottom"/>
          </w:tcPr>
          <w:p>
            <w:pPr>
              <w:pStyle w:val="yTableNAm"/>
              <w:jc w:val="center"/>
            </w:pPr>
            <w:r>
              <w:rPr>
                <w:szCs w:val="22"/>
              </w:rPr>
              <w:t>66.8</w:t>
            </w:r>
          </w:p>
        </w:tc>
        <w:tc>
          <w:tcPr>
            <w:tcW w:w="992" w:type="dxa"/>
            <w:vAlign w:val="bottom"/>
          </w:tcPr>
          <w:p>
            <w:pPr>
              <w:pStyle w:val="yTableNAm"/>
              <w:jc w:val="center"/>
            </w:pPr>
            <w:r>
              <w:rPr>
                <w:szCs w:val="22"/>
              </w:rPr>
              <w:t>66.8</w:t>
            </w:r>
          </w:p>
        </w:tc>
        <w:tc>
          <w:tcPr>
            <w:tcW w:w="994" w:type="dxa"/>
            <w:vAlign w:val="bottom"/>
          </w:tcPr>
          <w:p>
            <w:pPr>
              <w:pStyle w:val="yTableNAm"/>
              <w:jc w:val="center"/>
            </w:pPr>
            <w:r>
              <w:rPr>
                <w:szCs w:val="22"/>
              </w:rPr>
              <w:t>66.8</w:t>
            </w:r>
          </w:p>
        </w:tc>
      </w:tr>
      <w:tr>
        <w:trPr>
          <w:cantSplit/>
        </w:trPr>
        <w:tc>
          <w:tcPr>
            <w:tcW w:w="1417" w:type="dxa"/>
          </w:tcPr>
          <w:p>
            <w:pPr>
              <w:pStyle w:val="yTableNAm"/>
            </w:pPr>
            <w:r>
              <w:t>Over 350 but not over 500</w:t>
            </w:r>
          </w:p>
        </w:tc>
        <w:tc>
          <w:tcPr>
            <w:tcW w:w="992" w:type="dxa"/>
            <w:vAlign w:val="bottom"/>
          </w:tcPr>
          <w:p>
            <w:pPr>
              <w:pStyle w:val="yTableNAm"/>
              <w:jc w:val="center"/>
            </w:pPr>
            <w:r>
              <w:rPr>
                <w:szCs w:val="22"/>
              </w:rPr>
              <w:t>67.8</w:t>
            </w:r>
          </w:p>
        </w:tc>
        <w:tc>
          <w:tcPr>
            <w:tcW w:w="992" w:type="dxa"/>
            <w:vAlign w:val="bottom"/>
          </w:tcPr>
          <w:p>
            <w:pPr>
              <w:pStyle w:val="yTableNAm"/>
              <w:jc w:val="center"/>
            </w:pPr>
            <w:r>
              <w:rPr>
                <w:szCs w:val="22"/>
              </w:rPr>
              <w:t>87.4</w:t>
            </w:r>
          </w:p>
        </w:tc>
        <w:tc>
          <w:tcPr>
            <w:tcW w:w="992" w:type="dxa"/>
            <w:vAlign w:val="bottom"/>
          </w:tcPr>
          <w:p>
            <w:pPr>
              <w:pStyle w:val="yTableNAm"/>
              <w:jc w:val="center"/>
            </w:pPr>
            <w:r>
              <w:rPr>
                <w:szCs w:val="22"/>
              </w:rPr>
              <w:t>87.4</w:t>
            </w:r>
          </w:p>
        </w:tc>
        <w:tc>
          <w:tcPr>
            <w:tcW w:w="992" w:type="dxa"/>
            <w:vAlign w:val="bottom"/>
          </w:tcPr>
          <w:p>
            <w:pPr>
              <w:pStyle w:val="yTableNAm"/>
              <w:jc w:val="center"/>
            </w:pPr>
            <w:r>
              <w:rPr>
                <w:szCs w:val="22"/>
              </w:rPr>
              <w:t>87.4</w:t>
            </w:r>
          </w:p>
        </w:tc>
        <w:tc>
          <w:tcPr>
            <w:tcW w:w="994" w:type="dxa"/>
            <w:vAlign w:val="bottom"/>
          </w:tcPr>
          <w:p>
            <w:pPr>
              <w:pStyle w:val="yTableNAm"/>
              <w:jc w:val="center"/>
            </w:pPr>
            <w:r>
              <w:rPr>
                <w:szCs w:val="22"/>
              </w:rPr>
              <w:t>87.4</w:t>
            </w:r>
          </w:p>
        </w:tc>
      </w:tr>
      <w:tr>
        <w:trPr>
          <w:cantSplit/>
        </w:trPr>
        <w:tc>
          <w:tcPr>
            <w:tcW w:w="1417" w:type="dxa"/>
          </w:tcPr>
          <w:p>
            <w:pPr>
              <w:pStyle w:val="yTableNAm"/>
            </w:pPr>
            <w:r>
              <w:t>Over 500 but not over 550</w:t>
            </w:r>
          </w:p>
        </w:tc>
        <w:tc>
          <w:tcPr>
            <w:tcW w:w="992" w:type="dxa"/>
            <w:vAlign w:val="bottom"/>
          </w:tcPr>
          <w:p>
            <w:pPr>
              <w:pStyle w:val="yTableNAm"/>
              <w:jc w:val="center"/>
            </w:pPr>
            <w:r>
              <w:rPr>
                <w:szCs w:val="22"/>
              </w:rPr>
              <w:t>73.8</w:t>
            </w:r>
          </w:p>
        </w:tc>
        <w:tc>
          <w:tcPr>
            <w:tcW w:w="992" w:type="dxa"/>
            <w:vAlign w:val="bottom"/>
          </w:tcPr>
          <w:p>
            <w:pPr>
              <w:pStyle w:val="yTableNAm"/>
              <w:jc w:val="center"/>
            </w:pPr>
            <w:r>
              <w:rPr>
                <w:szCs w:val="22"/>
              </w:rPr>
              <w:t>102.1</w:t>
            </w:r>
          </w:p>
        </w:tc>
        <w:tc>
          <w:tcPr>
            <w:tcW w:w="992" w:type="dxa"/>
            <w:vAlign w:val="bottom"/>
          </w:tcPr>
          <w:p>
            <w:pPr>
              <w:pStyle w:val="yTableNAm"/>
              <w:jc w:val="center"/>
            </w:pPr>
            <w:r>
              <w:rPr>
                <w:szCs w:val="22"/>
              </w:rPr>
              <w:t>130.1</w:t>
            </w:r>
          </w:p>
        </w:tc>
        <w:tc>
          <w:tcPr>
            <w:tcW w:w="992" w:type="dxa"/>
            <w:vAlign w:val="bottom"/>
          </w:tcPr>
          <w:p>
            <w:pPr>
              <w:pStyle w:val="yTableNAm"/>
              <w:jc w:val="center"/>
            </w:pPr>
            <w:r>
              <w:rPr>
                <w:szCs w:val="22"/>
              </w:rPr>
              <w:t>153.1</w:t>
            </w:r>
          </w:p>
        </w:tc>
        <w:tc>
          <w:tcPr>
            <w:tcW w:w="994" w:type="dxa"/>
            <w:vAlign w:val="bottom"/>
          </w:tcPr>
          <w:p>
            <w:pPr>
              <w:pStyle w:val="yTableNAm"/>
              <w:jc w:val="center"/>
            </w:pPr>
            <w:r>
              <w:rPr>
                <w:szCs w:val="22"/>
              </w:rPr>
              <w:t>180.0</w:t>
            </w:r>
          </w:p>
        </w:tc>
      </w:tr>
      <w:tr>
        <w:trPr>
          <w:cantSplit/>
        </w:trPr>
        <w:tc>
          <w:tcPr>
            <w:tcW w:w="1417" w:type="dxa"/>
          </w:tcPr>
          <w:p>
            <w:pPr>
              <w:pStyle w:val="yTableNAm"/>
            </w:pPr>
            <w:r>
              <w:t>Over 550 but not over 600</w:t>
            </w:r>
          </w:p>
        </w:tc>
        <w:tc>
          <w:tcPr>
            <w:tcW w:w="992" w:type="dxa"/>
            <w:vAlign w:val="bottom"/>
          </w:tcPr>
          <w:p>
            <w:pPr>
              <w:pStyle w:val="yTableNAm"/>
              <w:jc w:val="center"/>
            </w:pPr>
            <w:r>
              <w:rPr>
                <w:szCs w:val="22"/>
              </w:rPr>
              <w:t>73.8</w:t>
            </w:r>
          </w:p>
        </w:tc>
        <w:tc>
          <w:tcPr>
            <w:tcW w:w="992" w:type="dxa"/>
            <w:vAlign w:val="bottom"/>
          </w:tcPr>
          <w:p>
            <w:pPr>
              <w:pStyle w:val="yTableNAm"/>
              <w:jc w:val="center"/>
            </w:pPr>
            <w:r>
              <w:rPr>
                <w:szCs w:val="22"/>
              </w:rPr>
              <w:t>102.1</w:t>
            </w:r>
          </w:p>
        </w:tc>
        <w:tc>
          <w:tcPr>
            <w:tcW w:w="992" w:type="dxa"/>
            <w:vAlign w:val="bottom"/>
          </w:tcPr>
          <w:p>
            <w:pPr>
              <w:pStyle w:val="yTableNAm"/>
              <w:jc w:val="center"/>
            </w:pPr>
            <w:r>
              <w:rPr>
                <w:szCs w:val="22"/>
              </w:rPr>
              <w:t>130.1</w:t>
            </w:r>
          </w:p>
        </w:tc>
        <w:tc>
          <w:tcPr>
            <w:tcW w:w="992" w:type="dxa"/>
            <w:vAlign w:val="bottom"/>
          </w:tcPr>
          <w:p>
            <w:pPr>
              <w:pStyle w:val="yTableNAm"/>
              <w:jc w:val="center"/>
            </w:pPr>
            <w:r>
              <w:rPr>
                <w:szCs w:val="22"/>
              </w:rPr>
              <w:t>153.1</w:t>
            </w:r>
          </w:p>
        </w:tc>
        <w:tc>
          <w:tcPr>
            <w:tcW w:w="994" w:type="dxa"/>
            <w:vAlign w:val="bottom"/>
          </w:tcPr>
          <w:p>
            <w:pPr>
              <w:pStyle w:val="yTableNAm"/>
              <w:jc w:val="center"/>
            </w:pPr>
            <w:r>
              <w:rPr>
                <w:szCs w:val="22"/>
              </w:rPr>
              <w:t>180.0</w:t>
            </w:r>
          </w:p>
        </w:tc>
      </w:tr>
      <w:tr>
        <w:trPr>
          <w:cantSplit/>
        </w:trPr>
        <w:tc>
          <w:tcPr>
            <w:tcW w:w="1417" w:type="dxa"/>
          </w:tcPr>
          <w:p>
            <w:pPr>
              <w:pStyle w:val="yTableNAm"/>
            </w:pPr>
            <w:r>
              <w:t>Over 600 but not over 650</w:t>
            </w:r>
          </w:p>
        </w:tc>
        <w:tc>
          <w:tcPr>
            <w:tcW w:w="992" w:type="dxa"/>
            <w:vAlign w:val="bottom"/>
          </w:tcPr>
          <w:p>
            <w:pPr>
              <w:pStyle w:val="yTableNAm"/>
              <w:jc w:val="center"/>
            </w:pPr>
            <w:r>
              <w:rPr>
                <w:szCs w:val="22"/>
              </w:rPr>
              <w:t>147.6</w:t>
            </w:r>
          </w:p>
        </w:tc>
        <w:tc>
          <w:tcPr>
            <w:tcW w:w="992" w:type="dxa"/>
            <w:vAlign w:val="bottom"/>
          </w:tcPr>
          <w:p>
            <w:pPr>
              <w:pStyle w:val="yTableNAm"/>
              <w:jc w:val="center"/>
            </w:pPr>
            <w:r>
              <w:rPr>
                <w:szCs w:val="22"/>
              </w:rPr>
              <w:t>204.2</w:t>
            </w:r>
          </w:p>
        </w:tc>
        <w:tc>
          <w:tcPr>
            <w:tcW w:w="992" w:type="dxa"/>
            <w:vAlign w:val="bottom"/>
          </w:tcPr>
          <w:p>
            <w:pPr>
              <w:pStyle w:val="yTableNAm"/>
              <w:jc w:val="center"/>
            </w:pPr>
            <w:r>
              <w:rPr>
                <w:szCs w:val="22"/>
              </w:rPr>
              <w:t>260.2</w:t>
            </w:r>
          </w:p>
        </w:tc>
        <w:tc>
          <w:tcPr>
            <w:tcW w:w="992" w:type="dxa"/>
            <w:vAlign w:val="bottom"/>
          </w:tcPr>
          <w:p>
            <w:pPr>
              <w:pStyle w:val="yTableNAm"/>
              <w:jc w:val="center"/>
            </w:pPr>
            <w:r>
              <w:rPr>
                <w:szCs w:val="22"/>
              </w:rPr>
              <w:t>306.1</w:t>
            </w:r>
          </w:p>
        </w:tc>
        <w:tc>
          <w:tcPr>
            <w:tcW w:w="994" w:type="dxa"/>
            <w:vAlign w:val="bottom"/>
          </w:tcPr>
          <w:p>
            <w:pPr>
              <w:pStyle w:val="yTableNAm"/>
              <w:jc w:val="center"/>
            </w:pPr>
            <w:r>
              <w:rPr>
                <w:szCs w:val="22"/>
              </w:rPr>
              <w:t>360.0</w:t>
            </w:r>
          </w:p>
        </w:tc>
      </w:tr>
      <w:tr>
        <w:trPr>
          <w:cantSplit/>
        </w:trPr>
        <w:tc>
          <w:tcPr>
            <w:tcW w:w="1417" w:type="dxa"/>
          </w:tcPr>
          <w:p>
            <w:pPr>
              <w:pStyle w:val="yTableNAm"/>
            </w:pPr>
            <w:r>
              <w:t>Over 650 but not over 750</w:t>
            </w:r>
          </w:p>
        </w:tc>
        <w:tc>
          <w:tcPr>
            <w:tcW w:w="992" w:type="dxa"/>
            <w:vAlign w:val="bottom"/>
          </w:tcPr>
          <w:p>
            <w:pPr>
              <w:pStyle w:val="yTableNAm"/>
              <w:jc w:val="center"/>
            </w:pPr>
            <w:r>
              <w:rPr>
                <w:szCs w:val="22"/>
              </w:rPr>
              <w:t>147.6</w:t>
            </w:r>
          </w:p>
        </w:tc>
        <w:tc>
          <w:tcPr>
            <w:tcW w:w="992" w:type="dxa"/>
            <w:vAlign w:val="bottom"/>
          </w:tcPr>
          <w:p>
            <w:pPr>
              <w:pStyle w:val="yTableNAm"/>
              <w:jc w:val="center"/>
            </w:pPr>
            <w:r>
              <w:rPr>
                <w:szCs w:val="22"/>
              </w:rPr>
              <w:t>204.2</w:t>
            </w:r>
          </w:p>
        </w:tc>
        <w:tc>
          <w:tcPr>
            <w:tcW w:w="992" w:type="dxa"/>
            <w:vAlign w:val="bottom"/>
          </w:tcPr>
          <w:p>
            <w:pPr>
              <w:pStyle w:val="yTableNAm"/>
              <w:jc w:val="center"/>
            </w:pPr>
            <w:r>
              <w:rPr>
                <w:szCs w:val="22"/>
              </w:rPr>
              <w:t>260.2</w:t>
            </w:r>
          </w:p>
        </w:tc>
        <w:tc>
          <w:tcPr>
            <w:tcW w:w="992" w:type="dxa"/>
            <w:vAlign w:val="bottom"/>
          </w:tcPr>
          <w:p>
            <w:pPr>
              <w:pStyle w:val="yTableNAm"/>
              <w:jc w:val="center"/>
            </w:pPr>
            <w:r>
              <w:rPr>
                <w:szCs w:val="22"/>
              </w:rPr>
              <w:t>306.1</w:t>
            </w:r>
          </w:p>
        </w:tc>
        <w:tc>
          <w:tcPr>
            <w:tcW w:w="994" w:type="dxa"/>
            <w:vAlign w:val="bottom"/>
          </w:tcPr>
          <w:p>
            <w:pPr>
              <w:pStyle w:val="yTableNAm"/>
              <w:jc w:val="center"/>
            </w:pPr>
            <w:r>
              <w:rPr>
                <w:szCs w:val="22"/>
              </w:rPr>
              <w:t>360.0</w:t>
            </w:r>
          </w:p>
        </w:tc>
      </w:tr>
      <w:tr>
        <w:trPr>
          <w:cantSplit/>
        </w:trPr>
        <w:tc>
          <w:tcPr>
            <w:tcW w:w="1417" w:type="dxa"/>
          </w:tcPr>
          <w:p>
            <w:pPr>
              <w:pStyle w:val="yTableNAm"/>
            </w:pPr>
            <w:r>
              <w:t>Over 750 but not over 950</w:t>
            </w:r>
          </w:p>
        </w:tc>
        <w:tc>
          <w:tcPr>
            <w:tcW w:w="992" w:type="dxa"/>
            <w:vAlign w:val="bottom"/>
          </w:tcPr>
          <w:p>
            <w:pPr>
              <w:pStyle w:val="yTableNAm"/>
              <w:jc w:val="center"/>
            </w:pPr>
            <w:r>
              <w:rPr>
                <w:szCs w:val="22"/>
              </w:rPr>
              <w:t>173.4</w:t>
            </w:r>
          </w:p>
        </w:tc>
        <w:tc>
          <w:tcPr>
            <w:tcW w:w="992" w:type="dxa"/>
            <w:vAlign w:val="bottom"/>
          </w:tcPr>
          <w:p>
            <w:pPr>
              <w:pStyle w:val="yTableNAm"/>
              <w:jc w:val="center"/>
            </w:pPr>
            <w:r>
              <w:rPr>
                <w:szCs w:val="22"/>
              </w:rPr>
              <w:t>239.8</w:t>
            </w:r>
          </w:p>
        </w:tc>
        <w:tc>
          <w:tcPr>
            <w:tcW w:w="992" w:type="dxa"/>
            <w:vAlign w:val="bottom"/>
          </w:tcPr>
          <w:p>
            <w:pPr>
              <w:pStyle w:val="yTableNAm"/>
              <w:jc w:val="center"/>
            </w:pPr>
            <w:r>
              <w:rPr>
                <w:szCs w:val="22"/>
              </w:rPr>
              <w:t>331.7</w:t>
            </w:r>
          </w:p>
        </w:tc>
        <w:tc>
          <w:tcPr>
            <w:tcW w:w="992" w:type="dxa"/>
            <w:vAlign w:val="bottom"/>
          </w:tcPr>
          <w:p>
            <w:pPr>
              <w:pStyle w:val="yTableNAm"/>
              <w:jc w:val="center"/>
            </w:pPr>
            <w:r>
              <w:rPr>
                <w:szCs w:val="22"/>
              </w:rPr>
              <w:t>458.9</w:t>
            </w:r>
          </w:p>
        </w:tc>
        <w:tc>
          <w:tcPr>
            <w:tcW w:w="994" w:type="dxa"/>
            <w:vAlign w:val="bottom"/>
          </w:tcPr>
          <w:p>
            <w:pPr>
              <w:pStyle w:val="yTableNAm"/>
              <w:jc w:val="center"/>
            </w:pPr>
            <w:r>
              <w:rPr>
                <w:szCs w:val="22"/>
              </w:rPr>
              <w:t>634.7</w:t>
            </w:r>
          </w:p>
        </w:tc>
      </w:tr>
      <w:tr>
        <w:trPr>
          <w:cantSplit/>
        </w:trPr>
        <w:tc>
          <w:tcPr>
            <w:tcW w:w="1417" w:type="dxa"/>
          </w:tcPr>
          <w:p>
            <w:pPr>
              <w:pStyle w:val="yTableNAm"/>
            </w:pPr>
            <w:r>
              <w:t>Over 950 but not over 1 150</w:t>
            </w:r>
          </w:p>
        </w:tc>
        <w:tc>
          <w:tcPr>
            <w:tcW w:w="992" w:type="dxa"/>
            <w:vAlign w:val="bottom"/>
          </w:tcPr>
          <w:p>
            <w:pPr>
              <w:pStyle w:val="yTableNAm"/>
              <w:jc w:val="center"/>
            </w:pPr>
            <w:r>
              <w:rPr>
                <w:szCs w:val="22"/>
              </w:rPr>
              <w:t>173.4</w:t>
            </w:r>
          </w:p>
        </w:tc>
        <w:tc>
          <w:tcPr>
            <w:tcW w:w="992" w:type="dxa"/>
            <w:vAlign w:val="bottom"/>
          </w:tcPr>
          <w:p>
            <w:pPr>
              <w:pStyle w:val="yTableNAm"/>
              <w:jc w:val="center"/>
            </w:pPr>
            <w:r>
              <w:rPr>
                <w:szCs w:val="22"/>
              </w:rPr>
              <w:t>239.8</w:t>
            </w:r>
          </w:p>
        </w:tc>
        <w:tc>
          <w:tcPr>
            <w:tcW w:w="992" w:type="dxa"/>
            <w:vAlign w:val="bottom"/>
          </w:tcPr>
          <w:p>
            <w:pPr>
              <w:pStyle w:val="yTableNAm"/>
              <w:jc w:val="center"/>
            </w:pPr>
            <w:r>
              <w:rPr>
                <w:szCs w:val="22"/>
              </w:rPr>
              <w:t>331.7</w:t>
            </w:r>
          </w:p>
        </w:tc>
        <w:tc>
          <w:tcPr>
            <w:tcW w:w="992" w:type="dxa"/>
            <w:vAlign w:val="bottom"/>
          </w:tcPr>
          <w:p>
            <w:pPr>
              <w:pStyle w:val="yTableNAm"/>
              <w:jc w:val="center"/>
            </w:pPr>
            <w:r>
              <w:rPr>
                <w:szCs w:val="22"/>
              </w:rPr>
              <w:t>458.9</w:t>
            </w:r>
          </w:p>
        </w:tc>
        <w:tc>
          <w:tcPr>
            <w:tcW w:w="994" w:type="dxa"/>
            <w:vAlign w:val="bottom"/>
          </w:tcPr>
          <w:p>
            <w:pPr>
              <w:pStyle w:val="yTableNAm"/>
              <w:jc w:val="center"/>
            </w:pPr>
            <w:r>
              <w:rPr>
                <w:szCs w:val="22"/>
              </w:rPr>
              <w:t>634.7</w:t>
            </w:r>
          </w:p>
        </w:tc>
      </w:tr>
      <w:tr>
        <w:trPr>
          <w:cantSplit/>
        </w:trPr>
        <w:tc>
          <w:tcPr>
            <w:tcW w:w="1417" w:type="dxa"/>
          </w:tcPr>
          <w:p>
            <w:pPr>
              <w:pStyle w:val="yTableNAm"/>
            </w:pPr>
            <w:r>
              <w:t>Over 1 150 but not over 1 550</w:t>
            </w:r>
          </w:p>
        </w:tc>
        <w:tc>
          <w:tcPr>
            <w:tcW w:w="992" w:type="dxa"/>
            <w:vAlign w:val="bottom"/>
          </w:tcPr>
          <w:p>
            <w:pPr>
              <w:pStyle w:val="yTableNAm"/>
              <w:jc w:val="center"/>
            </w:pPr>
            <w:r>
              <w:rPr>
                <w:szCs w:val="22"/>
              </w:rPr>
              <w:t>173.4</w:t>
            </w:r>
          </w:p>
        </w:tc>
        <w:tc>
          <w:tcPr>
            <w:tcW w:w="992" w:type="dxa"/>
            <w:vAlign w:val="bottom"/>
          </w:tcPr>
          <w:p>
            <w:pPr>
              <w:pStyle w:val="yTableNAm"/>
              <w:jc w:val="center"/>
            </w:pPr>
            <w:r>
              <w:rPr>
                <w:szCs w:val="22"/>
              </w:rPr>
              <w:t>239.8</w:t>
            </w:r>
          </w:p>
        </w:tc>
        <w:tc>
          <w:tcPr>
            <w:tcW w:w="992" w:type="dxa"/>
            <w:vAlign w:val="bottom"/>
          </w:tcPr>
          <w:p>
            <w:pPr>
              <w:pStyle w:val="yTableNAm"/>
              <w:jc w:val="center"/>
            </w:pPr>
            <w:r>
              <w:rPr>
                <w:szCs w:val="22"/>
              </w:rPr>
              <w:t>331.7</w:t>
            </w:r>
          </w:p>
        </w:tc>
        <w:tc>
          <w:tcPr>
            <w:tcW w:w="992" w:type="dxa"/>
            <w:vAlign w:val="bottom"/>
          </w:tcPr>
          <w:p>
            <w:pPr>
              <w:pStyle w:val="yTableNAm"/>
              <w:jc w:val="center"/>
            </w:pPr>
            <w:r>
              <w:rPr>
                <w:szCs w:val="22"/>
              </w:rPr>
              <w:t>458.9</w:t>
            </w:r>
          </w:p>
        </w:tc>
        <w:tc>
          <w:tcPr>
            <w:tcW w:w="994" w:type="dxa"/>
            <w:vAlign w:val="bottom"/>
          </w:tcPr>
          <w:p>
            <w:pPr>
              <w:pStyle w:val="yTableNAm"/>
              <w:jc w:val="center"/>
            </w:pPr>
            <w:r>
              <w:rPr>
                <w:szCs w:val="22"/>
              </w:rPr>
              <w:t>634.7</w:t>
            </w:r>
          </w:p>
        </w:tc>
      </w:tr>
      <w:tr>
        <w:trPr>
          <w:cantSplit/>
        </w:trPr>
        <w:tc>
          <w:tcPr>
            <w:tcW w:w="1417" w:type="dxa"/>
          </w:tcPr>
          <w:p>
            <w:pPr>
              <w:pStyle w:val="yTableNAm"/>
            </w:pPr>
            <w:r>
              <w:t>Over 1 550 but not over 1 950</w:t>
            </w:r>
          </w:p>
        </w:tc>
        <w:tc>
          <w:tcPr>
            <w:tcW w:w="992" w:type="dxa"/>
            <w:vAlign w:val="bottom"/>
          </w:tcPr>
          <w:p>
            <w:pPr>
              <w:pStyle w:val="yTableNAm"/>
              <w:jc w:val="center"/>
            </w:pPr>
            <w:r>
              <w:rPr>
                <w:szCs w:val="22"/>
              </w:rPr>
              <w:t>173.4</w:t>
            </w:r>
          </w:p>
        </w:tc>
        <w:tc>
          <w:tcPr>
            <w:tcW w:w="992" w:type="dxa"/>
            <w:vAlign w:val="bottom"/>
          </w:tcPr>
          <w:p>
            <w:pPr>
              <w:pStyle w:val="yTableNAm"/>
              <w:jc w:val="center"/>
            </w:pPr>
            <w:r>
              <w:rPr>
                <w:szCs w:val="22"/>
              </w:rPr>
              <w:t>239.8</w:t>
            </w:r>
          </w:p>
        </w:tc>
        <w:tc>
          <w:tcPr>
            <w:tcW w:w="992" w:type="dxa"/>
            <w:vAlign w:val="bottom"/>
          </w:tcPr>
          <w:p>
            <w:pPr>
              <w:pStyle w:val="yTableNAm"/>
              <w:jc w:val="center"/>
            </w:pPr>
            <w:r>
              <w:rPr>
                <w:szCs w:val="22"/>
              </w:rPr>
              <w:t>331.7</w:t>
            </w:r>
          </w:p>
        </w:tc>
        <w:tc>
          <w:tcPr>
            <w:tcW w:w="992" w:type="dxa"/>
            <w:vAlign w:val="bottom"/>
          </w:tcPr>
          <w:p>
            <w:pPr>
              <w:pStyle w:val="yTableNAm"/>
              <w:jc w:val="center"/>
            </w:pPr>
            <w:r>
              <w:rPr>
                <w:szCs w:val="22"/>
              </w:rPr>
              <w:t>458.9</w:t>
            </w:r>
          </w:p>
        </w:tc>
        <w:tc>
          <w:tcPr>
            <w:tcW w:w="994" w:type="dxa"/>
            <w:vAlign w:val="bottom"/>
          </w:tcPr>
          <w:p>
            <w:pPr>
              <w:pStyle w:val="yTableNAm"/>
              <w:jc w:val="center"/>
            </w:pPr>
            <w:r>
              <w:rPr>
                <w:szCs w:val="22"/>
              </w:rPr>
              <w:t>634.7</w:t>
            </w:r>
          </w:p>
        </w:tc>
      </w:tr>
      <w:tr>
        <w:trPr>
          <w:cantSplit/>
        </w:trPr>
        <w:tc>
          <w:tcPr>
            <w:tcW w:w="1417" w:type="dxa"/>
            <w:tcBorders>
              <w:bottom w:val="single" w:sz="4" w:space="0" w:color="auto"/>
            </w:tcBorders>
          </w:tcPr>
          <w:p>
            <w:pPr>
              <w:pStyle w:val="yTableNAm"/>
            </w:pPr>
            <w:r>
              <w:t>Over 1 950</w:t>
            </w:r>
          </w:p>
        </w:tc>
        <w:tc>
          <w:tcPr>
            <w:tcW w:w="992" w:type="dxa"/>
            <w:tcBorders>
              <w:bottom w:val="single" w:sz="4" w:space="0" w:color="auto"/>
            </w:tcBorders>
            <w:vAlign w:val="bottom"/>
          </w:tcPr>
          <w:p>
            <w:pPr>
              <w:pStyle w:val="yTableNAm"/>
              <w:jc w:val="center"/>
            </w:pPr>
            <w:r>
              <w:rPr>
                <w:szCs w:val="22"/>
              </w:rPr>
              <w:t>173.4</w:t>
            </w:r>
          </w:p>
        </w:tc>
        <w:tc>
          <w:tcPr>
            <w:tcW w:w="992" w:type="dxa"/>
            <w:tcBorders>
              <w:bottom w:val="single" w:sz="4" w:space="0" w:color="auto"/>
            </w:tcBorders>
            <w:vAlign w:val="bottom"/>
          </w:tcPr>
          <w:p>
            <w:pPr>
              <w:pStyle w:val="yTableNAm"/>
              <w:jc w:val="center"/>
            </w:pPr>
            <w:r>
              <w:rPr>
                <w:szCs w:val="22"/>
              </w:rPr>
              <w:t>239.8</w:t>
            </w:r>
          </w:p>
        </w:tc>
        <w:tc>
          <w:tcPr>
            <w:tcW w:w="992" w:type="dxa"/>
            <w:tcBorders>
              <w:bottom w:val="single" w:sz="4" w:space="0" w:color="auto"/>
            </w:tcBorders>
            <w:vAlign w:val="bottom"/>
          </w:tcPr>
          <w:p>
            <w:pPr>
              <w:pStyle w:val="yTableNAm"/>
              <w:jc w:val="center"/>
            </w:pPr>
            <w:r>
              <w:rPr>
                <w:szCs w:val="22"/>
              </w:rPr>
              <w:t>331.7</w:t>
            </w:r>
          </w:p>
        </w:tc>
        <w:tc>
          <w:tcPr>
            <w:tcW w:w="992" w:type="dxa"/>
            <w:tcBorders>
              <w:bottom w:val="single" w:sz="4" w:space="0" w:color="auto"/>
            </w:tcBorders>
            <w:vAlign w:val="bottom"/>
          </w:tcPr>
          <w:p>
            <w:pPr>
              <w:pStyle w:val="yTableNAm"/>
              <w:jc w:val="center"/>
            </w:pPr>
            <w:r>
              <w:rPr>
                <w:szCs w:val="22"/>
              </w:rPr>
              <w:t>458.9</w:t>
            </w:r>
          </w:p>
        </w:tc>
        <w:tc>
          <w:tcPr>
            <w:tcW w:w="994" w:type="dxa"/>
            <w:tcBorders>
              <w:bottom w:val="single" w:sz="4" w:space="0" w:color="auto"/>
            </w:tcBorders>
            <w:vAlign w:val="bottom"/>
          </w:tcPr>
          <w:p>
            <w:pPr>
              <w:pStyle w:val="yTableNAm"/>
              <w:jc w:val="center"/>
            </w:pPr>
            <w:r>
              <w:rPr>
                <w:szCs w:val="22"/>
              </w:rPr>
              <w:t>634.7</w:t>
            </w:r>
          </w:p>
        </w:tc>
      </w:tr>
    </w:tbl>
    <w:p>
      <w:pPr>
        <w:pStyle w:val="yMiscellaneousBody"/>
        <w:ind w:right="-104"/>
      </w:pPr>
    </w:p>
    <w:tbl>
      <w:tblPr>
        <w:tblW w:w="6377" w:type="dxa"/>
        <w:tblInd w:w="534" w:type="dxa"/>
        <w:tblLayout w:type="fixed"/>
        <w:tblLook w:val="0000" w:firstRow="0" w:lastRow="0" w:firstColumn="0" w:lastColumn="0" w:noHBand="0" w:noVBand="0"/>
      </w:tblPr>
      <w:tblGrid>
        <w:gridCol w:w="774"/>
        <w:gridCol w:w="4302"/>
        <w:gridCol w:w="1301"/>
      </w:tblGrid>
      <w:tr>
        <w:trPr>
          <w:cantSplit/>
        </w:trPr>
        <w:tc>
          <w:tcPr>
            <w:tcW w:w="774" w:type="dxa"/>
          </w:tcPr>
          <w:p>
            <w:pPr>
              <w:pStyle w:val="yTableNAm"/>
            </w:pPr>
            <w:r>
              <w:rPr>
                <w:b/>
              </w:rPr>
              <w:t>24.</w:t>
            </w:r>
          </w:p>
        </w:tc>
        <w:tc>
          <w:tcPr>
            <w:tcW w:w="4302" w:type="dxa"/>
          </w:tcPr>
          <w:p>
            <w:pPr>
              <w:pStyle w:val="yTableNAm"/>
              <w:tabs>
                <w:tab w:val="left" w:leader="dot" w:pos="4876"/>
              </w:tabs>
              <w:ind w:right="158"/>
            </w:pPr>
            <w:r>
              <w:rPr>
                <w:b/>
                <w:bCs/>
              </w:rPr>
              <w:t>Metropolitan non</w:t>
            </w:r>
            <w:r>
              <w:rPr>
                <w:b/>
                <w:bCs/>
              </w:rPr>
              <w:noBreakHyphen/>
              <w:t>residential</w:t>
            </w:r>
          </w:p>
        </w:tc>
        <w:tc>
          <w:tcPr>
            <w:tcW w:w="1301" w:type="dxa"/>
            <w:vAlign w:val="bottom"/>
          </w:tcPr>
          <w:p>
            <w:pPr>
              <w:pStyle w:val="yTableNAm"/>
            </w:pPr>
          </w:p>
        </w:tc>
      </w:tr>
      <w:tr>
        <w:trPr>
          <w:cantSplit/>
        </w:trPr>
        <w:tc>
          <w:tcPr>
            <w:tcW w:w="774" w:type="dxa"/>
          </w:tcPr>
          <w:p>
            <w:pPr>
              <w:pStyle w:val="zyTableNAm"/>
            </w:pPr>
          </w:p>
        </w:tc>
        <w:tc>
          <w:tcPr>
            <w:tcW w:w="4302" w:type="dxa"/>
          </w:tcPr>
          <w:p>
            <w:pPr>
              <w:pStyle w:val="yTableNAm"/>
              <w:tabs>
                <w:tab w:val="left" w:leader="dot" w:pos="4876"/>
              </w:tabs>
              <w:ind w:right="158"/>
            </w:pPr>
            <w:r>
              <w:t xml:space="preserve">For each kilolitre of water supplied to land that is in the metropolitan area and that is neither comprised in a residential property, nor any other land classified as vacant land and held for residential purposes, not being water for which a charge is otherwise specifically provided in this Division —  </w:t>
            </w:r>
          </w:p>
        </w:tc>
        <w:tc>
          <w:tcPr>
            <w:tcW w:w="1301" w:type="dxa"/>
            <w:vAlign w:val="bottom"/>
          </w:tcPr>
          <w:p>
            <w:pPr>
              <w:pStyle w:val="yTableNAm"/>
            </w:pPr>
          </w:p>
        </w:tc>
      </w:tr>
      <w:tr>
        <w:trPr>
          <w:cantSplit/>
        </w:trPr>
        <w:tc>
          <w:tcPr>
            <w:tcW w:w="774" w:type="dxa"/>
          </w:tcPr>
          <w:p>
            <w:pPr>
              <w:pStyle w:val="zyTableNAm"/>
            </w:pPr>
          </w:p>
        </w:tc>
        <w:tc>
          <w:tcPr>
            <w:tcW w:w="4302" w:type="dxa"/>
          </w:tcPr>
          <w:p>
            <w:pPr>
              <w:pStyle w:val="yTableNAm"/>
              <w:tabs>
                <w:tab w:val="clear" w:pos="567"/>
                <w:tab w:val="left" w:pos="176"/>
                <w:tab w:val="left" w:pos="652"/>
                <w:tab w:val="right" w:leader="dot" w:pos="4003"/>
              </w:tabs>
              <w:ind w:left="656" w:right="158" w:hanging="656"/>
            </w:pPr>
            <w:r>
              <w:tab/>
              <w:t>(a)</w:t>
            </w:r>
            <w:r>
              <w:tab/>
              <w:t>in the case of land not mentioned in paragraph (b) </w:t>
            </w:r>
            <w:r>
              <w:tab/>
            </w:r>
          </w:p>
        </w:tc>
        <w:tc>
          <w:tcPr>
            <w:tcW w:w="1301" w:type="dxa"/>
            <w:vAlign w:val="bottom"/>
          </w:tcPr>
          <w:p>
            <w:pPr>
              <w:pStyle w:val="yTableNAm"/>
              <w:tabs>
                <w:tab w:val="clear" w:pos="567"/>
              </w:tabs>
              <w:ind w:left="-108" w:right="-91"/>
            </w:pPr>
            <w:r>
              <w:t>204.1 cents</w:t>
            </w:r>
          </w:p>
        </w:tc>
      </w:tr>
      <w:tr>
        <w:trPr>
          <w:cantSplit/>
        </w:trPr>
        <w:tc>
          <w:tcPr>
            <w:tcW w:w="774" w:type="dxa"/>
          </w:tcPr>
          <w:p>
            <w:pPr>
              <w:pStyle w:val="zyTableNAm"/>
              <w:keepNext/>
            </w:pPr>
          </w:p>
        </w:tc>
        <w:tc>
          <w:tcPr>
            <w:tcW w:w="4302" w:type="dxa"/>
          </w:tcPr>
          <w:p>
            <w:pPr>
              <w:pStyle w:val="yTableNAm"/>
              <w:tabs>
                <w:tab w:val="clear" w:pos="567"/>
                <w:tab w:val="left" w:pos="176"/>
                <w:tab w:val="left" w:pos="652"/>
                <w:tab w:val="right" w:leader="dot" w:pos="4003"/>
              </w:tabs>
              <w:ind w:left="656" w:right="158" w:hanging="656"/>
            </w:pPr>
            <w:r>
              <w:tab/>
              <w:t>(b)</w:t>
            </w:r>
            <w:r>
              <w:tab/>
              <w:t>in the case of land classified as commercial residential —</w:t>
            </w:r>
          </w:p>
        </w:tc>
        <w:tc>
          <w:tcPr>
            <w:tcW w:w="1301" w:type="dxa"/>
            <w:vAlign w:val="bottom"/>
          </w:tcPr>
          <w:p>
            <w:pPr>
              <w:pStyle w:val="yTableNAm"/>
              <w:keepNext/>
            </w:pPr>
          </w:p>
        </w:tc>
      </w:tr>
      <w:tr>
        <w:trPr>
          <w:cantSplit/>
        </w:trPr>
        <w:tc>
          <w:tcPr>
            <w:tcW w:w="774" w:type="dxa"/>
          </w:tcPr>
          <w:p>
            <w:pPr>
              <w:pStyle w:val="zyTableNAm"/>
            </w:pPr>
          </w:p>
        </w:tc>
        <w:tc>
          <w:tcPr>
            <w:tcW w:w="4302" w:type="dxa"/>
          </w:tcPr>
          <w:p>
            <w:pPr>
              <w:pStyle w:val="yTableNAm"/>
              <w:tabs>
                <w:tab w:val="clear" w:pos="567"/>
                <w:tab w:val="left" w:pos="852"/>
                <w:tab w:val="right" w:leader="dot" w:pos="4003"/>
              </w:tabs>
              <w:ind w:left="848" w:right="158" w:hanging="848"/>
            </w:pPr>
            <w:r>
              <w:tab/>
              <w:t xml:space="preserve">up to </w:t>
            </w:r>
            <w:r>
              <w:rPr>
                <w:spacing w:val="-1"/>
              </w:rPr>
              <w:t>150</w:t>
            </w:r>
            <w:r>
              <w:t xml:space="preserve"> kL </w:t>
            </w:r>
            <w:r>
              <w:tab/>
            </w:r>
          </w:p>
        </w:tc>
        <w:tc>
          <w:tcPr>
            <w:tcW w:w="1301" w:type="dxa"/>
            <w:vAlign w:val="bottom"/>
          </w:tcPr>
          <w:p>
            <w:pPr>
              <w:pStyle w:val="yTableNAm"/>
              <w:tabs>
                <w:tab w:val="clear" w:pos="567"/>
              </w:tabs>
              <w:ind w:left="-108" w:right="-91"/>
            </w:pPr>
            <w:r>
              <w:t>133.6 cents</w:t>
            </w:r>
          </w:p>
        </w:tc>
      </w:tr>
      <w:tr>
        <w:trPr>
          <w:cantSplit/>
        </w:trPr>
        <w:tc>
          <w:tcPr>
            <w:tcW w:w="774" w:type="dxa"/>
          </w:tcPr>
          <w:p>
            <w:pPr>
              <w:pStyle w:val="zyTableNAm"/>
            </w:pPr>
          </w:p>
        </w:tc>
        <w:tc>
          <w:tcPr>
            <w:tcW w:w="4302" w:type="dxa"/>
          </w:tcPr>
          <w:p>
            <w:pPr>
              <w:pStyle w:val="yTableNAm"/>
              <w:tabs>
                <w:tab w:val="clear" w:pos="567"/>
                <w:tab w:val="left" w:pos="852"/>
                <w:tab w:val="right" w:leader="dot" w:pos="4003"/>
              </w:tabs>
              <w:ind w:left="848" w:right="158" w:hanging="848"/>
            </w:pPr>
            <w:r>
              <w:tab/>
              <w:t xml:space="preserve">over </w:t>
            </w:r>
            <w:r>
              <w:rPr>
                <w:spacing w:val="-1"/>
              </w:rPr>
              <w:t>150</w:t>
            </w:r>
            <w:r>
              <w:t xml:space="preserve"> kL </w:t>
            </w:r>
            <w:r>
              <w:tab/>
            </w:r>
          </w:p>
        </w:tc>
        <w:tc>
          <w:tcPr>
            <w:tcW w:w="1301" w:type="dxa"/>
            <w:vAlign w:val="bottom"/>
          </w:tcPr>
          <w:p>
            <w:pPr>
              <w:pStyle w:val="yTableNAm"/>
              <w:tabs>
                <w:tab w:val="clear" w:pos="567"/>
              </w:tabs>
              <w:ind w:left="-108" w:right="-91"/>
            </w:pPr>
            <w:r>
              <w:t>204.1 cents</w:t>
            </w:r>
          </w:p>
        </w:tc>
      </w:tr>
      <w:tr>
        <w:trPr>
          <w:cantSplit/>
        </w:trPr>
        <w:tc>
          <w:tcPr>
            <w:tcW w:w="774" w:type="dxa"/>
          </w:tcPr>
          <w:p>
            <w:pPr>
              <w:pStyle w:val="yTableNAm"/>
            </w:pPr>
            <w:r>
              <w:rPr>
                <w:b/>
              </w:rPr>
              <w:t>25.</w:t>
            </w:r>
          </w:p>
        </w:tc>
        <w:tc>
          <w:tcPr>
            <w:tcW w:w="4302" w:type="dxa"/>
          </w:tcPr>
          <w:p>
            <w:pPr>
              <w:pStyle w:val="yTableNAm"/>
              <w:tabs>
                <w:tab w:val="left" w:leader="dot" w:pos="4876"/>
              </w:tabs>
              <w:ind w:right="158"/>
            </w:pPr>
            <w:r>
              <w:rPr>
                <w:b/>
              </w:rPr>
              <w:t>Connected metropolitan exempt</w:t>
            </w:r>
          </w:p>
        </w:tc>
        <w:tc>
          <w:tcPr>
            <w:tcW w:w="1301" w:type="dxa"/>
            <w:vAlign w:val="bottom"/>
          </w:tcPr>
          <w:p>
            <w:pPr>
              <w:pStyle w:val="yTableNAm"/>
              <w:tabs>
                <w:tab w:val="clear" w:pos="567"/>
              </w:tabs>
              <w:ind w:left="-108" w:right="-91"/>
            </w:pPr>
          </w:p>
        </w:tc>
      </w:tr>
      <w:tr>
        <w:trPr>
          <w:cantSplit/>
        </w:trPr>
        <w:tc>
          <w:tcPr>
            <w:tcW w:w="774" w:type="dxa"/>
          </w:tcPr>
          <w:p>
            <w:pPr>
              <w:pStyle w:val="zyTableNAm"/>
            </w:pPr>
          </w:p>
        </w:tc>
        <w:tc>
          <w:tcPr>
            <w:tcW w:w="4302" w:type="dxa"/>
          </w:tcPr>
          <w:p>
            <w:pPr>
              <w:pStyle w:val="yTableNAm"/>
              <w:tabs>
                <w:tab w:val="left" w:leader="dot" w:pos="4876"/>
              </w:tabs>
              <w:ind w:right="158"/>
            </w:pPr>
            <w:r>
              <w:t>For each kilolitre of water, not being water for which a charge is otherwise provided in item 29 or 31, supplied to land described in by</w:t>
            </w:r>
            <w:r>
              <w:noBreakHyphen/>
              <w:t xml:space="preserve">law 4 that is in the metropolitan area and that is not classified as residential </w:t>
            </w:r>
            <w:r>
              <w:tab/>
            </w:r>
          </w:p>
        </w:tc>
        <w:tc>
          <w:tcPr>
            <w:tcW w:w="1301" w:type="dxa"/>
            <w:vAlign w:val="bottom"/>
          </w:tcPr>
          <w:p>
            <w:pPr>
              <w:pStyle w:val="yTableNAm"/>
              <w:tabs>
                <w:tab w:val="clear" w:pos="567"/>
              </w:tabs>
              <w:ind w:left="-108" w:right="-91"/>
            </w:pPr>
            <w:r>
              <w:t>204.1 cents</w:t>
            </w:r>
          </w:p>
        </w:tc>
      </w:tr>
      <w:tr>
        <w:trPr>
          <w:cantSplit/>
        </w:trPr>
        <w:tc>
          <w:tcPr>
            <w:tcW w:w="774" w:type="dxa"/>
          </w:tcPr>
          <w:p>
            <w:pPr>
              <w:pStyle w:val="yTableNAm"/>
            </w:pPr>
            <w:r>
              <w:rPr>
                <w:b/>
              </w:rPr>
              <w:t>26.</w:t>
            </w:r>
          </w:p>
        </w:tc>
        <w:tc>
          <w:tcPr>
            <w:tcW w:w="4302" w:type="dxa"/>
          </w:tcPr>
          <w:p>
            <w:pPr>
              <w:pStyle w:val="yTableNAm"/>
              <w:tabs>
                <w:tab w:val="left" w:leader="dot" w:pos="4876"/>
              </w:tabs>
              <w:ind w:right="158"/>
            </w:pPr>
            <w:r>
              <w:rPr>
                <w:b/>
              </w:rPr>
              <w:t>Connected non</w:t>
            </w:r>
            <w:r>
              <w:rPr>
                <w:b/>
              </w:rPr>
              <w:noBreakHyphen/>
              <w:t>metropolitan residential exempt</w:t>
            </w:r>
          </w:p>
        </w:tc>
        <w:tc>
          <w:tcPr>
            <w:tcW w:w="1301" w:type="dxa"/>
            <w:vAlign w:val="bottom"/>
          </w:tcPr>
          <w:p>
            <w:pPr>
              <w:pStyle w:val="yTableNAm"/>
            </w:pPr>
          </w:p>
        </w:tc>
      </w:tr>
      <w:tr>
        <w:trPr>
          <w:cantSplit/>
        </w:trPr>
        <w:tc>
          <w:tcPr>
            <w:tcW w:w="774" w:type="dxa"/>
          </w:tcPr>
          <w:p>
            <w:pPr>
              <w:pStyle w:val="zyTableNAm"/>
            </w:pPr>
          </w:p>
        </w:tc>
        <w:tc>
          <w:tcPr>
            <w:tcW w:w="4302" w:type="dxa"/>
          </w:tcPr>
          <w:p>
            <w:pPr>
              <w:pStyle w:val="yTableNAm"/>
              <w:tabs>
                <w:tab w:val="left" w:leader="dot" w:pos="4876"/>
              </w:tabs>
              <w:ind w:right="158"/>
            </w:pPr>
            <w:r>
              <w:t>For each kilolitre of water, not being water for which a charge is otherwise specifically provided in this Division, supplied to land described in by</w:t>
            </w:r>
            <w:r>
              <w:noBreakHyphen/>
              <w:t>law 4 that is comprised in a residential property and is not in the metropolitan area —</w:t>
            </w:r>
          </w:p>
        </w:tc>
        <w:tc>
          <w:tcPr>
            <w:tcW w:w="1301" w:type="dxa"/>
            <w:vAlign w:val="bottom"/>
          </w:tcPr>
          <w:p>
            <w:pPr>
              <w:pStyle w:val="yTableNAm"/>
            </w:pPr>
          </w:p>
        </w:tc>
      </w:tr>
      <w:tr>
        <w:trPr>
          <w:cantSplit/>
        </w:trPr>
        <w:tc>
          <w:tcPr>
            <w:tcW w:w="774" w:type="dxa"/>
          </w:tcPr>
          <w:p>
            <w:pPr>
              <w:pStyle w:val="zyTableNAm"/>
            </w:pPr>
          </w:p>
        </w:tc>
        <w:tc>
          <w:tcPr>
            <w:tcW w:w="4302" w:type="dxa"/>
          </w:tcPr>
          <w:p>
            <w:pPr>
              <w:pStyle w:val="yTableNAm"/>
              <w:tabs>
                <w:tab w:val="clear" w:pos="567"/>
                <w:tab w:val="left" w:pos="372"/>
                <w:tab w:val="right" w:leader="dot" w:pos="4003"/>
              </w:tabs>
              <w:ind w:right="158"/>
            </w:pPr>
            <w:r>
              <w:tab/>
              <w:t xml:space="preserve">up to 300 kL </w:t>
            </w:r>
            <w:r>
              <w:tab/>
            </w:r>
          </w:p>
        </w:tc>
        <w:tc>
          <w:tcPr>
            <w:tcW w:w="1301" w:type="dxa"/>
            <w:vAlign w:val="bottom"/>
          </w:tcPr>
          <w:p>
            <w:pPr>
              <w:pStyle w:val="yTableNAm"/>
              <w:tabs>
                <w:tab w:val="clear" w:pos="567"/>
              </w:tabs>
              <w:ind w:left="-108" w:right="-91"/>
            </w:pPr>
            <w:r>
              <w:t>174.7 cents</w:t>
            </w:r>
          </w:p>
        </w:tc>
      </w:tr>
      <w:tr>
        <w:trPr>
          <w:cantSplit/>
        </w:trPr>
        <w:tc>
          <w:tcPr>
            <w:tcW w:w="774" w:type="dxa"/>
          </w:tcPr>
          <w:p>
            <w:pPr>
              <w:pStyle w:val="zyTableNAm"/>
            </w:pPr>
          </w:p>
        </w:tc>
        <w:tc>
          <w:tcPr>
            <w:tcW w:w="4302" w:type="dxa"/>
          </w:tcPr>
          <w:p>
            <w:pPr>
              <w:pStyle w:val="yTableNAm"/>
              <w:tabs>
                <w:tab w:val="clear" w:pos="567"/>
                <w:tab w:val="left" w:pos="372"/>
                <w:tab w:val="right" w:leader="dot" w:pos="4003"/>
              </w:tabs>
              <w:ind w:right="158"/>
            </w:pPr>
            <w:r>
              <w:tab/>
              <w:t xml:space="preserve">over 300 kL </w:t>
            </w:r>
            <w:r>
              <w:tab/>
            </w:r>
          </w:p>
        </w:tc>
        <w:tc>
          <w:tcPr>
            <w:tcW w:w="1301" w:type="dxa"/>
            <w:vAlign w:val="bottom"/>
          </w:tcPr>
          <w:p>
            <w:pPr>
              <w:pStyle w:val="yTableNAm"/>
              <w:tabs>
                <w:tab w:val="clear" w:pos="567"/>
              </w:tabs>
              <w:ind w:left="-108" w:right="-91"/>
            </w:pPr>
            <w:r>
              <w:t>192.6 cents</w:t>
            </w:r>
          </w:p>
        </w:tc>
      </w:tr>
      <w:tr>
        <w:trPr>
          <w:cantSplit/>
        </w:trPr>
        <w:tc>
          <w:tcPr>
            <w:tcW w:w="774" w:type="dxa"/>
          </w:tcPr>
          <w:p>
            <w:pPr>
              <w:pStyle w:val="yTableNAm"/>
            </w:pPr>
            <w:r>
              <w:rPr>
                <w:b/>
              </w:rPr>
              <w:t>27.</w:t>
            </w:r>
          </w:p>
        </w:tc>
        <w:tc>
          <w:tcPr>
            <w:tcW w:w="4302" w:type="dxa"/>
          </w:tcPr>
          <w:p>
            <w:pPr>
              <w:pStyle w:val="yTableNAm"/>
              <w:tabs>
                <w:tab w:val="left" w:leader="dot" w:pos="4876"/>
              </w:tabs>
              <w:ind w:right="158"/>
            </w:pPr>
            <w:r>
              <w:rPr>
                <w:b/>
                <w:bCs/>
              </w:rPr>
              <w:t>Non</w:t>
            </w:r>
            <w:r>
              <w:rPr>
                <w:b/>
                <w:bCs/>
              </w:rPr>
              <w:noBreakHyphen/>
              <w:t>metropolitan non</w:t>
            </w:r>
            <w:r>
              <w:rPr>
                <w:b/>
                <w:bCs/>
              </w:rPr>
              <w:noBreakHyphen/>
              <w:t>residential</w:t>
            </w:r>
          </w:p>
        </w:tc>
        <w:tc>
          <w:tcPr>
            <w:tcW w:w="1301" w:type="dxa"/>
            <w:vAlign w:val="bottom"/>
          </w:tcPr>
          <w:p>
            <w:pPr>
              <w:pStyle w:val="yTableNAm"/>
            </w:pPr>
          </w:p>
        </w:tc>
      </w:tr>
      <w:tr>
        <w:trPr>
          <w:cantSplit/>
        </w:trPr>
        <w:tc>
          <w:tcPr>
            <w:tcW w:w="774" w:type="dxa"/>
          </w:tcPr>
          <w:p>
            <w:pPr>
              <w:pStyle w:val="zyTableNAm"/>
            </w:pPr>
          </w:p>
        </w:tc>
        <w:tc>
          <w:tcPr>
            <w:tcW w:w="4302" w:type="dxa"/>
          </w:tcPr>
          <w:p>
            <w:pPr>
              <w:pStyle w:val="yTableNAm"/>
              <w:tabs>
                <w:tab w:val="left" w:leader="dot" w:pos="4876"/>
              </w:tabs>
              <w:ind w:right="158"/>
            </w:pPr>
            <w:r>
              <w:t>For each kilolitre of water, not being water for which a charge is otherwise specifically provided in this Division, supplied to land that is not in the metropolitan area and that is neither comprised in a residential property, nor any other land classified as vacant land and held for residential purposes, where the land is classified as — </w:t>
            </w:r>
          </w:p>
        </w:tc>
        <w:tc>
          <w:tcPr>
            <w:tcW w:w="1301" w:type="dxa"/>
            <w:vAlign w:val="bottom"/>
          </w:tcPr>
          <w:p>
            <w:pPr>
              <w:pStyle w:val="yTableNAm"/>
            </w:pPr>
          </w:p>
        </w:tc>
      </w:tr>
      <w:tr>
        <w:trPr>
          <w:cantSplit/>
        </w:trPr>
        <w:tc>
          <w:tcPr>
            <w:tcW w:w="774" w:type="dxa"/>
          </w:tcPr>
          <w:p>
            <w:pPr>
              <w:pStyle w:val="zyTableNAm"/>
            </w:pPr>
          </w:p>
        </w:tc>
        <w:tc>
          <w:tcPr>
            <w:tcW w:w="4302" w:type="dxa"/>
          </w:tcPr>
          <w:p>
            <w:pPr>
              <w:pStyle w:val="yTableNAm"/>
              <w:tabs>
                <w:tab w:val="clear" w:pos="567"/>
                <w:tab w:val="left" w:pos="296"/>
                <w:tab w:val="left" w:pos="776"/>
                <w:tab w:val="left" w:leader="dot" w:pos="4876"/>
              </w:tabs>
              <w:ind w:left="776" w:hanging="776"/>
            </w:pPr>
            <w:r>
              <w:rPr>
                <w:snapToGrid w:val="0"/>
              </w:rPr>
              <w:tab/>
              <w:t>(a)</w:t>
            </w:r>
            <w:r>
              <w:rPr>
                <w:snapToGrid w:val="0"/>
              </w:rPr>
              <w:tab/>
              <w:t>local government —</w:t>
            </w:r>
          </w:p>
        </w:tc>
        <w:tc>
          <w:tcPr>
            <w:tcW w:w="1301" w:type="dxa"/>
            <w:vAlign w:val="bottom"/>
          </w:tcPr>
          <w:p>
            <w:pPr>
              <w:pStyle w:val="yTableNAm"/>
            </w:pPr>
          </w:p>
        </w:tc>
      </w:tr>
      <w:tr>
        <w:trPr>
          <w:cantSplit/>
        </w:trPr>
        <w:tc>
          <w:tcPr>
            <w:tcW w:w="774" w:type="dxa"/>
          </w:tcPr>
          <w:p>
            <w:pPr>
              <w:pStyle w:val="zyTableNAm"/>
            </w:pPr>
          </w:p>
        </w:tc>
        <w:tc>
          <w:tcPr>
            <w:tcW w:w="4302" w:type="dxa"/>
          </w:tcPr>
          <w:p>
            <w:pPr>
              <w:pStyle w:val="yTableNAm"/>
              <w:tabs>
                <w:tab w:val="clear" w:pos="567"/>
                <w:tab w:val="left" w:pos="852"/>
                <w:tab w:val="right" w:leader="dot" w:pos="4003"/>
              </w:tabs>
              <w:ind w:left="848" w:right="158" w:hanging="848"/>
            </w:pPr>
            <w:r>
              <w:tab/>
            </w:r>
            <w:r>
              <w:tab/>
              <w:t xml:space="preserve">up to 300 kL </w:t>
            </w:r>
            <w:r>
              <w:tab/>
            </w:r>
          </w:p>
        </w:tc>
        <w:tc>
          <w:tcPr>
            <w:tcW w:w="1301" w:type="dxa"/>
            <w:vAlign w:val="bottom"/>
          </w:tcPr>
          <w:p>
            <w:pPr>
              <w:pStyle w:val="yTableNAm"/>
              <w:tabs>
                <w:tab w:val="clear" w:pos="567"/>
              </w:tabs>
              <w:ind w:left="-108" w:right="-91"/>
            </w:pPr>
            <w:r>
              <w:t>174.7 cents</w:t>
            </w:r>
          </w:p>
        </w:tc>
      </w:tr>
      <w:tr>
        <w:trPr>
          <w:cantSplit/>
        </w:trPr>
        <w:tc>
          <w:tcPr>
            <w:tcW w:w="774" w:type="dxa"/>
          </w:tcPr>
          <w:p>
            <w:pPr>
              <w:pStyle w:val="zyTableNAm"/>
            </w:pPr>
          </w:p>
        </w:tc>
        <w:tc>
          <w:tcPr>
            <w:tcW w:w="4302" w:type="dxa"/>
          </w:tcPr>
          <w:p>
            <w:pPr>
              <w:pStyle w:val="yTableNAm"/>
              <w:tabs>
                <w:tab w:val="clear" w:pos="567"/>
                <w:tab w:val="left" w:pos="852"/>
                <w:tab w:val="right" w:leader="dot" w:pos="4003"/>
              </w:tabs>
              <w:ind w:left="848" w:right="158" w:hanging="848"/>
            </w:pPr>
            <w:r>
              <w:tab/>
            </w:r>
            <w:r>
              <w:tab/>
              <w:t xml:space="preserve">over 300 kL </w:t>
            </w:r>
            <w:r>
              <w:tab/>
            </w:r>
          </w:p>
        </w:tc>
        <w:tc>
          <w:tcPr>
            <w:tcW w:w="1301" w:type="dxa"/>
            <w:vAlign w:val="bottom"/>
          </w:tcPr>
          <w:p>
            <w:pPr>
              <w:pStyle w:val="yTableNAm"/>
              <w:tabs>
                <w:tab w:val="clear" w:pos="567"/>
              </w:tabs>
              <w:ind w:left="-108" w:right="-91"/>
            </w:pPr>
            <w:r>
              <w:t>192.6 cents</w:t>
            </w:r>
          </w:p>
        </w:tc>
      </w:tr>
      <w:tr>
        <w:trPr>
          <w:cantSplit/>
        </w:trPr>
        <w:tc>
          <w:tcPr>
            <w:tcW w:w="774" w:type="dxa"/>
          </w:tcPr>
          <w:p>
            <w:pPr>
              <w:pStyle w:val="zyTableNAm"/>
            </w:pPr>
          </w:p>
        </w:tc>
        <w:tc>
          <w:tcPr>
            <w:tcW w:w="4302" w:type="dxa"/>
          </w:tcPr>
          <w:p>
            <w:pPr>
              <w:pStyle w:val="yTableNAm"/>
              <w:tabs>
                <w:tab w:val="clear" w:pos="567"/>
                <w:tab w:val="left" w:pos="296"/>
                <w:tab w:val="left" w:pos="776"/>
                <w:tab w:val="left" w:leader="dot" w:pos="4876"/>
              </w:tabs>
              <w:ind w:left="776" w:hanging="776"/>
            </w:pPr>
            <w:r>
              <w:rPr>
                <w:snapToGrid w:val="0"/>
              </w:rPr>
              <w:tab/>
              <w:t>(b)</w:t>
            </w:r>
            <w:r>
              <w:rPr>
                <w:snapToGrid w:val="0"/>
              </w:rPr>
              <w:tab/>
              <w:t>non</w:t>
            </w:r>
            <w:r>
              <w:rPr>
                <w:snapToGrid w:val="0"/>
              </w:rPr>
              <w:noBreakHyphen/>
              <w:t>residential or vacant land (according to the non</w:t>
            </w:r>
            <w:r>
              <w:rPr>
                <w:snapToGrid w:val="0"/>
              </w:rPr>
              <w:noBreakHyphen/>
              <w:t>residential classification of the town/area in which that property is situated, as set out in Schedule 10) —</w:t>
            </w:r>
          </w:p>
        </w:tc>
        <w:tc>
          <w:tcPr>
            <w:tcW w:w="1301" w:type="dxa"/>
            <w:vAlign w:val="bottom"/>
          </w:tcPr>
          <w:p>
            <w:pPr>
              <w:pStyle w:val="yTableNAm"/>
              <w:tabs>
                <w:tab w:val="left" w:pos="852"/>
                <w:tab w:val="left" w:leader="dot" w:pos="4876"/>
              </w:tabs>
              <w:ind w:right="158"/>
            </w:pPr>
          </w:p>
        </w:tc>
      </w:tr>
    </w:tbl>
    <w:p>
      <w:pPr>
        <w:pStyle w:val="yMiscellaneousBody"/>
      </w:pPr>
    </w:p>
    <w:tbl>
      <w:tblPr>
        <w:tblW w:w="6378" w:type="dxa"/>
        <w:tblInd w:w="454" w:type="dxa"/>
        <w:tblLayout w:type="fixed"/>
        <w:tblCellMar>
          <w:left w:w="28" w:type="dxa"/>
          <w:right w:w="28" w:type="dxa"/>
        </w:tblCellMar>
        <w:tblLook w:val="0000" w:firstRow="0" w:lastRow="0" w:firstColumn="0" w:lastColumn="0" w:noHBand="0" w:noVBand="0"/>
      </w:tblPr>
      <w:tblGrid>
        <w:gridCol w:w="1854"/>
        <w:gridCol w:w="2262"/>
        <w:gridCol w:w="2262"/>
      </w:tblGrid>
      <w:tr>
        <w:trPr>
          <w:cantSplit/>
          <w:trHeight w:val="217"/>
          <w:tblHeader/>
        </w:trPr>
        <w:tc>
          <w:tcPr>
            <w:tcW w:w="1854" w:type="dxa"/>
            <w:vMerge w:val="restart"/>
            <w:tcBorders>
              <w:top w:val="single" w:sz="4" w:space="0" w:color="auto"/>
            </w:tcBorders>
          </w:tcPr>
          <w:p>
            <w:pPr>
              <w:pStyle w:val="yTableNAm"/>
              <w:keepNext/>
            </w:pPr>
            <w:r>
              <w:rPr>
                <w:b/>
                <w:bCs/>
              </w:rPr>
              <w:t>Class</w:t>
            </w:r>
          </w:p>
        </w:tc>
        <w:tc>
          <w:tcPr>
            <w:tcW w:w="4524" w:type="dxa"/>
            <w:gridSpan w:val="2"/>
            <w:tcBorders>
              <w:top w:val="single" w:sz="4" w:space="0" w:color="auto"/>
            </w:tcBorders>
          </w:tcPr>
          <w:p>
            <w:pPr>
              <w:pStyle w:val="yTableNAm"/>
              <w:keepNext/>
              <w:jc w:val="center"/>
            </w:pPr>
            <w:r>
              <w:rPr>
                <w:b/>
                <w:bCs/>
              </w:rPr>
              <w:t>Consumption (kL)</w:t>
            </w:r>
          </w:p>
        </w:tc>
      </w:tr>
      <w:tr>
        <w:trPr>
          <w:cantSplit/>
          <w:trHeight w:val="217"/>
          <w:tblHeader/>
        </w:trPr>
        <w:tc>
          <w:tcPr>
            <w:tcW w:w="1854" w:type="dxa"/>
            <w:vMerge/>
            <w:tcBorders>
              <w:bottom w:val="single" w:sz="4" w:space="0" w:color="auto"/>
            </w:tcBorders>
          </w:tcPr>
          <w:p>
            <w:pPr>
              <w:pStyle w:val="zyTableNAm"/>
              <w:keepNext/>
              <w:rPr>
                <w:b/>
                <w:bCs/>
              </w:rPr>
            </w:pPr>
          </w:p>
        </w:tc>
        <w:tc>
          <w:tcPr>
            <w:tcW w:w="2262" w:type="dxa"/>
            <w:tcBorders>
              <w:bottom w:val="single" w:sz="4" w:space="0" w:color="auto"/>
            </w:tcBorders>
          </w:tcPr>
          <w:p>
            <w:pPr>
              <w:pStyle w:val="yTableNAm"/>
              <w:keepNext/>
              <w:jc w:val="center"/>
            </w:pPr>
            <w:r>
              <w:rPr>
                <w:b/>
                <w:bCs/>
              </w:rPr>
              <w:t>Up to 300</w:t>
            </w:r>
          </w:p>
        </w:tc>
        <w:tc>
          <w:tcPr>
            <w:tcW w:w="2262" w:type="dxa"/>
            <w:tcBorders>
              <w:bottom w:val="single" w:sz="4" w:space="0" w:color="auto"/>
            </w:tcBorders>
          </w:tcPr>
          <w:p>
            <w:pPr>
              <w:pStyle w:val="yTableNAm"/>
              <w:keepNext/>
              <w:jc w:val="center"/>
            </w:pPr>
            <w:r>
              <w:rPr>
                <w:b/>
                <w:bCs/>
              </w:rPr>
              <w:t>Over 300</w:t>
            </w:r>
          </w:p>
        </w:tc>
      </w:tr>
      <w:tr>
        <w:tc>
          <w:tcPr>
            <w:tcW w:w="1854" w:type="dxa"/>
            <w:tcBorders>
              <w:top w:val="single" w:sz="4" w:space="0" w:color="auto"/>
            </w:tcBorders>
          </w:tcPr>
          <w:p>
            <w:pPr>
              <w:pStyle w:val="yTableNAm"/>
            </w:pPr>
            <w:r>
              <w:rPr>
                <w:bCs/>
              </w:rPr>
              <w:t>Class 1 (c/kL)</w:t>
            </w:r>
          </w:p>
        </w:tc>
        <w:tc>
          <w:tcPr>
            <w:tcW w:w="2262" w:type="dxa"/>
            <w:tcBorders>
              <w:top w:val="single" w:sz="4" w:space="0" w:color="auto"/>
            </w:tcBorders>
            <w:vAlign w:val="bottom"/>
          </w:tcPr>
          <w:p>
            <w:pPr>
              <w:pStyle w:val="yTableNAm"/>
              <w:jc w:val="center"/>
            </w:pPr>
            <w:r>
              <w:t>174.7</w:t>
            </w:r>
          </w:p>
        </w:tc>
        <w:tc>
          <w:tcPr>
            <w:tcW w:w="2262" w:type="dxa"/>
            <w:tcBorders>
              <w:top w:val="single" w:sz="4" w:space="0" w:color="auto"/>
            </w:tcBorders>
            <w:vAlign w:val="bottom"/>
          </w:tcPr>
          <w:p>
            <w:pPr>
              <w:pStyle w:val="yTableNAm"/>
              <w:jc w:val="center"/>
            </w:pPr>
            <w:r>
              <w:t>192.6</w:t>
            </w:r>
          </w:p>
        </w:tc>
      </w:tr>
      <w:tr>
        <w:tc>
          <w:tcPr>
            <w:tcW w:w="1854" w:type="dxa"/>
          </w:tcPr>
          <w:p>
            <w:pPr>
              <w:pStyle w:val="yTableNAm"/>
            </w:pPr>
            <w:r>
              <w:rPr>
                <w:bCs/>
              </w:rPr>
              <w:t>Class 2 (c/kL)</w:t>
            </w:r>
          </w:p>
        </w:tc>
        <w:tc>
          <w:tcPr>
            <w:tcW w:w="2262" w:type="dxa"/>
            <w:vAlign w:val="bottom"/>
          </w:tcPr>
          <w:p>
            <w:pPr>
              <w:pStyle w:val="yTableNAm"/>
              <w:jc w:val="center"/>
            </w:pPr>
            <w:r>
              <w:t>191.6</w:t>
            </w:r>
          </w:p>
        </w:tc>
        <w:tc>
          <w:tcPr>
            <w:tcW w:w="2262" w:type="dxa"/>
            <w:vAlign w:val="bottom"/>
          </w:tcPr>
          <w:p>
            <w:pPr>
              <w:pStyle w:val="yTableNAm"/>
              <w:jc w:val="center"/>
            </w:pPr>
            <w:r>
              <w:t>209.8</w:t>
            </w:r>
          </w:p>
        </w:tc>
      </w:tr>
      <w:tr>
        <w:tc>
          <w:tcPr>
            <w:tcW w:w="1854" w:type="dxa"/>
          </w:tcPr>
          <w:p>
            <w:pPr>
              <w:pStyle w:val="yTableNAm"/>
            </w:pPr>
            <w:r>
              <w:rPr>
                <w:bCs/>
              </w:rPr>
              <w:t>Class 3 (c/kL)</w:t>
            </w:r>
          </w:p>
        </w:tc>
        <w:tc>
          <w:tcPr>
            <w:tcW w:w="2262" w:type="dxa"/>
            <w:vAlign w:val="bottom"/>
          </w:tcPr>
          <w:p>
            <w:pPr>
              <w:pStyle w:val="yTableNAm"/>
              <w:jc w:val="center"/>
            </w:pPr>
            <w:r>
              <w:t>209.8</w:t>
            </w:r>
          </w:p>
        </w:tc>
        <w:tc>
          <w:tcPr>
            <w:tcW w:w="2262" w:type="dxa"/>
            <w:vAlign w:val="bottom"/>
          </w:tcPr>
          <w:p>
            <w:pPr>
              <w:pStyle w:val="yTableNAm"/>
              <w:jc w:val="center"/>
            </w:pPr>
            <w:r>
              <w:t>228.2</w:t>
            </w:r>
          </w:p>
        </w:tc>
      </w:tr>
      <w:tr>
        <w:tc>
          <w:tcPr>
            <w:tcW w:w="1854" w:type="dxa"/>
          </w:tcPr>
          <w:p>
            <w:pPr>
              <w:pStyle w:val="yTableNAm"/>
            </w:pPr>
            <w:r>
              <w:rPr>
                <w:bCs/>
              </w:rPr>
              <w:t>Class 4 (c/kL)</w:t>
            </w:r>
          </w:p>
        </w:tc>
        <w:tc>
          <w:tcPr>
            <w:tcW w:w="2262" w:type="dxa"/>
            <w:vAlign w:val="bottom"/>
          </w:tcPr>
          <w:p>
            <w:pPr>
              <w:pStyle w:val="yTableNAm"/>
              <w:jc w:val="center"/>
            </w:pPr>
            <w:r>
              <w:t>230.0</w:t>
            </w:r>
          </w:p>
        </w:tc>
        <w:tc>
          <w:tcPr>
            <w:tcW w:w="2262" w:type="dxa"/>
            <w:vAlign w:val="bottom"/>
          </w:tcPr>
          <w:p>
            <w:pPr>
              <w:pStyle w:val="yTableNAm"/>
              <w:jc w:val="center"/>
            </w:pPr>
            <w:r>
              <w:t>248.6</w:t>
            </w:r>
          </w:p>
        </w:tc>
      </w:tr>
      <w:tr>
        <w:tc>
          <w:tcPr>
            <w:tcW w:w="1854" w:type="dxa"/>
          </w:tcPr>
          <w:p>
            <w:pPr>
              <w:pStyle w:val="yTableNAm"/>
            </w:pPr>
            <w:r>
              <w:rPr>
                <w:bCs/>
              </w:rPr>
              <w:t>Class 5 (c/kL)</w:t>
            </w:r>
          </w:p>
        </w:tc>
        <w:tc>
          <w:tcPr>
            <w:tcW w:w="2262" w:type="dxa"/>
            <w:vAlign w:val="bottom"/>
          </w:tcPr>
          <w:p>
            <w:pPr>
              <w:pStyle w:val="yTableNAm"/>
              <w:jc w:val="center"/>
            </w:pPr>
            <w:r>
              <w:t>252.2</w:t>
            </w:r>
          </w:p>
        </w:tc>
        <w:tc>
          <w:tcPr>
            <w:tcW w:w="2262" w:type="dxa"/>
            <w:vAlign w:val="bottom"/>
          </w:tcPr>
          <w:p>
            <w:pPr>
              <w:pStyle w:val="yTableNAm"/>
              <w:jc w:val="center"/>
            </w:pPr>
            <w:r>
              <w:t>270.7</w:t>
            </w:r>
          </w:p>
        </w:tc>
      </w:tr>
      <w:tr>
        <w:tc>
          <w:tcPr>
            <w:tcW w:w="1854" w:type="dxa"/>
          </w:tcPr>
          <w:p>
            <w:pPr>
              <w:pStyle w:val="yTableNAm"/>
            </w:pPr>
            <w:r>
              <w:rPr>
                <w:bCs/>
              </w:rPr>
              <w:t>Class 6 (c/kL)</w:t>
            </w:r>
          </w:p>
        </w:tc>
        <w:tc>
          <w:tcPr>
            <w:tcW w:w="2262" w:type="dxa"/>
            <w:vAlign w:val="bottom"/>
          </w:tcPr>
          <w:p>
            <w:pPr>
              <w:pStyle w:val="yTableNAm"/>
              <w:jc w:val="center"/>
            </w:pPr>
            <w:r>
              <w:t>274.4</w:t>
            </w:r>
          </w:p>
        </w:tc>
        <w:tc>
          <w:tcPr>
            <w:tcW w:w="2262" w:type="dxa"/>
            <w:vAlign w:val="bottom"/>
          </w:tcPr>
          <w:p>
            <w:pPr>
              <w:pStyle w:val="yTableNAm"/>
              <w:jc w:val="center"/>
            </w:pPr>
            <w:r>
              <w:t>294.8</w:t>
            </w:r>
          </w:p>
        </w:tc>
      </w:tr>
      <w:tr>
        <w:tc>
          <w:tcPr>
            <w:tcW w:w="1854" w:type="dxa"/>
          </w:tcPr>
          <w:p>
            <w:pPr>
              <w:pStyle w:val="yTableNAm"/>
            </w:pPr>
            <w:r>
              <w:rPr>
                <w:bCs/>
              </w:rPr>
              <w:t>Class 7 (c/kL)</w:t>
            </w:r>
          </w:p>
        </w:tc>
        <w:tc>
          <w:tcPr>
            <w:tcW w:w="2262" w:type="dxa"/>
            <w:vAlign w:val="bottom"/>
          </w:tcPr>
          <w:p>
            <w:pPr>
              <w:pStyle w:val="yTableNAm"/>
              <w:jc w:val="center"/>
            </w:pPr>
            <w:r>
              <w:t>298.6</w:t>
            </w:r>
          </w:p>
        </w:tc>
        <w:tc>
          <w:tcPr>
            <w:tcW w:w="2262" w:type="dxa"/>
            <w:vAlign w:val="bottom"/>
          </w:tcPr>
          <w:p>
            <w:pPr>
              <w:pStyle w:val="yTableNAm"/>
              <w:jc w:val="center"/>
            </w:pPr>
            <w:r>
              <w:t>321.1</w:t>
            </w:r>
          </w:p>
        </w:tc>
      </w:tr>
      <w:tr>
        <w:tc>
          <w:tcPr>
            <w:tcW w:w="1854" w:type="dxa"/>
          </w:tcPr>
          <w:p>
            <w:pPr>
              <w:pStyle w:val="yTableNAm"/>
            </w:pPr>
            <w:r>
              <w:rPr>
                <w:bCs/>
              </w:rPr>
              <w:t>Class 8 (c/kL)</w:t>
            </w:r>
          </w:p>
        </w:tc>
        <w:tc>
          <w:tcPr>
            <w:tcW w:w="2262" w:type="dxa"/>
            <w:vAlign w:val="bottom"/>
          </w:tcPr>
          <w:p>
            <w:pPr>
              <w:pStyle w:val="yTableNAm"/>
              <w:jc w:val="center"/>
            </w:pPr>
            <w:r>
              <w:t>324.2</w:t>
            </w:r>
          </w:p>
        </w:tc>
        <w:tc>
          <w:tcPr>
            <w:tcW w:w="2262" w:type="dxa"/>
            <w:vAlign w:val="bottom"/>
          </w:tcPr>
          <w:p>
            <w:pPr>
              <w:pStyle w:val="yTableNAm"/>
              <w:jc w:val="center"/>
            </w:pPr>
            <w:r>
              <w:t>349.6</w:t>
            </w:r>
          </w:p>
        </w:tc>
      </w:tr>
      <w:tr>
        <w:tc>
          <w:tcPr>
            <w:tcW w:w="1854" w:type="dxa"/>
          </w:tcPr>
          <w:p>
            <w:pPr>
              <w:pStyle w:val="yTableNAm"/>
            </w:pPr>
            <w:r>
              <w:rPr>
                <w:bCs/>
              </w:rPr>
              <w:t>Class 9 (c/kL)</w:t>
            </w:r>
          </w:p>
        </w:tc>
        <w:tc>
          <w:tcPr>
            <w:tcW w:w="2262" w:type="dxa"/>
            <w:vAlign w:val="bottom"/>
          </w:tcPr>
          <w:p>
            <w:pPr>
              <w:pStyle w:val="yTableNAm"/>
              <w:jc w:val="center"/>
            </w:pPr>
            <w:r>
              <w:t>352.0</w:t>
            </w:r>
          </w:p>
        </w:tc>
        <w:tc>
          <w:tcPr>
            <w:tcW w:w="2262" w:type="dxa"/>
            <w:vAlign w:val="bottom"/>
          </w:tcPr>
          <w:p>
            <w:pPr>
              <w:pStyle w:val="yTableNAm"/>
              <w:jc w:val="center"/>
            </w:pPr>
            <w:r>
              <w:t>380.7</w:t>
            </w:r>
          </w:p>
        </w:tc>
      </w:tr>
      <w:tr>
        <w:tc>
          <w:tcPr>
            <w:tcW w:w="1854" w:type="dxa"/>
          </w:tcPr>
          <w:p>
            <w:pPr>
              <w:pStyle w:val="yTableNAm"/>
            </w:pPr>
            <w:r>
              <w:rPr>
                <w:bCs/>
              </w:rPr>
              <w:t>Class 10 (c/kL)</w:t>
            </w:r>
          </w:p>
        </w:tc>
        <w:tc>
          <w:tcPr>
            <w:tcW w:w="2262" w:type="dxa"/>
            <w:vAlign w:val="bottom"/>
          </w:tcPr>
          <w:p>
            <w:pPr>
              <w:pStyle w:val="yTableNAm"/>
              <w:jc w:val="center"/>
            </w:pPr>
            <w:r>
              <w:t>379.0</w:t>
            </w:r>
          </w:p>
        </w:tc>
        <w:tc>
          <w:tcPr>
            <w:tcW w:w="2262" w:type="dxa"/>
            <w:vAlign w:val="bottom"/>
          </w:tcPr>
          <w:p>
            <w:pPr>
              <w:pStyle w:val="yTableNAm"/>
              <w:jc w:val="center"/>
            </w:pPr>
            <w:r>
              <w:t>414.6</w:t>
            </w:r>
          </w:p>
        </w:tc>
      </w:tr>
      <w:tr>
        <w:tc>
          <w:tcPr>
            <w:tcW w:w="1854" w:type="dxa"/>
          </w:tcPr>
          <w:p>
            <w:pPr>
              <w:pStyle w:val="yTableNAm"/>
            </w:pPr>
            <w:r>
              <w:rPr>
                <w:bCs/>
              </w:rPr>
              <w:t>Class 11 (c/kL)</w:t>
            </w:r>
          </w:p>
        </w:tc>
        <w:tc>
          <w:tcPr>
            <w:tcW w:w="2262" w:type="dxa"/>
            <w:vAlign w:val="bottom"/>
          </w:tcPr>
          <w:p>
            <w:pPr>
              <w:pStyle w:val="yTableNAm"/>
              <w:jc w:val="center"/>
            </w:pPr>
            <w:r>
              <w:t>413.5</w:t>
            </w:r>
          </w:p>
        </w:tc>
        <w:tc>
          <w:tcPr>
            <w:tcW w:w="2262" w:type="dxa"/>
            <w:vAlign w:val="bottom"/>
          </w:tcPr>
          <w:p>
            <w:pPr>
              <w:pStyle w:val="yTableNAm"/>
              <w:jc w:val="center"/>
            </w:pPr>
            <w:r>
              <w:t>451.4</w:t>
            </w:r>
          </w:p>
        </w:tc>
      </w:tr>
      <w:tr>
        <w:tc>
          <w:tcPr>
            <w:tcW w:w="1854" w:type="dxa"/>
          </w:tcPr>
          <w:p>
            <w:pPr>
              <w:pStyle w:val="yTableNAm"/>
            </w:pPr>
            <w:r>
              <w:rPr>
                <w:bCs/>
              </w:rPr>
              <w:t>Class 12 (c/kL)</w:t>
            </w:r>
          </w:p>
        </w:tc>
        <w:tc>
          <w:tcPr>
            <w:tcW w:w="2262" w:type="dxa"/>
            <w:vAlign w:val="bottom"/>
          </w:tcPr>
          <w:p>
            <w:pPr>
              <w:pStyle w:val="yTableNAm"/>
              <w:jc w:val="center"/>
            </w:pPr>
            <w:r>
              <w:t>451.3</w:t>
            </w:r>
          </w:p>
        </w:tc>
        <w:tc>
          <w:tcPr>
            <w:tcW w:w="2262" w:type="dxa"/>
            <w:vAlign w:val="bottom"/>
          </w:tcPr>
          <w:p>
            <w:pPr>
              <w:pStyle w:val="yTableNAm"/>
              <w:jc w:val="center"/>
            </w:pPr>
            <w:r>
              <w:t>491.6</w:t>
            </w:r>
          </w:p>
        </w:tc>
      </w:tr>
      <w:tr>
        <w:tc>
          <w:tcPr>
            <w:tcW w:w="1854" w:type="dxa"/>
          </w:tcPr>
          <w:p>
            <w:pPr>
              <w:pStyle w:val="yTableNAm"/>
            </w:pPr>
            <w:r>
              <w:rPr>
                <w:bCs/>
              </w:rPr>
              <w:t>Class 13 (c/kL)</w:t>
            </w:r>
          </w:p>
        </w:tc>
        <w:tc>
          <w:tcPr>
            <w:tcW w:w="2262" w:type="dxa"/>
            <w:vAlign w:val="bottom"/>
          </w:tcPr>
          <w:p>
            <w:pPr>
              <w:pStyle w:val="yTableNAm"/>
              <w:jc w:val="center"/>
            </w:pPr>
            <w:r>
              <w:t>492.4</w:t>
            </w:r>
          </w:p>
        </w:tc>
        <w:tc>
          <w:tcPr>
            <w:tcW w:w="2262" w:type="dxa"/>
            <w:vAlign w:val="bottom"/>
          </w:tcPr>
          <w:p>
            <w:pPr>
              <w:pStyle w:val="yTableNAm"/>
              <w:jc w:val="center"/>
            </w:pPr>
            <w:r>
              <w:t>535.3</w:t>
            </w:r>
          </w:p>
        </w:tc>
      </w:tr>
      <w:tr>
        <w:tc>
          <w:tcPr>
            <w:tcW w:w="1854" w:type="dxa"/>
          </w:tcPr>
          <w:p>
            <w:pPr>
              <w:pStyle w:val="yTableNAm"/>
            </w:pPr>
            <w:r>
              <w:rPr>
                <w:bCs/>
              </w:rPr>
              <w:t>Class 14 (c/kL)</w:t>
            </w:r>
          </w:p>
        </w:tc>
        <w:tc>
          <w:tcPr>
            <w:tcW w:w="2262" w:type="dxa"/>
            <w:vAlign w:val="bottom"/>
          </w:tcPr>
          <w:p>
            <w:pPr>
              <w:pStyle w:val="yTableNAm"/>
              <w:jc w:val="center"/>
            </w:pPr>
            <w:r>
              <w:t>537.3</w:t>
            </w:r>
          </w:p>
        </w:tc>
        <w:tc>
          <w:tcPr>
            <w:tcW w:w="2262" w:type="dxa"/>
            <w:vAlign w:val="bottom"/>
          </w:tcPr>
          <w:p>
            <w:pPr>
              <w:pStyle w:val="yTableNAm"/>
              <w:jc w:val="center"/>
            </w:pPr>
            <w:r>
              <w:t>582.9</w:t>
            </w:r>
          </w:p>
        </w:tc>
      </w:tr>
      <w:tr>
        <w:tc>
          <w:tcPr>
            <w:tcW w:w="1854" w:type="dxa"/>
            <w:tcBorders>
              <w:bottom w:val="single" w:sz="4" w:space="0" w:color="auto"/>
            </w:tcBorders>
          </w:tcPr>
          <w:p>
            <w:pPr>
              <w:pStyle w:val="yTableNAm"/>
            </w:pPr>
            <w:r>
              <w:rPr>
                <w:bCs/>
              </w:rPr>
              <w:t>Class 15 (c/kL)</w:t>
            </w:r>
          </w:p>
        </w:tc>
        <w:tc>
          <w:tcPr>
            <w:tcW w:w="2262" w:type="dxa"/>
            <w:tcBorders>
              <w:bottom w:val="single" w:sz="4" w:space="0" w:color="auto"/>
            </w:tcBorders>
            <w:vAlign w:val="bottom"/>
          </w:tcPr>
          <w:p>
            <w:pPr>
              <w:pStyle w:val="yTableNAm"/>
              <w:jc w:val="center"/>
            </w:pPr>
            <w:r>
              <w:t>586.2</w:t>
            </w:r>
          </w:p>
        </w:tc>
        <w:tc>
          <w:tcPr>
            <w:tcW w:w="2262" w:type="dxa"/>
            <w:tcBorders>
              <w:bottom w:val="single" w:sz="4" w:space="0" w:color="auto"/>
            </w:tcBorders>
            <w:vAlign w:val="bottom"/>
          </w:tcPr>
          <w:p>
            <w:pPr>
              <w:pStyle w:val="yTableNAm"/>
              <w:jc w:val="center"/>
            </w:pPr>
            <w:r>
              <w:t>634.7</w:t>
            </w:r>
          </w:p>
        </w:tc>
      </w:tr>
    </w:tbl>
    <w:p>
      <w:pPr>
        <w:pStyle w:val="yMiscellaneousBody"/>
      </w:pPr>
    </w:p>
    <w:tbl>
      <w:tblPr>
        <w:tblW w:w="0" w:type="auto"/>
        <w:tblInd w:w="534" w:type="dxa"/>
        <w:tblLook w:val="0000" w:firstRow="0" w:lastRow="0" w:firstColumn="0" w:lastColumn="0" w:noHBand="0" w:noVBand="0"/>
      </w:tblPr>
      <w:tblGrid>
        <w:gridCol w:w="750"/>
        <w:gridCol w:w="4336"/>
        <w:gridCol w:w="1292"/>
      </w:tblGrid>
      <w:tr>
        <w:trPr>
          <w:cantSplit/>
        </w:trPr>
        <w:tc>
          <w:tcPr>
            <w:tcW w:w="750" w:type="dxa"/>
          </w:tcPr>
          <w:p>
            <w:pPr>
              <w:pStyle w:val="zyTableNAm"/>
            </w:pPr>
          </w:p>
        </w:tc>
        <w:tc>
          <w:tcPr>
            <w:tcW w:w="4336" w:type="dxa"/>
          </w:tcPr>
          <w:p>
            <w:pPr>
              <w:pStyle w:val="yTableNAm"/>
              <w:tabs>
                <w:tab w:val="clear" w:pos="567"/>
                <w:tab w:val="left" w:pos="296"/>
                <w:tab w:val="left" w:pos="776"/>
                <w:tab w:val="left" w:leader="dot" w:pos="4876"/>
              </w:tabs>
              <w:ind w:left="776" w:hanging="776"/>
            </w:pPr>
            <w:r>
              <w:rPr>
                <w:snapToGrid w:val="0"/>
              </w:rPr>
              <w:tab/>
              <w:t>(c)</w:t>
            </w:r>
            <w:r>
              <w:rPr>
                <w:snapToGrid w:val="0"/>
              </w:rPr>
              <w:tab/>
              <w:t>farmland —</w:t>
            </w:r>
          </w:p>
        </w:tc>
        <w:tc>
          <w:tcPr>
            <w:tcW w:w="1292" w:type="dxa"/>
            <w:vAlign w:val="bottom"/>
          </w:tcPr>
          <w:p>
            <w:pPr>
              <w:pStyle w:val="yTableNAm"/>
            </w:pPr>
          </w:p>
        </w:tc>
      </w:tr>
      <w:tr>
        <w:trPr>
          <w:cantSplit/>
        </w:trPr>
        <w:tc>
          <w:tcPr>
            <w:tcW w:w="750" w:type="dxa"/>
          </w:tcPr>
          <w:p>
            <w:pPr>
              <w:pStyle w:val="zyTableNAm"/>
            </w:pPr>
          </w:p>
        </w:tc>
        <w:tc>
          <w:tcPr>
            <w:tcW w:w="4336" w:type="dxa"/>
          </w:tcPr>
          <w:p>
            <w:pPr>
              <w:pStyle w:val="yTableNAm"/>
              <w:tabs>
                <w:tab w:val="clear" w:pos="567"/>
                <w:tab w:val="left" w:pos="852"/>
                <w:tab w:val="right" w:leader="dot" w:pos="4003"/>
              </w:tabs>
              <w:ind w:left="848" w:right="158" w:hanging="848"/>
            </w:pPr>
            <w:r>
              <w:tab/>
            </w:r>
            <w:r>
              <w:tab/>
              <w:t xml:space="preserve">all water supplied </w:t>
            </w:r>
            <w:r>
              <w:tab/>
            </w:r>
          </w:p>
        </w:tc>
        <w:tc>
          <w:tcPr>
            <w:tcW w:w="1292" w:type="dxa"/>
            <w:vAlign w:val="bottom"/>
          </w:tcPr>
          <w:p>
            <w:pPr>
              <w:pStyle w:val="yTableNAm"/>
            </w:pPr>
            <w:r>
              <w:t>171.3 cents</w:t>
            </w:r>
          </w:p>
        </w:tc>
      </w:tr>
      <w:tr>
        <w:trPr>
          <w:cantSplit/>
        </w:trPr>
        <w:tc>
          <w:tcPr>
            <w:tcW w:w="750" w:type="dxa"/>
          </w:tcPr>
          <w:p>
            <w:pPr>
              <w:pStyle w:val="zyTableNAm"/>
            </w:pPr>
          </w:p>
        </w:tc>
        <w:tc>
          <w:tcPr>
            <w:tcW w:w="4336" w:type="dxa"/>
          </w:tcPr>
          <w:p>
            <w:pPr>
              <w:pStyle w:val="yTableNAm"/>
              <w:tabs>
                <w:tab w:val="clear" w:pos="567"/>
                <w:tab w:val="left" w:pos="296"/>
                <w:tab w:val="left" w:pos="776"/>
                <w:tab w:val="left" w:leader="dot" w:pos="4876"/>
              </w:tabs>
              <w:ind w:left="776" w:hanging="776"/>
              <w:rPr>
                <w:snapToGrid w:val="0"/>
              </w:rPr>
            </w:pPr>
            <w:r>
              <w:rPr>
                <w:snapToGrid w:val="0"/>
              </w:rPr>
              <w:tab/>
              <w:t>(d)</w:t>
            </w:r>
            <w:r>
              <w:rPr>
                <w:snapToGrid w:val="0"/>
              </w:rPr>
              <w:tab/>
              <w:t>mining —</w:t>
            </w:r>
          </w:p>
        </w:tc>
        <w:tc>
          <w:tcPr>
            <w:tcW w:w="1292" w:type="dxa"/>
            <w:vAlign w:val="bottom"/>
          </w:tcPr>
          <w:p>
            <w:pPr>
              <w:pStyle w:val="yTableNAm"/>
            </w:pPr>
          </w:p>
        </w:tc>
      </w:tr>
      <w:tr>
        <w:trPr>
          <w:cantSplit/>
        </w:trPr>
        <w:tc>
          <w:tcPr>
            <w:tcW w:w="750" w:type="dxa"/>
          </w:tcPr>
          <w:p>
            <w:pPr>
              <w:pStyle w:val="zyTableNAm"/>
            </w:pPr>
          </w:p>
        </w:tc>
        <w:tc>
          <w:tcPr>
            <w:tcW w:w="4336" w:type="dxa"/>
          </w:tcPr>
          <w:p>
            <w:pPr>
              <w:pStyle w:val="yTableNAm"/>
              <w:tabs>
                <w:tab w:val="clear" w:pos="567"/>
                <w:tab w:val="left" w:pos="852"/>
                <w:tab w:val="right" w:leader="dot" w:pos="4003"/>
              </w:tabs>
              <w:ind w:left="848" w:right="158" w:hanging="848"/>
              <w:rPr>
                <w:snapToGrid w:val="0"/>
              </w:rPr>
            </w:pPr>
            <w:r>
              <w:rPr>
                <w:snapToGrid w:val="0"/>
              </w:rPr>
              <w:tab/>
            </w:r>
            <w:r>
              <w:rPr>
                <w:snapToGrid w:val="0"/>
              </w:rPr>
              <w:tab/>
            </w:r>
            <w:r>
              <w:t>all</w:t>
            </w:r>
            <w:r>
              <w:rPr>
                <w:snapToGrid w:val="0"/>
              </w:rPr>
              <w:t xml:space="preserve"> water supplied </w:t>
            </w:r>
            <w:r>
              <w:rPr>
                <w:snapToGrid w:val="0"/>
              </w:rPr>
              <w:tab/>
            </w:r>
          </w:p>
        </w:tc>
        <w:tc>
          <w:tcPr>
            <w:tcW w:w="1292" w:type="dxa"/>
            <w:vAlign w:val="bottom"/>
          </w:tcPr>
          <w:p>
            <w:pPr>
              <w:pStyle w:val="yTableNAm"/>
            </w:pPr>
            <w:r>
              <w:t>322.1 cents</w:t>
            </w:r>
          </w:p>
        </w:tc>
      </w:tr>
      <w:tr>
        <w:trPr>
          <w:cantSplit/>
        </w:trPr>
        <w:tc>
          <w:tcPr>
            <w:tcW w:w="750" w:type="dxa"/>
          </w:tcPr>
          <w:p>
            <w:pPr>
              <w:pStyle w:val="zyTableNAm"/>
            </w:pPr>
          </w:p>
        </w:tc>
        <w:tc>
          <w:tcPr>
            <w:tcW w:w="4336" w:type="dxa"/>
          </w:tcPr>
          <w:p>
            <w:pPr>
              <w:pStyle w:val="yTableNAm"/>
              <w:tabs>
                <w:tab w:val="clear" w:pos="567"/>
                <w:tab w:val="left" w:pos="296"/>
                <w:tab w:val="left" w:pos="776"/>
                <w:tab w:val="left" w:leader="dot" w:pos="4876"/>
              </w:tabs>
              <w:ind w:left="776" w:hanging="776"/>
              <w:rPr>
                <w:snapToGrid w:val="0"/>
              </w:rPr>
            </w:pPr>
            <w:r>
              <w:rPr>
                <w:snapToGrid w:val="0"/>
              </w:rPr>
              <w:tab/>
              <w:t>(e)</w:t>
            </w:r>
            <w:r>
              <w:rPr>
                <w:snapToGrid w:val="0"/>
              </w:rPr>
              <w:tab/>
              <w:t>institutional public —</w:t>
            </w:r>
          </w:p>
        </w:tc>
        <w:tc>
          <w:tcPr>
            <w:tcW w:w="1292" w:type="dxa"/>
            <w:vAlign w:val="bottom"/>
          </w:tcPr>
          <w:p>
            <w:pPr>
              <w:pStyle w:val="yTableNAm"/>
            </w:pPr>
          </w:p>
        </w:tc>
      </w:tr>
      <w:tr>
        <w:trPr>
          <w:cantSplit/>
        </w:trPr>
        <w:tc>
          <w:tcPr>
            <w:tcW w:w="750" w:type="dxa"/>
          </w:tcPr>
          <w:p>
            <w:pPr>
              <w:pStyle w:val="zyTableNAm"/>
            </w:pPr>
          </w:p>
        </w:tc>
        <w:tc>
          <w:tcPr>
            <w:tcW w:w="4336" w:type="dxa"/>
          </w:tcPr>
          <w:p>
            <w:pPr>
              <w:pStyle w:val="yTableNAm"/>
              <w:tabs>
                <w:tab w:val="clear" w:pos="567"/>
                <w:tab w:val="left" w:pos="852"/>
                <w:tab w:val="right" w:leader="dot" w:pos="4003"/>
              </w:tabs>
              <w:ind w:left="848" w:right="158" w:hanging="848"/>
            </w:pPr>
            <w:r>
              <w:tab/>
            </w:r>
            <w:r>
              <w:tab/>
              <w:t xml:space="preserve">up to 300 kL </w:t>
            </w:r>
            <w:r>
              <w:tab/>
            </w:r>
          </w:p>
        </w:tc>
        <w:tc>
          <w:tcPr>
            <w:tcW w:w="1292" w:type="dxa"/>
            <w:vAlign w:val="bottom"/>
          </w:tcPr>
          <w:p>
            <w:pPr>
              <w:pStyle w:val="yTableNAm"/>
            </w:pPr>
            <w:r>
              <w:t>174.7 cents</w:t>
            </w:r>
          </w:p>
        </w:tc>
      </w:tr>
      <w:tr>
        <w:trPr>
          <w:cantSplit/>
        </w:trPr>
        <w:tc>
          <w:tcPr>
            <w:tcW w:w="750" w:type="dxa"/>
          </w:tcPr>
          <w:p>
            <w:pPr>
              <w:pStyle w:val="zyTableNAm"/>
            </w:pPr>
          </w:p>
        </w:tc>
        <w:tc>
          <w:tcPr>
            <w:tcW w:w="4336" w:type="dxa"/>
          </w:tcPr>
          <w:p>
            <w:pPr>
              <w:pStyle w:val="yTableNAm"/>
              <w:tabs>
                <w:tab w:val="clear" w:pos="567"/>
                <w:tab w:val="left" w:pos="852"/>
                <w:tab w:val="right" w:leader="dot" w:pos="4003"/>
              </w:tabs>
              <w:ind w:left="848" w:right="158" w:hanging="848"/>
            </w:pPr>
            <w:r>
              <w:tab/>
            </w:r>
            <w:r>
              <w:tab/>
              <w:t xml:space="preserve">over 300 kL </w:t>
            </w:r>
            <w:r>
              <w:tab/>
            </w:r>
          </w:p>
        </w:tc>
        <w:tc>
          <w:tcPr>
            <w:tcW w:w="1292" w:type="dxa"/>
            <w:vAlign w:val="bottom"/>
          </w:tcPr>
          <w:p>
            <w:pPr>
              <w:pStyle w:val="yTableNAm"/>
            </w:pPr>
            <w:r>
              <w:t>192.6 cents</w:t>
            </w:r>
          </w:p>
        </w:tc>
      </w:tr>
      <w:tr>
        <w:trPr>
          <w:cantSplit/>
        </w:trPr>
        <w:tc>
          <w:tcPr>
            <w:tcW w:w="750" w:type="dxa"/>
          </w:tcPr>
          <w:p>
            <w:pPr>
              <w:pStyle w:val="zyTableNAm"/>
            </w:pPr>
          </w:p>
        </w:tc>
        <w:tc>
          <w:tcPr>
            <w:tcW w:w="4336" w:type="dxa"/>
          </w:tcPr>
          <w:p>
            <w:pPr>
              <w:pStyle w:val="yTableNAm"/>
              <w:tabs>
                <w:tab w:val="clear" w:pos="567"/>
                <w:tab w:val="left" w:pos="296"/>
                <w:tab w:val="left" w:pos="776"/>
                <w:tab w:val="left" w:leader="dot" w:pos="4876"/>
              </w:tabs>
              <w:ind w:left="776" w:hanging="776"/>
            </w:pPr>
            <w:r>
              <w:rPr>
                <w:snapToGrid w:val="0"/>
              </w:rPr>
              <w:tab/>
              <w:t>(f)</w:t>
            </w:r>
            <w:r>
              <w:rPr>
                <w:snapToGrid w:val="0"/>
              </w:rPr>
              <w:tab/>
              <w:t>charitable purposes —</w:t>
            </w:r>
          </w:p>
        </w:tc>
        <w:tc>
          <w:tcPr>
            <w:tcW w:w="1292" w:type="dxa"/>
            <w:vAlign w:val="bottom"/>
          </w:tcPr>
          <w:p>
            <w:pPr>
              <w:pStyle w:val="yTableNAm"/>
            </w:pPr>
          </w:p>
        </w:tc>
      </w:tr>
      <w:tr>
        <w:trPr>
          <w:cantSplit/>
        </w:trPr>
        <w:tc>
          <w:tcPr>
            <w:tcW w:w="750" w:type="dxa"/>
          </w:tcPr>
          <w:p>
            <w:pPr>
              <w:pStyle w:val="zyTableNAm"/>
            </w:pPr>
          </w:p>
        </w:tc>
        <w:tc>
          <w:tcPr>
            <w:tcW w:w="4336" w:type="dxa"/>
          </w:tcPr>
          <w:p>
            <w:pPr>
              <w:pStyle w:val="yTableNAm"/>
              <w:tabs>
                <w:tab w:val="clear" w:pos="567"/>
                <w:tab w:val="left" w:pos="852"/>
                <w:tab w:val="right" w:leader="dot" w:pos="4003"/>
              </w:tabs>
              <w:ind w:left="848" w:right="158" w:hanging="848"/>
            </w:pPr>
            <w:r>
              <w:tab/>
            </w:r>
            <w:r>
              <w:tab/>
              <w:t xml:space="preserve">up to 300 kL </w:t>
            </w:r>
            <w:r>
              <w:tab/>
            </w:r>
          </w:p>
        </w:tc>
        <w:tc>
          <w:tcPr>
            <w:tcW w:w="1292" w:type="dxa"/>
            <w:vAlign w:val="bottom"/>
          </w:tcPr>
          <w:p>
            <w:pPr>
              <w:pStyle w:val="yTableNAm"/>
            </w:pPr>
            <w:r>
              <w:t>174.7 cents</w:t>
            </w:r>
          </w:p>
        </w:tc>
      </w:tr>
      <w:tr>
        <w:trPr>
          <w:cantSplit/>
        </w:trPr>
        <w:tc>
          <w:tcPr>
            <w:tcW w:w="750" w:type="dxa"/>
          </w:tcPr>
          <w:p>
            <w:pPr>
              <w:pStyle w:val="zyTableNAm"/>
            </w:pPr>
          </w:p>
        </w:tc>
        <w:tc>
          <w:tcPr>
            <w:tcW w:w="4336" w:type="dxa"/>
          </w:tcPr>
          <w:p>
            <w:pPr>
              <w:pStyle w:val="yTableNAm"/>
              <w:tabs>
                <w:tab w:val="clear" w:pos="567"/>
                <w:tab w:val="left" w:pos="852"/>
                <w:tab w:val="right" w:leader="dot" w:pos="4003"/>
              </w:tabs>
              <w:ind w:left="848" w:right="158" w:hanging="848"/>
            </w:pPr>
            <w:r>
              <w:tab/>
            </w:r>
            <w:r>
              <w:tab/>
              <w:t xml:space="preserve">over 300 kL </w:t>
            </w:r>
            <w:r>
              <w:tab/>
            </w:r>
          </w:p>
        </w:tc>
        <w:tc>
          <w:tcPr>
            <w:tcW w:w="1292" w:type="dxa"/>
            <w:vAlign w:val="bottom"/>
          </w:tcPr>
          <w:p>
            <w:pPr>
              <w:pStyle w:val="yTableNAm"/>
            </w:pPr>
            <w:r>
              <w:t>192.6 cents</w:t>
            </w:r>
          </w:p>
        </w:tc>
      </w:tr>
      <w:tr>
        <w:trPr>
          <w:cantSplit/>
        </w:trPr>
        <w:tc>
          <w:tcPr>
            <w:tcW w:w="750" w:type="dxa"/>
          </w:tcPr>
          <w:p>
            <w:pPr>
              <w:pStyle w:val="zyTableNAm"/>
            </w:pPr>
          </w:p>
        </w:tc>
        <w:tc>
          <w:tcPr>
            <w:tcW w:w="4336" w:type="dxa"/>
          </w:tcPr>
          <w:p>
            <w:pPr>
              <w:pStyle w:val="yTableNAm"/>
              <w:tabs>
                <w:tab w:val="clear" w:pos="567"/>
                <w:tab w:val="left" w:pos="296"/>
                <w:tab w:val="left" w:pos="776"/>
                <w:tab w:val="left" w:leader="dot" w:pos="4876"/>
              </w:tabs>
              <w:ind w:left="776" w:hanging="776"/>
            </w:pPr>
            <w:r>
              <w:rPr>
                <w:snapToGrid w:val="0"/>
              </w:rPr>
              <w:tab/>
              <w:t>(g)</w:t>
            </w:r>
            <w:r>
              <w:rPr>
                <w:snapToGrid w:val="0"/>
              </w:rPr>
              <w:tab/>
              <w:t>c</w:t>
            </w:r>
            <w:r>
              <w:t>ommercial residential</w:t>
            </w:r>
            <w:r>
              <w:rPr>
                <w:snapToGrid w:val="0"/>
              </w:rPr>
              <w:t xml:space="preserve"> (according to the non</w:t>
            </w:r>
            <w:r>
              <w:rPr>
                <w:snapToGrid w:val="0"/>
              </w:rPr>
              <w:noBreakHyphen/>
              <w:t>residential classification of the town/area in which that property is situated, as set out in Schedule 10) —</w:t>
            </w:r>
          </w:p>
        </w:tc>
        <w:tc>
          <w:tcPr>
            <w:tcW w:w="1292" w:type="dxa"/>
            <w:vAlign w:val="bottom"/>
          </w:tcPr>
          <w:p>
            <w:pPr>
              <w:pStyle w:val="yTableNAm"/>
            </w:pPr>
          </w:p>
        </w:tc>
      </w:tr>
    </w:tbl>
    <w:p>
      <w:pPr>
        <w:pStyle w:val="yMiscellaneousBody"/>
      </w:pPr>
    </w:p>
    <w:tbl>
      <w:tblPr>
        <w:tblW w:w="6378" w:type="dxa"/>
        <w:tblInd w:w="454" w:type="dxa"/>
        <w:tblLayout w:type="fixed"/>
        <w:tblCellMar>
          <w:left w:w="28" w:type="dxa"/>
          <w:right w:w="28" w:type="dxa"/>
        </w:tblCellMar>
        <w:tblLook w:val="0000" w:firstRow="0" w:lastRow="0" w:firstColumn="0" w:lastColumn="0" w:noHBand="0" w:noVBand="0"/>
      </w:tblPr>
      <w:tblGrid>
        <w:gridCol w:w="1856"/>
        <w:gridCol w:w="1507"/>
        <w:gridCol w:w="1507"/>
        <w:gridCol w:w="1508"/>
      </w:tblGrid>
      <w:tr>
        <w:trPr>
          <w:cantSplit/>
          <w:tblHeader/>
        </w:trPr>
        <w:tc>
          <w:tcPr>
            <w:tcW w:w="1856" w:type="dxa"/>
            <w:vMerge w:val="restart"/>
            <w:tcBorders>
              <w:top w:val="single" w:sz="4" w:space="0" w:color="auto"/>
            </w:tcBorders>
          </w:tcPr>
          <w:p>
            <w:pPr>
              <w:pStyle w:val="yTableNAm"/>
            </w:pPr>
            <w:r>
              <w:rPr>
                <w:b/>
                <w:bCs/>
              </w:rPr>
              <w:t>Class</w:t>
            </w:r>
          </w:p>
        </w:tc>
        <w:tc>
          <w:tcPr>
            <w:tcW w:w="4522" w:type="dxa"/>
            <w:gridSpan w:val="3"/>
            <w:tcBorders>
              <w:top w:val="single" w:sz="4" w:space="0" w:color="auto"/>
            </w:tcBorders>
          </w:tcPr>
          <w:p>
            <w:pPr>
              <w:pStyle w:val="yTableNAm"/>
              <w:jc w:val="center"/>
            </w:pPr>
            <w:r>
              <w:rPr>
                <w:b/>
                <w:bCs/>
              </w:rPr>
              <w:t>Consumption (kL)</w:t>
            </w:r>
          </w:p>
        </w:tc>
      </w:tr>
      <w:tr>
        <w:trPr>
          <w:cantSplit/>
          <w:tblHeader/>
        </w:trPr>
        <w:tc>
          <w:tcPr>
            <w:tcW w:w="1856" w:type="dxa"/>
            <w:vMerge/>
            <w:tcBorders>
              <w:bottom w:val="single" w:sz="4" w:space="0" w:color="auto"/>
            </w:tcBorders>
          </w:tcPr>
          <w:p>
            <w:pPr>
              <w:pStyle w:val="zyTableNAm"/>
              <w:rPr>
                <w:b/>
                <w:bCs/>
              </w:rPr>
            </w:pPr>
          </w:p>
        </w:tc>
        <w:tc>
          <w:tcPr>
            <w:tcW w:w="1507" w:type="dxa"/>
            <w:tcBorders>
              <w:bottom w:val="single" w:sz="4" w:space="0" w:color="auto"/>
            </w:tcBorders>
          </w:tcPr>
          <w:p>
            <w:pPr>
              <w:pStyle w:val="yTableNAm"/>
              <w:jc w:val="center"/>
            </w:pPr>
            <w:r>
              <w:rPr>
                <w:b/>
                <w:bCs/>
              </w:rPr>
              <w:t>Up to 150</w:t>
            </w:r>
          </w:p>
        </w:tc>
        <w:tc>
          <w:tcPr>
            <w:tcW w:w="1507" w:type="dxa"/>
            <w:tcBorders>
              <w:bottom w:val="single" w:sz="4" w:space="0" w:color="auto"/>
            </w:tcBorders>
          </w:tcPr>
          <w:p>
            <w:pPr>
              <w:pStyle w:val="yTableNAm"/>
              <w:jc w:val="center"/>
            </w:pPr>
            <w:r>
              <w:rPr>
                <w:b/>
                <w:bCs/>
              </w:rPr>
              <w:t>Over 150 but not over 450</w:t>
            </w:r>
          </w:p>
        </w:tc>
        <w:tc>
          <w:tcPr>
            <w:tcW w:w="1508" w:type="dxa"/>
            <w:tcBorders>
              <w:bottom w:val="single" w:sz="4" w:space="0" w:color="auto"/>
            </w:tcBorders>
          </w:tcPr>
          <w:p>
            <w:pPr>
              <w:pStyle w:val="yTableNAm"/>
              <w:jc w:val="center"/>
            </w:pPr>
            <w:r>
              <w:rPr>
                <w:b/>
                <w:bCs/>
              </w:rPr>
              <w:t>Over 450</w:t>
            </w:r>
          </w:p>
        </w:tc>
      </w:tr>
      <w:tr>
        <w:tc>
          <w:tcPr>
            <w:tcW w:w="1856" w:type="dxa"/>
            <w:tcBorders>
              <w:top w:val="single" w:sz="4" w:space="0" w:color="auto"/>
            </w:tcBorders>
          </w:tcPr>
          <w:p>
            <w:pPr>
              <w:pStyle w:val="yTableNAm"/>
            </w:pPr>
            <w:r>
              <w:rPr>
                <w:bCs/>
              </w:rPr>
              <w:t>Class 1 (c/kL)</w:t>
            </w:r>
          </w:p>
        </w:tc>
        <w:tc>
          <w:tcPr>
            <w:tcW w:w="1507" w:type="dxa"/>
            <w:tcBorders>
              <w:top w:val="single" w:sz="4" w:space="0" w:color="auto"/>
            </w:tcBorders>
            <w:vAlign w:val="bottom"/>
          </w:tcPr>
          <w:p>
            <w:pPr>
              <w:pStyle w:val="yTableNAm"/>
              <w:jc w:val="center"/>
            </w:pPr>
            <w:r>
              <w:t>133.6</w:t>
            </w:r>
          </w:p>
        </w:tc>
        <w:tc>
          <w:tcPr>
            <w:tcW w:w="1507" w:type="dxa"/>
            <w:tcBorders>
              <w:top w:val="single" w:sz="4" w:space="0" w:color="auto"/>
            </w:tcBorders>
            <w:vAlign w:val="bottom"/>
          </w:tcPr>
          <w:p>
            <w:pPr>
              <w:pStyle w:val="yTableNAm"/>
              <w:jc w:val="center"/>
            </w:pPr>
            <w:r>
              <w:t>174.7</w:t>
            </w:r>
          </w:p>
        </w:tc>
        <w:tc>
          <w:tcPr>
            <w:tcW w:w="1508" w:type="dxa"/>
            <w:tcBorders>
              <w:top w:val="single" w:sz="4" w:space="0" w:color="auto"/>
            </w:tcBorders>
            <w:vAlign w:val="bottom"/>
          </w:tcPr>
          <w:p>
            <w:pPr>
              <w:pStyle w:val="yTableNAm"/>
              <w:jc w:val="center"/>
            </w:pPr>
            <w:r>
              <w:t>192.6</w:t>
            </w:r>
          </w:p>
        </w:tc>
      </w:tr>
      <w:tr>
        <w:tc>
          <w:tcPr>
            <w:tcW w:w="1856" w:type="dxa"/>
          </w:tcPr>
          <w:p>
            <w:pPr>
              <w:pStyle w:val="yTableNAm"/>
            </w:pPr>
            <w:r>
              <w:rPr>
                <w:bCs/>
              </w:rPr>
              <w:t>Class 2 (c/kL)</w:t>
            </w:r>
          </w:p>
        </w:tc>
        <w:tc>
          <w:tcPr>
            <w:tcW w:w="1507" w:type="dxa"/>
            <w:vAlign w:val="bottom"/>
          </w:tcPr>
          <w:p>
            <w:pPr>
              <w:pStyle w:val="yTableNAm"/>
              <w:jc w:val="center"/>
            </w:pPr>
            <w:r>
              <w:t>133.6</w:t>
            </w:r>
          </w:p>
        </w:tc>
        <w:tc>
          <w:tcPr>
            <w:tcW w:w="1507" w:type="dxa"/>
            <w:vAlign w:val="bottom"/>
          </w:tcPr>
          <w:p>
            <w:pPr>
              <w:pStyle w:val="yTableNAm"/>
              <w:jc w:val="center"/>
            </w:pPr>
            <w:r>
              <w:t>191.6</w:t>
            </w:r>
          </w:p>
        </w:tc>
        <w:tc>
          <w:tcPr>
            <w:tcW w:w="1508" w:type="dxa"/>
            <w:vAlign w:val="bottom"/>
          </w:tcPr>
          <w:p>
            <w:pPr>
              <w:pStyle w:val="yTableNAm"/>
              <w:jc w:val="center"/>
            </w:pPr>
            <w:r>
              <w:t>209.8</w:t>
            </w:r>
          </w:p>
        </w:tc>
      </w:tr>
      <w:tr>
        <w:tc>
          <w:tcPr>
            <w:tcW w:w="1856" w:type="dxa"/>
          </w:tcPr>
          <w:p>
            <w:pPr>
              <w:pStyle w:val="yTableNAm"/>
            </w:pPr>
            <w:r>
              <w:rPr>
                <w:bCs/>
              </w:rPr>
              <w:t>Class 3 (c/kL)</w:t>
            </w:r>
          </w:p>
        </w:tc>
        <w:tc>
          <w:tcPr>
            <w:tcW w:w="1507" w:type="dxa"/>
            <w:vAlign w:val="bottom"/>
          </w:tcPr>
          <w:p>
            <w:pPr>
              <w:pStyle w:val="yTableNAm"/>
              <w:jc w:val="center"/>
            </w:pPr>
            <w:r>
              <w:t>133.6</w:t>
            </w:r>
          </w:p>
        </w:tc>
        <w:tc>
          <w:tcPr>
            <w:tcW w:w="1507" w:type="dxa"/>
            <w:vAlign w:val="bottom"/>
          </w:tcPr>
          <w:p>
            <w:pPr>
              <w:pStyle w:val="yTableNAm"/>
              <w:jc w:val="center"/>
            </w:pPr>
            <w:r>
              <w:t>209.8</w:t>
            </w:r>
          </w:p>
        </w:tc>
        <w:tc>
          <w:tcPr>
            <w:tcW w:w="1508" w:type="dxa"/>
            <w:vAlign w:val="bottom"/>
          </w:tcPr>
          <w:p>
            <w:pPr>
              <w:pStyle w:val="yTableNAm"/>
              <w:jc w:val="center"/>
            </w:pPr>
            <w:r>
              <w:t>228.2</w:t>
            </w:r>
          </w:p>
        </w:tc>
      </w:tr>
      <w:tr>
        <w:tc>
          <w:tcPr>
            <w:tcW w:w="1856" w:type="dxa"/>
          </w:tcPr>
          <w:p>
            <w:pPr>
              <w:pStyle w:val="yTableNAm"/>
            </w:pPr>
            <w:r>
              <w:rPr>
                <w:bCs/>
              </w:rPr>
              <w:t>Class 4 (c/kL)</w:t>
            </w:r>
          </w:p>
        </w:tc>
        <w:tc>
          <w:tcPr>
            <w:tcW w:w="1507" w:type="dxa"/>
            <w:vAlign w:val="bottom"/>
          </w:tcPr>
          <w:p>
            <w:pPr>
              <w:pStyle w:val="yTableNAm"/>
              <w:jc w:val="center"/>
            </w:pPr>
            <w:r>
              <w:t>133.6</w:t>
            </w:r>
          </w:p>
        </w:tc>
        <w:tc>
          <w:tcPr>
            <w:tcW w:w="1507" w:type="dxa"/>
            <w:vAlign w:val="bottom"/>
          </w:tcPr>
          <w:p>
            <w:pPr>
              <w:pStyle w:val="yTableNAm"/>
              <w:jc w:val="center"/>
            </w:pPr>
            <w:r>
              <w:t>230.0</w:t>
            </w:r>
          </w:p>
        </w:tc>
        <w:tc>
          <w:tcPr>
            <w:tcW w:w="1508" w:type="dxa"/>
            <w:vAlign w:val="bottom"/>
          </w:tcPr>
          <w:p>
            <w:pPr>
              <w:pStyle w:val="yTableNAm"/>
              <w:jc w:val="center"/>
            </w:pPr>
            <w:r>
              <w:t>248.6</w:t>
            </w:r>
          </w:p>
        </w:tc>
      </w:tr>
      <w:tr>
        <w:tc>
          <w:tcPr>
            <w:tcW w:w="1856" w:type="dxa"/>
          </w:tcPr>
          <w:p>
            <w:pPr>
              <w:pStyle w:val="yTableNAm"/>
            </w:pPr>
            <w:r>
              <w:rPr>
                <w:bCs/>
              </w:rPr>
              <w:t>Class 5 (c/kL)</w:t>
            </w:r>
          </w:p>
        </w:tc>
        <w:tc>
          <w:tcPr>
            <w:tcW w:w="1507" w:type="dxa"/>
            <w:vAlign w:val="bottom"/>
          </w:tcPr>
          <w:p>
            <w:pPr>
              <w:pStyle w:val="yTableNAm"/>
              <w:jc w:val="center"/>
            </w:pPr>
            <w:r>
              <w:t>133.6</w:t>
            </w:r>
          </w:p>
        </w:tc>
        <w:tc>
          <w:tcPr>
            <w:tcW w:w="1507" w:type="dxa"/>
            <w:vAlign w:val="bottom"/>
          </w:tcPr>
          <w:p>
            <w:pPr>
              <w:pStyle w:val="yTableNAm"/>
              <w:jc w:val="center"/>
            </w:pPr>
            <w:r>
              <w:t>252.2</w:t>
            </w:r>
          </w:p>
        </w:tc>
        <w:tc>
          <w:tcPr>
            <w:tcW w:w="1508" w:type="dxa"/>
            <w:vAlign w:val="bottom"/>
          </w:tcPr>
          <w:p>
            <w:pPr>
              <w:pStyle w:val="yTableNAm"/>
              <w:jc w:val="center"/>
            </w:pPr>
            <w:r>
              <w:t>270.7</w:t>
            </w:r>
          </w:p>
        </w:tc>
      </w:tr>
      <w:tr>
        <w:tc>
          <w:tcPr>
            <w:tcW w:w="1856" w:type="dxa"/>
          </w:tcPr>
          <w:p>
            <w:pPr>
              <w:pStyle w:val="yTableNAm"/>
            </w:pPr>
            <w:r>
              <w:rPr>
                <w:bCs/>
              </w:rPr>
              <w:t>Class 6 (c/kL)</w:t>
            </w:r>
          </w:p>
        </w:tc>
        <w:tc>
          <w:tcPr>
            <w:tcW w:w="1507" w:type="dxa"/>
            <w:vAlign w:val="bottom"/>
          </w:tcPr>
          <w:p>
            <w:pPr>
              <w:pStyle w:val="yTableNAm"/>
              <w:jc w:val="center"/>
            </w:pPr>
            <w:r>
              <w:t>133.6</w:t>
            </w:r>
          </w:p>
        </w:tc>
        <w:tc>
          <w:tcPr>
            <w:tcW w:w="1507" w:type="dxa"/>
            <w:vAlign w:val="bottom"/>
          </w:tcPr>
          <w:p>
            <w:pPr>
              <w:pStyle w:val="yTableNAm"/>
              <w:jc w:val="center"/>
            </w:pPr>
            <w:r>
              <w:t>274.4</w:t>
            </w:r>
          </w:p>
        </w:tc>
        <w:tc>
          <w:tcPr>
            <w:tcW w:w="1508" w:type="dxa"/>
            <w:vAlign w:val="bottom"/>
          </w:tcPr>
          <w:p>
            <w:pPr>
              <w:pStyle w:val="yTableNAm"/>
              <w:jc w:val="center"/>
            </w:pPr>
            <w:r>
              <w:t>294.8</w:t>
            </w:r>
          </w:p>
        </w:tc>
      </w:tr>
      <w:tr>
        <w:tc>
          <w:tcPr>
            <w:tcW w:w="1856" w:type="dxa"/>
          </w:tcPr>
          <w:p>
            <w:pPr>
              <w:pStyle w:val="yTableNAm"/>
            </w:pPr>
            <w:r>
              <w:rPr>
                <w:bCs/>
              </w:rPr>
              <w:t>Class 7 (c/kL)</w:t>
            </w:r>
          </w:p>
        </w:tc>
        <w:tc>
          <w:tcPr>
            <w:tcW w:w="1507" w:type="dxa"/>
            <w:vAlign w:val="bottom"/>
          </w:tcPr>
          <w:p>
            <w:pPr>
              <w:pStyle w:val="yTableNAm"/>
              <w:jc w:val="center"/>
            </w:pPr>
            <w:r>
              <w:t>133.6</w:t>
            </w:r>
          </w:p>
        </w:tc>
        <w:tc>
          <w:tcPr>
            <w:tcW w:w="1507" w:type="dxa"/>
            <w:vAlign w:val="bottom"/>
          </w:tcPr>
          <w:p>
            <w:pPr>
              <w:pStyle w:val="yTableNAm"/>
              <w:jc w:val="center"/>
            </w:pPr>
            <w:r>
              <w:t>298.6</w:t>
            </w:r>
          </w:p>
        </w:tc>
        <w:tc>
          <w:tcPr>
            <w:tcW w:w="1508" w:type="dxa"/>
            <w:vAlign w:val="bottom"/>
          </w:tcPr>
          <w:p>
            <w:pPr>
              <w:pStyle w:val="yTableNAm"/>
              <w:jc w:val="center"/>
            </w:pPr>
            <w:r>
              <w:t>321.1</w:t>
            </w:r>
          </w:p>
        </w:tc>
      </w:tr>
      <w:tr>
        <w:tc>
          <w:tcPr>
            <w:tcW w:w="1856" w:type="dxa"/>
          </w:tcPr>
          <w:p>
            <w:pPr>
              <w:pStyle w:val="yTableNAm"/>
            </w:pPr>
            <w:r>
              <w:rPr>
                <w:bCs/>
              </w:rPr>
              <w:t>Class 8 (c/kL)</w:t>
            </w:r>
          </w:p>
        </w:tc>
        <w:tc>
          <w:tcPr>
            <w:tcW w:w="1507" w:type="dxa"/>
            <w:vAlign w:val="bottom"/>
          </w:tcPr>
          <w:p>
            <w:pPr>
              <w:pStyle w:val="yTableNAm"/>
              <w:jc w:val="center"/>
            </w:pPr>
            <w:r>
              <w:t>133.6</w:t>
            </w:r>
          </w:p>
        </w:tc>
        <w:tc>
          <w:tcPr>
            <w:tcW w:w="1507" w:type="dxa"/>
            <w:vAlign w:val="bottom"/>
          </w:tcPr>
          <w:p>
            <w:pPr>
              <w:pStyle w:val="yTableNAm"/>
              <w:jc w:val="center"/>
            </w:pPr>
            <w:r>
              <w:t>324.2</w:t>
            </w:r>
          </w:p>
        </w:tc>
        <w:tc>
          <w:tcPr>
            <w:tcW w:w="1508" w:type="dxa"/>
            <w:vAlign w:val="bottom"/>
          </w:tcPr>
          <w:p>
            <w:pPr>
              <w:pStyle w:val="yTableNAm"/>
              <w:jc w:val="center"/>
            </w:pPr>
            <w:r>
              <w:t>349.6</w:t>
            </w:r>
          </w:p>
        </w:tc>
      </w:tr>
      <w:tr>
        <w:tc>
          <w:tcPr>
            <w:tcW w:w="1856" w:type="dxa"/>
          </w:tcPr>
          <w:p>
            <w:pPr>
              <w:pStyle w:val="yTableNAm"/>
            </w:pPr>
            <w:r>
              <w:rPr>
                <w:bCs/>
              </w:rPr>
              <w:t>Class 9 (c/kL)</w:t>
            </w:r>
          </w:p>
        </w:tc>
        <w:tc>
          <w:tcPr>
            <w:tcW w:w="1507" w:type="dxa"/>
            <w:vAlign w:val="bottom"/>
          </w:tcPr>
          <w:p>
            <w:pPr>
              <w:pStyle w:val="yTableNAm"/>
              <w:jc w:val="center"/>
            </w:pPr>
            <w:r>
              <w:t>133.6</w:t>
            </w:r>
          </w:p>
        </w:tc>
        <w:tc>
          <w:tcPr>
            <w:tcW w:w="1507" w:type="dxa"/>
            <w:vAlign w:val="bottom"/>
          </w:tcPr>
          <w:p>
            <w:pPr>
              <w:pStyle w:val="yTableNAm"/>
              <w:jc w:val="center"/>
            </w:pPr>
            <w:r>
              <w:t>352.0</w:t>
            </w:r>
          </w:p>
        </w:tc>
        <w:tc>
          <w:tcPr>
            <w:tcW w:w="1508" w:type="dxa"/>
            <w:vAlign w:val="bottom"/>
          </w:tcPr>
          <w:p>
            <w:pPr>
              <w:pStyle w:val="yTableNAm"/>
              <w:jc w:val="center"/>
            </w:pPr>
            <w:r>
              <w:t>380.7</w:t>
            </w:r>
          </w:p>
        </w:tc>
      </w:tr>
      <w:tr>
        <w:tc>
          <w:tcPr>
            <w:tcW w:w="1856" w:type="dxa"/>
          </w:tcPr>
          <w:p>
            <w:pPr>
              <w:pStyle w:val="yTableNAm"/>
            </w:pPr>
            <w:r>
              <w:rPr>
                <w:bCs/>
              </w:rPr>
              <w:t>Class 10 (c/kL)</w:t>
            </w:r>
          </w:p>
        </w:tc>
        <w:tc>
          <w:tcPr>
            <w:tcW w:w="1507" w:type="dxa"/>
            <w:vAlign w:val="bottom"/>
          </w:tcPr>
          <w:p>
            <w:pPr>
              <w:pStyle w:val="yTableNAm"/>
              <w:jc w:val="center"/>
            </w:pPr>
            <w:r>
              <w:t>133.6</w:t>
            </w:r>
          </w:p>
        </w:tc>
        <w:tc>
          <w:tcPr>
            <w:tcW w:w="1507" w:type="dxa"/>
            <w:vAlign w:val="bottom"/>
          </w:tcPr>
          <w:p>
            <w:pPr>
              <w:pStyle w:val="yTableNAm"/>
              <w:jc w:val="center"/>
            </w:pPr>
            <w:r>
              <w:t>379.0</w:t>
            </w:r>
          </w:p>
        </w:tc>
        <w:tc>
          <w:tcPr>
            <w:tcW w:w="1508" w:type="dxa"/>
            <w:vAlign w:val="bottom"/>
          </w:tcPr>
          <w:p>
            <w:pPr>
              <w:pStyle w:val="yTableNAm"/>
              <w:jc w:val="center"/>
            </w:pPr>
            <w:r>
              <w:t>414.6</w:t>
            </w:r>
          </w:p>
        </w:tc>
      </w:tr>
      <w:tr>
        <w:tc>
          <w:tcPr>
            <w:tcW w:w="1856" w:type="dxa"/>
          </w:tcPr>
          <w:p>
            <w:pPr>
              <w:pStyle w:val="yTableNAm"/>
            </w:pPr>
            <w:r>
              <w:rPr>
                <w:bCs/>
              </w:rPr>
              <w:t>Class 11 (c/kL)</w:t>
            </w:r>
          </w:p>
        </w:tc>
        <w:tc>
          <w:tcPr>
            <w:tcW w:w="1507" w:type="dxa"/>
            <w:vAlign w:val="bottom"/>
          </w:tcPr>
          <w:p>
            <w:pPr>
              <w:pStyle w:val="yTableNAm"/>
              <w:jc w:val="center"/>
            </w:pPr>
            <w:r>
              <w:t>133.6</w:t>
            </w:r>
          </w:p>
        </w:tc>
        <w:tc>
          <w:tcPr>
            <w:tcW w:w="1507" w:type="dxa"/>
            <w:vAlign w:val="bottom"/>
          </w:tcPr>
          <w:p>
            <w:pPr>
              <w:pStyle w:val="yTableNAm"/>
              <w:jc w:val="center"/>
            </w:pPr>
            <w:r>
              <w:t>413.5</w:t>
            </w:r>
          </w:p>
        </w:tc>
        <w:tc>
          <w:tcPr>
            <w:tcW w:w="1508" w:type="dxa"/>
            <w:vAlign w:val="bottom"/>
          </w:tcPr>
          <w:p>
            <w:pPr>
              <w:pStyle w:val="yTableNAm"/>
              <w:jc w:val="center"/>
            </w:pPr>
            <w:r>
              <w:t>451.4</w:t>
            </w:r>
          </w:p>
        </w:tc>
      </w:tr>
      <w:tr>
        <w:tc>
          <w:tcPr>
            <w:tcW w:w="1856" w:type="dxa"/>
          </w:tcPr>
          <w:p>
            <w:pPr>
              <w:pStyle w:val="yTableNAm"/>
            </w:pPr>
            <w:r>
              <w:rPr>
                <w:bCs/>
              </w:rPr>
              <w:t>Class 12 (c/kL)</w:t>
            </w:r>
          </w:p>
        </w:tc>
        <w:tc>
          <w:tcPr>
            <w:tcW w:w="1507" w:type="dxa"/>
            <w:vAlign w:val="bottom"/>
          </w:tcPr>
          <w:p>
            <w:pPr>
              <w:pStyle w:val="yTableNAm"/>
              <w:jc w:val="center"/>
            </w:pPr>
            <w:r>
              <w:t>133.6</w:t>
            </w:r>
          </w:p>
        </w:tc>
        <w:tc>
          <w:tcPr>
            <w:tcW w:w="1507" w:type="dxa"/>
            <w:vAlign w:val="bottom"/>
          </w:tcPr>
          <w:p>
            <w:pPr>
              <w:pStyle w:val="yTableNAm"/>
              <w:jc w:val="center"/>
            </w:pPr>
            <w:r>
              <w:t>451.3</w:t>
            </w:r>
          </w:p>
        </w:tc>
        <w:tc>
          <w:tcPr>
            <w:tcW w:w="1508" w:type="dxa"/>
            <w:vAlign w:val="bottom"/>
          </w:tcPr>
          <w:p>
            <w:pPr>
              <w:pStyle w:val="yTableNAm"/>
              <w:jc w:val="center"/>
            </w:pPr>
            <w:r>
              <w:t>491.6</w:t>
            </w:r>
          </w:p>
        </w:tc>
      </w:tr>
      <w:tr>
        <w:tc>
          <w:tcPr>
            <w:tcW w:w="1856" w:type="dxa"/>
          </w:tcPr>
          <w:p>
            <w:pPr>
              <w:pStyle w:val="yTableNAm"/>
            </w:pPr>
            <w:r>
              <w:rPr>
                <w:bCs/>
              </w:rPr>
              <w:t>Class 13 (c/kL)</w:t>
            </w:r>
          </w:p>
        </w:tc>
        <w:tc>
          <w:tcPr>
            <w:tcW w:w="1507" w:type="dxa"/>
            <w:vAlign w:val="bottom"/>
          </w:tcPr>
          <w:p>
            <w:pPr>
              <w:pStyle w:val="yTableNAm"/>
              <w:jc w:val="center"/>
            </w:pPr>
            <w:r>
              <w:t>133.6</w:t>
            </w:r>
          </w:p>
        </w:tc>
        <w:tc>
          <w:tcPr>
            <w:tcW w:w="1507" w:type="dxa"/>
            <w:vAlign w:val="bottom"/>
          </w:tcPr>
          <w:p>
            <w:pPr>
              <w:pStyle w:val="yTableNAm"/>
              <w:jc w:val="center"/>
            </w:pPr>
            <w:r>
              <w:t>492.4</w:t>
            </w:r>
          </w:p>
        </w:tc>
        <w:tc>
          <w:tcPr>
            <w:tcW w:w="1508" w:type="dxa"/>
            <w:vAlign w:val="bottom"/>
          </w:tcPr>
          <w:p>
            <w:pPr>
              <w:pStyle w:val="yTableNAm"/>
              <w:jc w:val="center"/>
            </w:pPr>
            <w:r>
              <w:t>535.3</w:t>
            </w:r>
          </w:p>
        </w:tc>
      </w:tr>
      <w:tr>
        <w:tc>
          <w:tcPr>
            <w:tcW w:w="1856" w:type="dxa"/>
          </w:tcPr>
          <w:p>
            <w:pPr>
              <w:pStyle w:val="yTableNAm"/>
            </w:pPr>
            <w:r>
              <w:rPr>
                <w:bCs/>
              </w:rPr>
              <w:t>Class 14 (c/kL)</w:t>
            </w:r>
          </w:p>
        </w:tc>
        <w:tc>
          <w:tcPr>
            <w:tcW w:w="1507" w:type="dxa"/>
            <w:vAlign w:val="bottom"/>
          </w:tcPr>
          <w:p>
            <w:pPr>
              <w:pStyle w:val="yTableNAm"/>
              <w:jc w:val="center"/>
            </w:pPr>
            <w:r>
              <w:t>133.6</w:t>
            </w:r>
          </w:p>
        </w:tc>
        <w:tc>
          <w:tcPr>
            <w:tcW w:w="1507" w:type="dxa"/>
            <w:vAlign w:val="bottom"/>
          </w:tcPr>
          <w:p>
            <w:pPr>
              <w:pStyle w:val="yTableNAm"/>
              <w:jc w:val="center"/>
            </w:pPr>
            <w:r>
              <w:t>537.3</w:t>
            </w:r>
          </w:p>
        </w:tc>
        <w:tc>
          <w:tcPr>
            <w:tcW w:w="1508" w:type="dxa"/>
            <w:vAlign w:val="bottom"/>
          </w:tcPr>
          <w:p>
            <w:pPr>
              <w:pStyle w:val="yTableNAm"/>
              <w:jc w:val="center"/>
            </w:pPr>
            <w:r>
              <w:t>582.9</w:t>
            </w:r>
          </w:p>
        </w:tc>
      </w:tr>
      <w:tr>
        <w:tc>
          <w:tcPr>
            <w:tcW w:w="1856" w:type="dxa"/>
            <w:tcBorders>
              <w:bottom w:val="single" w:sz="4" w:space="0" w:color="auto"/>
            </w:tcBorders>
          </w:tcPr>
          <w:p>
            <w:pPr>
              <w:pStyle w:val="yTableNAm"/>
            </w:pPr>
            <w:r>
              <w:rPr>
                <w:bCs/>
              </w:rPr>
              <w:t>Class 15 (c/kL)</w:t>
            </w:r>
          </w:p>
        </w:tc>
        <w:tc>
          <w:tcPr>
            <w:tcW w:w="1507" w:type="dxa"/>
            <w:tcBorders>
              <w:bottom w:val="single" w:sz="4" w:space="0" w:color="auto"/>
            </w:tcBorders>
            <w:vAlign w:val="bottom"/>
          </w:tcPr>
          <w:p>
            <w:pPr>
              <w:pStyle w:val="yTableNAm"/>
              <w:jc w:val="center"/>
            </w:pPr>
            <w:r>
              <w:t>133.6</w:t>
            </w:r>
          </w:p>
        </w:tc>
        <w:tc>
          <w:tcPr>
            <w:tcW w:w="1507" w:type="dxa"/>
            <w:tcBorders>
              <w:bottom w:val="single" w:sz="4" w:space="0" w:color="auto"/>
            </w:tcBorders>
            <w:vAlign w:val="bottom"/>
          </w:tcPr>
          <w:p>
            <w:pPr>
              <w:pStyle w:val="yTableNAm"/>
              <w:jc w:val="center"/>
            </w:pPr>
            <w:r>
              <w:t>586.2</w:t>
            </w:r>
          </w:p>
        </w:tc>
        <w:tc>
          <w:tcPr>
            <w:tcW w:w="1508" w:type="dxa"/>
            <w:tcBorders>
              <w:bottom w:val="single" w:sz="4" w:space="0" w:color="auto"/>
            </w:tcBorders>
            <w:vAlign w:val="bottom"/>
          </w:tcPr>
          <w:p>
            <w:pPr>
              <w:pStyle w:val="yTableNAm"/>
              <w:jc w:val="center"/>
            </w:pPr>
            <w:r>
              <w:t>634.7</w:t>
            </w:r>
          </w:p>
        </w:tc>
      </w:tr>
    </w:tbl>
    <w:p>
      <w:pPr>
        <w:pStyle w:val="yMiscellaneousBody"/>
      </w:pPr>
    </w:p>
    <w:tbl>
      <w:tblPr>
        <w:tblW w:w="6377" w:type="dxa"/>
        <w:tblInd w:w="534" w:type="dxa"/>
        <w:tblLayout w:type="fixed"/>
        <w:tblLook w:val="0000" w:firstRow="0" w:lastRow="0" w:firstColumn="0" w:lastColumn="0" w:noHBand="0" w:noVBand="0"/>
      </w:tblPr>
      <w:tblGrid>
        <w:gridCol w:w="736"/>
        <w:gridCol w:w="4326"/>
        <w:gridCol w:w="1315"/>
      </w:tblGrid>
      <w:tr>
        <w:trPr>
          <w:cantSplit/>
        </w:trPr>
        <w:tc>
          <w:tcPr>
            <w:tcW w:w="736" w:type="dxa"/>
          </w:tcPr>
          <w:p>
            <w:pPr>
              <w:pStyle w:val="yTableNAm"/>
              <w:keepNext/>
            </w:pPr>
            <w:r>
              <w:rPr>
                <w:b/>
              </w:rPr>
              <w:t>28.</w:t>
            </w:r>
          </w:p>
        </w:tc>
        <w:tc>
          <w:tcPr>
            <w:tcW w:w="4326" w:type="dxa"/>
          </w:tcPr>
          <w:p>
            <w:pPr>
              <w:pStyle w:val="yTableNAm"/>
              <w:keepNext/>
              <w:tabs>
                <w:tab w:val="left" w:leader="dot" w:pos="4876"/>
              </w:tabs>
            </w:pPr>
            <w:smartTag w:uri="urn:schemas-microsoft-com:office:smarttags" w:element="place">
              <w:smartTag w:uri="urn:schemas-microsoft-com:office:smarttags" w:element="PlaceName">
                <w:r>
                  <w:rPr>
                    <w:b/>
                  </w:rPr>
                  <w:t>Coral</w:t>
                </w:r>
              </w:smartTag>
              <w:r>
                <w:rPr>
                  <w:b/>
                </w:rPr>
                <w:t xml:space="preserve"> </w:t>
              </w:r>
              <w:smartTag w:uri="urn:schemas-microsoft-com:office:smarttags" w:element="PlaceType">
                <w:r>
                  <w:rPr>
                    <w:b/>
                  </w:rPr>
                  <w:t>Bay</w:t>
                </w:r>
              </w:smartTag>
            </w:smartTag>
            <w:r>
              <w:rPr>
                <w:b/>
              </w:rPr>
              <w:t xml:space="preserve"> desalinated</w:t>
            </w:r>
          </w:p>
        </w:tc>
        <w:tc>
          <w:tcPr>
            <w:tcW w:w="1315" w:type="dxa"/>
            <w:vAlign w:val="bottom"/>
          </w:tcPr>
          <w:p>
            <w:pPr>
              <w:pStyle w:val="yTableNAm"/>
              <w:keepNext/>
            </w:pPr>
          </w:p>
        </w:tc>
      </w:tr>
      <w:tr>
        <w:trPr>
          <w:cantSplit/>
        </w:trPr>
        <w:tc>
          <w:tcPr>
            <w:tcW w:w="736" w:type="dxa"/>
          </w:tcPr>
          <w:p>
            <w:pPr>
              <w:pStyle w:val="zyTableNAm"/>
              <w:keepNext/>
              <w:keepLines/>
            </w:pPr>
          </w:p>
        </w:tc>
        <w:tc>
          <w:tcPr>
            <w:tcW w:w="4326" w:type="dxa"/>
          </w:tcPr>
          <w:p>
            <w:pPr>
              <w:pStyle w:val="yTableNAm"/>
              <w:tabs>
                <w:tab w:val="left" w:leader="dot" w:pos="4876"/>
              </w:tabs>
            </w:pPr>
            <w:r>
              <w:rPr>
                <w:spacing w:val="-1"/>
              </w:rPr>
              <w:t xml:space="preserve">For each kilolitre of water supplied to land in the Coral Bay Water Area not classified as residential land, being water that has been treated to reduce the level of, or remove, salts </w:t>
            </w:r>
          </w:p>
        </w:tc>
        <w:tc>
          <w:tcPr>
            <w:tcW w:w="1315" w:type="dxa"/>
            <w:vAlign w:val="bottom"/>
          </w:tcPr>
          <w:p>
            <w:pPr>
              <w:pStyle w:val="yTableNAm"/>
            </w:pPr>
            <w:r>
              <w:t>636.9 cents</w:t>
            </w:r>
          </w:p>
        </w:tc>
      </w:tr>
      <w:tr>
        <w:trPr>
          <w:cantSplit/>
        </w:trPr>
        <w:tc>
          <w:tcPr>
            <w:tcW w:w="736" w:type="dxa"/>
          </w:tcPr>
          <w:p>
            <w:pPr>
              <w:pStyle w:val="yTableNAm"/>
            </w:pPr>
            <w:r>
              <w:rPr>
                <w:b/>
              </w:rPr>
              <w:t>29.</w:t>
            </w:r>
          </w:p>
        </w:tc>
        <w:tc>
          <w:tcPr>
            <w:tcW w:w="4326" w:type="dxa"/>
          </w:tcPr>
          <w:p>
            <w:pPr>
              <w:pStyle w:val="yTableNAm"/>
              <w:tabs>
                <w:tab w:val="left" w:leader="dot" w:pos="4876"/>
              </w:tabs>
            </w:pPr>
            <w:r>
              <w:rPr>
                <w:b/>
              </w:rPr>
              <w:t>Denham desalinated</w:t>
            </w:r>
          </w:p>
        </w:tc>
        <w:tc>
          <w:tcPr>
            <w:tcW w:w="1315" w:type="dxa"/>
            <w:vAlign w:val="bottom"/>
          </w:tcPr>
          <w:p>
            <w:pPr>
              <w:pStyle w:val="yTableNAm"/>
            </w:pPr>
          </w:p>
        </w:tc>
      </w:tr>
      <w:tr>
        <w:trPr>
          <w:cantSplit/>
        </w:trPr>
        <w:tc>
          <w:tcPr>
            <w:tcW w:w="736" w:type="dxa"/>
          </w:tcPr>
          <w:p>
            <w:pPr>
              <w:pStyle w:val="zyTableNAm"/>
            </w:pPr>
          </w:p>
        </w:tc>
        <w:tc>
          <w:tcPr>
            <w:tcW w:w="4326" w:type="dxa"/>
          </w:tcPr>
          <w:p>
            <w:pPr>
              <w:pStyle w:val="yTableNAm"/>
              <w:tabs>
                <w:tab w:val="left" w:leader="dot" w:pos="4876"/>
              </w:tabs>
            </w:pPr>
            <w:r>
              <w:t>For each kilolitre of water supplied to land in the Denham Country Water Area, being water that has been treated to reduce the level of, or remove, salts —</w:t>
            </w:r>
          </w:p>
        </w:tc>
        <w:tc>
          <w:tcPr>
            <w:tcW w:w="1315" w:type="dxa"/>
            <w:vAlign w:val="bottom"/>
          </w:tcPr>
          <w:p>
            <w:pPr>
              <w:pStyle w:val="yTableNAm"/>
            </w:pPr>
          </w:p>
        </w:tc>
      </w:tr>
      <w:tr>
        <w:trPr>
          <w:cantSplit/>
        </w:trPr>
        <w:tc>
          <w:tcPr>
            <w:tcW w:w="736" w:type="dxa"/>
          </w:tcPr>
          <w:p>
            <w:pPr>
              <w:pStyle w:val="zyTableNAm"/>
            </w:pPr>
          </w:p>
        </w:tc>
        <w:tc>
          <w:tcPr>
            <w:tcW w:w="4326" w:type="dxa"/>
          </w:tcPr>
          <w:p>
            <w:pPr>
              <w:pStyle w:val="yTableNAm"/>
              <w:tabs>
                <w:tab w:val="clear" w:pos="567"/>
                <w:tab w:val="left" w:pos="296"/>
                <w:tab w:val="left" w:pos="776"/>
                <w:tab w:val="left" w:leader="dot" w:pos="4876"/>
              </w:tabs>
              <w:ind w:left="776" w:hanging="776"/>
            </w:pPr>
            <w:r>
              <w:rPr>
                <w:snapToGrid w:val="0"/>
              </w:rPr>
              <w:tab/>
              <w:t>(a)</w:t>
            </w:r>
            <w:r>
              <w:rPr>
                <w:snapToGrid w:val="0"/>
              </w:rPr>
              <w:tab/>
              <w:t>in the case of land classified as residential —</w:t>
            </w:r>
          </w:p>
        </w:tc>
        <w:tc>
          <w:tcPr>
            <w:tcW w:w="1315" w:type="dxa"/>
            <w:vAlign w:val="bottom"/>
          </w:tcPr>
          <w:p>
            <w:pPr>
              <w:pStyle w:val="yTableNAm"/>
            </w:pPr>
          </w:p>
        </w:tc>
      </w:tr>
      <w:tr>
        <w:trPr>
          <w:cantSplit/>
        </w:trPr>
        <w:tc>
          <w:tcPr>
            <w:tcW w:w="736" w:type="dxa"/>
          </w:tcPr>
          <w:p>
            <w:pPr>
              <w:pStyle w:val="zyTableNAm"/>
            </w:pPr>
          </w:p>
        </w:tc>
        <w:tc>
          <w:tcPr>
            <w:tcW w:w="4326" w:type="dxa"/>
          </w:tcPr>
          <w:p>
            <w:pPr>
              <w:pStyle w:val="yTableNAm"/>
              <w:tabs>
                <w:tab w:val="clear" w:pos="567"/>
                <w:tab w:val="left" w:pos="852"/>
                <w:tab w:val="right" w:leader="dot" w:pos="4003"/>
              </w:tabs>
              <w:ind w:left="848" w:right="158" w:hanging="848"/>
            </w:pPr>
            <w:r>
              <w:tab/>
            </w:r>
            <w:r>
              <w:tab/>
              <w:t xml:space="preserve">up to quota </w:t>
            </w:r>
            <w:r>
              <w:tab/>
            </w:r>
          </w:p>
        </w:tc>
        <w:tc>
          <w:tcPr>
            <w:tcW w:w="1315" w:type="dxa"/>
            <w:vAlign w:val="bottom"/>
          </w:tcPr>
          <w:p>
            <w:pPr>
              <w:pStyle w:val="yTableNAm"/>
            </w:pPr>
            <w:r>
              <w:t>58.7 cents</w:t>
            </w:r>
          </w:p>
        </w:tc>
      </w:tr>
      <w:tr>
        <w:trPr>
          <w:cantSplit/>
        </w:trPr>
        <w:tc>
          <w:tcPr>
            <w:tcW w:w="736" w:type="dxa"/>
          </w:tcPr>
          <w:p>
            <w:pPr>
              <w:pStyle w:val="zyTableNAm"/>
            </w:pPr>
          </w:p>
        </w:tc>
        <w:tc>
          <w:tcPr>
            <w:tcW w:w="4326" w:type="dxa"/>
          </w:tcPr>
          <w:p>
            <w:pPr>
              <w:pStyle w:val="yTableNAm"/>
              <w:tabs>
                <w:tab w:val="clear" w:pos="567"/>
                <w:tab w:val="left" w:pos="852"/>
                <w:tab w:val="right" w:leader="dot" w:pos="4003"/>
              </w:tabs>
              <w:ind w:left="848" w:right="158" w:hanging="848"/>
            </w:pPr>
            <w:r>
              <w:tab/>
            </w:r>
            <w:r>
              <w:tab/>
              <w:t>over quota by up to 1 kL per 7 kL of quota </w:t>
            </w:r>
            <w:r>
              <w:tab/>
            </w:r>
          </w:p>
        </w:tc>
        <w:tc>
          <w:tcPr>
            <w:tcW w:w="1315" w:type="dxa"/>
            <w:vAlign w:val="bottom"/>
          </w:tcPr>
          <w:p>
            <w:pPr>
              <w:pStyle w:val="yTableNAm"/>
            </w:pPr>
            <w:r>
              <w:t>430.8 cents</w:t>
            </w:r>
          </w:p>
        </w:tc>
      </w:tr>
      <w:tr>
        <w:trPr>
          <w:cantSplit/>
        </w:trPr>
        <w:tc>
          <w:tcPr>
            <w:tcW w:w="736" w:type="dxa"/>
          </w:tcPr>
          <w:p>
            <w:pPr>
              <w:pStyle w:val="zyTableNAm"/>
            </w:pPr>
          </w:p>
        </w:tc>
        <w:tc>
          <w:tcPr>
            <w:tcW w:w="4326" w:type="dxa"/>
          </w:tcPr>
          <w:p>
            <w:pPr>
              <w:pStyle w:val="yTableNAm"/>
              <w:tabs>
                <w:tab w:val="clear" w:pos="567"/>
                <w:tab w:val="left" w:pos="852"/>
                <w:tab w:val="right" w:leader="dot" w:pos="4003"/>
              </w:tabs>
              <w:ind w:left="848" w:right="158" w:hanging="848"/>
            </w:pPr>
            <w:r>
              <w:tab/>
            </w:r>
            <w:r>
              <w:tab/>
              <w:t xml:space="preserve">over quota by more than 1 kL per 7 kL of quota </w:t>
            </w:r>
            <w:r>
              <w:tab/>
            </w:r>
          </w:p>
        </w:tc>
        <w:tc>
          <w:tcPr>
            <w:tcW w:w="1315" w:type="dxa"/>
            <w:vAlign w:val="bottom"/>
          </w:tcPr>
          <w:p>
            <w:pPr>
              <w:pStyle w:val="yTableNAm"/>
            </w:pPr>
            <w:r>
              <w:t>1 342.3 cents</w:t>
            </w:r>
          </w:p>
        </w:tc>
      </w:tr>
      <w:tr>
        <w:trPr>
          <w:cantSplit/>
        </w:trPr>
        <w:tc>
          <w:tcPr>
            <w:tcW w:w="736" w:type="dxa"/>
          </w:tcPr>
          <w:p>
            <w:pPr>
              <w:pStyle w:val="zyTableNAm"/>
            </w:pPr>
          </w:p>
        </w:tc>
        <w:tc>
          <w:tcPr>
            <w:tcW w:w="4326" w:type="dxa"/>
          </w:tcPr>
          <w:p>
            <w:pPr>
              <w:pStyle w:val="yTableNAm"/>
              <w:tabs>
                <w:tab w:val="clear" w:pos="567"/>
                <w:tab w:val="left" w:pos="296"/>
                <w:tab w:val="left" w:pos="776"/>
                <w:tab w:val="left" w:leader="dot" w:pos="4876"/>
              </w:tabs>
              <w:ind w:left="776" w:hanging="776"/>
            </w:pPr>
            <w:r>
              <w:rPr>
                <w:snapToGrid w:val="0"/>
              </w:rPr>
              <w:tab/>
            </w:r>
            <w:r>
              <w:rPr>
                <w:snapToGrid w:val="0"/>
              </w:rPr>
              <w:tab/>
              <w:t>where the quota, for each of the periods of 4 consecutive months during the year, is 35 kL or such greater amount as the Corporation may from time to time determine for the land concerned;</w:t>
            </w:r>
          </w:p>
        </w:tc>
        <w:tc>
          <w:tcPr>
            <w:tcW w:w="1315" w:type="dxa"/>
            <w:vAlign w:val="bottom"/>
          </w:tcPr>
          <w:p>
            <w:pPr>
              <w:pStyle w:val="yTableNAm"/>
            </w:pPr>
          </w:p>
        </w:tc>
      </w:tr>
      <w:tr>
        <w:trPr>
          <w:cantSplit/>
        </w:trPr>
        <w:tc>
          <w:tcPr>
            <w:tcW w:w="736" w:type="dxa"/>
          </w:tcPr>
          <w:p>
            <w:pPr>
              <w:pStyle w:val="zyTableNAm"/>
            </w:pPr>
          </w:p>
        </w:tc>
        <w:tc>
          <w:tcPr>
            <w:tcW w:w="4326" w:type="dxa"/>
          </w:tcPr>
          <w:p>
            <w:pPr>
              <w:pStyle w:val="yTableNAm"/>
              <w:tabs>
                <w:tab w:val="clear" w:pos="567"/>
                <w:tab w:val="left" w:pos="296"/>
                <w:tab w:val="left" w:pos="776"/>
                <w:tab w:val="left" w:leader="dot" w:pos="4876"/>
              </w:tabs>
              <w:ind w:left="776" w:hanging="776"/>
            </w:pPr>
            <w:r>
              <w:rPr>
                <w:snapToGrid w:val="0"/>
              </w:rPr>
              <w:tab/>
              <w:t>(b)</w:t>
            </w:r>
            <w:r>
              <w:rPr>
                <w:snapToGrid w:val="0"/>
              </w:rPr>
              <w:tab/>
              <w:t>in the case of land not classified as residential —</w:t>
            </w:r>
          </w:p>
        </w:tc>
        <w:tc>
          <w:tcPr>
            <w:tcW w:w="1315" w:type="dxa"/>
            <w:vAlign w:val="bottom"/>
          </w:tcPr>
          <w:p>
            <w:pPr>
              <w:pStyle w:val="yTableNAm"/>
            </w:pPr>
          </w:p>
        </w:tc>
      </w:tr>
      <w:tr>
        <w:trPr>
          <w:cantSplit/>
        </w:trPr>
        <w:tc>
          <w:tcPr>
            <w:tcW w:w="736" w:type="dxa"/>
          </w:tcPr>
          <w:p>
            <w:pPr>
              <w:pStyle w:val="zyTableNAm"/>
            </w:pPr>
          </w:p>
        </w:tc>
        <w:tc>
          <w:tcPr>
            <w:tcW w:w="4326" w:type="dxa"/>
          </w:tcPr>
          <w:p>
            <w:pPr>
              <w:pStyle w:val="yTableNAm"/>
              <w:tabs>
                <w:tab w:val="clear" w:pos="567"/>
                <w:tab w:val="left" w:pos="852"/>
                <w:tab w:val="right" w:leader="dot" w:pos="4003"/>
              </w:tabs>
              <w:ind w:left="848" w:right="158" w:hanging="848"/>
            </w:pPr>
            <w:r>
              <w:tab/>
            </w:r>
            <w:r>
              <w:tab/>
              <w:t xml:space="preserve">up to quota </w:t>
            </w:r>
            <w:r>
              <w:tab/>
            </w:r>
          </w:p>
        </w:tc>
        <w:tc>
          <w:tcPr>
            <w:tcW w:w="1315" w:type="dxa"/>
            <w:vAlign w:val="bottom"/>
          </w:tcPr>
          <w:p>
            <w:pPr>
              <w:pStyle w:val="yTableNAm"/>
            </w:pPr>
            <w:r>
              <w:t>58.7 cents</w:t>
            </w:r>
          </w:p>
        </w:tc>
      </w:tr>
      <w:tr>
        <w:trPr>
          <w:cantSplit/>
        </w:trPr>
        <w:tc>
          <w:tcPr>
            <w:tcW w:w="736" w:type="dxa"/>
          </w:tcPr>
          <w:p>
            <w:pPr>
              <w:pStyle w:val="zyTableNAm"/>
            </w:pPr>
          </w:p>
        </w:tc>
        <w:tc>
          <w:tcPr>
            <w:tcW w:w="4326" w:type="dxa"/>
          </w:tcPr>
          <w:p>
            <w:pPr>
              <w:pStyle w:val="yTableNAm"/>
              <w:tabs>
                <w:tab w:val="clear" w:pos="567"/>
                <w:tab w:val="left" w:pos="852"/>
                <w:tab w:val="right" w:leader="dot" w:pos="4003"/>
              </w:tabs>
              <w:ind w:left="848" w:right="158" w:hanging="848"/>
            </w:pPr>
            <w:r>
              <w:tab/>
            </w:r>
            <w:r>
              <w:tab/>
              <w:t xml:space="preserve">over quota </w:t>
            </w:r>
            <w:r>
              <w:tab/>
            </w:r>
          </w:p>
        </w:tc>
        <w:tc>
          <w:tcPr>
            <w:tcW w:w="1315" w:type="dxa"/>
            <w:vAlign w:val="bottom"/>
          </w:tcPr>
          <w:p>
            <w:pPr>
              <w:pStyle w:val="yTableNAm"/>
            </w:pPr>
            <w:r>
              <w:t>1 342.3 cents</w:t>
            </w:r>
          </w:p>
        </w:tc>
      </w:tr>
      <w:tr>
        <w:trPr>
          <w:cantSplit/>
        </w:trPr>
        <w:tc>
          <w:tcPr>
            <w:tcW w:w="736" w:type="dxa"/>
          </w:tcPr>
          <w:p>
            <w:pPr>
              <w:pStyle w:val="zyTableNAm"/>
            </w:pPr>
          </w:p>
        </w:tc>
        <w:tc>
          <w:tcPr>
            <w:tcW w:w="4326" w:type="dxa"/>
          </w:tcPr>
          <w:p>
            <w:pPr>
              <w:pStyle w:val="yTableNAm"/>
              <w:tabs>
                <w:tab w:val="clear" w:pos="567"/>
                <w:tab w:val="left" w:pos="296"/>
                <w:tab w:val="left" w:pos="776"/>
                <w:tab w:val="left" w:leader="dot" w:pos="4876"/>
              </w:tabs>
              <w:ind w:left="776" w:hanging="776"/>
            </w:pPr>
            <w:r>
              <w:rPr>
                <w:snapToGrid w:val="0"/>
              </w:rPr>
              <w:tab/>
            </w:r>
            <w:r>
              <w:rPr>
                <w:snapToGrid w:val="0"/>
              </w:rPr>
              <w:tab/>
              <w:t>where the quota for the year is 105 kL or such greater amount as the Corporation may from time to time determine for the land concerned.</w:t>
            </w:r>
          </w:p>
        </w:tc>
        <w:tc>
          <w:tcPr>
            <w:tcW w:w="1315" w:type="dxa"/>
            <w:vAlign w:val="bottom"/>
          </w:tcPr>
          <w:p>
            <w:pPr>
              <w:pStyle w:val="yTableNAm"/>
            </w:pPr>
          </w:p>
        </w:tc>
      </w:tr>
      <w:tr>
        <w:trPr>
          <w:cantSplit/>
        </w:trPr>
        <w:tc>
          <w:tcPr>
            <w:tcW w:w="736" w:type="dxa"/>
          </w:tcPr>
          <w:p>
            <w:pPr>
              <w:pStyle w:val="yTableNAm"/>
            </w:pPr>
            <w:r>
              <w:rPr>
                <w:b/>
              </w:rPr>
              <w:t>30.</w:t>
            </w:r>
          </w:p>
        </w:tc>
        <w:tc>
          <w:tcPr>
            <w:tcW w:w="4326" w:type="dxa"/>
          </w:tcPr>
          <w:p>
            <w:pPr>
              <w:pStyle w:val="yTableNAm"/>
              <w:tabs>
                <w:tab w:val="left" w:leader="dot" w:pos="4876"/>
              </w:tabs>
            </w:pPr>
            <w:r>
              <w:rPr>
                <w:b/>
              </w:rPr>
              <w:t>Local government standpipes</w:t>
            </w:r>
          </w:p>
        </w:tc>
        <w:tc>
          <w:tcPr>
            <w:tcW w:w="1315" w:type="dxa"/>
            <w:vAlign w:val="bottom"/>
          </w:tcPr>
          <w:p>
            <w:pPr>
              <w:pStyle w:val="yTableNAm"/>
            </w:pPr>
          </w:p>
        </w:tc>
      </w:tr>
      <w:tr>
        <w:trPr>
          <w:cantSplit/>
        </w:trPr>
        <w:tc>
          <w:tcPr>
            <w:tcW w:w="736" w:type="dxa"/>
          </w:tcPr>
          <w:p>
            <w:pPr>
              <w:pStyle w:val="zyTableNAm"/>
              <w:keepNext/>
              <w:keepLines/>
            </w:pPr>
          </w:p>
        </w:tc>
        <w:tc>
          <w:tcPr>
            <w:tcW w:w="4326" w:type="dxa"/>
          </w:tcPr>
          <w:p>
            <w:pPr>
              <w:pStyle w:val="yTableNAm"/>
              <w:tabs>
                <w:tab w:val="left" w:leader="dot" w:pos="4876"/>
              </w:tabs>
            </w:pPr>
            <w:r>
              <w:rPr>
                <w:spacing w:val="-1"/>
              </w:rPr>
              <w:t xml:space="preserve">For </w:t>
            </w:r>
            <w:r>
              <w:rPr>
                <w:snapToGrid w:val="0"/>
              </w:rPr>
              <w:t>each</w:t>
            </w:r>
            <w:r>
              <w:rPr>
                <w:spacing w:val="-1"/>
              </w:rPr>
              <w:t xml:space="preserve"> kilolitre of </w:t>
            </w:r>
            <w:r>
              <w:t>water</w:t>
            </w:r>
            <w:r>
              <w:rPr>
                <w:spacing w:val="-1"/>
              </w:rPr>
              <w:t xml:space="preserve"> supplied through a local government standpipe </w:t>
            </w:r>
            <w:r>
              <w:rPr>
                <w:spacing w:val="-1"/>
              </w:rPr>
              <w:tab/>
            </w:r>
          </w:p>
        </w:tc>
        <w:tc>
          <w:tcPr>
            <w:tcW w:w="1315" w:type="dxa"/>
            <w:vAlign w:val="bottom"/>
          </w:tcPr>
          <w:p>
            <w:pPr>
              <w:pStyle w:val="yTableNAm"/>
            </w:pPr>
            <w:r>
              <w:t>171.3 cents</w:t>
            </w:r>
          </w:p>
        </w:tc>
      </w:tr>
      <w:tr>
        <w:trPr>
          <w:cantSplit/>
        </w:trPr>
        <w:tc>
          <w:tcPr>
            <w:tcW w:w="736" w:type="dxa"/>
          </w:tcPr>
          <w:p>
            <w:pPr>
              <w:pStyle w:val="yTableNAm"/>
            </w:pPr>
            <w:r>
              <w:rPr>
                <w:b/>
              </w:rPr>
              <w:t>31.</w:t>
            </w:r>
          </w:p>
        </w:tc>
        <w:tc>
          <w:tcPr>
            <w:tcW w:w="4326" w:type="dxa"/>
          </w:tcPr>
          <w:p>
            <w:pPr>
              <w:pStyle w:val="yTableNAm"/>
              <w:tabs>
                <w:tab w:val="left" w:leader="dot" w:pos="4876"/>
              </w:tabs>
            </w:pPr>
            <w:r>
              <w:rPr>
                <w:b/>
              </w:rPr>
              <w:t>Shipping</w:t>
            </w:r>
          </w:p>
        </w:tc>
        <w:tc>
          <w:tcPr>
            <w:tcW w:w="1315" w:type="dxa"/>
            <w:vAlign w:val="bottom"/>
          </w:tcPr>
          <w:p>
            <w:pPr>
              <w:pStyle w:val="yTableNAm"/>
            </w:pPr>
          </w:p>
        </w:tc>
      </w:tr>
      <w:tr>
        <w:trPr>
          <w:cantSplit/>
        </w:trPr>
        <w:tc>
          <w:tcPr>
            <w:tcW w:w="736" w:type="dxa"/>
          </w:tcPr>
          <w:p>
            <w:pPr>
              <w:pStyle w:val="zyTableNAm"/>
              <w:rPr>
                <w:rStyle w:val="CharSClsNo"/>
              </w:rPr>
            </w:pPr>
          </w:p>
        </w:tc>
        <w:tc>
          <w:tcPr>
            <w:tcW w:w="4326" w:type="dxa"/>
          </w:tcPr>
          <w:p>
            <w:pPr>
              <w:pStyle w:val="yTableNAm"/>
              <w:tabs>
                <w:tab w:val="left" w:leader="dot" w:pos="4876"/>
              </w:tabs>
            </w:pPr>
            <w:r>
              <w:t xml:space="preserve">For </w:t>
            </w:r>
            <w:r>
              <w:rPr>
                <w:snapToGrid w:val="0"/>
              </w:rPr>
              <w:t>each</w:t>
            </w:r>
            <w:r>
              <w:t xml:space="preserve"> kilolitre of water supplied for the purpose of being taken on board any ship in port —</w:t>
            </w:r>
          </w:p>
        </w:tc>
        <w:tc>
          <w:tcPr>
            <w:tcW w:w="1315" w:type="dxa"/>
            <w:vAlign w:val="bottom"/>
          </w:tcPr>
          <w:p>
            <w:pPr>
              <w:pStyle w:val="yTableNAm"/>
            </w:pPr>
          </w:p>
        </w:tc>
      </w:tr>
      <w:tr>
        <w:trPr>
          <w:cantSplit/>
        </w:trPr>
        <w:tc>
          <w:tcPr>
            <w:tcW w:w="736" w:type="dxa"/>
          </w:tcPr>
          <w:p>
            <w:pPr>
              <w:pStyle w:val="zyTableNAm"/>
              <w:rPr>
                <w:rStyle w:val="CharSClsNo"/>
              </w:rPr>
            </w:pPr>
          </w:p>
        </w:tc>
        <w:tc>
          <w:tcPr>
            <w:tcW w:w="4326" w:type="dxa"/>
          </w:tcPr>
          <w:p>
            <w:pPr>
              <w:pStyle w:val="yTableNAm"/>
              <w:tabs>
                <w:tab w:val="clear" w:pos="567"/>
                <w:tab w:val="left" w:pos="296"/>
                <w:tab w:val="left" w:pos="776"/>
                <w:tab w:val="left" w:leader="dot" w:pos="4876"/>
              </w:tabs>
              <w:ind w:left="776" w:hanging="776"/>
              <w:rPr>
                <w:snapToGrid w:val="0"/>
              </w:rPr>
            </w:pPr>
            <w:r>
              <w:rPr>
                <w:snapToGrid w:val="0"/>
              </w:rPr>
              <w:tab/>
              <w:t>(a)</w:t>
            </w:r>
            <w:r>
              <w:rPr>
                <w:snapToGrid w:val="0"/>
              </w:rPr>
              <w:tab/>
              <w:t xml:space="preserve">in the metropolitan area </w:t>
            </w:r>
            <w:r>
              <w:rPr>
                <w:snapToGrid w:val="0"/>
              </w:rPr>
              <w:tab/>
            </w:r>
          </w:p>
        </w:tc>
        <w:tc>
          <w:tcPr>
            <w:tcW w:w="1315" w:type="dxa"/>
            <w:vAlign w:val="bottom"/>
          </w:tcPr>
          <w:p>
            <w:pPr>
              <w:pStyle w:val="yTableNAm"/>
            </w:pPr>
            <w:r>
              <w:t>204.1 cents</w:t>
            </w:r>
          </w:p>
        </w:tc>
      </w:tr>
      <w:tr>
        <w:trPr>
          <w:cantSplit/>
        </w:trPr>
        <w:tc>
          <w:tcPr>
            <w:tcW w:w="736" w:type="dxa"/>
          </w:tcPr>
          <w:p>
            <w:pPr>
              <w:pStyle w:val="zyTableNAm"/>
              <w:rPr>
                <w:rStyle w:val="CharSClsNo"/>
              </w:rPr>
            </w:pPr>
          </w:p>
        </w:tc>
        <w:tc>
          <w:tcPr>
            <w:tcW w:w="4326" w:type="dxa"/>
          </w:tcPr>
          <w:p>
            <w:pPr>
              <w:pStyle w:val="yTableNAm"/>
              <w:tabs>
                <w:tab w:val="clear" w:pos="567"/>
                <w:tab w:val="left" w:pos="296"/>
                <w:tab w:val="left" w:pos="776"/>
                <w:tab w:val="left" w:leader="dot" w:pos="4876"/>
              </w:tabs>
              <w:ind w:left="776" w:hanging="776"/>
              <w:rPr>
                <w:snapToGrid w:val="0"/>
              </w:rPr>
            </w:pPr>
            <w:r>
              <w:rPr>
                <w:snapToGrid w:val="0"/>
              </w:rPr>
              <w:tab/>
              <w:t>(b)</w:t>
            </w:r>
            <w:r>
              <w:rPr>
                <w:snapToGrid w:val="0"/>
              </w:rPr>
              <w:tab/>
              <w:t>not in the metropolitan area (according to the non</w:t>
            </w:r>
            <w:r>
              <w:rPr>
                <w:snapToGrid w:val="0"/>
              </w:rPr>
              <w:noBreakHyphen/>
              <w:t>residential classification of the town/area in which that property is situated, as set out in Schedule 10) —</w:t>
            </w:r>
          </w:p>
        </w:tc>
        <w:tc>
          <w:tcPr>
            <w:tcW w:w="1315" w:type="dxa"/>
            <w:vAlign w:val="bottom"/>
          </w:tcPr>
          <w:p>
            <w:pPr>
              <w:pStyle w:val="yTableNAm"/>
            </w:pPr>
          </w:p>
        </w:tc>
      </w:tr>
    </w:tbl>
    <w:p>
      <w:pPr>
        <w:pStyle w:val="yMiscellaneousBody"/>
      </w:pPr>
    </w:p>
    <w:tbl>
      <w:tblPr>
        <w:tblW w:w="6377" w:type="dxa"/>
        <w:tblInd w:w="454" w:type="dxa"/>
        <w:tblLayout w:type="fixed"/>
        <w:tblCellMar>
          <w:left w:w="28" w:type="dxa"/>
          <w:right w:w="28" w:type="dxa"/>
        </w:tblCellMar>
        <w:tblLook w:val="0000" w:firstRow="0" w:lastRow="0" w:firstColumn="0" w:lastColumn="0" w:noHBand="0" w:noVBand="0"/>
      </w:tblPr>
      <w:tblGrid>
        <w:gridCol w:w="1842"/>
        <w:gridCol w:w="2339"/>
        <w:gridCol w:w="2196"/>
      </w:tblGrid>
      <w:tr>
        <w:trPr>
          <w:cantSplit/>
          <w:trHeight w:val="217"/>
          <w:tblHeader/>
        </w:trPr>
        <w:tc>
          <w:tcPr>
            <w:tcW w:w="1842" w:type="dxa"/>
            <w:vMerge w:val="restart"/>
            <w:tcBorders>
              <w:top w:val="single" w:sz="4" w:space="0" w:color="auto"/>
            </w:tcBorders>
          </w:tcPr>
          <w:p>
            <w:pPr>
              <w:pStyle w:val="yTableNAm"/>
            </w:pPr>
            <w:r>
              <w:rPr>
                <w:b/>
                <w:bCs/>
              </w:rPr>
              <w:t>Class</w:t>
            </w:r>
          </w:p>
        </w:tc>
        <w:tc>
          <w:tcPr>
            <w:tcW w:w="4535" w:type="dxa"/>
            <w:gridSpan w:val="2"/>
            <w:tcBorders>
              <w:top w:val="single" w:sz="4" w:space="0" w:color="auto"/>
            </w:tcBorders>
          </w:tcPr>
          <w:p>
            <w:pPr>
              <w:pStyle w:val="yTableNAm"/>
              <w:jc w:val="center"/>
            </w:pPr>
            <w:r>
              <w:rPr>
                <w:b/>
                <w:bCs/>
              </w:rPr>
              <w:t>Consumption (kL)</w:t>
            </w:r>
          </w:p>
        </w:tc>
      </w:tr>
      <w:tr>
        <w:trPr>
          <w:cantSplit/>
          <w:trHeight w:val="217"/>
          <w:tblHeader/>
        </w:trPr>
        <w:tc>
          <w:tcPr>
            <w:tcW w:w="1842" w:type="dxa"/>
            <w:vMerge/>
            <w:tcBorders>
              <w:bottom w:val="single" w:sz="4" w:space="0" w:color="auto"/>
            </w:tcBorders>
          </w:tcPr>
          <w:p>
            <w:pPr>
              <w:pStyle w:val="zyTableNAm"/>
              <w:rPr>
                <w:b/>
                <w:bCs/>
              </w:rPr>
            </w:pPr>
          </w:p>
        </w:tc>
        <w:tc>
          <w:tcPr>
            <w:tcW w:w="2339" w:type="dxa"/>
            <w:tcBorders>
              <w:bottom w:val="single" w:sz="4" w:space="0" w:color="auto"/>
            </w:tcBorders>
          </w:tcPr>
          <w:p>
            <w:pPr>
              <w:pStyle w:val="yTableNAm"/>
              <w:jc w:val="center"/>
            </w:pPr>
            <w:r>
              <w:rPr>
                <w:b/>
                <w:bCs/>
              </w:rPr>
              <w:t>Up to 300</w:t>
            </w:r>
          </w:p>
        </w:tc>
        <w:tc>
          <w:tcPr>
            <w:tcW w:w="2196" w:type="dxa"/>
            <w:tcBorders>
              <w:bottom w:val="single" w:sz="4" w:space="0" w:color="auto"/>
            </w:tcBorders>
          </w:tcPr>
          <w:p>
            <w:pPr>
              <w:pStyle w:val="yTableNAm"/>
              <w:jc w:val="center"/>
            </w:pPr>
            <w:r>
              <w:rPr>
                <w:b/>
                <w:bCs/>
              </w:rPr>
              <w:t>Over 300</w:t>
            </w:r>
          </w:p>
        </w:tc>
      </w:tr>
      <w:tr>
        <w:tc>
          <w:tcPr>
            <w:tcW w:w="1842" w:type="dxa"/>
            <w:tcBorders>
              <w:top w:val="single" w:sz="4" w:space="0" w:color="auto"/>
            </w:tcBorders>
          </w:tcPr>
          <w:p>
            <w:pPr>
              <w:pStyle w:val="yTableNAm"/>
            </w:pPr>
            <w:r>
              <w:rPr>
                <w:bCs/>
              </w:rPr>
              <w:t>Class 1 (c/kL)</w:t>
            </w:r>
          </w:p>
        </w:tc>
        <w:tc>
          <w:tcPr>
            <w:tcW w:w="2339" w:type="dxa"/>
            <w:tcBorders>
              <w:top w:val="single" w:sz="4" w:space="0" w:color="auto"/>
            </w:tcBorders>
            <w:vAlign w:val="bottom"/>
          </w:tcPr>
          <w:p>
            <w:pPr>
              <w:pStyle w:val="yTableNAm"/>
              <w:jc w:val="center"/>
            </w:pPr>
            <w:r>
              <w:t>174.7</w:t>
            </w:r>
          </w:p>
        </w:tc>
        <w:tc>
          <w:tcPr>
            <w:tcW w:w="2196" w:type="dxa"/>
            <w:tcBorders>
              <w:top w:val="single" w:sz="4" w:space="0" w:color="auto"/>
            </w:tcBorders>
            <w:vAlign w:val="bottom"/>
          </w:tcPr>
          <w:p>
            <w:pPr>
              <w:pStyle w:val="yTableNAm"/>
              <w:jc w:val="center"/>
            </w:pPr>
            <w:r>
              <w:t>192.6</w:t>
            </w:r>
          </w:p>
        </w:tc>
      </w:tr>
      <w:tr>
        <w:tc>
          <w:tcPr>
            <w:tcW w:w="1842" w:type="dxa"/>
          </w:tcPr>
          <w:p>
            <w:pPr>
              <w:pStyle w:val="yTableNAm"/>
            </w:pPr>
            <w:r>
              <w:rPr>
                <w:bCs/>
              </w:rPr>
              <w:t>Class 2 (c/kL)</w:t>
            </w:r>
          </w:p>
        </w:tc>
        <w:tc>
          <w:tcPr>
            <w:tcW w:w="2339" w:type="dxa"/>
            <w:vAlign w:val="bottom"/>
          </w:tcPr>
          <w:p>
            <w:pPr>
              <w:pStyle w:val="yTableNAm"/>
              <w:jc w:val="center"/>
            </w:pPr>
            <w:r>
              <w:t>191.6</w:t>
            </w:r>
          </w:p>
        </w:tc>
        <w:tc>
          <w:tcPr>
            <w:tcW w:w="2196" w:type="dxa"/>
            <w:vAlign w:val="bottom"/>
          </w:tcPr>
          <w:p>
            <w:pPr>
              <w:pStyle w:val="yTableNAm"/>
              <w:jc w:val="center"/>
            </w:pPr>
            <w:r>
              <w:t>209.8</w:t>
            </w:r>
          </w:p>
        </w:tc>
      </w:tr>
      <w:tr>
        <w:tc>
          <w:tcPr>
            <w:tcW w:w="1842" w:type="dxa"/>
          </w:tcPr>
          <w:p>
            <w:pPr>
              <w:pStyle w:val="yTableNAm"/>
            </w:pPr>
            <w:r>
              <w:rPr>
                <w:bCs/>
              </w:rPr>
              <w:t>Class 3 (c/kL)</w:t>
            </w:r>
          </w:p>
        </w:tc>
        <w:tc>
          <w:tcPr>
            <w:tcW w:w="2339" w:type="dxa"/>
            <w:vAlign w:val="bottom"/>
          </w:tcPr>
          <w:p>
            <w:pPr>
              <w:pStyle w:val="yTableNAm"/>
              <w:jc w:val="center"/>
            </w:pPr>
            <w:r>
              <w:t>209.8</w:t>
            </w:r>
          </w:p>
        </w:tc>
        <w:tc>
          <w:tcPr>
            <w:tcW w:w="2196" w:type="dxa"/>
            <w:vAlign w:val="bottom"/>
          </w:tcPr>
          <w:p>
            <w:pPr>
              <w:pStyle w:val="yTableNAm"/>
              <w:jc w:val="center"/>
            </w:pPr>
            <w:r>
              <w:t>228.2</w:t>
            </w:r>
          </w:p>
        </w:tc>
      </w:tr>
      <w:tr>
        <w:tc>
          <w:tcPr>
            <w:tcW w:w="1842" w:type="dxa"/>
          </w:tcPr>
          <w:p>
            <w:pPr>
              <w:pStyle w:val="yTableNAm"/>
            </w:pPr>
            <w:r>
              <w:rPr>
                <w:bCs/>
              </w:rPr>
              <w:t>Class 4 (c/kL)</w:t>
            </w:r>
          </w:p>
        </w:tc>
        <w:tc>
          <w:tcPr>
            <w:tcW w:w="2339" w:type="dxa"/>
            <w:vAlign w:val="bottom"/>
          </w:tcPr>
          <w:p>
            <w:pPr>
              <w:pStyle w:val="yTableNAm"/>
              <w:jc w:val="center"/>
            </w:pPr>
            <w:r>
              <w:t>230.0</w:t>
            </w:r>
          </w:p>
        </w:tc>
        <w:tc>
          <w:tcPr>
            <w:tcW w:w="2196" w:type="dxa"/>
            <w:vAlign w:val="bottom"/>
          </w:tcPr>
          <w:p>
            <w:pPr>
              <w:pStyle w:val="yTableNAm"/>
              <w:jc w:val="center"/>
            </w:pPr>
            <w:r>
              <w:t>248.6</w:t>
            </w:r>
          </w:p>
        </w:tc>
      </w:tr>
      <w:tr>
        <w:tc>
          <w:tcPr>
            <w:tcW w:w="1842" w:type="dxa"/>
          </w:tcPr>
          <w:p>
            <w:pPr>
              <w:pStyle w:val="yTableNAm"/>
            </w:pPr>
            <w:r>
              <w:rPr>
                <w:bCs/>
              </w:rPr>
              <w:t>Class 5 (c/kL)</w:t>
            </w:r>
          </w:p>
        </w:tc>
        <w:tc>
          <w:tcPr>
            <w:tcW w:w="2339" w:type="dxa"/>
            <w:vAlign w:val="bottom"/>
          </w:tcPr>
          <w:p>
            <w:pPr>
              <w:pStyle w:val="yTableNAm"/>
              <w:jc w:val="center"/>
            </w:pPr>
            <w:r>
              <w:t>252.2</w:t>
            </w:r>
          </w:p>
        </w:tc>
        <w:tc>
          <w:tcPr>
            <w:tcW w:w="2196" w:type="dxa"/>
            <w:vAlign w:val="bottom"/>
          </w:tcPr>
          <w:p>
            <w:pPr>
              <w:pStyle w:val="yTableNAm"/>
              <w:jc w:val="center"/>
            </w:pPr>
            <w:r>
              <w:t>270.7</w:t>
            </w:r>
          </w:p>
        </w:tc>
      </w:tr>
      <w:tr>
        <w:tc>
          <w:tcPr>
            <w:tcW w:w="1842" w:type="dxa"/>
          </w:tcPr>
          <w:p>
            <w:pPr>
              <w:pStyle w:val="yTableNAm"/>
            </w:pPr>
            <w:r>
              <w:rPr>
                <w:bCs/>
              </w:rPr>
              <w:t>Class 6 (c/kL)</w:t>
            </w:r>
          </w:p>
        </w:tc>
        <w:tc>
          <w:tcPr>
            <w:tcW w:w="2339" w:type="dxa"/>
            <w:vAlign w:val="bottom"/>
          </w:tcPr>
          <w:p>
            <w:pPr>
              <w:pStyle w:val="yTableNAm"/>
              <w:jc w:val="center"/>
            </w:pPr>
            <w:r>
              <w:t>274.4</w:t>
            </w:r>
          </w:p>
        </w:tc>
        <w:tc>
          <w:tcPr>
            <w:tcW w:w="2196" w:type="dxa"/>
            <w:vAlign w:val="bottom"/>
          </w:tcPr>
          <w:p>
            <w:pPr>
              <w:pStyle w:val="yTableNAm"/>
              <w:jc w:val="center"/>
            </w:pPr>
            <w:r>
              <w:t>294.8</w:t>
            </w:r>
          </w:p>
        </w:tc>
      </w:tr>
      <w:tr>
        <w:tc>
          <w:tcPr>
            <w:tcW w:w="1842" w:type="dxa"/>
          </w:tcPr>
          <w:p>
            <w:pPr>
              <w:pStyle w:val="yTableNAm"/>
            </w:pPr>
            <w:r>
              <w:rPr>
                <w:bCs/>
              </w:rPr>
              <w:t>Class 7 (c/kL)</w:t>
            </w:r>
          </w:p>
        </w:tc>
        <w:tc>
          <w:tcPr>
            <w:tcW w:w="2339" w:type="dxa"/>
            <w:vAlign w:val="bottom"/>
          </w:tcPr>
          <w:p>
            <w:pPr>
              <w:pStyle w:val="yTableNAm"/>
              <w:jc w:val="center"/>
            </w:pPr>
            <w:r>
              <w:t>298.6</w:t>
            </w:r>
          </w:p>
        </w:tc>
        <w:tc>
          <w:tcPr>
            <w:tcW w:w="2196" w:type="dxa"/>
            <w:vAlign w:val="bottom"/>
          </w:tcPr>
          <w:p>
            <w:pPr>
              <w:pStyle w:val="yTableNAm"/>
              <w:jc w:val="center"/>
            </w:pPr>
            <w:r>
              <w:t>321.1</w:t>
            </w:r>
          </w:p>
        </w:tc>
      </w:tr>
      <w:tr>
        <w:tc>
          <w:tcPr>
            <w:tcW w:w="1842" w:type="dxa"/>
          </w:tcPr>
          <w:p>
            <w:pPr>
              <w:pStyle w:val="yTableNAm"/>
            </w:pPr>
            <w:r>
              <w:rPr>
                <w:bCs/>
              </w:rPr>
              <w:t>Class 8 (c/kL)</w:t>
            </w:r>
          </w:p>
        </w:tc>
        <w:tc>
          <w:tcPr>
            <w:tcW w:w="2339" w:type="dxa"/>
            <w:vAlign w:val="bottom"/>
          </w:tcPr>
          <w:p>
            <w:pPr>
              <w:pStyle w:val="yTableNAm"/>
              <w:jc w:val="center"/>
            </w:pPr>
            <w:r>
              <w:t>324.2</w:t>
            </w:r>
          </w:p>
        </w:tc>
        <w:tc>
          <w:tcPr>
            <w:tcW w:w="2196" w:type="dxa"/>
            <w:vAlign w:val="bottom"/>
          </w:tcPr>
          <w:p>
            <w:pPr>
              <w:pStyle w:val="yTableNAm"/>
              <w:jc w:val="center"/>
            </w:pPr>
            <w:r>
              <w:t>349.6</w:t>
            </w:r>
          </w:p>
        </w:tc>
      </w:tr>
      <w:tr>
        <w:tc>
          <w:tcPr>
            <w:tcW w:w="1842" w:type="dxa"/>
          </w:tcPr>
          <w:p>
            <w:pPr>
              <w:pStyle w:val="yTableNAm"/>
            </w:pPr>
            <w:r>
              <w:rPr>
                <w:bCs/>
              </w:rPr>
              <w:t>Class 9 (c/kL)</w:t>
            </w:r>
          </w:p>
        </w:tc>
        <w:tc>
          <w:tcPr>
            <w:tcW w:w="2339" w:type="dxa"/>
            <w:vAlign w:val="bottom"/>
          </w:tcPr>
          <w:p>
            <w:pPr>
              <w:pStyle w:val="yTableNAm"/>
              <w:jc w:val="center"/>
            </w:pPr>
            <w:r>
              <w:t>352.0</w:t>
            </w:r>
          </w:p>
        </w:tc>
        <w:tc>
          <w:tcPr>
            <w:tcW w:w="2196" w:type="dxa"/>
            <w:vAlign w:val="bottom"/>
          </w:tcPr>
          <w:p>
            <w:pPr>
              <w:pStyle w:val="yTableNAm"/>
              <w:jc w:val="center"/>
            </w:pPr>
            <w:r>
              <w:t>380.7</w:t>
            </w:r>
          </w:p>
        </w:tc>
      </w:tr>
      <w:tr>
        <w:tc>
          <w:tcPr>
            <w:tcW w:w="1842" w:type="dxa"/>
          </w:tcPr>
          <w:p>
            <w:pPr>
              <w:pStyle w:val="yTableNAm"/>
            </w:pPr>
            <w:r>
              <w:rPr>
                <w:bCs/>
              </w:rPr>
              <w:t>Class 10 (c/kL)</w:t>
            </w:r>
          </w:p>
        </w:tc>
        <w:tc>
          <w:tcPr>
            <w:tcW w:w="2339" w:type="dxa"/>
            <w:vAlign w:val="bottom"/>
          </w:tcPr>
          <w:p>
            <w:pPr>
              <w:pStyle w:val="yTableNAm"/>
              <w:jc w:val="center"/>
            </w:pPr>
            <w:r>
              <w:t>379.0</w:t>
            </w:r>
          </w:p>
        </w:tc>
        <w:tc>
          <w:tcPr>
            <w:tcW w:w="2196" w:type="dxa"/>
            <w:vAlign w:val="bottom"/>
          </w:tcPr>
          <w:p>
            <w:pPr>
              <w:pStyle w:val="yTableNAm"/>
              <w:jc w:val="center"/>
            </w:pPr>
            <w:r>
              <w:t>414.6</w:t>
            </w:r>
          </w:p>
        </w:tc>
      </w:tr>
      <w:tr>
        <w:tc>
          <w:tcPr>
            <w:tcW w:w="1842" w:type="dxa"/>
          </w:tcPr>
          <w:p>
            <w:pPr>
              <w:pStyle w:val="yTableNAm"/>
            </w:pPr>
            <w:r>
              <w:rPr>
                <w:bCs/>
              </w:rPr>
              <w:t>Class 11 (c/kL)</w:t>
            </w:r>
          </w:p>
        </w:tc>
        <w:tc>
          <w:tcPr>
            <w:tcW w:w="2339" w:type="dxa"/>
            <w:vAlign w:val="bottom"/>
          </w:tcPr>
          <w:p>
            <w:pPr>
              <w:pStyle w:val="yTableNAm"/>
              <w:jc w:val="center"/>
            </w:pPr>
            <w:r>
              <w:t>413.5</w:t>
            </w:r>
          </w:p>
        </w:tc>
        <w:tc>
          <w:tcPr>
            <w:tcW w:w="2196" w:type="dxa"/>
            <w:vAlign w:val="bottom"/>
          </w:tcPr>
          <w:p>
            <w:pPr>
              <w:pStyle w:val="yTableNAm"/>
              <w:jc w:val="center"/>
            </w:pPr>
            <w:r>
              <w:t>451.4</w:t>
            </w:r>
          </w:p>
        </w:tc>
      </w:tr>
      <w:tr>
        <w:tc>
          <w:tcPr>
            <w:tcW w:w="1842" w:type="dxa"/>
          </w:tcPr>
          <w:p>
            <w:pPr>
              <w:pStyle w:val="yTableNAm"/>
            </w:pPr>
            <w:r>
              <w:rPr>
                <w:bCs/>
              </w:rPr>
              <w:t>Class 12 (c/kL)</w:t>
            </w:r>
          </w:p>
        </w:tc>
        <w:tc>
          <w:tcPr>
            <w:tcW w:w="2339" w:type="dxa"/>
            <w:vAlign w:val="bottom"/>
          </w:tcPr>
          <w:p>
            <w:pPr>
              <w:pStyle w:val="yTableNAm"/>
              <w:jc w:val="center"/>
            </w:pPr>
            <w:r>
              <w:t>451.3</w:t>
            </w:r>
          </w:p>
        </w:tc>
        <w:tc>
          <w:tcPr>
            <w:tcW w:w="2196" w:type="dxa"/>
            <w:vAlign w:val="bottom"/>
          </w:tcPr>
          <w:p>
            <w:pPr>
              <w:pStyle w:val="yTableNAm"/>
              <w:jc w:val="center"/>
            </w:pPr>
            <w:r>
              <w:t>491.6</w:t>
            </w:r>
          </w:p>
        </w:tc>
      </w:tr>
      <w:tr>
        <w:tc>
          <w:tcPr>
            <w:tcW w:w="1842" w:type="dxa"/>
          </w:tcPr>
          <w:p>
            <w:pPr>
              <w:pStyle w:val="yTableNAm"/>
            </w:pPr>
            <w:r>
              <w:rPr>
                <w:bCs/>
              </w:rPr>
              <w:t>Class 13 (c/kL)</w:t>
            </w:r>
          </w:p>
        </w:tc>
        <w:tc>
          <w:tcPr>
            <w:tcW w:w="2339" w:type="dxa"/>
            <w:vAlign w:val="bottom"/>
          </w:tcPr>
          <w:p>
            <w:pPr>
              <w:pStyle w:val="yTableNAm"/>
              <w:jc w:val="center"/>
            </w:pPr>
            <w:r>
              <w:t>492.4</w:t>
            </w:r>
          </w:p>
        </w:tc>
        <w:tc>
          <w:tcPr>
            <w:tcW w:w="2196" w:type="dxa"/>
            <w:vAlign w:val="bottom"/>
          </w:tcPr>
          <w:p>
            <w:pPr>
              <w:pStyle w:val="yTableNAm"/>
              <w:jc w:val="center"/>
            </w:pPr>
            <w:r>
              <w:t>535.3</w:t>
            </w:r>
          </w:p>
        </w:tc>
      </w:tr>
      <w:tr>
        <w:tc>
          <w:tcPr>
            <w:tcW w:w="1842" w:type="dxa"/>
          </w:tcPr>
          <w:p>
            <w:pPr>
              <w:pStyle w:val="yTableNAm"/>
            </w:pPr>
            <w:r>
              <w:rPr>
                <w:bCs/>
              </w:rPr>
              <w:t>Class 14 (c/kL)</w:t>
            </w:r>
          </w:p>
        </w:tc>
        <w:tc>
          <w:tcPr>
            <w:tcW w:w="2339" w:type="dxa"/>
            <w:vAlign w:val="bottom"/>
          </w:tcPr>
          <w:p>
            <w:pPr>
              <w:pStyle w:val="yTableNAm"/>
              <w:jc w:val="center"/>
            </w:pPr>
            <w:r>
              <w:t>537.3</w:t>
            </w:r>
          </w:p>
        </w:tc>
        <w:tc>
          <w:tcPr>
            <w:tcW w:w="2196" w:type="dxa"/>
            <w:vAlign w:val="bottom"/>
          </w:tcPr>
          <w:p>
            <w:pPr>
              <w:pStyle w:val="yTableNAm"/>
              <w:jc w:val="center"/>
            </w:pPr>
            <w:r>
              <w:t>582.9</w:t>
            </w:r>
          </w:p>
        </w:tc>
      </w:tr>
      <w:tr>
        <w:tc>
          <w:tcPr>
            <w:tcW w:w="1842" w:type="dxa"/>
            <w:tcBorders>
              <w:bottom w:val="single" w:sz="4" w:space="0" w:color="auto"/>
            </w:tcBorders>
          </w:tcPr>
          <w:p>
            <w:pPr>
              <w:pStyle w:val="yTableNAm"/>
            </w:pPr>
            <w:r>
              <w:rPr>
                <w:bCs/>
              </w:rPr>
              <w:t>Class 15 (c/kL)</w:t>
            </w:r>
          </w:p>
        </w:tc>
        <w:tc>
          <w:tcPr>
            <w:tcW w:w="2339" w:type="dxa"/>
            <w:tcBorders>
              <w:bottom w:val="single" w:sz="4" w:space="0" w:color="auto"/>
            </w:tcBorders>
            <w:vAlign w:val="bottom"/>
          </w:tcPr>
          <w:p>
            <w:pPr>
              <w:pStyle w:val="yTableNAm"/>
              <w:jc w:val="center"/>
            </w:pPr>
            <w:r>
              <w:t>586.2</w:t>
            </w:r>
          </w:p>
        </w:tc>
        <w:tc>
          <w:tcPr>
            <w:tcW w:w="2196" w:type="dxa"/>
            <w:tcBorders>
              <w:bottom w:val="single" w:sz="4" w:space="0" w:color="auto"/>
            </w:tcBorders>
            <w:vAlign w:val="bottom"/>
          </w:tcPr>
          <w:p>
            <w:pPr>
              <w:pStyle w:val="yTableNAm"/>
              <w:jc w:val="center"/>
            </w:pPr>
            <w:r>
              <w:t>634.7</w:t>
            </w:r>
          </w:p>
        </w:tc>
      </w:tr>
    </w:tbl>
    <w:p>
      <w:pPr>
        <w:pStyle w:val="yMiscellaneousBody"/>
      </w:pPr>
    </w:p>
    <w:tbl>
      <w:tblPr>
        <w:tblW w:w="0" w:type="auto"/>
        <w:tblInd w:w="534" w:type="dxa"/>
        <w:tblLook w:val="0000" w:firstRow="0" w:lastRow="0" w:firstColumn="0" w:lastColumn="0" w:noHBand="0" w:noVBand="0"/>
      </w:tblPr>
      <w:tblGrid>
        <w:gridCol w:w="708"/>
        <w:gridCol w:w="4326"/>
        <w:gridCol w:w="1329"/>
      </w:tblGrid>
      <w:tr>
        <w:trPr>
          <w:cantSplit/>
        </w:trPr>
        <w:tc>
          <w:tcPr>
            <w:tcW w:w="708" w:type="dxa"/>
          </w:tcPr>
          <w:p>
            <w:pPr>
              <w:pStyle w:val="yTableNAm"/>
            </w:pPr>
            <w:r>
              <w:rPr>
                <w:b/>
              </w:rPr>
              <w:t>32.</w:t>
            </w:r>
          </w:p>
        </w:tc>
        <w:tc>
          <w:tcPr>
            <w:tcW w:w="4326" w:type="dxa"/>
          </w:tcPr>
          <w:p>
            <w:pPr>
              <w:pStyle w:val="yTableNAm"/>
              <w:tabs>
                <w:tab w:val="left" w:leader="dot" w:pos="4876"/>
              </w:tabs>
            </w:pPr>
            <w:r>
              <w:rPr>
                <w:b/>
              </w:rPr>
              <w:t>Stock</w:t>
            </w:r>
          </w:p>
        </w:tc>
        <w:tc>
          <w:tcPr>
            <w:tcW w:w="1329" w:type="dxa"/>
            <w:vAlign w:val="bottom"/>
          </w:tcPr>
          <w:p>
            <w:pPr>
              <w:pStyle w:val="yTableNAm"/>
            </w:pPr>
          </w:p>
        </w:tc>
      </w:tr>
      <w:tr>
        <w:trPr>
          <w:cantSplit/>
        </w:trPr>
        <w:tc>
          <w:tcPr>
            <w:tcW w:w="708" w:type="dxa"/>
          </w:tcPr>
          <w:p>
            <w:pPr>
              <w:pStyle w:val="zyTableNAm"/>
              <w:rPr>
                <w:rStyle w:val="CharSClsNo"/>
              </w:rPr>
            </w:pPr>
          </w:p>
        </w:tc>
        <w:tc>
          <w:tcPr>
            <w:tcW w:w="4326" w:type="dxa"/>
          </w:tcPr>
          <w:p>
            <w:pPr>
              <w:pStyle w:val="yTableNAm"/>
              <w:tabs>
                <w:tab w:val="left" w:leader="dot" w:pos="4876"/>
              </w:tabs>
            </w:pPr>
            <w:r>
              <w:rPr>
                <w:spacing w:val="-1"/>
              </w:rPr>
              <w:t xml:space="preserve">For each kilolitre of water supplied for the purpose of watering stock on land that is not the subject of a charge under item 10 </w:t>
            </w:r>
            <w:r>
              <w:rPr>
                <w:spacing w:val="-1"/>
              </w:rPr>
              <w:tab/>
            </w:r>
          </w:p>
        </w:tc>
        <w:tc>
          <w:tcPr>
            <w:tcW w:w="1329" w:type="dxa"/>
            <w:vAlign w:val="bottom"/>
          </w:tcPr>
          <w:p>
            <w:pPr>
              <w:pStyle w:val="yTableNAm"/>
            </w:pPr>
            <w:r>
              <w:rPr>
                <w:spacing w:val="-1"/>
              </w:rPr>
              <w:t xml:space="preserve">171.3 </w:t>
            </w:r>
            <w:r>
              <w:t>cents</w:t>
            </w:r>
          </w:p>
        </w:tc>
      </w:tr>
      <w:tr>
        <w:trPr>
          <w:cantSplit/>
        </w:trPr>
        <w:tc>
          <w:tcPr>
            <w:tcW w:w="708" w:type="dxa"/>
          </w:tcPr>
          <w:p>
            <w:pPr>
              <w:pStyle w:val="yTableNAm"/>
            </w:pPr>
            <w:r>
              <w:rPr>
                <w:b/>
              </w:rPr>
              <w:t>33.</w:t>
            </w:r>
          </w:p>
        </w:tc>
        <w:tc>
          <w:tcPr>
            <w:tcW w:w="4326" w:type="dxa"/>
          </w:tcPr>
          <w:p>
            <w:pPr>
              <w:pStyle w:val="yTableNAm"/>
              <w:tabs>
                <w:tab w:val="left" w:leader="dot" w:pos="4876"/>
              </w:tabs>
            </w:pPr>
            <w:r>
              <w:rPr>
                <w:b/>
              </w:rPr>
              <w:t>Building</w:t>
            </w:r>
          </w:p>
        </w:tc>
        <w:tc>
          <w:tcPr>
            <w:tcW w:w="1329" w:type="dxa"/>
            <w:vAlign w:val="bottom"/>
          </w:tcPr>
          <w:p>
            <w:pPr>
              <w:pStyle w:val="yTableNAm"/>
            </w:pPr>
          </w:p>
        </w:tc>
      </w:tr>
      <w:tr>
        <w:trPr>
          <w:cantSplit/>
        </w:trPr>
        <w:tc>
          <w:tcPr>
            <w:tcW w:w="708" w:type="dxa"/>
          </w:tcPr>
          <w:p>
            <w:pPr>
              <w:pStyle w:val="zyTableNAm"/>
              <w:rPr>
                <w:rStyle w:val="CharSClsNo"/>
              </w:rPr>
            </w:pPr>
          </w:p>
        </w:tc>
        <w:tc>
          <w:tcPr>
            <w:tcW w:w="4326" w:type="dxa"/>
          </w:tcPr>
          <w:p>
            <w:pPr>
              <w:pStyle w:val="yTableNAm"/>
              <w:tabs>
                <w:tab w:val="left" w:leader="dot" w:pos="4876"/>
              </w:tabs>
            </w:pPr>
            <w:r>
              <w:t>For each kilolitre of water supplied to land that is neither a residential property, nor any other property held for residential purposes, through a water supply connection that is provided for building purposes —</w:t>
            </w:r>
          </w:p>
        </w:tc>
        <w:tc>
          <w:tcPr>
            <w:tcW w:w="1329" w:type="dxa"/>
            <w:vAlign w:val="bottom"/>
          </w:tcPr>
          <w:p>
            <w:pPr>
              <w:pStyle w:val="yTableNAm"/>
            </w:pPr>
          </w:p>
        </w:tc>
      </w:tr>
      <w:tr>
        <w:trPr>
          <w:cantSplit/>
        </w:trPr>
        <w:tc>
          <w:tcPr>
            <w:tcW w:w="708" w:type="dxa"/>
          </w:tcPr>
          <w:p>
            <w:pPr>
              <w:pStyle w:val="zyTableNAm"/>
              <w:rPr>
                <w:rStyle w:val="CharSClsNo"/>
              </w:rPr>
            </w:pPr>
          </w:p>
        </w:tc>
        <w:tc>
          <w:tcPr>
            <w:tcW w:w="4326" w:type="dxa"/>
          </w:tcPr>
          <w:p>
            <w:pPr>
              <w:pStyle w:val="yTableNAm"/>
              <w:tabs>
                <w:tab w:val="clear" w:pos="567"/>
                <w:tab w:val="left" w:pos="296"/>
                <w:tab w:val="left" w:pos="776"/>
                <w:tab w:val="left" w:leader="dot" w:pos="4876"/>
              </w:tabs>
              <w:ind w:left="776" w:hanging="776"/>
              <w:rPr>
                <w:snapToGrid w:val="0"/>
              </w:rPr>
            </w:pPr>
            <w:r>
              <w:rPr>
                <w:snapToGrid w:val="0"/>
              </w:rPr>
              <w:tab/>
              <w:t>(a)</w:t>
            </w:r>
            <w:r>
              <w:rPr>
                <w:snapToGrid w:val="0"/>
              </w:rPr>
              <w:tab/>
              <w:t>in the metropolitan area, the charge that would apply under item 24 if the water supplied through that connection were the only water supplied to the land;</w:t>
            </w:r>
          </w:p>
        </w:tc>
        <w:tc>
          <w:tcPr>
            <w:tcW w:w="1329" w:type="dxa"/>
            <w:vAlign w:val="bottom"/>
          </w:tcPr>
          <w:p>
            <w:pPr>
              <w:pStyle w:val="yTableNAm"/>
            </w:pPr>
          </w:p>
        </w:tc>
      </w:tr>
      <w:tr>
        <w:trPr>
          <w:cantSplit/>
        </w:trPr>
        <w:tc>
          <w:tcPr>
            <w:tcW w:w="708" w:type="dxa"/>
          </w:tcPr>
          <w:p>
            <w:pPr>
              <w:pStyle w:val="zyTableNAm"/>
              <w:rPr>
                <w:rStyle w:val="CharSClsNo"/>
              </w:rPr>
            </w:pPr>
          </w:p>
        </w:tc>
        <w:tc>
          <w:tcPr>
            <w:tcW w:w="4326" w:type="dxa"/>
          </w:tcPr>
          <w:p>
            <w:pPr>
              <w:pStyle w:val="yTableNAm"/>
              <w:tabs>
                <w:tab w:val="clear" w:pos="567"/>
                <w:tab w:val="left" w:pos="296"/>
                <w:tab w:val="left" w:pos="776"/>
                <w:tab w:val="left" w:leader="dot" w:pos="4876"/>
              </w:tabs>
              <w:ind w:left="776" w:hanging="776"/>
              <w:rPr>
                <w:snapToGrid w:val="0"/>
              </w:rPr>
            </w:pPr>
            <w:r>
              <w:rPr>
                <w:snapToGrid w:val="0"/>
              </w:rPr>
              <w:tab/>
              <w:t>(b)</w:t>
            </w:r>
            <w:r>
              <w:rPr>
                <w:snapToGrid w:val="0"/>
              </w:rPr>
              <w:tab/>
              <w:t>not in the metropolitan area, the charge that would apply under item 27(b) if the water supplied through that connection were the only water supplied to the land.</w:t>
            </w:r>
          </w:p>
        </w:tc>
        <w:tc>
          <w:tcPr>
            <w:tcW w:w="1329" w:type="dxa"/>
            <w:vAlign w:val="bottom"/>
          </w:tcPr>
          <w:p>
            <w:pPr>
              <w:pStyle w:val="yTableNAm"/>
            </w:pPr>
          </w:p>
        </w:tc>
      </w:tr>
      <w:tr>
        <w:trPr>
          <w:cantSplit/>
        </w:trPr>
        <w:tc>
          <w:tcPr>
            <w:tcW w:w="708" w:type="dxa"/>
          </w:tcPr>
          <w:p>
            <w:pPr>
              <w:pStyle w:val="yTableNAm"/>
            </w:pPr>
            <w:r>
              <w:rPr>
                <w:b/>
              </w:rPr>
              <w:t>34.</w:t>
            </w:r>
          </w:p>
        </w:tc>
        <w:tc>
          <w:tcPr>
            <w:tcW w:w="4326" w:type="dxa"/>
          </w:tcPr>
          <w:p>
            <w:pPr>
              <w:pStyle w:val="yTableNAm"/>
              <w:tabs>
                <w:tab w:val="left" w:leader="dot" w:pos="4876"/>
              </w:tabs>
            </w:pPr>
            <w:r>
              <w:rPr>
                <w:b/>
              </w:rPr>
              <w:t>Metropolitan hydrant standpipes</w:t>
            </w:r>
          </w:p>
        </w:tc>
        <w:tc>
          <w:tcPr>
            <w:tcW w:w="1329" w:type="dxa"/>
            <w:vAlign w:val="bottom"/>
          </w:tcPr>
          <w:p>
            <w:pPr>
              <w:pStyle w:val="yTableNAm"/>
            </w:pPr>
          </w:p>
        </w:tc>
      </w:tr>
      <w:tr>
        <w:trPr>
          <w:cantSplit/>
        </w:trPr>
        <w:tc>
          <w:tcPr>
            <w:tcW w:w="708" w:type="dxa"/>
          </w:tcPr>
          <w:p>
            <w:pPr>
              <w:pStyle w:val="zyTableNAm"/>
              <w:rPr>
                <w:rStyle w:val="CharSClsNo"/>
              </w:rPr>
            </w:pPr>
          </w:p>
        </w:tc>
        <w:tc>
          <w:tcPr>
            <w:tcW w:w="4326" w:type="dxa"/>
          </w:tcPr>
          <w:p>
            <w:pPr>
              <w:pStyle w:val="yTableNAm"/>
              <w:tabs>
                <w:tab w:val="left" w:leader="dot" w:pos="4876"/>
              </w:tabs>
            </w:pPr>
            <w:r>
              <w:rPr>
                <w:spacing w:val="-1"/>
              </w:rPr>
              <w:t xml:space="preserve">For each kilolitre of water supplied through a hydrant standpipe in the metropolitan area </w:t>
            </w:r>
            <w:r>
              <w:rPr>
                <w:spacing w:val="-1"/>
              </w:rPr>
              <w:tab/>
            </w:r>
          </w:p>
        </w:tc>
        <w:tc>
          <w:tcPr>
            <w:tcW w:w="1329" w:type="dxa"/>
            <w:vAlign w:val="bottom"/>
          </w:tcPr>
          <w:p>
            <w:pPr>
              <w:pStyle w:val="yTableNAm"/>
            </w:pPr>
            <w:r>
              <w:rPr>
                <w:spacing w:val="-1"/>
              </w:rPr>
              <w:t>204.1 cents</w:t>
            </w:r>
          </w:p>
        </w:tc>
      </w:tr>
    </w:tbl>
    <w:p>
      <w:pPr>
        <w:pStyle w:val="yFootnotesection"/>
      </w:pPr>
      <w:r>
        <w:tab/>
        <w:t>[Division 2 inserted in Gazette 20 Jun 2012 p. 2708</w:t>
      </w:r>
      <w:r>
        <w:noBreakHyphen/>
        <w:t>19.]</w:t>
      </w:r>
    </w:p>
    <w:p>
      <w:pPr>
        <w:pStyle w:val="yHeading3"/>
      </w:pPr>
      <w:bookmarkStart w:id="600" w:name="_Toc328403431"/>
      <w:bookmarkStart w:id="601" w:name="_Toc328471480"/>
      <w:r>
        <w:rPr>
          <w:rStyle w:val="CharSDivNo"/>
        </w:rPr>
        <w:t>Division 3</w:t>
      </w:r>
      <w:r>
        <w:rPr>
          <w:b w:val="0"/>
        </w:rPr>
        <w:t> — </w:t>
      </w:r>
      <w:r>
        <w:rPr>
          <w:rStyle w:val="CharSDivText"/>
        </w:rPr>
        <w:t>Formula for the purposes of by</w:t>
      </w:r>
      <w:r>
        <w:rPr>
          <w:rStyle w:val="CharSDivText"/>
        </w:rPr>
        <w:noBreakHyphen/>
        <w:t>law 17(3)</w:t>
      </w:r>
      <w:bookmarkEnd w:id="600"/>
      <w:bookmarkEnd w:id="601"/>
    </w:p>
    <w:p>
      <w:pPr>
        <w:pStyle w:val="yFootnoteheading"/>
        <w:keepNext/>
        <w:spacing w:after="60"/>
      </w:pPr>
      <w:r>
        <w:tab/>
        <w:t>[Heading inserted in Gazette 20 Jun 2012 p. 2720.]</w:t>
      </w:r>
    </w:p>
    <w:p>
      <w:pPr>
        <w:pStyle w:val="yHeading5"/>
      </w:pPr>
      <w:bookmarkStart w:id="602" w:name="_Toc328471481"/>
      <w:r>
        <w:t>35.</w:t>
      </w:r>
      <w:r>
        <w:rPr>
          <w:b w:val="0"/>
        </w:rPr>
        <w:tab/>
      </w:r>
      <w:r>
        <w:t>Formula for the purposes of by</w:t>
      </w:r>
      <w:r>
        <w:noBreakHyphen/>
        <w:t>law 17(3)</w:t>
      </w:r>
      <w:bookmarkEnd w:id="602"/>
    </w:p>
    <w:p>
      <w:pPr>
        <w:pStyle w:val="ySubsection"/>
      </w:pPr>
      <w:r>
        <w:tab/>
      </w:r>
      <w:r>
        <w:tab/>
        <w:t>The formula for the purposes of by</w:t>
      </w:r>
      <w:r>
        <w:noBreakHyphen/>
        <w:t xml:space="preserve">law 17(3) is as follows — </w:t>
      </w:r>
    </w:p>
    <w:p>
      <w:pPr>
        <w:pStyle w:val="Equation"/>
        <w:spacing w:before="120"/>
        <w:jc w:val="center"/>
      </w:pPr>
      <w:r>
        <w:rPr>
          <w:position w:val="-10"/>
          <w:lang w:eastAsia="en-AU"/>
        </w:rPr>
        <w:drawing>
          <wp:inline distT="0" distB="0" distL="0" distR="0">
            <wp:extent cx="409575" cy="200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p>
    <w:p>
      <w:pPr>
        <w:pStyle w:val="ySubsection"/>
      </w:pPr>
      <w:r>
        <w:tab/>
      </w:r>
      <w:r>
        <w:tab/>
        <w:t xml:space="preserve">where — </w:t>
      </w:r>
    </w:p>
    <w:p>
      <w:pPr>
        <w:pStyle w:val="yIndenta"/>
      </w:pPr>
      <w:r>
        <w:rPr>
          <w:b/>
        </w:rPr>
        <w:tab/>
        <w:t>A</w:t>
      </w:r>
      <w:r>
        <w:t xml:space="preserve"> =</w:t>
      </w:r>
      <w:r>
        <w:tab/>
        <w:t>an applicable charge rate set out in Division 2;</w:t>
      </w:r>
    </w:p>
    <w:p>
      <w:pPr>
        <w:pStyle w:val="yIndenta"/>
      </w:pPr>
      <w:r>
        <w:rPr>
          <w:b/>
        </w:rPr>
        <w:tab/>
        <w:t>B</w:t>
      </w:r>
      <w:r>
        <w:t xml:space="preserve"> =</w:t>
      </w:r>
      <w:r>
        <w:tab/>
        <w:t xml:space="preserve">the quantity of water in kilolitres determined in accordance with the following formula — </w:t>
      </w:r>
    </w:p>
    <w:p>
      <w:pPr>
        <w:pStyle w:val="yIndenta"/>
      </w:pPr>
      <w:r>
        <w:tab/>
      </w:r>
      <w:r>
        <w:tab/>
        <w:t xml:space="preserve">If </w:t>
      </w:r>
      <w:r>
        <w:rPr>
          <w:b/>
        </w:rPr>
        <w:t>C</w:t>
      </w:r>
      <w:r>
        <w:t xml:space="preserve"> </w:t>
      </w:r>
      <w:r>
        <w:sym w:font="Symbol" w:char="F0A3"/>
      </w:r>
      <w:r>
        <w:t xml:space="preserve"> 350, then — </w:t>
      </w:r>
    </w:p>
    <w:p>
      <w:pPr>
        <w:pStyle w:val="Equation"/>
        <w:spacing w:before="120"/>
        <w:jc w:val="center"/>
      </w:pPr>
      <w:r>
        <w:rPr>
          <w:position w:val="-10"/>
          <w:lang w:eastAsia="en-AU"/>
        </w:rPr>
        <w:drawing>
          <wp:inline distT="0" distB="0" distL="0" distR="0">
            <wp:extent cx="409575" cy="20002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p>
    <w:p>
      <w:pPr>
        <w:pStyle w:val="yIndenta"/>
      </w:pPr>
      <w:r>
        <w:tab/>
      </w:r>
      <w:r>
        <w:tab/>
        <w:t xml:space="preserve">or if </w:t>
      </w:r>
      <w:r>
        <w:rPr>
          <w:b/>
        </w:rPr>
        <w:t>C</w:t>
      </w:r>
      <w:r>
        <w:t xml:space="preserve"> &gt; 350, then — </w:t>
      </w:r>
    </w:p>
    <w:p>
      <w:pPr>
        <w:pStyle w:val="yIndenta"/>
      </w:pPr>
      <w:r>
        <w:tab/>
      </w:r>
      <w:r>
        <w:tab/>
        <w:t xml:space="preserve">C </w:t>
      </w:r>
      <w:r>
        <w:sym w:font="Symbol" w:char="F02D"/>
      </w:r>
      <w:r>
        <w:t xml:space="preserve"> 350 + (350 </w:t>
      </w:r>
      <w:r>
        <w:sym w:font="Symbol" w:char="F0B4"/>
      </w:r>
      <w:r>
        <w:t xml:space="preserve"> D)</w:t>
      </w:r>
    </w:p>
    <w:p>
      <w:pPr>
        <w:pStyle w:val="yIndenta"/>
      </w:pPr>
      <w:r>
        <w:tab/>
      </w:r>
      <w:r>
        <w:tab/>
        <w:t xml:space="preserve">where — </w:t>
      </w:r>
    </w:p>
    <w:p>
      <w:pPr>
        <w:pStyle w:val="yIndenti0"/>
      </w:pPr>
      <w:r>
        <w:rPr>
          <w:b/>
        </w:rPr>
        <w:tab/>
        <w:t>C</w:t>
      </w:r>
      <w:r>
        <w:t xml:space="preserve"> =</w:t>
      </w:r>
      <w:r>
        <w:tab/>
        <w:t>the maximum consumption level in the range set out in Division 2 corresponding to “</w:t>
      </w:r>
      <w:r>
        <w:rPr>
          <w:b/>
        </w:rPr>
        <w:t>A</w:t>
      </w:r>
      <w:r>
        <w:t>” or, if the range is open ended, a level of 100 000 000 kL;</w:t>
      </w:r>
    </w:p>
    <w:p>
      <w:pPr>
        <w:pStyle w:val="yIndenti0"/>
      </w:pPr>
      <w:r>
        <w:rPr>
          <w:b/>
        </w:rPr>
        <w:tab/>
        <w:t>D</w:t>
      </w:r>
      <w:r>
        <w:t xml:space="preserve"> =</w:t>
      </w:r>
      <w:r>
        <w:tab/>
        <w:t>the number of whole or part months before the end of the consumption year, divided by 12.</w:t>
      </w:r>
    </w:p>
    <w:p>
      <w:pPr>
        <w:pStyle w:val="yFootnotesection"/>
      </w:pPr>
      <w:r>
        <w:tab/>
        <w:t>[Division 3 inserted in Gazette 20 Jun 2012 p. 2720.]</w:t>
      </w:r>
    </w:p>
    <w:p>
      <w:pPr>
        <w:pStyle w:val="yHeading3"/>
      </w:pPr>
      <w:bookmarkStart w:id="603" w:name="_Toc328403433"/>
      <w:bookmarkStart w:id="604" w:name="_Toc328471482"/>
      <w:r>
        <w:rPr>
          <w:rStyle w:val="CharSDivNo"/>
        </w:rPr>
        <w:t>Division 4</w:t>
      </w:r>
      <w:r>
        <w:rPr>
          <w:b w:val="0"/>
        </w:rPr>
        <w:t> — </w:t>
      </w:r>
      <w:r>
        <w:rPr>
          <w:rStyle w:val="CharSDivText"/>
        </w:rPr>
        <w:t>Capital infrastructure charges determined under by</w:t>
      </w:r>
      <w:r>
        <w:rPr>
          <w:rStyle w:val="CharSDivText"/>
        </w:rPr>
        <w:noBreakHyphen/>
        <w:t>law 19A</w:t>
      </w:r>
      <w:bookmarkEnd w:id="603"/>
      <w:bookmarkEnd w:id="604"/>
    </w:p>
    <w:p>
      <w:pPr>
        <w:pStyle w:val="yFootnoteheading"/>
        <w:keepNext/>
        <w:spacing w:after="60"/>
      </w:pPr>
      <w:r>
        <w:tab/>
        <w:t>[Heading inserted in Gazette 20 Jun 2012 p. 2720.]</w:t>
      </w:r>
    </w:p>
    <w:p>
      <w:pPr>
        <w:pStyle w:val="yHeading5"/>
      </w:pPr>
      <w:bookmarkStart w:id="605" w:name="_Toc328471483"/>
      <w:r>
        <w:t>36.</w:t>
      </w:r>
      <w:r>
        <w:rPr>
          <w:b w:val="0"/>
        </w:rPr>
        <w:tab/>
      </w:r>
      <w:r>
        <w:t>Capital infrastructure charges determined under by</w:t>
      </w:r>
      <w:r>
        <w:noBreakHyphen/>
        <w:t>law 19A</w:t>
      </w:r>
      <w:bookmarkEnd w:id="605"/>
    </w:p>
    <w:p>
      <w:pPr>
        <w:pStyle w:val="ySubsection"/>
        <w:keepNext/>
      </w:pPr>
      <w:r>
        <w:tab/>
      </w:r>
      <w:r>
        <w:tab/>
        <w:t>The capital infrastructure charges determined under by</w:t>
      </w:r>
      <w:r>
        <w:noBreakHyphen/>
        <w:t xml:space="preserve">law 19A are as follows — </w:t>
      </w:r>
    </w:p>
    <w:p>
      <w:pPr>
        <w:pStyle w:val="yMiscellaneousBody"/>
        <w:keepNext/>
      </w:pPr>
    </w:p>
    <w:tbl>
      <w:tblPr>
        <w:tblW w:w="6626" w:type="dxa"/>
        <w:tblInd w:w="198" w:type="dxa"/>
        <w:tblLayout w:type="fixed"/>
        <w:tblCellMar>
          <w:left w:w="56" w:type="dxa"/>
          <w:right w:w="56" w:type="dxa"/>
        </w:tblCellMar>
        <w:tblLook w:val="0000" w:firstRow="0" w:lastRow="0" w:firstColumn="0" w:lastColumn="0" w:noHBand="0" w:noVBand="0"/>
      </w:tblPr>
      <w:tblGrid>
        <w:gridCol w:w="1559"/>
        <w:gridCol w:w="1701"/>
        <w:gridCol w:w="1701"/>
        <w:gridCol w:w="1665"/>
      </w:tblGrid>
      <w:tr>
        <w:trPr>
          <w:tblHeader/>
        </w:trPr>
        <w:tc>
          <w:tcPr>
            <w:tcW w:w="1559" w:type="dxa"/>
            <w:tcBorders>
              <w:top w:val="single" w:sz="4" w:space="0" w:color="auto"/>
            </w:tcBorders>
          </w:tcPr>
          <w:p>
            <w:pPr>
              <w:pStyle w:val="yTableNAm"/>
              <w:keepNext/>
              <w:jc w:val="center"/>
            </w:pPr>
            <w:r>
              <w:rPr>
                <w:b/>
                <w:bCs/>
              </w:rPr>
              <w:br w:type="page"/>
              <w:t>Column 1</w:t>
            </w:r>
          </w:p>
        </w:tc>
        <w:tc>
          <w:tcPr>
            <w:tcW w:w="1701" w:type="dxa"/>
            <w:tcBorders>
              <w:top w:val="single" w:sz="4" w:space="0" w:color="auto"/>
            </w:tcBorders>
          </w:tcPr>
          <w:p>
            <w:pPr>
              <w:pStyle w:val="yTableNAm"/>
              <w:keepNext/>
              <w:jc w:val="center"/>
            </w:pPr>
            <w:r>
              <w:rPr>
                <w:b/>
                <w:bCs/>
              </w:rPr>
              <w:t>Column 2</w:t>
            </w:r>
          </w:p>
        </w:tc>
        <w:tc>
          <w:tcPr>
            <w:tcW w:w="1701" w:type="dxa"/>
            <w:tcBorders>
              <w:top w:val="single" w:sz="4" w:space="0" w:color="auto"/>
            </w:tcBorders>
          </w:tcPr>
          <w:p>
            <w:pPr>
              <w:pStyle w:val="yTableNAm"/>
              <w:keepNext/>
              <w:jc w:val="center"/>
            </w:pPr>
            <w:r>
              <w:rPr>
                <w:b/>
                <w:bCs/>
              </w:rPr>
              <w:t>Column 3</w:t>
            </w:r>
          </w:p>
        </w:tc>
        <w:tc>
          <w:tcPr>
            <w:tcW w:w="1665" w:type="dxa"/>
            <w:tcBorders>
              <w:top w:val="single" w:sz="4" w:space="0" w:color="auto"/>
            </w:tcBorders>
          </w:tcPr>
          <w:p>
            <w:pPr>
              <w:pStyle w:val="yTableNAm"/>
              <w:keepNext/>
              <w:jc w:val="center"/>
            </w:pPr>
            <w:r>
              <w:rPr>
                <w:b/>
                <w:bCs/>
              </w:rPr>
              <w:t>Column 4</w:t>
            </w:r>
          </w:p>
        </w:tc>
      </w:tr>
      <w:tr>
        <w:trPr>
          <w:tblHeader/>
        </w:trPr>
        <w:tc>
          <w:tcPr>
            <w:tcW w:w="1559" w:type="dxa"/>
            <w:tcBorders>
              <w:bottom w:val="single" w:sz="4" w:space="0" w:color="auto"/>
            </w:tcBorders>
          </w:tcPr>
          <w:p>
            <w:pPr>
              <w:pStyle w:val="yTableNAm"/>
              <w:keepNext/>
              <w:jc w:val="center"/>
            </w:pPr>
            <w:r>
              <w:rPr>
                <w:b/>
                <w:bCs/>
                <w:i/>
              </w:rPr>
              <w:t>Area</w:t>
            </w:r>
          </w:p>
        </w:tc>
        <w:tc>
          <w:tcPr>
            <w:tcW w:w="1701" w:type="dxa"/>
            <w:tcBorders>
              <w:bottom w:val="single" w:sz="4" w:space="0" w:color="auto"/>
            </w:tcBorders>
          </w:tcPr>
          <w:p>
            <w:pPr>
              <w:pStyle w:val="yTableNAm"/>
              <w:keepNext/>
              <w:jc w:val="center"/>
            </w:pPr>
            <w:r>
              <w:rPr>
                <w:b/>
                <w:bCs/>
                <w:i/>
              </w:rPr>
              <w:t>Single Charge</w:t>
            </w:r>
          </w:p>
        </w:tc>
        <w:tc>
          <w:tcPr>
            <w:tcW w:w="1701" w:type="dxa"/>
            <w:tcBorders>
              <w:bottom w:val="single" w:sz="4" w:space="0" w:color="auto"/>
            </w:tcBorders>
          </w:tcPr>
          <w:p>
            <w:pPr>
              <w:pStyle w:val="yTableNAm"/>
              <w:keepNext/>
              <w:jc w:val="center"/>
            </w:pPr>
            <w:r>
              <w:rPr>
                <w:b/>
                <w:bCs/>
                <w:i/>
              </w:rPr>
              <w:t>Annual Charge</w:t>
            </w:r>
          </w:p>
        </w:tc>
        <w:tc>
          <w:tcPr>
            <w:tcW w:w="1665" w:type="dxa"/>
            <w:tcBorders>
              <w:bottom w:val="single" w:sz="4" w:space="0" w:color="auto"/>
            </w:tcBorders>
          </w:tcPr>
          <w:p>
            <w:pPr>
              <w:pStyle w:val="yTableNAm"/>
              <w:keepNext/>
              <w:jc w:val="center"/>
            </w:pPr>
            <w:r>
              <w:rPr>
                <w:b/>
                <w:bCs/>
                <w:i/>
              </w:rPr>
              <w:t>No. of years</w:t>
            </w:r>
          </w:p>
        </w:tc>
      </w:tr>
      <w:tr>
        <w:tc>
          <w:tcPr>
            <w:tcW w:w="1559" w:type="dxa"/>
            <w:tcBorders>
              <w:bottom w:val="single" w:sz="4" w:space="0" w:color="auto"/>
            </w:tcBorders>
          </w:tcPr>
          <w:p>
            <w:pPr>
              <w:pStyle w:val="yTableNAm"/>
              <w:jc w:val="center"/>
            </w:pPr>
            <w:r>
              <w:t>Nilgen</w:t>
            </w:r>
          </w:p>
        </w:tc>
        <w:tc>
          <w:tcPr>
            <w:tcW w:w="1701" w:type="dxa"/>
            <w:tcBorders>
              <w:bottom w:val="single" w:sz="4" w:space="0" w:color="auto"/>
            </w:tcBorders>
          </w:tcPr>
          <w:p>
            <w:pPr>
              <w:pStyle w:val="yTableNAm"/>
              <w:jc w:val="center"/>
            </w:pPr>
            <w:r>
              <w:t>$3 120.00</w:t>
            </w:r>
          </w:p>
        </w:tc>
        <w:tc>
          <w:tcPr>
            <w:tcW w:w="1701" w:type="dxa"/>
            <w:tcBorders>
              <w:bottom w:val="single" w:sz="4" w:space="0" w:color="auto"/>
            </w:tcBorders>
          </w:tcPr>
          <w:p>
            <w:pPr>
              <w:pStyle w:val="yTableNAm"/>
              <w:jc w:val="center"/>
            </w:pPr>
            <w:r>
              <w:t>$463.80</w:t>
            </w:r>
          </w:p>
        </w:tc>
        <w:tc>
          <w:tcPr>
            <w:tcW w:w="1665" w:type="dxa"/>
            <w:tcBorders>
              <w:bottom w:val="single" w:sz="4" w:space="0" w:color="auto"/>
            </w:tcBorders>
          </w:tcPr>
          <w:p>
            <w:pPr>
              <w:pStyle w:val="yTableNAm"/>
              <w:jc w:val="center"/>
            </w:pPr>
            <w:r>
              <w:t>10</w:t>
            </w:r>
          </w:p>
        </w:tc>
      </w:tr>
    </w:tbl>
    <w:p>
      <w:pPr>
        <w:pStyle w:val="yFootnotesection"/>
      </w:pPr>
      <w:r>
        <w:tab/>
        <w:t>[Division 4 inserted in Gazette 20 Jun 2012 p. 2720.]</w:t>
      </w:r>
    </w:p>
    <w:p>
      <w:pPr>
        <w:pStyle w:val="yScheduleHeading"/>
      </w:pPr>
      <w:bookmarkStart w:id="606" w:name="_Toc328403435"/>
      <w:bookmarkStart w:id="607" w:name="_Toc328471484"/>
      <w:bookmarkStart w:id="608" w:name="_Toc170879125"/>
      <w:bookmarkStart w:id="609" w:name="_Toc170894773"/>
      <w:bookmarkStart w:id="610" w:name="_Toc175712739"/>
      <w:bookmarkStart w:id="611" w:name="_Toc175970680"/>
      <w:bookmarkStart w:id="612" w:name="_Toc176335399"/>
      <w:bookmarkStart w:id="613" w:name="_Toc176338974"/>
      <w:bookmarkStart w:id="614" w:name="_Toc178742999"/>
      <w:bookmarkStart w:id="615" w:name="_Toc179363422"/>
      <w:bookmarkStart w:id="616" w:name="_Toc179604491"/>
      <w:bookmarkStart w:id="617" w:name="_Toc180204684"/>
      <w:bookmarkStart w:id="618" w:name="_Toc180204900"/>
      <w:bookmarkStart w:id="619" w:name="_Toc185844645"/>
      <w:bookmarkStart w:id="620" w:name="_Toc185845265"/>
      <w:bookmarkStart w:id="621" w:name="_Toc185927230"/>
      <w:bookmarkStart w:id="622" w:name="_Toc202506071"/>
      <w:bookmarkStart w:id="623" w:name="_Toc202672803"/>
      <w:bookmarkStart w:id="624" w:name="_Toc202691788"/>
      <w:bookmarkStart w:id="625" w:name="_Toc265743588"/>
      <w:bookmarkStart w:id="626" w:name="_Toc297540771"/>
      <w:bookmarkStart w:id="627" w:name="_Toc297541199"/>
      <w:bookmarkStart w:id="628" w:name="_Toc139771097"/>
      <w:bookmarkStart w:id="629" w:name="_Toc139771475"/>
      <w:bookmarkStart w:id="630" w:name="_Toc151191690"/>
      <w:bookmarkStart w:id="631" w:name="_Toc151260583"/>
      <w:bookmarkStart w:id="632" w:name="_Toc164158690"/>
      <w:bookmarkStart w:id="633" w:name="_Toc164221062"/>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r>
        <w:rPr>
          <w:rStyle w:val="CharSchNo"/>
        </w:rPr>
        <w:t>Schedule 2</w:t>
      </w:r>
      <w:r>
        <w:t> — </w:t>
      </w:r>
      <w:r>
        <w:rPr>
          <w:rStyle w:val="CharSchText"/>
        </w:rPr>
        <w:t xml:space="preserve">Charges for water supply under the </w:t>
      </w:r>
      <w:r>
        <w:rPr>
          <w:rStyle w:val="CharSchText"/>
          <w:i/>
        </w:rPr>
        <w:t>Rights in Water and Irrigation Act 1914</w:t>
      </w:r>
      <w:r>
        <w:rPr>
          <w:rStyle w:val="CharSchText"/>
        </w:rPr>
        <w:t xml:space="preserve"> for 2012/2013</w:t>
      </w:r>
      <w:bookmarkEnd w:id="606"/>
      <w:bookmarkEnd w:id="607"/>
    </w:p>
    <w:p>
      <w:pPr>
        <w:pStyle w:val="yShoulderClause"/>
      </w:pPr>
      <w:r>
        <w:t>[bl. 20]</w:t>
      </w:r>
    </w:p>
    <w:p>
      <w:pPr>
        <w:pStyle w:val="yFootnoteheading"/>
        <w:spacing w:after="60"/>
      </w:pPr>
      <w:r>
        <w:tab/>
        <w:t>[Heading inserted in Gazette 20 Jun 2012 p. 2721.]</w:t>
      </w:r>
    </w:p>
    <w:p>
      <w:pPr>
        <w:pStyle w:val="yHeading3"/>
      </w:pPr>
      <w:bookmarkStart w:id="634" w:name="_Toc328403436"/>
      <w:bookmarkStart w:id="635" w:name="_Toc328471485"/>
      <w:r>
        <w:rPr>
          <w:rStyle w:val="CharSDivNo"/>
        </w:rPr>
        <w:t>Division 1</w:t>
      </w:r>
      <w:r>
        <w:t> — </w:t>
      </w:r>
      <w:r>
        <w:rPr>
          <w:rStyle w:val="CharSDivText"/>
        </w:rPr>
        <w:t>Fixed charges</w:t>
      </w:r>
      <w:bookmarkEnd w:id="634"/>
      <w:bookmarkEnd w:id="635"/>
    </w:p>
    <w:p>
      <w:pPr>
        <w:pStyle w:val="yFootnoteheading"/>
        <w:spacing w:after="60"/>
      </w:pPr>
      <w:r>
        <w:tab/>
        <w:t>[Heading inserted in Gazette 20 Jun 2012 p. 2721.]</w:t>
      </w:r>
    </w:p>
    <w:tbl>
      <w:tblPr>
        <w:tblW w:w="0" w:type="auto"/>
        <w:tblInd w:w="534" w:type="dxa"/>
        <w:tblLook w:val="0000" w:firstRow="0" w:lastRow="0" w:firstColumn="0" w:lastColumn="0" w:noHBand="0" w:noVBand="0"/>
      </w:tblPr>
      <w:tblGrid>
        <w:gridCol w:w="850"/>
        <w:gridCol w:w="4235"/>
        <w:gridCol w:w="1457"/>
      </w:tblGrid>
      <w:tr>
        <w:trPr>
          <w:cantSplit/>
        </w:trPr>
        <w:tc>
          <w:tcPr>
            <w:tcW w:w="850" w:type="dxa"/>
          </w:tcPr>
          <w:p>
            <w:pPr>
              <w:pStyle w:val="yTableNAm"/>
              <w:rPr>
                <w:b/>
                <w:bCs/>
              </w:rPr>
            </w:pPr>
            <w:r>
              <w:rPr>
                <w:b/>
                <w:bCs/>
              </w:rPr>
              <w:t>1.</w:t>
            </w:r>
          </w:p>
        </w:tc>
        <w:tc>
          <w:tcPr>
            <w:tcW w:w="5692" w:type="dxa"/>
            <w:gridSpan w:val="2"/>
          </w:tcPr>
          <w:p>
            <w:pPr>
              <w:pStyle w:val="yTableNAm"/>
              <w:tabs>
                <w:tab w:val="right" w:leader="dot" w:pos="4253"/>
              </w:tabs>
              <w:rPr>
                <w:b/>
                <w:bCs/>
              </w:rPr>
            </w:pPr>
            <w:r>
              <w:rPr>
                <w:b/>
                <w:bCs/>
              </w:rPr>
              <w:t xml:space="preserve">Supply under the </w:t>
            </w:r>
            <w:r>
              <w:rPr>
                <w:b/>
                <w:bCs/>
                <w:i/>
              </w:rPr>
              <w:t>Ord Irrigation District By</w:t>
            </w:r>
            <w:r>
              <w:rPr>
                <w:b/>
                <w:bCs/>
                <w:i/>
              </w:rPr>
              <w:noBreakHyphen/>
              <w:t xml:space="preserve">laws 1963 </w:t>
            </w:r>
            <w:r>
              <w:rPr>
                <w:b/>
                <w:bCs/>
              </w:rPr>
              <w:t>by</w:t>
            </w:r>
            <w:r>
              <w:rPr>
                <w:b/>
                <w:bCs/>
              </w:rPr>
              <w:noBreakHyphen/>
              <w:t>law 31A</w:t>
            </w:r>
            <w:r>
              <w:rPr>
                <w:b/>
                <w:bCs/>
                <w:iCs/>
              </w:rPr>
              <w:t xml:space="preserve"> other</w:t>
            </w:r>
            <w:r>
              <w:rPr>
                <w:b/>
                <w:bCs/>
              </w:rPr>
              <w:t xml:space="preserve"> than under Division 2</w:t>
            </w:r>
          </w:p>
        </w:tc>
      </w:tr>
      <w:tr>
        <w:trPr>
          <w:cantSplit/>
        </w:trPr>
        <w:tc>
          <w:tcPr>
            <w:tcW w:w="850" w:type="dxa"/>
          </w:tcPr>
          <w:p>
            <w:pPr>
              <w:pStyle w:val="yTableNAm"/>
            </w:pPr>
          </w:p>
        </w:tc>
        <w:tc>
          <w:tcPr>
            <w:tcW w:w="4235" w:type="dxa"/>
          </w:tcPr>
          <w:p>
            <w:pPr>
              <w:pStyle w:val="yTableNAm"/>
              <w:tabs>
                <w:tab w:val="right" w:leader="dot" w:pos="4253"/>
              </w:tabs>
            </w:pPr>
            <w:r>
              <w:t xml:space="preserve">In respect of land to which water is supplied under the </w:t>
            </w:r>
            <w:r>
              <w:rPr>
                <w:i/>
              </w:rPr>
              <w:t>Ord Irrigation District By</w:t>
            </w:r>
            <w:r>
              <w:rPr>
                <w:i/>
              </w:rPr>
              <w:noBreakHyphen/>
              <w:t>laws 1963</w:t>
            </w:r>
            <w:r>
              <w:t xml:space="preserve"> by</w:t>
            </w:r>
            <w:r>
              <w:noBreakHyphen/>
              <w:t>law 31A, for purposes other than those mentioned in Division 2, an amount per supply point of —</w:t>
            </w:r>
          </w:p>
        </w:tc>
        <w:tc>
          <w:tcPr>
            <w:tcW w:w="1457" w:type="dxa"/>
            <w:vAlign w:val="bottom"/>
          </w:tcPr>
          <w:p>
            <w:pPr>
              <w:pStyle w:val="yTableNAm"/>
              <w:tabs>
                <w:tab w:val="clear" w:pos="567"/>
                <w:tab w:val="left" w:pos="335"/>
                <w:tab w:val="right" w:leader="dot" w:pos="4253"/>
              </w:tabs>
            </w:pPr>
          </w:p>
        </w:tc>
      </w:tr>
      <w:tr>
        <w:trPr>
          <w:cantSplit/>
        </w:trPr>
        <w:tc>
          <w:tcPr>
            <w:tcW w:w="850" w:type="dxa"/>
          </w:tcPr>
          <w:p>
            <w:pPr>
              <w:pStyle w:val="yTableNAm"/>
            </w:pPr>
          </w:p>
        </w:tc>
        <w:tc>
          <w:tcPr>
            <w:tcW w:w="4235" w:type="dxa"/>
          </w:tcPr>
          <w:p>
            <w:pPr>
              <w:pStyle w:val="yTableNAm"/>
              <w:tabs>
                <w:tab w:val="clear" w:pos="567"/>
                <w:tab w:val="left" w:pos="351"/>
                <w:tab w:val="left" w:pos="918"/>
                <w:tab w:val="right" w:leader="dot" w:pos="4253"/>
              </w:tabs>
              <w:ind w:left="918" w:hanging="918"/>
            </w:pPr>
            <w:r>
              <w:tab/>
              <w:t>(a)</w:t>
            </w:r>
            <w:r>
              <w:tab/>
              <w:t xml:space="preserve">where the supply is assured </w:t>
            </w:r>
            <w:r>
              <w:tab/>
            </w:r>
          </w:p>
        </w:tc>
        <w:tc>
          <w:tcPr>
            <w:tcW w:w="1457" w:type="dxa"/>
            <w:vAlign w:val="bottom"/>
          </w:tcPr>
          <w:p>
            <w:pPr>
              <w:pStyle w:val="yTableNAm"/>
              <w:tabs>
                <w:tab w:val="clear" w:pos="567"/>
                <w:tab w:val="left" w:pos="335"/>
                <w:tab w:val="right" w:leader="dot" w:pos="4253"/>
              </w:tabs>
            </w:pPr>
            <w:r>
              <w:t>$242.50</w:t>
            </w:r>
          </w:p>
        </w:tc>
      </w:tr>
      <w:tr>
        <w:trPr>
          <w:cantSplit/>
        </w:trPr>
        <w:tc>
          <w:tcPr>
            <w:tcW w:w="850" w:type="dxa"/>
          </w:tcPr>
          <w:p>
            <w:pPr>
              <w:pStyle w:val="yTableNAm"/>
            </w:pPr>
          </w:p>
        </w:tc>
        <w:tc>
          <w:tcPr>
            <w:tcW w:w="4235" w:type="dxa"/>
          </w:tcPr>
          <w:p>
            <w:pPr>
              <w:pStyle w:val="yTableNAm"/>
              <w:tabs>
                <w:tab w:val="clear" w:pos="567"/>
                <w:tab w:val="left" w:pos="351"/>
                <w:tab w:val="left" w:pos="918"/>
                <w:tab w:val="right" w:leader="dot" w:pos="4253"/>
              </w:tabs>
              <w:ind w:left="918" w:hanging="918"/>
            </w:pPr>
            <w:r>
              <w:tab/>
              <w:t>(b)</w:t>
            </w:r>
            <w:r>
              <w:tab/>
              <w:t xml:space="preserve">where the supply is not assured </w:t>
            </w:r>
            <w:r>
              <w:tab/>
            </w:r>
          </w:p>
        </w:tc>
        <w:tc>
          <w:tcPr>
            <w:tcW w:w="1457" w:type="dxa"/>
            <w:vAlign w:val="bottom"/>
          </w:tcPr>
          <w:p>
            <w:pPr>
              <w:pStyle w:val="yTableNAm"/>
              <w:tabs>
                <w:tab w:val="clear" w:pos="567"/>
                <w:tab w:val="left" w:pos="335"/>
                <w:tab w:val="right" w:leader="dot" w:pos="4253"/>
              </w:tabs>
            </w:pPr>
            <w:r>
              <w:t>$177.50</w:t>
            </w:r>
          </w:p>
        </w:tc>
      </w:tr>
    </w:tbl>
    <w:p>
      <w:pPr>
        <w:pStyle w:val="yFootnotesection"/>
      </w:pPr>
      <w:r>
        <w:tab/>
        <w:t>[Division 1 inserted in Gazette 20 Jun 2012 p. 2721.]</w:t>
      </w:r>
    </w:p>
    <w:p>
      <w:pPr>
        <w:pStyle w:val="yHeading3"/>
      </w:pPr>
      <w:bookmarkStart w:id="636" w:name="_Toc328403437"/>
      <w:bookmarkStart w:id="637" w:name="_Toc328471486"/>
      <w:r>
        <w:rPr>
          <w:rStyle w:val="CharSDivNo"/>
        </w:rPr>
        <w:t>Division 2</w:t>
      </w:r>
      <w:r>
        <w:t> — </w:t>
      </w:r>
      <w:r>
        <w:rPr>
          <w:rStyle w:val="CharSDivText"/>
        </w:rPr>
        <w:t>Variable charges and charges by way of a rate</w:t>
      </w:r>
      <w:bookmarkEnd w:id="636"/>
      <w:bookmarkEnd w:id="637"/>
    </w:p>
    <w:p>
      <w:pPr>
        <w:pStyle w:val="yFootnoteheading"/>
        <w:spacing w:after="60"/>
      </w:pPr>
      <w:r>
        <w:tab/>
        <w:t>[Heading inserted in Gazette 20 Jun 2012 p. 2721.]</w:t>
      </w:r>
    </w:p>
    <w:tbl>
      <w:tblPr>
        <w:tblW w:w="6520" w:type="dxa"/>
        <w:tblInd w:w="534" w:type="dxa"/>
        <w:tblLook w:val="0000" w:firstRow="0" w:lastRow="0" w:firstColumn="0" w:lastColumn="0" w:noHBand="0" w:noVBand="0"/>
      </w:tblPr>
      <w:tblGrid>
        <w:gridCol w:w="850"/>
        <w:gridCol w:w="4243"/>
        <w:gridCol w:w="1427"/>
      </w:tblGrid>
      <w:tr>
        <w:trPr>
          <w:cantSplit/>
        </w:trPr>
        <w:tc>
          <w:tcPr>
            <w:tcW w:w="850" w:type="dxa"/>
          </w:tcPr>
          <w:p>
            <w:pPr>
              <w:pStyle w:val="yTableNAm"/>
              <w:rPr>
                <w:b/>
              </w:rPr>
            </w:pPr>
            <w:r>
              <w:rPr>
                <w:b/>
              </w:rPr>
              <w:t>2.</w:t>
            </w:r>
          </w:p>
        </w:tc>
        <w:tc>
          <w:tcPr>
            <w:tcW w:w="5670" w:type="dxa"/>
            <w:gridSpan w:val="2"/>
          </w:tcPr>
          <w:p>
            <w:pPr>
              <w:pStyle w:val="yTableNAm"/>
              <w:keepNext/>
              <w:keepLines/>
              <w:rPr>
                <w:b/>
                <w:bCs/>
              </w:rPr>
            </w:pPr>
            <w:r>
              <w:rPr>
                <w:b/>
                <w:bCs/>
              </w:rPr>
              <w:t xml:space="preserve">Supply under the </w:t>
            </w:r>
            <w:r>
              <w:rPr>
                <w:b/>
                <w:bCs/>
                <w:i/>
              </w:rPr>
              <w:t>Ord Irrigation District By</w:t>
            </w:r>
            <w:r>
              <w:rPr>
                <w:b/>
                <w:bCs/>
                <w:i/>
              </w:rPr>
              <w:noBreakHyphen/>
              <w:t>laws 1963</w:t>
            </w:r>
            <w:r>
              <w:rPr>
                <w:b/>
                <w:bCs/>
                <w:iCs/>
              </w:rPr>
              <w:t xml:space="preserve"> </w:t>
            </w:r>
            <w:r>
              <w:rPr>
                <w:b/>
                <w:bCs/>
              </w:rPr>
              <w:t>by</w:t>
            </w:r>
            <w:r>
              <w:rPr>
                <w:b/>
                <w:bCs/>
              </w:rPr>
              <w:noBreakHyphen/>
              <w:t>law 31A</w:t>
            </w:r>
          </w:p>
        </w:tc>
      </w:tr>
      <w:tr>
        <w:trPr>
          <w:cantSplit/>
        </w:trPr>
        <w:tc>
          <w:tcPr>
            <w:tcW w:w="850" w:type="dxa"/>
          </w:tcPr>
          <w:p>
            <w:pPr>
              <w:pStyle w:val="yTableNAm"/>
              <w:keepNext/>
              <w:keepLines/>
            </w:pPr>
          </w:p>
        </w:tc>
        <w:tc>
          <w:tcPr>
            <w:tcW w:w="4243" w:type="dxa"/>
          </w:tcPr>
          <w:p>
            <w:pPr>
              <w:pStyle w:val="yTableNAm"/>
              <w:keepNext/>
              <w:keepLines/>
            </w:pPr>
            <w:r>
              <w:t xml:space="preserve">In respect of land to which water is supplied under the </w:t>
            </w:r>
            <w:r>
              <w:rPr>
                <w:i/>
              </w:rPr>
              <w:t>Ord Irrigation District By</w:t>
            </w:r>
            <w:r>
              <w:rPr>
                <w:i/>
              </w:rPr>
              <w:noBreakHyphen/>
              <w:t>laws 1963</w:t>
            </w:r>
            <w:r>
              <w:t xml:space="preserve"> by</w:t>
            </w:r>
            <w:r>
              <w:noBreakHyphen/>
              <w:t>law 31A for the purposes of stock</w:t>
            </w:r>
            <w:r>
              <w:noBreakHyphen/>
              <w:t>water or dust prevention in feed lots —</w:t>
            </w:r>
          </w:p>
        </w:tc>
        <w:tc>
          <w:tcPr>
            <w:tcW w:w="1427" w:type="dxa"/>
            <w:vAlign w:val="bottom"/>
          </w:tcPr>
          <w:p>
            <w:pPr>
              <w:pStyle w:val="yTableNAm"/>
              <w:keepNext/>
              <w:keepLines/>
              <w:tabs>
                <w:tab w:val="clear" w:pos="567"/>
                <w:tab w:val="left" w:pos="327"/>
              </w:tabs>
            </w:pPr>
          </w:p>
        </w:tc>
      </w:tr>
      <w:tr>
        <w:trPr>
          <w:cantSplit/>
        </w:trPr>
        <w:tc>
          <w:tcPr>
            <w:tcW w:w="850" w:type="dxa"/>
          </w:tcPr>
          <w:p>
            <w:pPr>
              <w:pStyle w:val="yTableNAm"/>
            </w:pPr>
          </w:p>
        </w:tc>
        <w:tc>
          <w:tcPr>
            <w:tcW w:w="4243" w:type="dxa"/>
          </w:tcPr>
          <w:p>
            <w:pPr>
              <w:pStyle w:val="yTableNAm"/>
              <w:tabs>
                <w:tab w:val="clear" w:pos="567"/>
                <w:tab w:val="left" w:pos="351"/>
                <w:tab w:val="left" w:pos="918"/>
                <w:tab w:val="right" w:leader="dot" w:pos="4253"/>
              </w:tabs>
              <w:ind w:left="918" w:hanging="918"/>
            </w:pPr>
            <w:r>
              <w:tab/>
              <w:t>(a)</w:t>
            </w:r>
            <w:r>
              <w:tab/>
              <w:t xml:space="preserve">where the maximum area used as a feed lot during the year is not more than 4 hectares </w:t>
            </w:r>
            <w:r>
              <w:tab/>
            </w:r>
          </w:p>
        </w:tc>
        <w:tc>
          <w:tcPr>
            <w:tcW w:w="1427" w:type="dxa"/>
            <w:vAlign w:val="bottom"/>
          </w:tcPr>
          <w:p>
            <w:pPr>
              <w:pStyle w:val="yTableNAm"/>
              <w:tabs>
                <w:tab w:val="clear" w:pos="567"/>
                <w:tab w:val="left" w:pos="327"/>
              </w:tabs>
            </w:pPr>
            <w:r>
              <w:t>$651.00</w:t>
            </w:r>
          </w:p>
        </w:tc>
      </w:tr>
      <w:tr>
        <w:trPr>
          <w:cantSplit/>
        </w:trPr>
        <w:tc>
          <w:tcPr>
            <w:tcW w:w="850" w:type="dxa"/>
          </w:tcPr>
          <w:p>
            <w:pPr>
              <w:pStyle w:val="yTableNAm"/>
              <w:keepNext/>
              <w:keepLines/>
            </w:pPr>
          </w:p>
        </w:tc>
        <w:tc>
          <w:tcPr>
            <w:tcW w:w="4243" w:type="dxa"/>
          </w:tcPr>
          <w:p>
            <w:pPr>
              <w:pStyle w:val="yTableNAm"/>
              <w:tabs>
                <w:tab w:val="clear" w:pos="567"/>
                <w:tab w:val="left" w:pos="351"/>
                <w:tab w:val="left" w:pos="918"/>
                <w:tab w:val="right" w:leader="dot" w:pos="4253"/>
              </w:tabs>
              <w:ind w:left="918" w:hanging="918"/>
            </w:pPr>
            <w:r>
              <w:tab/>
              <w:t>(b)</w:t>
            </w:r>
            <w:r>
              <w:tab/>
              <w:t xml:space="preserve">where the maximum area used as a feed lot during the year is more than 4 hectares, the amount specified in paragraph (a) and, for each hectare (or part thereof) in excess of 4 hectares that is so used, a further amount of </w:t>
            </w:r>
            <w:r>
              <w:tab/>
            </w:r>
          </w:p>
        </w:tc>
        <w:tc>
          <w:tcPr>
            <w:tcW w:w="1427" w:type="dxa"/>
            <w:vAlign w:val="bottom"/>
          </w:tcPr>
          <w:p>
            <w:pPr>
              <w:pStyle w:val="yTableNAm"/>
              <w:keepNext/>
              <w:keepLines/>
              <w:tabs>
                <w:tab w:val="clear" w:pos="567"/>
                <w:tab w:val="left" w:pos="327"/>
              </w:tabs>
            </w:pPr>
            <w:r>
              <w:t>$129.00</w:t>
            </w:r>
          </w:p>
        </w:tc>
      </w:tr>
    </w:tbl>
    <w:p>
      <w:pPr>
        <w:pStyle w:val="yFootnotesection"/>
      </w:pPr>
      <w:r>
        <w:tab/>
        <w:t>[Division 2 inserted in Gazette 20 Jun 2012 p. 2721</w:t>
      </w:r>
      <w:r>
        <w:noBreakHyphen/>
        <w:t>2.]</w:t>
      </w:r>
    </w:p>
    <w:p>
      <w:pPr>
        <w:pStyle w:val="yScheduleHeading"/>
      </w:pPr>
      <w:bookmarkStart w:id="638" w:name="_Toc328403438"/>
      <w:bookmarkStart w:id="639" w:name="_Toc328471487"/>
      <w:bookmarkStart w:id="640" w:name="_Toc233448452"/>
      <w:bookmarkStart w:id="641" w:name="_Toc233611727"/>
      <w:bookmarkStart w:id="642" w:name="_Toc234730734"/>
      <w:bookmarkStart w:id="643" w:name="_Toc234733260"/>
      <w:bookmarkStart w:id="644" w:name="_Toc235863997"/>
      <w:bookmarkStart w:id="645" w:name="_Toc235933472"/>
      <w:bookmarkStart w:id="646" w:name="_Toc237164460"/>
      <w:bookmarkStart w:id="647" w:name="_Toc237244344"/>
      <w:bookmarkStart w:id="648" w:name="_Toc237245668"/>
      <w:bookmarkStart w:id="649" w:name="_Toc237245799"/>
      <w:bookmarkStart w:id="650" w:name="_Toc237247941"/>
      <w:bookmarkStart w:id="651" w:name="_Toc237254249"/>
      <w:bookmarkStart w:id="652" w:name="_Toc237309668"/>
      <w:bookmarkStart w:id="653" w:name="_Toc265743657"/>
      <w:bookmarkStart w:id="654" w:name="_Toc297540774"/>
      <w:bookmarkStart w:id="655" w:name="_Toc297541202"/>
      <w:bookmarkStart w:id="656" w:name="_Toc170879127"/>
      <w:bookmarkStart w:id="657" w:name="_Toc170894775"/>
      <w:bookmarkStart w:id="658" w:name="_Toc175712741"/>
      <w:bookmarkStart w:id="659" w:name="_Toc175970682"/>
      <w:bookmarkStart w:id="660" w:name="_Toc176335401"/>
      <w:bookmarkStart w:id="661" w:name="_Toc176338976"/>
      <w:bookmarkStart w:id="662" w:name="_Toc178743001"/>
      <w:bookmarkStart w:id="663" w:name="_Toc179363424"/>
      <w:bookmarkStart w:id="664" w:name="_Toc179604493"/>
      <w:bookmarkStart w:id="665" w:name="_Toc180204686"/>
      <w:bookmarkStart w:id="666" w:name="_Toc180204902"/>
      <w:bookmarkStart w:id="667" w:name="_Toc185844647"/>
      <w:bookmarkStart w:id="668" w:name="_Toc185845267"/>
      <w:bookmarkStart w:id="669" w:name="_Toc185927232"/>
      <w:bookmarkStart w:id="670" w:name="_Toc202506083"/>
      <w:bookmarkStart w:id="671" w:name="_Toc202672815"/>
      <w:bookmarkStart w:id="672" w:name="_Toc202691792"/>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r>
        <w:rPr>
          <w:rStyle w:val="CharSchNo"/>
        </w:rPr>
        <w:t>Schedule 3</w:t>
      </w:r>
      <w:r>
        <w:t> — </w:t>
      </w:r>
      <w:r>
        <w:rPr>
          <w:rStyle w:val="CharSchText"/>
        </w:rPr>
        <w:t>Charges for sewerage for 2012/2013</w:t>
      </w:r>
      <w:bookmarkEnd w:id="638"/>
      <w:bookmarkEnd w:id="639"/>
    </w:p>
    <w:p>
      <w:pPr>
        <w:pStyle w:val="yShoulderClause"/>
      </w:pPr>
      <w:r>
        <w:t>[bl. 21, 25A, 25B, 25C, 26, 26A and 26B]</w:t>
      </w:r>
    </w:p>
    <w:p>
      <w:pPr>
        <w:pStyle w:val="yFootnoteheading"/>
        <w:spacing w:after="60"/>
      </w:pPr>
      <w:r>
        <w:tab/>
        <w:t>[Heading inserted in Gazette 20 Jun 2012 p. 2722.]</w:t>
      </w:r>
    </w:p>
    <w:p>
      <w:pPr>
        <w:pStyle w:val="yHeading3"/>
      </w:pPr>
      <w:bookmarkStart w:id="673" w:name="_Toc328403439"/>
      <w:bookmarkStart w:id="674" w:name="_Toc328471488"/>
      <w:r>
        <w:rPr>
          <w:rStyle w:val="CharSDivNo"/>
        </w:rPr>
        <w:t>Division 1</w:t>
      </w:r>
      <w:r>
        <w:t> — </w:t>
      </w:r>
      <w:r>
        <w:rPr>
          <w:rStyle w:val="CharSDivText"/>
        </w:rPr>
        <w:t>Fixed charges</w:t>
      </w:r>
      <w:bookmarkEnd w:id="673"/>
      <w:bookmarkEnd w:id="674"/>
    </w:p>
    <w:p>
      <w:pPr>
        <w:pStyle w:val="yFootnoteheading"/>
        <w:spacing w:after="60"/>
      </w:pPr>
      <w:r>
        <w:tab/>
        <w:t>[Heading inserted in Gazette 20 Jun 2012 p. 2722.]</w:t>
      </w:r>
    </w:p>
    <w:tbl>
      <w:tblPr>
        <w:tblW w:w="0" w:type="auto"/>
        <w:tblInd w:w="534" w:type="dxa"/>
        <w:tblLayout w:type="fixed"/>
        <w:tblLook w:val="0000" w:firstRow="0" w:lastRow="0" w:firstColumn="0" w:lastColumn="0" w:noHBand="0" w:noVBand="0"/>
      </w:tblPr>
      <w:tblGrid>
        <w:gridCol w:w="850"/>
        <w:gridCol w:w="4236"/>
        <w:gridCol w:w="1434"/>
      </w:tblGrid>
      <w:tr>
        <w:trPr>
          <w:cantSplit/>
        </w:trPr>
        <w:tc>
          <w:tcPr>
            <w:tcW w:w="850" w:type="dxa"/>
          </w:tcPr>
          <w:p>
            <w:pPr>
              <w:pStyle w:val="yTableNAm"/>
              <w:rPr>
                <w:b/>
              </w:rPr>
            </w:pPr>
            <w:r>
              <w:rPr>
                <w:b/>
              </w:rPr>
              <w:t>1.</w:t>
            </w:r>
          </w:p>
        </w:tc>
        <w:tc>
          <w:tcPr>
            <w:tcW w:w="5670" w:type="dxa"/>
            <w:gridSpan w:val="2"/>
          </w:tcPr>
          <w:p>
            <w:pPr>
              <w:pStyle w:val="yTableNAm"/>
              <w:rPr>
                <w:b/>
              </w:rPr>
            </w:pPr>
            <w:r>
              <w:rPr>
                <w:b/>
              </w:rPr>
              <w:t>Connected metropolitan exempt</w:t>
            </w:r>
          </w:p>
        </w:tc>
      </w:tr>
      <w:tr>
        <w:trPr>
          <w:cantSplit/>
        </w:trPr>
        <w:tc>
          <w:tcPr>
            <w:tcW w:w="850" w:type="dxa"/>
          </w:tcPr>
          <w:p>
            <w:pPr>
              <w:pStyle w:val="yTableNAm"/>
            </w:pPr>
          </w:p>
        </w:tc>
        <w:tc>
          <w:tcPr>
            <w:tcW w:w="4236" w:type="dxa"/>
          </w:tcPr>
          <w:p>
            <w:pPr>
              <w:pStyle w:val="yTableNAm"/>
              <w:tabs>
                <w:tab w:val="right" w:leader="dot" w:pos="4253"/>
              </w:tabs>
            </w:pPr>
            <w:r>
              <w:t>In respect of land in the metropolitan area that is classified as —</w:t>
            </w:r>
          </w:p>
        </w:tc>
        <w:tc>
          <w:tcPr>
            <w:tcW w:w="1434" w:type="dxa"/>
            <w:vAlign w:val="bottom"/>
          </w:tcPr>
          <w:p>
            <w:pPr>
              <w:pStyle w:val="yTableNAm"/>
              <w:tabs>
                <w:tab w:val="clear" w:pos="567"/>
                <w:tab w:val="left" w:pos="335"/>
                <w:tab w:val="right" w:leader="dot" w:pos="4253"/>
              </w:tabs>
            </w:pPr>
          </w:p>
        </w:tc>
      </w:tr>
      <w:tr>
        <w:trPr>
          <w:cantSplit/>
        </w:trPr>
        <w:tc>
          <w:tcPr>
            <w:tcW w:w="850" w:type="dxa"/>
          </w:tcPr>
          <w:p>
            <w:pPr>
              <w:pStyle w:val="yTableNAm"/>
            </w:pPr>
          </w:p>
        </w:tc>
        <w:tc>
          <w:tcPr>
            <w:tcW w:w="4236" w:type="dxa"/>
          </w:tcPr>
          <w:p>
            <w:pPr>
              <w:pStyle w:val="yTableNAm"/>
              <w:tabs>
                <w:tab w:val="clear" w:pos="567"/>
                <w:tab w:val="left" w:pos="351"/>
                <w:tab w:val="left" w:pos="743"/>
                <w:tab w:val="right" w:leader="dot" w:pos="4253"/>
              </w:tabs>
              <w:ind w:left="743" w:hanging="743"/>
            </w:pPr>
            <w:r>
              <w:tab/>
              <w:t>(a)</w:t>
            </w:r>
            <w:r>
              <w:tab/>
              <w:t>aged home; or </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pPr>
          </w:p>
        </w:tc>
        <w:tc>
          <w:tcPr>
            <w:tcW w:w="4236" w:type="dxa"/>
          </w:tcPr>
          <w:p>
            <w:pPr>
              <w:pStyle w:val="yTableNAm"/>
              <w:tabs>
                <w:tab w:val="clear" w:pos="567"/>
                <w:tab w:val="left" w:pos="351"/>
                <w:tab w:val="left" w:pos="743"/>
                <w:tab w:val="left" w:pos="1168"/>
                <w:tab w:val="right" w:leader="dot" w:pos="4253"/>
              </w:tabs>
              <w:ind w:left="743" w:hanging="743"/>
              <w:rPr>
                <w:spacing w:val="-1"/>
              </w:rPr>
            </w:pPr>
            <w:r>
              <w:rPr>
                <w:spacing w:val="-1"/>
              </w:rPr>
              <w:tab/>
              <w:t>(b)</w:t>
            </w:r>
            <w:r>
              <w:rPr>
                <w:spacing w:val="-1"/>
              </w:rPr>
              <w:tab/>
              <w:t>charitable or community purposes,</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pPr>
          </w:p>
        </w:tc>
        <w:tc>
          <w:tcPr>
            <w:tcW w:w="4236" w:type="dxa"/>
          </w:tcPr>
          <w:p>
            <w:pPr>
              <w:pStyle w:val="yTableNAm"/>
              <w:tabs>
                <w:tab w:val="clear" w:pos="567"/>
                <w:tab w:val="left" w:pos="0"/>
                <w:tab w:val="left" w:pos="351"/>
                <w:tab w:val="right" w:leader="dot" w:pos="4253"/>
              </w:tabs>
              <w:rPr>
                <w:spacing w:val="-1"/>
              </w:rPr>
            </w:pPr>
            <w:r>
              <w:rPr>
                <w:spacing w:val="-1"/>
              </w:rPr>
              <w:t xml:space="preserve">a charge determined by meter size minus the discount as set out in the following Table — </w:t>
            </w:r>
          </w:p>
        </w:tc>
        <w:tc>
          <w:tcPr>
            <w:tcW w:w="1434" w:type="dxa"/>
            <w:vAlign w:val="bottom"/>
          </w:tcPr>
          <w:p>
            <w:pPr>
              <w:pStyle w:val="yTableNAm"/>
              <w:tabs>
                <w:tab w:val="clear" w:pos="567"/>
                <w:tab w:val="left" w:pos="335"/>
                <w:tab w:val="right" w:leader="dot" w:pos="4253"/>
              </w:tabs>
              <w:rPr>
                <w:spacing w:val="-1"/>
              </w:rPr>
            </w:pPr>
          </w:p>
        </w:tc>
      </w:tr>
    </w:tbl>
    <w:p>
      <w:pPr>
        <w:pStyle w:val="yTHeadingNAm"/>
      </w:pPr>
      <w:r>
        <w:rPr>
          <w:bCs w:val="0"/>
        </w:rPr>
        <w:t>Table — charges (</w:t>
      </w:r>
      <w:r>
        <w:rPr>
          <w:bCs w:val="0"/>
          <w:iCs/>
        </w:rPr>
        <w:t>per fixture</w:t>
      </w:r>
      <w:r>
        <w:rPr>
          <w:bCs w:val="0"/>
        </w:rPr>
        <w:t>)</w:t>
      </w:r>
    </w:p>
    <w:tbl>
      <w:tblPr>
        <w:tblW w:w="6520" w:type="dxa"/>
        <w:tblInd w:w="454" w:type="dxa"/>
        <w:tblLayout w:type="fixed"/>
        <w:tblCellMar>
          <w:left w:w="28" w:type="dxa"/>
          <w:right w:w="28" w:type="dxa"/>
        </w:tblCellMar>
        <w:tblLook w:val="0000" w:firstRow="0" w:lastRow="0" w:firstColumn="0" w:lastColumn="0" w:noHBand="0" w:noVBand="0"/>
      </w:tblPr>
      <w:tblGrid>
        <w:gridCol w:w="2173"/>
        <w:gridCol w:w="2173"/>
        <w:gridCol w:w="1087"/>
        <w:gridCol w:w="1087"/>
      </w:tblGrid>
      <w:tr>
        <w:trPr>
          <w:cantSplit/>
          <w:trHeight w:val="310"/>
          <w:tblHeader/>
        </w:trPr>
        <w:tc>
          <w:tcPr>
            <w:tcW w:w="2173" w:type="dxa"/>
            <w:vMerge w:val="restart"/>
            <w:tcBorders>
              <w:top w:val="single" w:sz="4" w:space="0" w:color="auto"/>
            </w:tcBorders>
          </w:tcPr>
          <w:p>
            <w:pPr>
              <w:pStyle w:val="yTableNAm"/>
              <w:jc w:val="center"/>
              <w:rPr>
                <w:b/>
                <w:bCs/>
              </w:rPr>
            </w:pPr>
            <w:r>
              <w:rPr>
                <w:b/>
                <w:bCs/>
              </w:rPr>
              <w:t>No. of fixtures</w:t>
            </w:r>
          </w:p>
        </w:tc>
        <w:tc>
          <w:tcPr>
            <w:tcW w:w="2173" w:type="dxa"/>
            <w:vMerge w:val="restart"/>
            <w:tcBorders>
              <w:top w:val="single" w:sz="4" w:space="0" w:color="auto"/>
            </w:tcBorders>
          </w:tcPr>
          <w:p>
            <w:pPr>
              <w:pStyle w:val="yTableNAm"/>
              <w:jc w:val="center"/>
              <w:rPr>
                <w:b/>
                <w:bCs/>
              </w:rPr>
            </w:pPr>
            <w:r>
              <w:rPr>
                <w:b/>
                <w:bCs/>
              </w:rPr>
              <w:t>Charges</w:t>
            </w:r>
            <w:r>
              <w:rPr>
                <w:b/>
                <w:bCs/>
              </w:rPr>
              <w:br/>
              <w:t>$</w:t>
            </w:r>
          </w:p>
        </w:tc>
        <w:tc>
          <w:tcPr>
            <w:tcW w:w="2174" w:type="dxa"/>
            <w:gridSpan w:val="2"/>
            <w:tcBorders>
              <w:top w:val="single" w:sz="4" w:space="0" w:color="auto"/>
              <w:bottom w:val="single" w:sz="4" w:space="0" w:color="auto"/>
            </w:tcBorders>
          </w:tcPr>
          <w:p>
            <w:pPr>
              <w:pStyle w:val="yTableNAm"/>
              <w:jc w:val="center"/>
              <w:rPr>
                <w:b/>
                <w:bCs/>
              </w:rPr>
            </w:pPr>
            <w:r>
              <w:rPr>
                <w:b/>
                <w:bCs/>
              </w:rPr>
              <w:t>Discount</w:t>
            </w:r>
            <w:r>
              <w:rPr>
                <w:b/>
                <w:bCs/>
              </w:rPr>
              <w:br/>
              <w:t>%</w:t>
            </w:r>
          </w:p>
        </w:tc>
      </w:tr>
      <w:tr>
        <w:trPr>
          <w:cantSplit/>
          <w:trHeight w:val="310"/>
          <w:tblHeader/>
        </w:trPr>
        <w:tc>
          <w:tcPr>
            <w:tcW w:w="2173" w:type="dxa"/>
            <w:vMerge/>
            <w:tcBorders>
              <w:bottom w:val="single" w:sz="4" w:space="0" w:color="auto"/>
            </w:tcBorders>
            <w:vAlign w:val="center"/>
          </w:tcPr>
          <w:p>
            <w:pPr>
              <w:pStyle w:val="yTableNAm"/>
              <w:jc w:val="center"/>
              <w:rPr>
                <w:b/>
                <w:bCs/>
              </w:rPr>
            </w:pPr>
          </w:p>
        </w:tc>
        <w:tc>
          <w:tcPr>
            <w:tcW w:w="2173" w:type="dxa"/>
            <w:vMerge/>
            <w:tcBorders>
              <w:bottom w:val="single" w:sz="4" w:space="0" w:color="auto"/>
            </w:tcBorders>
          </w:tcPr>
          <w:p>
            <w:pPr>
              <w:pStyle w:val="yTableNAm"/>
              <w:jc w:val="center"/>
              <w:rPr>
                <w:b/>
                <w:bCs/>
              </w:rPr>
            </w:pPr>
          </w:p>
        </w:tc>
        <w:tc>
          <w:tcPr>
            <w:tcW w:w="1087" w:type="dxa"/>
            <w:tcBorders>
              <w:top w:val="single" w:sz="4" w:space="0" w:color="auto"/>
              <w:bottom w:val="single" w:sz="4" w:space="0" w:color="auto"/>
            </w:tcBorders>
          </w:tcPr>
          <w:p>
            <w:pPr>
              <w:pStyle w:val="yTableNAm"/>
              <w:jc w:val="center"/>
              <w:rPr>
                <w:b/>
                <w:bCs/>
              </w:rPr>
            </w:pPr>
            <w:r>
              <w:rPr>
                <w:b/>
                <w:bCs/>
              </w:rPr>
              <w:t>Item 1(a)</w:t>
            </w:r>
          </w:p>
        </w:tc>
        <w:tc>
          <w:tcPr>
            <w:tcW w:w="1087" w:type="dxa"/>
            <w:tcBorders>
              <w:top w:val="single" w:sz="4" w:space="0" w:color="auto"/>
              <w:bottom w:val="single" w:sz="4" w:space="0" w:color="auto"/>
            </w:tcBorders>
          </w:tcPr>
          <w:p>
            <w:pPr>
              <w:pStyle w:val="yTableNAm"/>
              <w:jc w:val="center"/>
              <w:rPr>
                <w:b/>
                <w:bCs/>
              </w:rPr>
            </w:pPr>
            <w:r>
              <w:rPr>
                <w:b/>
                <w:bCs/>
              </w:rPr>
              <w:t>Item 1(b)</w:t>
            </w:r>
          </w:p>
        </w:tc>
      </w:tr>
      <w:tr>
        <w:trPr>
          <w:cantSplit/>
        </w:trPr>
        <w:tc>
          <w:tcPr>
            <w:tcW w:w="2173" w:type="dxa"/>
          </w:tcPr>
          <w:p>
            <w:pPr>
              <w:pStyle w:val="yTableNAm"/>
              <w:jc w:val="center"/>
            </w:pPr>
            <w:r>
              <w:t>1</w:t>
            </w:r>
          </w:p>
        </w:tc>
        <w:tc>
          <w:tcPr>
            <w:tcW w:w="2173" w:type="dxa"/>
          </w:tcPr>
          <w:p>
            <w:pPr>
              <w:pStyle w:val="yTableNAm"/>
              <w:jc w:val="center"/>
            </w:pPr>
            <w:r>
              <w:t>728.40</w:t>
            </w:r>
          </w:p>
        </w:tc>
        <w:tc>
          <w:tcPr>
            <w:tcW w:w="1087" w:type="dxa"/>
          </w:tcPr>
          <w:p>
            <w:pPr>
              <w:pStyle w:val="yTableNAm"/>
              <w:jc w:val="center"/>
            </w:pPr>
            <w:r>
              <w:t>73.13</w:t>
            </w:r>
          </w:p>
        </w:tc>
        <w:tc>
          <w:tcPr>
            <w:tcW w:w="1087" w:type="dxa"/>
          </w:tcPr>
          <w:p>
            <w:pPr>
              <w:pStyle w:val="yTableNAm"/>
              <w:jc w:val="center"/>
            </w:pPr>
            <w:r>
              <w:t>73.13</w:t>
            </w:r>
          </w:p>
        </w:tc>
      </w:tr>
      <w:tr>
        <w:trPr>
          <w:cantSplit/>
        </w:trPr>
        <w:tc>
          <w:tcPr>
            <w:tcW w:w="2173" w:type="dxa"/>
          </w:tcPr>
          <w:p>
            <w:pPr>
              <w:pStyle w:val="yTableNAm"/>
              <w:jc w:val="center"/>
            </w:pPr>
            <w:r>
              <w:t>2</w:t>
            </w:r>
          </w:p>
        </w:tc>
        <w:tc>
          <w:tcPr>
            <w:tcW w:w="2173" w:type="dxa"/>
          </w:tcPr>
          <w:p>
            <w:pPr>
              <w:pStyle w:val="yTableNAm"/>
              <w:jc w:val="center"/>
            </w:pPr>
            <w:r>
              <w:t>311.80</w:t>
            </w:r>
          </w:p>
        </w:tc>
        <w:tc>
          <w:tcPr>
            <w:tcW w:w="1087" w:type="dxa"/>
          </w:tcPr>
          <w:p>
            <w:pPr>
              <w:pStyle w:val="yTableNAm"/>
              <w:jc w:val="center"/>
            </w:pPr>
            <w:r>
              <w:t>72.38</w:t>
            </w:r>
          </w:p>
        </w:tc>
        <w:tc>
          <w:tcPr>
            <w:tcW w:w="1087" w:type="dxa"/>
          </w:tcPr>
          <w:p>
            <w:pPr>
              <w:pStyle w:val="yTableNAm"/>
              <w:jc w:val="center"/>
            </w:pPr>
            <w:r>
              <w:t>37.24</w:t>
            </w:r>
          </w:p>
        </w:tc>
      </w:tr>
      <w:tr>
        <w:trPr>
          <w:cantSplit/>
        </w:trPr>
        <w:tc>
          <w:tcPr>
            <w:tcW w:w="2173" w:type="dxa"/>
          </w:tcPr>
          <w:p>
            <w:pPr>
              <w:pStyle w:val="yTableNAm"/>
              <w:jc w:val="center"/>
            </w:pPr>
            <w:r>
              <w:t>3</w:t>
            </w:r>
          </w:p>
        </w:tc>
        <w:tc>
          <w:tcPr>
            <w:tcW w:w="2173" w:type="dxa"/>
          </w:tcPr>
          <w:p>
            <w:pPr>
              <w:pStyle w:val="yTableNAm"/>
              <w:jc w:val="center"/>
            </w:pPr>
            <w:r>
              <w:t>416.40</w:t>
            </w:r>
          </w:p>
        </w:tc>
        <w:tc>
          <w:tcPr>
            <w:tcW w:w="1087" w:type="dxa"/>
          </w:tcPr>
          <w:p>
            <w:pPr>
              <w:pStyle w:val="yTableNAm"/>
              <w:jc w:val="center"/>
            </w:pPr>
            <w:r>
              <w:t>79.32</w:t>
            </w:r>
          </w:p>
        </w:tc>
        <w:tc>
          <w:tcPr>
            <w:tcW w:w="1087" w:type="dxa"/>
          </w:tcPr>
          <w:p>
            <w:pPr>
              <w:pStyle w:val="yTableNAm"/>
              <w:jc w:val="center"/>
            </w:pPr>
            <w:r>
              <w:t>53.00</w:t>
            </w:r>
          </w:p>
        </w:tc>
      </w:tr>
      <w:tr>
        <w:trPr>
          <w:cantSplit/>
        </w:trPr>
        <w:tc>
          <w:tcPr>
            <w:tcW w:w="2173" w:type="dxa"/>
            <w:tcBorders>
              <w:bottom w:val="single" w:sz="4" w:space="0" w:color="auto"/>
            </w:tcBorders>
          </w:tcPr>
          <w:p>
            <w:pPr>
              <w:pStyle w:val="yTableNAm"/>
              <w:jc w:val="center"/>
            </w:pPr>
            <w:r>
              <w:t>4+</w:t>
            </w:r>
          </w:p>
        </w:tc>
        <w:tc>
          <w:tcPr>
            <w:tcW w:w="2173" w:type="dxa"/>
            <w:tcBorders>
              <w:bottom w:val="single" w:sz="4" w:space="0" w:color="auto"/>
            </w:tcBorders>
          </w:tcPr>
          <w:p>
            <w:pPr>
              <w:pStyle w:val="yTableNAm"/>
              <w:jc w:val="center"/>
            </w:pPr>
            <w:r>
              <w:t>452.80</w:t>
            </w:r>
          </w:p>
        </w:tc>
        <w:tc>
          <w:tcPr>
            <w:tcW w:w="1087" w:type="dxa"/>
            <w:tcBorders>
              <w:bottom w:val="single" w:sz="4" w:space="0" w:color="auto"/>
            </w:tcBorders>
          </w:tcPr>
          <w:p>
            <w:pPr>
              <w:pStyle w:val="yTableNAm"/>
              <w:jc w:val="center"/>
            </w:pPr>
            <w:r>
              <w:t>80.98</w:t>
            </w:r>
          </w:p>
        </w:tc>
        <w:tc>
          <w:tcPr>
            <w:tcW w:w="1087" w:type="dxa"/>
            <w:tcBorders>
              <w:bottom w:val="single" w:sz="4" w:space="0" w:color="auto"/>
            </w:tcBorders>
          </w:tcPr>
          <w:p>
            <w:pPr>
              <w:pStyle w:val="yTableNAm"/>
              <w:jc w:val="center"/>
            </w:pPr>
            <w:r>
              <w:t>56.78</w:t>
            </w:r>
          </w:p>
        </w:tc>
      </w:tr>
    </w:tbl>
    <w:p>
      <w:pPr>
        <w:pStyle w:val="yMiscellaneousBody"/>
        <w:spacing w:before="0"/>
      </w:pPr>
    </w:p>
    <w:tbl>
      <w:tblPr>
        <w:tblW w:w="0" w:type="auto"/>
        <w:tblInd w:w="534" w:type="dxa"/>
        <w:tblLayout w:type="fixed"/>
        <w:tblLook w:val="0000" w:firstRow="0" w:lastRow="0" w:firstColumn="0" w:lastColumn="0" w:noHBand="0" w:noVBand="0"/>
      </w:tblPr>
      <w:tblGrid>
        <w:gridCol w:w="850"/>
        <w:gridCol w:w="4236"/>
        <w:gridCol w:w="1434"/>
      </w:tblGrid>
      <w:tr>
        <w:trPr>
          <w:cantSplit/>
        </w:trPr>
        <w:tc>
          <w:tcPr>
            <w:tcW w:w="850" w:type="dxa"/>
          </w:tcPr>
          <w:p>
            <w:pPr>
              <w:pStyle w:val="yTableNAm"/>
              <w:rPr>
                <w:b/>
              </w:rPr>
            </w:pPr>
            <w:r>
              <w:rPr>
                <w:b/>
              </w:rPr>
              <w:t>2.</w:t>
            </w:r>
          </w:p>
        </w:tc>
        <w:tc>
          <w:tcPr>
            <w:tcW w:w="4236" w:type="dxa"/>
          </w:tcPr>
          <w:p>
            <w:pPr>
              <w:pStyle w:val="yTableNAm"/>
              <w:rPr>
                <w:b/>
              </w:rPr>
            </w:pPr>
            <w:r>
              <w:rPr>
                <w:b/>
              </w:rPr>
              <w:t>Connected country exempt</w:t>
            </w:r>
          </w:p>
        </w:tc>
        <w:tc>
          <w:tcPr>
            <w:tcW w:w="1434" w:type="dxa"/>
            <w:vAlign w:val="bottom"/>
          </w:tcPr>
          <w:p>
            <w:pPr>
              <w:pStyle w:val="yTableNAm"/>
            </w:pPr>
          </w:p>
        </w:tc>
      </w:tr>
      <w:tr>
        <w:trPr>
          <w:cantSplit/>
        </w:trPr>
        <w:tc>
          <w:tcPr>
            <w:tcW w:w="850" w:type="dxa"/>
          </w:tcPr>
          <w:p>
            <w:pPr>
              <w:pStyle w:val="yTableNAm"/>
              <w:keepNext/>
              <w:keepLines/>
            </w:pPr>
          </w:p>
        </w:tc>
        <w:tc>
          <w:tcPr>
            <w:tcW w:w="4236" w:type="dxa"/>
          </w:tcPr>
          <w:p>
            <w:pPr>
              <w:pStyle w:val="yTableNAm"/>
              <w:keepNext/>
              <w:keepLines/>
              <w:tabs>
                <w:tab w:val="right" w:leader="dot" w:pos="4253"/>
              </w:tabs>
              <w:rPr>
                <w:spacing w:val="-4"/>
              </w:rPr>
            </w:pPr>
            <w:r>
              <w:t>In respect of land in a country sewerage area that is classified as —</w:t>
            </w:r>
          </w:p>
        </w:tc>
        <w:tc>
          <w:tcPr>
            <w:tcW w:w="1434" w:type="dxa"/>
            <w:vAlign w:val="bottom"/>
          </w:tcPr>
          <w:p>
            <w:pPr>
              <w:pStyle w:val="yTableNAm"/>
              <w:keepNext/>
              <w:keepLines/>
              <w:tabs>
                <w:tab w:val="clear" w:pos="567"/>
                <w:tab w:val="left" w:pos="335"/>
                <w:tab w:val="right" w:leader="dot" w:pos="4253"/>
              </w:tabs>
              <w:rPr>
                <w:spacing w:val="-1"/>
              </w:rPr>
            </w:pPr>
          </w:p>
        </w:tc>
      </w:tr>
      <w:tr>
        <w:trPr>
          <w:cantSplit/>
        </w:trPr>
        <w:tc>
          <w:tcPr>
            <w:tcW w:w="850" w:type="dxa"/>
          </w:tcPr>
          <w:p>
            <w:pPr>
              <w:pStyle w:val="yTableNAm"/>
            </w:pPr>
          </w:p>
        </w:tc>
        <w:tc>
          <w:tcPr>
            <w:tcW w:w="4236" w:type="dxa"/>
          </w:tcPr>
          <w:p>
            <w:pPr>
              <w:pStyle w:val="yTableNAm"/>
              <w:tabs>
                <w:tab w:val="clear" w:pos="567"/>
                <w:tab w:val="left" w:pos="351"/>
                <w:tab w:val="left" w:pos="918"/>
                <w:tab w:val="right" w:leader="dot" w:pos="4253"/>
              </w:tabs>
              <w:ind w:left="918" w:hanging="918"/>
            </w:pPr>
            <w:r>
              <w:tab/>
              <w:t>(a)</w:t>
            </w:r>
            <w:r>
              <w:tab/>
              <w:t>community residential</w:t>
            </w:r>
            <w:r>
              <w:rPr>
                <w:snapToGrid w:val="0"/>
                <w:spacing w:val="-4"/>
              </w:rPr>
              <w:t>; or</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pPr>
          </w:p>
        </w:tc>
        <w:tc>
          <w:tcPr>
            <w:tcW w:w="4236" w:type="dxa"/>
          </w:tcPr>
          <w:p>
            <w:pPr>
              <w:pStyle w:val="yTableNAm"/>
              <w:tabs>
                <w:tab w:val="clear" w:pos="567"/>
                <w:tab w:val="left" w:pos="351"/>
                <w:tab w:val="left" w:pos="918"/>
                <w:tab w:val="right" w:leader="dot" w:pos="4253"/>
              </w:tabs>
              <w:ind w:left="918" w:hanging="918"/>
            </w:pPr>
            <w:r>
              <w:rPr>
                <w:spacing w:val="-1"/>
              </w:rPr>
              <w:tab/>
              <w:t>(b)</w:t>
            </w:r>
            <w:r>
              <w:rPr>
                <w:spacing w:val="-1"/>
              </w:rPr>
              <w:tab/>
              <w:t xml:space="preserve">aged home, </w:t>
            </w:r>
            <w:r>
              <w:t>charitable purposes</w:t>
            </w:r>
            <w:r>
              <w:rPr>
                <w:spacing w:val="-1"/>
              </w:rPr>
              <w:t>, community purposes, institutional public or local government,</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pPr>
          </w:p>
        </w:tc>
        <w:tc>
          <w:tcPr>
            <w:tcW w:w="4236" w:type="dxa"/>
          </w:tcPr>
          <w:p>
            <w:pPr>
              <w:pStyle w:val="yTableNAm"/>
              <w:tabs>
                <w:tab w:val="clear" w:pos="567"/>
                <w:tab w:val="left" w:pos="0"/>
                <w:tab w:val="right" w:leader="dot" w:pos="4253"/>
              </w:tabs>
            </w:pPr>
            <w:r>
              <w:rPr>
                <w:szCs w:val="22"/>
              </w:rPr>
              <w:t>a charge determined by meter size minus the discount as set out in the following Table —</w:t>
            </w:r>
          </w:p>
        </w:tc>
        <w:tc>
          <w:tcPr>
            <w:tcW w:w="1434" w:type="dxa"/>
            <w:vAlign w:val="bottom"/>
          </w:tcPr>
          <w:p>
            <w:pPr>
              <w:pStyle w:val="yTableNAm"/>
              <w:tabs>
                <w:tab w:val="clear" w:pos="567"/>
                <w:tab w:val="left" w:pos="335"/>
                <w:tab w:val="right" w:leader="dot" w:pos="4253"/>
              </w:tabs>
              <w:rPr>
                <w:spacing w:val="-1"/>
              </w:rPr>
            </w:pPr>
          </w:p>
        </w:tc>
      </w:tr>
    </w:tbl>
    <w:p>
      <w:pPr>
        <w:pStyle w:val="yTHeadingNAm"/>
      </w:pPr>
      <w:r>
        <w:rPr>
          <w:bCs w:val="0"/>
        </w:rPr>
        <w:t>Table — charges (</w:t>
      </w:r>
      <w:r>
        <w:rPr>
          <w:bCs w:val="0"/>
          <w:iCs/>
        </w:rPr>
        <w:t>per fixture</w:t>
      </w:r>
      <w:r>
        <w:rPr>
          <w:bCs w:val="0"/>
        </w:rPr>
        <w:t>)</w:t>
      </w:r>
    </w:p>
    <w:tbl>
      <w:tblPr>
        <w:tblW w:w="6520" w:type="dxa"/>
        <w:tblInd w:w="454" w:type="dxa"/>
        <w:tblLayout w:type="fixed"/>
        <w:tblCellMar>
          <w:left w:w="28" w:type="dxa"/>
          <w:right w:w="28" w:type="dxa"/>
        </w:tblCellMar>
        <w:tblLook w:val="0000" w:firstRow="0" w:lastRow="0" w:firstColumn="0" w:lastColumn="0" w:noHBand="0" w:noVBand="0"/>
      </w:tblPr>
      <w:tblGrid>
        <w:gridCol w:w="2173"/>
        <w:gridCol w:w="2173"/>
        <w:gridCol w:w="1087"/>
        <w:gridCol w:w="1087"/>
      </w:tblGrid>
      <w:tr>
        <w:trPr>
          <w:cantSplit/>
          <w:trHeight w:val="310"/>
          <w:tblHeader/>
        </w:trPr>
        <w:tc>
          <w:tcPr>
            <w:tcW w:w="2173" w:type="dxa"/>
            <w:vMerge w:val="restart"/>
            <w:tcBorders>
              <w:top w:val="single" w:sz="4" w:space="0" w:color="auto"/>
            </w:tcBorders>
          </w:tcPr>
          <w:p>
            <w:pPr>
              <w:pStyle w:val="yTableNAm"/>
              <w:keepNext/>
              <w:jc w:val="center"/>
              <w:rPr>
                <w:b/>
                <w:bCs/>
              </w:rPr>
            </w:pPr>
            <w:r>
              <w:rPr>
                <w:b/>
                <w:bCs/>
              </w:rPr>
              <w:t>No. of fixtures</w:t>
            </w:r>
          </w:p>
        </w:tc>
        <w:tc>
          <w:tcPr>
            <w:tcW w:w="2173" w:type="dxa"/>
            <w:vMerge w:val="restart"/>
            <w:tcBorders>
              <w:top w:val="single" w:sz="4" w:space="0" w:color="auto"/>
            </w:tcBorders>
          </w:tcPr>
          <w:p>
            <w:pPr>
              <w:pStyle w:val="yTableNAm"/>
              <w:keepNext/>
              <w:jc w:val="center"/>
              <w:rPr>
                <w:b/>
                <w:bCs/>
              </w:rPr>
            </w:pPr>
            <w:r>
              <w:rPr>
                <w:b/>
                <w:bCs/>
              </w:rPr>
              <w:t>Charges</w:t>
            </w:r>
            <w:r>
              <w:rPr>
                <w:b/>
                <w:bCs/>
              </w:rPr>
              <w:br/>
              <w:t>$</w:t>
            </w:r>
          </w:p>
        </w:tc>
        <w:tc>
          <w:tcPr>
            <w:tcW w:w="2174" w:type="dxa"/>
            <w:gridSpan w:val="2"/>
            <w:tcBorders>
              <w:top w:val="single" w:sz="4" w:space="0" w:color="auto"/>
              <w:bottom w:val="single" w:sz="4" w:space="0" w:color="auto"/>
            </w:tcBorders>
          </w:tcPr>
          <w:p>
            <w:pPr>
              <w:pStyle w:val="yTableNAm"/>
              <w:keepNext/>
              <w:jc w:val="center"/>
              <w:rPr>
                <w:b/>
                <w:bCs/>
              </w:rPr>
            </w:pPr>
            <w:r>
              <w:rPr>
                <w:b/>
                <w:bCs/>
              </w:rPr>
              <w:t>Discount</w:t>
            </w:r>
            <w:r>
              <w:rPr>
                <w:b/>
                <w:bCs/>
              </w:rPr>
              <w:br/>
              <w:t>%</w:t>
            </w:r>
          </w:p>
        </w:tc>
      </w:tr>
      <w:tr>
        <w:trPr>
          <w:cantSplit/>
          <w:trHeight w:val="310"/>
          <w:tblHeader/>
        </w:trPr>
        <w:tc>
          <w:tcPr>
            <w:tcW w:w="2173" w:type="dxa"/>
            <w:vMerge/>
            <w:tcBorders>
              <w:bottom w:val="single" w:sz="4" w:space="0" w:color="auto"/>
            </w:tcBorders>
            <w:vAlign w:val="center"/>
          </w:tcPr>
          <w:p>
            <w:pPr>
              <w:pStyle w:val="yTableNAm"/>
              <w:keepNext/>
              <w:jc w:val="center"/>
              <w:rPr>
                <w:b/>
                <w:bCs/>
              </w:rPr>
            </w:pPr>
          </w:p>
        </w:tc>
        <w:tc>
          <w:tcPr>
            <w:tcW w:w="2173" w:type="dxa"/>
            <w:vMerge/>
            <w:tcBorders>
              <w:bottom w:val="single" w:sz="4" w:space="0" w:color="auto"/>
            </w:tcBorders>
          </w:tcPr>
          <w:p>
            <w:pPr>
              <w:pStyle w:val="yTableNAm"/>
              <w:keepNext/>
              <w:jc w:val="center"/>
              <w:rPr>
                <w:b/>
                <w:bCs/>
              </w:rPr>
            </w:pPr>
          </w:p>
        </w:tc>
        <w:tc>
          <w:tcPr>
            <w:tcW w:w="1087" w:type="dxa"/>
            <w:tcBorders>
              <w:top w:val="single" w:sz="4" w:space="0" w:color="auto"/>
              <w:bottom w:val="single" w:sz="4" w:space="0" w:color="auto"/>
            </w:tcBorders>
          </w:tcPr>
          <w:p>
            <w:pPr>
              <w:pStyle w:val="yTableNAm"/>
              <w:keepNext/>
              <w:jc w:val="center"/>
              <w:rPr>
                <w:b/>
                <w:bCs/>
              </w:rPr>
            </w:pPr>
            <w:r>
              <w:rPr>
                <w:b/>
                <w:bCs/>
              </w:rPr>
              <w:t>Item 2(a)</w:t>
            </w:r>
          </w:p>
        </w:tc>
        <w:tc>
          <w:tcPr>
            <w:tcW w:w="1087" w:type="dxa"/>
            <w:tcBorders>
              <w:top w:val="single" w:sz="4" w:space="0" w:color="auto"/>
              <w:bottom w:val="single" w:sz="4" w:space="0" w:color="auto"/>
            </w:tcBorders>
          </w:tcPr>
          <w:p>
            <w:pPr>
              <w:pStyle w:val="yTableNAm"/>
              <w:keepNext/>
              <w:jc w:val="center"/>
              <w:rPr>
                <w:b/>
                <w:bCs/>
              </w:rPr>
            </w:pPr>
            <w:r>
              <w:rPr>
                <w:b/>
                <w:bCs/>
              </w:rPr>
              <w:t>Item 2(b)</w:t>
            </w:r>
          </w:p>
        </w:tc>
      </w:tr>
      <w:tr>
        <w:trPr>
          <w:cantSplit/>
        </w:trPr>
        <w:tc>
          <w:tcPr>
            <w:tcW w:w="2173" w:type="dxa"/>
          </w:tcPr>
          <w:p>
            <w:pPr>
              <w:pStyle w:val="yTableNAm"/>
              <w:keepNext/>
              <w:jc w:val="center"/>
            </w:pPr>
            <w:r>
              <w:t>1</w:t>
            </w:r>
          </w:p>
        </w:tc>
        <w:tc>
          <w:tcPr>
            <w:tcW w:w="2173" w:type="dxa"/>
            <w:vAlign w:val="bottom"/>
          </w:tcPr>
          <w:p>
            <w:pPr>
              <w:pStyle w:val="yTableNAm"/>
              <w:keepNext/>
              <w:jc w:val="center"/>
            </w:pPr>
            <w:r>
              <w:t>728.40</w:t>
            </w:r>
          </w:p>
        </w:tc>
        <w:tc>
          <w:tcPr>
            <w:tcW w:w="1087" w:type="dxa"/>
          </w:tcPr>
          <w:p>
            <w:pPr>
              <w:pStyle w:val="yTableNAm"/>
              <w:keepNext/>
              <w:jc w:val="center"/>
            </w:pPr>
            <w:r>
              <w:t>88.18</w:t>
            </w:r>
          </w:p>
        </w:tc>
        <w:tc>
          <w:tcPr>
            <w:tcW w:w="1087" w:type="dxa"/>
          </w:tcPr>
          <w:p>
            <w:pPr>
              <w:pStyle w:val="yTableNAm"/>
              <w:keepNext/>
              <w:jc w:val="center"/>
            </w:pPr>
            <w:r>
              <w:t>73.13</w:t>
            </w:r>
          </w:p>
        </w:tc>
      </w:tr>
      <w:tr>
        <w:trPr>
          <w:cantSplit/>
        </w:trPr>
        <w:tc>
          <w:tcPr>
            <w:tcW w:w="2173" w:type="dxa"/>
          </w:tcPr>
          <w:p>
            <w:pPr>
              <w:pStyle w:val="yTableNAm"/>
              <w:jc w:val="center"/>
            </w:pPr>
            <w:r>
              <w:t>2</w:t>
            </w:r>
          </w:p>
        </w:tc>
        <w:tc>
          <w:tcPr>
            <w:tcW w:w="2173" w:type="dxa"/>
            <w:vAlign w:val="bottom"/>
          </w:tcPr>
          <w:p>
            <w:pPr>
              <w:pStyle w:val="yTableNAm"/>
              <w:jc w:val="center"/>
            </w:pPr>
            <w:r>
              <w:t>311.80</w:t>
            </w:r>
          </w:p>
        </w:tc>
        <w:tc>
          <w:tcPr>
            <w:tcW w:w="1087" w:type="dxa"/>
          </w:tcPr>
          <w:p>
            <w:pPr>
              <w:pStyle w:val="yTableNAm"/>
              <w:jc w:val="center"/>
            </w:pPr>
            <w:r>
              <w:t>72.38</w:t>
            </w:r>
          </w:p>
        </w:tc>
        <w:tc>
          <w:tcPr>
            <w:tcW w:w="1087" w:type="dxa"/>
          </w:tcPr>
          <w:p>
            <w:pPr>
              <w:pStyle w:val="yTableNAm"/>
              <w:jc w:val="center"/>
            </w:pPr>
            <w:r>
              <w:t>72.38</w:t>
            </w:r>
          </w:p>
        </w:tc>
      </w:tr>
      <w:tr>
        <w:trPr>
          <w:cantSplit/>
        </w:trPr>
        <w:tc>
          <w:tcPr>
            <w:tcW w:w="2173" w:type="dxa"/>
          </w:tcPr>
          <w:p>
            <w:pPr>
              <w:pStyle w:val="yTableNAm"/>
              <w:jc w:val="center"/>
            </w:pPr>
            <w:r>
              <w:t>3</w:t>
            </w:r>
          </w:p>
        </w:tc>
        <w:tc>
          <w:tcPr>
            <w:tcW w:w="2173" w:type="dxa"/>
            <w:vAlign w:val="bottom"/>
          </w:tcPr>
          <w:p>
            <w:pPr>
              <w:pStyle w:val="yTableNAm"/>
              <w:jc w:val="center"/>
            </w:pPr>
            <w:r>
              <w:t>416.40</w:t>
            </w:r>
          </w:p>
        </w:tc>
        <w:tc>
          <w:tcPr>
            <w:tcW w:w="1087" w:type="dxa"/>
          </w:tcPr>
          <w:p>
            <w:pPr>
              <w:pStyle w:val="yTableNAm"/>
              <w:jc w:val="center"/>
            </w:pPr>
            <w:r>
              <w:t>79.32</w:t>
            </w:r>
          </w:p>
        </w:tc>
        <w:tc>
          <w:tcPr>
            <w:tcW w:w="1087" w:type="dxa"/>
          </w:tcPr>
          <w:p>
            <w:pPr>
              <w:pStyle w:val="yTableNAm"/>
              <w:jc w:val="center"/>
            </w:pPr>
            <w:r>
              <w:t>79.32</w:t>
            </w:r>
          </w:p>
        </w:tc>
      </w:tr>
      <w:tr>
        <w:trPr>
          <w:cantSplit/>
        </w:trPr>
        <w:tc>
          <w:tcPr>
            <w:tcW w:w="2173" w:type="dxa"/>
            <w:tcBorders>
              <w:bottom w:val="single" w:sz="4" w:space="0" w:color="auto"/>
            </w:tcBorders>
          </w:tcPr>
          <w:p>
            <w:pPr>
              <w:pStyle w:val="yTableNAm"/>
              <w:jc w:val="center"/>
            </w:pPr>
            <w:r>
              <w:t>4+</w:t>
            </w:r>
          </w:p>
        </w:tc>
        <w:tc>
          <w:tcPr>
            <w:tcW w:w="2173" w:type="dxa"/>
            <w:tcBorders>
              <w:bottom w:val="single" w:sz="4" w:space="0" w:color="auto"/>
            </w:tcBorders>
            <w:vAlign w:val="bottom"/>
          </w:tcPr>
          <w:p>
            <w:pPr>
              <w:pStyle w:val="yTableNAm"/>
              <w:jc w:val="center"/>
            </w:pPr>
            <w:r>
              <w:t>452.80</w:t>
            </w:r>
          </w:p>
        </w:tc>
        <w:tc>
          <w:tcPr>
            <w:tcW w:w="1087" w:type="dxa"/>
            <w:tcBorders>
              <w:bottom w:val="single" w:sz="4" w:space="0" w:color="auto"/>
            </w:tcBorders>
          </w:tcPr>
          <w:p>
            <w:pPr>
              <w:pStyle w:val="yTableNAm"/>
              <w:jc w:val="center"/>
            </w:pPr>
            <w:r>
              <w:t>80.98</w:t>
            </w:r>
          </w:p>
        </w:tc>
        <w:tc>
          <w:tcPr>
            <w:tcW w:w="1087" w:type="dxa"/>
            <w:tcBorders>
              <w:bottom w:val="single" w:sz="4" w:space="0" w:color="auto"/>
            </w:tcBorders>
          </w:tcPr>
          <w:p>
            <w:pPr>
              <w:pStyle w:val="yTableNAm"/>
              <w:jc w:val="center"/>
            </w:pPr>
            <w:r>
              <w:t>80.98</w:t>
            </w:r>
          </w:p>
        </w:tc>
      </w:tr>
    </w:tbl>
    <w:p>
      <w:pPr>
        <w:pStyle w:val="yMiscellaneousBody"/>
        <w:spacing w:before="0"/>
      </w:pPr>
    </w:p>
    <w:tbl>
      <w:tblPr>
        <w:tblW w:w="0" w:type="auto"/>
        <w:tblInd w:w="534" w:type="dxa"/>
        <w:tblLayout w:type="fixed"/>
        <w:tblLook w:val="0000" w:firstRow="0" w:lastRow="0" w:firstColumn="0" w:lastColumn="0" w:noHBand="0" w:noVBand="0"/>
      </w:tblPr>
      <w:tblGrid>
        <w:gridCol w:w="850"/>
        <w:gridCol w:w="4236"/>
        <w:gridCol w:w="1434"/>
      </w:tblGrid>
      <w:tr>
        <w:trPr>
          <w:cantSplit/>
        </w:trPr>
        <w:tc>
          <w:tcPr>
            <w:tcW w:w="850" w:type="dxa"/>
          </w:tcPr>
          <w:p>
            <w:pPr>
              <w:pStyle w:val="yTableNAm"/>
              <w:rPr>
                <w:b/>
              </w:rPr>
            </w:pPr>
            <w:r>
              <w:rPr>
                <w:b/>
              </w:rPr>
              <w:t>3.</w:t>
            </w:r>
          </w:p>
        </w:tc>
        <w:tc>
          <w:tcPr>
            <w:tcW w:w="4236" w:type="dxa"/>
          </w:tcPr>
          <w:p>
            <w:pPr>
              <w:pStyle w:val="yTableNAm"/>
              <w:tabs>
                <w:tab w:val="right" w:leader="dot" w:pos="4253"/>
              </w:tabs>
              <w:rPr>
                <w:b/>
              </w:rPr>
            </w:pPr>
            <w:r>
              <w:rPr>
                <w:b/>
              </w:rPr>
              <w:t>Strata</w:t>
            </w:r>
            <w:r>
              <w:rPr>
                <w:b/>
              </w:rPr>
              <w:noBreakHyphen/>
              <w:t>titled caravan bay</w:t>
            </w:r>
          </w:p>
        </w:tc>
        <w:tc>
          <w:tcPr>
            <w:tcW w:w="1434" w:type="dxa"/>
            <w:vAlign w:val="bottom"/>
          </w:tcPr>
          <w:p>
            <w:pPr>
              <w:pStyle w:val="yTableNAm"/>
              <w:tabs>
                <w:tab w:val="clear" w:pos="567"/>
                <w:tab w:val="left" w:pos="335"/>
                <w:tab w:val="right" w:leader="dot" w:pos="4253"/>
              </w:tabs>
              <w:rPr>
                <w:b/>
              </w:rPr>
            </w:pPr>
          </w:p>
        </w:tc>
      </w:tr>
      <w:tr>
        <w:trPr>
          <w:cantSplit/>
        </w:trPr>
        <w:tc>
          <w:tcPr>
            <w:tcW w:w="850" w:type="dxa"/>
          </w:tcPr>
          <w:p>
            <w:pPr>
              <w:pStyle w:val="yTableNAm"/>
            </w:pPr>
          </w:p>
        </w:tc>
        <w:tc>
          <w:tcPr>
            <w:tcW w:w="4236" w:type="dxa"/>
          </w:tcPr>
          <w:p>
            <w:pPr>
              <w:pStyle w:val="yTableNAm"/>
              <w:tabs>
                <w:tab w:val="right" w:leader="dot" w:pos="4253"/>
              </w:tabs>
              <w:rPr>
                <w:spacing w:val="-1"/>
              </w:rPr>
            </w:pPr>
            <w:r>
              <w:rPr>
                <w:spacing w:val="-1"/>
              </w:rPr>
              <w:t xml:space="preserve">In </w:t>
            </w:r>
            <w:r>
              <w:t>respect</w:t>
            </w:r>
            <w:r>
              <w:rPr>
                <w:spacing w:val="-1"/>
              </w:rPr>
              <w:t xml:space="preserve"> of each residential property being a single caravan bay that is a lot within the meaning of the </w:t>
            </w:r>
            <w:r>
              <w:rPr>
                <w:i/>
                <w:spacing w:val="-1"/>
              </w:rPr>
              <w:t>Strata Titles Act 1985</w:t>
            </w:r>
            <w:r>
              <w:rPr>
                <w:spacing w:val="-1"/>
              </w:rPr>
              <w:t xml:space="preserve"> </w:t>
            </w:r>
            <w:r>
              <w:rPr>
                <w:spacing w:val="-1"/>
              </w:rPr>
              <w:tab/>
            </w:r>
          </w:p>
        </w:tc>
        <w:tc>
          <w:tcPr>
            <w:tcW w:w="1434" w:type="dxa"/>
            <w:vAlign w:val="bottom"/>
          </w:tcPr>
          <w:p>
            <w:pPr>
              <w:pStyle w:val="yTableNAm"/>
              <w:tabs>
                <w:tab w:val="clear" w:pos="567"/>
                <w:tab w:val="left" w:pos="335"/>
                <w:tab w:val="right" w:leader="dot" w:pos="4253"/>
              </w:tabs>
              <w:rPr>
                <w:spacing w:val="-1"/>
              </w:rPr>
            </w:pPr>
            <w:r>
              <w:rPr>
                <w:spacing w:val="-1"/>
              </w:rPr>
              <w:t>$240.50</w:t>
            </w:r>
          </w:p>
        </w:tc>
      </w:tr>
      <w:tr>
        <w:trPr>
          <w:cantSplit/>
        </w:trPr>
        <w:tc>
          <w:tcPr>
            <w:tcW w:w="850" w:type="dxa"/>
          </w:tcPr>
          <w:p>
            <w:pPr>
              <w:pStyle w:val="yTableNAm"/>
              <w:keepNext/>
              <w:keepLines/>
              <w:rPr>
                <w:b/>
                <w:bCs/>
              </w:rPr>
            </w:pPr>
            <w:r>
              <w:rPr>
                <w:b/>
                <w:bCs/>
              </w:rPr>
              <w:t>4.</w:t>
            </w:r>
          </w:p>
        </w:tc>
        <w:tc>
          <w:tcPr>
            <w:tcW w:w="4236" w:type="dxa"/>
          </w:tcPr>
          <w:p>
            <w:pPr>
              <w:pStyle w:val="yTableNAm"/>
              <w:keepNext/>
              <w:keepLines/>
              <w:tabs>
                <w:tab w:val="right" w:leader="dot" w:pos="4253"/>
              </w:tabs>
              <w:rPr>
                <w:b/>
                <w:bCs/>
              </w:rPr>
            </w:pPr>
            <w:r>
              <w:rPr>
                <w:b/>
                <w:bCs/>
              </w:rPr>
              <w:t>Strata</w:t>
            </w:r>
            <w:r>
              <w:rPr>
                <w:b/>
                <w:bCs/>
              </w:rPr>
              <w:noBreakHyphen/>
              <w:t>titled storage unit and strata</w:t>
            </w:r>
            <w:r>
              <w:rPr>
                <w:b/>
                <w:bCs/>
              </w:rPr>
              <w:noBreakHyphen/>
              <w:t>titled parking bay</w:t>
            </w:r>
          </w:p>
        </w:tc>
        <w:tc>
          <w:tcPr>
            <w:tcW w:w="1434" w:type="dxa"/>
            <w:vAlign w:val="bottom"/>
          </w:tcPr>
          <w:p>
            <w:pPr>
              <w:pStyle w:val="yTableNAm"/>
              <w:keepNext/>
              <w:keepLines/>
              <w:tabs>
                <w:tab w:val="clear" w:pos="567"/>
                <w:tab w:val="left" w:pos="335"/>
                <w:tab w:val="right" w:leader="dot" w:pos="4253"/>
              </w:tabs>
              <w:rPr>
                <w:b/>
                <w:bCs/>
              </w:rPr>
            </w:pPr>
          </w:p>
        </w:tc>
      </w:tr>
      <w:tr>
        <w:trPr>
          <w:cantSplit/>
        </w:trPr>
        <w:tc>
          <w:tcPr>
            <w:tcW w:w="850" w:type="dxa"/>
          </w:tcPr>
          <w:p>
            <w:pPr>
              <w:pStyle w:val="yTableNAm"/>
              <w:keepNext/>
              <w:keepLines/>
            </w:pPr>
          </w:p>
        </w:tc>
        <w:tc>
          <w:tcPr>
            <w:tcW w:w="4236" w:type="dxa"/>
          </w:tcPr>
          <w:p>
            <w:pPr>
              <w:pStyle w:val="yTableNAm"/>
              <w:keepNext/>
              <w:keepLines/>
              <w:tabs>
                <w:tab w:val="right" w:leader="dot" w:pos="4253"/>
              </w:tabs>
              <w:rPr>
                <w:spacing w:val="-1"/>
              </w:rPr>
            </w:pPr>
            <w:r>
              <w:rPr>
                <w:spacing w:val="-1"/>
              </w:rPr>
              <w:t xml:space="preserve">In respect of land comprised in a unit used for storage purposes or as a parking bay that is a lot within the meaning of the </w:t>
            </w:r>
            <w:r>
              <w:rPr>
                <w:i/>
                <w:spacing w:val="-1"/>
              </w:rPr>
              <w:t>Strata Titles Act 1985</w:t>
            </w:r>
            <w:r>
              <w:rPr>
                <w:spacing w:val="-1"/>
              </w:rPr>
              <w:t xml:space="preserve"> </w:t>
            </w:r>
            <w:r>
              <w:rPr>
                <w:spacing w:val="-1"/>
              </w:rPr>
              <w:tab/>
            </w:r>
          </w:p>
        </w:tc>
        <w:tc>
          <w:tcPr>
            <w:tcW w:w="1434" w:type="dxa"/>
            <w:vAlign w:val="bottom"/>
          </w:tcPr>
          <w:p>
            <w:pPr>
              <w:pStyle w:val="yTableNAm"/>
              <w:keepNext/>
              <w:keepLines/>
              <w:tabs>
                <w:tab w:val="clear" w:pos="567"/>
                <w:tab w:val="left" w:pos="335"/>
                <w:tab w:val="right" w:leader="dot" w:pos="4253"/>
              </w:tabs>
              <w:rPr>
                <w:spacing w:val="-1"/>
              </w:rPr>
            </w:pPr>
            <w:r>
              <w:rPr>
                <w:spacing w:val="-1"/>
              </w:rPr>
              <w:t>$72.20</w:t>
            </w:r>
          </w:p>
        </w:tc>
      </w:tr>
      <w:tr>
        <w:trPr>
          <w:cantSplit/>
        </w:trPr>
        <w:tc>
          <w:tcPr>
            <w:tcW w:w="850" w:type="dxa"/>
          </w:tcPr>
          <w:p>
            <w:pPr>
              <w:pStyle w:val="yTableNAm"/>
              <w:rPr>
                <w:b/>
                <w:bCs/>
              </w:rPr>
            </w:pPr>
            <w:r>
              <w:rPr>
                <w:b/>
              </w:rPr>
              <w:t>5</w:t>
            </w:r>
            <w:r>
              <w:rPr>
                <w:b/>
                <w:bCs/>
              </w:rPr>
              <w:t>.</w:t>
            </w:r>
          </w:p>
        </w:tc>
        <w:tc>
          <w:tcPr>
            <w:tcW w:w="5670" w:type="dxa"/>
            <w:gridSpan w:val="2"/>
          </w:tcPr>
          <w:p>
            <w:pPr>
              <w:pStyle w:val="yTableNAm"/>
              <w:tabs>
                <w:tab w:val="right" w:leader="dot" w:pos="4253"/>
              </w:tabs>
              <w:rPr>
                <w:b/>
                <w:bCs/>
              </w:rPr>
            </w:pPr>
            <w:r>
              <w:rPr>
                <w:b/>
                <w:bCs/>
              </w:rPr>
              <w:t>Non</w:t>
            </w:r>
            <w:r>
              <w:rPr>
                <w:b/>
                <w:bCs/>
              </w:rPr>
              <w:noBreakHyphen/>
              <w:t>residential strata</w:t>
            </w:r>
            <w:r>
              <w:rPr>
                <w:b/>
                <w:bCs/>
              </w:rPr>
              <w:noBreakHyphen/>
              <w:t>titled unit (except a storage unit or parking bay)</w:t>
            </w:r>
          </w:p>
        </w:tc>
      </w:tr>
      <w:tr>
        <w:trPr>
          <w:cantSplit/>
        </w:trPr>
        <w:tc>
          <w:tcPr>
            <w:tcW w:w="850" w:type="dxa"/>
          </w:tcPr>
          <w:p>
            <w:pPr>
              <w:pStyle w:val="yTableNAm"/>
            </w:pPr>
          </w:p>
        </w:tc>
        <w:tc>
          <w:tcPr>
            <w:tcW w:w="4236" w:type="dxa"/>
          </w:tcPr>
          <w:p>
            <w:pPr>
              <w:pStyle w:val="yTableNAm"/>
              <w:tabs>
                <w:tab w:val="right" w:leader="dot" w:pos="4253"/>
              </w:tabs>
              <w:rPr>
                <w:spacing w:val="-1"/>
              </w:rPr>
            </w:pPr>
            <w:r>
              <w:t>In respect of land that —</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pPr>
          </w:p>
        </w:tc>
        <w:tc>
          <w:tcPr>
            <w:tcW w:w="4236" w:type="dxa"/>
          </w:tcPr>
          <w:p>
            <w:pPr>
              <w:pStyle w:val="yTableNAm"/>
              <w:tabs>
                <w:tab w:val="clear" w:pos="567"/>
                <w:tab w:val="left" w:pos="351"/>
                <w:tab w:val="left" w:pos="918"/>
                <w:tab w:val="right" w:leader="dot" w:pos="4253"/>
              </w:tabs>
              <w:ind w:left="918" w:hanging="918"/>
              <w:rPr>
                <w:spacing w:val="-1"/>
              </w:rPr>
            </w:pPr>
            <w:r>
              <w:tab/>
              <w:t>(a)</w:t>
            </w:r>
            <w:r>
              <w:tab/>
              <w:t>is classified non</w:t>
            </w:r>
            <w:r>
              <w:noBreakHyphen/>
              <w:t>residential; and</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pPr>
          </w:p>
        </w:tc>
        <w:tc>
          <w:tcPr>
            <w:tcW w:w="4236" w:type="dxa"/>
          </w:tcPr>
          <w:p>
            <w:pPr>
              <w:pStyle w:val="yTableNAm"/>
              <w:tabs>
                <w:tab w:val="clear" w:pos="567"/>
                <w:tab w:val="left" w:pos="351"/>
                <w:tab w:val="left" w:pos="918"/>
                <w:tab w:val="right" w:leader="dot" w:pos="4253"/>
              </w:tabs>
              <w:ind w:left="918" w:hanging="918"/>
              <w:rPr>
                <w:spacing w:val="-1"/>
              </w:rPr>
            </w:pPr>
            <w:r>
              <w:tab/>
              <w:t>(b)</w:t>
            </w:r>
            <w:r>
              <w:tab/>
              <w:t xml:space="preserve">comprises a unit that is a lot within the meaning of the </w:t>
            </w:r>
            <w:r>
              <w:rPr>
                <w:i/>
              </w:rPr>
              <w:t>Strata Titles Act 1985</w:t>
            </w:r>
            <w:r>
              <w:t>; and</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pPr>
          </w:p>
        </w:tc>
        <w:tc>
          <w:tcPr>
            <w:tcW w:w="4236" w:type="dxa"/>
          </w:tcPr>
          <w:p>
            <w:pPr>
              <w:pStyle w:val="yTableNAm"/>
              <w:tabs>
                <w:tab w:val="clear" w:pos="567"/>
                <w:tab w:val="left" w:pos="351"/>
                <w:tab w:val="left" w:pos="918"/>
                <w:tab w:val="right" w:leader="dot" w:pos="4253"/>
              </w:tabs>
              <w:ind w:left="918" w:hanging="918"/>
            </w:pPr>
            <w:r>
              <w:tab/>
              <w:t>(c)</w:t>
            </w:r>
            <w:r>
              <w:tab/>
              <w:t>shares a major fixture with another unit described in paragraph (b) and has no other major fixtures that discharge into the sewer; and</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pPr>
          </w:p>
        </w:tc>
        <w:tc>
          <w:tcPr>
            <w:tcW w:w="4236" w:type="dxa"/>
          </w:tcPr>
          <w:p>
            <w:pPr>
              <w:pStyle w:val="yTableNAm"/>
              <w:tabs>
                <w:tab w:val="clear" w:pos="567"/>
                <w:tab w:val="left" w:pos="351"/>
                <w:tab w:val="left" w:pos="918"/>
                <w:tab w:val="right" w:leader="dot" w:pos="4253"/>
              </w:tabs>
              <w:ind w:left="918" w:hanging="918"/>
            </w:pPr>
            <w:r>
              <w:tab/>
              <w:t>(d)</w:t>
            </w:r>
            <w:r>
              <w:tab/>
              <w:t>is not land mentioned in item 4,</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pPr>
          </w:p>
        </w:tc>
        <w:tc>
          <w:tcPr>
            <w:tcW w:w="4236" w:type="dxa"/>
          </w:tcPr>
          <w:p>
            <w:pPr>
              <w:pStyle w:val="yTableNAm"/>
              <w:tabs>
                <w:tab w:val="right" w:leader="dot" w:pos="4253"/>
              </w:tabs>
              <w:rPr>
                <w:spacing w:val="-1"/>
              </w:rPr>
            </w:pPr>
            <w:r>
              <w:rPr>
                <w:spacing w:val="-1"/>
              </w:rPr>
              <w:t xml:space="preserve">and </w:t>
            </w:r>
            <w:r>
              <w:t xml:space="preserve">where </w:t>
            </w:r>
            <w:r>
              <w:rPr>
                <w:spacing w:val="-1"/>
              </w:rPr>
              <w:t xml:space="preserve">the total number of major fixtures shared by all the units on the relevant strata plan is less than the number of those units </w:t>
            </w:r>
            <w:r>
              <w:rPr>
                <w:spacing w:val="-1"/>
              </w:rPr>
              <w:tab/>
            </w:r>
          </w:p>
        </w:tc>
        <w:tc>
          <w:tcPr>
            <w:tcW w:w="1434" w:type="dxa"/>
            <w:vAlign w:val="bottom"/>
          </w:tcPr>
          <w:p>
            <w:pPr>
              <w:pStyle w:val="yTableNAm"/>
              <w:tabs>
                <w:tab w:val="clear" w:pos="567"/>
                <w:tab w:val="left" w:pos="335"/>
                <w:tab w:val="right" w:leader="dot" w:pos="4253"/>
              </w:tabs>
              <w:rPr>
                <w:spacing w:val="-1"/>
              </w:rPr>
            </w:pPr>
            <w:r>
              <w:rPr>
                <w:spacing w:val="-1"/>
              </w:rPr>
              <w:t>$452.80</w:t>
            </w:r>
          </w:p>
        </w:tc>
      </w:tr>
      <w:tr>
        <w:trPr>
          <w:cantSplit/>
        </w:trPr>
        <w:tc>
          <w:tcPr>
            <w:tcW w:w="850" w:type="dxa"/>
          </w:tcPr>
          <w:p>
            <w:pPr>
              <w:pStyle w:val="yTableNAm"/>
              <w:rPr>
                <w:b/>
              </w:rPr>
            </w:pPr>
            <w:r>
              <w:rPr>
                <w:b/>
              </w:rPr>
              <w:t>6.</w:t>
            </w:r>
          </w:p>
        </w:tc>
        <w:tc>
          <w:tcPr>
            <w:tcW w:w="5670" w:type="dxa"/>
            <w:gridSpan w:val="2"/>
          </w:tcPr>
          <w:p>
            <w:pPr>
              <w:pStyle w:val="yTableNAm"/>
              <w:tabs>
                <w:tab w:val="right" w:leader="dot" w:pos="4253"/>
              </w:tabs>
              <w:rPr>
                <w:b/>
              </w:rPr>
            </w:pPr>
            <w:r>
              <w:rPr>
                <w:b/>
              </w:rPr>
              <w:t>Land from which industrial waste is discharged into a sewer of the Corporation</w:t>
            </w:r>
          </w:p>
        </w:tc>
      </w:tr>
      <w:tr>
        <w:trPr>
          <w:cantSplit/>
        </w:trPr>
        <w:tc>
          <w:tcPr>
            <w:tcW w:w="850" w:type="dxa"/>
          </w:tcPr>
          <w:p>
            <w:pPr>
              <w:pStyle w:val="yTableNAm"/>
            </w:pPr>
          </w:p>
        </w:tc>
        <w:tc>
          <w:tcPr>
            <w:tcW w:w="4236" w:type="dxa"/>
          </w:tcPr>
          <w:p>
            <w:pPr>
              <w:pStyle w:val="yTableNAm"/>
              <w:tabs>
                <w:tab w:val="right" w:leader="dot" w:pos="4253"/>
              </w:tabs>
            </w:pPr>
            <w:r>
              <w:t xml:space="preserve">Discharge pursuant to permit </w:t>
            </w:r>
            <w:r>
              <w:tab/>
            </w:r>
          </w:p>
        </w:tc>
        <w:tc>
          <w:tcPr>
            <w:tcW w:w="1434" w:type="dxa"/>
            <w:vAlign w:val="bottom"/>
          </w:tcPr>
          <w:p>
            <w:pPr>
              <w:pStyle w:val="yTableNAm"/>
              <w:tabs>
                <w:tab w:val="clear" w:pos="567"/>
                <w:tab w:val="left" w:pos="335"/>
                <w:tab w:val="right" w:leader="dot" w:pos="4253"/>
              </w:tabs>
            </w:pPr>
            <w:r>
              <w:t>$213.10</w:t>
            </w:r>
          </w:p>
        </w:tc>
      </w:tr>
      <w:tr>
        <w:trPr>
          <w:cantSplit/>
        </w:trPr>
        <w:tc>
          <w:tcPr>
            <w:tcW w:w="850" w:type="dxa"/>
          </w:tcPr>
          <w:p>
            <w:pPr>
              <w:pStyle w:val="yTableNAm"/>
              <w:rPr>
                <w:b/>
              </w:rPr>
            </w:pPr>
            <w:r>
              <w:rPr>
                <w:b/>
              </w:rPr>
              <w:t>7.</w:t>
            </w:r>
          </w:p>
        </w:tc>
        <w:tc>
          <w:tcPr>
            <w:tcW w:w="5670" w:type="dxa"/>
            <w:gridSpan w:val="2"/>
          </w:tcPr>
          <w:p>
            <w:pPr>
              <w:pStyle w:val="yTableNAm"/>
              <w:tabs>
                <w:tab w:val="right" w:leader="dot" w:pos="4253"/>
              </w:tabs>
              <w:rPr>
                <w:b/>
              </w:rPr>
            </w:pPr>
            <w:r>
              <w:rPr>
                <w:b/>
              </w:rPr>
              <w:t>Land from which industrial waste is discharged into a sewer of the Corporation through grease arrestor</w:t>
            </w:r>
          </w:p>
        </w:tc>
      </w:tr>
      <w:tr>
        <w:trPr>
          <w:cantSplit/>
        </w:trPr>
        <w:tc>
          <w:tcPr>
            <w:tcW w:w="850" w:type="dxa"/>
          </w:tcPr>
          <w:p>
            <w:pPr>
              <w:pStyle w:val="yTableNAm"/>
              <w:rPr>
                <w:rStyle w:val="CharSClsNo"/>
              </w:rPr>
            </w:pPr>
          </w:p>
        </w:tc>
        <w:tc>
          <w:tcPr>
            <w:tcW w:w="4236" w:type="dxa"/>
          </w:tcPr>
          <w:p>
            <w:pPr>
              <w:pStyle w:val="yTableNAm"/>
              <w:tabs>
                <w:tab w:val="right" w:leader="dot" w:pos="4253"/>
              </w:tabs>
              <w:rPr>
                <w:spacing w:val="-1"/>
              </w:rPr>
            </w:pPr>
            <w:r>
              <w:t>In respect of land the subject of a permit under which industrial waste is discharged into a sewer of the Corporation through one or more grease arrestors, in addition to any other charge applicable to the land under this Schedule —</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rPr>
                <w:rStyle w:val="CharSClsNo"/>
              </w:rPr>
            </w:pPr>
          </w:p>
        </w:tc>
        <w:tc>
          <w:tcPr>
            <w:tcW w:w="4236" w:type="dxa"/>
          </w:tcPr>
          <w:p>
            <w:pPr>
              <w:pStyle w:val="yTableNAm"/>
              <w:tabs>
                <w:tab w:val="clear" w:pos="567"/>
                <w:tab w:val="left" w:pos="351"/>
                <w:tab w:val="left" w:pos="918"/>
                <w:tab w:val="right" w:leader="dot" w:pos="4253"/>
              </w:tabs>
              <w:ind w:left="918" w:hanging="918"/>
            </w:pPr>
            <w:r>
              <w:tab/>
              <w:t>(a)</w:t>
            </w:r>
            <w:r>
              <w:tab/>
              <w:t xml:space="preserve">in respect of each grease arrestor, not being a grease arrestor that is shared with other land the subject of a permit, a charge of </w:t>
            </w:r>
            <w:r>
              <w:tab/>
            </w:r>
          </w:p>
        </w:tc>
        <w:tc>
          <w:tcPr>
            <w:tcW w:w="1434" w:type="dxa"/>
            <w:vAlign w:val="bottom"/>
          </w:tcPr>
          <w:p>
            <w:pPr>
              <w:pStyle w:val="yTableNAm"/>
              <w:tabs>
                <w:tab w:val="clear" w:pos="567"/>
                <w:tab w:val="left" w:pos="335"/>
                <w:tab w:val="right" w:leader="dot" w:pos="4253"/>
              </w:tabs>
              <w:rPr>
                <w:spacing w:val="-1"/>
              </w:rPr>
            </w:pPr>
            <w:r>
              <w:rPr>
                <w:spacing w:val="-1"/>
              </w:rPr>
              <w:t>$93.65</w:t>
            </w:r>
          </w:p>
        </w:tc>
      </w:tr>
      <w:tr>
        <w:trPr>
          <w:cantSplit/>
        </w:trPr>
        <w:tc>
          <w:tcPr>
            <w:tcW w:w="850" w:type="dxa"/>
          </w:tcPr>
          <w:p>
            <w:pPr>
              <w:pStyle w:val="yTableNAm"/>
              <w:rPr>
                <w:rStyle w:val="CharSClsNo"/>
              </w:rPr>
            </w:pPr>
          </w:p>
        </w:tc>
        <w:tc>
          <w:tcPr>
            <w:tcW w:w="4236" w:type="dxa"/>
          </w:tcPr>
          <w:p>
            <w:pPr>
              <w:pStyle w:val="yTableNAm"/>
              <w:tabs>
                <w:tab w:val="clear" w:pos="567"/>
                <w:tab w:val="left" w:pos="351"/>
                <w:tab w:val="left" w:pos="918"/>
                <w:tab w:val="right" w:leader="dot" w:pos="4253"/>
              </w:tabs>
              <w:ind w:left="918" w:hanging="918"/>
            </w:pPr>
            <w:r>
              <w:tab/>
              <w:t>(b)</w:t>
            </w:r>
            <w:r>
              <w:tab/>
              <w:t xml:space="preserve">in respect of each grease arrestor that is shared with other land the subject of a permit, a charge of </w:t>
            </w:r>
            <w:r>
              <w:tab/>
            </w:r>
          </w:p>
        </w:tc>
        <w:tc>
          <w:tcPr>
            <w:tcW w:w="1434" w:type="dxa"/>
            <w:vAlign w:val="bottom"/>
          </w:tcPr>
          <w:p>
            <w:pPr>
              <w:pStyle w:val="yTableNAm"/>
              <w:tabs>
                <w:tab w:val="clear" w:pos="567"/>
                <w:tab w:val="left" w:pos="335"/>
                <w:tab w:val="right" w:leader="dot" w:pos="4253"/>
              </w:tabs>
            </w:pPr>
            <w:r>
              <w:t>$51.15</w:t>
            </w:r>
          </w:p>
        </w:tc>
      </w:tr>
    </w:tbl>
    <w:p>
      <w:pPr>
        <w:pStyle w:val="yFootnotesection"/>
      </w:pPr>
      <w:r>
        <w:tab/>
        <w:t>[Division 1 inserted in Gazette 20 Jun 2012 p. 2722</w:t>
      </w:r>
      <w:r>
        <w:noBreakHyphen/>
        <w:t>4.]</w:t>
      </w:r>
    </w:p>
    <w:p>
      <w:pPr>
        <w:pStyle w:val="yHeading3"/>
      </w:pPr>
      <w:bookmarkStart w:id="675" w:name="_Toc328403440"/>
      <w:bookmarkStart w:id="676" w:name="_Toc328471489"/>
      <w:r>
        <w:rPr>
          <w:rStyle w:val="CharSDivNo"/>
        </w:rPr>
        <w:t>Division 2</w:t>
      </w:r>
      <w:r>
        <w:t> — </w:t>
      </w:r>
      <w:r>
        <w:rPr>
          <w:rStyle w:val="CharSDivText"/>
        </w:rPr>
        <w:t>Variable charges and charges by way of a rate</w:t>
      </w:r>
      <w:bookmarkEnd w:id="675"/>
      <w:bookmarkEnd w:id="676"/>
    </w:p>
    <w:p>
      <w:pPr>
        <w:pStyle w:val="yFootnoteheading"/>
        <w:spacing w:after="60"/>
      </w:pPr>
      <w:r>
        <w:tab/>
        <w:t>[Heading inserted in Gazette 20 Jun 2012 p. 2725.]</w:t>
      </w:r>
    </w:p>
    <w:tbl>
      <w:tblPr>
        <w:tblW w:w="0" w:type="auto"/>
        <w:tblInd w:w="534" w:type="dxa"/>
        <w:tblLook w:val="0000" w:firstRow="0" w:lastRow="0" w:firstColumn="0" w:lastColumn="0" w:noHBand="0" w:noVBand="0"/>
      </w:tblPr>
      <w:tblGrid>
        <w:gridCol w:w="850"/>
        <w:gridCol w:w="4236"/>
        <w:gridCol w:w="1434"/>
      </w:tblGrid>
      <w:tr>
        <w:trPr>
          <w:cantSplit/>
        </w:trPr>
        <w:tc>
          <w:tcPr>
            <w:tcW w:w="850" w:type="dxa"/>
          </w:tcPr>
          <w:p>
            <w:pPr>
              <w:pStyle w:val="yTableNAm"/>
              <w:tabs>
                <w:tab w:val="right" w:leader="dot" w:pos="4253"/>
              </w:tabs>
              <w:rPr>
                <w:b/>
              </w:rPr>
            </w:pPr>
            <w:r>
              <w:rPr>
                <w:b/>
              </w:rPr>
              <w:t>8.</w:t>
            </w:r>
          </w:p>
        </w:tc>
        <w:tc>
          <w:tcPr>
            <w:tcW w:w="5670" w:type="dxa"/>
            <w:gridSpan w:val="2"/>
          </w:tcPr>
          <w:p>
            <w:pPr>
              <w:pStyle w:val="yTableNAm"/>
              <w:tabs>
                <w:tab w:val="right" w:leader="dot" w:pos="4253"/>
              </w:tabs>
              <w:rPr>
                <w:b/>
              </w:rPr>
            </w:pPr>
            <w:r>
              <w:rPr>
                <w:b/>
              </w:rPr>
              <w:t>Metropolitan residential</w:t>
            </w:r>
          </w:p>
        </w:tc>
      </w:tr>
      <w:tr>
        <w:trPr>
          <w:cantSplit/>
        </w:trPr>
        <w:tc>
          <w:tcPr>
            <w:tcW w:w="850" w:type="dxa"/>
          </w:tcPr>
          <w:p>
            <w:pPr>
              <w:pStyle w:val="yTableNAm"/>
              <w:rPr>
                <w:rStyle w:val="CharSClsNo"/>
              </w:rPr>
            </w:pPr>
          </w:p>
        </w:tc>
        <w:tc>
          <w:tcPr>
            <w:tcW w:w="4236" w:type="dxa"/>
          </w:tcPr>
          <w:p>
            <w:pPr>
              <w:pStyle w:val="yTableNAm"/>
              <w:tabs>
                <w:tab w:val="right" w:leader="dot" w:pos="4253"/>
              </w:tabs>
              <w:rPr>
                <w:spacing w:val="-1"/>
              </w:rPr>
            </w:pPr>
            <w:r>
              <w:t>In respect of each residential property in the metropolitan area not being —</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rPr>
                <w:rStyle w:val="CharSClsNo"/>
              </w:rPr>
            </w:pPr>
          </w:p>
        </w:tc>
        <w:tc>
          <w:tcPr>
            <w:tcW w:w="4236" w:type="dxa"/>
          </w:tcPr>
          <w:p>
            <w:pPr>
              <w:pStyle w:val="yTableNAm"/>
              <w:tabs>
                <w:tab w:val="clear" w:pos="567"/>
                <w:tab w:val="left" w:pos="351"/>
                <w:tab w:val="left" w:pos="918"/>
                <w:tab w:val="right" w:leader="dot" w:pos="4253"/>
              </w:tabs>
              <w:ind w:left="918" w:hanging="918"/>
            </w:pPr>
            <w:r>
              <w:tab/>
              <w:t>(a)</w:t>
            </w:r>
            <w:r>
              <w:tab/>
              <w:t>subject to a charge under item 1 or 3; or</w:t>
            </w:r>
          </w:p>
        </w:tc>
        <w:tc>
          <w:tcPr>
            <w:tcW w:w="1434" w:type="dxa"/>
            <w:vAlign w:val="bottom"/>
          </w:tcPr>
          <w:p>
            <w:pPr>
              <w:pStyle w:val="yTableNAm"/>
              <w:tabs>
                <w:tab w:val="clear" w:pos="567"/>
                <w:tab w:val="left" w:pos="335"/>
                <w:tab w:val="right" w:leader="dot" w:pos="4253"/>
              </w:tabs>
            </w:pPr>
          </w:p>
        </w:tc>
      </w:tr>
      <w:tr>
        <w:trPr>
          <w:cantSplit/>
        </w:trPr>
        <w:tc>
          <w:tcPr>
            <w:tcW w:w="850" w:type="dxa"/>
          </w:tcPr>
          <w:p>
            <w:pPr>
              <w:pStyle w:val="yTableNAm"/>
              <w:rPr>
                <w:rStyle w:val="CharSClsNo"/>
              </w:rPr>
            </w:pPr>
          </w:p>
        </w:tc>
        <w:tc>
          <w:tcPr>
            <w:tcW w:w="4236" w:type="dxa"/>
          </w:tcPr>
          <w:p>
            <w:pPr>
              <w:pStyle w:val="yTableNAm"/>
              <w:tabs>
                <w:tab w:val="clear" w:pos="567"/>
                <w:tab w:val="left" w:pos="351"/>
                <w:tab w:val="left" w:pos="918"/>
                <w:tab w:val="right" w:leader="dot" w:pos="4253"/>
              </w:tabs>
              <w:ind w:left="918" w:hanging="918"/>
            </w:pPr>
            <w:r>
              <w:tab/>
              <w:t>(b)</w:t>
            </w:r>
            <w:r>
              <w:tab/>
              <w:t>a caravan park or a nursing home,</w:t>
            </w:r>
          </w:p>
        </w:tc>
        <w:tc>
          <w:tcPr>
            <w:tcW w:w="1434" w:type="dxa"/>
            <w:vAlign w:val="bottom"/>
          </w:tcPr>
          <w:p>
            <w:pPr>
              <w:pStyle w:val="yTableNAm"/>
              <w:tabs>
                <w:tab w:val="clear" w:pos="567"/>
                <w:tab w:val="left" w:pos="335"/>
                <w:tab w:val="right" w:leader="dot" w:pos="4253"/>
              </w:tabs>
            </w:pPr>
          </w:p>
        </w:tc>
      </w:tr>
      <w:tr>
        <w:trPr>
          <w:cantSplit/>
        </w:trPr>
        <w:tc>
          <w:tcPr>
            <w:tcW w:w="850" w:type="dxa"/>
          </w:tcPr>
          <w:p>
            <w:pPr>
              <w:pStyle w:val="yTableNAm"/>
              <w:rPr>
                <w:rStyle w:val="CharSClsNo"/>
              </w:rPr>
            </w:pPr>
          </w:p>
        </w:tc>
        <w:tc>
          <w:tcPr>
            <w:tcW w:w="4236" w:type="dxa"/>
          </w:tcPr>
          <w:p>
            <w:pPr>
              <w:pStyle w:val="yTableNAm"/>
              <w:tabs>
                <w:tab w:val="right" w:leader="dot" w:pos="4253"/>
              </w:tabs>
            </w:pPr>
            <w:r>
              <w:t>an amount for each dollar of the GRV —</w:t>
            </w:r>
          </w:p>
        </w:tc>
        <w:tc>
          <w:tcPr>
            <w:tcW w:w="1434" w:type="dxa"/>
            <w:vAlign w:val="bottom"/>
          </w:tcPr>
          <w:p>
            <w:pPr>
              <w:pStyle w:val="yTableNAm"/>
              <w:tabs>
                <w:tab w:val="clear" w:pos="567"/>
                <w:tab w:val="left" w:pos="335"/>
                <w:tab w:val="right" w:leader="dot" w:pos="4253"/>
              </w:tabs>
            </w:pPr>
          </w:p>
        </w:tc>
      </w:tr>
      <w:tr>
        <w:trPr>
          <w:cantSplit/>
        </w:trPr>
        <w:tc>
          <w:tcPr>
            <w:tcW w:w="850" w:type="dxa"/>
          </w:tcPr>
          <w:p>
            <w:pPr>
              <w:pStyle w:val="yTableNAm"/>
              <w:rPr>
                <w:rStyle w:val="CharSClsNo"/>
              </w:rPr>
            </w:pPr>
          </w:p>
        </w:tc>
        <w:tc>
          <w:tcPr>
            <w:tcW w:w="4236" w:type="dxa"/>
          </w:tcPr>
          <w:p>
            <w:pPr>
              <w:pStyle w:val="yTableNAm"/>
              <w:tabs>
                <w:tab w:val="clear" w:pos="567"/>
                <w:tab w:val="left" w:pos="351"/>
                <w:tab w:val="left" w:pos="918"/>
                <w:tab w:val="right" w:leader="dot" w:pos="4253"/>
              </w:tabs>
              <w:ind w:left="918" w:hanging="918"/>
              <w:rPr>
                <w:spacing w:val="-1"/>
              </w:rPr>
            </w:pPr>
            <w:r>
              <w:tab/>
              <w:t>up</w:t>
            </w:r>
            <w:r>
              <w:rPr>
                <w:spacing w:val="-1"/>
              </w:rPr>
              <w:t xml:space="preserve"> to $16 700 </w:t>
            </w:r>
            <w:r>
              <w:rPr>
                <w:spacing w:val="-1"/>
              </w:rPr>
              <w:tab/>
            </w:r>
          </w:p>
        </w:tc>
        <w:tc>
          <w:tcPr>
            <w:tcW w:w="1434" w:type="dxa"/>
            <w:vAlign w:val="bottom"/>
          </w:tcPr>
          <w:p>
            <w:pPr>
              <w:pStyle w:val="yTableNAm"/>
              <w:tabs>
                <w:tab w:val="clear" w:pos="567"/>
                <w:tab w:val="left" w:pos="335"/>
                <w:tab w:val="right" w:leader="dot" w:pos="4253"/>
              </w:tabs>
              <w:rPr>
                <w:spacing w:val="-1"/>
              </w:rPr>
            </w:pPr>
            <w:r>
              <w:t>4.23 cents</w:t>
            </w:r>
            <w:r>
              <w:rPr>
                <w:spacing w:val="-1"/>
              </w:rPr>
              <w:t>/</w:t>
            </w:r>
            <w:r>
              <w:rPr>
                <w:spacing w:val="-1"/>
              </w:rPr>
              <w:br/>
              <w:t>$ of GRV</w:t>
            </w:r>
          </w:p>
        </w:tc>
      </w:tr>
      <w:tr>
        <w:trPr>
          <w:cantSplit/>
        </w:trPr>
        <w:tc>
          <w:tcPr>
            <w:tcW w:w="850" w:type="dxa"/>
          </w:tcPr>
          <w:p>
            <w:pPr>
              <w:pStyle w:val="yTableNAm"/>
              <w:rPr>
                <w:rStyle w:val="CharSClsNo"/>
              </w:rPr>
            </w:pPr>
          </w:p>
        </w:tc>
        <w:tc>
          <w:tcPr>
            <w:tcW w:w="4236" w:type="dxa"/>
          </w:tcPr>
          <w:p>
            <w:pPr>
              <w:pStyle w:val="yTableNAm"/>
              <w:tabs>
                <w:tab w:val="clear" w:pos="567"/>
                <w:tab w:val="left" w:pos="351"/>
                <w:tab w:val="left" w:pos="918"/>
                <w:tab w:val="right" w:leader="dot" w:pos="4253"/>
              </w:tabs>
              <w:ind w:left="918" w:hanging="918"/>
              <w:rPr>
                <w:spacing w:val="-1"/>
              </w:rPr>
            </w:pPr>
            <w:r>
              <w:tab/>
              <w:t>over</w:t>
            </w:r>
            <w:r>
              <w:rPr>
                <w:spacing w:val="-1"/>
              </w:rPr>
              <w:t xml:space="preserve"> $</w:t>
            </w:r>
            <w:r>
              <w:t>16</w:t>
            </w:r>
            <w:r>
              <w:rPr>
                <w:spacing w:val="-1"/>
              </w:rPr>
              <w:t xml:space="preserve"> 700 </w:t>
            </w:r>
            <w:r>
              <w:rPr>
                <w:spacing w:val="-1"/>
              </w:rPr>
              <w:tab/>
            </w:r>
          </w:p>
        </w:tc>
        <w:tc>
          <w:tcPr>
            <w:tcW w:w="1434" w:type="dxa"/>
            <w:vAlign w:val="bottom"/>
          </w:tcPr>
          <w:p>
            <w:pPr>
              <w:pStyle w:val="yTableNAm"/>
              <w:tabs>
                <w:tab w:val="clear" w:pos="567"/>
                <w:tab w:val="left" w:pos="335"/>
                <w:tab w:val="right" w:leader="dot" w:pos="4253"/>
              </w:tabs>
              <w:rPr>
                <w:spacing w:val="-1"/>
              </w:rPr>
            </w:pPr>
            <w:r>
              <w:rPr>
                <w:spacing w:val="-1"/>
              </w:rPr>
              <w:t>0.79 cents/</w:t>
            </w:r>
            <w:r>
              <w:rPr>
                <w:spacing w:val="-1"/>
              </w:rPr>
              <w:br/>
              <w:t>$ of GRV</w:t>
            </w:r>
          </w:p>
        </w:tc>
      </w:tr>
      <w:tr>
        <w:trPr>
          <w:cantSplit/>
        </w:trPr>
        <w:tc>
          <w:tcPr>
            <w:tcW w:w="850" w:type="dxa"/>
          </w:tcPr>
          <w:p>
            <w:pPr>
              <w:pStyle w:val="yTableNAm"/>
              <w:rPr>
                <w:rStyle w:val="CharSClsNo"/>
              </w:rPr>
            </w:pPr>
          </w:p>
        </w:tc>
        <w:tc>
          <w:tcPr>
            <w:tcW w:w="4236" w:type="dxa"/>
          </w:tcPr>
          <w:p>
            <w:pPr>
              <w:pStyle w:val="yTableNAm"/>
              <w:tabs>
                <w:tab w:val="right" w:leader="dot" w:pos="4253"/>
              </w:tabs>
              <w:rPr>
                <w:spacing w:val="-1"/>
              </w:rPr>
            </w:pPr>
            <w:r>
              <w:rPr>
                <w:spacing w:val="-1"/>
              </w:rPr>
              <w:t xml:space="preserve">Subject to a minimum of </w:t>
            </w:r>
            <w:r>
              <w:rPr>
                <w:spacing w:val="-1"/>
              </w:rPr>
              <w:tab/>
            </w:r>
          </w:p>
        </w:tc>
        <w:tc>
          <w:tcPr>
            <w:tcW w:w="1434" w:type="dxa"/>
            <w:vAlign w:val="bottom"/>
          </w:tcPr>
          <w:p>
            <w:pPr>
              <w:pStyle w:val="yTableNAm"/>
              <w:tabs>
                <w:tab w:val="clear" w:pos="567"/>
                <w:tab w:val="left" w:pos="335"/>
                <w:tab w:val="right" w:leader="dot" w:pos="4253"/>
              </w:tabs>
              <w:rPr>
                <w:spacing w:val="-1"/>
              </w:rPr>
            </w:pPr>
            <w:r>
              <w:rPr>
                <w:spacing w:val="-1"/>
              </w:rPr>
              <w:t>$313.20</w:t>
            </w:r>
          </w:p>
        </w:tc>
      </w:tr>
      <w:tr>
        <w:trPr>
          <w:cantSplit/>
        </w:trPr>
        <w:tc>
          <w:tcPr>
            <w:tcW w:w="850" w:type="dxa"/>
          </w:tcPr>
          <w:p>
            <w:pPr>
              <w:pStyle w:val="yTableNAm"/>
              <w:tabs>
                <w:tab w:val="right" w:leader="dot" w:pos="4253"/>
              </w:tabs>
              <w:rPr>
                <w:b/>
              </w:rPr>
            </w:pPr>
            <w:r>
              <w:rPr>
                <w:b/>
              </w:rPr>
              <w:t>9</w:t>
            </w:r>
            <w:r>
              <w:rPr>
                <w:b/>
                <w:bCs/>
              </w:rPr>
              <w:t>.</w:t>
            </w:r>
          </w:p>
        </w:tc>
        <w:tc>
          <w:tcPr>
            <w:tcW w:w="4236" w:type="dxa"/>
          </w:tcPr>
          <w:p>
            <w:pPr>
              <w:pStyle w:val="yTableNAm"/>
              <w:tabs>
                <w:tab w:val="right" w:leader="dot" w:pos="4253"/>
              </w:tabs>
              <w:rPr>
                <w:b/>
                <w:bCs/>
                <w:spacing w:val="-1"/>
              </w:rPr>
            </w:pPr>
            <w:r>
              <w:rPr>
                <w:b/>
                <w:bCs/>
              </w:rPr>
              <w:t>Metropolitan vacant land</w:t>
            </w:r>
          </w:p>
        </w:tc>
        <w:tc>
          <w:tcPr>
            <w:tcW w:w="1434" w:type="dxa"/>
            <w:vAlign w:val="bottom"/>
          </w:tcPr>
          <w:p>
            <w:pPr>
              <w:pStyle w:val="yTableNAm"/>
              <w:tabs>
                <w:tab w:val="clear" w:pos="567"/>
                <w:tab w:val="left" w:pos="335"/>
                <w:tab w:val="right" w:leader="dot" w:pos="4253"/>
              </w:tabs>
              <w:rPr>
                <w:b/>
                <w:bCs/>
                <w:spacing w:val="-1"/>
              </w:rPr>
            </w:pPr>
          </w:p>
        </w:tc>
      </w:tr>
      <w:tr>
        <w:trPr>
          <w:cantSplit/>
        </w:trPr>
        <w:tc>
          <w:tcPr>
            <w:tcW w:w="850" w:type="dxa"/>
          </w:tcPr>
          <w:p>
            <w:pPr>
              <w:pStyle w:val="yTableNAm"/>
              <w:rPr>
                <w:rStyle w:val="CharSClsNo"/>
              </w:rPr>
            </w:pPr>
          </w:p>
        </w:tc>
        <w:tc>
          <w:tcPr>
            <w:tcW w:w="4236" w:type="dxa"/>
          </w:tcPr>
          <w:p>
            <w:pPr>
              <w:pStyle w:val="yTableNAm"/>
              <w:tabs>
                <w:tab w:val="right" w:leader="dot" w:pos="4253"/>
              </w:tabs>
              <w:rPr>
                <w:spacing w:val="-1"/>
              </w:rPr>
            </w:pPr>
            <w:r>
              <w:t>In respect of vacant land in the metropolitan area not being —</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rPr>
                <w:rStyle w:val="CharSClsNo"/>
              </w:rPr>
            </w:pPr>
          </w:p>
        </w:tc>
        <w:tc>
          <w:tcPr>
            <w:tcW w:w="4236" w:type="dxa"/>
          </w:tcPr>
          <w:p>
            <w:pPr>
              <w:pStyle w:val="yTableNAm"/>
              <w:tabs>
                <w:tab w:val="clear" w:pos="567"/>
                <w:tab w:val="left" w:pos="351"/>
                <w:tab w:val="left" w:pos="918"/>
                <w:tab w:val="right" w:leader="dot" w:pos="4253"/>
              </w:tabs>
              <w:ind w:left="918" w:hanging="918"/>
              <w:rPr>
                <w:spacing w:val="-1"/>
              </w:rPr>
            </w:pPr>
            <w:r>
              <w:tab/>
              <w:t>(a)</w:t>
            </w:r>
            <w:r>
              <w:tab/>
              <w:t>land comprised in a residential property; or</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rPr>
                <w:rStyle w:val="CharSClsNo"/>
              </w:rPr>
            </w:pPr>
          </w:p>
        </w:tc>
        <w:tc>
          <w:tcPr>
            <w:tcW w:w="4236" w:type="dxa"/>
          </w:tcPr>
          <w:p>
            <w:pPr>
              <w:pStyle w:val="yTableNAm"/>
              <w:tabs>
                <w:tab w:val="clear" w:pos="567"/>
                <w:tab w:val="left" w:pos="351"/>
                <w:tab w:val="left" w:pos="918"/>
                <w:tab w:val="right" w:leader="dot" w:pos="4253"/>
              </w:tabs>
              <w:ind w:left="918" w:hanging="918"/>
              <w:rPr>
                <w:spacing w:val="-1"/>
              </w:rPr>
            </w:pPr>
            <w:r>
              <w:tab/>
              <w:t>(b)</w:t>
            </w:r>
            <w:r>
              <w:tab/>
              <w:t>a nursing home; or</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rPr>
                <w:rStyle w:val="CharSClsNo"/>
              </w:rPr>
            </w:pPr>
          </w:p>
        </w:tc>
        <w:tc>
          <w:tcPr>
            <w:tcW w:w="4236" w:type="dxa"/>
          </w:tcPr>
          <w:p>
            <w:pPr>
              <w:pStyle w:val="yTableNAm"/>
              <w:tabs>
                <w:tab w:val="clear" w:pos="567"/>
                <w:tab w:val="left" w:pos="351"/>
                <w:tab w:val="left" w:pos="918"/>
                <w:tab w:val="right" w:leader="dot" w:pos="4253"/>
              </w:tabs>
              <w:ind w:left="918" w:hanging="918"/>
              <w:rPr>
                <w:spacing w:val="-1"/>
              </w:rPr>
            </w:pPr>
            <w:r>
              <w:tab/>
              <w:t>(c)</w:t>
            </w:r>
            <w:r>
              <w:tab/>
              <w:t>a caravan park; or</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rPr>
                <w:rStyle w:val="CharSClsNo"/>
              </w:rPr>
            </w:pPr>
          </w:p>
        </w:tc>
        <w:tc>
          <w:tcPr>
            <w:tcW w:w="4236" w:type="dxa"/>
          </w:tcPr>
          <w:p>
            <w:pPr>
              <w:pStyle w:val="yTableNAm"/>
              <w:tabs>
                <w:tab w:val="clear" w:pos="567"/>
                <w:tab w:val="left" w:pos="351"/>
                <w:tab w:val="left" w:pos="918"/>
                <w:tab w:val="right" w:leader="dot" w:pos="4253"/>
              </w:tabs>
              <w:ind w:left="918" w:hanging="918"/>
            </w:pPr>
            <w:r>
              <w:tab/>
              <w:t>(d)</w:t>
            </w:r>
            <w:r>
              <w:tab/>
              <w:t>land referred to in item 1 or 3,</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rPr>
                <w:rStyle w:val="CharSClsNo"/>
              </w:rPr>
            </w:pPr>
          </w:p>
        </w:tc>
        <w:tc>
          <w:tcPr>
            <w:tcW w:w="4236" w:type="dxa"/>
          </w:tcPr>
          <w:p>
            <w:pPr>
              <w:pStyle w:val="yTableNAm"/>
              <w:tabs>
                <w:tab w:val="right" w:leader="dot" w:pos="4253"/>
              </w:tabs>
              <w:rPr>
                <w:spacing w:val="-1"/>
              </w:rPr>
            </w:pPr>
            <w:r>
              <w:t xml:space="preserve">an amount of </w:t>
            </w:r>
            <w:r>
              <w:rPr>
                <w:spacing w:val="-1"/>
              </w:rPr>
              <w:tab/>
            </w:r>
          </w:p>
        </w:tc>
        <w:tc>
          <w:tcPr>
            <w:tcW w:w="1434" w:type="dxa"/>
            <w:vAlign w:val="bottom"/>
          </w:tcPr>
          <w:p>
            <w:pPr>
              <w:pStyle w:val="yTableNAm"/>
              <w:tabs>
                <w:tab w:val="clear" w:pos="567"/>
                <w:tab w:val="left" w:pos="335"/>
                <w:tab w:val="right" w:leader="dot" w:pos="4253"/>
              </w:tabs>
              <w:rPr>
                <w:spacing w:val="-1"/>
              </w:rPr>
            </w:pPr>
            <w:r>
              <w:t>2.700 cents/</w:t>
            </w:r>
            <w:r>
              <w:br/>
              <w:t>$ of GRV</w:t>
            </w:r>
          </w:p>
        </w:tc>
      </w:tr>
      <w:tr>
        <w:trPr>
          <w:cantSplit/>
        </w:trPr>
        <w:tc>
          <w:tcPr>
            <w:tcW w:w="850" w:type="dxa"/>
          </w:tcPr>
          <w:p>
            <w:pPr>
              <w:pStyle w:val="yTableNAm"/>
              <w:rPr>
                <w:rStyle w:val="CharSClsNo"/>
              </w:rPr>
            </w:pPr>
          </w:p>
        </w:tc>
        <w:tc>
          <w:tcPr>
            <w:tcW w:w="4236" w:type="dxa"/>
          </w:tcPr>
          <w:p>
            <w:pPr>
              <w:pStyle w:val="yTableNAm"/>
              <w:tabs>
                <w:tab w:val="right" w:leader="dot" w:pos="4253"/>
              </w:tabs>
              <w:rPr>
                <w:spacing w:val="-1"/>
              </w:rPr>
            </w:pPr>
            <w:r>
              <w:rPr>
                <w:spacing w:val="-1"/>
              </w:rPr>
              <w:t xml:space="preserve">subject to a </w:t>
            </w:r>
            <w:r>
              <w:t>minimum</w:t>
            </w:r>
            <w:r>
              <w:rPr>
                <w:spacing w:val="-1"/>
              </w:rPr>
              <w:t xml:space="preserve"> in respect of any vacant land the subject of a separate assessment of </w:t>
            </w:r>
            <w:r>
              <w:rPr>
                <w:spacing w:val="-1"/>
              </w:rPr>
              <w:tab/>
            </w:r>
          </w:p>
        </w:tc>
        <w:tc>
          <w:tcPr>
            <w:tcW w:w="1434" w:type="dxa"/>
            <w:vAlign w:val="bottom"/>
          </w:tcPr>
          <w:p>
            <w:pPr>
              <w:pStyle w:val="yTableNAm"/>
              <w:tabs>
                <w:tab w:val="clear" w:pos="567"/>
                <w:tab w:val="left" w:pos="335"/>
                <w:tab w:val="right" w:leader="dot" w:pos="4253"/>
              </w:tabs>
              <w:rPr>
                <w:spacing w:val="-1"/>
              </w:rPr>
            </w:pPr>
            <w:r>
              <w:rPr>
                <w:spacing w:val="-1"/>
              </w:rPr>
              <w:t>$235.50</w:t>
            </w:r>
          </w:p>
        </w:tc>
      </w:tr>
      <w:tr>
        <w:trPr>
          <w:cantSplit/>
        </w:trPr>
        <w:tc>
          <w:tcPr>
            <w:tcW w:w="850" w:type="dxa"/>
          </w:tcPr>
          <w:p>
            <w:pPr>
              <w:pStyle w:val="yTableNAm"/>
              <w:tabs>
                <w:tab w:val="right" w:leader="dot" w:pos="4253"/>
              </w:tabs>
              <w:rPr>
                <w:b/>
                <w:bCs/>
              </w:rPr>
            </w:pPr>
            <w:r>
              <w:rPr>
                <w:b/>
                <w:bCs/>
              </w:rPr>
              <w:t>10.</w:t>
            </w:r>
          </w:p>
        </w:tc>
        <w:tc>
          <w:tcPr>
            <w:tcW w:w="4236" w:type="dxa"/>
          </w:tcPr>
          <w:p>
            <w:pPr>
              <w:pStyle w:val="yTableNAm"/>
              <w:keepNext/>
              <w:keepLines/>
              <w:tabs>
                <w:tab w:val="right" w:leader="dot" w:pos="4253"/>
              </w:tabs>
              <w:rPr>
                <w:b/>
                <w:bCs/>
              </w:rPr>
            </w:pPr>
            <w:r>
              <w:rPr>
                <w:b/>
                <w:bCs/>
              </w:rPr>
              <w:t>Country</w:t>
            </w:r>
          </w:p>
        </w:tc>
        <w:tc>
          <w:tcPr>
            <w:tcW w:w="1434" w:type="dxa"/>
            <w:vAlign w:val="bottom"/>
          </w:tcPr>
          <w:p>
            <w:pPr>
              <w:pStyle w:val="yTableNAm"/>
              <w:tabs>
                <w:tab w:val="right" w:leader="dot" w:pos="4253"/>
              </w:tabs>
              <w:rPr>
                <w:bCs/>
              </w:rPr>
            </w:pPr>
          </w:p>
        </w:tc>
      </w:tr>
      <w:tr>
        <w:trPr>
          <w:cantSplit/>
        </w:trPr>
        <w:tc>
          <w:tcPr>
            <w:tcW w:w="850" w:type="dxa"/>
          </w:tcPr>
          <w:p>
            <w:pPr>
              <w:pStyle w:val="yTableNAm"/>
              <w:rPr>
                <w:rStyle w:val="CharSClsNo"/>
              </w:rPr>
            </w:pPr>
          </w:p>
        </w:tc>
        <w:tc>
          <w:tcPr>
            <w:tcW w:w="4236" w:type="dxa"/>
          </w:tcPr>
          <w:p>
            <w:pPr>
              <w:pStyle w:val="yTableNAm"/>
              <w:keepNext/>
              <w:keepLines/>
              <w:tabs>
                <w:tab w:val="right" w:leader="dot" w:pos="4253"/>
              </w:tabs>
            </w:pPr>
            <w:r>
              <w:t>In respect of land in a country sewerage area referred to in column 1 of the following Table, not being land referred to in Division 1 or 7 —</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rPr>
                <w:rStyle w:val="CharSClsNo"/>
              </w:rPr>
            </w:pPr>
          </w:p>
        </w:tc>
        <w:tc>
          <w:tcPr>
            <w:tcW w:w="4236" w:type="dxa"/>
          </w:tcPr>
          <w:p>
            <w:pPr>
              <w:pStyle w:val="yTableNAm"/>
              <w:tabs>
                <w:tab w:val="clear" w:pos="567"/>
                <w:tab w:val="left" w:pos="351"/>
                <w:tab w:val="left" w:pos="918"/>
                <w:tab w:val="right" w:leader="dot" w:pos="4253"/>
              </w:tabs>
              <w:ind w:left="918" w:hanging="918"/>
            </w:pPr>
            <w:r>
              <w:tab/>
              <w:t>(a)</w:t>
            </w:r>
            <w:r>
              <w:tab/>
              <w:t>where the land is classified as residential, an amount for each dollar of the GRV as set out in column 2 of the Table;</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rPr>
                <w:rStyle w:val="CharSClsNo"/>
              </w:rPr>
            </w:pPr>
          </w:p>
        </w:tc>
        <w:tc>
          <w:tcPr>
            <w:tcW w:w="4236" w:type="dxa"/>
          </w:tcPr>
          <w:p>
            <w:pPr>
              <w:pStyle w:val="yTableNAm"/>
              <w:tabs>
                <w:tab w:val="clear" w:pos="567"/>
                <w:tab w:val="left" w:pos="351"/>
                <w:tab w:val="left" w:pos="918"/>
                <w:tab w:val="right" w:leader="dot" w:pos="4253"/>
              </w:tabs>
              <w:ind w:left="918" w:hanging="918"/>
            </w:pPr>
            <w:r>
              <w:tab/>
              <w:t>(b)</w:t>
            </w:r>
            <w:r>
              <w:tab/>
              <w:t>where the land is not classified as residential, an amount for each dollar of the GRV as set out in column 3 of the Table,</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rPr>
                <w:rStyle w:val="CharSClsNo"/>
              </w:rPr>
            </w:pPr>
          </w:p>
        </w:tc>
        <w:tc>
          <w:tcPr>
            <w:tcW w:w="4236" w:type="dxa"/>
          </w:tcPr>
          <w:p>
            <w:pPr>
              <w:pStyle w:val="yTableNAm"/>
              <w:tabs>
                <w:tab w:val="right" w:leader="dot" w:pos="4253"/>
              </w:tabs>
            </w:pPr>
            <w:r>
              <w:t>subject to a minimum in respect of any land the subject of a separate assessment of —</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rPr>
                <w:rStyle w:val="CharSClsNo"/>
              </w:rPr>
            </w:pPr>
          </w:p>
        </w:tc>
        <w:tc>
          <w:tcPr>
            <w:tcW w:w="4236" w:type="dxa"/>
          </w:tcPr>
          <w:p>
            <w:pPr>
              <w:pStyle w:val="yTableNAm"/>
              <w:tabs>
                <w:tab w:val="clear" w:pos="567"/>
                <w:tab w:val="left" w:pos="351"/>
                <w:tab w:val="left" w:pos="918"/>
                <w:tab w:val="right" w:leader="dot" w:pos="4253"/>
              </w:tabs>
              <w:ind w:left="918" w:hanging="918"/>
            </w:pPr>
            <w:r>
              <w:tab/>
              <w:t>(c)</w:t>
            </w:r>
            <w:r>
              <w:tab/>
              <w:t xml:space="preserve">in the case of land classified as residential </w:t>
            </w:r>
            <w:r>
              <w:tab/>
            </w:r>
          </w:p>
        </w:tc>
        <w:tc>
          <w:tcPr>
            <w:tcW w:w="1434" w:type="dxa"/>
            <w:vAlign w:val="bottom"/>
          </w:tcPr>
          <w:p>
            <w:pPr>
              <w:pStyle w:val="yTableNAm"/>
              <w:tabs>
                <w:tab w:val="clear" w:pos="567"/>
                <w:tab w:val="left" w:pos="335"/>
                <w:tab w:val="right" w:leader="dot" w:pos="4253"/>
              </w:tabs>
            </w:pPr>
            <w:r>
              <w:t>$313.20</w:t>
            </w:r>
          </w:p>
        </w:tc>
      </w:tr>
      <w:tr>
        <w:trPr>
          <w:cantSplit/>
        </w:trPr>
        <w:tc>
          <w:tcPr>
            <w:tcW w:w="850" w:type="dxa"/>
          </w:tcPr>
          <w:p>
            <w:pPr>
              <w:pStyle w:val="yTableNAm"/>
              <w:rPr>
                <w:rStyle w:val="CharSClsNo"/>
              </w:rPr>
            </w:pPr>
          </w:p>
        </w:tc>
        <w:tc>
          <w:tcPr>
            <w:tcW w:w="4236" w:type="dxa"/>
          </w:tcPr>
          <w:p>
            <w:pPr>
              <w:pStyle w:val="yTableNAm"/>
              <w:tabs>
                <w:tab w:val="clear" w:pos="567"/>
                <w:tab w:val="left" w:pos="351"/>
                <w:tab w:val="left" w:pos="918"/>
                <w:tab w:val="right" w:leader="dot" w:pos="4253"/>
              </w:tabs>
              <w:ind w:left="918" w:hanging="918"/>
            </w:pPr>
            <w:r>
              <w:tab/>
              <w:t>(d)</w:t>
            </w:r>
            <w:r>
              <w:tab/>
              <w:t xml:space="preserve">in the case of land classified as vacant land </w:t>
            </w:r>
            <w:r>
              <w:tab/>
            </w:r>
          </w:p>
        </w:tc>
        <w:tc>
          <w:tcPr>
            <w:tcW w:w="1434" w:type="dxa"/>
            <w:vAlign w:val="bottom"/>
          </w:tcPr>
          <w:p>
            <w:pPr>
              <w:pStyle w:val="yTableNAm"/>
              <w:tabs>
                <w:tab w:val="clear" w:pos="567"/>
                <w:tab w:val="left" w:pos="335"/>
                <w:tab w:val="right" w:leader="dot" w:pos="4253"/>
              </w:tabs>
            </w:pPr>
            <w:r>
              <w:t>$206.10</w:t>
            </w:r>
          </w:p>
        </w:tc>
      </w:tr>
      <w:tr>
        <w:trPr>
          <w:cantSplit/>
        </w:trPr>
        <w:tc>
          <w:tcPr>
            <w:tcW w:w="850" w:type="dxa"/>
          </w:tcPr>
          <w:p>
            <w:pPr>
              <w:pStyle w:val="yTableNAm"/>
              <w:rPr>
                <w:rStyle w:val="CharSClsNo"/>
              </w:rPr>
            </w:pPr>
          </w:p>
        </w:tc>
        <w:tc>
          <w:tcPr>
            <w:tcW w:w="4236" w:type="dxa"/>
          </w:tcPr>
          <w:p>
            <w:pPr>
              <w:pStyle w:val="yTableNAm"/>
              <w:tabs>
                <w:tab w:val="clear" w:pos="567"/>
                <w:tab w:val="left" w:pos="351"/>
                <w:tab w:val="left" w:pos="918"/>
                <w:tab w:val="right" w:leader="dot" w:pos="4253"/>
              </w:tabs>
              <w:ind w:left="918" w:hanging="918"/>
            </w:pPr>
            <w:r>
              <w:tab/>
              <w:t>(e)</w:t>
            </w:r>
            <w:r>
              <w:tab/>
              <w:t xml:space="preserve">in the case of land not classified as residential or vacant land </w:t>
            </w:r>
            <w:r>
              <w:tab/>
            </w:r>
          </w:p>
        </w:tc>
        <w:tc>
          <w:tcPr>
            <w:tcW w:w="1434" w:type="dxa"/>
            <w:vAlign w:val="bottom"/>
          </w:tcPr>
          <w:p>
            <w:pPr>
              <w:pStyle w:val="yTableNAm"/>
              <w:tabs>
                <w:tab w:val="clear" w:pos="567"/>
                <w:tab w:val="left" w:pos="335"/>
                <w:tab w:val="right" w:leader="dot" w:pos="4253"/>
              </w:tabs>
            </w:pPr>
            <w:r>
              <w:t>$728.40</w:t>
            </w:r>
          </w:p>
        </w:tc>
      </w:tr>
      <w:tr>
        <w:trPr>
          <w:cantSplit/>
        </w:trPr>
        <w:tc>
          <w:tcPr>
            <w:tcW w:w="850" w:type="dxa"/>
          </w:tcPr>
          <w:p>
            <w:pPr>
              <w:pStyle w:val="yTableNAm"/>
              <w:rPr>
                <w:rStyle w:val="CharSClsNo"/>
              </w:rPr>
            </w:pPr>
          </w:p>
        </w:tc>
        <w:tc>
          <w:tcPr>
            <w:tcW w:w="4236" w:type="dxa"/>
          </w:tcPr>
          <w:p>
            <w:pPr>
              <w:pStyle w:val="yTableNAm"/>
              <w:tabs>
                <w:tab w:val="right" w:leader="dot" w:pos="4253"/>
              </w:tabs>
            </w:pPr>
            <w:r>
              <w:t xml:space="preserve">and subject to a maximum in respect of any land classified as residential or classified as vacant land and held for residential purposes </w:t>
            </w:r>
            <w:r>
              <w:tab/>
            </w:r>
          </w:p>
        </w:tc>
        <w:tc>
          <w:tcPr>
            <w:tcW w:w="1434" w:type="dxa"/>
            <w:vAlign w:val="bottom"/>
          </w:tcPr>
          <w:p>
            <w:pPr>
              <w:pStyle w:val="yTableNAm"/>
              <w:tabs>
                <w:tab w:val="clear" w:pos="567"/>
                <w:tab w:val="left" w:pos="335"/>
                <w:tab w:val="right" w:leader="dot" w:pos="4253"/>
              </w:tabs>
            </w:pPr>
            <w:r>
              <w:t>$780.40</w:t>
            </w:r>
          </w:p>
        </w:tc>
      </w:tr>
    </w:tbl>
    <w:p>
      <w:pPr>
        <w:pStyle w:val="yMiscellaneousBody"/>
        <w:spacing w:before="0"/>
      </w:pPr>
    </w:p>
    <w:tbl>
      <w:tblPr>
        <w:tblW w:w="0" w:type="auto"/>
        <w:tblInd w:w="567" w:type="dxa"/>
        <w:tblLayout w:type="fixed"/>
        <w:tblCellMar>
          <w:left w:w="141" w:type="dxa"/>
          <w:right w:w="141" w:type="dxa"/>
        </w:tblCellMar>
        <w:tblLook w:val="0000" w:firstRow="0" w:lastRow="0" w:firstColumn="0" w:lastColumn="0" w:noHBand="0" w:noVBand="0"/>
      </w:tblPr>
      <w:tblGrid>
        <w:gridCol w:w="2173"/>
        <w:gridCol w:w="2173"/>
        <w:gridCol w:w="2174"/>
        <w:gridCol w:w="33"/>
      </w:tblGrid>
      <w:tr>
        <w:trPr>
          <w:gridAfter w:val="1"/>
          <w:wAfter w:w="33" w:type="dxa"/>
          <w:cantSplit/>
          <w:trHeight w:hRule="exact" w:val="851"/>
          <w:tblHeader/>
        </w:trPr>
        <w:tc>
          <w:tcPr>
            <w:tcW w:w="2173" w:type="dxa"/>
            <w:tcBorders>
              <w:top w:val="single" w:sz="4" w:space="0" w:color="auto"/>
              <w:bottom w:val="single" w:sz="4" w:space="0" w:color="auto"/>
            </w:tcBorders>
          </w:tcPr>
          <w:p>
            <w:pPr>
              <w:pStyle w:val="yTableNAm"/>
              <w:jc w:val="center"/>
              <w:rPr>
                <w:b/>
                <w:bCs/>
                <w:szCs w:val="22"/>
              </w:rPr>
            </w:pPr>
            <w:r>
              <w:rPr>
                <w:b/>
                <w:bCs/>
                <w:szCs w:val="22"/>
              </w:rPr>
              <w:t>Column 1</w:t>
            </w:r>
            <w:r>
              <w:rPr>
                <w:b/>
                <w:bCs/>
                <w:szCs w:val="22"/>
              </w:rPr>
              <w:br/>
              <w:t>Country sewerage area</w:t>
            </w:r>
          </w:p>
        </w:tc>
        <w:tc>
          <w:tcPr>
            <w:tcW w:w="2173" w:type="dxa"/>
            <w:tcBorders>
              <w:top w:val="single" w:sz="4" w:space="0" w:color="auto"/>
              <w:bottom w:val="single" w:sz="4" w:space="0" w:color="auto"/>
            </w:tcBorders>
          </w:tcPr>
          <w:p>
            <w:pPr>
              <w:pStyle w:val="yTableNAm"/>
              <w:jc w:val="center"/>
              <w:rPr>
                <w:b/>
                <w:bCs/>
                <w:szCs w:val="22"/>
              </w:rPr>
            </w:pPr>
            <w:r>
              <w:rPr>
                <w:b/>
                <w:bCs/>
                <w:szCs w:val="22"/>
              </w:rPr>
              <w:t>Column 2</w:t>
            </w:r>
            <w:r>
              <w:rPr>
                <w:b/>
                <w:bCs/>
                <w:szCs w:val="22"/>
              </w:rPr>
              <w:br/>
              <w:t>(Residential)</w:t>
            </w:r>
            <w:r>
              <w:rPr>
                <w:b/>
                <w:bCs/>
                <w:szCs w:val="22"/>
              </w:rPr>
              <w:br/>
              <w:t>cents/$ of GRV</w:t>
            </w:r>
          </w:p>
        </w:tc>
        <w:tc>
          <w:tcPr>
            <w:tcW w:w="2174" w:type="dxa"/>
            <w:tcBorders>
              <w:top w:val="single" w:sz="4" w:space="0" w:color="auto"/>
              <w:bottom w:val="single" w:sz="4" w:space="0" w:color="auto"/>
            </w:tcBorders>
          </w:tcPr>
          <w:p>
            <w:pPr>
              <w:pStyle w:val="yTableNAm"/>
              <w:jc w:val="center"/>
              <w:rPr>
                <w:b/>
                <w:bCs/>
                <w:szCs w:val="22"/>
              </w:rPr>
            </w:pPr>
            <w:r>
              <w:rPr>
                <w:b/>
                <w:bCs/>
                <w:szCs w:val="22"/>
              </w:rPr>
              <w:t>Column 3</w:t>
            </w:r>
            <w:r>
              <w:rPr>
                <w:b/>
                <w:bCs/>
                <w:szCs w:val="22"/>
              </w:rPr>
              <w:br/>
              <w:t>(Non</w:t>
            </w:r>
            <w:r>
              <w:rPr>
                <w:b/>
                <w:bCs/>
                <w:szCs w:val="22"/>
              </w:rPr>
              <w:noBreakHyphen/>
              <w:t>residential)</w:t>
            </w:r>
            <w:r>
              <w:rPr>
                <w:b/>
                <w:bCs/>
                <w:szCs w:val="22"/>
              </w:rPr>
              <w:br/>
              <w:t>cents/$ of GRV</w:t>
            </w:r>
          </w:p>
        </w:tc>
      </w:tr>
      <w:tr>
        <w:trPr>
          <w:gridAfter w:val="1"/>
          <w:wAfter w:w="33" w:type="dxa"/>
          <w:cantSplit/>
        </w:trPr>
        <w:tc>
          <w:tcPr>
            <w:tcW w:w="2173" w:type="dxa"/>
          </w:tcPr>
          <w:p>
            <w:pPr>
              <w:pStyle w:val="yTableNAm"/>
              <w:rPr>
                <w:szCs w:val="22"/>
              </w:rPr>
            </w:pPr>
            <w:smartTag w:uri="urn:schemas-microsoft-com:office:smarttags" w:element="place">
              <w:smartTag w:uri="urn:schemas-microsoft-com:office:smarttags" w:element="City">
                <w:r>
                  <w:rPr>
                    <w:szCs w:val="22"/>
                  </w:rPr>
                  <w:t>Albany</w:t>
                </w:r>
              </w:smartTag>
            </w:smartTag>
          </w:p>
        </w:tc>
        <w:tc>
          <w:tcPr>
            <w:tcW w:w="2173" w:type="dxa"/>
            <w:vAlign w:val="bottom"/>
          </w:tcPr>
          <w:p>
            <w:pPr>
              <w:jc w:val="center"/>
              <w:rPr>
                <w:bCs/>
                <w:sz w:val="22"/>
                <w:szCs w:val="22"/>
              </w:rPr>
            </w:pPr>
            <w:r>
              <w:rPr>
                <w:bCs/>
                <w:sz w:val="22"/>
                <w:szCs w:val="22"/>
              </w:rPr>
              <w:t>9.067</w:t>
            </w:r>
          </w:p>
        </w:tc>
        <w:tc>
          <w:tcPr>
            <w:tcW w:w="2174" w:type="dxa"/>
            <w:vAlign w:val="bottom"/>
          </w:tcPr>
          <w:p>
            <w:pPr>
              <w:jc w:val="center"/>
              <w:rPr>
                <w:bCs/>
                <w:sz w:val="22"/>
                <w:szCs w:val="22"/>
              </w:rPr>
            </w:pPr>
            <w:r>
              <w:rPr>
                <w:bCs/>
                <w:sz w:val="22"/>
                <w:szCs w:val="22"/>
              </w:rPr>
              <w:t>10.448</w:t>
            </w:r>
          </w:p>
        </w:tc>
      </w:tr>
      <w:tr>
        <w:trPr>
          <w:gridAfter w:val="1"/>
          <w:wAfter w:w="33" w:type="dxa"/>
          <w:cantSplit/>
        </w:trPr>
        <w:tc>
          <w:tcPr>
            <w:tcW w:w="2173" w:type="dxa"/>
          </w:tcPr>
          <w:p>
            <w:pPr>
              <w:pStyle w:val="yTableNAm"/>
              <w:rPr>
                <w:szCs w:val="22"/>
              </w:rPr>
            </w:pPr>
            <w:smartTag w:uri="urn:schemas-microsoft-com:office:smarttags" w:element="place">
              <w:smartTag w:uri="urn:schemas-microsoft-com:office:smarttags" w:element="City">
                <w:r>
                  <w:rPr>
                    <w:szCs w:val="22"/>
                  </w:rPr>
                  <w:t>Augusta</w:t>
                </w:r>
              </w:smartTag>
            </w:smartTag>
          </w:p>
        </w:tc>
        <w:tc>
          <w:tcPr>
            <w:tcW w:w="2173" w:type="dxa"/>
            <w:vAlign w:val="bottom"/>
          </w:tcPr>
          <w:p>
            <w:pPr>
              <w:jc w:val="center"/>
              <w:rPr>
                <w:bCs/>
                <w:sz w:val="22"/>
                <w:szCs w:val="22"/>
              </w:rPr>
            </w:pPr>
            <w:r>
              <w:rPr>
                <w:bCs/>
                <w:sz w:val="22"/>
                <w:szCs w:val="22"/>
              </w:rPr>
              <w:t>9.250</w:t>
            </w:r>
          </w:p>
        </w:tc>
        <w:tc>
          <w:tcPr>
            <w:tcW w:w="2174" w:type="dxa"/>
            <w:vAlign w:val="bottom"/>
          </w:tcPr>
          <w:p>
            <w:pPr>
              <w:jc w:val="center"/>
              <w:rPr>
                <w:bCs/>
                <w:sz w:val="22"/>
                <w:szCs w:val="22"/>
              </w:rPr>
            </w:pPr>
            <w:r>
              <w:rPr>
                <w:bCs/>
                <w:sz w:val="22"/>
                <w:szCs w:val="22"/>
              </w:rPr>
              <w:t>6.605</w:t>
            </w:r>
          </w:p>
        </w:tc>
      </w:tr>
      <w:tr>
        <w:trPr>
          <w:gridAfter w:val="1"/>
          <w:wAfter w:w="33" w:type="dxa"/>
          <w:cantSplit/>
        </w:trPr>
        <w:tc>
          <w:tcPr>
            <w:tcW w:w="2173" w:type="dxa"/>
          </w:tcPr>
          <w:p>
            <w:pPr>
              <w:pStyle w:val="yTableNAm"/>
              <w:rPr>
                <w:szCs w:val="22"/>
              </w:rPr>
            </w:pPr>
            <w:r>
              <w:rPr>
                <w:szCs w:val="22"/>
              </w:rPr>
              <w:t>Australind</w:t>
            </w:r>
          </w:p>
        </w:tc>
        <w:tc>
          <w:tcPr>
            <w:tcW w:w="2173" w:type="dxa"/>
            <w:vAlign w:val="bottom"/>
          </w:tcPr>
          <w:p>
            <w:pPr>
              <w:jc w:val="center"/>
              <w:rPr>
                <w:bCs/>
                <w:sz w:val="22"/>
                <w:szCs w:val="22"/>
              </w:rPr>
            </w:pPr>
            <w:r>
              <w:rPr>
                <w:bCs/>
                <w:sz w:val="22"/>
                <w:szCs w:val="22"/>
              </w:rPr>
              <w:t>5.894</w:t>
            </w:r>
          </w:p>
        </w:tc>
        <w:tc>
          <w:tcPr>
            <w:tcW w:w="2174" w:type="dxa"/>
            <w:vAlign w:val="bottom"/>
          </w:tcPr>
          <w:p>
            <w:pPr>
              <w:jc w:val="center"/>
              <w:rPr>
                <w:bCs/>
                <w:sz w:val="22"/>
                <w:szCs w:val="22"/>
              </w:rPr>
            </w:pPr>
            <w:r>
              <w:rPr>
                <w:bCs/>
                <w:sz w:val="22"/>
                <w:szCs w:val="22"/>
              </w:rPr>
              <w:t>1.493</w:t>
            </w:r>
          </w:p>
        </w:tc>
      </w:tr>
      <w:tr>
        <w:trPr>
          <w:gridAfter w:val="1"/>
          <w:wAfter w:w="33" w:type="dxa"/>
          <w:cantSplit/>
        </w:trPr>
        <w:tc>
          <w:tcPr>
            <w:tcW w:w="2173" w:type="dxa"/>
          </w:tcPr>
          <w:p>
            <w:pPr>
              <w:pStyle w:val="yTableNAm"/>
              <w:rPr>
                <w:szCs w:val="22"/>
              </w:rPr>
            </w:pPr>
            <w:r>
              <w:rPr>
                <w:szCs w:val="22"/>
              </w:rPr>
              <w:t>Beverley</w:t>
            </w:r>
          </w:p>
        </w:tc>
        <w:tc>
          <w:tcPr>
            <w:tcW w:w="2173" w:type="dxa"/>
            <w:vAlign w:val="bottom"/>
          </w:tcPr>
          <w:p>
            <w:pPr>
              <w:jc w:val="center"/>
              <w:rPr>
                <w:bCs/>
                <w:sz w:val="22"/>
                <w:szCs w:val="22"/>
              </w:rPr>
            </w:pPr>
            <w:r>
              <w:rPr>
                <w:bCs/>
                <w:sz w:val="22"/>
                <w:szCs w:val="22"/>
              </w:rPr>
              <w:t>9.198</w:t>
            </w:r>
          </w:p>
        </w:tc>
        <w:tc>
          <w:tcPr>
            <w:tcW w:w="2174" w:type="dxa"/>
            <w:vAlign w:val="bottom"/>
          </w:tcPr>
          <w:p>
            <w:pPr>
              <w:jc w:val="center"/>
              <w:rPr>
                <w:bCs/>
                <w:sz w:val="22"/>
                <w:szCs w:val="22"/>
              </w:rPr>
            </w:pPr>
            <w:r>
              <w:rPr>
                <w:bCs/>
                <w:sz w:val="22"/>
                <w:szCs w:val="22"/>
              </w:rPr>
              <w:t>12.000</w:t>
            </w:r>
          </w:p>
        </w:tc>
      </w:tr>
      <w:tr>
        <w:trPr>
          <w:gridAfter w:val="1"/>
          <w:wAfter w:w="33" w:type="dxa"/>
          <w:cantSplit/>
        </w:trPr>
        <w:tc>
          <w:tcPr>
            <w:tcW w:w="2173" w:type="dxa"/>
          </w:tcPr>
          <w:p>
            <w:pPr>
              <w:pStyle w:val="yTableNAm"/>
              <w:rPr>
                <w:szCs w:val="22"/>
              </w:rPr>
            </w:pPr>
            <w:r>
              <w:rPr>
                <w:szCs w:val="22"/>
              </w:rPr>
              <w:t>Binningup</w:t>
            </w:r>
          </w:p>
        </w:tc>
        <w:tc>
          <w:tcPr>
            <w:tcW w:w="2173" w:type="dxa"/>
            <w:vAlign w:val="bottom"/>
          </w:tcPr>
          <w:p>
            <w:pPr>
              <w:jc w:val="center"/>
              <w:rPr>
                <w:bCs/>
                <w:sz w:val="22"/>
                <w:szCs w:val="22"/>
              </w:rPr>
            </w:pPr>
            <w:r>
              <w:rPr>
                <w:bCs/>
                <w:sz w:val="22"/>
                <w:szCs w:val="22"/>
              </w:rPr>
              <w:t>12.000</w:t>
            </w:r>
          </w:p>
        </w:tc>
        <w:tc>
          <w:tcPr>
            <w:tcW w:w="2174" w:type="dxa"/>
            <w:vAlign w:val="bottom"/>
          </w:tcPr>
          <w:p>
            <w:pPr>
              <w:jc w:val="center"/>
              <w:rPr>
                <w:bCs/>
                <w:sz w:val="22"/>
                <w:szCs w:val="22"/>
              </w:rPr>
            </w:pPr>
            <w:r>
              <w:rPr>
                <w:bCs/>
                <w:sz w:val="22"/>
                <w:szCs w:val="22"/>
              </w:rPr>
              <w:t>12.000</w:t>
            </w:r>
          </w:p>
        </w:tc>
      </w:tr>
      <w:tr>
        <w:trPr>
          <w:gridAfter w:val="1"/>
          <w:wAfter w:w="33" w:type="dxa"/>
          <w:cantSplit/>
        </w:trPr>
        <w:tc>
          <w:tcPr>
            <w:tcW w:w="2173" w:type="dxa"/>
          </w:tcPr>
          <w:p>
            <w:pPr>
              <w:pStyle w:val="yTableNAm"/>
              <w:rPr>
                <w:szCs w:val="22"/>
              </w:rPr>
            </w:pPr>
            <w:r>
              <w:rPr>
                <w:szCs w:val="22"/>
              </w:rPr>
              <w:t>Boddington</w:t>
            </w:r>
          </w:p>
        </w:tc>
        <w:tc>
          <w:tcPr>
            <w:tcW w:w="2173" w:type="dxa"/>
            <w:vAlign w:val="bottom"/>
          </w:tcPr>
          <w:p>
            <w:pPr>
              <w:jc w:val="center"/>
              <w:rPr>
                <w:bCs/>
                <w:sz w:val="22"/>
                <w:szCs w:val="22"/>
              </w:rPr>
            </w:pPr>
            <w:r>
              <w:rPr>
                <w:bCs/>
                <w:sz w:val="22"/>
                <w:szCs w:val="22"/>
              </w:rPr>
              <w:t>12.000</w:t>
            </w:r>
          </w:p>
        </w:tc>
        <w:tc>
          <w:tcPr>
            <w:tcW w:w="2174" w:type="dxa"/>
            <w:vAlign w:val="bottom"/>
          </w:tcPr>
          <w:p>
            <w:pPr>
              <w:jc w:val="center"/>
              <w:rPr>
                <w:bCs/>
                <w:sz w:val="22"/>
                <w:szCs w:val="22"/>
              </w:rPr>
            </w:pPr>
            <w:r>
              <w:rPr>
                <w:bCs/>
                <w:sz w:val="22"/>
                <w:szCs w:val="22"/>
              </w:rPr>
              <w:t>9.680</w:t>
            </w:r>
          </w:p>
        </w:tc>
      </w:tr>
      <w:tr>
        <w:trPr>
          <w:gridAfter w:val="1"/>
          <w:wAfter w:w="33" w:type="dxa"/>
          <w:cantSplit/>
        </w:trPr>
        <w:tc>
          <w:tcPr>
            <w:tcW w:w="2173" w:type="dxa"/>
          </w:tcPr>
          <w:p>
            <w:pPr>
              <w:pStyle w:val="yTableNAm"/>
              <w:rPr>
                <w:szCs w:val="22"/>
              </w:rPr>
            </w:pPr>
            <w:r>
              <w:rPr>
                <w:szCs w:val="22"/>
              </w:rPr>
              <w:t>Boyanup</w:t>
            </w:r>
          </w:p>
        </w:tc>
        <w:tc>
          <w:tcPr>
            <w:tcW w:w="2173" w:type="dxa"/>
            <w:vAlign w:val="bottom"/>
          </w:tcPr>
          <w:p>
            <w:pPr>
              <w:jc w:val="center"/>
              <w:rPr>
                <w:bCs/>
                <w:sz w:val="22"/>
                <w:szCs w:val="22"/>
              </w:rPr>
            </w:pPr>
            <w:r>
              <w:rPr>
                <w:bCs/>
                <w:sz w:val="22"/>
                <w:szCs w:val="22"/>
              </w:rPr>
              <w:t>12.000</w:t>
            </w:r>
          </w:p>
        </w:tc>
        <w:tc>
          <w:tcPr>
            <w:tcW w:w="2174" w:type="dxa"/>
            <w:vAlign w:val="bottom"/>
          </w:tcPr>
          <w:p>
            <w:pPr>
              <w:jc w:val="center"/>
              <w:rPr>
                <w:bCs/>
                <w:sz w:val="22"/>
                <w:szCs w:val="22"/>
              </w:rPr>
            </w:pPr>
            <w:r>
              <w:rPr>
                <w:bCs/>
                <w:sz w:val="22"/>
                <w:szCs w:val="22"/>
              </w:rPr>
              <w:t>5.381</w:t>
            </w:r>
          </w:p>
        </w:tc>
      </w:tr>
      <w:tr>
        <w:trPr>
          <w:gridAfter w:val="1"/>
          <w:wAfter w:w="33" w:type="dxa"/>
          <w:cantSplit/>
        </w:trPr>
        <w:tc>
          <w:tcPr>
            <w:tcW w:w="2173" w:type="dxa"/>
          </w:tcPr>
          <w:p>
            <w:pPr>
              <w:pStyle w:val="yTableNAm"/>
              <w:rPr>
                <w:szCs w:val="22"/>
              </w:rPr>
            </w:pPr>
            <w:smartTag w:uri="urn:schemas-microsoft-com:office:smarttags" w:element="place">
              <w:smartTag w:uri="urn:schemas-microsoft-com:office:smarttags" w:element="PlaceName">
                <w:r>
                  <w:rPr>
                    <w:szCs w:val="22"/>
                  </w:rPr>
                  <w:t>Bremer</w:t>
                </w:r>
              </w:smartTag>
              <w:r>
                <w:rPr>
                  <w:szCs w:val="22"/>
                </w:rPr>
                <w:t xml:space="preserve"> </w:t>
              </w:r>
              <w:smartTag w:uri="urn:schemas-microsoft-com:office:smarttags" w:element="PlaceType">
                <w:r>
                  <w:rPr>
                    <w:szCs w:val="22"/>
                  </w:rPr>
                  <w:t>Bay</w:t>
                </w:r>
              </w:smartTag>
            </w:smartTag>
          </w:p>
        </w:tc>
        <w:tc>
          <w:tcPr>
            <w:tcW w:w="2173" w:type="dxa"/>
            <w:vAlign w:val="bottom"/>
          </w:tcPr>
          <w:p>
            <w:pPr>
              <w:jc w:val="center"/>
              <w:rPr>
                <w:bCs/>
                <w:sz w:val="22"/>
                <w:szCs w:val="22"/>
              </w:rPr>
            </w:pPr>
            <w:r>
              <w:rPr>
                <w:bCs/>
                <w:sz w:val="22"/>
                <w:szCs w:val="22"/>
              </w:rPr>
              <w:t>12.000</w:t>
            </w:r>
          </w:p>
        </w:tc>
        <w:tc>
          <w:tcPr>
            <w:tcW w:w="2174" w:type="dxa"/>
            <w:vAlign w:val="bottom"/>
          </w:tcPr>
          <w:p>
            <w:pPr>
              <w:jc w:val="center"/>
              <w:rPr>
                <w:bCs/>
                <w:sz w:val="22"/>
                <w:szCs w:val="22"/>
              </w:rPr>
            </w:pPr>
            <w:r>
              <w:rPr>
                <w:bCs/>
                <w:sz w:val="22"/>
                <w:szCs w:val="22"/>
              </w:rPr>
              <w:t>4.463</w:t>
            </w:r>
          </w:p>
        </w:tc>
      </w:tr>
      <w:tr>
        <w:trPr>
          <w:gridAfter w:val="1"/>
          <w:wAfter w:w="33" w:type="dxa"/>
          <w:cantSplit/>
        </w:trPr>
        <w:tc>
          <w:tcPr>
            <w:tcW w:w="2173" w:type="dxa"/>
          </w:tcPr>
          <w:p>
            <w:pPr>
              <w:pStyle w:val="yTableNAm"/>
              <w:rPr>
                <w:szCs w:val="22"/>
              </w:rPr>
            </w:pPr>
            <w:smartTag w:uri="urn:schemas-microsoft-com:office:smarttags" w:element="place">
              <w:smartTag w:uri="urn:schemas-microsoft-com:office:smarttags" w:element="City">
                <w:r>
                  <w:rPr>
                    <w:szCs w:val="22"/>
                  </w:rPr>
                  <w:t>Bridgetown</w:t>
                </w:r>
              </w:smartTag>
            </w:smartTag>
          </w:p>
        </w:tc>
        <w:tc>
          <w:tcPr>
            <w:tcW w:w="2173" w:type="dxa"/>
            <w:vAlign w:val="bottom"/>
          </w:tcPr>
          <w:p>
            <w:pPr>
              <w:jc w:val="center"/>
              <w:rPr>
                <w:bCs/>
                <w:sz w:val="22"/>
                <w:szCs w:val="22"/>
              </w:rPr>
            </w:pPr>
            <w:r>
              <w:rPr>
                <w:bCs/>
                <w:sz w:val="22"/>
                <w:szCs w:val="22"/>
              </w:rPr>
              <w:t>11.372</w:t>
            </w:r>
          </w:p>
        </w:tc>
        <w:tc>
          <w:tcPr>
            <w:tcW w:w="2174" w:type="dxa"/>
            <w:vAlign w:val="bottom"/>
          </w:tcPr>
          <w:p>
            <w:pPr>
              <w:jc w:val="center"/>
              <w:rPr>
                <w:bCs/>
                <w:sz w:val="22"/>
                <w:szCs w:val="22"/>
              </w:rPr>
            </w:pPr>
            <w:r>
              <w:rPr>
                <w:bCs/>
                <w:sz w:val="22"/>
                <w:szCs w:val="22"/>
              </w:rPr>
              <w:t>12.000</w:t>
            </w:r>
          </w:p>
        </w:tc>
      </w:tr>
      <w:tr>
        <w:trPr>
          <w:gridAfter w:val="1"/>
          <w:wAfter w:w="33" w:type="dxa"/>
          <w:cantSplit/>
        </w:trPr>
        <w:tc>
          <w:tcPr>
            <w:tcW w:w="2173" w:type="dxa"/>
          </w:tcPr>
          <w:p>
            <w:pPr>
              <w:pStyle w:val="yTableNAm"/>
              <w:rPr>
                <w:szCs w:val="22"/>
              </w:rPr>
            </w:pPr>
            <w:r>
              <w:rPr>
                <w:szCs w:val="22"/>
              </w:rPr>
              <w:t>Broome</w:t>
            </w:r>
          </w:p>
        </w:tc>
        <w:tc>
          <w:tcPr>
            <w:tcW w:w="2173" w:type="dxa"/>
            <w:vAlign w:val="bottom"/>
          </w:tcPr>
          <w:p>
            <w:pPr>
              <w:jc w:val="center"/>
              <w:rPr>
                <w:bCs/>
                <w:sz w:val="22"/>
                <w:szCs w:val="22"/>
              </w:rPr>
            </w:pPr>
            <w:r>
              <w:rPr>
                <w:bCs/>
                <w:sz w:val="22"/>
                <w:szCs w:val="22"/>
              </w:rPr>
              <w:t>6.250</w:t>
            </w:r>
          </w:p>
        </w:tc>
        <w:tc>
          <w:tcPr>
            <w:tcW w:w="2174" w:type="dxa"/>
            <w:vAlign w:val="bottom"/>
          </w:tcPr>
          <w:p>
            <w:pPr>
              <w:jc w:val="center"/>
              <w:rPr>
                <w:bCs/>
                <w:sz w:val="22"/>
                <w:szCs w:val="22"/>
              </w:rPr>
            </w:pPr>
            <w:r>
              <w:rPr>
                <w:bCs/>
                <w:sz w:val="22"/>
                <w:szCs w:val="22"/>
              </w:rPr>
              <w:t>2.548</w:t>
            </w:r>
          </w:p>
        </w:tc>
      </w:tr>
      <w:tr>
        <w:trPr>
          <w:gridAfter w:val="1"/>
          <w:wAfter w:w="33" w:type="dxa"/>
          <w:cantSplit/>
        </w:trPr>
        <w:tc>
          <w:tcPr>
            <w:tcW w:w="2173" w:type="dxa"/>
          </w:tcPr>
          <w:p>
            <w:pPr>
              <w:pStyle w:val="yTableNAm"/>
              <w:rPr>
                <w:szCs w:val="22"/>
              </w:rPr>
            </w:pPr>
            <w:smartTag w:uri="urn:schemas-microsoft-com:office:smarttags" w:element="place">
              <w:smartTag w:uri="urn:schemas-microsoft-com:office:smarttags" w:element="City">
                <w:r>
                  <w:rPr>
                    <w:szCs w:val="22"/>
                  </w:rPr>
                  <w:t>Brunswick</w:t>
                </w:r>
              </w:smartTag>
            </w:smartTag>
          </w:p>
        </w:tc>
        <w:tc>
          <w:tcPr>
            <w:tcW w:w="2173" w:type="dxa"/>
            <w:vAlign w:val="bottom"/>
          </w:tcPr>
          <w:p>
            <w:pPr>
              <w:jc w:val="center"/>
              <w:rPr>
                <w:bCs/>
                <w:sz w:val="22"/>
                <w:szCs w:val="22"/>
              </w:rPr>
            </w:pPr>
            <w:r>
              <w:rPr>
                <w:bCs/>
                <w:sz w:val="22"/>
                <w:szCs w:val="22"/>
              </w:rPr>
              <w:t>6.583</w:t>
            </w:r>
          </w:p>
        </w:tc>
        <w:tc>
          <w:tcPr>
            <w:tcW w:w="2174" w:type="dxa"/>
            <w:vAlign w:val="bottom"/>
          </w:tcPr>
          <w:p>
            <w:pPr>
              <w:jc w:val="center"/>
              <w:rPr>
                <w:bCs/>
                <w:sz w:val="22"/>
                <w:szCs w:val="22"/>
              </w:rPr>
            </w:pPr>
            <w:r>
              <w:rPr>
                <w:bCs/>
                <w:sz w:val="22"/>
                <w:szCs w:val="22"/>
              </w:rPr>
              <w:t>10.001</w:t>
            </w:r>
          </w:p>
        </w:tc>
      </w:tr>
      <w:tr>
        <w:trPr>
          <w:gridAfter w:val="1"/>
          <w:wAfter w:w="33" w:type="dxa"/>
          <w:cantSplit/>
        </w:trPr>
        <w:tc>
          <w:tcPr>
            <w:tcW w:w="2173" w:type="dxa"/>
          </w:tcPr>
          <w:p>
            <w:pPr>
              <w:pStyle w:val="yTableNAm"/>
              <w:rPr>
                <w:szCs w:val="22"/>
              </w:rPr>
            </w:pPr>
            <w:r>
              <w:rPr>
                <w:szCs w:val="22"/>
              </w:rPr>
              <w:t>Bunbury</w:t>
            </w:r>
            <w:r>
              <w:rPr>
                <w:szCs w:val="22"/>
              </w:rPr>
              <w:br/>
              <w:t>(1/07/10 Values)</w:t>
            </w:r>
          </w:p>
        </w:tc>
        <w:tc>
          <w:tcPr>
            <w:tcW w:w="2173" w:type="dxa"/>
            <w:vAlign w:val="bottom"/>
          </w:tcPr>
          <w:p>
            <w:pPr>
              <w:jc w:val="center"/>
              <w:rPr>
                <w:bCs/>
                <w:sz w:val="22"/>
                <w:szCs w:val="22"/>
              </w:rPr>
            </w:pPr>
            <w:r>
              <w:rPr>
                <w:bCs/>
                <w:sz w:val="22"/>
                <w:szCs w:val="22"/>
              </w:rPr>
              <w:t>4.198</w:t>
            </w:r>
          </w:p>
        </w:tc>
        <w:tc>
          <w:tcPr>
            <w:tcW w:w="2174" w:type="dxa"/>
            <w:vAlign w:val="bottom"/>
          </w:tcPr>
          <w:p>
            <w:pPr>
              <w:jc w:val="center"/>
              <w:rPr>
                <w:bCs/>
                <w:sz w:val="22"/>
                <w:szCs w:val="22"/>
              </w:rPr>
            </w:pPr>
            <w:r>
              <w:rPr>
                <w:bCs/>
                <w:sz w:val="22"/>
                <w:szCs w:val="22"/>
              </w:rPr>
              <w:t>3.239</w:t>
            </w:r>
          </w:p>
        </w:tc>
      </w:tr>
      <w:tr>
        <w:trPr>
          <w:gridAfter w:val="1"/>
          <w:wAfter w:w="33" w:type="dxa"/>
          <w:cantSplit/>
        </w:trPr>
        <w:tc>
          <w:tcPr>
            <w:tcW w:w="2173" w:type="dxa"/>
          </w:tcPr>
          <w:p>
            <w:pPr>
              <w:pStyle w:val="yTableNAm"/>
              <w:rPr>
                <w:szCs w:val="22"/>
              </w:rPr>
            </w:pPr>
            <w:r>
              <w:rPr>
                <w:szCs w:val="22"/>
              </w:rPr>
              <w:t>Bunbury</w:t>
            </w:r>
            <w:r>
              <w:rPr>
                <w:szCs w:val="22"/>
              </w:rPr>
              <w:br/>
              <w:t>(1/07/11 Values)</w:t>
            </w:r>
          </w:p>
        </w:tc>
        <w:tc>
          <w:tcPr>
            <w:tcW w:w="2173" w:type="dxa"/>
            <w:vAlign w:val="bottom"/>
          </w:tcPr>
          <w:p>
            <w:pPr>
              <w:jc w:val="center"/>
              <w:rPr>
                <w:bCs/>
                <w:sz w:val="22"/>
                <w:szCs w:val="22"/>
              </w:rPr>
            </w:pPr>
            <w:r>
              <w:rPr>
                <w:bCs/>
                <w:sz w:val="22"/>
                <w:szCs w:val="22"/>
              </w:rPr>
              <w:t>5.865</w:t>
            </w:r>
          </w:p>
        </w:tc>
        <w:tc>
          <w:tcPr>
            <w:tcW w:w="2174" w:type="dxa"/>
            <w:vAlign w:val="bottom"/>
          </w:tcPr>
          <w:p>
            <w:pPr>
              <w:pStyle w:val="yTableNAm"/>
              <w:jc w:val="center"/>
              <w:rPr>
                <w:szCs w:val="22"/>
              </w:rPr>
            </w:pPr>
            <w:r>
              <w:rPr>
                <w:szCs w:val="22"/>
              </w:rPr>
              <w:t>5.755</w:t>
            </w:r>
          </w:p>
        </w:tc>
      </w:tr>
      <w:tr>
        <w:trPr>
          <w:gridAfter w:val="1"/>
          <w:wAfter w:w="33" w:type="dxa"/>
          <w:cantSplit/>
        </w:trPr>
        <w:tc>
          <w:tcPr>
            <w:tcW w:w="2173" w:type="dxa"/>
          </w:tcPr>
          <w:p>
            <w:pPr>
              <w:pStyle w:val="yTableNAm"/>
              <w:rPr>
                <w:szCs w:val="22"/>
              </w:rPr>
            </w:pPr>
            <w:r>
              <w:rPr>
                <w:szCs w:val="22"/>
              </w:rPr>
              <w:t>Burekup</w:t>
            </w:r>
          </w:p>
        </w:tc>
        <w:tc>
          <w:tcPr>
            <w:tcW w:w="2173" w:type="dxa"/>
            <w:vAlign w:val="bottom"/>
          </w:tcPr>
          <w:p>
            <w:pPr>
              <w:jc w:val="center"/>
              <w:rPr>
                <w:bCs/>
                <w:sz w:val="22"/>
                <w:szCs w:val="22"/>
              </w:rPr>
            </w:pPr>
            <w:r>
              <w:rPr>
                <w:bCs/>
                <w:sz w:val="22"/>
                <w:szCs w:val="22"/>
              </w:rPr>
              <w:t>10.752</w:t>
            </w:r>
          </w:p>
        </w:tc>
        <w:tc>
          <w:tcPr>
            <w:tcW w:w="2174" w:type="dxa"/>
            <w:vAlign w:val="bottom"/>
          </w:tcPr>
          <w:p>
            <w:pPr>
              <w:jc w:val="center"/>
              <w:rPr>
                <w:bCs/>
                <w:sz w:val="22"/>
                <w:szCs w:val="22"/>
              </w:rPr>
            </w:pPr>
            <w:r>
              <w:rPr>
                <w:bCs/>
                <w:sz w:val="22"/>
                <w:szCs w:val="22"/>
              </w:rPr>
              <w:t>5.137</w:t>
            </w:r>
          </w:p>
        </w:tc>
      </w:tr>
      <w:tr>
        <w:trPr>
          <w:gridAfter w:val="1"/>
          <w:wAfter w:w="33" w:type="dxa"/>
          <w:cantSplit/>
        </w:trPr>
        <w:tc>
          <w:tcPr>
            <w:tcW w:w="2173" w:type="dxa"/>
          </w:tcPr>
          <w:p>
            <w:pPr>
              <w:pStyle w:val="yTableNAm"/>
              <w:rPr>
                <w:szCs w:val="22"/>
              </w:rPr>
            </w:pPr>
            <w:r>
              <w:rPr>
                <w:szCs w:val="22"/>
              </w:rPr>
              <w:t>Busselton</w:t>
            </w:r>
          </w:p>
        </w:tc>
        <w:tc>
          <w:tcPr>
            <w:tcW w:w="2173" w:type="dxa"/>
            <w:vAlign w:val="bottom"/>
          </w:tcPr>
          <w:p>
            <w:pPr>
              <w:jc w:val="center"/>
              <w:rPr>
                <w:bCs/>
                <w:sz w:val="22"/>
                <w:szCs w:val="22"/>
              </w:rPr>
            </w:pPr>
            <w:r>
              <w:rPr>
                <w:bCs/>
                <w:sz w:val="22"/>
                <w:szCs w:val="22"/>
              </w:rPr>
              <w:t>5.020</w:t>
            </w:r>
          </w:p>
        </w:tc>
        <w:tc>
          <w:tcPr>
            <w:tcW w:w="2174" w:type="dxa"/>
            <w:vAlign w:val="bottom"/>
          </w:tcPr>
          <w:p>
            <w:pPr>
              <w:jc w:val="center"/>
              <w:rPr>
                <w:bCs/>
                <w:sz w:val="22"/>
                <w:szCs w:val="22"/>
              </w:rPr>
            </w:pPr>
            <w:r>
              <w:rPr>
                <w:bCs/>
                <w:sz w:val="22"/>
                <w:szCs w:val="22"/>
              </w:rPr>
              <w:t>7.100</w:t>
            </w:r>
          </w:p>
        </w:tc>
      </w:tr>
      <w:tr>
        <w:trPr>
          <w:gridAfter w:val="1"/>
          <w:wAfter w:w="33" w:type="dxa"/>
          <w:cantSplit/>
        </w:trPr>
        <w:tc>
          <w:tcPr>
            <w:tcW w:w="2173" w:type="dxa"/>
          </w:tcPr>
          <w:p>
            <w:pPr>
              <w:pStyle w:val="yTableNAm"/>
              <w:rPr>
                <w:szCs w:val="22"/>
              </w:rPr>
            </w:pPr>
            <w:smartTag w:uri="urn:schemas-microsoft-com:office:smarttags" w:element="place">
              <w:smartTag w:uri="urn:schemas-microsoft-com:office:smarttags" w:element="PlaceType">
                <w:r>
                  <w:rPr>
                    <w:szCs w:val="22"/>
                  </w:rPr>
                  <w:t>Cape</w:t>
                </w:r>
              </w:smartTag>
              <w:r>
                <w:rPr>
                  <w:szCs w:val="22"/>
                </w:rPr>
                <w:t xml:space="preserve"> </w:t>
              </w:r>
              <w:smartTag w:uri="urn:schemas-microsoft-com:office:smarttags" w:element="PlaceName">
                <w:r>
                  <w:rPr>
                    <w:szCs w:val="22"/>
                  </w:rPr>
                  <w:t>Burney</w:t>
                </w:r>
              </w:smartTag>
            </w:smartTag>
          </w:p>
        </w:tc>
        <w:tc>
          <w:tcPr>
            <w:tcW w:w="2173" w:type="dxa"/>
            <w:vAlign w:val="bottom"/>
          </w:tcPr>
          <w:p>
            <w:pPr>
              <w:jc w:val="center"/>
              <w:rPr>
                <w:bCs/>
                <w:sz w:val="22"/>
                <w:szCs w:val="22"/>
              </w:rPr>
            </w:pPr>
            <w:r>
              <w:rPr>
                <w:bCs/>
                <w:sz w:val="22"/>
                <w:szCs w:val="22"/>
              </w:rPr>
              <w:t>6.600</w:t>
            </w:r>
          </w:p>
        </w:tc>
        <w:tc>
          <w:tcPr>
            <w:tcW w:w="2174" w:type="dxa"/>
            <w:vAlign w:val="bottom"/>
          </w:tcPr>
          <w:p>
            <w:pPr>
              <w:jc w:val="center"/>
              <w:rPr>
                <w:bCs/>
                <w:sz w:val="22"/>
                <w:szCs w:val="22"/>
              </w:rPr>
            </w:pPr>
            <w:r>
              <w:rPr>
                <w:bCs/>
                <w:sz w:val="22"/>
                <w:szCs w:val="22"/>
              </w:rPr>
              <w:t>4.850</w:t>
            </w:r>
          </w:p>
        </w:tc>
      </w:tr>
      <w:tr>
        <w:trPr>
          <w:gridAfter w:val="1"/>
          <w:wAfter w:w="33" w:type="dxa"/>
          <w:cantSplit/>
        </w:trPr>
        <w:tc>
          <w:tcPr>
            <w:tcW w:w="2173" w:type="dxa"/>
          </w:tcPr>
          <w:p>
            <w:pPr>
              <w:pStyle w:val="yTableNAm"/>
              <w:rPr>
                <w:szCs w:val="22"/>
              </w:rPr>
            </w:pPr>
            <w:r>
              <w:rPr>
                <w:szCs w:val="22"/>
              </w:rPr>
              <w:t>Capel</w:t>
            </w:r>
          </w:p>
        </w:tc>
        <w:tc>
          <w:tcPr>
            <w:tcW w:w="2173" w:type="dxa"/>
            <w:vAlign w:val="bottom"/>
          </w:tcPr>
          <w:p>
            <w:pPr>
              <w:jc w:val="center"/>
              <w:rPr>
                <w:bCs/>
                <w:sz w:val="22"/>
                <w:szCs w:val="22"/>
              </w:rPr>
            </w:pPr>
            <w:r>
              <w:rPr>
                <w:bCs/>
                <w:sz w:val="22"/>
                <w:szCs w:val="22"/>
              </w:rPr>
              <w:t>11.939</w:t>
            </w:r>
          </w:p>
        </w:tc>
        <w:tc>
          <w:tcPr>
            <w:tcW w:w="2174" w:type="dxa"/>
            <w:vAlign w:val="bottom"/>
          </w:tcPr>
          <w:p>
            <w:pPr>
              <w:jc w:val="center"/>
              <w:rPr>
                <w:bCs/>
                <w:sz w:val="22"/>
                <w:szCs w:val="22"/>
              </w:rPr>
            </w:pPr>
            <w:r>
              <w:rPr>
                <w:bCs/>
                <w:sz w:val="22"/>
                <w:szCs w:val="22"/>
              </w:rPr>
              <w:t>4.211</w:t>
            </w:r>
          </w:p>
        </w:tc>
      </w:tr>
      <w:tr>
        <w:trPr>
          <w:gridAfter w:val="1"/>
          <w:wAfter w:w="33" w:type="dxa"/>
          <w:cantSplit/>
        </w:trPr>
        <w:tc>
          <w:tcPr>
            <w:tcW w:w="2173" w:type="dxa"/>
          </w:tcPr>
          <w:p>
            <w:pPr>
              <w:pStyle w:val="yTableNAm"/>
              <w:rPr>
                <w:szCs w:val="22"/>
              </w:rPr>
            </w:pPr>
            <w:r>
              <w:rPr>
                <w:szCs w:val="22"/>
              </w:rPr>
              <w:t>Carnarvon</w:t>
            </w:r>
          </w:p>
        </w:tc>
        <w:tc>
          <w:tcPr>
            <w:tcW w:w="2173" w:type="dxa"/>
            <w:vAlign w:val="bottom"/>
          </w:tcPr>
          <w:p>
            <w:pPr>
              <w:jc w:val="center"/>
              <w:rPr>
                <w:bCs/>
                <w:sz w:val="22"/>
                <w:szCs w:val="22"/>
              </w:rPr>
            </w:pPr>
            <w:r>
              <w:rPr>
                <w:bCs/>
                <w:sz w:val="22"/>
                <w:szCs w:val="22"/>
              </w:rPr>
              <w:t>8.666</w:t>
            </w:r>
          </w:p>
        </w:tc>
        <w:tc>
          <w:tcPr>
            <w:tcW w:w="2174" w:type="dxa"/>
            <w:vAlign w:val="bottom"/>
          </w:tcPr>
          <w:p>
            <w:pPr>
              <w:jc w:val="center"/>
              <w:rPr>
                <w:bCs/>
                <w:sz w:val="22"/>
                <w:szCs w:val="22"/>
              </w:rPr>
            </w:pPr>
            <w:r>
              <w:rPr>
                <w:bCs/>
                <w:sz w:val="22"/>
                <w:szCs w:val="22"/>
              </w:rPr>
              <w:t>7.724</w:t>
            </w:r>
          </w:p>
        </w:tc>
      </w:tr>
      <w:tr>
        <w:trPr>
          <w:gridAfter w:val="1"/>
          <w:wAfter w:w="33" w:type="dxa"/>
          <w:cantSplit/>
        </w:trPr>
        <w:tc>
          <w:tcPr>
            <w:tcW w:w="2173" w:type="dxa"/>
          </w:tcPr>
          <w:p>
            <w:pPr>
              <w:pStyle w:val="yTableNAm"/>
              <w:rPr>
                <w:szCs w:val="22"/>
              </w:rPr>
            </w:pPr>
            <w:r>
              <w:rPr>
                <w:szCs w:val="22"/>
              </w:rPr>
              <w:t>Cervantes</w:t>
            </w:r>
          </w:p>
        </w:tc>
        <w:tc>
          <w:tcPr>
            <w:tcW w:w="2173" w:type="dxa"/>
            <w:vAlign w:val="bottom"/>
          </w:tcPr>
          <w:p>
            <w:pPr>
              <w:jc w:val="center"/>
              <w:rPr>
                <w:bCs/>
                <w:sz w:val="22"/>
                <w:szCs w:val="22"/>
              </w:rPr>
            </w:pPr>
            <w:r>
              <w:rPr>
                <w:bCs/>
                <w:sz w:val="22"/>
                <w:szCs w:val="22"/>
              </w:rPr>
              <w:t>12.000</w:t>
            </w:r>
          </w:p>
        </w:tc>
        <w:tc>
          <w:tcPr>
            <w:tcW w:w="2174" w:type="dxa"/>
            <w:vAlign w:val="bottom"/>
          </w:tcPr>
          <w:p>
            <w:pPr>
              <w:jc w:val="center"/>
              <w:rPr>
                <w:bCs/>
                <w:sz w:val="22"/>
                <w:szCs w:val="22"/>
              </w:rPr>
            </w:pPr>
            <w:r>
              <w:rPr>
                <w:bCs/>
                <w:sz w:val="22"/>
                <w:szCs w:val="22"/>
              </w:rPr>
              <w:t>2.678</w:t>
            </w:r>
          </w:p>
        </w:tc>
      </w:tr>
      <w:tr>
        <w:trPr>
          <w:gridAfter w:val="1"/>
          <w:wAfter w:w="33" w:type="dxa"/>
          <w:cantSplit/>
        </w:trPr>
        <w:tc>
          <w:tcPr>
            <w:tcW w:w="2173" w:type="dxa"/>
          </w:tcPr>
          <w:p>
            <w:pPr>
              <w:pStyle w:val="yTableNAm"/>
              <w:rPr>
                <w:szCs w:val="22"/>
              </w:rPr>
            </w:pPr>
            <w:r>
              <w:rPr>
                <w:szCs w:val="22"/>
              </w:rPr>
              <w:t>Collie</w:t>
            </w:r>
          </w:p>
        </w:tc>
        <w:tc>
          <w:tcPr>
            <w:tcW w:w="2173" w:type="dxa"/>
            <w:vAlign w:val="bottom"/>
          </w:tcPr>
          <w:p>
            <w:pPr>
              <w:jc w:val="center"/>
              <w:rPr>
                <w:bCs/>
                <w:sz w:val="22"/>
                <w:szCs w:val="22"/>
              </w:rPr>
            </w:pPr>
            <w:r>
              <w:rPr>
                <w:bCs/>
                <w:sz w:val="22"/>
                <w:szCs w:val="22"/>
              </w:rPr>
              <w:t>10.140</w:t>
            </w:r>
          </w:p>
        </w:tc>
        <w:tc>
          <w:tcPr>
            <w:tcW w:w="2174" w:type="dxa"/>
            <w:vAlign w:val="bottom"/>
          </w:tcPr>
          <w:p>
            <w:pPr>
              <w:jc w:val="center"/>
              <w:rPr>
                <w:bCs/>
                <w:sz w:val="22"/>
                <w:szCs w:val="22"/>
              </w:rPr>
            </w:pPr>
            <w:r>
              <w:rPr>
                <w:bCs/>
                <w:sz w:val="22"/>
                <w:szCs w:val="22"/>
              </w:rPr>
              <w:t>8.738</w:t>
            </w:r>
          </w:p>
        </w:tc>
      </w:tr>
      <w:tr>
        <w:trPr>
          <w:gridAfter w:val="1"/>
          <w:wAfter w:w="33" w:type="dxa"/>
          <w:cantSplit/>
        </w:trPr>
        <w:tc>
          <w:tcPr>
            <w:tcW w:w="2173" w:type="dxa"/>
          </w:tcPr>
          <w:p>
            <w:pPr>
              <w:pStyle w:val="yTableNAm"/>
              <w:rPr>
                <w:szCs w:val="22"/>
              </w:rPr>
            </w:pPr>
            <w:smartTag w:uri="urn:schemas-microsoft-com:office:smarttags" w:element="place">
              <w:smartTag w:uri="urn:schemas-microsoft-com:office:smarttags" w:element="PlaceName">
                <w:r>
                  <w:rPr>
                    <w:szCs w:val="22"/>
                  </w:rPr>
                  <w:t>Coral</w:t>
                </w:r>
              </w:smartTag>
              <w:r>
                <w:rPr>
                  <w:szCs w:val="22"/>
                </w:rPr>
                <w:t xml:space="preserve"> </w:t>
              </w:r>
              <w:smartTag w:uri="urn:schemas-microsoft-com:office:smarttags" w:element="PlaceType">
                <w:r>
                  <w:rPr>
                    <w:szCs w:val="22"/>
                  </w:rPr>
                  <w:t>Bay</w:t>
                </w:r>
              </w:smartTag>
            </w:smartTag>
          </w:p>
        </w:tc>
        <w:tc>
          <w:tcPr>
            <w:tcW w:w="2173" w:type="dxa"/>
            <w:vAlign w:val="bottom"/>
          </w:tcPr>
          <w:p>
            <w:pPr>
              <w:jc w:val="center"/>
              <w:rPr>
                <w:bCs/>
                <w:sz w:val="22"/>
                <w:szCs w:val="22"/>
              </w:rPr>
            </w:pPr>
            <w:r>
              <w:rPr>
                <w:bCs/>
                <w:sz w:val="22"/>
                <w:szCs w:val="22"/>
              </w:rPr>
              <w:t>12.000</w:t>
            </w:r>
          </w:p>
        </w:tc>
        <w:tc>
          <w:tcPr>
            <w:tcW w:w="2174" w:type="dxa"/>
            <w:vAlign w:val="bottom"/>
          </w:tcPr>
          <w:p>
            <w:pPr>
              <w:jc w:val="center"/>
              <w:rPr>
                <w:bCs/>
                <w:sz w:val="22"/>
                <w:szCs w:val="22"/>
              </w:rPr>
            </w:pPr>
            <w:r>
              <w:rPr>
                <w:bCs/>
                <w:sz w:val="22"/>
                <w:szCs w:val="22"/>
              </w:rPr>
              <w:t>12.000</w:t>
            </w:r>
          </w:p>
        </w:tc>
      </w:tr>
      <w:tr>
        <w:trPr>
          <w:gridAfter w:val="1"/>
          <w:wAfter w:w="33" w:type="dxa"/>
          <w:cantSplit/>
        </w:trPr>
        <w:tc>
          <w:tcPr>
            <w:tcW w:w="2173" w:type="dxa"/>
          </w:tcPr>
          <w:p>
            <w:pPr>
              <w:pStyle w:val="yTableNAm"/>
              <w:rPr>
                <w:szCs w:val="22"/>
              </w:rPr>
            </w:pPr>
            <w:r>
              <w:rPr>
                <w:szCs w:val="22"/>
              </w:rPr>
              <w:t>Corrigin</w:t>
            </w:r>
          </w:p>
        </w:tc>
        <w:tc>
          <w:tcPr>
            <w:tcW w:w="2173" w:type="dxa"/>
            <w:vAlign w:val="bottom"/>
          </w:tcPr>
          <w:p>
            <w:pPr>
              <w:jc w:val="center"/>
              <w:rPr>
                <w:bCs/>
                <w:sz w:val="22"/>
                <w:szCs w:val="22"/>
              </w:rPr>
            </w:pPr>
            <w:r>
              <w:rPr>
                <w:bCs/>
                <w:sz w:val="22"/>
                <w:szCs w:val="22"/>
              </w:rPr>
              <w:t>10.669</w:t>
            </w:r>
          </w:p>
        </w:tc>
        <w:tc>
          <w:tcPr>
            <w:tcW w:w="2174" w:type="dxa"/>
            <w:vAlign w:val="bottom"/>
          </w:tcPr>
          <w:p>
            <w:pPr>
              <w:jc w:val="center"/>
              <w:rPr>
                <w:bCs/>
                <w:sz w:val="22"/>
                <w:szCs w:val="22"/>
              </w:rPr>
            </w:pPr>
            <w:r>
              <w:rPr>
                <w:bCs/>
                <w:sz w:val="22"/>
                <w:szCs w:val="22"/>
              </w:rPr>
              <w:t>12.000</w:t>
            </w:r>
          </w:p>
        </w:tc>
      </w:tr>
      <w:tr>
        <w:trPr>
          <w:gridAfter w:val="1"/>
          <w:wAfter w:w="33" w:type="dxa"/>
          <w:cantSplit/>
        </w:trPr>
        <w:tc>
          <w:tcPr>
            <w:tcW w:w="2173" w:type="dxa"/>
          </w:tcPr>
          <w:p>
            <w:pPr>
              <w:pStyle w:val="yTableNAm"/>
              <w:rPr>
                <w:szCs w:val="22"/>
              </w:rPr>
            </w:pPr>
            <w:r>
              <w:rPr>
                <w:szCs w:val="22"/>
              </w:rPr>
              <w:t>Cowaramup</w:t>
            </w:r>
          </w:p>
        </w:tc>
        <w:tc>
          <w:tcPr>
            <w:tcW w:w="2173" w:type="dxa"/>
            <w:vAlign w:val="bottom"/>
          </w:tcPr>
          <w:p>
            <w:pPr>
              <w:jc w:val="center"/>
              <w:rPr>
                <w:bCs/>
                <w:sz w:val="22"/>
                <w:szCs w:val="22"/>
              </w:rPr>
            </w:pPr>
            <w:r>
              <w:rPr>
                <w:bCs/>
                <w:sz w:val="22"/>
                <w:szCs w:val="22"/>
              </w:rPr>
              <w:t>7.160</w:t>
            </w:r>
          </w:p>
        </w:tc>
        <w:tc>
          <w:tcPr>
            <w:tcW w:w="2174" w:type="dxa"/>
            <w:vAlign w:val="bottom"/>
          </w:tcPr>
          <w:p>
            <w:pPr>
              <w:jc w:val="center"/>
              <w:rPr>
                <w:bCs/>
                <w:sz w:val="22"/>
                <w:szCs w:val="22"/>
              </w:rPr>
            </w:pPr>
            <w:r>
              <w:rPr>
                <w:bCs/>
                <w:sz w:val="22"/>
                <w:szCs w:val="22"/>
              </w:rPr>
              <w:t>8.283</w:t>
            </w:r>
          </w:p>
        </w:tc>
      </w:tr>
      <w:tr>
        <w:trPr>
          <w:gridAfter w:val="1"/>
          <w:wAfter w:w="33" w:type="dxa"/>
          <w:cantSplit/>
        </w:trPr>
        <w:tc>
          <w:tcPr>
            <w:tcW w:w="2173" w:type="dxa"/>
          </w:tcPr>
          <w:p>
            <w:pPr>
              <w:pStyle w:val="yTableNAm"/>
              <w:rPr>
                <w:szCs w:val="22"/>
              </w:rPr>
            </w:pPr>
            <w:smartTag w:uri="urn:schemas-microsoft-com:office:smarttags" w:element="place">
              <w:smartTag w:uri="urn:schemas-microsoft-com:office:smarttags" w:element="City">
                <w:r>
                  <w:rPr>
                    <w:szCs w:val="22"/>
                  </w:rPr>
                  <w:t>Cranbrook</w:t>
                </w:r>
              </w:smartTag>
            </w:smartTag>
          </w:p>
        </w:tc>
        <w:tc>
          <w:tcPr>
            <w:tcW w:w="2173" w:type="dxa"/>
            <w:vAlign w:val="bottom"/>
          </w:tcPr>
          <w:p>
            <w:pPr>
              <w:jc w:val="center"/>
              <w:rPr>
                <w:bCs/>
                <w:sz w:val="22"/>
                <w:szCs w:val="22"/>
              </w:rPr>
            </w:pPr>
            <w:r>
              <w:rPr>
                <w:bCs/>
                <w:sz w:val="22"/>
                <w:szCs w:val="22"/>
              </w:rPr>
              <w:t>12.000</w:t>
            </w:r>
          </w:p>
        </w:tc>
        <w:tc>
          <w:tcPr>
            <w:tcW w:w="2174" w:type="dxa"/>
            <w:vAlign w:val="bottom"/>
          </w:tcPr>
          <w:p>
            <w:pPr>
              <w:jc w:val="center"/>
              <w:rPr>
                <w:bCs/>
                <w:sz w:val="22"/>
                <w:szCs w:val="22"/>
              </w:rPr>
            </w:pPr>
            <w:r>
              <w:rPr>
                <w:bCs/>
                <w:sz w:val="22"/>
                <w:szCs w:val="22"/>
              </w:rPr>
              <w:t>12.000</w:t>
            </w:r>
          </w:p>
        </w:tc>
      </w:tr>
      <w:tr>
        <w:trPr>
          <w:gridAfter w:val="1"/>
          <w:wAfter w:w="33" w:type="dxa"/>
          <w:cantSplit/>
        </w:trPr>
        <w:tc>
          <w:tcPr>
            <w:tcW w:w="2173" w:type="dxa"/>
          </w:tcPr>
          <w:p>
            <w:pPr>
              <w:pStyle w:val="yTableNAm"/>
              <w:rPr>
                <w:szCs w:val="22"/>
              </w:rPr>
            </w:pPr>
            <w:r>
              <w:rPr>
                <w:szCs w:val="22"/>
              </w:rPr>
              <w:t>Cunderdin</w:t>
            </w:r>
          </w:p>
        </w:tc>
        <w:tc>
          <w:tcPr>
            <w:tcW w:w="2173" w:type="dxa"/>
            <w:vAlign w:val="bottom"/>
          </w:tcPr>
          <w:p>
            <w:pPr>
              <w:jc w:val="center"/>
              <w:rPr>
                <w:bCs/>
                <w:sz w:val="22"/>
                <w:szCs w:val="22"/>
              </w:rPr>
            </w:pPr>
            <w:r>
              <w:rPr>
                <w:bCs/>
                <w:sz w:val="22"/>
                <w:szCs w:val="22"/>
              </w:rPr>
              <w:t>7.570</w:t>
            </w:r>
          </w:p>
        </w:tc>
        <w:tc>
          <w:tcPr>
            <w:tcW w:w="2174" w:type="dxa"/>
            <w:vAlign w:val="bottom"/>
          </w:tcPr>
          <w:p>
            <w:pPr>
              <w:jc w:val="center"/>
              <w:rPr>
                <w:bCs/>
                <w:sz w:val="22"/>
                <w:szCs w:val="22"/>
              </w:rPr>
            </w:pPr>
            <w:r>
              <w:rPr>
                <w:bCs/>
                <w:sz w:val="22"/>
                <w:szCs w:val="22"/>
              </w:rPr>
              <w:t>10.826</w:t>
            </w:r>
          </w:p>
        </w:tc>
      </w:tr>
      <w:tr>
        <w:trPr>
          <w:gridAfter w:val="1"/>
          <w:wAfter w:w="33" w:type="dxa"/>
          <w:cantSplit/>
        </w:trPr>
        <w:tc>
          <w:tcPr>
            <w:tcW w:w="2173" w:type="dxa"/>
          </w:tcPr>
          <w:p>
            <w:pPr>
              <w:pStyle w:val="yTableNAm"/>
              <w:rPr>
                <w:szCs w:val="22"/>
              </w:rPr>
            </w:pPr>
            <w:r>
              <w:rPr>
                <w:szCs w:val="22"/>
              </w:rPr>
              <w:t>Dardanup</w:t>
            </w:r>
          </w:p>
        </w:tc>
        <w:tc>
          <w:tcPr>
            <w:tcW w:w="2173" w:type="dxa"/>
            <w:vAlign w:val="bottom"/>
          </w:tcPr>
          <w:p>
            <w:pPr>
              <w:jc w:val="center"/>
              <w:rPr>
                <w:bCs/>
                <w:sz w:val="22"/>
                <w:szCs w:val="22"/>
              </w:rPr>
            </w:pPr>
            <w:r>
              <w:rPr>
                <w:bCs/>
                <w:sz w:val="22"/>
                <w:szCs w:val="22"/>
              </w:rPr>
              <w:t>12.000</w:t>
            </w:r>
          </w:p>
        </w:tc>
        <w:tc>
          <w:tcPr>
            <w:tcW w:w="2174" w:type="dxa"/>
            <w:vAlign w:val="bottom"/>
          </w:tcPr>
          <w:p>
            <w:pPr>
              <w:jc w:val="center"/>
              <w:rPr>
                <w:bCs/>
                <w:sz w:val="22"/>
                <w:szCs w:val="22"/>
              </w:rPr>
            </w:pPr>
            <w:r>
              <w:rPr>
                <w:bCs/>
                <w:sz w:val="22"/>
                <w:szCs w:val="22"/>
              </w:rPr>
              <w:t>9.003</w:t>
            </w:r>
          </w:p>
        </w:tc>
      </w:tr>
      <w:tr>
        <w:trPr>
          <w:gridAfter w:val="1"/>
          <w:wAfter w:w="33" w:type="dxa"/>
          <w:cantSplit/>
        </w:trPr>
        <w:tc>
          <w:tcPr>
            <w:tcW w:w="2173" w:type="dxa"/>
          </w:tcPr>
          <w:p>
            <w:pPr>
              <w:pStyle w:val="yTableNAm"/>
              <w:rPr>
                <w:szCs w:val="22"/>
              </w:rPr>
            </w:pPr>
            <w:r>
              <w:rPr>
                <w:szCs w:val="22"/>
              </w:rPr>
              <w:t>Denham</w:t>
            </w:r>
          </w:p>
        </w:tc>
        <w:tc>
          <w:tcPr>
            <w:tcW w:w="2173" w:type="dxa"/>
            <w:vAlign w:val="bottom"/>
          </w:tcPr>
          <w:p>
            <w:pPr>
              <w:jc w:val="center"/>
              <w:rPr>
                <w:bCs/>
                <w:sz w:val="22"/>
                <w:szCs w:val="22"/>
              </w:rPr>
            </w:pPr>
            <w:r>
              <w:rPr>
                <w:bCs/>
                <w:sz w:val="22"/>
                <w:szCs w:val="22"/>
              </w:rPr>
              <w:t>12.000</w:t>
            </w:r>
          </w:p>
        </w:tc>
        <w:tc>
          <w:tcPr>
            <w:tcW w:w="2174" w:type="dxa"/>
            <w:vAlign w:val="bottom"/>
          </w:tcPr>
          <w:p>
            <w:pPr>
              <w:jc w:val="center"/>
              <w:rPr>
                <w:bCs/>
                <w:sz w:val="22"/>
                <w:szCs w:val="22"/>
              </w:rPr>
            </w:pPr>
            <w:r>
              <w:rPr>
                <w:bCs/>
                <w:sz w:val="22"/>
                <w:szCs w:val="22"/>
              </w:rPr>
              <w:t>12.000</w:t>
            </w:r>
          </w:p>
        </w:tc>
      </w:tr>
      <w:tr>
        <w:trPr>
          <w:gridAfter w:val="1"/>
          <w:wAfter w:w="33" w:type="dxa"/>
          <w:cantSplit/>
        </w:trPr>
        <w:tc>
          <w:tcPr>
            <w:tcW w:w="2173" w:type="dxa"/>
          </w:tcPr>
          <w:p>
            <w:pPr>
              <w:pStyle w:val="yTableNAm"/>
              <w:rPr>
                <w:szCs w:val="22"/>
              </w:rPr>
            </w:pPr>
            <w:smartTag w:uri="urn:schemas-microsoft-com:office:smarttags" w:element="place">
              <w:smartTag w:uri="urn:schemas-microsoft-com:office:smarttags" w:element="country-region">
                <w:r>
                  <w:rPr>
                    <w:szCs w:val="22"/>
                  </w:rPr>
                  <w:t>Denmark</w:t>
                </w:r>
              </w:smartTag>
            </w:smartTag>
          </w:p>
        </w:tc>
        <w:tc>
          <w:tcPr>
            <w:tcW w:w="2173" w:type="dxa"/>
            <w:vAlign w:val="bottom"/>
          </w:tcPr>
          <w:p>
            <w:pPr>
              <w:jc w:val="center"/>
              <w:rPr>
                <w:bCs/>
                <w:sz w:val="22"/>
                <w:szCs w:val="22"/>
              </w:rPr>
            </w:pPr>
            <w:r>
              <w:rPr>
                <w:bCs/>
                <w:sz w:val="22"/>
                <w:szCs w:val="22"/>
              </w:rPr>
              <w:t>12.000</w:t>
            </w:r>
          </w:p>
        </w:tc>
        <w:tc>
          <w:tcPr>
            <w:tcW w:w="2174" w:type="dxa"/>
            <w:vAlign w:val="bottom"/>
          </w:tcPr>
          <w:p>
            <w:pPr>
              <w:jc w:val="center"/>
              <w:rPr>
                <w:bCs/>
                <w:sz w:val="22"/>
                <w:szCs w:val="22"/>
              </w:rPr>
            </w:pPr>
            <w:r>
              <w:rPr>
                <w:bCs/>
                <w:sz w:val="22"/>
                <w:szCs w:val="22"/>
              </w:rPr>
              <w:t>9.068</w:t>
            </w:r>
          </w:p>
        </w:tc>
      </w:tr>
      <w:tr>
        <w:trPr>
          <w:gridAfter w:val="1"/>
          <w:wAfter w:w="33" w:type="dxa"/>
          <w:cantSplit/>
        </w:trPr>
        <w:tc>
          <w:tcPr>
            <w:tcW w:w="2173" w:type="dxa"/>
          </w:tcPr>
          <w:p>
            <w:pPr>
              <w:pStyle w:val="yTableNAm"/>
              <w:rPr>
                <w:szCs w:val="22"/>
              </w:rPr>
            </w:pPr>
            <w:smartTag w:uri="urn:schemas-microsoft-com:office:smarttags" w:element="place">
              <w:smartTag w:uri="urn:schemas-microsoft-com:office:smarttags" w:element="City">
                <w:r>
                  <w:rPr>
                    <w:szCs w:val="22"/>
                  </w:rPr>
                  <w:t>Derby</w:t>
                </w:r>
              </w:smartTag>
            </w:smartTag>
          </w:p>
        </w:tc>
        <w:tc>
          <w:tcPr>
            <w:tcW w:w="2173" w:type="dxa"/>
            <w:vAlign w:val="bottom"/>
          </w:tcPr>
          <w:p>
            <w:pPr>
              <w:jc w:val="center"/>
              <w:rPr>
                <w:bCs/>
                <w:sz w:val="22"/>
                <w:szCs w:val="22"/>
              </w:rPr>
            </w:pPr>
            <w:r>
              <w:rPr>
                <w:bCs/>
                <w:sz w:val="22"/>
                <w:szCs w:val="22"/>
              </w:rPr>
              <w:t>8.786</w:t>
            </w:r>
          </w:p>
        </w:tc>
        <w:tc>
          <w:tcPr>
            <w:tcW w:w="2174" w:type="dxa"/>
            <w:vAlign w:val="bottom"/>
          </w:tcPr>
          <w:p>
            <w:pPr>
              <w:jc w:val="center"/>
              <w:rPr>
                <w:bCs/>
                <w:sz w:val="22"/>
                <w:szCs w:val="22"/>
              </w:rPr>
            </w:pPr>
            <w:r>
              <w:rPr>
                <w:bCs/>
                <w:sz w:val="22"/>
                <w:szCs w:val="22"/>
              </w:rPr>
              <w:t>3.671</w:t>
            </w:r>
          </w:p>
        </w:tc>
      </w:tr>
      <w:tr>
        <w:trPr>
          <w:gridAfter w:val="1"/>
          <w:wAfter w:w="33" w:type="dxa"/>
          <w:cantSplit/>
        </w:trPr>
        <w:tc>
          <w:tcPr>
            <w:tcW w:w="2173" w:type="dxa"/>
          </w:tcPr>
          <w:p>
            <w:pPr>
              <w:pStyle w:val="yTableNAm"/>
              <w:rPr>
                <w:szCs w:val="22"/>
              </w:rPr>
            </w:pPr>
            <w:r>
              <w:rPr>
                <w:szCs w:val="22"/>
              </w:rPr>
              <w:t>Dongara</w:t>
            </w:r>
            <w:r>
              <w:rPr>
                <w:szCs w:val="22"/>
              </w:rPr>
              <w:noBreakHyphen/>
              <w:t>Denison</w:t>
            </w:r>
          </w:p>
        </w:tc>
        <w:tc>
          <w:tcPr>
            <w:tcW w:w="2173" w:type="dxa"/>
            <w:vAlign w:val="bottom"/>
          </w:tcPr>
          <w:p>
            <w:pPr>
              <w:jc w:val="center"/>
              <w:rPr>
                <w:bCs/>
                <w:sz w:val="22"/>
                <w:szCs w:val="22"/>
              </w:rPr>
            </w:pPr>
            <w:r>
              <w:rPr>
                <w:bCs/>
                <w:sz w:val="22"/>
                <w:szCs w:val="22"/>
              </w:rPr>
              <w:t>8.508</w:t>
            </w:r>
          </w:p>
        </w:tc>
        <w:tc>
          <w:tcPr>
            <w:tcW w:w="2174" w:type="dxa"/>
            <w:vAlign w:val="bottom"/>
          </w:tcPr>
          <w:p>
            <w:pPr>
              <w:jc w:val="center"/>
              <w:rPr>
                <w:bCs/>
                <w:sz w:val="22"/>
                <w:szCs w:val="22"/>
              </w:rPr>
            </w:pPr>
            <w:r>
              <w:rPr>
                <w:bCs/>
                <w:sz w:val="22"/>
                <w:szCs w:val="22"/>
              </w:rPr>
              <w:t>4.942</w:t>
            </w:r>
          </w:p>
        </w:tc>
      </w:tr>
      <w:tr>
        <w:trPr>
          <w:gridAfter w:val="1"/>
          <w:wAfter w:w="33" w:type="dxa"/>
          <w:cantSplit/>
        </w:trPr>
        <w:tc>
          <w:tcPr>
            <w:tcW w:w="2173" w:type="dxa"/>
          </w:tcPr>
          <w:p>
            <w:pPr>
              <w:pStyle w:val="yTableNAm"/>
              <w:rPr>
                <w:szCs w:val="22"/>
              </w:rPr>
            </w:pPr>
            <w:r>
              <w:rPr>
                <w:szCs w:val="22"/>
              </w:rPr>
              <w:t>Donnybrook</w:t>
            </w:r>
          </w:p>
        </w:tc>
        <w:tc>
          <w:tcPr>
            <w:tcW w:w="2173" w:type="dxa"/>
            <w:vAlign w:val="bottom"/>
          </w:tcPr>
          <w:p>
            <w:pPr>
              <w:jc w:val="center"/>
              <w:rPr>
                <w:bCs/>
                <w:sz w:val="22"/>
                <w:szCs w:val="22"/>
              </w:rPr>
            </w:pPr>
            <w:r>
              <w:rPr>
                <w:bCs/>
                <w:sz w:val="22"/>
                <w:szCs w:val="22"/>
              </w:rPr>
              <w:t>9.825</w:t>
            </w:r>
          </w:p>
        </w:tc>
        <w:tc>
          <w:tcPr>
            <w:tcW w:w="2174" w:type="dxa"/>
            <w:vAlign w:val="bottom"/>
          </w:tcPr>
          <w:p>
            <w:pPr>
              <w:jc w:val="center"/>
              <w:rPr>
                <w:bCs/>
                <w:sz w:val="22"/>
                <w:szCs w:val="22"/>
              </w:rPr>
            </w:pPr>
            <w:r>
              <w:rPr>
                <w:bCs/>
                <w:sz w:val="22"/>
                <w:szCs w:val="22"/>
              </w:rPr>
              <w:t>5.998</w:t>
            </w:r>
          </w:p>
        </w:tc>
      </w:tr>
      <w:tr>
        <w:trPr>
          <w:gridAfter w:val="1"/>
          <w:wAfter w:w="33" w:type="dxa"/>
          <w:cantSplit/>
        </w:trPr>
        <w:tc>
          <w:tcPr>
            <w:tcW w:w="2173" w:type="dxa"/>
          </w:tcPr>
          <w:p>
            <w:pPr>
              <w:pStyle w:val="yTableNAm"/>
              <w:rPr>
                <w:szCs w:val="22"/>
              </w:rPr>
            </w:pPr>
            <w:r>
              <w:rPr>
                <w:szCs w:val="22"/>
              </w:rPr>
              <w:t>Dunsborough</w:t>
            </w:r>
          </w:p>
        </w:tc>
        <w:tc>
          <w:tcPr>
            <w:tcW w:w="2173" w:type="dxa"/>
            <w:vAlign w:val="bottom"/>
          </w:tcPr>
          <w:p>
            <w:pPr>
              <w:jc w:val="center"/>
              <w:rPr>
                <w:bCs/>
                <w:sz w:val="22"/>
                <w:szCs w:val="22"/>
              </w:rPr>
            </w:pPr>
            <w:r>
              <w:rPr>
                <w:bCs/>
                <w:sz w:val="22"/>
                <w:szCs w:val="22"/>
              </w:rPr>
              <w:t>6.350</w:t>
            </w:r>
          </w:p>
        </w:tc>
        <w:tc>
          <w:tcPr>
            <w:tcW w:w="2174" w:type="dxa"/>
            <w:vAlign w:val="bottom"/>
          </w:tcPr>
          <w:p>
            <w:pPr>
              <w:jc w:val="center"/>
              <w:rPr>
                <w:bCs/>
                <w:sz w:val="22"/>
                <w:szCs w:val="22"/>
              </w:rPr>
            </w:pPr>
            <w:r>
              <w:rPr>
                <w:bCs/>
                <w:sz w:val="22"/>
                <w:szCs w:val="22"/>
              </w:rPr>
              <w:t>5.335</w:t>
            </w:r>
          </w:p>
        </w:tc>
      </w:tr>
      <w:tr>
        <w:trPr>
          <w:gridAfter w:val="1"/>
          <w:wAfter w:w="33" w:type="dxa"/>
          <w:cantSplit/>
        </w:trPr>
        <w:tc>
          <w:tcPr>
            <w:tcW w:w="2173" w:type="dxa"/>
          </w:tcPr>
          <w:p>
            <w:pPr>
              <w:pStyle w:val="yTableNAm"/>
              <w:rPr>
                <w:szCs w:val="22"/>
              </w:rPr>
            </w:pPr>
            <w:r>
              <w:rPr>
                <w:szCs w:val="22"/>
              </w:rPr>
              <w:t>Eaton</w:t>
            </w:r>
          </w:p>
        </w:tc>
        <w:tc>
          <w:tcPr>
            <w:tcW w:w="2173" w:type="dxa"/>
            <w:vAlign w:val="bottom"/>
          </w:tcPr>
          <w:p>
            <w:pPr>
              <w:jc w:val="center"/>
              <w:rPr>
                <w:bCs/>
                <w:sz w:val="22"/>
                <w:szCs w:val="22"/>
              </w:rPr>
            </w:pPr>
            <w:r>
              <w:rPr>
                <w:bCs/>
                <w:sz w:val="22"/>
                <w:szCs w:val="22"/>
              </w:rPr>
              <w:t>9.731</w:t>
            </w:r>
          </w:p>
        </w:tc>
        <w:tc>
          <w:tcPr>
            <w:tcW w:w="2174" w:type="dxa"/>
            <w:vAlign w:val="bottom"/>
          </w:tcPr>
          <w:p>
            <w:pPr>
              <w:jc w:val="center"/>
              <w:rPr>
                <w:bCs/>
                <w:sz w:val="22"/>
                <w:szCs w:val="22"/>
              </w:rPr>
            </w:pPr>
            <w:r>
              <w:rPr>
                <w:bCs/>
                <w:sz w:val="22"/>
                <w:szCs w:val="22"/>
              </w:rPr>
              <w:t>5.340</w:t>
            </w:r>
          </w:p>
        </w:tc>
      </w:tr>
      <w:tr>
        <w:trPr>
          <w:gridAfter w:val="1"/>
          <w:wAfter w:w="33" w:type="dxa"/>
          <w:cantSplit/>
        </w:trPr>
        <w:tc>
          <w:tcPr>
            <w:tcW w:w="2173" w:type="dxa"/>
          </w:tcPr>
          <w:p>
            <w:pPr>
              <w:pStyle w:val="yTableNAm"/>
              <w:rPr>
                <w:szCs w:val="22"/>
              </w:rPr>
            </w:pPr>
            <w:r>
              <w:rPr>
                <w:szCs w:val="22"/>
              </w:rPr>
              <w:t>Eneabba</w:t>
            </w:r>
          </w:p>
        </w:tc>
        <w:tc>
          <w:tcPr>
            <w:tcW w:w="2173" w:type="dxa"/>
            <w:vAlign w:val="bottom"/>
          </w:tcPr>
          <w:p>
            <w:pPr>
              <w:jc w:val="center"/>
              <w:rPr>
                <w:bCs/>
                <w:sz w:val="22"/>
                <w:szCs w:val="22"/>
              </w:rPr>
            </w:pPr>
            <w:r>
              <w:rPr>
                <w:bCs/>
                <w:sz w:val="22"/>
                <w:szCs w:val="22"/>
              </w:rPr>
              <w:t>12.000</w:t>
            </w:r>
          </w:p>
        </w:tc>
        <w:tc>
          <w:tcPr>
            <w:tcW w:w="2174" w:type="dxa"/>
            <w:vAlign w:val="bottom"/>
          </w:tcPr>
          <w:p>
            <w:pPr>
              <w:jc w:val="center"/>
              <w:rPr>
                <w:bCs/>
                <w:sz w:val="22"/>
                <w:szCs w:val="22"/>
              </w:rPr>
            </w:pPr>
            <w:r>
              <w:rPr>
                <w:bCs/>
                <w:sz w:val="22"/>
                <w:szCs w:val="22"/>
              </w:rPr>
              <w:t>12.000</w:t>
            </w:r>
          </w:p>
        </w:tc>
      </w:tr>
      <w:tr>
        <w:trPr>
          <w:gridAfter w:val="1"/>
          <w:wAfter w:w="33" w:type="dxa"/>
          <w:cantSplit/>
        </w:trPr>
        <w:tc>
          <w:tcPr>
            <w:tcW w:w="2173" w:type="dxa"/>
          </w:tcPr>
          <w:p>
            <w:pPr>
              <w:pStyle w:val="yTableNAm"/>
              <w:rPr>
                <w:szCs w:val="22"/>
              </w:rPr>
            </w:pPr>
            <w:r>
              <w:rPr>
                <w:szCs w:val="22"/>
              </w:rPr>
              <w:t>Esperance</w:t>
            </w:r>
          </w:p>
        </w:tc>
        <w:tc>
          <w:tcPr>
            <w:tcW w:w="2173" w:type="dxa"/>
            <w:vAlign w:val="bottom"/>
          </w:tcPr>
          <w:p>
            <w:pPr>
              <w:jc w:val="center"/>
              <w:rPr>
                <w:bCs/>
                <w:sz w:val="22"/>
                <w:szCs w:val="22"/>
              </w:rPr>
            </w:pPr>
            <w:r>
              <w:rPr>
                <w:bCs/>
                <w:sz w:val="22"/>
                <w:szCs w:val="22"/>
              </w:rPr>
              <w:t>7.163</w:t>
            </w:r>
          </w:p>
        </w:tc>
        <w:tc>
          <w:tcPr>
            <w:tcW w:w="2174" w:type="dxa"/>
            <w:vAlign w:val="bottom"/>
          </w:tcPr>
          <w:p>
            <w:pPr>
              <w:jc w:val="center"/>
              <w:rPr>
                <w:bCs/>
                <w:sz w:val="22"/>
                <w:szCs w:val="22"/>
              </w:rPr>
            </w:pPr>
            <w:r>
              <w:rPr>
                <w:bCs/>
                <w:sz w:val="22"/>
                <w:szCs w:val="22"/>
              </w:rPr>
              <w:t>6.297</w:t>
            </w:r>
          </w:p>
        </w:tc>
      </w:tr>
      <w:tr>
        <w:trPr>
          <w:gridAfter w:val="1"/>
          <w:wAfter w:w="33" w:type="dxa"/>
          <w:cantSplit/>
        </w:trPr>
        <w:tc>
          <w:tcPr>
            <w:tcW w:w="2173" w:type="dxa"/>
          </w:tcPr>
          <w:p>
            <w:pPr>
              <w:pStyle w:val="yTableNAm"/>
              <w:rPr>
                <w:szCs w:val="22"/>
              </w:rPr>
            </w:pPr>
            <w:r>
              <w:rPr>
                <w:szCs w:val="22"/>
              </w:rPr>
              <w:t>Exmouth</w:t>
            </w:r>
          </w:p>
        </w:tc>
        <w:tc>
          <w:tcPr>
            <w:tcW w:w="2173" w:type="dxa"/>
            <w:vAlign w:val="bottom"/>
          </w:tcPr>
          <w:p>
            <w:pPr>
              <w:jc w:val="center"/>
              <w:rPr>
                <w:bCs/>
                <w:sz w:val="22"/>
                <w:szCs w:val="22"/>
              </w:rPr>
            </w:pPr>
            <w:r>
              <w:rPr>
                <w:bCs/>
                <w:sz w:val="22"/>
                <w:szCs w:val="22"/>
              </w:rPr>
              <w:t>3.725</w:t>
            </w:r>
          </w:p>
        </w:tc>
        <w:tc>
          <w:tcPr>
            <w:tcW w:w="2174" w:type="dxa"/>
            <w:vAlign w:val="bottom"/>
          </w:tcPr>
          <w:p>
            <w:pPr>
              <w:jc w:val="center"/>
              <w:rPr>
                <w:bCs/>
                <w:sz w:val="22"/>
                <w:szCs w:val="22"/>
              </w:rPr>
            </w:pPr>
            <w:r>
              <w:rPr>
                <w:bCs/>
                <w:sz w:val="22"/>
                <w:szCs w:val="22"/>
              </w:rPr>
              <w:t>1.474</w:t>
            </w:r>
          </w:p>
        </w:tc>
      </w:tr>
      <w:tr>
        <w:trPr>
          <w:gridAfter w:val="1"/>
          <w:wAfter w:w="33" w:type="dxa"/>
          <w:cantSplit/>
        </w:trPr>
        <w:tc>
          <w:tcPr>
            <w:tcW w:w="2173" w:type="dxa"/>
          </w:tcPr>
          <w:p>
            <w:pPr>
              <w:pStyle w:val="yTableNAm"/>
              <w:rPr>
                <w:szCs w:val="22"/>
              </w:rPr>
            </w:pPr>
            <w:r>
              <w:rPr>
                <w:szCs w:val="22"/>
              </w:rPr>
              <w:t>Fitzroy Crossing</w:t>
            </w:r>
          </w:p>
        </w:tc>
        <w:tc>
          <w:tcPr>
            <w:tcW w:w="2173" w:type="dxa"/>
            <w:vAlign w:val="bottom"/>
          </w:tcPr>
          <w:p>
            <w:pPr>
              <w:jc w:val="center"/>
              <w:rPr>
                <w:bCs/>
                <w:sz w:val="22"/>
                <w:szCs w:val="22"/>
              </w:rPr>
            </w:pPr>
            <w:r>
              <w:rPr>
                <w:bCs/>
                <w:sz w:val="22"/>
                <w:szCs w:val="22"/>
              </w:rPr>
              <w:t>12.000</w:t>
            </w:r>
          </w:p>
        </w:tc>
        <w:tc>
          <w:tcPr>
            <w:tcW w:w="2174" w:type="dxa"/>
            <w:vAlign w:val="bottom"/>
          </w:tcPr>
          <w:p>
            <w:pPr>
              <w:jc w:val="center"/>
              <w:rPr>
                <w:bCs/>
                <w:sz w:val="22"/>
                <w:szCs w:val="22"/>
              </w:rPr>
            </w:pPr>
            <w:r>
              <w:rPr>
                <w:bCs/>
                <w:sz w:val="22"/>
                <w:szCs w:val="22"/>
              </w:rPr>
              <w:t>10.874</w:t>
            </w:r>
          </w:p>
        </w:tc>
      </w:tr>
      <w:tr>
        <w:trPr>
          <w:gridAfter w:val="1"/>
          <w:wAfter w:w="33" w:type="dxa"/>
          <w:cantSplit/>
        </w:trPr>
        <w:tc>
          <w:tcPr>
            <w:tcW w:w="2173" w:type="dxa"/>
          </w:tcPr>
          <w:p>
            <w:pPr>
              <w:pStyle w:val="yTableNAm"/>
              <w:rPr>
                <w:szCs w:val="22"/>
              </w:rPr>
            </w:pPr>
            <w:r>
              <w:rPr>
                <w:szCs w:val="22"/>
              </w:rPr>
              <w:t>Geraldton</w:t>
            </w:r>
          </w:p>
        </w:tc>
        <w:tc>
          <w:tcPr>
            <w:tcW w:w="2173" w:type="dxa"/>
            <w:vAlign w:val="bottom"/>
          </w:tcPr>
          <w:p>
            <w:pPr>
              <w:jc w:val="center"/>
              <w:rPr>
                <w:bCs/>
                <w:sz w:val="22"/>
                <w:szCs w:val="22"/>
              </w:rPr>
            </w:pPr>
            <w:r>
              <w:rPr>
                <w:bCs/>
                <w:sz w:val="22"/>
                <w:szCs w:val="22"/>
              </w:rPr>
              <w:t>6.785</w:t>
            </w:r>
          </w:p>
        </w:tc>
        <w:tc>
          <w:tcPr>
            <w:tcW w:w="2174" w:type="dxa"/>
            <w:vAlign w:val="bottom"/>
          </w:tcPr>
          <w:p>
            <w:pPr>
              <w:jc w:val="center"/>
              <w:rPr>
                <w:bCs/>
                <w:sz w:val="22"/>
                <w:szCs w:val="22"/>
              </w:rPr>
            </w:pPr>
            <w:r>
              <w:rPr>
                <w:bCs/>
                <w:sz w:val="22"/>
                <w:szCs w:val="22"/>
              </w:rPr>
              <w:t>6.065</w:t>
            </w:r>
          </w:p>
        </w:tc>
      </w:tr>
      <w:tr>
        <w:trPr>
          <w:gridAfter w:val="1"/>
          <w:wAfter w:w="33" w:type="dxa"/>
          <w:cantSplit/>
        </w:trPr>
        <w:tc>
          <w:tcPr>
            <w:tcW w:w="2173" w:type="dxa"/>
          </w:tcPr>
          <w:p>
            <w:pPr>
              <w:pStyle w:val="yTableNAm"/>
              <w:rPr>
                <w:szCs w:val="22"/>
              </w:rPr>
            </w:pPr>
            <w:r>
              <w:rPr>
                <w:szCs w:val="22"/>
              </w:rPr>
              <w:t>Gnarabup</w:t>
            </w:r>
          </w:p>
        </w:tc>
        <w:tc>
          <w:tcPr>
            <w:tcW w:w="2173" w:type="dxa"/>
            <w:vAlign w:val="bottom"/>
          </w:tcPr>
          <w:p>
            <w:pPr>
              <w:jc w:val="center"/>
              <w:rPr>
                <w:bCs/>
                <w:sz w:val="22"/>
                <w:szCs w:val="22"/>
              </w:rPr>
            </w:pPr>
            <w:r>
              <w:rPr>
                <w:bCs/>
                <w:sz w:val="22"/>
                <w:szCs w:val="22"/>
              </w:rPr>
              <w:t>5.910</w:t>
            </w:r>
          </w:p>
        </w:tc>
        <w:tc>
          <w:tcPr>
            <w:tcW w:w="2174" w:type="dxa"/>
            <w:vAlign w:val="bottom"/>
          </w:tcPr>
          <w:p>
            <w:pPr>
              <w:jc w:val="center"/>
              <w:rPr>
                <w:bCs/>
                <w:sz w:val="22"/>
                <w:szCs w:val="22"/>
              </w:rPr>
            </w:pPr>
            <w:r>
              <w:rPr>
                <w:bCs/>
                <w:sz w:val="22"/>
                <w:szCs w:val="22"/>
              </w:rPr>
              <w:t>5.947</w:t>
            </w:r>
          </w:p>
        </w:tc>
      </w:tr>
      <w:tr>
        <w:trPr>
          <w:gridAfter w:val="1"/>
          <w:wAfter w:w="33" w:type="dxa"/>
          <w:cantSplit/>
        </w:trPr>
        <w:tc>
          <w:tcPr>
            <w:tcW w:w="2173" w:type="dxa"/>
          </w:tcPr>
          <w:p>
            <w:pPr>
              <w:pStyle w:val="yTableNAm"/>
              <w:rPr>
                <w:szCs w:val="22"/>
              </w:rPr>
            </w:pPr>
            <w:r>
              <w:rPr>
                <w:szCs w:val="22"/>
              </w:rPr>
              <w:t>Gnowangerup</w:t>
            </w:r>
          </w:p>
        </w:tc>
        <w:tc>
          <w:tcPr>
            <w:tcW w:w="2173" w:type="dxa"/>
            <w:vAlign w:val="bottom"/>
          </w:tcPr>
          <w:p>
            <w:pPr>
              <w:jc w:val="center"/>
              <w:rPr>
                <w:bCs/>
                <w:sz w:val="22"/>
                <w:szCs w:val="22"/>
              </w:rPr>
            </w:pPr>
            <w:r>
              <w:rPr>
                <w:bCs/>
                <w:sz w:val="22"/>
                <w:szCs w:val="22"/>
              </w:rPr>
              <w:t>10.733</w:t>
            </w:r>
          </w:p>
        </w:tc>
        <w:tc>
          <w:tcPr>
            <w:tcW w:w="2174" w:type="dxa"/>
            <w:vAlign w:val="bottom"/>
          </w:tcPr>
          <w:p>
            <w:pPr>
              <w:jc w:val="center"/>
              <w:rPr>
                <w:bCs/>
                <w:sz w:val="22"/>
                <w:szCs w:val="22"/>
              </w:rPr>
            </w:pPr>
            <w:r>
              <w:rPr>
                <w:bCs/>
                <w:sz w:val="22"/>
                <w:szCs w:val="22"/>
              </w:rPr>
              <w:t>12.000</w:t>
            </w:r>
          </w:p>
        </w:tc>
      </w:tr>
      <w:tr>
        <w:trPr>
          <w:gridAfter w:val="1"/>
          <w:wAfter w:w="33" w:type="dxa"/>
          <w:cantSplit/>
        </w:trPr>
        <w:tc>
          <w:tcPr>
            <w:tcW w:w="2173" w:type="dxa"/>
          </w:tcPr>
          <w:p>
            <w:pPr>
              <w:pStyle w:val="yTableNAm"/>
              <w:rPr>
                <w:szCs w:val="22"/>
              </w:rPr>
            </w:pPr>
            <w:r>
              <w:rPr>
                <w:szCs w:val="22"/>
              </w:rPr>
              <w:t>Greenhead</w:t>
            </w:r>
          </w:p>
        </w:tc>
        <w:tc>
          <w:tcPr>
            <w:tcW w:w="2173" w:type="dxa"/>
            <w:vAlign w:val="bottom"/>
          </w:tcPr>
          <w:p>
            <w:pPr>
              <w:jc w:val="center"/>
              <w:rPr>
                <w:bCs/>
                <w:sz w:val="22"/>
                <w:szCs w:val="22"/>
              </w:rPr>
            </w:pPr>
            <w:r>
              <w:rPr>
                <w:bCs/>
                <w:sz w:val="22"/>
                <w:szCs w:val="22"/>
              </w:rPr>
              <w:t>12.000</w:t>
            </w:r>
          </w:p>
        </w:tc>
        <w:tc>
          <w:tcPr>
            <w:tcW w:w="2174" w:type="dxa"/>
            <w:vAlign w:val="bottom"/>
          </w:tcPr>
          <w:p>
            <w:pPr>
              <w:jc w:val="center"/>
              <w:rPr>
                <w:bCs/>
                <w:sz w:val="22"/>
                <w:szCs w:val="22"/>
              </w:rPr>
            </w:pPr>
            <w:r>
              <w:rPr>
                <w:bCs/>
                <w:sz w:val="22"/>
                <w:szCs w:val="22"/>
              </w:rPr>
              <w:t>5.284</w:t>
            </w:r>
          </w:p>
        </w:tc>
      </w:tr>
      <w:tr>
        <w:trPr>
          <w:gridAfter w:val="1"/>
          <w:wAfter w:w="33" w:type="dxa"/>
          <w:cantSplit/>
        </w:trPr>
        <w:tc>
          <w:tcPr>
            <w:tcW w:w="2173" w:type="dxa"/>
          </w:tcPr>
          <w:p>
            <w:pPr>
              <w:pStyle w:val="yTableNAm"/>
              <w:rPr>
                <w:szCs w:val="22"/>
              </w:rPr>
            </w:pPr>
            <w:r>
              <w:rPr>
                <w:szCs w:val="22"/>
              </w:rPr>
              <w:t>Halls Creek</w:t>
            </w:r>
          </w:p>
        </w:tc>
        <w:tc>
          <w:tcPr>
            <w:tcW w:w="2173" w:type="dxa"/>
            <w:vAlign w:val="bottom"/>
          </w:tcPr>
          <w:p>
            <w:pPr>
              <w:jc w:val="center"/>
              <w:rPr>
                <w:bCs/>
                <w:sz w:val="22"/>
                <w:szCs w:val="22"/>
              </w:rPr>
            </w:pPr>
            <w:r>
              <w:rPr>
                <w:bCs/>
                <w:sz w:val="22"/>
                <w:szCs w:val="22"/>
              </w:rPr>
              <w:t>11.058</w:t>
            </w:r>
          </w:p>
        </w:tc>
        <w:tc>
          <w:tcPr>
            <w:tcW w:w="2174" w:type="dxa"/>
            <w:vAlign w:val="bottom"/>
          </w:tcPr>
          <w:p>
            <w:pPr>
              <w:jc w:val="center"/>
              <w:rPr>
                <w:bCs/>
                <w:sz w:val="22"/>
                <w:szCs w:val="22"/>
              </w:rPr>
            </w:pPr>
            <w:r>
              <w:rPr>
                <w:bCs/>
                <w:sz w:val="22"/>
                <w:szCs w:val="22"/>
              </w:rPr>
              <w:t>9.406</w:t>
            </w:r>
          </w:p>
        </w:tc>
      </w:tr>
      <w:tr>
        <w:trPr>
          <w:gridAfter w:val="1"/>
          <w:wAfter w:w="33" w:type="dxa"/>
          <w:cantSplit/>
        </w:trPr>
        <w:tc>
          <w:tcPr>
            <w:tcW w:w="2173" w:type="dxa"/>
          </w:tcPr>
          <w:p>
            <w:pPr>
              <w:pStyle w:val="yTableNAm"/>
              <w:rPr>
                <w:szCs w:val="22"/>
              </w:rPr>
            </w:pPr>
            <w:smartTag w:uri="urn:schemas-microsoft-com:office:smarttags" w:element="place">
              <w:smartTag w:uri="urn:schemas-microsoft-com:office:smarttags" w:element="City">
                <w:r>
                  <w:rPr>
                    <w:szCs w:val="22"/>
                  </w:rPr>
                  <w:t>Harvey</w:t>
                </w:r>
              </w:smartTag>
            </w:smartTag>
          </w:p>
        </w:tc>
        <w:tc>
          <w:tcPr>
            <w:tcW w:w="2173" w:type="dxa"/>
            <w:vAlign w:val="bottom"/>
          </w:tcPr>
          <w:p>
            <w:pPr>
              <w:jc w:val="center"/>
              <w:rPr>
                <w:bCs/>
                <w:sz w:val="22"/>
                <w:szCs w:val="22"/>
              </w:rPr>
            </w:pPr>
            <w:r>
              <w:rPr>
                <w:bCs/>
                <w:sz w:val="22"/>
                <w:szCs w:val="22"/>
              </w:rPr>
              <w:t>7.006</w:t>
            </w:r>
          </w:p>
        </w:tc>
        <w:tc>
          <w:tcPr>
            <w:tcW w:w="2174" w:type="dxa"/>
            <w:vAlign w:val="bottom"/>
          </w:tcPr>
          <w:p>
            <w:pPr>
              <w:jc w:val="center"/>
              <w:rPr>
                <w:bCs/>
                <w:sz w:val="22"/>
                <w:szCs w:val="22"/>
              </w:rPr>
            </w:pPr>
            <w:r>
              <w:rPr>
                <w:bCs/>
                <w:sz w:val="22"/>
                <w:szCs w:val="22"/>
              </w:rPr>
              <w:t>12.000</w:t>
            </w:r>
          </w:p>
        </w:tc>
      </w:tr>
      <w:tr>
        <w:trPr>
          <w:gridAfter w:val="1"/>
          <w:wAfter w:w="33" w:type="dxa"/>
          <w:cantSplit/>
        </w:trPr>
        <w:tc>
          <w:tcPr>
            <w:tcW w:w="2173" w:type="dxa"/>
          </w:tcPr>
          <w:p>
            <w:pPr>
              <w:pStyle w:val="yTableNAm"/>
              <w:rPr>
                <w:szCs w:val="22"/>
              </w:rPr>
            </w:pPr>
            <w:r>
              <w:rPr>
                <w:szCs w:val="22"/>
              </w:rPr>
              <w:t>Hopetoun</w:t>
            </w:r>
          </w:p>
        </w:tc>
        <w:tc>
          <w:tcPr>
            <w:tcW w:w="2173" w:type="dxa"/>
            <w:vAlign w:val="bottom"/>
          </w:tcPr>
          <w:p>
            <w:pPr>
              <w:jc w:val="center"/>
              <w:rPr>
                <w:bCs/>
                <w:sz w:val="22"/>
                <w:szCs w:val="22"/>
              </w:rPr>
            </w:pPr>
            <w:r>
              <w:rPr>
                <w:bCs/>
                <w:sz w:val="22"/>
                <w:szCs w:val="22"/>
              </w:rPr>
              <w:t>12.000</w:t>
            </w:r>
          </w:p>
        </w:tc>
        <w:tc>
          <w:tcPr>
            <w:tcW w:w="2174" w:type="dxa"/>
            <w:vAlign w:val="bottom"/>
          </w:tcPr>
          <w:p>
            <w:pPr>
              <w:jc w:val="center"/>
              <w:rPr>
                <w:bCs/>
                <w:sz w:val="22"/>
                <w:szCs w:val="22"/>
              </w:rPr>
            </w:pPr>
            <w:r>
              <w:rPr>
                <w:bCs/>
                <w:sz w:val="22"/>
                <w:szCs w:val="22"/>
              </w:rPr>
              <w:t>12.000</w:t>
            </w:r>
          </w:p>
        </w:tc>
      </w:tr>
      <w:tr>
        <w:trPr>
          <w:gridAfter w:val="1"/>
          <w:wAfter w:w="33" w:type="dxa"/>
          <w:cantSplit/>
        </w:trPr>
        <w:tc>
          <w:tcPr>
            <w:tcW w:w="2173" w:type="dxa"/>
          </w:tcPr>
          <w:p>
            <w:pPr>
              <w:pStyle w:val="yTableNAm"/>
              <w:rPr>
                <w:szCs w:val="22"/>
              </w:rPr>
            </w:pPr>
            <w:r>
              <w:rPr>
                <w:szCs w:val="22"/>
              </w:rPr>
              <w:t>Horrocks</w:t>
            </w:r>
          </w:p>
        </w:tc>
        <w:tc>
          <w:tcPr>
            <w:tcW w:w="2173" w:type="dxa"/>
            <w:vAlign w:val="bottom"/>
          </w:tcPr>
          <w:p>
            <w:pPr>
              <w:jc w:val="center"/>
              <w:rPr>
                <w:bCs/>
                <w:sz w:val="22"/>
                <w:szCs w:val="22"/>
              </w:rPr>
            </w:pPr>
            <w:r>
              <w:rPr>
                <w:bCs/>
                <w:sz w:val="22"/>
                <w:szCs w:val="22"/>
              </w:rPr>
              <w:t>12.000</w:t>
            </w:r>
          </w:p>
        </w:tc>
        <w:tc>
          <w:tcPr>
            <w:tcW w:w="2174" w:type="dxa"/>
            <w:vAlign w:val="bottom"/>
          </w:tcPr>
          <w:p>
            <w:pPr>
              <w:jc w:val="center"/>
              <w:rPr>
                <w:bCs/>
                <w:sz w:val="22"/>
                <w:szCs w:val="22"/>
              </w:rPr>
            </w:pPr>
            <w:r>
              <w:rPr>
                <w:bCs/>
                <w:sz w:val="22"/>
                <w:szCs w:val="22"/>
              </w:rPr>
              <w:t>10.453</w:t>
            </w:r>
          </w:p>
        </w:tc>
      </w:tr>
      <w:tr>
        <w:trPr>
          <w:gridAfter w:val="1"/>
          <w:wAfter w:w="33" w:type="dxa"/>
          <w:cantSplit/>
        </w:trPr>
        <w:tc>
          <w:tcPr>
            <w:tcW w:w="2173" w:type="dxa"/>
          </w:tcPr>
          <w:p>
            <w:pPr>
              <w:pStyle w:val="yTableNAm"/>
              <w:rPr>
                <w:szCs w:val="22"/>
              </w:rPr>
            </w:pPr>
            <w:smartTag w:uri="urn:schemas-microsoft-com:office:smarttags" w:element="place">
              <w:smartTag w:uri="urn:schemas-microsoft-com:office:smarttags" w:element="PlaceName">
                <w:r>
                  <w:rPr>
                    <w:szCs w:val="22"/>
                  </w:rPr>
                  <w:t>Jurien</w:t>
                </w:r>
              </w:smartTag>
              <w:r>
                <w:rPr>
                  <w:szCs w:val="22"/>
                </w:rPr>
                <w:t xml:space="preserve"> </w:t>
              </w:r>
              <w:smartTag w:uri="urn:schemas-microsoft-com:office:smarttags" w:element="PlaceType">
                <w:r>
                  <w:rPr>
                    <w:szCs w:val="22"/>
                  </w:rPr>
                  <w:t>Bay</w:t>
                </w:r>
              </w:smartTag>
            </w:smartTag>
          </w:p>
        </w:tc>
        <w:tc>
          <w:tcPr>
            <w:tcW w:w="2173" w:type="dxa"/>
            <w:vAlign w:val="bottom"/>
          </w:tcPr>
          <w:p>
            <w:pPr>
              <w:jc w:val="center"/>
              <w:rPr>
                <w:bCs/>
                <w:sz w:val="22"/>
                <w:szCs w:val="22"/>
              </w:rPr>
            </w:pPr>
            <w:r>
              <w:rPr>
                <w:bCs/>
                <w:sz w:val="22"/>
                <w:szCs w:val="22"/>
              </w:rPr>
              <w:t>10.354</w:t>
            </w:r>
          </w:p>
        </w:tc>
        <w:tc>
          <w:tcPr>
            <w:tcW w:w="2174" w:type="dxa"/>
            <w:vAlign w:val="bottom"/>
          </w:tcPr>
          <w:p>
            <w:pPr>
              <w:jc w:val="center"/>
              <w:rPr>
                <w:bCs/>
                <w:sz w:val="22"/>
                <w:szCs w:val="22"/>
              </w:rPr>
            </w:pPr>
            <w:r>
              <w:rPr>
                <w:bCs/>
                <w:sz w:val="22"/>
                <w:szCs w:val="22"/>
              </w:rPr>
              <w:t>4.430</w:t>
            </w:r>
          </w:p>
        </w:tc>
      </w:tr>
      <w:tr>
        <w:trPr>
          <w:gridAfter w:val="1"/>
          <w:wAfter w:w="33" w:type="dxa"/>
          <w:cantSplit/>
        </w:trPr>
        <w:tc>
          <w:tcPr>
            <w:tcW w:w="2173" w:type="dxa"/>
          </w:tcPr>
          <w:p>
            <w:pPr>
              <w:pStyle w:val="yTableNAm"/>
              <w:rPr>
                <w:szCs w:val="22"/>
              </w:rPr>
            </w:pPr>
            <w:r>
              <w:rPr>
                <w:szCs w:val="22"/>
              </w:rPr>
              <w:t>Kalbarri</w:t>
            </w:r>
          </w:p>
        </w:tc>
        <w:tc>
          <w:tcPr>
            <w:tcW w:w="2173" w:type="dxa"/>
            <w:vAlign w:val="bottom"/>
          </w:tcPr>
          <w:p>
            <w:pPr>
              <w:jc w:val="center"/>
              <w:rPr>
                <w:bCs/>
                <w:sz w:val="22"/>
                <w:szCs w:val="22"/>
              </w:rPr>
            </w:pPr>
            <w:r>
              <w:rPr>
                <w:bCs/>
                <w:sz w:val="22"/>
                <w:szCs w:val="22"/>
              </w:rPr>
              <w:t>6.820</w:t>
            </w:r>
          </w:p>
        </w:tc>
        <w:tc>
          <w:tcPr>
            <w:tcW w:w="2174" w:type="dxa"/>
            <w:vAlign w:val="bottom"/>
          </w:tcPr>
          <w:p>
            <w:pPr>
              <w:jc w:val="center"/>
              <w:rPr>
                <w:bCs/>
                <w:sz w:val="22"/>
                <w:szCs w:val="22"/>
              </w:rPr>
            </w:pPr>
            <w:r>
              <w:rPr>
                <w:bCs/>
                <w:sz w:val="22"/>
                <w:szCs w:val="22"/>
              </w:rPr>
              <w:t>3.504</w:t>
            </w:r>
          </w:p>
        </w:tc>
      </w:tr>
      <w:tr>
        <w:trPr>
          <w:gridAfter w:val="1"/>
          <w:wAfter w:w="33" w:type="dxa"/>
          <w:cantSplit/>
        </w:trPr>
        <w:tc>
          <w:tcPr>
            <w:tcW w:w="2173" w:type="dxa"/>
          </w:tcPr>
          <w:p>
            <w:pPr>
              <w:pStyle w:val="yTableNAm"/>
              <w:rPr>
                <w:szCs w:val="22"/>
              </w:rPr>
            </w:pPr>
            <w:r>
              <w:rPr>
                <w:szCs w:val="22"/>
              </w:rPr>
              <w:t>Kambalda</w:t>
            </w:r>
          </w:p>
        </w:tc>
        <w:tc>
          <w:tcPr>
            <w:tcW w:w="2173" w:type="dxa"/>
            <w:vAlign w:val="bottom"/>
          </w:tcPr>
          <w:p>
            <w:pPr>
              <w:jc w:val="center"/>
              <w:rPr>
                <w:bCs/>
                <w:sz w:val="22"/>
                <w:szCs w:val="22"/>
              </w:rPr>
            </w:pPr>
            <w:r>
              <w:rPr>
                <w:bCs/>
                <w:sz w:val="22"/>
                <w:szCs w:val="22"/>
              </w:rPr>
              <w:t>6.587</w:t>
            </w:r>
          </w:p>
        </w:tc>
        <w:tc>
          <w:tcPr>
            <w:tcW w:w="2174" w:type="dxa"/>
            <w:vAlign w:val="bottom"/>
          </w:tcPr>
          <w:p>
            <w:pPr>
              <w:jc w:val="center"/>
              <w:rPr>
                <w:bCs/>
                <w:sz w:val="22"/>
                <w:szCs w:val="22"/>
              </w:rPr>
            </w:pPr>
            <w:r>
              <w:rPr>
                <w:bCs/>
                <w:sz w:val="22"/>
                <w:szCs w:val="22"/>
              </w:rPr>
              <w:t>12.000</w:t>
            </w:r>
          </w:p>
        </w:tc>
      </w:tr>
      <w:tr>
        <w:trPr>
          <w:gridAfter w:val="1"/>
          <w:wAfter w:w="33" w:type="dxa"/>
          <w:cantSplit/>
        </w:trPr>
        <w:tc>
          <w:tcPr>
            <w:tcW w:w="2173" w:type="dxa"/>
          </w:tcPr>
          <w:p>
            <w:pPr>
              <w:pStyle w:val="yTableNAm"/>
              <w:rPr>
                <w:szCs w:val="22"/>
              </w:rPr>
            </w:pPr>
            <w:r>
              <w:rPr>
                <w:szCs w:val="22"/>
              </w:rPr>
              <w:t>Karratha</w:t>
            </w:r>
          </w:p>
        </w:tc>
        <w:tc>
          <w:tcPr>
            <w:tcW w:w="2173" w:type="dxa"/>
            <w:vAlign w:val="bottom"/>
          </w:tcPr>
          <w:p>
            <w:pPr>
              <w:jc w:val="center"/>
              <w:rPr>
                <w:bCs/>
                <w:sz w:val="22"/>
                <w:szCs w:val="22"/>
              </w:rPr>
            </w:pPr>
            <w:r>
              <w:rPr>
                <w:bCs/>
                <w:sz w:val="22"/>
                <w:szCs w:val="22"/>
              </w:rPr>
              <w:t>0.926</w:t>
            </w:r>
          </w:p>
        </w:tc>
        <w:tc>
          <w:tcPr>
            <w:tcW w:w="2174" w:type="dxa"/>
            <w:vAlign w:val="bottom"/>
          </w:tcPr>
          <w:p>
            <w:pPr>
              <w:jc w:val="center"/>
              <w:rPr>
                <w:bCs/>
                <w:sz w:val="22"/>
                <w:szCs w:val="22"/>
              </w:rPr>
            </w:pPr>
            <w:r>
              <w:rPr>
                <w:bCs/>
                <w:sz w:val="22"/>
                <w:szCs w:val="22"/>
              </w:rPr>
              <w:t>3.212</w:t>
            </w:r>
          </w:p>
        </w:tc>
      </w:tr>
      <w:tr>
        <w:trPr>
          <w:gridAfter w:val="1"/>
          <w:wAfter w:w="33" w:type="dxa"/>
          <w:cantSplit/>
        </w:trPr>
        <w:tc>
          <w:tcPr>
            <w:tcW w:w="2173" w:type="dxa"/>
          </w:tcPr>
          <w:p>
            <w:pPr>
              <w:pStyle w:val="yTableNAm"/>
              <w:rPr>
                <w:szCs w:val="22"/>
              </w:rPr>
            </w:pPr>
            <w:r>
              <w:rPr>
                <w:szCs w:val="22"/>
              </w:rPr>
              <w:t>Katanning</w:t>
            </w:r>
          </w:p>
        </w:tc>
        <w:tc>
          <w:tcPr>
            <w:tcW w:w="2173" w:type="dxa"/>
            <w:vAlign w:val="bottom"/>
          </w:tcPr>
          <w:p>
            <w:pPr>
              <w:jc w:val="center"/>
              <w:rPr>
                <w:bCs/>
                <w:sz w:val="22"/>
                <w:szCs w:val="22"/>
              </w:rPr>
            </w:pPr>
            <w:r>
              <w:rPr>
                <w:bCs/>
                <w:sz w:val="22"/>
                <w:szCs w:val="22"/>
              </w:rPr>
              <w:t>6.653</w:t>
            </w:r>
          </w:p>
        </w:tc>
        <w:tc>
          <w:tcPr>
            <w:tcW w:w="2174" w:type="dxa"/>
            <w:vAlign w:val="bottom"/>
          </w:tcPr>
          <w:p>
            <w:pPr>
              <w:jc w:val="center"/>
              <w:rPr>
                <w:bCs/>
                <w:sz w:val="22"/>
                <w:szCs w:val="22"/>
              </w:rPr>
            </w:pPr>
            <w:r>
              <w:rPr>
                <w:bCs/>
                <w:sz w:val="22"/>
                <w:szCs w:val="22"/>
              </w:rPr>
              <w:t>12.000</w:t>
            </w:r>
          </w:p>
        </w:tc>
      </w:tr>
      <w:tr>
        <w:trPr>
          <w:gridAfter w:val="1"/>
          <w:wAfter w:w="33" w:type="dxa"/>
          <w:cantSplit/>
        </w:trPr>
        <w:tc>
          <w:tcPr>
            <w:tcW w:w="2173" w:type="dxa"/>
          </w:tcPr>
          <w:p>
            <w:pPr>
              <w:pStyle w:val="yTableNAm"/>
              <w:rPr>
                <w:szCs w:val="22"/>
              </w:rPr>
            </w:pPr>
            <w:r>
              <w:rPr>
                <w:szCs w:val="22"/>
              </w:rPr>
              <w:t>Kellerberrin</w:t>
            </w:r>
          </w:p>
        </w:tc>
        <w:tc>
          <w:tcPr>
            <w:tcW w:w="2173" w:type="dxa"/>
            <w:vAlign w:val="bottom"/>
          </w:tcPr>
          <w:p>
            <w:pPr>
              <w:jc w:val="center"/>
              <w:rPr>
                <w:bCs/>
                <w:sz w:val="22"/>
                <w:szCs w:val="22"/>
              </w:rPr>
            </w:pPr>
            <w:r>
              <w:rPr>
                <w:bCs/>
                <w:sz w:val="22"/>
                <w:szCs w:val="22"/>
              </w:rPr>
              <w:t>12.000</w:t>
            </w:r>
          </w:p>
        </w:tc>
        <w:tc>
          <w:tcPr>
            <w:tcW w:w="2174" w:type="dxa"/>
            <w:vAlign w:val="bottom"/>
          </w:tcPr>
          <w:p>
            <w:pPr>
              <w:jc w:val="center"/>
              <w:rPr>
                <w:bCs/>
                <w:sz w:val="22"/>
                <w:szCs w:val="22"/>
              </w:rPr>
            </w:pPr>
            <w:r>
              <w:rPr>
                <w:bCs/>
                <w:sz w:val="22"/>
                <w:szCs w:val="22"/>
              </w:rPr>
              <w:t>12.000</w:t>
            </w:r>
          </w:p>
        </w:tc>
      </w:tr>
      <w:tr>
        <w:trPr>
          <w:gridAfter w:val="1"/>
          <w:wAfter w:w="33" w:type="dxa"/>
          <w:cantSplit/>
        </w:trPr>
        <w:tc>
          <w:tcPr>
            <w:tcW w:w="2173" w:type="dxa"/>
          </w:tcPr>
          <w:p>
            <w:pPr>
              <w:pStyle w:val="yTableNAm"/>
              <w:rPr>
                <w:szCs w:val="22"/>
              </w:rPr>
            </w:pPr>
            <w:r>
              <w:rPr>
                <w:szCs w:val="22"/>
              </w:rPr>
              <w:t>Kojonup</w:t>
            </w:r>
          </w:p>
        </w:tc>
        <w:tc>
          <w:tcPr>
            <w:tcW w:w="2173" w:type="dxa"/>
            <w:vAlign w:val="bottom"/>
          </w:tcPr>
          <w:p>
            <w:pPr>
              <w:jc w:val="center"/>
              <w:rPr>
                <w:bCs/>
                <w:sz w:val="22"/>
                <w:szCs w:val="22"/>
              </w:rPr>
            </w:pPr>
            <w:r>
              <w:rPr>
                <w:bCs/>
                <w:sz w:val="22"/>
                <w:szCs w:val="22"/>
              </w:rPr>
              <w:t>9.509</w:t>
            </w:r>
          </w:p>
        </w:tc>
        <w:tc>
          <w:tcPr>
            <w:tcW w:w="2174" w:type="dxa"/>
            <w:vAlign w:val="bottom"/>
          </w:tcPr>
          <w:p>
            <w:pPr>
              <w:jc w:val="center"/>
              <w:rPr>
                <w:bCs/>
                <w:sz w:val="22"/>
                <w:szCs w:val="22"/>
              </w:rPr>
            </w:pPr>
            <w:r>
              <w:rPr>
                <w:bCs/>
                <w:sz w:val="22"/>
                <w:szCs w:val="22"/>
              </w:rPr>
              <w:t>12.000</w:t>
            </w:r>
          </w:p>
        </w:tc>
      </w:tr>
      <w:tr>
        <w:trPr>
          <w:gridAfter w:val="1"/>
          <w:wAfter w:w="33" w:type="dxa"/>
          <w:cantSplit/>
        </w:trPr>
        <w:tc>
          <w:tcPr>
            <w:tcW w:w="2173" w:type="dxa"/>
          </w:tcPr>
          <w:p>
            <w:pPr>
              <w:pStyle w:val="yTableNAm"/>
              <w:rPr>
                <w:szCs w:val="22"/>
              </w:rPr>
            </w:pPr>
            <w:r>
              <w:rPr>
                <w:szCs w:val="22"/>
              </w:rPr>
              <w:t>Kulin</w:t>
            </w:r>
          </w:p>
        </w:tc>
        <w:tc>
          <w:tcPr>
            <w:tcW w:w="2173" w:type="dxa"/>
            <w:vAlign w:val="bottom"/>
          </w:tcPr>
          <w:p>
            <w:pPr>
              <w:jc w:val="center"/>
              <w:rPr>
                <w:bCs/>
                <w:sz w:val="22"/>
                <w:szCs w:val="22"/>
              </w:rPr>
            </w:pPr>
            <w:r>
              <w:rPr>
                <w:bCs/>
                <w:sz w:val="22"/>
                <w:szCs w:val="22"/>
              </w:rPr>
              <w:t>9.130</w:t>
            </w:r>
          </w:p>
        </w:tc>
        <w:tc>
          <w:tcPr>
            <w:tcW w:w="2174" w:type="dxa"/>
            <w:vAlign w:val="bottom"/>
          </w:tcPr>
          <w:p>
            <w:pPr>
              <w:jc w:val="center"/>
              <w:rPr>
                <w:bCs/>
                <w:sz w:val="22"/>
                <w:szCs w:val="22"/>
              </w:rPr>
            </w:pPr>
            <w:r>
              <w:rPr>
                <w:bCs/>
                <w:sz w:val="22"/>
                <w:szCs w:val="22"/>
              </w:rPr>
              <w:t>11.415</w:t>
            </w:r>
          </w:p>
        </w:tc>
      </w:tr>
      <w:tr>
        <w:trPr>
          <w:gridAfter w:val="1"/>
          <w:wAfter w:w="33" w:type="dxa"/>
          <w:cantSplit/>
        </w:trPr>
        <w:tc>
          <w:tcPr>
            <w:tcW w:w="2173" w:type="dxa"/>
          </w:tcPr>
          <w:p>
            <w:pPr>
              <w:pStyle w:val="yTableNAm"/>
              <w:rPr>
                <w:szCs w:val="22"/>
              </w:rPr>
            </w:pPr>
            <w:r>
              <w:rPr>
                <w:szCs w:val="22"/>
              </w:rPr>
              <w:t>Kununurra</w:t>
            </w:r>
          </w:p>
        </w:tc>
        <w:tc>
          <w:tcPr>
            <w:tcW w:w="2173" w:type="dxa"/>
            <w:vAlign w:val="bottom"/>
          </w:tcPr>
          <w:p>
            <w:pPr>
              <w:jc w:val="center"/>
              <w:rPr>
                <w:bCs/>
                <w:sz w:val="22"/>
                <w:szCs w:val="22"/>
              </w:rPr>
            </w:pPr>
            <w:r>
              <w:rPr>
                <w:bCs/>
                <w:sz w:val="22"/>
                <w:szCs w:val="22"/>
              </w:rPr>
              <w:t>4.134</w:t>
            </w:r>
          </w:p>
        </w:tc>
        <w:tc>
          <w:tcPr>
            <w:tcW w:w="2174" w:type="dxa"/>
            <w:vAlign w:val="bottom"/>
          </w:tcPr>
          <w:p>
            <w:pPr>
              <w:jc w:val="center"/>
              <w:rPr>
                <w:bCs/>
                <w:sz w:val="22"/>
                <w:szCs w:val="22"/>
              </w:rPr>
            </w:pPr>
            <w:r>
              <w:rPr>
                <w:bCs/>
                <w:sz w:val="22"/>
                <w:szCs w:val="22"/>
              </w:rPr>
              <w:t>5.774</w:t>
            </w:r>
          </w:p>
        </w:tc>
      </w:tr>
      <w:tr>
        <w:trPr>
          <w:gridAfter w:val="1"/>
          <w:wAfter w:w="33" w:type="dxa"/>
          <w:cantSplit/>
        </w:trPr>
        <w:tc>
          <w:tcPr>
            <w:tcW w:w="2173" w:type="dxa"/>
          </w:tcPr>
          <w:p>
            <w:pPr>
              <w:pStyle w:val="yTableNAm"/>
              <w:rPr>
                <w:szCs w:val="22"/>
              </w:rPr>
            </w:pPr>
            <w:r>
              <w:rPr>
                <w:szCs w:val="22"/>
              </w:rPr>
              <w:t>Lancelin</w:t>
            </w:r>
          </w:p>
        </w:tc>
        <w:tc>
          <w:tcPr>
            <w:tcW w:w="2173" w:type="dxa"/>
            <w:vAlign w:val="bottom"/>
          </w:tcPr>
          <w:p>
            <w:pPr>
              <w:jc w:val="center"/>
              <w:rPr>
                <w:bCs/>
                <w:sz w:val="22"/>
                <w:szCs w:val="22"/>
              </w:rPr>
            </w:pPr>
            <w:r>
              <w:rPr>
                <w:bCs/>
                <w:sz w:val="22"/>
                <w:szCs w:val="22"/>
              </w:rPr>
              <w:t>7.350</w:t>
            </w:r>
          </w:p>
        </w:tc>
        <w:tc>
          <w:tcPr>
            <w:tcW w:w="2174" w:type="dxa"/>
            <w:vAlign w:val="bottom"/>
          </w:tcPr>
          <w:p>
            <w:pPr>
              <w:jc w:val="center"/>
              <w:rPr>
                <w:bCs/>
                <w:sz w:val="22"/>
                <w:szCs w:val="22"/>
              </w:rPr>
            </w:pPr>
            <w:r>
              <w:rPr>
                <w:bCs/>
                <w:sz w:val="22"/>
                <w:szCs w:val="22"/>
              </w:rPr>
              <w:t>2.999</w:t>
            </w:r>
          </w:p>
        </w:tc>
      </w:tr>
      <w:tr>
        <w:trPr>
          <w:gridAfter w:val="1"/>
          <w:wAfter w:w="33" w:type="dxa"/>
          <w:cantSplit/>
        </w:trPr>
        <w:tc>
          <w:tcPr>
            <w:tcW w:w="2173" w:type="dxa"/>
          </w:tcPr>
          <w:p>
            <w:pPr>
              <w:pStyle w:val="yTableNAm"/>
              <w:rPr>
                <w:szCs w:val="22"/>
              </w:rPr>
            </w:pPr>
            <w:r>
              <w:rPr>
                <w:szCs w:val="22"/>
              </w:rPr>
              <w:t>Laverton</w:t>
            </w:r>
          </w:p>
        </w:tc>
        <w:tc>
          <w:tcPr>
            <w:tcW w:w="2173" w:type="dxa"/>
            <w:vAlign w:val="bottom"/>
          </w:tcPr>
          <w:p>
            <w:pPr>
              <w:jc w:val="center"/>
              <w:rPr>
                <w:bCs/>
                <w:sz w:val="22"/>
                <w:szCs w:val="22"/>
              </w:rPr>
            </w:pPr>
            <w:r>
              <w:rPr>
                <w:bCs/>
                <w:sz w:val="22"/>
                <w:szCs w:val="22"/>
              </w:rPr>
              <w:t>9.562</w:t>
            </w:r>
          </w:p>
        </w:tc>
        <w:tc>
          <w:tcPr>
            <w:tcW w:w="2174" w:type="dxa"/>
            <w:vAlign w:val="bottom"/>
          </w:tcPr>
          <w:p>
            <w:pPr>
              <w:jc w:val="center"/>
              <w:rPr>
                <w:bCs/>
                <w:sz w:val="22"/>
                <w:szCs w:val="22"/>
              </w:rPr>
            </w:pPr>
            <w:r>
              <w:rPr>
                <w:bCs/>
                <w:sz w:val="22"/>
                <w:szCs w:val="22"/>
              </w:rPr>
              <w:t>12.000</w:t>
            </w:r>
          </w:p>
        </w:tc>
      </w:tr>
      <w:tr>
        <w:trPr>
          <w:gridAfter w:val="1"/>
          <w:wAfter w:w="33" w:type="dxa"/>
          <w:cantSplit/>
        </w:trPr>
        <w:tc>
          <w:tcPr>
            <w:tcW w:w="2173" w:type="dxa"/>
          </w:tcPr>
          <w:p>
            <w:pPr>
              <w:pStyle w:val="yTableNAm"/>
              <w:rPr>
                <w:szCs w:val="22"/>
              </w:rPr>
            </w:pPr>
            <w:r>
              <w:rPr>
                <w:szCs w:val="22"/>
              </w:rPr>
              <w:t>Ledge Point</w:t>
            </w:r>
          </w:p>
        </w:tc>
        <w:tc>
          <w:tcPr>
            <w:tcW w:w="2173" w:type="dxa"/>
            <w:vAlign w:val="bottom"/>
          </w:tcPr>
          <w:p>
            <w:pPr>
              <w:jc w:val="center"/>
              <w:rPr>
                <w:bCs/>
                <w:sz w:val="22"/>
                <w:szCs w:val="22"/>
              </w:rPr>
            </w:pPr>
            <w:r>
              <w:rPr>
                <w:bCs/>
                <w:sz w:val="22"/>
                <w:szCs w:val="22"/>
              </w:rPr>
              <w:t>5.510</w:t>
            </w:r>
          </w:p>
        </w:tc>
        <w:tc>
          <w:tcPr>
            <w:tcW w:w="2174" w:type="dxa"/>
            <w:vAlign w:val="bottom"/>
          </w:tcPr>
          <w:p>
            <w:pPr>
              <w:jc w:val="center"/>
              <w:rPr>
                <w:bCs/>
                <w:sz w:val="22"/>
                <w:szCs w:val="22"/>
              </w:rPr>
            </w:pPr>
            <w:r>
              <w:rPr>
                <w:bCs/>
                <w:sz w:val="22"/>
                <w:szCs w:val="22"/>
              </w:rPr>
              <w:t>3.723</w:t>
            </w:r>
          </w:p>
        </w:tc>
      </w:tr>
      <w:tr>
        <w:trPr>
          <w:gridAfter w:val="1"/>
          <w:wAfter w:w="33" w:type="dxa"/>
          <w:cantSplit/>
        </w:trPr>
        <w:tc>
          <w:tcPr>
            <w:tcW w:w="2173" w:type="dxa"/>
          </w:tcPr>
          <w:p>
            <w:pPr>
              <w:pStyle w:val="yTableNAm"/>
              <w:rPr>
                <w:szCs w:val="22"/>
              </w:rPr>
            </w:pPr>
            <w:r>
              <w:rPr>
                <w:szCs w:val="22"/>
              </w:rPr>
              <w:t>Leeman</w:t>
            </w:r>
          </w:p>
        </w:tc>
        <w:tc>
          <w:tcPr>
            <w:tcW w:w="2173" w:type="dxa"/>
            <w:vAlign w:val="bottom"/>
          </w:tcPr>
          <w:p>
            <w:pPr>
              <w:jc w:val="center"/>
              <w:rPr>
                <w:bCs/>
                <w:sz w:val="22"/>
                <w:szCs w:val="22"/>
              </w:rPr>
            </w:pPr>
            <w:r>
              <w:rPr>
                <w:bCs/>
                <w:sz w:val="22"/>
                <w:szCs w:val="22"/>
              </w:rPr>
              <w:t>12.000</w:t>
            </w:r>
          </w:p>
        </w:tc>
        <w:tc>
          <w:tcPr>
            <w:tcW w:w="2174" w:type="dxa"/>
            <w:vAlign w:val="bottom"/>
          </w:tcPr>
          <w:p>
            <w:pPr>
              <w:jc w:val="center"/>
              <w:rPr>
                <w:bCs/>
                <w:sz w:val="22"/>
                <w:szCs w:val="22"/>
              </w:rPr>
            </w:pPr>
            <w:r>
              <w:rPr>
                <w:bCs/>
                <w:sz w:val="22"/>
                <w:szCs w:val="22"/>
              </w:rPr>
              <w:t>6.009</w:t>
            </w:r>
          </w:p>
        </w:tc>
      </w:tr>
      <w:tr>
        <w:trPr>
          <w:gridAfter w:val="1"/>
          <w:wAfter w:w="33" w:type="dxa"/>
          <w:cantSplit/>
        </w:trPr>
        <w:tc>
          <w:tcPr>
            <w:tcW w:w="2173" w:type="dxa"/>
          </w:tcPr>
          <w:p>
            <w:pPr>
              <w:pStyle w:val="yTableNAm"/>
              <w:rPr>
                <w:szCs w:val="22"/>
              </w:rPr>
            </w:pPr>
            <w:r>
              <w:rPr>
                <w:szCs w:val="22"/>
              </w:rPr>
              <w:t>Leonora</w:t>
            </w:r>
          </w:p>
        </w:tc>
        <w:tc>
          <w:tcPr>
            <w:tcW w:w="2173" w:type="dxa"/>
            <w:vAlign w:val="bottom"/>
          </w:tcPr>
          <w:p>
            <w:pPr>
              <w:jc w:val="center"/>
              <w:rPr>
                <w:bCs/>
                <w:sz w:val="22"/>
                <w:szCs w:val="22"/>
              </w:rPr>
            </w:pPr>
            <w:r>
              <w:rPr>
                <w:bCs/>
                <w:sz w:val="22"/>
                <w:szCs w:val="22"/>
              </w:rPr>
              <w:t>9.004</w:t>
            </w:r>
          </w:p>
        </w:tc>
        <w:tc>
          <w:tcPr>
            <w:tcW w:w="2174" w:type="dxa"/>
            <w:vAlign w:val="bottom"/>
          </w:tcPr>
          <w:p>
            <w:pPr>
              <w:jc w:val="center"/>
              <w:rPr>
                <w:bCs/>
                <w:sz w:val="22"/>
                <w:szCs w:val="22"/>
              </w:rPr>
            </w:pPr>
            <w:r>
              <w:rPr>
                <w:bCs/>
                <w:sz w:val="22"/>
                <w:szCs w:val="22"/>
              </w:rPr>
              <w:t>11.272</w:t>
            </w:r>
          </w:p>
        </w:tc>
      </w:tr>
      <w:tr>
        <w:trPr>
          <w:gridAfter w:val="1"/>
          <w:wAfter w:w="33" w:type="dxa"/>
          <w:cantSplit/>
        </w:trPr>
        <w:tc>
          <w:tcPr>
            <w:tcW w:w="2173" w:type="dxa"/>
          </w:tcPr>
          <w:p>
            <w:pPr>
              <w:pStyle w:val="yTableNAm"/>
              <w:rPr>
                <w:szCs w:val="22"/>
              </w:rPr>
            </w:pPr>
            <w:r>
              <w:rPr>
                <w:szCs w:val="22"/>
              </w:rPr>
              <w:t>Mandurah</w:t>
            </w:r>
          </w:p>
        </w:tc>
        <w:tc>
          <w:tcPr>
            <w:tcW w:w="2173" w:type="dxa"/>
            <w:vAlign w:val="bottom"/>
          </w:tcPr>
          <w:p>
            <w:pPr>
              <w:jc w:val="center"/>
              <w:rPr>
                <w:bCs/>
                <w:sz w:val="22"/>
                <w:szCs w:val="22"/>
              </w:rPr>
            </w:pPr>
            <w:r>
              <w:rPr>
                <w:bCs/>
                <w:sz w:val="22"/>
                <w:szCs w:val="22"/>
              </w:rPr>
              <w:t>6.119</w:t>
            </w:r>
          </w:p>
        </w:tc>
        <w:tc>
          <w:tcPr>
            <w:tcW w:w="2174" w:type="dxa"/>
            <w:vAlign w:val="bottom"/>
          </w:tcPr>
          <w:p>
            <w:pPr>
              <w:jc w:val="center"/>
              <w:rPr>
                <w:bCs/>
                <w:sz w:val="22"/>
                <w:szCs w:val="22"/>
              </w:rPr>
            </w:pPr>
            <w:r>
              <w:rPr>
                <w:bCs/>
                <w:sz w:val="22"/>
                <w:szCs w:val="22"/>
              </w:rPr>
              <w:t>5.444</w:t>
            </w:r>
          </w:p>
        </w:tc>
      </w:tr>
      <w:tr>
        <w:trPr>
          <w:gridAfter w:val="1"/>
          <w:wAfter w:w="33" w:type="dxa"/>
          <w:cantSplit/>
        </w:trPr>
        <w:tc>
          <w:tcPr>
            <w:tcW w:w="2173" w:type="dxa"/>
          </w:tcPr>
          <w:p>
            <w:pPr>
              <w:pStyle w:val="yTableNAm"/>
              <w:rPr>
                <w:szCs w:val="22"/>
              </w:rPr>
            </w:pPr>
            <w:r>
              <w:rPr>
                <w:szCs w:val="22"/>
              </w:rPr>
              <w:t>Manjimup</w:t>
            </w:r>
          </w:p>
        </w:tc>
        <w:tc>
          <w:tcPr>
            <w:tcW w:w="2173" w:type="dxa"/>
            <w:vAlign w:val="bottom"/>
          </w:tcPr>
          <w:p>
            <w:pPr>
              <w:jc w:val="center"/>
              <w:rPr>
                <w:bCs/>
                <w:sz w:val="22"/>
                <w:szCs w:val="22"/>
              </w:rPr>
            </w:pPr>
            <w:r>
              <w:rPr>
                <w:bCs/>
                <w:sz w:val="22"/>
                <w:szCs w:val="22"/>
              </w:rPr>
              <w:t>12.000</w:t>
            </w:r>
          </w:p>
        </w:tc>
        <w:tc>
          <w:tcPr>
            <w:tcW w:w="2174" w:type="dxa"/>
            <w:vAlign w:val="bottom"/>
          </w:tcPr>
          <w:p>
            <w:pPr>
              <w:jc w:val="center"/>
              <w:rPr>
                <w:bCs/>
                <w:sz w:val="22"/>
                <w:szCs w:val="22"/>
              </w:rPr>
            </w:pPr>
            <w:r>
              <w:rPr>
                <w:bCs/>
                <w:sz w:val="22"/>
                <w:szCs w:val="22"/>
              </w:rPr>
              <w:t>8.707</w:t>
            </w:r>
          </w:p>
        </w:tc>
      </w:tr>
      <w:tr>
        <w:trPr>
          <w:gridAfter w:val="1"/>
          <w:wAfter w:w="33" w:type="dxa"/>
          <w:cantSplit/>
        </w:trPr>
        <w:tc>
          <w:tcPr>
            <w:tcW w:w="2173" w:type="dxa"/>
          </w:tcPr>
          <w:p>
            <w:pPr>
              <w:pStyle w:val="yTableNAm"/>
              <w:rPr>
                <w:szCs w:val="22"/>
              </w:rPr>
            </w:pPr>
            <w:smartTag w:uri="urn:schemas-microsoft-com:office:smarttags" w:element="place">
              <w:smartTag w:uri="urn:schemas-microsoft-com:office:smarttags" w:element="PlaceName">
                <w:r>
                  <w:rPr>
                    <w:szCs w:val="22"/>
                  </w:rPr>
                  <w:t>Margaret</w:t>
                </w:r>
              </w:smartTag>
              <w:r>
                <w:rPr>
                  <w:szCs w:val="22"/>
                </w:rPr>
                <w:t xml:space="preserve"> </w:t>
              </w:r>
              <w:smartTag w:uri="urn:schemas-microsoft-com:office:smarttags" w:element="PlaceName">
                <w:r>
                  <w:rPr>
                    <w:szCs w:val="22"/>
                  </w:rPr>
                  <w:t>River</w:t>
                </w:r>
              </w:smartTag>
            </w:smartTag>
          </w:p>
        </w:tc>
        <w:tc>
          <w:tcPr>
            <w:tcW w:w="2173" w:type="dxa"/>
            <w:vAlign w:val="bottom"/>
          </w:tcPr>
          <w:p>
            <w:pPr>
              <w:jc w:val="center"/>
              <w:rPr>
                <w:bCs/>
                <w:sz w:val="22"/>
                <w:szCs w:val="22"/>
              </w:rPr>
            </w:pPr>
            <w:r>
              <w:rPr>
                <w:bCs/>
                <w:sz w:val="22"/>
                <w:szCs w:val="22"/>
              </w:rPr>
              <w:t>7.869</w:t>
            </w:r>
          </w:p>
        </w:tc>
        <w:tc>
          <w:tcPr>
            <w:tcW w:w="2174" w:type="dxa"/>
            <w:vAlign w:val="bottom"/>
          </w:tcPr>
          <w:p>
            <w:pPr>
              <w:jc w:val="center"/>
              <w:rPr>
                <w:bCs/>
                <w:sz w:val="22"/>
                <w:szCs w:val="22"/>
              </w:rPr>
            </w:pPr>
            <w:r>
              <w:rPr>
                <w:bCs/>
                <w:sz w:val="22"/>
                <w:szCs w:val="22"/>
              </w:rPr>
              <w:t>6.682</w:t>
            </w:r>
          </w:p>
        </w:tc>
      </w:tr>
      <w:tr>
        <w:trPr>
          <w:gridAfter w:val="1"/>
          <w:wAfter w:w="33" w:type="dxa"/>
          <w:cantSplit/>
        </w:trPr>
        <w:tc>
          <w:tcPr>
            <w:tcW w:w="2173" w:type="dxa"/>
          </w:tcPr>
          <w:p>
            <w:pPr>
              <w:pStyle w:val="yTableNAm"/>
              <w:rPr>
                <w:szCs w:val="22"/>
              </w:rPr>
            </w:pPr>
            <w:r>
              <w:rPr>
                <w:szCs w:val="22"/>
              </w:rPr>
              <w:t>Meckering</w:t>
            </w:r>
          </w:p>
        </w:tc>
        <w:tc>
          <w:tcPr>
            <w:tcW w:w="2173" w:type="dxa"/>
            <w:vAlign w:val="bottom"/>
          </w:tcPr>
          <w:p>
            <w:pPr>
              <w:jc w:val="center"/>
              <w:rPr>
                <w:bCs/>
                <w:sz w:val="22"/>
                <w:szCs w:val="22"/>
              </w:rPr>
            </w:pPr>
            <w:r>
              <w:rPr>
                <w:bCs/>
                <w:sz w:val="22"/>
                <w:szCs w:val="22"/>
              </w:rPr>
              <w:t>10.152</w:t>
            </w:r>
          </w:p>
        </w:tc>
        <w:tc>
          <w:tcPr>
            <w:tcW w:w="2174" w:type="dxa"/>
            <w:vAlign w:val="bottom"/>
          </w:tcPr>
          <w:p>
            <w:pPr>
              <w:jc w:val="center"/>
              <w:rPr>
                <w:bCs/>
                <w:sz w:val="22"/>
                <w:szCs w:val="22"/>
              </w:rPr>
            </w:pPr>
            <w:r>
              <w:rPr>
                <w:bCs/>
                <w:sz w:val="22"/>
                <w:szCs w:val="22"/>
              </w:rPr>
              <w:t>12.000</w:t>
            </w:r>
          </w:p>
        </w:tc>
      </w:tr>
      <w:tr>
        <w:trPr>
          <w:gridAfter w:val="1"/>
          <w:wAfter w:w="33" w:type="dxa"/>
          <w:cantSplit/>
        </w:trPr>
        <w:tc>
          <w:tcPr>
            <w:tcW w:w="2173" w:type="dxa"/>
          </w:tcPr>
          <w:p>
            <w:pPr>
              <w:pStyle w:val="yTableNAm"/>
              <w:rPr>
                <w:szCs w:val="22"/>
              </w:rPr>
            </w:pPr>
            <w:r>
              <w:rPr>
                <w:szCs w:val="22"/>
              </w:rPr>
              <w:t>Merredin</w:t>
            </w:r>
          </w:p>
        </w:tc>
        <w:tc>
          <w:tcPr>
            <w:tcW w:w="2173" w:type="dxa"/>
            <w:vAlign w:val="bottom"/>
          </w:tcPr>
          <w:p>
            <w:pPr>
              <w:jc w:val="center"/>
              <w:rPr>
                <w:bCs/>
                <w:sz w:val="22"/>
                <w:szCs w:val="22"/>
              </w:rPr>
            </w:pPr>
            <w:r>
              <w:rPr>
                <w:bCs/>
                <w:sz w:val="22"/>
                <w:szCs w:val="22"/>
              </w:rPr>
              <w:t>7.976</w:t>
            </w:r>
          </w:p>
        </w:tc>
        <w:tc>
          <w:tcPr>
            <w:tcW w:w="2174" w:type="dxa"/>
            <w:vAlign w:val="bottom"/>
          </w:tcPr>
          <w:p>
            <w:pPr>
              <w:jc w:val="center"/>
              <w:rPr>
                <w:bCs/>
                <w:sz w:val="22"/>
                <w:szCs w:val="22"/>
              </w:rPr>
            </w:pPr>
            <w:r>
              <w:rPr>
                <w:bCs/>
                <w:sz w:val="22"/>
                <w:szCs w:val="22"/>
              </w:rPr>
              <w:t>12.000</w:t>
            </w:r>
          </w:p>
        </w:tc>
      </w:tr>
      <w:tr>
        <w:trPr>
          <w:gridAfter w:val="1"/>
          <w:wAfter w:w="33" w:type="dxa"/>
          <w:cantSplit/>
        </w:trPr>
        <w:tc>
          <w:tcPr>
            <w:tcW w:w="2173" w:type="dxa"/>
          </w:tcPr>
          <w:p>
            <w:pPr>
              <w:pStyle w:val="yTableNAm"/>
              <w:rPr>
                <w:szCs w:val="22"/>
              </w:rPr>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Barker</w:t>
                </w:r>
              </w:smartTag>
            </w:smartTag>
          </w:p>
        </w:tc>
        <w:tc>
          <w:tcPr>
            <w:tcW w:w="2173" w:type="dxa"/>
            <w:vAlign w:val="bottom"/>
          </w:tcPr>
          <w:p>
            <w:pPr>
              <w:jc w:val="center"/>
              <w:rPr>
                <w:bCs/>
                <w:sz w:val="22"/>
                <w:szCs w:val="22"/>
              </w:rPr>
            </w:pPr>
            <w:r>
              <w:rPr>
                <w:bCs/>
                <w:sz w:val="22"/>
                <w:szCs w:val="22"/>
              </w:rPr>
              <w:t>11.226</w:t>
            </w:r>
          </w:p>
        </w:tc>
        <w:tc>
          <w:tcPr>
            <w:tcW w:w="2174" w:type="dxa"/>
            <w:vAlign w:val="bottom"/>
          </w:tcPr>
          <w:p>
            <w:pPr>
              <w:jc w:val="center"/>
              <w:rPr>
                <w:bCs/>
                <w:sz w:val="22"/>
                <w:szCs w:val="22"/>
              </w:rPr>
            </w:pPr>
            <w:r>
              <w:rPr>
                <w:bCs/>
                <w:sz w:val="22"/>
                <w:szCs w:val="22"/>
              </w:rPr>
              <w:t>5.998</w:t>
            </w:r>
          </w:p>
        </w:tc>
      </w:tr>
      <w:tr>
        <w:trPr>
          <w:gridAfter w:val="1"/>
          <w:wAfter w:w="33" w:type="dxa"/>
          <w:cantSplit/>
        </w:trPr>
        <w:tc>
          <w:tcPr>
            <w:tcW w:w="2173" w:type="dxa"/>
          </w:tcPr>
          <w:p>
            <w:pPr>
              <w:pStyle w:val="yTableNAm"/>
              <w:rPr>
                <w:szCs w:val="22"/>
              </w:rPr>
            </w:pPr>
            <w:r>
              <w:rPr>
                <w:szCs w:val="22"/>
              </w:rPr>
              <w:t>Mukinbudin</w:t>
            </w:r>
          </w:p>
        </w:tc>
        <w:tc>
          <w:tcPr>
            <w:tcW w:w="2173" w:type="dxa"/>
            <w:vAlign w:val="bottom"/>
          </w:tcPr>
          <w:p>
            <w:pPr>
              <w:jc w:val="center"/>
              <w:rPr>
                <w:bCs/>
                <w:sz w:val="22"/>
                <w:szCs w:val="22"/>
              </w:rPr>
            </w:pPr>
            <w:r>
              <w:rPr>
                <w:bCs/>
                <w:sz w:val="22"/>
                <w:szCs w:val="22"/>
              </w:rPr>
              <w:t>12.000</w:t>
            </w:r>
          </w:p>
        </w:tc>
        <w:tc>
          <w:tcPr>
            <w:tcW w:w="2174" w:type="dxa"/>
            <w:vAlign w:val="bottom"/>
          </w:tcPr>
          <w:p>
            <w:pPr>
              <w:jc w:val="center"/>
              <w:rPr>
                <w:bCs/>
                <w:sz w:val="22"/>
                <w:szCs w:val="22"/>
              </w:rPr>
            </w:pPr>
            <w:r>
              <w:rPr>
                <w:bCs/>
                <w:sz w:val="22"/>
                <w:szCs w:val="22"/>
              </w:rPr>
              <w:t>12.000</w:t>
            </w:r>
          </w:p>
        </w:tc>
      </w:tr>
      <w:tr>
        <w:trPr>
          <w:gridAfter w:val="1"/>
          <w:wAfter w:w="33" w:type="dxa"/>
          <w:cantSplit/>
        </w:trPr>
        <w:tc>
          <w:tcPr>
            <w:tcW w:w="2173" w:type="dxa"/>
          </w:tcPr>
          <w:p>
            <w:pPr>
              <w:pStyle w:val="yTableNAm"/>
              <w:rPr>
                <w:szCs w:val="22"/>
              </w:rPr>
            </w:pPr>
            <w:r>
              <w:rPr>
                <w:szCs w:val="22"/>
              </w:rPr>
              <w:t>Nannup</w:t>
            </w:r>
          </w:p>
        </w:tc>
        <w:tc>
          <w:tcPr>
            <w:tcW w:w="2173" w:type="dxa"/>
            <w:vAlign w:val="bottom"/>
          </w:tcPr>
          <w:p>
            <w:pPr>
              <w:jc w:val="center"/>
              <w:rPr>
                <w:bCs/>
                <w:sz w:val="22"/>
                <w:szCs w:val="22"/>
              </w:rPr>
            </w:pPr>
            <w:r>
              <w:rPr>
                <w:bCs/>
                <w:sz w:val="22"/>
                <w:szCs w:val="22"/>
              </w:rPr>
              <w:t>11.479</w:t>
            </w:r>
          </w:p>
        </w:tc>
        <w:tc>
          <w:tcPr>
            <w:tcW w:w="2174" w:type="dxa"/>
            <w:vAlign w:val="bottom"/>
          </w:tcPr>
          <w:p>
            <w:pPr>
              <w:jc w:val="center"/>
              <w:rPr>
                <w:bCs/>
                <w:sz w:val="22"/>
                <w:szCs w:val="22"/>
              </w:rPr>
            </w:pPr>
            <w:r>
              <w:rPr>
                <w:bCs/>
                <w:sz w:val="22"/>
                <w:szCs w:val="22"/>
              </w:rPr>
              <w:t>12.000</w:t>
            </w:r>
          </w:p>
        </w:tc>
      </w:tr>
      <w:tr>
        <w:trPr>
          <w:gridAfter w:val="1"/>
          <w:wAfter w:w="33" w:type="dxa"/>
          <w:cantSplit/>
        </w:trPr>
        <w:tc>
          <w:tcPr>
            <w:tcW w:w="2173" w:type="dxa"/>
          </w:tcPr>
          <w:p>
            <w:pPr>
              <w:pStyle w:val="yTableNAm"/>
              <w:rPr>
                <w:szCs w:val="22"/>
              </w:rPr>
            </w:pPr>
            <w:r>
              <w:rPr>
                <w:szCs w:val="22"/>
              </w:rPr>
              <w:t>Narembeen</w:t>
            </w:r>
          </w:p>
        </w:tc>
        <w:tc>
          <w:tcPr>
            <w:tcW w:w="2173" w:type="dxa"/>
            <w:vAlign w:val="bottom"/>
          </w:tcPr>
          <w:p>
            <w:pPr>
              <w:jc w:val="center"/>
              <w:rPr>
                <w:bCs/>
                <w:sz w:val="22"/>
                <w:szCs w:val="22"/>
              </w:rPr>
            </w:pPr>
            <w:r>
              <w:rPr>
                <w:bCs/>
                <w:sz w:val="22"/>
                <w:szCs w:val="22"/>
              </w:rPr>
              <w:t>11.186</w:t>
            </w:r>
          </w:p>
        </w:tc>
        <w:tc>
          <w:tcPr>
            <w:tcW w:w="2174" w:type="dxa"/>
            <w:vAlign w:val="bottom"/>
          </w:tcPr>
          <w:p>
            <w:pPr>
              <w:jc w:val="center"/>
              <w:rPr>
                <w:bCs/>
                <w:sz w:val="22"/>
                <w:szCs w:val="22"/>
              </w:rPr>
            </w:pPr>
            <w:r>
              <w:rPr>
                <w:bCs/>
                <w:sz w:val="22"/>
                <w:szCs w:val="22"/>
              </w:rPr>
              <w:t>12.000</w:t>
            </w:r>
          </w:p>
        </w:tc>
      </w:tr>
      <w:tr>
        <w:trPr>
          <w:gridAfter w:val="1"/>
          <w:wAfter w:w="33" w:type="dxa"/>
          <w:cantSplit/>
        </w:trPr>
        <w:tc>
          <w:tcPr>
            <w:tcW w:w="2173" w:type="dxa"/>
          </w:tcPr>
          <w:p>
            <w:pPr>
              <w:pStyle w:val="yTableNAm"/>
              <w:rPr>
                <w:szCs w:val="22"/>
              </w:rPr>
            </w:pPr>
            <w:r>
              <w:rPr>
                <w:szCs w:val="22"/>
              </w:rPr>
              <w:t>Narrogin</w:t>
            </w:r>
          </w:p>
        </w:tc>
        <w:tc>
          <w:tcPr>
            <w:tcW w:w="2173" w:type="dxa"/>
            <w:vAlign w:val="bottom"/>
          </w:tcPr>
          <w:p>
            <w:pPr>
              <w:jc w:val="center"/>
              <w:rPr>
                <w:bCs/>
                <w:sz w:val="22"/>
                <w:szCs w:val="22"/>
              </w:rPr>
            </w:pPr>
            <w:r>
              <w:rPr>
                <w:bCs/>
                <w:sz w:val="22"/>
                <w:szCs w:val="22"/>
              </w:rPr>
              <w:t>5.327</w:t>
            </w:r>
          </w:p>
        </w:tc>
        <w:tc>
          <w:tcPr>
            <w:tcW w:w="2174" w:type="dxa"/>
            <w:vAlign w:val="bottom"/>
          </w:tcPr>
          <w:p>
            <w:pPr>
              <w:jc w:val="center"/>
              <w:rPr>
                <w:bCs/>
                <w:sz w:val="22"/>
                <w:szCs w:val="22"/>
              </w:rPr>
            </w:pPr>
            <w:r>
              <w:rPr>
                <w:bCs/>
                <w:sz w:val="22"/>
                <w:szCs w:val="22"/>
              </w:rPr>
              <w:t>8.343</w:t>
            </w:r>
          </w:p>
        </w:tc>
      </w:tr>
      <w:tr>
        <w:trPr>
          <w:gridAfter w:val="1"/>
          <w:wAfter w:w="33" w:type="dxa"/>
          <w:cantSplit/>
        </w:trPr>
        <w:tc>
          <w:tcPr>
            <w:tcW w:w="2173" w:type="dxa"/>
          </w:tcPr>
          <w:p>
            <w:pPr>
              <w:pStyle w:val="yTableNAm"/>
              <w:rPr>
                <w:szCs w:val="22"/>
              </w:rPr>
            </w:pPr>
            <w:r>
              <w:rPr>
                <w:szCs w:val="22"/>
              </w:rPr>
              <w:t>Newdegate</w:t>
            </w:r>
          </w:p>
        </w:tc>
        <w:tc>
          <w:tcPr>
            <w:tcW w:w="2173" w:type="dxa"/>
            <w:vAlign w:val="bottom"/>
          </w:tcPr>
          <w:p>
            <w:pPr>
              <w:jc w:val="center"/>
              <w:rPr>
                <w:bCs/>
                <w:sz w:val="22"/>
                <w:szCs w:val="22"/>
              </w:rPr>
            </w:pPr>
            <w:r>
              <w:rPr>
                <w:bCs/>
                <w:sz w:val="22"/>
                <w:szCs w:val="22"/>
              </w:rPr>
              <w:t>12.000</w:t>
            </w:r>
          </w:p>
        </w:tc>
        <w:tc>
          <w:tcPr>
            <w:tcW w:w="2174" w:type="dxa"/>
            <w:vAlign w:val="bottom"/>
          </w:tcPr>
          <w:p>
            <w:pPr>
              <w:jc w:val="center"/>
              <w:rPr>
                <w:bCs/>
                <w:sz w:val="22"/>
                <w:szCs w:val="22"/>
              </w:rPr>
            </w:pPr>
            <w:r>
              <w:rPr>
                <w:bCs/>
                <w:sz w:val="22"/>
                <w:szCs w:val="22"/>
              </w:rPr>
              <w:t>12.000</w:t>
            </w:r>
          </w:p>
        </w:tc>
      </w:tr>
      <w:tr>
        <w:trPr>
          <w:gridAfter w:val="1"/>
          <w:wAfter w:w="33" w:type="dxa"/>
          <w:cantSplit/>
        </w:trPr>
        <w:tc>
          <w:tcPr>
            <w:tcW w:w="2173" w:type="dxa"/>
          </w:tcPr>
          <w:p>
            <w:pPr>
              <w:pStyle w:val="yTableNAm"/>
              <w:rPr>
                <w:szCs w:val="22"/>
              </w:rPr>
            </w:pPr>
            <w:r>
              <w:rPr>
                <w:szCs w:val="22"/>
              </w:rPr>
              <w:t>Newman</w:t>
            </w:r>
          </w:p>
        </w:tc>
        <w:tc>
          <w:tcPr>
            <w:tcW w:w="2173" w:type="dxa"/>
            <w:vAlign w:val="bottom"/>
          </w:tcPr>
          <w:p>
            <w:pPr>
              <w:jc w:val="center"/>
              <w:rPr>
                <w:bCs/>
                <w:sz w:val="22"/>
                <w:szCs w:val="22"/>
              </w:rPr>
            </w:pPr>
            <w:r>
              <w:rPr>
                <w:bCs/>
                <w:sz w:val="22"/>
                <w:szCs w:val="22"/>
              </w:rPr>
              <w:t>0.833</w:t>
            </w:r>
          </w:p>
        </w:tc>
        <w:tc>
          <w:tcPr>
            <w:tcW w:w="2174" w:type="dxa"/>
            <w:vAlign w:val="bottom"/>
          </w:tcPr>
          <w:p>
            <w:pPr>
              <w:jc w:val="center"/>
              <w:rPr>
                <w:bCs/>
                <w:sz w:val="22"/>
                <w:szCs w:val="22"/>
              </w:rPr>
            </w:pPr>
            <w:r>
              <w:rPr>
                <w:bCs/>
                <w:sz w:val="22"/>
                <w:szCs w:val="22"/>
              </w:rPr>
              <w:t>0.724</w:t>
            </w:r>
          </w:p>
        </w:tc>
      </w:tr>
      <w:tr>
        <w:trPr>
          <w:gridAfter w:val="1"/>
          <w:wAfter w:w="33" w:type="dxa"/>
          <w:cantSplit/>
        </w:trPr>
        <w:tc>
          <w:tcPr>
            <w:tcW w:w="2173" w:type="dxa"/>
          </w:tcPr>
          <w:p>
            <w:pPr>
              <w:pStyle w:val="yTableNAm"/>
              <w:rPr>
                <w:szCs w:val="22"/>
              </w:rPr>
            </w:pPr>
            <w:r>
              <w:rPr>
                <w:szCs w:val="22"/>
              </w:rPr>
              <w:t>Northam</w:t>
            </w:r>
          </w:p>
        </w:tc>
        <w:tc>
          <w:tcPr>
            <w:tcW w:w="2173" w:type="dxa"/>
            <w:vAlign w:val="bottom"/>
          </w:tcPr>
          <w:p>
            <w:pPr>
              <w:jc w:val="center"/>
              <w:rPr>
                <w:bCs/>
                <w:sz w:val="22"/>
                <w:szCs w:val="22"/>
              </w:rPr>
            </w:pPr>
            <w:r>
              <w:rPr>
                <w:bCs/>
                <w:sz w:val="22"/>
                <w:szCs w:val="22"/>
              </w:rPr>
              <w:t>7.510</w:t>
            </w:r>
          </w:p>
        </w:tc>
        <w:tc>
          <w:tcPr>
            <w:tcW w:w="2174" w:type="dxa"/>
            <w:vAlign w:val="bottom"/>
          </w:tcPr>
          <w:p>
            <w:pPr>
              <w:jc w:val="center"/>
              <w:rPr>
                <w:bCs/>
                <w:sz w:val="22"/>
                <w:szCs w:val="22"/>
              </w:rPr>
            </w:pPr>
            <w:r>
              <w:rPr>
                <w:bCs/>
                <w:sz w:val="22"/>
                <w:szCs w:val="22"/>
              </w:rPr>
              <w:t>12.000</w:t>
            </w:r>
          </w:p>
        </w:tc>
      </w:tr>
      <w:tr>
        <w:trPr>
          <w:gridAfter w:val="1"/>
          <w:wAfter w:w="33" w:type="dxa"/>
          <w:cantSplit/>
        </w:trPr>
        <w:tc>
          <w:tcPr>
            <w:tcW w:w="2173" w:type="dxa"/>
          </w:tcPr>
          <w:p>
            <w:pPr>
              <w:pStyle w:val="yTableNAm"/>
              <w:rPr>
                <w:szCs w:val="22"/>
              </w:rPr>
            </w:pPr>
            <w:r>
              <w:rPr>
                <w:szCs w:val="22"/>
              </w:rPr>
              <w:t>Onslow</w:t>
            </w:r>
          </w:p>
        </w:tc>
        <w:tc>
          <w:tcPr>
            <w:tcW w:w="2173" w:type="dxa"/>
            <w:vAlign w:val="bottom"/>
          </w:tcPr>
          <w:p>
            <w:pPr>
              <w:jc w:val="center"/>
              <w:rPr>
                <w:bCs/>
                <w:sz w:val="22"/>
                <w:szCs w:val="22"/>
              </w:rPr>
            </w:pPr>
            <w:r>
              <w:rPr>
                <w:bCs/>
                <w:sz w:val="22"/>
                <w:szCs w:val="22"/>
              </w:rPr>
              <w:t>10.517</w:t>
            </w:r>
          </w:p>
        </w:tc>
        <w:tc>
          <w:tcPr>
            <w:tcW w:w="2174" w:type="dxa"/>
            <w:vAlign w:val="bottom"/>
          </w:tcPr>
          <w:p>
            <w:pPr>
              <w:jc w:val="center"/>
              <w:rPr>
                <w:bCs/>
                <w:sz w:val="22"/>
                <w:szCs w:val="22"/>
              </w:rPr>
            </w:pPr>
            <w:r>
              <w:rPr>
                <w:bCs/>
                <w:sz w:val="22"/>
                <w:szCs w:val="22"/>
              </w:rPr>
              <w:t>2.389</w:t>
            </w:r>
          </w:p>
        </w:tc>
      </w:tr>
      <w:tr>
        <w:trPr>
          <w:gridAfter w:val="1"/>
          <w:wAfter w:w="33" w:type="dxa"/>
          <w:cantSplit/>
        </w:trPr>
        <w:tc>
          <w:tcPr>
            <w:tcW w:w="2173" w:type="dxa"/>
          </w:tcPr>
          <w:p>
            <w:pPr>
              <w:pStyle w:val="yTableNAm"/>
              <w:rPr>
                <w:szCs w:val="22"/>
              </w:rPr>
            </w:pPr>
            <w:r>
              <w:rPr>
                <w:szCs w:val="22"/>
              </w:rPr>
              <w:t>Pemberton</w:t>
            </w:r>
          </w:p>
        </w:tc>
        <w:tc>
          <w:tcPr>
            <w:tcW w:w="2173" w:type="dxa"/>
            <w:vAlign w:val="bottom"/>
          </w:tcPr>
          <w:p>
            <w:pPr>
              <w:jc w:val="center"/>
              <w:rPr>
                <w:bCs/>
                <w:sz w:val="22"/>
                <w:szCs w:val="22"/>
              </w:rPr>
            </w:pPr>
            <w:r>
              <w:rPr>
                <w:bCs/>
                <w:sz w:val="22"/>
                <w:szCs w:val="22"/>
              </w:rPr>
              <w:t>10.986</w:t>
            </w:r>
          </w:p>
        </w:tc>
        <w:tc>
          <w:tcPr>
            <w:tcW w:w="2174" w:type="dxa"/>
            <w:vAlign w:val="bottom"/>
          </w:tcPr>
          <w:p>
            <w:pPr>
              <w:jc w:val="center"/>
              <w:rPr>
                <w:bCs/>
                <w:sz w:val="22"/>
                <w:szCs w:val="22"/>
              </w:rPr>
            </w:pPr>
            <w:r>
              <w:rPr>
                <w:bCs/>
                <w:sz w:val="22"/>
                <w:szCs w:val="22"/>
              </w:rPr>
              <w:t>12.000</w:t>
            </w:r>
          </w:p>
        </w:tc>
      </w:tr>
      <w:tr>
        <w:trPr>
          <w:gridAfter w:val="1"/>
          <w:wAfter w:w="33" w:type="dxa"/>
          <w:cantSplit/>
        </w:trPr>
        <w:tc>
          <w:tcPr>
            <w:tcW w:w="2173" w:type="dxa"/>
          </w:tcPr>
          <w:p>
            <w:pPr>
              <w:pStyle w:val="yTableNAm"/>
              <w:rPr>
                <w:szCs w:val="22"/>
              </w:rPr>
            </w:pPr>
            <w:r>
              <w:rPr>
                <w:szCs w:val="22"/>
              </w:rPr>
              <w:t>Pingelly</w:t>
            </w:r>
          </w:p>
        </w:tc>
        <w:tc>
          <w:tcPr>
            <w:tcW w:w="2173" w:type="dxa"/>
            <w:vAlign w:val="bottom"/>
          </w:tcPr>
          <w:p>
            <w:pPr>
              <w:jc w:val="center"/>
              <w:rPr>
                <w:bCs/>
                <w:sz w:val="22"/>
                <w:szCs w:val="22"/>
              </w:rPr>
            </w:pPr>
            <w:r>
              <w:rPr>
                <w:bCs/>
                <w:sz w:val="22"/>
                <w:szCs w:val="22"/>
              </w:rPr>
              <w:t>9.299</w:t>
            </w:r>
          </w:p>
        </w:tc>
        <w:tc>
          <w:tcPr>
            <w:tcW w:w="2174" w:type="dxa"/>
            <w:vAlign w:val="bottom"/>
          </w:tcPr>
          <w:p>
            <w:pPr>
              <w:jc w:val="center"/>
              <w:rPr>
                <w:bCs/>
                <w:sz w:val="22"/>
                <w:szCs w:val="22"/>
              </w:rPr>
            </w:pPr>
            <w:r>
              <w:rPr>
                <w:bCs/>
                <w:sz w:val="22"/>
                <w:szCs w:val="22"/>
              </w:rPr>
              <w:t>12.000</w:t>
            </w:r>
          </w:p>
        </w:tc>
      </w:tr>
      <w:tr>
        <w:trPr>
          <w:gridAfter w:val="1"/>
          <w:wAfter w:w="33" w:type="dxa"/>
          <w:cantSplit/>
        </w:trPr>
        <w:tc>
          <w:tcPr>
            <w:tcW w:w="2173" w:type="dxa"/>
          </w:tcPr>
          <w:p>
            <w:pPr>
              <w:pStyle w:val="yTableNAm"/>
              <w:rPr>
                <w:szCs w:val="22"/>
              </w:rPr>
            </w:pPr>
            <w:r>
              <w:rPr>
                <w:szCs w:val="22"/>
              </w:rPr>
              <w:t>Pinjarra</w:t>
            </w:r>
          </w:p>
        </w:tc>
        <w:tc>
          <w:tcPr>
            <w:tcW w:w="2173" w:type="dxa"/>
            <w:vAlign w:val="bottom"/>
          </w:tcPr>
          <w:p>
            <w:pPr>
              <w:jc w:val="center"/>
              <w:rPr>
                <w:bCs/>
                <w:sz w:val="22"/>
                <w:szCs w:val="22"/>
              </w:rPr>
            </w:pPr>
            <w:r>
              <w:rPr>
                <w:bCs/>
                <w:sz w:val="22"/>
                <w:szCs w:val="22"/>
              </w:rPr>
              <w:t>6.555</w:t>
            </w:r>
          </w:p>
        </w:tc>
        <w:tc>
          <w:tcPr>
            <w:tcW w:w="2174" w:type="dxa"/>
            <w:vAlign w:val="bottom"/>
          </w:tcPr>
          <w:p>
            <w:pPr>
              <w:jc w:val="center"/>
              <w:rPr>
                <w:bCs/>
                <w:sz w:val="22"/>
                <w:szCs w:val="22"/>
              </w:rPr>
            </w:pPr>
            <w:r>
              <w:rPr>
                <w:bCs/>
                <w:sz w:val="22"/>
                <w:szCs w:val="22"/>
              </w:rPr>
              <w:t>3.834</w:t>
            </w:r>
          </w:p>
        </w:tc>
      </w:tr>
      <w:tr>
        <w:trPr>
          <w:gridAfter w:val="1"/>
          <w:wAfter w:w="33" w:type="dxa"/>
          <w:cantSplit/>
        </w:trPr>
        <w:tc>
          <w:tcPr>
            <w:tcW w:w="2173" w:type="dxa"/>
          </w:tcPr>
          <w:p>
            <w:pPr>
              <w:pStyle w:val="yTableNAm"/>
              <w:rPr>
                <w:szCs w:val="22"/>
              </w:rPr>
            </w:pPr>
            <w:r>
              <w:rPr>
                <w:szCs w:val="22"/>
              </w:rPr>
              <w:t>Port Hedland</w:t>
            </w:r>
          </w:p>
        </w:tc>
        <w:tc>
          <w:tcPr>
            <w:tcW w:w="2173" w:type="dxa"/>
            <w:vAlign w:val="bottom"/>
          </w:tcPr>
          <w:p>
            <w:pPr>
              <w:jc w:val="center"/>
              <w:rPr>
                <w:bCs/>
                <w:sz w:val="22"/>
                <w:szCs w:val="22"/>
              </w:rPr>
            </w:pPr>
            <w:r>
              <w:rPr>
                <w:bCs/>
                <w:sz w:val="22"/>
                <w:szCs w:val="22"/>
              </w:rPr>
              <w:t>12.000</w:t>
            </w:r>
          </w:p>
        </w:tc>
        <w:tc>
          <w:tcPr>
            <w:tcW w:w="2174" w:type="dxa"/>
            <w:vAlign w:val="bottom"/>
          </w:tcPr>
          <w:p>
            <w:pPr>
              <w:jc w:val="center"/>
              <w:rPr>
                <w:bCs/>
                <w:sz w:val="22"/>
                <w:szCs w:val="22"/>
              </w:rPr>
            </w:pPr>
            <w:r>
              <w:rPr>
                <w:bCs/>
                <w:sz w:val="22"/>
                <w:szCs w:val="22"/>
              </w:rPr>
              <w:t>2.223</w:t>
            </w:r>
          </w:p>
        </w:tc>
      </w:tr>
      <w:tr>
        <w:trPr>
          <w:gridAfter w:val="1"/>
          <w:wAfter w:w="33" w:type="dxa"/>
          <w:cantSplit/>
        </w:trPr>
        <w:tc>
          <w:tcPr>
            <w:tcW w:w="2173" w:type="dxa"/>
          </w:tcPr>
          <w:p>
            <w:pPr>
              <w:pStyle w:val="yTableNAm"/>
              <w:rPr>
                <w:szCs w:val="22"/>
              </w:rPr>
            </w:pPr>
            <w:r>
              <w:rPr>
                <w:szCs w:val="22"/>
              </w:rPr>
              <w:t>Quairading</w:t>
            </w:r>
          </w:p>
        </w:tc>
        <w:tc>
          <w:tcPr>
            <w:tcW w:w="2173" w:type="dxa"/>
            <w:vAlign w:val="bottom"/>
          </w:tcPr>
          <w:p>
            <w:pPr>
              <w:jc w:val="center"/>
              <w:rPr>
                <w:bCs/>
                <w:sz w:val="22"/>
                <w:szCs w:val="22"/>
              </w:rPr>
            </w:pPr>
            <w:r>
              <w:rPr>
                <w:bCs/>
                <w:sz w:val="22"/>
                <w:szCs w:val="22"/>
              </w:rPr>
              <w:t>12.000</w:t>
            </w:r>
          </w:p>
        </w:tc>
        <w:tc>
          <w:tcPr>
            <w:tcW w:w="2174" w:type="dxa"/>
            <w:vAlign w:val="bottom"/>
          </w:tcPr>
          <w:p>
            <w:pPr>
              <w:jc w:val="center"/>
              <w:rPr>
                <w:bCs/>
                <w:sz w:val="22"/>
                <w:szCs w:val="22"/>
              </w:rPr>
            </w:pPr>
            <w:r>
              <w:rPr>
                <w:bCs/>
                <w:sz w:val="22"/>
                <w:szCs w:val="22"/>
              </w:rPr>
              <w:t>9.810</w:t>
            </w:r>
          </w:p>
        </w:tc>
      </w:tr>
      <w:tr>
        <w:trPr>
          <w:gridAfter w:val="1"/>
          <w:wAfter w:w="33" w:type="dxa"/>
          <w:cantSplit/>
        </w:trPr>
        <w:tc>
          <w:tcPr>
            <w:tcW w:w="2173" w:type="dxa"/>
          </w:tcPr>
          <w:p>
            <w:pPr>
              <w:pStyle w:val="yTableNAm"/>
              <w:rPr>
                <w:szCs w:val="22"/>
              </w:rPr>
            </w:pPr>
            <w:r>
              <w:rPr>
                <w:szCs w:val="22"/>
              </w:rPr>
              <w:t>Roebourne</w:t>
            </w:r>
          </w:p>
        </w:tc>
        <w:tc>
          <w:tcPr>
            <w:tcW w:w="2173" w:type="dxa"/>
            <w:vAlign w:val="bottom"/>
          </w:tcPr>
          <w:p>
            <w:pPr>
              <w:jc w:val="center"/>
              <w:rPr>
                <w:bCs/>
                <w:sz w:val="22"/>
                <w:szCs w:val="22"/>
              </w:rPr>
            </w:pPr>
            <w:r>
              <w:rPr>
                <w:bCs/>
                <w:sz w:val="22"/>
                <w:szCs w:val="22"/>
              </w:rPr>
              <w:t>7.150</w:t>
            </w:r>
          </w:p>
        </w:tc>
        <w:tc>
          <w:tcPr>
            <w:tcW w:w="2174" w:type="dxa"/>
            <w:vAlign w:val="bottom"/>
          </w:tcPr>
          <w:p>
            <w:pPr>
              <w:jc w:val="center"/>
              <w:rPr>
                <w:bCs/>
                <w:sz w:val="22"/>
                <w:szCs w:val="22"/>
              </w:rPr>
            </w:pPr>
            <w:r>
              <w:rPr>
                <w:bCs/>
                <w:sz w:val="22"/>
                <w:szCs w:val="22"/>
              </w:rPr>
              <w:t>8.630</w:t>
            </w:r>
          </w:p>
        </w:tc>
      </w:tr>
      <w:tr>
        <w:trPr>
          <w:gridAfter w:val="1"/>
          <w:wAfter w:w="33" w:type="dxa"/>
          <w:cantSplit/>
        </w:trPr>
        <w:tc>
          <w:tcPr>
            <w:tcW w:w="2173" w:type="dxa"/>
          </w:tcPr>
          <w:p>
            <w:pPr>
              <w:pStyle w:val="yTableNAm"/>
              <w:rPr>
                <w:szCs w:val="22"/>
              </w:rPr>
            </w:pPr>
            <w:r>
              <w:rPr>
                <w:szCs w:val="22"/>
              </w:rPr>
              <w:t>Seabird</w:t>
            </w:r>
          </w:p>
        </w:tc>
        <w:tc>
          <w:tcPr>
            <w:tcW w:w="2173" w:type="dxa"/>
            <w:vAlign w:val="bottom"/>
          </w:tcPr>
          <w:p>
            <w:pPr>
              <w:jc w:val="center"/>
              <w:rPr>
                <w:bCs/>
                <w:sz w:val="22"/>
                <w:szCs w:val="22"/>
              </w:rPr>
            </w:pPr>
            <w:r>
              <w:rPr>
                <w:bCs/>
                <w:sz w:val="22"/>
                <w:szCs w:val="22"/>
              </w:rPr>
              <w:t>8.409</w:t>
            </w:r>
          </w:p>
        </w:tc>
        <w:tc>
          <w:tcPr>
            <w:tcW w:w="2174" w:type="dxa"/>
            <w:vAlign w:val="bottom"/>
          </w:tcPr>
          <w:p>
            <w:pPr>
              <w:jc w:val="center"/>
              <w:rPr>
                <w:bCs/>
                <w:sz w:val="22"/>
                <w:szCs w:val="22"/>
              </w:rPr>
            </w:pPr>
            <w:r>
              <w:rPr>
                <w:bCs/>
                <w:sz w:val="22"/>
                <w:szCs w:val="22"/>
              </w:rPr>
              <w:t>6.142</w:t>
            </w:r>
          </w:p>
        </w:tc>
      </w:tr>
      <w:tr>
        <w:tblPrEx>
          <w:tblCellMar>
            <w:left w:w="108" w:type="dxa"/>
            <w:right w:w="108" w:type="dxa"/>
          </w:tblCellMar>
        </w:tblPrEx>
        <w:trPr>
          <w:cantSplit/>
        </w:trPr>
        <w:tc>
          <w:tcPr>
            <w:tcW w:w="2173" w:type="dxa"/>
          </w:tcPr>
          <w:p>
            <w:pPr>
              <w:pStyle w:val="yTableNAm"/>
              <w:rPr>
                <w:szCs w:val="22"/>
              </w:rPr>
            </w:pPr>
            <w:r>
              <w:rPr>
                <w:szCs w:val="22"/>
              </w:rPr>
              <w:t>Tambellup</w:t>
            </w:r>
          </w:p>
        </w:tc>
        <w:tc>
          <w:tcPr>
            <w:tcW w:w="2173" w:type="dxa"/>
            <w:vAlign w:val="bottom"/>
          </w:tcPr>
          <w:p>
            <w:pPr>
              <w:jc w:val="center"/>
              <w:rPr>
                <w:bCs/>
                <w:sz w:val="22"/>
                <w:szCs w:val="22"/>
              </w:rPr>
            </w:pPr>
            <w:r>
              <w:rPr>
                <w:bCs/>
                <w:sz w:val="22"/>
                <w:szCs w:val="22"/>
              </w:rPr>
              <w:t>12.000</w:t>
            </w:r>
          </w:p>
        </w:tc>
        <w:tc>
          <w:tcPr>
            <w:tcW w:w="2207" w:type="dxa"/>
            <w:gridSpan w:val="2"/>
            <w:vAlign w:val="bottom"/>
          </w:tcPr>
          <w:p>
            <w:pPr>
              <w:jc w:val="center"/>
              <w:rPr>
                <w:bCs/>
                <w:sz w:val="22"/>
                <w:szCs w:val="22"/>
              </w:rPr>
            </w:pPr>
            <w:r>
              <w:rPr>
                <w:bCs/>
                <w:sz w:val="22"/>
                <w:szCs w:val="22"/>
              </w:rPr>
              <w:t>12.000</w:t>
            </w:r>
          </w:p>
        </w:tc>
      </w:tr>
      <w:tr>
        <w:trPr>
          <w:gridAfter w:val="1"/>
          <w:wAfter w:w="33" w:type="dxa"/>
          <w:cantSplit/>
        </w:trPr>
        <w:tc>
          <w:tcPr>
            <w:tcW w:w="2173" w:type="dxa"/>
          </w:tcPr>
          <w:p>
            <w:pPr>
              <w:pStyle w:val="yTableNAm"/>
              <w:rPr>
                <w:szCs w:val="22"/>
              </w:rPr>
            </w:pPr>
            <w:r>
              <w:rPr>
                <w:szCs w:val="22"/>
              </w:rPr>
              <w:t>Three Springs</w:t>
            </w:r>
          </w:p>
        </w:tc>
        <w:tc>
          <w:tcPr>
            <w:tcW w:w="2173" w:type="dxa"/>
            <w:vAlign w:val="bottom"/>
          </w:tcPr>
          <w:p>
            <w:pPr>
              <w:jc w:val="center"/>
              <w:rPr>
                <w:bCs/>
                <w:sz w:val="22"/>
                <w:szCs w:val="22"/>
              </w:rPr>
            </w:pPr>
            <w:r>
              <w:rPr>
                <w:bCs/>
                <w:sz w:val="22"/>
                <w:szCs w:val="22"/>
              </w:rPr>
              <w:t>7.804</w:t>
            </w:r>
          </w:p>
        </w:tc>
        <w:tc>
          <w:tcPr>
            <w:tcW w:w="2174" w:type="dxa"/>
            <w:vAlign w:val="bottom"/>
          </w:tcPr>
          <w:p>
            <w:pPr>
              <w:jc w:val="center"/>
              <w:rPr>
                <w:bCs/>
                <w:sz w:val="22"/>
                <w:szCs w:val="22"/>
              </w:rPr>
            </w:pPr>
            <w:r>
              <w:rPr>
                <w:bCs/>
                <w:sz w:val="22"/>
                <w:szCs w:val="22"/>
              </w:rPr>
              <w:t>12.000</w:t>
            </w:r>
          </w:p>
        </w:tc>
      </w:tr>
      <w:tr>
        <w:trPr>
          <w:gridAfter w:val="1"/>
          <w:wAfter w:w="33" w:type="dxa"/>
          <w:cantSplit/>
        </w:trPr>
        <w:tc>
          <w:tcPr>
            <w:tcW w:w="2173" w:type="dxa"/>
          </w:tcPr>
          <w:p>
            <w:pPr>
              <w:pStyle w:val="yTableNAm"/>
              <w:rPr>
                <w:szCs w:val="22"/>
              </w:rPr>
            </w:pPr>
            <w:r>
              <w:rPr>
                <w:szCs w:val="22"/>
              </w:rPr>
              <w:t>Toodyay</w:t>
            </w:r>
          </w:p>
        </w:tc>
        <w:tc>
          <w:tcPr>
            <w:tcW w:w="2173" w:type="dxa"/>
            <w:vAlign w:val="bottom"/>
          </w:tcPr>
          <w:p>
            <w:pPr>
              <w:jc w:val="center"/>
              <w:rPr>
                <w:bCs/>
                <w:sz w:val="22"/>
                <w:szCs w:val="22"/>
              </w:rPr>
            </w:pPr>
            <w:r>
              <w:rPr>
                <w:bCs/>
                <w:sz w:val="22"/>
                <w:szCs w:val="22"/>
              </w:rPr>
              <w:t>12.000</w:t>
            </w:r>
          </w:p>
        </w:tc>
        <w:tc>
          <w:tcPr>
            <w:tcW w:w="2174" w:type="dxa"/>
            <w:vAlign w:val="bottom"/>
          </w:tcPr>
          <w:p>
            <w:pPr>
              <w:jc w:val="center"/>
              <w:rPr>
                <w:bCs/>
                <w:sz w:val="22"/>
                <w:szCs w:val="22"/>
              </w:rPr>
            </w:pPr>
            <w:r>
              <w:rPr>
                <w:bCs/>
                <w:sz w:val="22"/>
                <w:szCs w:val="22"/>
              </w:rPr>
              <w:t>8.063</w:t>
            </w:r>
          </w:p>
        </w:tc>
      </w:tr>
      <w:tr>
        <w:trPr>
          <w:gridAfter w:val="1"/>
          <w:wAfter w:w="33" w:type="dxa"/>
          <w:cantSplit/>
        </w:trPr>
        <w:tc>
          <w:tcPr>
            <w:tcW w:w="2173" w:type="dxa"/>
          </w:tcPr>
          <w:p>
            <w:pPr>
              <w:pStyle w:val="yTableNAm"/>
              <w:rPr>
                <w:szCs w:val="22"/>
              </w:rPr>
            </w:pPr>
            <w:r>
              <w:rPr>
                <w:szCs w:val="22"/>
              </w:rPr>
              <w:t>Wagin</w:t>
            </w:r>
          </w:p>
        </w:tc>
        <w:tc>
          <w:tcPr>
            <w:tcW w:w="2173" w:type="dxa"/>
            <w:vAlign w:val="bottom"/>
          </w:tcPr>
          <w:p>
            <w:pPr>
              <w:jc w:val="center"/>
              <w:rPr>
                <w:bCs/>
                <w:sz w:val="22"/>
                <w:szCs w:val="22"/>
              </w:rPr>
            </w:pPr>
            <w:r>
              <w:rPr>
                <w:bCs/>
                <w:sz w:val="22"/>
                <w:szCs w:val="22"/>
              </w:rPr>
              <w:t>10.625</w:t>
            </w:r>
          </w:p>
        </w:tc>
        <w:tc>
          <w:tcPr>
            <w:tcW w:w="2174" w:type="dxa"/>
            <w:vAlign w:val="bottom"/>
          </w:tcPr>
          <w:p>
            <w:pPr>
              <w:jc w:val="center"/>
              <w:rPr>
                <w:bCs/>
                <w:sz w:val="22"/>
                <w:szCs w:val="22"/>
              </w:rPr>
            </w:pPr>
            <w:r>
              <w:rPr>
                <w:bCs/>
                <w:sz w:val="22"/>
                <w:szCs w:val="22"/>
              </w:rPr>
              <w:t>12.000</w:t>
            </w:r>
          </w:p>
        </w:tc>
      </w:tr>
      <w:tr>
        <w:trPr>
          <w:gridAfter w:val="1"/>
          <w:wAfter w:w="33" w:type="dxa"/>
          <w:cantSplit/>
        </w:trPr>
        <w:tc>
          <w:tcPr>
            <w:tcW w:w="2173" w:type="dxa"/>
          </w:tcPr>
          <w:p>
            <w:pPr>
              <w:pStyle w:val="yTableNAm"/>
              <w:rPr>
                <w:szCs w:val="22"/>
              </w:rPr>
            </w:pPr>
            <w:smartTag w:uri="urn:schemas-microsoft-com:office:smarttags" w:element="place">
              <w:smartTag w:uri="urn:schemas-microsoft-com:office:smarttags" w:element="City">
                <w:r>
                  <w:rPr>
                    <w:szCs w:val="22"/>
                  </w:rPr>
                  <w:t>Walpole</w:t>
                </w:r>
              </w:smartTag>
            </w:smartTag>
          </w:p>
        </w:tc>
        <w:tc>
          <w:tcPr>
            <w:tcW w:w="2173" w:type="dxa"/>
            <w:vAlign w:val="bottom"/>
          </w:tcPr>
          <w:p>
            <w:pPr>
              <w:jc w:val="center"/>
              <w:rPr>
                <w:bCs/>
                <w:sz w:val="22"/>
                <w:szCs w:val="22"/>
              </w:rPr>
            </w:pPr>
            <w:r>
              <w:rPr>
                <w:bCs/>
                <w:sz w:val="22"/>
                <w:szCs w:val="22"/>
              </w:rPr>
              <w:t>11.516</w:t>
            </w:r>
          </w:p>
        </w:tc>
        <w:tc>
          <w:tcPr>
            <w:tcW w:w="2174" w:type="dxa"/>
            <w:vAlign w:val="bottom"/>
          </w:tcPr>
          <w:p>
            <w:pPr>
              <w:jc w:val="center"/>
              <w:rPr>
                <w:bCs/>
                <w:sz w:val="22"/>
                <w:szCs w:val="22"/>
              </w:rPr>
            </w:pPr>
            <w:r>
              <w:rPr>
                <w:bCs/>
                <w:sz w:val="22"/>
                <w:szCs w:val="22"/>
              </w:rPr>
              <w:t>10.852</w:t>
            </w:r>
          </w:p>
        </w:tc>
      </w:tr>
      <w:tr>
        <w:trPr>
          <w:gridAfter w:val="1"/>
          <w:wAfter w:w="33" w:type="dxa"/>
          <w:cantSplit/>
        </w:trPr>
        <w:tc>
          <w:tcPr>
            <w:tcW w:w="2173" w:type="dxa"/>
          </w:tcPr>
          <w:p>
            <w:pPr>
              <w:pStyle w:val="yTableNAm"/>
              <w:rPr>
                <w:szCs w:val="22"/>
              </w:rPr>
            </w:pPr>
            <w:r>
              <w:rPr>
                <w:szCs w:val="22"/>
              </w:rPr>
              <w:t>Waroona</w:t>
            </w:r>
          </w:p>
        </w:tc>
        <w:tc>
          <w:tcPr>
            <w:tcW w:w="2173" w:type="dxa"/>
            <w:vAlign w:val="bottom"/>
          </w:tcPr>
          <w:p>
            <w:pPr>
              <w:jc w:val="center"/>
              <w:rPr>
                <w:bCs/>
                <w:sz w:val="22"/>
                <w:szCs w:val="22"/>
              </w:rPr>
            </w:pPr>
            <w:r>
              <w:rPr>
                <w:bCs/>
                <w:sz w:val="22"/>
                <w:szCs w:val="22"/>
              </w:rPr>
              <w:t>5.664</w:t>
            </w:r>
          </w:p>
        </w:tc>
        <w:tc>
          <w:tcPr>
            <w:tcW w:w="2174" w:type="dxa"/>
            <w:vAlign w:val="bottom"/>
          </w:tcPr>
          <w:p>
            <w:pPr>
              <w:jc w:val="center"/>
              <w:rPr>
                <w:bCs/>
                <w:sz w:val="22"/>
                <w:szCs w:val="22"/>
              </w:rPr>
            </w:pPr>
            <w:r>
              <w:rPr>
                <w:bCs/>
                <w:sz w:val="22"/>
                <w:szCs w:val="22"/>
              </w:rPr>
              <w:t>6.255</w:t>
            </w:r>
          </w:p>
        </w:tc>
      </w:tr>
      <w:tr>
        <w:trPr>
          <w:gridAfter w:val="1"/>
          <w:wAfter w:w="33" w:type="dxa"/>
          <w:cantSplit/>
        </w:trPr>
        <w:tc>
          <w:tcPr>
            <w:tcW w:w="2173" w:type="dxa"/>
          </w:tcPr>
          <w:p>
            <w:pPr>
              <w:pStyle w:val="yTableNAm"/>
              <w:rPr>
                <w:szCs w:val="22"/>
              </w:rPr>
            </w:pPr>
            <w:r>
              <w:rPr>
                <w:szCs w:val="22"/>
              </w:rPr>
              <w:t>Wickham</w:t>
            </w:r>
          </w:p>
        </w:tc>
        <w:tc>
          <w:tcPr>
            <w:tcW w:w="2173" w:type="dxa"/>
            <w:vAlign w:val="bottom"/>
          </w:tcPr>
          <w:p>
            <w:pPr>
              <w:jc w:val="center"/>
              <w:rPr>
                <w:bCs/>
                <w:sz w:val="22"/>
                <w:szCs w:val="22"/>
              </w:rPr>
            </w:pPr>
            <w:r>
              <w:rPr>
                <w:bCs/>
                <w:sz w:val="22"/>
                <w:szCs w:val="22"/>
              </w:rPr>
              <w:t>4.850</w:t>
            </w:r>
          </w:p>
        </w:tc>
        <w:tc>
          <w:tcPr>
            <w:tcW w:w="2174" w:type="dxa"/>
            <w:vAlign w:val="bottom"/>
          </w:tcPr>
          <w:p>
            <w:pPr>
              <w:jc w:val="center"/>
              <w:rPr>
                <w:bCs/>
                <w:sz w:val="22"/>
                <w:szCs w:val="22"/>
              </w:rPr>
            </w:pPr>
            <w:r>
              <w:rPr>
                <w:bCs/>
                <w:sz w:val="22"/>
                <w:szCs w:val="22"/>
              </w:rPr>
              <w:t>5.445</w:t>
            </w:r>
          </w:p>
        </w:tc>
      </w:tr>
      <w:tr>
        <w:trPr>
          <w:gridAfter w:val="1"/>
          <w:wAfter w:w="33" w:type="dxa"/>
          <w:cantSplit/>
        </w:trPr>
        <w:tc>
          <w:tcPr>
            <w:tcW w:w="2173" w:type="dxa"/>
          </w:tcPr>
          <w:p>
            <w:pPr>
              <w:pStyle w:val="yTableNAm"/>
              <w:rPr>
                <w:szCs w:val="22"/>
              </w:rPr>
            </w:pPr>
            <w:r>
              <w:rPr>
                <w:szCs w:val="22"/>
              </w:rPr>
              <w:t>Williams</w:t>
            </w:r>
          </w:p>
        </w:tc>
        <w:tc>
          <w:tcPr>
            <w:tcW w:w="2173" w:type="dxa"/>
            <w:vAlign w:val="bottom"/>
          </w:tcPr>
          <w:p>
            <w:pPr>
              <w:jc w:val="center"/>
              <w:rPr>
                <w:bCs/>
                <w:sz w:val="22"/>
                <w:szCs w:val="22"/>
              </w:rPr>
            </w:pPr>
            <w:r>
              <w:rPr>
                <w:bCs/>
                <w:sz w:val="22"/>
                <w:szCs w:val="22"/>
              </w:rPr>
              <w:t>7.377</w:t>
            </w:r>
          </w:p>
        </w:tc>
        <w:tc>
          <w:tcPr>
            <w:tcW w:w="2174" w:type="dxa"/>
            <w:vAlign w:val="bottom"/>
          </w:tcPr>
          <w:p>
            <w:pPr>
              <w:jc w:val="center"/>
              <w:rPr>
                <w:bCs/>
                <w:sz w:val="22"/>
                <w:szCs w:val="22"/>
              </w:rPr>
            </w:pPr>
            <w:r>
              <w:rPr>
                <w:bCs/>
                <w:sz w:val="22"/>
                <w:szCs w:val="22"/>
              </w:rPr>
              <w:t>8.796</w:t>
            </w:r>
          </w:p>
        </w:tc>
      </w:tr>
      <w:tr>
        <w:tblPrEx>
          <w:tblCellMar>
            <w:left w:w="108" w:type="dxa"/>
            <w:right w:w="108" w:type="dxa"/>
          </w:tblCellMar>
        </w:tblPrEx>
        <w:trPr>
          <w:cantSplit/>
        </w:trPr>
        <w:tc>
          <w:tcPr>
            <w:tcW w:w="2173" w:type="dxa"/>
          </w:tcPr>
          <w:p>
            <w:pPr>
              <w:pStyle w:val="yTableNAm"/>
              <w:rPr>
                <w:szCs w:val="22"/>
              </w:rPr>
            </w:pPr>
            <w:r>
              <w:rPr>
                <w:szCs w:val="22"/>
              </w:rPr>
              <w:t>Wiluna</w:t>
            </w:r>
          </w:p>
        </w:tc>
        <w:tc>
          <w:tcPr>
            <w:tcW w:w="2173" w:type="dxa"/>
            <w:vAlign w:val="bottom"/>
          </w:tcPr>
          <w:p>
            <w:pPr>
              <w:jc w:val="center"/>
              <w:rPr>
                <w:bCs/>
                <w:sz w:val="22"/>
                <w:szCs w:val="22"/>
              </w:rPr>
            </w:pPr>
            <w:r>
              <w:rPr>
                <w:bCs/>
                <w:sz w:val="22"/>
                <w:szCs w:val="22"/>
              </w:rPr>
              <w:t>12.000</w:t>
            </w:r>
          </w:p>
        </w:tc>
        <w:tc>
          <w:tcPr>
            <w:tcW w:w="2207" w:type="dxa"/>
            <w:gridSpan w:val="2"/>
            <w:vAlign w:val="bottom"/>
          </w:tcPr>
          <w:p>
            <w:pPr>
              <w:jc w:val="center"/>
              <w:rPr>
                <w:bCs/>
                <w:sz w:val="22"/>
                <w:szCs w:val="22"/>
              </w:rPr>
            </w:pPr>
            <w:r>
              <w:rPr>
                <w:bCs/>
                <w:sz w:val="22"/>
                <w:szCs w:val="22"/>
              </w:rPr>
              <w:t>12.000</w:t>
            </w:r>
          </w:p>
        </w:tc>
      </w:tr>
      <w:tr>
        <w:trPr>
          <w:gridAfter w:val="1"/>
          <w:wAfter w:w="33" w:type="dxa"/>
          <w:cantSplit/>
        </w:trPr>
        <w:tc>
          <w:tcPr>
            <w:tcW w:w="2173" w:type="dxa"/>
          </w:tcPr>
          <w:p>
            <w:pPr>
              <w:pStyle w:val="yTableNAm"/>
              <w:rPr>
                <w:szCs w:val="22"/>
              </w:rPr>
            </w:pPr>
            <w:r>
              <w:rPr>
                <w:szCs w:val="22"/>
              </w:rPr>
              <w:t>Wongan Hills</w:t>
            </w:r>
          </w:p>
        </w:tc>
        <w:tc>
          <w:tcPr>
            <w:tcW w:w="2173" w:type="dxa"/>
            <w:vAlign w:val="bottom"/>
          </w:tcPr>
          <w:p>
            <w:pPr>
              <w:jc w:val="center"/>
              <w:rPr>
                <w:bCs/>
                <w:sz w:val="22"/>
                <w:szCs w:val="22"/>
              </w:rPr>
            </w:pPr>
            <w:r>
              <w:rPr>
                <w:bCs/>
                <w:sz w:val="22"/>
                <w:szCs w:val="22"/>
              </w:rPr>
              <w:t>9.250</w:t>
            </w:r>
          </w:p>
        </w:tc>
        <w:tc>
          <w:tcPr>
            <w:tcW w:w="2174" w:type="dxa"/>
            <w:vAlign w:val="bottom"/>
          </w:tcPr>
          <w:p>
            <w:pPr>
              <w:jc w:val="center"/>
              <w:rPr>
                <w:bCs/>
                <w:sz w:val="22"/>
                <w:szCs w:val="22"/>
              </w:rPr>
            </w:pPr>
            <w:r>
              <w:rPr>
                <w:bCs/>
                <w:sz w:val="22"/>
                <w:szCs w:val="22"/>
              </w:rPr>
              <w:t>12.000</w:t>
            </w:r>
          </w:p>
        </w:tc>
      </w:tr>
      <w:tr>
        <w:trPr>
          <w:gridAfter w:val="1"/>
          <w:wAfter w:w="33" w:type="dxa"/>
          <w:cantSplit/>
        </w:trPr>
        <w:tc>
          <w:tcPr>
            <w:tcW w:w="2173" w:type="dxa"/>
          </w:tcPr>
          <w:p>
            <w:pPr>
              <w:pStyle w:val="yTableNAm"/>
              <w:rPr>
                <w:szCs w:val="22"/>
              </w:rPr>
            </w:pPr>
            <w:r>
              <w:rPr>
                <w:szCs w:val="22"/>
              </w:rPr>
              <w:t>Wundowie</w:t>
            </w:r>
          </w:p>
        </w:tc>
        <w:tc>
          <w:tcPr>
            <w:tcW w:w="2173" w:type="dxa"/>
            <w:vAlign w:val="bottom"/>
          </w:tcPr>
          <w:p>
            <w:pPr>
              <w:jc w:val="center"/>
              <w:rPr>
                <w:bCs/>
                <w:sz w:val="22"/>
                <w:szCs w:val="22"/>
              </w:rPr>
            </w:pPr>
            <w:r>
              <w:rPr>
                <w:bCs/>
                <w:sz w:val="22"/>
                <w:szCs w:val="22"/>
              </w:rPr>
              <w:t>8.362</w:t>
            </w:r>
          </w:p>
        </w:tc>
        <w:tc>
          <w:tcPr>
            <w:tcW w:w="2174" w:type="dxa"/>
            <w:vAlign w:val="bottom"/>
          </w:tcPr>
          <w:p>
            <w:pPr>
              <w:jc w:val="center"/>
              <w:rPr>
                <w:bCs/>
                <w:sz w:val="22"/>
                <w:szCs w:val="22"/>
              </w:rPr>
            </w:pPr>
            <w:r>
              <w:rPr>
                <w:bCs/>
                <w:sz w:val="22"/>
                <w:szCs w:val="22"/>
              </w:rPr>
              <w:t>8.755</w:t>
            </w:r>
          </w:p>
        </w:tc>
      </w:tr>
      <w:tr>
        <w:trPr>
          <w:gridAfter w:val="1"/>
          <w:wAfter w:w="33" w:type="dxa"/>
          <w:cantSplit/>
        </w:trPr>
        <w:tc>
          <w:tcPr>
            <w:tcW w:w="2173" w:type="dxa"/>
          </w:tcPr>
          <w:p>
            <w:pPr>
              <w:pStyle w:val="yTableNAm"/>
              <w:rPr>
                <w:szCs w:val="22"/>
              </w:rPr>
            </w:pPr>
            <w:r>
              <w:rPr>
                <w:szCs w:val="22"/>
              </w:rPr>
              <w:t>Wyalkatchem</w:t>
            </w:r>
          </w:p>
        </w:tc>
        <w:tc>
          <w:tcPr>
            <w:tcW w:w="2173" w:type="dxa"/>
            <w:vAlign w:val="bottom"/>
          </w:tcPr>
          <w:p>
            <w:pPr>
              <w:jc w:val="center"/>
              <w:rPr>
                <w:bCs/>
                <w:sz w:val="22"/>
                <w:szCs w:val="22"/>
              </w:rPr>
            </w:pPr>
            <w:r>
              <w:rPr>
                <w:bCs/>
                <w:sz w:val="22"/>
                <w:szCs w:val="22"/>
              </w:rPr>
              <w:t>11.443</w:t>
            </w:r>
          </w:p>
        </w:tc>
        <w:tc>
          <w:tcPr>
            <w:tcW w:w="2174" w:type="dxa"/>
            <w:vAlign w:val="bottom"/>
          </w:tcPr>
          <w:p>
            <w:pPr>
              <w:jc w:val="center"/>
              <w:rPr>
                <w:bCs/>
                <w:sz w:val="22"/>
                <w:szCs w:val="22"/>
              </w:rPr>
            </w:pPr>
            <w:r>
              <w:rPr>
                <w:bCs/>
                <w:sz w:val="22"/>
                <w:szCs w:val="22"/>
              </w:rPr>
              <w:t>12.000</w:t>
            </w:r>
          </w:p>
        </w:tc>
      </w:tr>
      <w:tr>
        <w:trPr>
          <w:gridAfter w:val="1"/>
          <w:wAfter w:w="33" w:type="dxa"/>
          <w:cantSplit/>
        </w:trPr>
        <w:tc>
          <w:tcPr>
            <w:tcW w:w="2173" w:type="dxa"/>
          </w:tcPr>
          <w:p>
            <w:pPr>
              <w:pStyle w:val="yTableNAm"/>
              <w:rPr>
                <w:szCs w:val="22"/>
              </w:rPr>
            </w:pPr>
            <w:r>
              <w:rPr>
                <w:szCs w:val="22"/>
              </w:rPr>
              <w:t>Wyndham</w:t>
            </w:r>
          </w:p>
        </w:tc>
        <w:tc>
          <w:tcPr>
            <w:tcW w:w="2173" w:type="dxa"/>
            <w:vAlign w:val="bottom"/>
          </w:tcPr>
          <w:p>
            <w:pPr>
              <w:jc w:val="center"/>
              <w:rPr>
                <w:bCs/>
                <w:sz w:val="22"/>
                <w:szCs w:val="22"/>
              </w:rPr>
            </w:pPr>
            <w:r>
              <w:rPr>
                <w:bCs/>
                <w:sz w:val="22"/>
                <w:szCs w:val="22"/>
              </w:rPr>
              <w:t>8.445</w:t>
            </w:r>
          </w:p>
        </w:tc>
        <w:tc>
          <w:tcPr>
            <w:tcW w:w="2174" w:type="dxa"/>
            <w:vAlign w:val="bottom"/>
          </w:tcPr>
          <w:p>
            <w:pPr>
              <w:jc w:val="center"/>
              <w:rPr>
                <w:bCs/>
                <w:sz w:val="22"/>
                <w:szCs w:val="22"/>
              </w:rPr>
            </w:pPr>
            <w:r>
              <w:rPr>
                <w:bCs/>
                <w:sz w:val="22"/>
                <w:szCs w:val="22"/>
              </w:rPr>
              <w:t>12.000</w:t>
            </w:r>
          </w:p>
        </w:tc>
      </w:tr>
      <w:tr>
        <w:trPr>
          <w:gridAfter w:val="1"/>
          <w:wAfter w:w="33" w:type="dxa"/>
          <w:cantSplit/>
        </w:trPr>
        <w:tc>
          <w:tcPr>
            <w:tcW w:w="2173" w:type="dxa"/>
            <w:tcBorders>
              <w:bottom w:val="single" w:sz="4" w:space="0" w:color="auto"/>
            </w:tcBorders>
          </w:tcPr>
          <w:p>
            <w:pPr>
              <w:pStyle w:val="yTableNAm"/>
              <w:rPr>
                <w:szCs w:val="22"/>
              </w:rPr>
            </w:pPr>
            <w:smartTag w:uri="urn:schemas-microsoft-com:office:smarttags" w:element="place">
              <w:smartTag w:uri="urn:schemas-microsoft-com:office:smarttags" w:element="City">
                <w:r>
                  <w:rPr>
                    <w:szCs w:val="22"/>
                  </w:rPr>
                  <w:t>York</w:t>
                </w:r>
              </w:smartTag>
            </w:smartTag>
          </w:p>
        </w:tc>
        <w:tc>
          <w:tcPr>
            <w:tcW w:w="2173" w:type="dxa"/>
            <w:tcBorders>
              <w:bottom w:val="single" w:sz="4" w:space="0" w:color="auto"/>
            </w:tcBorders>
            <w:vAlign w:val="bottom"/>
          </w:tcPr>
          <w:p>
            <w:pPr>
              <w:jc w:val="center"/>
              <w:rPr>
                <w:bCs/>
                <w:sz w:val="22"/>
                <w:szCs w:val="22"/>
              </w:rPr>
            </w:pPr>
            <w:r>
              <w:rPr>
                <w:bCs/>
                <w:sz w:val="22"/>
                <w:szCs w:val="22"/>
              </w:rPr>
              <w:t>8.673</w:t>
            </w:r>
          </w:p>
        </w:tc>
        <w:tc>
          <w:tcPr>
            <w:tcW w:w="2174" w:type="dxa"/>
            <w:tcBorders>
              <w:bottom w:val="single" w:sz="4" w:space="0" w:color="auto"/>
            </w:tcBorders>
            <w:vAlign w:val="bottom"/>
          </w:tcPr>
          <w:p>
            <w:pPr>
              <w:jc w:val="center"/>
              <w:rPr>
                <w:bCs/>
                <w:sz w:val="22"/>
                <w:szCs w:val="22"/>
              </w:rPr>
            </w:pPr>
            <w:r>
              <w:rPr>
                <w:bCs/>
                <w:sz w:val="22"/>
                <w:szCs w:val="22"/>
              </w:rPr>
              <w:t>12.000</w:t>
            </w:r>
          </w:p>
        </w:tc>
      </w:tr>
    </w:tbl>
    <w:p>
      <w:pPr>
        <w:pStyle w:val="yFootnotesection"/>
      </w:pPr>
      <w:r>
        <w:tab/>
        <w:t>[Division 2 inserted in Gazette 20 Jun 2012 p. 2725</w:t>
      </w:r>
      <w:r>
        <w:noBreakHyphen/>
        <w:t>30.]</w:t>
      </w:r>
    </w:p>
    <w:p>
      <w:pPr>
        <w:pStyle w:val="yHeading3"/>
      </w:pPr>
      <w:bookmarkStart w:id="677" w:name="_Toc328403441"/>
      <w:bookmarkStart w:id="678" w:name="_Toc328471490"/>
      <w:r>
        <w:rPr>
          <w:rStyle w:val="CharSDivNo"/>
        </w:rPr>
        <w:t>Division 3</w:t>
      </w:r>
      <w:r>
        <w:t> — </w:t>
      </w:r>
      <w:r>
        <w:rPr>
          <w:rStyle w:val="CharSDivText"/>
        </w:rPr>
        <w:t>Variable charges</w:t>
      </w:r>
      <w:bookmarkEnd w:id="677"/>
      <w:bookmarkEnd w:id="678"/>
    </w:p>
    <w:p>
      <w:pPr>
        <w:pStyle w:val="yFootnoteheading"/>
        <w:spacing w:after="60"/>
      </w:pPr>
      <w:r>
        <w:tab/>
        <w:t>[Heading inserted in Gazette 20 Jun 2012 p. 2730.]</w:t>
      </w:r>
    </w:p>
    <w:tbl>
      <w:tblPr>
        <w:tblW w:w="0" w:type="auto"/>
        <w:tblInd w:w="534" w:type="dxa"/>
        <w:tblLook w:val="0000" w:firstRow="0" w:lastRow="0" w:firstColumn="0" w:lastColumn="0" w:noHBand="0" w:noVBand="0"/>
      </w:tblPr>
      <w:tblGrid>
        <w:gridCol w:w="850"/>
        <w:gridCol w:w="4236"/>
        <w:gridCol w:w="1576"/>
      </w:tblGrid>
      <w:tr>
        <w:trPr>
          <w:cantSplit/>
        </w:trPr>
        <w:tc>
          <w:tcPr>
            <w:tcW w:w="850" w:type="dxa"/>
          </w:tcPr>
          <w:p>
            <w:pPr>
              <w:pStyle w:val="yTableNAm"/>
              <w:rPr>
                <w:b/>
              </w:rPr>
            </w:pPr>
            <w:r>
              <w:rPr>
                <w:b/>
              </w:rPr>
              <w:t>11.</w:t>
            </w:r>
          </w:p>
        </w:tc>
        <w:tc>
          <w:tcPr>
            <w:tcW w:w="5812" w:type="dxa"/>
            <w:gridSpan w:val="2"/>
          </w:tcPr>
          <w:p>
            <w:pPr>
              <w:pStyle w:val="yTableNAm"/>
              <w:rPr>
                <w:b/>
              </w:rPr>
            </w:pPr>
            <w:r>
              <w:rPr>
                <w:b/>
              </w:rPr>
              <w:t>Industrial waste discharged into a sewer of the Corporation pursuant to a permit</w:t>
            </w:r>
          </w:p>
        </w:tc>
      </w:tr>
      <w:tr>
        <w:trPr>
          <w:cantSplit/>
        </w:trPr>
        <w:tc>
          <w:tcPr>
            <w:tcW w:w="850" w:type="dxa"/>
          </w:tcPr>
          <w:p>
            <w:pPr>
              <w:pStyle w:val="yTableNAm"/>
              <w:rPr>
                <w:szCs w:val="22"/>
              </w:rPr>
            </w:pPr>
          </w:p>
        </w:tc>
        <w:tc>
          <w:tcPr>
            <w:tcW w:w="4236" w:type="dxa"/>
          </w:tcPr>
          <w:p>
            <w:pPr>
              <w:pStyle w:val="yTableNAm"/>
              <w:keepNext/>
              <w:keepLines/>
              <w:tabs>
                <w:tab w:val="right" w:leader="dot" w:pos="4253"/>
              </w:tabs>
              <w:rPr>
                <w:spacing w:val="-1"/>
              </w:rPr>
            </w:pPr>
            <w:r>
              <w:t>For industrial waste discharged into a sewer of the Corporation pursuant to a permit —</w:t>
            </w:r>
          </w:p>
        </w:tc>
        <w:tc>
          <w:tcPr>
            <w:tcW w:w="1576" w:type="dxa"/>
          </w:tcPr>
          <w:p>
            <w:pPr>
              <w:pStyle w:val="yTableNAm"/>
              <w:rPr>
                <w:szCs w:val="22"/>
              </w:rPr>
            </w:pP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(a)</w:t>
            </w:r>
            <w:r>
              <w:rPr>
                <w:szCs w:val="22"/>
              </w:rPr>
              <w:tab/>
              <w:t xml:space="preserve">for volume </w:t>
            </w:r>
            <w:r>
              <w:rPr>
                <w:szCs w:val="22"/>
              </w:rPr>
              <w:tab/>
            </w:r>
          </w:p>
        </w:tc>
        <w:tc>
          <w:tcPr>
            <w:tcW w:w="1576" w:type="dxa"/>
            <w:vAlign w:val="bottom"/>
          </w:tcPr>
          <w:p>
            <w:pPr>
              <w:pStyle w:val="yTableNAm"/>
              <w:rPr>
                <w:szCs w:val="22"/>
              </w:rPr>
            </w:pPr>
            <w:r>
              <w:rPr>
                <w:szCs w:val="22"/>
              </w:rPr>
              <w:t>132.0 c/kL</w:t>
            </w:r>
          </w:p>
        </w:tc>
      </w:tr>
      <w:tr>
        <w:trPr>
          <w:cantSplit/>
        </w:trPr>
        <w:tc>
          <w:tcPr>
            <w:tcW w:w="850" w:type="dxa"/>
          </w:tcPr>
          <w:p>
            <w:pPr>
              <w:pStyle w:val="yTableNAm"/>
              <w:rPr>
                <w:szCs w:val="22"/>
              </w:rPr>
            </w:pPr>
          </w:p>
        </w:tc>
        <w:tc>
          <w:tcPr>
            <w:tcW w:w="4236" w:type="dxa"/>
          </w:tcPr>
          <w:p>
            <w:pPr>
              <w:pStyle w:val="yTableNAm"/>
              <w:tabs>
                <w:tab w:val="clear" w:pos="567"/>
                <w:tab w:val="left" w:pos="317"/>
                <w:tab w:val="left" w:pos="743"/>
                <w:tab w:val="right" w:leader="dot" w:pos="4253"/>
              </w:tabs>
              <w:ind w:left="743" w:hanging="709"/>
              <w:rPr>
                <w:szCs w:val="22"/>
              </w:rPr>
            </w:pPr>
            <w:r>
              <w:rPr>
                <w:szCs w:val="22"/>
              </w:rPr>
              <w:tab/>
              <w:t>(b)</w:t>
            </w:r>
            <w:r>
              <w:rPr>
                <w:szCs w:val="22"/>
              </w:rPr>
              <w:tab/>
              <w:t xml:space="preserve">for B.O.D.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5 kg per kL </w:t>
            </w:r>
            <w:r>
              <w:rPr>
                <w:szCs w:val="22"/>
              </w:rPr>
              <w:tab/>
            </w:r>
          </w:p>
        </w:tc>
        <w:tc>
          <w:tcPr>
            <w:tcW w:w="1576" w:type="dxa"/>
            <w:vAlign w:val="bottom"/>
          </w:tcPr>
          <w:p>
            <w:pPr>
              <w:pStyle w:val="yTableNAm"/>
              <w:rPr>
                <w:szCs w:val="22"/>
              </w:rPr>
            </w:pPr>
            <w:r>
              <w:rPr>
                <w:szCs w:val="22"/>
              </w:rPr>
              <w:t>112.0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of over 5 kg per kL </w:t>
            </w:r>
            <w:r>
              <w:rPr>
                <w:szCs w:val="22"/>
              </w:rPr>
              <w:tab/>
            </w:r>
          </w:p>
        </w:tc>
        <w:tc>
          <w:tcPr>
            <w:tcW w:w="1576" w:type="dxa"/>
            <w:vAlign w:val="bottom"/>
          </w:tcPr>
          <w:p>
            <w:pPr>
              <w:pStyle w:val="yTableNAm"/>
              <w:rPr>
                <w:szCs w:val="22"/>
              </w:rPr>
            </w:pPr>
            <w:r>
              <w:rPr>
                <w:szCs w:val="22"/>
              </w:rPr>
              <w:t>226.0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(c)</w:t>
            </w:r>
            <w:r>
              <w:rPr>
                <w:szCs w:val="22"/>
              </w:rPr>
              <w:tab/>
              <w:t xml:space="preserve">for suspended solids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2 kg per kL </w:t>
            </w:r>
            <w:r>
              <w:rPr>
                <w:szCs w:val="22"/>
              </w:rPr>
              <w:tab/>
            </w:r>
          </w:p>
        </w:tc>
        <w:tc>
          <w:tcPr>
            <w:tcW w:w="1576" w:type="dxa"/>
            <w:vAlign w:val="bottom"/>
          </w:tcPr>
          <w:p>
            <w:pPr>
              <w:pStyle w:val="yTableNAm"/>
              <w:rPr>
                <w:szCs w:val="22"/>
              </w:rPr>
            </w:pPr>
            <w:r>
              <w:rPr>
                <w:szCs w:val="22"/>
              </w:rPr>
              <w:t>151.0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of over 2 kg per kL </w:t>
            </w:r>
            <w:r>
              <w:rPr>
                <w:szCs w:val="22"/>
              </w:rPr>
              <w:tab/>
            </w:r>
          </w:p>
        </w:tc>
        <w:tc>
          <w:tcPr>
            <w:tcW w:w="1576" w:type="dxa"/>
            <w:vAlign w:val="bottom"/>
          </w:tcPr>
          <w:p>
            <w:pPr>
              <w:pStyle w:val="yTableNAm"/>
              <w:rPr>
                <w:szCs w:val="22"/>
              </w:rPr>
            </w:pPr>
            <w:r>
              <w:rPr>
                <w:szCs w:val="22"/>
              </w:rPr>
              <w:t>304.0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(d)</w:t>
            </w:r>
            <w:r>
              <w:rPr>
                <w:szCs w:val="22"/>
              </w:rPr>
              <w:tab/>
              <w:t xml:space="preserve">for chemical oxygen demand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10 kg per kL </w:t>
            </w:r>
            <w:r>
              <w:rPr>
                <w:szCs w:val="22"/>
              </w:rPr>
              <w:tab/>
            </w:r>
          </w:p>
        </w:tc>
        <w:tc>
          <w:tcPr>
            <w:tcW w:w="1576" w:type="dxa"/>
            <w:vAlign w:val="bottom"/>
          </w:tcPr>
          <w:p>
            <w:pPr>
              <w:pStyle w:val="yTableNAm"/>
              <w:rPr>
                <w:szCs w:val="22"/>
              </w:rPr>
            </w:pPr>
            <w:r>
              <w:rPr>
                <w:szCs w:val="22"/>
              </w:rPr>
              <w:t>45.0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of over 10 kg per kL </w:t>
            </w:r>
            <w:r>
              <w:rPr>
                <w:szCs w:val="22"/>
              </w:rPr>
              <w:tab/>
            </w:r>
          </w:p>
        </w:tc>
        <w:tc>
          <w:tcPr>
            <w:tcW w:w="1576" w:type="dxa"/>
            <w:vAlign w:val="bottom"/>
          </w:tcPr>
          <w:p>
            <w:pPr>
              <w:pStyle w:val="yTableNAm"/>
              <w:rPr>
                <w:szCs w:val="22"/>
              </w:rPr>
            </w:pPr>
            <w:r>
              <w:rPr>
                <w:szCs w:val="22"/>
              </w:rPr>
              <w:t>91.0 c/kg</w:t>
            </w:r>
          </w:p>
        </w:tc>
      </w:tr>
      <w:tr>
        <w:trPr>
          <w:cantSplit/>
        </w:trPr>
        <w:tc>
          <w:tcPr>
            <w:tcW w:w="850" w:type="dxa"/>
          </w:tcPr>
          <w:p>
            <w:pPr>
              <w:pStyle w:val="yTableNAm"/>
              <w:keepNext/>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(e)</w:t>
            </w:r>
            <w:r>
              <w:rPr>
                <w:szCs w:val="22"/>
              </w:rPr>
              <w:tab/>
              <w:t xml:space="preserve">for oil and grease — </w:t>
            </w:r>
          </w:p>
        </w:tc>
        <w:tc>
          <w:tcPr>
            <w:tcW w:w="1576" w:type="dxa"/>
            <w:vAlign w:val="bottom"/>
          </w:tcPr>
          <w:p>
            <w:pPr>
              <w:pStyle w:val="yTableNAm"/>
              <w:keepNext/>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with a concentration of up to 0.3 kg per kL …..............</w:t>
            </w:r>
          </w:p>
        </w:tc>
        <w:tc>
          <w:tcPr>
            <w:tcW w:w="1576" w:type="dxa"/>
            <w:vAlign w:val="bottom"/>
          </w:tcPr>
          <w:p>
            <w:pPr>
              <w:pStyle w:val="yTableNAm"/>
              <w:rPr>
                <w:szCs w:val="22"/>
              </w:rPr>
            </w:pPr>
            <w:r>
              <w:rPr>
                <w:szCs w:val="22"/>
              </w:rPr>
              <w:t>136.0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over 0.3 kg per kL but not over 0.6 kg per kL </w:t>
            </w:r>
            <w:r>
              <w:rPr>
                <w:szCs w:val="22"/>
              </w:rPr>
              <w:tab/>
            </w:r>
          </w:p>
        </w:tc>
        <w:tc>
          <w:tcPr>
            <w:tcW w:w="1576" w:type="dxa"/>
            <w:vAlign w:val="bottom"/>
          </w:tcPr>
          <w:p>
            <w:pPr>
              <w:pStyle w:val="yTableNAm"/>
              <w:rPr>
                <w:szCs w:val="22"/>
              </w:rPr>
            </w:pPr>
            <w:r>
              <w:rPr>
                <w:szCs w:val="22"/>
              </w:rPr>
              <w:t>270.0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(iii)</w:t>
            </w:r>
            <w:r>
              <w:rPr>
                <w:szCs w:val="22"/>
              </w:rPr>
              <w:tab/>
              <w:t xml:space="preserve">with a concentration of over 0.6 kg per kL </w:t>
            </w:r>
            <w:r>
              <w:rPr>
                <w:szCs w:val="22"/>
              </w:rPr>
              <w:tab/>
            </w:r>
          </w:p>
        </w:tc>
        <w:tc>
          <w:tcPr>
            <w:tcW w:w="1576" w:type="dxa"/>
            <w:vAlign w:val="bottom"/>
          </w:tcPr>
          <w:p>
            <w:pPr>
              <w:pStyle w:val="yTableNAm"/>
              <w:rPr>
                <w:szCs w:val="22"/>
              </w:rPr>
            </w:pPr>
            <w:r>
              <w:rPr>
                <w:szCs w:val="22"/>
              </w:rPr>
              <w:t>540.0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(f)</w:t>
            </w:r>
            <w:r>
              <w:rPr>
                <w:szCs w:val="22"/>
              </w:rPr>
              <w:tab/>
              <w:t xml:space="preserve">for acidity (pH &lt; 6)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0.1 kg per kL </w:t>
            </w:r>
            <w:r>
              <w:rPr>
                <w:szCs w:val="22"/>
              </w:rPr>
              <w:tab/>
            </w:r>
          </w:p>
        </w:tc>
        <w:tc>
          <w:tcPr>
            <w:tcW w:w="1576" w:type="dxa"/>
            <w:vAlign w:val="bottom"/>
          </w:tcPr>
          <w:p>
            <w:pPr>
              <w:pStyle w:val="yTableNAm"/>
              <w:rPr>
                <w:szCs w:val="22"/>
              </w:rPr>
            </w:pPr>
            <w:r>
              <w:rPr>
                <w:szCs w:val="22"/>
              </w:rPr>
              <w:t>39.0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over 0.1 kg per kL but not over 0.3 kg per kL </w:t>
            </w:r>
            <w:r>
              <w:rPr>
                <w:szCs w:val="22"/>
              </w:rPr>
              <w:tab/>
            </w:r>
          </w:p>
        </w:tc>
        <w:tc>
          <w:tcPr>
            <w:tcW w:w="1576" w:type="dxa"/>
            <w:vAlign w:val="bottom"/>
          </w:tcPr>
          <w:p>
            <w:pPr>
              <w:pStyle w:val="yTableNAm"/>
              <w:rPr>
                <w:szCs w:val="22"/>
              </w:rPr>
            </w:pPr>
            <w:r>
              <w:rPr>
                <w:szCs w:val="22"/>
              </w:rPr>
              <w:t>79.0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(iii)</w:t>
            </w:r>
            <w:r>
              <w:rPr>
                <w:szCs w:val="22"/>
              </w:rPr>
              <w:tab/>
              <w:t xml:space="preserve">with a concentration of over 0.3 kg per kL </w:t>
            </w:r>
            <w:r>
              <w:rPr>
                <w:szCs w:val="22"/>
              </w:rPr>
              <w:tab/>
            </w:r>
          </w:p>
        </w:tc>
        <w:tc>
          <w:tcPr>
            <w:tcW w:w="1576" w:type="dxa"/>
            <w:vAlign w:val="bottom"/>
          </w:tcPr>
          <w:p>
            <w:pPr>
              <w:pStyle w:val="yTableNAm"/>
              <w:rPr>
                <w:szCs w:val="22"/>
              </w:rPr>
            </w:pPr>
            <w:r>
              <w:rPr>
                <w:szCs w:val="22"/>
              </w:rPr>
              <w:t>157.0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(g)</w:t>
            </w:r>
            <w:r>
              <w:rPr>
                <w:szCs w:val="22"/>
              </w:rPr>
              <w:tab/>
              <w:t xml:space="preserve">for alkalinity (pH &gt; 10)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0.1 kg per kL </w:t>
            </w:r>
            <w:r>
              <w:rPr>
                <w:szCs w:val="22"/>
              </w:rPr>
              <w:tab/>
            </w:r>
          </w:p>
        </w:tc>
        <w:tc>
          <w:tcPr>
            <w:tcW w:w="1576" w:type="dxa"/>
            <w:vAlign w:val="bottom"/>
          </w:tcPr>
          <w:p>
            <w:pPr>
              <w:pStyle w:val="yTableNAm"/>
              <w:rPr>
                <w:szCs w:val="22"/>
              </w:rPr>
            </w:pPr>
            <w:r>
              <w:rPr>
                <w:szCs w:val="22"/>
              </w:rPr>
              <w:t>14.0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over 0.1 kg per kL but not over 0.2 kg per kL </w:t>
            </w:r>
            <w:r>
              <w:rPr>
                <w:szCs w:val="22"/>
              </w:rPr>
              <w:tab/>
            </w:r>
          </w:p>
        </w:tc>
        <w:tc>
          <w:tcPr>
            <w:tcW w:w="1576" w:type="dxa"/>
            <w:vAlign w:val="bottom"/>
          </w:tcPr>
          <w:p>
            <w:pPr>
              <w:pStyle w:val="yTableNAm"/>
              <w:rPr>
                <w:szCs w:val="22"/>
              </w:rPr>
            </w:pPr>
            <w:r>
              <w:rPr>
                <w:szCs w:val="22"/>
              </w:rPr>
              <w:t>29.0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(iii)</w:t>
            </w:r>
            <w:r>
              <w:rPr>
                <w:szCs w:val="22"/>
              </w:rPr>
              <w:tab/>
              <w:t xml:space="preserve">with a concentration of over 0.2 kg per kL </w:t>
            </w:r>
            <w:r>
              <w:rPr>
                <w:szCs w:val="22"/>
              </w:rPr>
              <w:tab/>
            </w:r>
          </w:p>
        </w:tc>
        <w:tc>
          <w:tcPr>
            <w:tcW w:w="1576" w:type="dxa"/>
            <w:vAlign w:val="bottom"/>
          </w:tcPr>
          <w:p>
            <w:pPr>
              <w:pStyle w:val="yTableNAm"/>
              <w:rPr>
                <w:szCs w:val="22"/>
              </w:rPr>
            </w:pPr>
            <w:r>
              <w:rPr>
                <w:szCs w:val="22"/>
              </w:rPr>
              <w:t>57.0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(h)</w:t>
            </w:r>
            <w:r>
              <w:rPr>
                <w:szCs w:val="22"/>
              </w:rPr>
              <w:tab/>
              <w:t xml:space="preserve">for nitrogen </w:t>
            </w:r>
            <w:r>
              <w:rPr>
                <w:szCs w:val="22"/>
              </w:rPr>
              <w:tab/>
            </w:r>
          </w:p>
        </w:tc>
        <w:tc>
          <w:tcPr>
            <w:tcW w:w="1576" w:type="dxa"/>
            <w:vAlign w:val="bottom"/>
          </w:tcPr>
          <w:p>
            <w:pPr>
              <w:pStyle w:val="yTableNAm"/>
              <w:rPr>
                <w:szCs w:val="22"/>
              </w:rPr>
            </w:pPr>
            <w:r>
              <w:rPr>
                <w:szCs w:val="22"/>
              </w:rPr>
              <w:t>122.0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(i)</w:t>
            </w:r>
            <w:r>
              <w:rPr>
                <w:szCs w:val="22"/>
              </w:rPr>
              <w:tab/>
              <w:t xml:space="preserve">for phosphorus </w:t>
            </w:r>
            <w:r>
              <w:rPr>
                <w:szCs w:val="22"/>
              </w:rPr>
              <w:tab/>
            </w:r>
          </w:p>
        </w:tc>
        <w:tc>
          <w:tcPr>
            <w:tcW w:w="1576" w:type="dxa"/>
            <w:vAlign w:val="bottom"/>
          </w:tcPr>
          <w:p>
            <w:pPr>
              <w:pStyle w:val="yTableNAm"/>
              <w:rPr>
                <w:szCs w:val="22"/>
              </w:rPr>
            </w:pPr>
            <w:r>
              <w:rPr>
                <w:szCs w:val="22"/>
              </w:rPr>
              <w:t>35.0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(j)</w:t>
            </w:r>
            <w:r>
              <w:rPr>
                <w:szCs w:val="22"/>
              </w:rPr>
              <w:tab/>
              <w:t xml:space="preserve">for sulphate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0.05 kg per kL </w:t>
            </w:r>
            <w:r>
              <w:rPr>
                <w:szCs w:val="22"/>
              </w:rPr>
              <w:tab/>
            </w:r>
          </w:p>
        </w:tc>
        <w:tc>
          <w:tcPr>
            <w:tcW w:w="1576" w:type="dxa"/>
            <w:vAlign w:val="bottom"/>
          </w:tcPr>
          <w:p>
            <w:pPr>
              <w:pStyle w:val="yTableNAm"/>
              <w:rPr>
                <w:szCs w:val="22"/>
              </w:rPr>
            </w:pPr>
            <w:r>
              <w:rPr>
                <w:szCs w:val="22"/>
              </w:rPr>
              <w:t>no charge</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of over 0.05 kg per kL </w:t>
            </w:r>
            <w:r>
              <w:rPr>
                <w:szCs w:val="22"/>
              </w:rPr>
              <w:tab/>
            </w:r>
          </w:p>
        </w:tc>
        <w:tc>
          <w:tcPr>
            <w:tcW w:w="1576" w:type="dxa"/>
            <w:vAlign w:val="bottom"/>
          </w:tcPr>
          <w:p>
            <w:pPr>
              <w:pStyle w:val="yTableNAm"/>
              <w:rPr>
                <w:szCs w:val="22"/>
              </w:rPr>
            </w:pPr>
            <w:r>
              <w:rPr>
                <w:szCs w:val="22"/>
              </w:rPr>
              <w:t>64.0 c/kg</w:t>
            </w:r>
          </w:p>
        </w:tc>
      </w:tr>
      <w:tr>
        <w:trPr>
          <w:cantSplit/>
        </w:trPr>
        <w:tc>
          <w:tcPr>
            <w:tcW w:w="850" w:type="dxa"/>
          </w:tcPr>
          <w:p>
            <w:pPr>
              <w:pStyle w:val="yTableNAm"/>
              <w:keepNext/>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(k)</w:t>
            </w:r>
            <w:r>
              <w:rPr>
                <w:szCs w:val="22"/>
              </w:rPr>
              <w:tab/>
              <w:t xml:space="preserve">for total dissolved salts — </w:t>
            </w:r>
          </w:p>
        </w:tc>
        <w:tc>
          <w:tcPr>
            <w:tcW w:w="1576" w:type="dxa"/>
            <w:vAlign w:val="bottom"/>
          </w:tcPr>
          <w:p>
            <w:pPr>
              <w:pStyle w:val="yTableNAm"/>
              <w:keepNext/>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1 kg per kL </w:t>
            </w:r>
            <w:r>
              <w:rPr>
                <w:szCs w:val="22"/>
              </w:rPr>
              <w:tab/>
            </w:r>
          </w:p>
        </w:tc>
        <w:tc>
          <w:tcPr>
            <w:tcW w:w="1576" w:type="dxa"/>
            <w:vAlign w:val="bottom"/>
          </w:tcPr>
          <w:p>
            <w:pPr>
              <w:pStyle w:val="yTableNAm"/>
              <w:rPr>
                <w:szCs w:val="22"/>
              </w:rPr>
            </w:pPr>
            <w:r>
              <w:rPr>
                <w:szCs w:val="22"/>
              </w:rPr>
              <w:t>no charge</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over 1 kg per kL but not over 3 kg per kL </w:t>
            </w:r>
            <w:r>
              <w:rPr>
                <w:szCs w:val="22"/>
              </w:rPr>
              <w:tab/>
            </w:r>
          </w:p>
        </w:tc>
        <w:tc>
          <w:tcPr>
            <w:tcW w:w="1576" w:type="dxa"/>
            <w:vAlign w:val="bottom"/>
          </w:tcPr>
          <w:p>
            <w:pPr>
              <w:pStyle w:val="yTableNAm"/>
              <w:rPr>
                <w:szCs w:val="22"/>
              </w:rPr>
            </w:pPr>
            <w:r>
              <w:rPr>
                <w:szCs w:val="22"/>
              </w:rPr>
              <w:t>0.1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(iii)</w:t>
            </w:r>
            <w:r>
              <w:rPr>
                <w:szCs w:val="22"/>
              </w:rPr>
              <w:tab/>
              <w:t xml:space="preserve">with a concentration over 3 kg per kL but not over 6 kg per kL </w:t>
            </w:r>
            <w:r>
              <w:rPr>
                <w:szCs w:val="22"/>
              </w:rPr>
              <w:tab/>
            </w:r>
          </w:p>
        </w:tc>
        <w:tc>
          <w:tcPr>
            <w:tcW w:w="1576" w:type="dxa"/>
            <w:vAlign w:val="bottom"/>
          </w:tcPr>
          <w:p>
            <w:pPr>
              <w:pStyle w:val="yTableNAm"/>
              <w:rPr>
                <w:szCs w:val="22"/>
              </w:rPr>
            </w:pPr>
            <w:r>
              <w:rPr>
                <w:szCs w:val="22"/>
              </w:rPr>
              <w:t>3.7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(iv)</w:t>
            </w:r>
            <w:r>
              <w:rPr>
                <w:szCs w:val="22"/>
              </w:rPr>
              <w:tab/>
              <w:t xml:space="preserve">with a concentration of over 6 kg per kL </w:t>
            </w:r>
            <w:r>
              <w:rPr>
                <w:szCs w:val="22"/>
              </w:rPr>
              <w:tab/>
            </w:r>
          </w:p>
        </w:tc>
        <w:tc>
          <w:tcPr>
            <w:tcW w:w="1576" w:type="dxa"/>
            <w:vAlign w:val="bottom"/>
          </w:tcPr>
          <w:p>
            <w:pPr>
              <w:pStyle w:val="yTableNAm"/>
              <w:rPr>
                <w:szCs w:val="22"/>
              </w:rPr>
            </w:pPr>
            <w:r>
              <w:rPr>
                <w:szCs w:val="22"/>
              </w:rPr>
              <w:t>12.8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(l)</w:t>
            </w:r>
            <w:r>
              <w:rPr>
                <w:szCs w:val="22"/>
              </w:rPr>
              <w:tab/>
              <w:t xml:space="preserve">for chromium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0.03 kg per day </w:t>
            </w:r>
            <w:r>
              <w:rPr>
                <w:szCs w:val="22"/>
              </w:rPr>
              <w:tab/>
            </w:r>
          </w:p>
        </w:tc>
        <w:tc>
          <w:tcPr>
            <w:tcW w:w="1576" w:type="dxa"/>
            <w:vAlign w:val="bottom"/>
          </w:tcPr>
          <w:p>
            <w:pPr>
              <w:pStyle w:val="yTableNAm"/>
              <w:rPr>
                <w:szCs w:val="22"/>
              </w:rPr>
            </w:pPr>
            <w:r>
              <w:rPr>
                <w:szCs w:val="22"/>
              </w:rPr>
              <w:t>1005.0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over 0.03 kg per day but not over 1 kg per day </w:t>
            </w:r>
            <w:r>
              <w:rPr>
                <w:szCs w:val="22"/>
              </w:rPr>
              <w:tab/>
            </w:r>
          </w:p>
        </w:tc>
        <w:tc>
          <w:tcPr>
            <w:tcW w:w="1576" w:type="dxa"/>
            <w:vAlign w:val="bottom"/>
          </w:tcPr>
          <w:p>
            <w:pPr>
              <w:pStyle w:val="yTableNAm"/>
              <w:rPr>
                <w:szCs w:val="22"/>
              </w:rPr>
            </w:pPr>
            <w:r>
              <w:rPr>
                <w:szCs w:val="22"/>
              </w:rPr>
              <w:t>2005.0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(iii)</w:t>
            </w:r>
            <w:r>
              <w:rPr>
                <w:szCs w:val="22"/>
              </w:rPr>
              <w:tab/>
              <w:t xml:space="preserve">with a concentration of over 1 kg per day </w:t>
            </w:r>
            <w:r>
              <w:rPr>
                <w:szCs w:val="22"/>
              </w:rPr>
              <w:tab/>
            </w:r>
          </w:p>
        </w:tc>
        <w:tc>
          <w:tcPr>
            <w:tcW w:w="1576" w:type="dxa"/>
            <w:vAlign w:val="bottom"/>
          </w:tcPr>
          <w:p>
            <w:pPr>
              <w:pStyle w:val="yTableNAm"/>
              <w:rPr>
                <w:szCs w:val="22"/>
              </w:rPr>
            </w:pPr>
            <w:r>
              <w:rPr>
                <w:szCs w:val="22"/>
              </w:rPr>
              <w:t>8030.0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(m)</w:t>
            </w:r>
            <w:r>
              <w:rPr>
                <w:szCs w:val="22"/>
              </w:rPr>
              <w:tab/>
              <w:t xml:space="preserve">for copper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0.03 kg per day </w:t>
            </w:r>
            <w:r>
              <w:rPr>
                <w:szCs w:val="22"/>
              </w:rPr>
              <w:tab/>
            </w:r>
          </w:p>
        </w:tc>
        <w:tc>
          <w:tcPr>
            <w:tcW w:w="1576" w:type="dxa"/>
            <w:vAlign w:val="bottom"/>
          </w:tcPr>
          <w:p>
            <w:pPr>
              <w:pStyle w:val="yTableNAm"/>
              <w:rPr>
                <w:szCs w:val="22"/>
              </w:rPr>
            </w:pPr>
            <w:r>
              <w:rPr>
                <w:szCs w:val="22"/>
              </w:rPr>
              <w:t>1005.0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over 0.03 kg per day but not over 0.12 kg per day </w:t>
            </w:r>
            <w:r>
              <w:rPr>
                <w:szCs w:val="22"/>
              </w:rPr>
              <w:tab/>
            </w:r>
          </w:p>
        </w:tc>
        <w:tc>
          <w:tcPr>
            <w:tcW w:w="1576" w:type="dxa"/>
            <w:vAlign w:val="bottom"/>
          </w:tcPr>
          <w:p>
            <w:pPr>
              <w:pStyle w:val="yTableNAm"/>
              <w:rPr>
                <w:szCs w:val="22"/>
              </w:rPr>
            </w:pPr>
            <w:r>
              <w:rPr>
                <w:szCs w:val="22"/>
              </w:rPr>
              <w:t>2005.0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(iii)</w:t>
            </w:r>
            <w:r>
              <w:rPr>
                <w:szCs w:val="22"/>
              </w:rPr>
              <w:tab/>
              <w:t xml:space="preserve">with a concentration of over 0.12 kg per day </w:t>
            </w:r>
            <w:r>
              <w:rPr>
                <w:szCs w:val="22"/>
              </w:rPr>
              <w:tab/>
            </w:r>
          </w:p>
        </w:tc>
        <w:tc>
          <w:tcPr>
            <w:tcW w:w="1576" w:type="dxa"/>
            <w:vAlign w:val="bottom"/>
          </w:tcPr>
          <w:p>
            <w:pPr>
              <w:pStyle w:val="yTableNAm"/>
              <w:rPr>
                <w:szCs w:val="22"/>
              </w:rPr>
            </w:pPr>
            <w:r>
              <w:rPr>
                <w:szCs w:val="22"/>
              </w:rPr>
              <w:t>8030.0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(n)</w:t>
            </w:r>
            <w:r>
              <w:rPr>
                <w:szCs w:val="22"/>
              </w:rPr>
              <w:tab/>
              <w:t xml:space="preserve">for lead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0.03 kg per day </w:t>
            </w:r>
            <w:r>
              <w:rPr>
                <w:szCs w:val="22"/>
              </w:rPr>
              <w:tab/>
            </w:r>
          </w:p>
        </w:tc>
        <w:tc>
          <w:tcPr>
            <w:tcW w:w="1576" w:type="dxa"/>
            <w:vAlign w:val="bottom"/>
          </w:tcPr>
          <w:p>
            <w:pPr>
              <w:pStyle w:val="yTableNAm"/>
              <w:rPr>
                <w:szCs w:val="22"/>
              </w:rPr>
            </w:pPr>
            <w:r>
              <w:rPr>
                <w:szCs w:val="22"/>
              </w:rPr>
              <w:t>1005.0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over 0.03 kg per day but not over 0.3 kg per day </w:t>
            </w:r>
            <w:r>
              <w:rPr>
                <w:szCs w:val="22"/>
              </w:rPr>
              <w:tab/>
            </w:r>
          </w:p>
        </w:tc>
        <w:tc>
          <w:tcPr>
            <w:tcW w:w="1576" w:type="dxa"/>
            <w:vAlign w:val="bottom"/>
          </w:tcPr>
          <w:p>
            <w:pPr>
              <w:pStyle w:val="yTableNAm"/>
              <w:rPr>
                <w:szCs w:val="22"/>
              </w:rPr>
            </w:pPr>
            <w:r>
              <w:rPr>
                <w:szCs w:val="22"/>
              </w:rPr>
              <w:t>2005.0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(iii)</w:t>
            </w:r>
            <w:r>
              <w:rPr>
                <w:szCs w:val="22"/>
              </w:rPr>
              <w:tab/>
              <w:t xml:space="preserve">with a concentration of over 0.3 kg per day </w:t>
            </w:r>
            <w:r>
              <w:rPr>
                <w:szCs w:val="22"/>
              </w:rPr>
              <w:tab/>
            </w:r>
          </w:p>
        </w:tc>
        <w:tc>
          <w:tcPr>
            <w:tcW w:w="1576" w:type="dxa"/>
            <w:vAlign w:val="bottom"/>
          </w:tcPr>
          <w:p>
            <w:pPr>
              <w:pStyle w:val="yTableNAm"/>
              <w:rPr>
                <w:szCs w:val="22"/>
              </w:rPr>
            </w:pPr>
            <w:r>
              <w:rPr>
                <w:szCs w:val="22"/>
              </w:rPr>
              <w:t>8030.0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(o)</w:t>
            </w:r>
            <w:r>
              <w:rPr>
                <w:szCs w:val="22"/>
              </w:rPr>
              <w:tab/>
              <w:t xml:space="preserve">for nickel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0.006 kg per day </w:t>
            </w:r>
            <w:r>
              <w:rPr>
                <w:szCs w:val="22"/>
              </w:rPr>
              <w:tab/>
            </w:r>
          </w:p>
        </w:tc>
        <w:tc>
          <w:tcPr>
            <w:tcW w:w="1576" w:type="dxa"/>
            <w:vAlign w:val="bottom"/>
          </w:tcPr>
          <w:p>
            <w:pPr>
              <w:pStyle w:val="yTableNAm"/>
              <w:rPr>
                <w:szCs w:val="22"/>
              </w:rPr>
            </w:pPr>
            <w:r>
              <w:rPr>
                <w:szCs w:val="22"/>
              </w:rPr>
              <w:t>1005.0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over 0.006 kg per day but not over 0.15 kg per day </w:t>
            </w:r>
            <w:r>
              <w:rPr>
                <w:szCs w:val="22"/>
              </w:rPr>
              <w:tab/>
            </w:r>
          </w:p>
        </w:tc>
        <w:tc>
          <w:tcPr>
            <w:tcW w:w="1576" w:type="dxa"/>
            <w:vAlign w:val="bottom"/>
          </w:tcPr>
          <w:p>
            <w:pPr>
              <w:pStyle w:val="yTableNAm"/>
              <w:rPr>
                <w:szCs w:val="22"/>
              </w:rPr>
            </w:pPr>
            <w:r>
              <w:rPr>
                <w:szCs w:val="22"/>
              </w:rPr>
              <w:t>2005.0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(iii)</w:t>
            </w:r>
            <w:r>
              <w:rPr>
                <w:szCs w:val="22"/>
              </w:rPr>
              <w:tab/>
              <w:t xml:space="preserve">with a concentration of over 0.15 kg per day </w:t>
            </w:r>
            <w:r>
              <w:rPr>
                <w:szCs w:val="22"/>
              </w:rPr>
              <w:tab/>
            </w:r>
          </w:p>
        </w:tc>
        <w:tc>
          <w:tcPr>
            <w:tcW w:w="1576" w:type="dxa"/>
            <w:vAlign w:val="bottom"/>
          </w:tcPr>
          <w:p>
            <w:pPr>
              <w:pStyle w:val="yTableNAm"/>
              <w:rPr>
                <w:szCs w:val="22"/>
              </w:rPr>
            </w:pPr>
            <w:r>
              <w:rPr>
                <w:szCs w:val="22"/>
              </w:rPr>
              <w:t>8030.0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(p)</w:t>
            </w:r>
            <w:r>
              <w:rPr>
                <w:szCs w:val="22"/>
              </w:rPr>
              <w:tab/>
              <w:t xml:space="preserve">for zinc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0.05 kg per day </w:t>
            </w:r>
            <w:r>
              <w:rPr>
                <w:szCs w:val="22"/>
              </w:rPr>
              <w:tab/>
            </w:r>
          </w:p>
        </w:tc>
        <w:tc>
          <w:tcPr>
            <w:tcW w:w="1576" w:type="dxa"/>
            <w:vAlign w:val="bottom"/>
          </w:tcPr>
          <w:p>
            <w:pPr>
              <w:pStyle w:val="yTableNAm"/>
              <w:rPr>
                <w:szCs w:val="22"/>
              </w:rPr>
            </w:pPr>
            <w:r>
              <w:rPr>
                <w:szCs w:val="22"/>
              </w:rPr>
              <w:t>1005.0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over 0.05 kg per day but not over 0.5 kg per day </w:t>
            </w:r>
            <w:r>
              <w:rPr>
                <w:szCs w:val="22"/>
              </w:rPr>
              <w:tab/>
            </w:r>
          </w:p>
        </w:tc>
        <w:tc>
          <w:tcPr>
            <w:tcW w:w="1576" w:type="dxa"/>
            <w:vAlign w:val="bottom"/>
          </w:tcPr>
          <w:p>
            <w:pPr>
              <w:pStyle w:val="yTableNAm"/>
              <w:rPr>
                <w:szCs w:val="22"/>
              </w:rPr>
            </w:pPr>
            <w:r>
              <w:rPr>
                <w:szCs w:val="22"/>
              </w:rPr>
              <w:t>2005.0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(iii)</w:t>
            </w:r>
            <w:r>
              <w:rPr>
                <w:szCs w:val="22"/>
              </w:rPr>
              <w:tab/>
              <w:t xml:space="preserve">with a concentration of over 0.5 kg per day </w:t>
            </w:r>
            <w:r>
              <w:rPr>
                <w:szCs w:val="22"/>
              </w:rPr>
              <w:tab/>
            </w:r>
          </w:p>
        </w:tc>
        <w:tc>
          <w:tcPr>
            <w:tcW w:w="1576" w:type="dxa"/>
            <w:vAlign w:val="bottom"/>
          </w:tcPr>
          <w:p>
            <w:pPr>
              <w:pStyle w:val="yTableNAm"/>
              <w:rPr>
                <w:szCs w:val="22"/>
              </w:rPr>
            </w:pPr>
            <w:r>
              <w:rPr>
                <w:szCs w:val="22"/>
              </w:rPr>
              <w:t>8030.0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(q)</w:t>
            </w:r>
            <w:r>
              <w:rPr>
                <w:szCs w:val="22"/>
              </w:rPr>
              <w:tab/>
              <w:t xml:space="preserve">for arsenic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0.001 kg per day </w:t>
            </w:r>
            <w:r>
              <w:rPr>
                <w:szCs w:val="22"/>
              </w:rPr>
              <w:tab/>
            </w:r>
          </w:p>
        </w:tc>
        <w:tc>
          <w:tcPr>
            <w:tcW w:w="1576" w:type="dxa"/>
            <w:vAlign w:val="bottom"/>
          </w:tcPr>
          <w:p>
            <w:pPr>
              <w:pStyle w:val="yTableNAm"/>
              <w:rPr>
                <w:szCs w:val="22"/>
              </w:rPr>
            </w:pPr>
            <w:r>
              <w:rPr>
                <w:szCs w:val="22"/>
              </w:rPr>
              <w:t>1005.0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over 0.001 kg per day but not over 0.04 kg per day </w:t>
            </w:r>
            <w:r>
              <w:rPr>
                <w:szCs w:val="22"/>
              </w:rPr>
              <w:tab/>
            </w:r>
          </w:p>
        </w:tc>
        <w:tc>
          <w:tcPr>
            <w:tcW w:w="1576" w:type="dxa"/>
            <w:vAlign w:val="bottom"/>
          </w:tcPr>
          <w:p>
            <w:pPr>
              <w:pStyle w:val="yTableNAm"/>
              <w:rPr>
                <w:szCs w:val="22"/>
              </w:rPr>
            </w:pPr>
            <w:r>
              <w:rPr>
                <w:szCs w:val="22"/>
              </w:rPr>
              <w:t>10035.0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(iii)</w:t>
            </w:r>
            <w:r>
              <w:rPr>
                <w:szCs w:val="22"/>
              </w:rPr>
              <w:tab/>
              <w:t xml:space="preserve">with a concentration of over 0.04 kg per day </w:t>
            </w:r>
            <w:r>
              <w:rPr>
                <w:szCs w:val="22"/>
              </w:rPr>
              <w:tab/>
            </w:r>
          </w:p>
        </w:tc>
        <w:tc>
          <w:tcPr>
            <w:tcW w:w="1576" w:type="dxa"/>
            <w:vAlign w:val="bottom"/>
          </w:tcPr>
          <w:p>
            <w:pPr>
              <w:pStyle w:val="yTableNAm"/>
              <w:rPr>
                <w:szCs w:val="22"/>
              </w:rPr>
            </w:pPr>
            <w:r>
              <w:rPr>
                <w:szCs w:val="22"/>
              </w:rPr>
              <w:t>100340.0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(r)</w:t>
            </w:r>
            <w:r>
              <w:rPr>
                <w:szCs w:val="22"/>
              </w:rPr>
              <w:tab/>
              <w:t xml:space="preserve">for cadmium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0.001 kg per day </w:t>
            </w:r>
            <w:r>
              <w:rPr>
                <w:szCs w:val="22"/>
              </w:rPr>
              <w:tab/>
            </w:r>
          </w:p>
        </w:tc>
        <w:tc>
          <w:tcPr>
            <w:tcW w:w="1576" w:type="dxa"/>
            <w:vAlign w:val="bottom"/>
          </w:tcPr>
          <w:p>
            <w:pPr>
              <w:pStyle w:val="yTableNAm"/>
              <w:rPr>
                <w:szCs w:val="22"/>
              </w:rPr>
            </w:pPr>
            <w:r>
              <w:rPr>
                <w:szCs w:val="22"/>
              </w:rPr>
              <w:t>1005.0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over 0.001 kg per day but not over 0.015 kg per day </w:t>
            </w:r>
            <w:r>
              <w:rPr>
                <w:szCs w:val="22"/>
              </w:rPr>
              <w:tab/>
            </w:r>
          </w:p>
        </w:tc>
        <w:tc>
          <w:tcPr>
            <w:tcW w:w="1576" w:type="dxa"/>
            <w:vAlign w:val="bottom"/>
          </w:tcPr>
          <w:p>
            <w:pPr>
              <w:pStyle w:val="yTableNAm"/>
              <w:rPr>
                <w:szCs w:val="22"/>
              </w:rPr>
            </w:pPr>
            <w:r>
              <w:rPr>
                <w:szCs w:val="22"/>
              </w:rPr>
              <w:t>10035.0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(iii)</w:t>
            </w:r>
            <w:r>
              <w:rPr>
                <w:szCs w:val="22"/>
              </w:rPr>
              <w:tab/>
              <w:t xml:space="preserve">with a concentration of over 0.015 kg per day </w:t>
            </w:r>
            <w:r>
              <w:rPr>
                <w:szCs w:val="22"/>
              </w:rPr>
              <w:tab/>
            </w:r>
          </w:p>
        </w:tc>
        <w:tc>
          <w:tcPr>
            <w:tcW w:w="1576" w:type="dxa"/>
            <w:vAlign w:val="bottom"/>
          </w:tcPr>
          <w:p>
            <w:pPr>
              <w:pStyle w:val="yTableNAm"/>
              <w:rPr>
                <w:szCs w:val="22"/>
              </w:rPr>
            </w:pPr>
            <w:r>
              <w:rPr>
                <w:szCs w:val="22"/>
              </w:rPr>
              <w:t>100340.0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(s)</w:t>
            </w:r>
            <w:r>
              <w:rPr>
                <w:szCs w:val="22"/>
              </w:rPr>
              <w:tab/>
              <w:t xml:space="preserve">for molybdenum or selenium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0.001 kg per day </w:t>
            </w:r>
            <w:r>
              <w:rPr>
                <w:szCs w:val="22"/>
              </w:rPr>
              <w:tab/>
            </w:r>
          </w:p>
        </w:tc>
        <w:tc>
          <w:tcPr>
            <w:tcW w:w="1576" w:type="dxa"/>
            <w:vAlign w:val="bottom"/>
          </w:tcPr>
          <w:p>
            <w:pPr>
              <w:pStyle w:val="yTableNAm"/>
              <w:rPr>
                <w:szCs w:val="22"/>
              </w:rPr>
            </w:pPr>
            <w:r>
              <w:rPr>
                <w:szCs w:val="22"/>
              </w:rPr>
              <w:t>1005.0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over 0.001 kg per day but not over 0.02 kg per day </w:t>
            </w:r>
            <w:r>
              <w:rPr>
                <w:szCs w:val="22"/>
              </w:rPr>
              <w:tab/>
            </w:r>
          </w:p>
        </w:tc>
        <w:tc>
          <w:tcPr>
            <w:tcW w:w="1576" w:type="dxa"/>
            <w:vAlign w:val="bottom"/>
          </w:tcPr>
          <w:p>
            <w:pPr>
              <w:pStyle w:val="yTableNAm"/>
              <w:rPr>
                <w:szCs w:val="22"/>
              </w:rPr>
            </w:pPr>
            <w:r>
              <w:rPr>
                <w:szCs w:val="22"/>
              </w:rPr>
              <w:t>10035.0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(iii)</w:t>
            </w:r>
            <w:r>
              <w:rPr>
                <w:szCs w:val="22"/>
              </w:rPr>
              <w:tab/>
              <w:t xml:space="preserve">with a concentration of over 0.02 kg per day </w:t>
            </w:r>
            <w:r>
              <w:rPr>
                <w:szCs w:val="22"/>
              </w:rPr>
              <w:tab/>
            </w:r>
          </w:p>
        </w:tc>
        <w:tc>
          <w:tcPr>
            <w:tcW w:w="1576" w:type="dxa"/>
            <w:vAlign w:val="bottom"/>
          </w:tcPr>
          <w:p>
            <w:pPr>
              <w:pStyle w:val="yTableNAm"/>
              <w:rPr>
                <w:szCs w:val="22"/>
              </w:rPr>
            </w:pPr>
            <w:r>
              <w:rPr>
                <w:szCs w:val="22"/>
              </w:rPr>
              <w:t>100340.0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(t)</w:t>
            </w:r>
            <w:r>
              <w:rPr>
                <w:szCs w:val="22"/>
              </w:rPr>
              <w:tab/>
              <w:t xml:space="preserve">for silver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0.002 kg per day </w:t>
            </w:r>
            <w:r>
              <w:rPr>
                <w:szCs w:val="22"/>
              </w:rPr>
              <w:tab/>
            </w:r>
          </w:p>
        </w:tc>
        <w:tc>
          <w:tcPr>
            <w:tcW w:w="1576" w:type="dxa"/>
            <w:vAlign w:val="bottom"/>
          </w:tcPr>
          <w:p>
            <w:pPr>
              <w:pStyle w:val="yTableNAm"/>
              <w:rPr>
                <w:szCs w:val="22"/>
              </w:rPr>
            </w:pPr>
            <w:r>
              <w:rPr>
                <w:szCs w:val="22"/>
              </w:rPr>
              <w:t>1005.0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over 0.002 kg per day but not over 0.01 kg per day </w:t>
            </w:r>
            <w:r>
              <w:rPr>
                <w:szCs w:val="22"/>
              </w:rPr>
              <w:tab/>
            </w:r>
          </w:p>
        </w:tc>
        <w:tc>
          <w:tcPr>
            <w:tcW w:w="1576" w:type="dxa"/>
            <w:vAlign w:val="bottom"/>
          </w:tcPr>
          <w:p>
            <w:pPr>
              <w:pStyle w:val="yTableNAm"/>
              <w:rPr>
                <w:szCs w:val="22"/>
              </w:rPr>
            </w:pPr>
            <w:r>
              <w:rPr>
                <w:szCs w:val="22"/>
              </w:rPr>
              <w:t>10035.0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(iii)</w:t>
            </w:r>
            <w:r>
              <w:rPr>
                <w:szCs w:val="22"/>
              </w:rPr>
              <w:tab/>
              <w:t xml:space="preserve">with a concentration of over 0.01 kg per day </w:t>
            </w:r>
            <w:r>
              <w:rPr>
                <w:szCs w:val="22"/>
              </w:rPr>
              <w:tab/>
            </w:r>
          </w:p>
        </w:tc>
        <w:tc>
          <w:tcPr>
            <w:tcW w:w="1576" w:type="dxa"/>
            <w:vAlign w:val="bottom"/>
          </w:tcPr>
          <w:p>
            <w:pPr>
              <w:pStyle w:val="yTableNAm"/>
              <w:rPr>
                <w:szCs w:val="22"/>
              </w:rPr>
            </w:pPr>
            <w:r>
              <w:rPr>
                <w:szCs w:val="22"/>
              </w:rPr>
              <w:t>100340.0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(u)</w:t>
            </w:r>
            <w:r>
              <w:rPr>
                <w:szCs w:val="22"/>
              </w:rPr>
              <w:tab/>
              <w:t xml:space="preserve">for mercury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0.0001 kg per day </w:t>
            </w:r>
            <w:r>
              <w:rPr>
                <w:szCs w:val="22"/>
              </w:rPr>
              <w:tab/>
            </w:r>
          </w:p>
        </w:tc>
        <w:tc>
          <w:tcPr>
            <w:tcW w:w="1576" w:type="dxa"/>
            <w:vAlign w:val="bottom"/>
          </w:tcPr>
          <w:p>
            <w:pPr>
              <w:pStyle w:val="yTableNAm"/>
              <w:rPr>
                <w:szCs w:val="22"/>
              </w:rPr>
            </w:pPr>
            <w:r>
              <w:rPr>
                <w:szCs w:val="22"/>
              </w:rPr>
              <w:t>1005.0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over 0.0001 kg per day but not over 0.001 kg per day </w:t>
            </w:r>
            <w:r>
              <w:rPr>
                <w:szCs w:val="22"/>
              </w:rPr>
              <w:tab/>
            </w:r>
          </w:p>
        </w:tc>
        <w:tc>
          <w:tcPr>
            <w:tcW w:w="1576" w:type="dxa"/>
            <w:vAlign w:val="bottom"/>
          </w:tcPr>
          <w:p>
            <w:pPr>
              <w:pStyle w:val="yTableNAm"/>
              <w:rPr>
                <w:szCs w:val="22"/>
              </w:rPr>
            </w:pPr>
            <w:r>
              <w:rPr>
                <w:szCs w:val="22"/>
              </w:rPr>
              <w:t>100340.0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(iii)</w:t>
            </w:r>
            <w:r>
              <w:rPr>
                <w:szCs w:val="22"/>
              </w:rPr>
              <w:tab/>
              <w:t xml:space="preserve">with a concentration of over 0.001 kg per day </w:t>
            </w:r>
            <w:r>
              <w:rPr>
                <w:szCs w:val="22"/>
              </w:rPr>
              <w:tab/>
            </w:r>
          </w:p>
        </w:tc>
        <w:tc>
          <w:tcPr>
            <w:tcW w:w="1576" w:type="dxa"/>
            <w:vAlign w:val="bottom"/>
          </w:tcPr>
          <w:p>
            <w:pPr>
              <w:pStyle w:val="yTableNAm"/>
              <w:rPr>
                <w:szCs w:val="22"/>
              </w:rPr>
            </w:pPr>
            <w:r>
              <w:rPr>
                <w:szCs w:val="22"/>
              </w:rPr>
              <w:t>752565.0 c/kg</w:t>
            </w:r>
          </w:p>
        </w:tc>
      </w:tr>
      <w:tr>
        <w:trPr>
          <w:cantSplit/>
        </w:trPr>
        <w:tc>
          <w:tcPr>
            <w:tcW w:w="850" w:type="dxa"/>
          </w:tcPr>
          <w:p>
            <w:pPr>
              <w:pStyle w:val="yTableNAm"/>
              <w:keepNext/>
              <w:keepLines/>
              <w:rPr>
                <w:b/>
                <w:szCs w:val="22"/>
              </w:rPr>
            </w:pPr>
            <w:r>
              <w:rPr>
                <w:b/>
                <w:szCs w:val="22"/>
              </w:rPr>
              <w:t>12.</w:t>
            </w:r>
          </w:p>
        </w:tc>
        <w:tc>
          <w:tcPr>
            <w:tcW w:w="5812" w:type="dxa"/>
            <w:gridSpan w:val="2"/>
          </w:tcPr>
          <w:p>
            <w:pPr>
              <w:pStyle w:val="yTableNAm"/>
              <w:rPr>
                <w:b/>
                <w:szCs w:val="22"/>
              </w:rPr>
            </w:pPr>
            <w:r>
              <w:rPr>
                <w:b/>
                <w:szCs w:val="22"/>
              </w:rPr>
              <w:t>Effluent discharged from a septic tank effluent pumping system into a sewer of the Corporation</w:t>
            </w:r>
          </w:p>
        </w:tc>
      </w:tr>
      <w:tr>
        <w:trPr>
          <w:cantSplit/>
        </w:trPr>
        <w:tc>
          <w:tcPr>
            <w:tcW w:w="850" w:type="dxa"/>
          </w:tcPr>
          <w:p>
            <w:pPr>
              <w:pStyle w:val="yTableNAm"/>
              <w:keepNext/>
              <w:keepLines/>
              <w:rPr>
                <w:szCs w:val="22"/>
              </w:rPr>
            </w:pPr>
          </w:p>
        </w:tc>
        <w:tc>
          <w:tcPr>
            <w:tcW w:w="4236" w:type="dxa"/>
          </w:tcPr>
          <w:p>
            <w:pPr>
              <w:pStyle w:val="yTableNAm"/>
              <w:tabs>
                <w:tab w:val="right" w:leader="dot" w:pos="5103"/>
              </w:tabs>
              <w:rPr>
                <w:szCs w:val="22"/>
              </w:rPr>
            </w:pPr>
            <w:r>
              <w:rPr>
                <w:szCs w:val="22"/>
              </w:rPr>
              <w:t xml:space="preserve">For effluent discharged from a septic tank effluent pumping system into a sewer of the Corporation </w:t>
            </w:r>
            <w:r>
              <w:rPr>
                <w:szCs w:val="22"/>
              </w:rPr>
              <w:tab/>
            </w:r>
          </w:p>
        </w:tc>
        <w:tc>
          <w:tcPr>
            <w:tcW w:w="1576" w:type="dxa"/>
            <w:vAlign w:val="bottom"/>
          </w:tcPr>
          <w:p>
            <w:pPr>
              <w:pStyle w:val="yTableNAm"/>
              <w:rPr>
                <w:szCs w:val="22"/>
              </w:rPr>
            </w:pPr>
            <w:r>
              <w:rPr>
                <w:szCs w:val="22"/>
              </w:rPr>
              <w:t>150.0 c/kL</w:t>
            </w:r>
          </w:p>
        </w:tc>
      </w:tr>
    </w:tbl>
    <w:p>
      <w:pPr>
        <w:pStyle w:val="yFootnotesection"/>
      </w:pPr>
      <w:r>
        <w:tab/>
        <w:t>[Division 3 inserted in Gazette 20 Jun 2012 p. 2730</w:t>
      </w:r>
      <w:r>
        <w:noBreakHyphen/>
        <w:t>5.]</w:t>
      </w:r>
    </w:p>
    <w:p>
      <w:pPr>
        <w:pStyle w:val="yHeading3"/>
      </w:pPr>
      <w:bookmarkStart w:id="679" w:name="_Toc328403442"/>
      <w:bookmarkStart w:id="680" w:name="_Toc328471491"/>
      <w:r>
        <w:rPr>
          <w:rStyle w:val="CharSDivNo"/>
        </w:rPr>
        <w:t>Division 4</w:t>
      </w:r>
      <w:r>
        <w:rPr>
          <w:b w:val="0"/>
        </w:rPr>
        <w:t> </w:t>
      </w:r>
      <w:r>
        <w:t>— </w:t>
      </w:r>
      <w:r>
        <w:rPr>
          <w:rStyle w:val="CharSDivText"/>
        </w:rPr>
        <w:t>Metropolitan combined charges</w:t>
      </w:r>
      <w:bookmarkEnd w:id="679"/>
      <w:bookmarkEnd w:id="680"/>
    </w:p>
    <w:p>
      <w:pPr>
        <w:pStyle w:val="yFootnoteheading"/>
        <w:spacing w:after="60"/>
      </w:pPr>
      <w:r>
        <w:tab/>
        <w:t>[Heading inserted in Gazette 20 Jun 2012 p. 2735.]</w:t>
      </w:r>
    </w:p>
    <w:p>
      <w:pPr>
        <w:pStyle w:val="yHeading5"/>
      </w:pPr>
      <w:bookmarkStart w:id="681" w:name="_Toc328471492"/>
      <w:r>
        <w:t>13.</w:t>
      </w:r>
      <w:r>
        <w:tab/>
        <w:t>Metropolitan non</w:t>
      </w:r>
      <w:r>
        <w:noBreakHyphen/>
        <w:t>residential (other than vacant land)</w:t>
      </w:r>
      <w:bookmarkEnd w:id="681"/>
    </w:p>
    <w:p>
      <w:pPr>
        <w:pStyle w:val="ySubsection"/>
      </w:pPr>
      <w:r>
        <w:tab/>
      </w:r>
      <w:r>
        <w:tab/>
        <w:t xml:space="preserve">In respect of </w:t>
      </w:r>
      <w:r>
        <w:rPr>
          <w:snapToGrid w:val="0"/>
        </w:rPr>
        <w:t>land</w:t>
      </w:r>
      <w:r>
        <w:t xml:space="preserve"> in the metropolitan area that is not — </w:t>
      </w:r>
    </w:p>
    <w:p>
      <w:pPr>
        <w:pStyle w:val="yIndenta"/>
      </w:pPr>
      <w:r>
        <w:tab/>
        <w:t>(a)</w:t>
      </w:r>
      <w:r>
        <w:tab/>
        <w:t>comprised in a residential property; and</w:t>
      </w:r>
    </w:p>
    <w:p>
      <w:pPr>
        <w:pStyle w:val="yIndenta"/>
      </w:pPr>
      <w:r>
        <w:tab/>
        <w:t>(b)</w:t>
      </w:r>
      <w:r>
        <w:tab/>
        <w:t>referred to in item 1, 3, 4, 5, 14, 15 or 16,</w:t>
      </w:r>
    </w:p>
    <w:p>
      <w:pPr>
        <w:pStyle w:val="ySubsection"/>
      </w:pPr>
      <w:r>
        <w:tab/>
      </w:r>
      <w:r>
        <w:tab/>
        <w:t xml:space="preserve">the charge is calculated in accordance with the following formula — </w:t>
      </w:r>
    </w:p>
    <w:p>
      <w:pPr>
        <w:pStyle w:val="yIndenta"/>
      </w:pPr>
      <w:r>
        <w:tab/>
      </w:r>
      <w:r>
        <w:tab/>
        <w:t>If (</w:t>
      </w:r>
      <w:r>
        <w:rPr>
          <w:b/>
        </w:rPr>
        <w:t>P</w:t>
      </w:r>
      <w:r>
        <w:t xml:space="preserve"> + </w:t>
      </w:r>
      <w:r>
        <w:rPr>
          <w:b/>
        </w:rPr>
        <w:t>Q</w:t>
      </w:r>
      <w:r>
        <w:t xml:space="preserve">) </w:t>
      </w:r>
      <w:r>
        <w:sym w:font="Symbol" w:char="F0A3"/>
      </w:r>
      <w:r>
        <w:t xml:space="preserve"> </w:t>
      </w:r>
      <w:r>
        <w:rPr>
          <w:b/>
        </w:rPr>
        <w:t>R</w:t>
      </w:r>
      <w:r>
        <w:t xml:space="preserve">, then — </w:t>
      </w:r>
    </w:p>
    <w:p>
      <w:pPr>
        <w:pStyle w:val="yIndenta"/>
      </w:pPr>
      <w:r>
        <w:tab/>
      </w:r>
      <w:r>
        <w:tab/>
      </w:r>
      <w:r>
        <w:rPr>
          <w:b/>
          <w:bCs/>
        </w:rPr>
        <w:t>P</w:t>
      </w:r>
      <w:r>
        <w:t xml:space="preserve"> + </w:t>
      </w:r>
      <w:r>
        <w:rPr>
          <w:b/>
          <w:bCs/>
        </w:rPr>
        <w:t>Q</w:t>
      </w:r>
    </w:p>
    <w:p>
      <w:pPr>
        <w:pStyle w:val="yIndenta"/>
      </w:pPr>
      <w:r>
        <w:tab/>
      </w:r>
      <w:r>
        <w:tab/>
        <w:t xml:space="preserve">or if — </w:t>
      </w:r>
    </w:p>
    <w:p>
      <w:pPr>
        <w:pStyle w:val="yIndenta"/>
        <w:rPr>
          <w:b/>
        </w:rPr>
      </w:pPr>
      <w:r>
        <w:rPr>
          <w:b/>
        </w:rPr>
        <w:tab/>
      </w:r>
      <w:r>
        <w:rPr>
          <w:b/>
        </w:rPr>
        <w:tab/>
      </w:r>
      <w:r>
        <w:rPr>
          <w:b/>
        </w:rPr>
        <w:tab/>
      </w:r>
      <w:r>
        <w:t>(</w:t>
      </w:r>
      <w:r>
        <w:rPr>
          <w:b/>
        </w:rPr>
        <w:t>P</w:t>
      </w:r>
      <w:r>
        <w:t xml:space="preserve"> + </w:t>
      </w:r>
      <w:r>
        <w:rPr>
          <w:b/>
        </w:rPr>
        <w:t>Q</w:t>
      </w:r>
      <w:r>
        <w:t xml:space="preserve">) &gt; </w:t>
      </w:r>
      <w:r>
        <w:rPr>
          <w:b/>
        </w:rPr>
        <w:t>R</w:t>
      </w:r>
      <w:r>
        <w:t>; and</w:t>
      </w:r>
    </w:p>
    <w:p>
      <w:pPr>
        <w:pStyle w:val="yIndenta"/>
        <w:rPr>
          <w:b/>
        </w:rPr>
      </w:pPr>
      <w:r>
        <w:rPr>
          <w:b/>
        </w:rPr>
        <w:tab/>
      </w:r>
      <w:r>
        <w:rPr>
          <w:b/>
        </w:rPr>
        <w:tab/>
      </w:r>
      <w:r>
        <w:rPr>
          <w:b/>
        </w:rPr>
        <w:tab/>
        <w:t>N</w:t>
      </w:r>
      <w:r>
        <w:t xml:space="preserve"> </w:t>
      </w:r>
      <w:r>
        <w:sym w:font="Symbol" w:char="F0A3"/>
      </w:r>
      <w:r>
        <w:t xml:space="preserve"> </w:t>
      </w:r>
      <w:r>
        <w:rPr>
          <w:b/>
        </w:rPr>
        <w:t>W</w:t>
      </w:r>
      <w:r>
        <w:t>,</w:t>
      </w:r>
    </w:p>
    <w:p>
      <w:pPr>
        <w:pStyle w:val="yIndenta"/>
      </w:pPr>
      <w:r>
        <w:tab/>
      </w:r>
      <w:r>
        <w:tab/>
        <w:t xml:space="preserve">then — </w:t>
      </w:r>
    </w:p>
    <w:p>
      <w:pPr>
        <w:pStyle w:val="yIndenta"/>
        <w:rPr>
          <w:b/>
        </w:rPr>
      </w:pPr>
      <w:r>
        <w:rPr>
          <w:b/>
        </w:rPr>
        <w:tab/>
      </w:r>
      <w:r>
        <w:rPr>
          <w:b/>
        </w:rPr>
        <w:tab/>
      </w:r>
      <w:r>
        <w:rPr>
          <w:b/>
        </w:rPr>
        <w:tab/>
        <w:t>R</w:t>
      </w:r>
    </w:p>
    <w:p>
      <w:pPr>
        <w:pStyle w:val="yIndenta"/>
      </w:pPr>
      <w:r>
        <w:tab/>
      </w:r>
      <w:r>
        <w:tab/>
        <w:t xml:space="preserve">or if — </w:t>
      </w:r>
    </w:p>
    <w:p>
      <w:pPr>
        <w:pStyle w:val="yIndenta"/>
        <w:rPr>
          <w:b/>
        </w:rPr>
      </w:pPr>
      <w:r>
        <w:rPr>
          <w:b/>
        </w:rPr>
        <w:tab/>
      </w:r>
      <w:r>
        <w:rPr>
          <w:b/>
        </w:rPr>
        <w:tab/>
      </w:r>
      <w:r>
        <w:rPr>
          <w:b/>
        </w:rPr>
        <w:tab/>
      </w:r>
      <w:r>
        <w:t>(</w:t>
      </w:r>
      <w:r>
        <w:rPr>
          <w:b/>
        </w:rPr>
        <w:t>P</w:t>
      </w:r>
      <w:r>
        <w:t xml:space="preserve"> </w:t>
      </w:r>
      <w:r>
        <w:rPr>
          <w:b/>
        </w:rPr>
        <w:t>+</w:t>
      </w:r>
      <w:r>
        <w:t xml:space="preserve"> </w:t>
      </w:r>
      <w:r>
        <w:rPr>
          <w:b/>
        </w:rPr>
        <w:t>Q</w:t>
      </w:r>
      <w:r>
        <w:t xml:space="preserve">) </w:t>
      </w:r>
      <w:r>
        <w:rPr>
          <w:b/>
        </w:rPr>
        <w:t>&gt;</w:t>
      </w:r>
      <w:r>
        <w:t xml:space="preserve"> </w:t>
      </w:r>
      <w:r>
        <w:rPr>
          <w:b/>
        </w:rPr>
        <w:t>R</w:t>
      </w:r>
      <w:r>
        <w:t>; and</w:t>
      </w:r>
    </w:p>
    <w:p>
      <w:pPr>
        <w:pStyle w:val="yIndenta"/>
        <w:rPr>
          <w:b/>
        </w:rPr>
      </w:pPr>
      <w:r>
        <w:rPr>
          <w:b/>
        </w:rPr>
        <w:tab/>
      </w:r>
      <w:r>
        <w:rPr>
          <w:b/>
        </w:rPr>
        <w:tab/>
      </w:r>
      <w:r>
        <w:rPr>
          <w:b/>
        </w:rPr>
        <w:tab/>
        <w:t>N &gt; W</w:t>
      </w:r>
      <w:r>
        <w:t>,</w:t>
      </w:r>
    </w:p>
    <w:p>
      <w:pPr>
        <w:pStyle w:val="yIndenta"/>
      </w:pPr>
      <w:r>
        <w:tab/>
      </w:r>
      <w:r>
        <w:tab/>
        <w:t xml:space="preserve">then — </w:t>
      </w:r>
    </w:p>
    <w:p>
      <w:pPr>
        <w:pStyle w:val="yIndenta"/>
      </w:pPr>
      <w:r>
        <w:tab/>
      </w:r>
      <w:r>
        <w:tab/>
      </w:r>
      <w:r>
        <w:tab/>
      </w:r>
      <w:r>
        <w:rPr>
          <w:b/>
        </w:rPr>
        <w:t>R</w:t>
      </w:r>
      <w:r>
        <w:t xml:space="preserve"> + {(</w:t>
      </w:r>
      <w:r>
        <w:rPr>
          <w:b/>
        </w:rPr>
        <w:t>N</w:t>
      </w:r>
      <w:r>
        <w:t xml:space="preserve"> </w:t>
      </w:r>
      <w:r>
        <w:sym w:font="Symbol" w:char="F02D"/>
      </w:r>
      <w:r>
        <w:t xml:space="preserve"> </w:t>
      </w:r>
      <w:r>
        <w:rPr>
          <w:b/>
        </w:rPr>
        <w:t>W</w:t>
      </w:r>
      <w:r>
        <w:t xml:space="preserve">) </w:t>
      </w:r>
      <w:r>
        <w:sym w:font="Symbol" w:char="F0B4"/>
      </w:r>
      <w:r>
        <w:t xml:space="preserve"> </w:t>
      </w:r>
      <w:r>
        <w:rPr>
          <w:b/>
        </w:rPr>
        <w:t>I</w:t>
      </w:r>
      <w:r>
        <w:t>}</w:t>
      </w:r>
    </w:p>
    <w:p>
      <w:pPr>
        <w:pStyle w:val="yIndenta"/>
      </w:pPr>
      <w:r>
        <w:tab/>
      </w:r>
      <w:r>
        <w:tab/>
        <w:t xml:space="preserve">where — </w:t>
      </w:r>
    </w:p>
    <w:p>
      <w:pPr>
        <w:pStyle w:val="yIndenta"/>
        <w:tabs>
          <w:tab w:val="left" w:pos="2160"/>
        </w:tabs>
        <w:ind w:left="2880" w:hanging="2880"/>
      </w:pPr>
      <w:r>
        <w:tab/>
      </w:r>
      <w:r>
        <w:tab/>
      </w:r>
      <w:r>
        <w:tab/>
        <w:t>P =</w:t>
      </w:r>
      <w:r>
        <w:tab/>
        <w:t>the annual charge calculated in accordance with the formula in item 18;</w:t>
      </w:r>
    </w:p>
    <w:p>
      <w:pPr>
        <w:pStyle w:val="yIndenta"/>
        <w:tabs>
          <w:tab w:val="left" w:pos="2160"/>
        </w:tabs>
        <w:ind w:left="2880" w:hanging="2880"/>
      </w:pPr>
      <w:r>
        <w:tab/>
      </w:r>
      <w:r>
        <w:tab/>
      </w:r>
      <w:r>
        <w:tab/>
      </w:r>
      <w:r>
        <w:rPr>
          <w:b/>
        </w:rPr>
        <w:t>Q</w:t>
      </w:r>
      <w:r>
        <w:t xml:space="preserve"> =</w:t>
      </w:r>
      <w:r>
        <w:tab/>
        <w:t>the quantity charge calculated in accordance with the formula in item 19;</w:t>
      </w:r>
    </w:p>
    <w:p>
      <w:pPr>
        <w:pStyle w:val="yIndenti0"/>
      </w:pPr>
      <w:r>
        <w:rPr>
          <w:b/>
        </w:rPr>
        <w:tab/>
      </w:r>
      <w:r>
        <w:rPr>
          <w:b/>
        </w:rPr>
        <w:tab/>
        <w:t>R</w:t>
      </w:r>
      <w:r>
        <w:t xml:space="preserve"> =</w:t>
      </w:r>
      <w:r>
        <w:tab/>
        <w:t>the charge calculated in accordance with the following formula — </w:t>
      </w:r>
    </w:p>
    <w:p>
      <w:pPr>
        <w:pStyle w:val="yIndenti0"/>
      </w:pPr>
      <w:r>
        <w:rPr>
          <w:b/>
        </w:rPr>
        <w:tab/>
      </w:r>
      <w:r>
        <w:rPr>
          <w:b/>
        </w:rPr>
        <w:tab/>
      </w:r>
      <w:r>
        <w:rPr>
          <w:b/>
        </w:rPr>
        <w:tab/>
        <w:t>A</w:t>
      </w:r>
      <w:r>
        <w:t xml:space="preserve"> </w:t>
      </w:r>
      <w:r>
        <w:sym w:font="Symbol" w:char="F0B4"/>
      </w:r>
      <w:r>
        <w:t xml:space="preserve"> </w:t>
      </w:r>
      <w:r>
        <w:rPr>
          <w:b/>
        </w:rPr>
        <w:t>S</w:t>
      </w:r>
    </w:p>
    <w:p>
      <w:pPr>
        <w:pStyle w:val="yIndenti0"/>
      </w:pPr>
      <w:r>
        <w:tab/>
      </w:r>
      <w:r>
        <w:tab/>
      </w:r>
      <w:r>
        <w:tab/>
        <w:t xml:space="preserve">where — </w:t>
      </w:r>
    </w:p>
    <w:p>
      <w:pPr>
        <w:pStyle w:val="yIndenti0"/>
        <w:rPr>
          <w:b/>
        </w:rPr>
      </w:pPr>
      <w:r>
        <w:rPr>
          <w:b/>
        </w:rPr>
        <w:tab/>
      </w:r>
      <w:r>
        <w:rPr>
          <w:b/>
        </w:rPr>
        <w:tab/>
        <w:t xml:space="preserve">A </w:t>
      </w:r>
      <w:r>
        <w:t>=</w:t>
      </w:r>
      <w:r>
        <w:rPr>
          <w:b/>
        </w:rPr>
        <w:tab/>
      </w:r>
      <w:r>
        <w:t>the charge payable in the 2011/2012 year</w:t>
      </w:r>
      <w:r>
        <w:rPr>
          <w:b/>
        </w:rPr>
        <w:t>;</w:t>
      </w:r>
    </w:p>
    <w:p>
      <w:pPr>
        <w:pStyle w:val="yIndenti0"/>
      </w:pPr>
      <w:r>
        <w:rPr>
          <w:b/>
        </w:rPr>
        <w:tab/>
      </w:r>
      <w:r>
        <w:rPr>
          <w:b/>
        </w:rPr>
        <w:tab/>
        <w:t xml:space="preserve">S </w:t>
      </w:r>
      <w:r>
        <w:t>=</w:t>
      </w:r>
      <w:r>
        <w:rPr>
          <w:b/>
        </w:rPr>
        <w:tab/>
      </w:r>
      <w:r>
        <w:t>1.136;</w:t>
      </w:r>
    </w:p>
    <w:p>
      <w:pPr>
        <w:pStyle w:val="yIndenti0"/>
      </w:pPr>
      <w:r>
        <w:rPr>
          <w:b/>
        </w:rPr>
        <w:tab/>
      </w:r>
      <w:r>
        <w:rPr>
          <w:b/>
        </w:rPr>
        <w:tab/>
        <w:t xml:space="preserve">N </w:t>
      </w:r>
      <w:r>
        <w:t>=</w:t>
      </w:r>
      <w:r>
        <w:rPr>
          <w:b/>
        </w:rPr>
        <w:tab/>
      </w:r>
      <w:r>
        <w:t>the discharge volume for the 2012/2013 year;</w:t>
      </w:r>
    </w:p>
    <w:p>
      <w:pPr>
        <w:pStyle w:val="yIndenti0"/>
      </w:pPr>
      <w:r>
        <w:rPr>
          <w:b/>
        </w:rPr>
        <w:tab/>
      </w:r>
      <w:r>
        <w:rPr>
          <w:b/>
        </w:rPr>
        <w:tab/>
        <w:t xml:space="preserve">W </w:t>
      </w:r>
      <w:r>
        <w:t>=</w:t>
      </w:r>
      <w:r>
        <w:rPr>
          <w:b/>
        </w:rPr>
        <w:tab/>
      </w:r>
      <w:r>
        <w:t>the discharge volume for the 2011/2012 year;</w:t>
      </w:r>
    </w:p>
    <w:p>
      <w:pPr>
        <w:pStyle w:val="yIndenti0"/>
      </w:pPr>
      <w:r>
        <w:rPr>
          <w:b/>
        </w:rPr>
        <w:tab/>
      </w:r>
      <w:r>
        <w:rPr>
          <w:b/>
        </w:rPr>
        <w:tab/>
        <w:t xml:space="preserve">I </w:t>
      </w:r>
      <w:r>
        <w:t>=</w:t>
      </w:r>
      <w:r>
        <w:rPr>
          <w:b/>
        </w:rPr>
        <w:tab/>
      </w:r>
      <w:r>
        <w:t>2.677.</w:t>
      </w:r>
    </w:p>
    <w:p>
      <w:pPr>
        <w:pStyle w:val="yHeading5"/>
      </w:pPr>
      <w:bookmarkStart w:id="682" w:name="_Toc328471493"/>
      <w:r>
        <w:t>14.</w:t>
      </w:r>
      <w:r>
        <w:tab/>
        <w:t>Metropolitan Government trading organisation and non</w:t>
      </w:r>
      <w:r>
        <w:noBreakHyphen/>
        <w:t>commercial Government property</w:t>
      </w:r>
      <w:bookmarkEnd w:id="682"/>
    </w:p>
    <w:p>
      <w:pPr>
        <w:pStyle w:val="ySubsection"/>
      </w:pPr>
      <w:r>
        <w:tab/>
      </w:r>
      <w:r>
        <w:tab/>
        <w:t xml:space="preserve">In respect of a </w:t>
      </w:r>
      <w:r>
        <w:rPr>
          <w:snapToGrid w:val="0"/>
        </w:rPr>
        <w:t>non</w:t>
      </w:r>
      <w:r>
        <w:noBreakHyphen/>
        <w:t xml:space="preserve">commercial Government property, or a property held by a Government trading organisation, in the metropolitan area the charge payable in accordance with the following formula — </w:t>
      </w:r>
    </w:p>
    <w:p>
      <w:pPr>
        <w:pStyle w:val="ySubsection"/>
      </w:pPr>
      <w:r>
        <w:rPr>
          <w:b/>
        </w:rPr>
        <w:tab/>
      </w:r>
      <w:r>
        <w:rPr>
          <w:b/>
        </w:rPr>
        <w:tab/>
        <w:t>Y</w:t>
      </w:r>
      <w:r>
        <w:t xml:space="preserve"> + </w:t>
      </w:r>
      <w:r>
        <w:rPr>
          <w:b/>
        </w:rPr>
        <w:t>Q</w:t>
      </w:r>
    </w:p>
    <w:p>
      <w:pPr>
        <w:pStyle w:val="ySubsection"/>
      </w:pPr>
      <w:r>
        <w:tab/>
      </w:r>
      <w:r>
        <w:tab/>
        <w:t xml:space="preserve">where — </w:t>
      </w:r>
    </w:p>
    <w:p>
      <w:pPr>
        <w:pStyle w:val="yIndenta"/>
      </w:pPr>
      <w:r>
        <w:rPr>
          <w:b/>
        </w:rPr>
        <w:tab/>
        <w:t>Y</w:t>
      </w:r>
      <w:r>
        <w:t xml:space="preserve"> =</w:t>
      </w:r>
      <w:r>
        <w:tab/>
        <w:t>the charge payable for the relevant number of major fixtures in the 2012/2013 year as set out in the Table to item 18;</w:t>
      </w:r>
    </w:p>
    <w:p>
      <w:pPr>
        <w:pStyle w:val="yIndenta"/>
      </w:pPr>
      <w:r>
        <w:rPr>
          <w:b/>
        </w:rPr>
        <w:tab/>
        <w:t>Q</w:t>
      </w:r>
      <w:r>
        <w:t xml:space="preserve"> =</w:t>
      </w:r>
      <w:r>
        <w:tab/>
        <w:t>the quantity charge calculated in accordance with the formula in item 19.</w:t>
      </w:r>
    </w:p>
    <w:p>
      <w:pPr>
        <w:pStyle w:val="yHeading5"/>
      </w:pPr>
      <w:bookmarkStart w:id="683" w:name="_Toc328471494"/>
      <w:r>
        <w:t>15.</w:t>
      </w:r>
      <w:r>
        <w:tab/>
        <w:t>Metropolitan non strata</w:t>
      </w:r>
      <w:r>
        <w:noBreakHyphen/>
        <w:t>titled caravan park with long</w:t>
      </w:r>
      <w:r>
        <w:noBreakHyphen/>
        <w:t>term residential caravan bays</w:t>
      </w:r>
      <w:bookmarkEnd w:id="683"/>
    </w:p>
    <w:p>
      <w:pPr>
        <w:pStyle w:val="ySubsection"/>
      </w:pPr>
      <w:r>
        <w:tab/>
      </w:r>
      <w:r>
        <w:tab/>
        <w:t xml:space="preserve">In respect of a caravan park in the metropolitan area — </w:t>
      </w:r>
    </w:p>
    <w:p>
      <w:pPr>
        <w:pStyle w:val="yIndenta"/>
      </w:pPr>
      <w:r>
        <w:tab/>
        <w:t>(a)</w:t>
      </w:r>
      <w:r>
        <w:tab/>
        <w:t>not consisting of strata</w:t>
      </w:r>
      <w:r>
        <w:noBreakHyphen/>
        <w:t>titled caravan bays referred to in item 3; and</w:t>
      </w:r>
    </w:p>
    <w:p>
      <w:pPr>
        <w:pStyle w:val="yIndenta"/>
      </w:pPr>
      <w:r>
        <w:tab/>
        <w:t>(b)</w:t>
      </w:r>
      <w:r>
        <w:tab/>
        <w:t>having long</w:t>
      </w:r>
      <w:r>
        <w:noBreakHyphen/>
        <w:t xml:space="preserve">term residential caravan bays, the charge payable in accordance with the following formula — </w:t>
      </w:r>
    </w:p>
    <w:p>
      <w:pPr>
        <w:pStyle w:val="yIndenta"/>
      </w:pPr>
      <w:r>
        <w:rPr>
          <w:b/>
        </w:rPr>
        <w:tab/>
      </w:r>
      <w:r>
        <w:rPr>
          <w:b/>
        </w:rPr>
        <w:tab/>
        <w:t>AA</w:t>
      </w:r>
      <w:r>
        <w:t xml:space="preserve"> + </w:t>
      </w:r>
      <w:r>
        <w:rPr>
          <w:b/>
        </w:rPr>
        <w:t>AB</w:t>
      </w:r>
    </w:p>
    <w:p>
      <w:pPr>
        <w:pStyle w:val="yIndenta"/>
      </w:pPr>
      <w:r>
        <w:tab/>
      </w:r>
      <w:r>
        <w:tab/>
        <w:t xml:space="preserve">where — </w:t>
      </w:r>
    </w:p>
    <w:p>
      <w:pPr>
        <w:pStyle w:val="yIndenti0"/>
      </w:pPr>
      <w:r>
        <w:rPr>
          <w:b/>
          <w:bCs/>
        </w:rPr>
        <w:tab/>
        <w:t>AA =</w:t>
      </w:r>
      <w:r>
        <w:tab/>
        <w:t>a charge of $240.50 for each long</w:t>
      </w:r>
      <w:r>
        <w:noBreakHyphen/>
        <w:t>term residential caravan bay;</w:t>
      </w:r>
    </w:p>
    <w:p>
      <w:pPr>
        <w:pStyle w:val="yIndenti0"/>
      </w:pPr>
      <w:r>
        <w:tab/>
        <w:t>AB =</w:t>
      </w:r>
      <w:r>
        <w:tab/>
        <w:t>the charge for any part of the caravan park not comprised in long</w:t>
      </w:r>
      <w:r>
        <w:noBreakHyphen/>
        <w:t xml:space="preserve">term residential caravan bays, calculated in accordance with the following formula — </w:t>
      </w:r>
    </w:p>
    <w:p>
      <w:pPr>
        <w:pStyle w:val="yIndenti0"/>
      </w:pPr>
      <w:r>
        <w:tab/>
      </w:r>
      <w:r>
        <w:tab/>
        <w:t>If (</w:t>
      </w:r>
      <w:r>
        <w:rPr>
          <w:b/>
        </w:rPr>
        <w:t>Y</w:t>
      </w:r>
      <w:r>
        <w:t xml:space="preserve"> + </w:t>
      </w:r>
      <w:r>
        <w:rPr>
          <w:b/>
        </w:rPr>
        <w:t>Q</w:t>
      </w:r>
      <w:r>
        <w:t xml:space="preserve">) </w:t>
      </w:r>
      <w:r>
        <w:sym w:font="Symbol" w:char="F0A3"/>
      </w:r>
      <w:r>
        <w:t xml:space="preserve"> </w:t>
      </w:r>
      <w:r>
        <w:rPr>
          <w:b/>
        </w:rPr>
        <w:t>R</w:t>
      </w:r>
      <w:r>
        <w:t xml:space="preserve">, then — </w:t>
      </w:r>
    </w:p>
    <w:p>
      <w:pPr>
        <w:pStyle w:val="yIndenti0"/>
      </w:pPr>
      <w:r>
        <w:tab/>
      </w:r>
      <w:r>
        <w:tab/>
      </w:r>
      <w:r>
        <w:rPr>
          <w:b/>
        </w:rPr>
        <w:t>Y</w:t>
      </w:r>
      <w:r>
        <w:t xml:space="preserve"> + </w:t>
      </w:r>
      <w:r>
        <w:rPr>
          <w:b/>
        </w:rPr>
        <w:t>Q</w:t>
      </w:r>
    </w:p>
    <w:p>
      <w:pPr>
        <w:pStyle w:val="yIndenti0"/>
      </w:pPr>
      <w:r>
        <w:tab/>
      </w:r>
      <w:r>
        <w:tab/>
        <w:t xml:space="preserve">or if — </w:t>
      </w:r>
    </w:p>
    <w:p>
      <w:pPr>
        <w:pStyle w:val="yIndenti0"/>
      </w:pPr>
      <w:r>
        <w:tab/>
      </w:r>
      <w:r>
        <w:tab/>
        <w:t>(</w:t>
      </w:r>
      <w:r>
        <w:rPr>
          <w:b/>
        </w:rPr>
        <w:t>Y</w:t>
      </w:r>
      <w:r>
        <w:t xml:space="preserve"> + </w:t>
      </w:r>
      <w:r>
        <w:rPr>
          <w:b/>
        </w:rPr>
        <w:t>Q</w:t>
      </w:r>
      <w:r>
        <w:t xml:space="preserve">) &gt; </w:t>
      </w:r>
      <w:r>
        <w:rPr>
          <w:b/>
        </w:rPr>
        <w:t>R</w:t>
      </w:r>
      <w:r>
        <w:t>; and</w:t>
      </w:r>
    </w:p>
    <w:p>
      <w:pPr>
        <w:pStyle w:val="yIndenti0"/>
      </w:pPr>
      <w:r>
        <w:tab/>
      </w:r>
      <w:r>
        <w:tab/>
      </w:r>
      <w:r>
        <w:rPr>
          <w:b/>
        </w:rPr>
        <w:t>N</w:t>
      </w:r>
      <w:r>
        <w:t xml:space="preserve"> </w:t>
      </w:r>
      <w:r>
        <w:sym w:font="Symbol" w:char="F0A3"/>
      </w:r>
      <w:r>
        <w:t xml:space="preserve"> </w:t>
      </w:r>
      <w:r>
        <w:rPr>
          <w:b/>
        </w:rPr>
        <w:t>W</w:t>
      </w:r>
      <w:r>
        <w:t>,</w:t>
      </w:r>
    </w:p>
    <w:p>
      <w:pPr>
        <w:pStyle w:val="yIndenti0"/>
      </w:pPr>
      <w:r>
        <w:tab/>
      </w:r>
      <w:r>
        <w:tab/>
        <w:t xml:space="preserve">then — </w:t>
      </w:r>
    </w:p>
    <w:p>
      <w:pPr>
        <w:pStyle w:val="yIndenti0"/>
        <w:rPr>
          <w:b/>
        </w:rPr>
      </w:pPr>
      <w:r>
        <w:tab/>
      </w:r>
      <w:r>
        <w:tab/>
      </w:r>
      <w:r>
        <w:rPr>
          <w:b/>
        </w:rPr>
        <w:t>R</w:t>
      </w:r>
    </w:p>
    <w:p>
      <w:pPr>
        <w:pStyle w:val="yIndenti0"/>
      </w:pPr>
      <w:r>
        <w:tab/>
      </w:r>
      <w:r>
        <w:tab/>
        <w:t xml:space="preserve">or if — </w:t>
      </w:r>
    </w:p>
    <w:p>
      <w:pPr>
        <w:pStyle w:val="yIndenti0"/>
      </w:pPr>
      <w:r>
        <w:tab/>
      </w:r>
      <w:r>
        <w:tab/>
        <w:t>(</w:t>
      </w:r>
      <w:r>
        <w:rPr>
          <w:b/>
        </w:rPr>
        <w:t>Y</w:t>
      </w:r>
      <w:r>
        <w:t xml:space="preserve"> + </w:t>
      </w:r>
      <w:r>
        <w:rPr>
          <w:b/>
        </w:rPr>
        <w:t>Q</w:t>
      </w:r>
      <w:r>
        <w:t xml:space="preserve">) &gt; </w:t>
      </w:r>
      <w:r>
        <w:rPr>
          <w:b/>
        </w:rPr>
        <w:t>R</w:t>
      </w:r>
      <w:r>
        <w:t>; and</w:t>
      </w:r>
    </w:p>
    <w:p>
      <w:pPr>
        <w:pStyle w:val="yIndenti0"/>
      </w:pPr>
      <w:r>
        <w:tab/>
      </w:r>
      <w:r>
        <w:tab/>
      </w:r>
      <w:r>
        <w:rPr>
          <w:b/>
        </w:rPr>
        <w:t>N</w:t>
      </w:r>
      <w:r>
        <w:t xml:space="preserve"> &gt; </w:t>
      </w:r>
      <w:r>
        <w:rPr>
          <w:b/>
        </w:rPr>
        <w:t>W</w:t>
      </w:r>
      <w:r>
        <w:t>,</w:t>
      </w:r>
    </w:p>
    <w:p>
      <w:pPr>
        <w:pStyle w:val="yIndenti0"/>
      </w:pPr>
      <w:r>
        <w:tab/>
      </w:r>
      <w:r>
        <w:tab/>
        <w:t xml:space="preserve">then — </w:t>
      </w:r>
    </w:p>
    <w:p>
      <w:pPr>
        <w:pStyle w:val="yIndenti0"/>
      </w:pPr>
      <w:r>
        <w:tab/>
      </w:r>
      <w:r>
        <w:tab/>
      </w:r>
      <w:r>
        <w:rPr>
          <w:b/>
        </w:rPr>
        <w:t>R</w:t>
      </w:r>
      <w:r>
        <w:t xml:space="preserve"> + {(</w:t>
      </w:r>
      <w:r>
        <w:rPr>
          <w:b/>
        </w:rPr>
        <w:t>N</w:t>
      </w:r>
      <w:r>
        <w:t xml:space="preserve"> – </w:t>
      </w:r>
      <w:r>
        <w:rPr>
          <w:b/>
        </w:rPr>
        <w:t>W</w:t>
      </w:r>
      <w:r>
        <w:t xml:space="preserve">) </w:t>
      </w:r>
      <w:r>
        <w:sym w:font="Symbol" w:char="F0B4"/>
      </w:r>
      <w:r>
        <w:t xml:space="preserve"> </w:t>
      </w:r>
      <w:r>
        <w:rPr>
          <w:b/>
        </w:rPr>
        <w:t>I</w:t>
      </w:r>
      <w:r>
        <w:t>}</w:t>
      </w:r>
    </w:p>
    <w:p>
      <w:pPr>
        <w:pStyle w:val="yIndenti0"/>
      </w:pPr>
      <w:r>
        <w:tab/>
      </w:r>
      <w:r>
        <w:tab/>
        <w:t xml:space="preserve">where — </w:t>
      </w:r>
    </w:p>
    <w:p>
      <w:pPr>
        <w:pStyle w:val="yIndenti0"/>
        <w:ind w:left="2880" w:hanging="2880"/>
      </w:pPr>
      <w:r>
        <w:tab/>
      </w:r>
      <w:r>
        <w:tab/>
      </w:r>
      <w:r>
        <w:rPr>
          <w:b/>
        </w:rPr>
        <w:t>Y</w:t>
      </w:r>
      <w:r>
        <w:t xml:space="preserve"> =</w:t>
      </w:r>
      <w:r>
        <w:tab/>
        <w:t>the charge payable for the number of major fixtures in the relevant part of the caravan park in the 2012/2013 year as set out in the Table to item 18;</w:t>
      </w:r>
    </w:p>
    <w:p>
      <w:pPr>
        <w:pStyle w:val="yIndenti0"/>
        <w:ind w:left="2880" w:hanging="2880"/>
      </w:pPr>
      <w:r>
        <w:tab/>
      </w:r>
      <w:r>
        <w:tab/>
      </w:r>
      <w:r>
        <w:rPr>
          <w:b/>
        </w:rPr>
        <w:t xml:space="preserve">Q </w:t>
      </w:r>
      <w:r>
        <w:t>=</w:t>
      </w:r>
      <w:r>
        <w:tab/>
        <w:t>the quantity charge calculated in accordance with the formula in item 19;</w:t>
      </w:r>
    </w:p>
    <w:p>
      <w:pPr>
        <w:pStyle w:val="yIndenti0"/>
        <w:ind w:left="2880" w:hanging="2880"/>
      </w:pPr>
      <w:r>
        <w:tab/>
      </w:r>
      <w:r>
        <w:tab/>
      </w:r>
      <w:r>
        <w:rPr>
          <w:b/>
        </w:rPr>
        <w:t>R</w:t>
      </w:r>
      <w:r>
        <w:t xml:space="preserve"> =</w:t>
      </w:r>
      <w:r>
        <w:tab/>
        <w:t>the charge calculated in accordance with the following formula — </w:t>
      </w:r>
    </w:p>
    <w:p>
      <w:pPr>
        <w:pStyle w:val="yIndenti0"/>
      </w:pPr>
      <w:r>
        <w:tab/>
      </w:r>
      <w:r>
        <w:tab/>
      </w:r>
      <w:r>
        <w:tab/>
      </w:r>
      <w:r>
        <w:rPr>
          <w:b/>
        </w:rPr>
        <w:t>A</w:t>
      </w:r>
      <w:r>
        <w:t xml:space="preserve"> </w:t>
      </w:r>
      <w:r>
        <w:sym w:font="Symbol" w:char="F0B4"/>
      </w:r>
      <w:r>
        <w:t xml:space="preserve"> </w:t>
      </w:r>
      <w:r>
        <w:rPr>
          <w:b/>
        </w:rPr>
        <w:t>S</w:t>
      </w:r>
    </w:p>
    <w:p>
      <w:pPr>
        <w:pStyle w:val="yIndenti0"/>
      </w:pPr>
      <w:r>
        <w:tab/>
      </w:r>
      <w:r>
        <w:tab/>
      </w:r>
      <w:r>
        <w:tab/>
        <w:t xml:space="preserve">where — </w:t>
      </w:r>
    </w:p>
    <w:p>
      <w:pPr>
        <w:pStyle w:val="yIndentA0"/>
      </w:pPr>
      <w:r>
        <w:rPr>
          <w:b/>
        </w:rPr>
        <w:tab/>
        <w:t>A</w:t>
      </w:r>
      <w:r>
        <w:t xml:space="preserve"> =</w:t>
      </w:r>
      <w:r>
        <w:tab/>
        <w:t>the amount payable in the 2011/2012 year;</w:t>
      </w:r>
    </w:p>
    <w:p>
      <w:pPr>
        <w:pStyle w:val="yIndentA0"/>
        <w:rPr>
          <w:b/>
        </w:rPr>
      </w:pPr>
      <w:r>
        <w:rPr>
          <w:b/>
        </w:rPr>
        <w:tab/>
        <w:t>S</w:t>
      </w:r>
      <w:r>
        <w:t xml:space="preserve"> </w:t>
      </w:r>
      <w:r>
        <w:rPr>
          <w:b/>
        </w:rPr>
        <w:t>=</w:t>
      </w:r>
      <w:r>
        <w:rPr>
          <w:b/>
        </w:rPr>
        <w:tab/>
      </w:r>
      <w:r>
        <w:t>1.136;</w:t>
      </w:r>
    </w:p>
    <w:p>
      <w:pPr>
        <w:pStyle w:val="yIndenti0"/>
      </w:pPr>
      <w:r>
        <w:tab/>
      </w:r>
      <w:r>
        <w:tab/>
      </w:r>
      <w:r>
        <w:rPr>
          <w:b/>
        </w:rPr>
        <w:t>N</w:t>
      </w:r>
      <w:r>
        <w:t xml:space="preserve"> =</w:t>
      </w:r>
      <w:r>
        <w:tab/>
        <w:t>the discharge volume for the 2012/2013 year;</w:t>
      </w:r>
    </w:p>
    <w:p>
      <w:pPr>
        <w:pStyle w:val="yIndenti0"/>
      </w:pPr>
      <w:r>
        <w:tab/>
      </w:r>
      <w:r>
        <w:tab/>
      </w:r>
      <w:r>
        <w:rPr>
          <w:b/>
        </w:rPr>
        <w:t>W</w:t>
      </w:r>
      <w:r>
        <w:t xml:space="preserve"> =</w:t>
      </w:r>
      <w:r>
        <w:tab/>
        <w:t>the discharge volume for the 2011/2012 year;</w:t>
      </w:r>
    </w:p>
    <w:p>
      <w:pPr>
        <w:pStyle w:val="yIndenti0"/>
      </w:pPr>
      <w:r>
        <w:tab/>
      </w:r>
      <w:r>
        <w:tab/>
      </w:r>
      <w:r>
        <w:rPr>
          <w:b/>
        </w:rPr>
        <w:t>I</w:t>
      </w:r>
      <w:r>
        <w:t xml:space="preserve"> =</w:t>
      </w:r>
      <w:r>
        <w:tab/>
        <w:t>2.677.</w:t>
      </w:r>
    </w:p>
    <w:p>
      <w:pPr>
        <w:pStyle w:val="yHeading5"/>
      </w:pPr>
      <w:bookmarkStart w:id="684" w:name="_Toc328471495"/>
      <w:r>
        <w:t>16.</w:t>
      </w:r>
      <w:r>
        <w:tab/>
        <w:t>Metropolitan nursing home</w:t>
      </w:r>
      <w:bookmarkEnd w:id="684"/>
    </w:p>
    <w:p>
      <w:pPr>
        <w:pStyle w:val="ySubsection"/>
      </w:pPr>
      <w:r>
        <w:tab/>
      </w:r>
      <w:r>
        <w:tab/>
        <w:t>In respect of a nursing home in the metropolitan area, not being a nursing home which is, or is part of, an aged home the charge is calculated in accordance with the following formula —</w:t>
      </w:r>
    </w:p>
    <w:p>
      <w:pPr>
        <w:pStyle w:val="ySubsection"/>
      </w:pPr>
      <w:r>
        <w:tab/>
      </w:r>
      <w:r>
        <w:tab/>
        <w:t>If (</w:t>
      </w:r>
      <w:r>
        <w:rPr>
          <w:b/>
        </w:rPr>
        <w:t>T + Q</w:t>
      </w:r>
      <w:r>
        <w:t xml:space="preserve">) </w:t>
      </w:r>
      <w:r>
        <w:rPr>
          <w:b/>
        </w:rPr>
        <w:sym w:font="Symbol" w:char="F0A3"/>
      </w:r>
      <w:r>
        <w:t xml:space="preserve"> </w:t>
      </w:r>
      <w:r>
        <w:rPr>
          <w:b/>
        </w:rPr>
        <w:t>R</w:t>
      </w:r>
      <w:r>
        <w:t xml:space="preserve">, then — </w:t>
      </w:r>
    </w:p>
    <w:p>
      <w:pPr>
        <w:pStyle w:val="ySubsection"/>
      </w:pPr>
      <w:r>
        <w:tab/>
      </w:r>
      <w:r>
        <w:tab/>
      </w:r>
      <w:r>
        <w:rPr>
          <w:b/>
        </w:rPr>
        <w:t>T</w:t>
      </w:r>
      <w:r>
        <w:t xml:space="preserve"> + </w:t>
      </w:r>
      <w:r>
        <w:rPr>
          <w:b/>
        </w:rPr>
        <w:t>Q</w:t>
      </w:r>
    </w:p>
    <w:p>
      <w:pPr>
        <w:pStyle w:val="ySubsection"/>
      </w:pPr>
      <w:r>
        <w:tab/>
      </w:r>
      <w:r>
        <w:tab/>
        <w:t>or if (</w:t>
      </w:r>
      <w:r>
        <w:rPr>
          <w:b/>
        </w:rPr>
        <w:t>T</w:t>
      </w:r>
      <w:r>
        <w:t xml:space="preserve"> </w:t>
      </w:r>
      <w:r>
        <w:rPr>
          <w:b/>
        </w:rPr>
        <w:t>+</w:t>
      </w:r>
      <w:r>
        <w:t xml:space="preserve"> </w:t>
      </w:r>
      <w:r>
        <w:rPr>
          <w:b/>
        </w:rPr>
        <w:t>Q</w:t>
      </w:r>
      <w:r>
        <w:t xml:space="preserve">) </w:t>
      </w:r>
      <w:r>
        <w:rPr>
          <w:b/>
        </w:rPr>
        <w:t>&gt;</w:t>
      </w:r>
      <w:r>
        <w:t xml:space="preserve"> </w:t>
      </w:r>
      <w:r>
        <w:rPr>
          <w:b/>
        </w:rPr>
        <w:t>R</w:t>
      </w:r>
      <w:r>
        <w:t xml:space="preserve">, then — </w:t>
      </w:r>
    </w:p>
    <w:p>
      <w:pPr>
        <w:pStyle w:val="ySubsection"/>
        <w:rPr>
          <w:b/>
        </w:rPr>
      </w:pPr>
      <w:r>
        <w:rPr>
          <w:b/>
        </w:rPr>
        <w:tab/>
      </w:r>
      <w:r>
        <w:rPr>
          <w:b/>
        </w:rPr>
        <w:tab/>
        <w:t>R</w:t>
      </w:r>
    </w:p>
    <w:p>
      <w:pPr>
        <w:pStyle w:val="ySubsection"/>
      </w:pPr>
      <w:r>
        <w:tab/>
      </w:r>
      <w:r>
        <w:tab/>
        <w:t xml:space="preserve">where — </w:t>
      </w:r>
    </w:p>
    <w:p>
      <w:pPr>
        <w:pStyle w:val="yIndenta"/>
      </w:pPr>
      <w:r>
        <w:rPr>
          <w:b/>
        </w:rPr>
        <w:tab/>
        <w:t>T</w:t>
      </w:r>
      <w:r>
        <w:t xml:space="preserve"> =</w:t>
      </w:r>
      <w:r>
        <w:tab/>
        <w:t>the charge calculated in accordance with the following formula — </w:t>
      </w:r>
    </w:p>
    <w:p>
      <w:pPr>
        <w:pStyle w:val="yIndenta"/>
      </w:pPr>
      <w:r>
        <w:rPr>
          <w:b/>
        </w:rPr>
        <w:tab/>
      </w:r>
      <w:r>
        <w:rPr>
          <w:b/>
        </w:rPr>
        <w:tab/>
        <w:t>U</w:t>
      </w:r>
      <w:r>
        <w:t xml:space="preserve"> </w:t>
      </w:r>
      <w:r>
        <w:sym w:font="Symbol" w:char="F0B4"/>
      </w:r>
      <w:r>
        <w:t xml:space="preserve"> </w:t>
      </w:r>
      <w:r>
        <w:rPr>
          <w:b/>
        </w:rPr>
        <w:t>V</w:t>
      </w:r>
    </w:p>
    <w:p>
      <w:pPr>
        <w:pStyle w:val="yIndenta"/>
      </w:pPr>
      <w:r>
        <w:tab/>
      </w:r>
      <w:r>
        <w:tab/>
        <w:t xml:space="preserve">where — </w:t>
      </w:r>
    </w:p>
    <w:p>
      <w:pPr>
        <w:pStyle w:val="yIndenti0"/>
      </w:pPr>
      <w:r>
        <w:rPr>
          <w:b/>
        </w:rPr>
        <w:tab/>
        <w:t>U</w:t>
      </w:r>
      <w:r>
        <w:t xml:space="preserve"> =</w:t>
      </w:r>
      <w:r>
        <w:tab/>
        <w:t>the number of beds in the nursing home;</w:t>
      </w:r>
    </w:p>
    <w:p>
      <w:pPr>
        <w:pStyle w:val="yIndenti0"/>
      </w:pPr>
      <w:r>
        <w:rPr>
          <w:b/>
        </w:rPr>
        <w:tab/>
        <w:t>V</w:t>
      </w:r>
      <w:r>
        <w:t xml:space="preserve"> =</w:t>
      </w:r>
      <w:r>
        <w:tab/>
        <w:t>$131.80;</w:t>
      </w:r>
    </w:p>
    <w:p>
      <w:pPr>
        <w:pStyle w:val="yIndenta"/>
      </w:pPr>
      <w:r>
        <w:rPr>
          <w:b/>
        </w:rPr>
        <w:tab/>
        <w:t>Q</w:t>
      </w:r>
      <w:r>
        <w:t xml:space="preserve"> =</w:t>
      </w:r>
      <w:r>
        <w:tab/>
        <w:t>the quantity charge calculated in accordance with the formula in item 19;</w:t>
      </w:r>
    </w:p>
    <w:p>
      <w:pPr>
        <w:pStyle w:val="yIndenta"/>
      </w:pPr>
      <w:r>
        <w:rPr>
          <w:b/>
        </w:rPr>
        <w:tab/>
        <w:t>R</w:t>
      </w:r>
      <w:r>
        <w:t xml:space="preserve"> =</w:t>
      </w:r>
      <w:r>
        <w:tab/>
        <w:t xml:space="preserve">the charge calculated in accordance with the following formula — </w:t>
      </w:r>
    </w:p>
    <w:p>
      <w:pPr>
        <w:pStyle w:val="yIndenta"/>
      </w:pPr>
      <w:r>
        <w:rPr>
          <w:b/>
        </w:rPr>
        <w:tab/>
      </w:r>
      <w:r>
        <w:rPr>
          <w:b/>
        </w:rPr>
        <w:tab/>
        <w:t>A</w:t>
      </w:r>
      <w:r>
        <w:t xml:space="preserve"> </w:t>
      </w:r>
      <w:r>
        <w:sym w:font="Symbol" w:char="F0B4"/>
      </w:r>
      <w:r>
        <w:t xml:space="preserve"> </w:t>
      </w:r>
      <w:r>
        <w:rPr>
          <w:b/>
        </w:rPr>
        <w:t>S</w:t>
      </w:r>
    </w:p>
    <w:p>
      <w:pPr>
        <w:pStyle w:val="yIndenta"/>
      </w:pPr>
      <w:r>
        <w:tab/>
      </w:r>
      <w:r>
        <w:tab/>
        <w:t xml:space="preserve">where — </w:t>
      </w:r>
    </w:p>
    <w:p>
      <w:pPr>
        <w:pStyle w:val="yIndenti0"/>
      </w:pPr>
      <w:r>
        <w:rPr>
          <w:b/>
        </w:rPr>
        <w:tab/>
        <w:t>A</w:t>
      </w:r>
      <w:r>
        <w:t xml:space="preserve"> =</w:t>
      </w:r>
      <w:r>
        <w:tab/>
        <w:t xml:space="preserve">the amount payable in the 2011/2012 year; </w:t>
      </w:r>
    </w:p>
    <w:p>
      <w:pPr>
        <w:pStyle w:val="yIndenti0"/>
      </w:pPr>
      <w:r>
        <w:rPr>
          <w:b/>
        </w:rPr>
        <w:tab/>
        <w:t>S</w:t>
      </w:r>
      <w:r>
        <w:t xml:space="preserve"> =</w:t>
      </w:r>
      <w:r>
        <w:tab/>
        <w:t>1.136.</w:t>
      </w:r>
    </w:p>
    <w:p>
      <w:pPr>
        <w:pStyle w:val="yHeading5"/>
      </w:pPr>
      <w:bookmarkStart w:id="685" w:name="_Toc328471496"/>
      <w:r>
        <w:t>17.</w:t>
      </w:r>
      <w:r>
        <w:tab/>
        <w:t>Certain metropolitan strata</w:t>
      </w:r>
      <w:r>
        <w:noBreakHyphen/>
        <w:t>titled units</w:t>
      </w:r>
      <w:bookmarkEnd w:id="685"/>
    </w:p>
    <w:p>
      <w:pPr>
        <w:pStyle w:val="ySubsection"/>
      </w:pPr>
      <w:r>
        <w:tab/>
      </w:r>
      <w:r>
        <w:tab/>
        <w:t>In respect of land in the metropolitan area that —</w:t>
      </w:r>
    </w:p>
    <w:p>
      <w:pPr>
        <w:pStyle w:val="yIndenta"/>
      </w:pPr>
      <w:r>
        <w:tab/>
        <w:t>(a)</w:t>
      </w:r>
      <w:r>
        <w:tab/>
        <w:t>is not classified residential or vacant land; and</w:t>
      </w:r>
    </w:p>
    <w:p>
      <w:pPr>
        <w:pStyle w:val="yIndenta"/>
      </w:pPr>
      <w:r>
        <w:tab/>
        <w:t>(b)</w:t>
      </w:r>
      <w:r>
        <w:tab/>
        <w:t xml:space="preserve">comprises a unit that is a lot within the meaning of the </w:t>
      </w:r>
      <w:r>
        <w:rPr>
          <w:i/>
        </w:rPr>
        <w:t>Strata Titles Act 1985</w:t>
      </w:r>
      <w:r>
        <w:t>; and</w:t>
      </w:r>
    </w:p>
    <w:p>
      <w:pPr>
        <w:pStyle w:val="yIndenta"/>
      </w:pPr>
      <w:r>
        <w:tab/>
        <w:t>(c)</w:t>
      </w:r>
      <w:r>
        <w:tab/>
        <w:t xml:space="preserve">shares a major fixture with another unit described in paragraph (b) and </w:t>
      </w:r>
      <w:r>
        <w:rPr>
          <w:spacing w:val="-1"/>
        </w:rPr>
        <w:t>has no other major fixtures that discharge into the sewer,</w:t>
      </w:r>
    </w:p>
    <w:p>
      <w:pPr>
        <w:pStyle w:val="ySubsection"/>
      </w:pPr>
      <w:r>
        <w:tab/>
      </w:r>
      <w:r>
        <w:tab/>
      </w:r>
      <w:r>
        <w:rPr>
          <w:spacing w:val="-1"/>
        </w:rPr>
        <w:t xml:space="preserve">and </w:t>
      </w:r>
      <w:r>
        <w:t>where</w:t>
      </w:r>
      <w:r>
        <w:rPr>
          <w:spacing w:val="-1"/>
        </w:rPr>
        <w:t xml:space="preserve"> </w:t>
      </w:r>
      <w:r>
        <w:t>the</w:t>
      </w:r>
      <w:r>
        <w:rPr>
          <w:spacing w:val="-1"/>
        </w:rPr>
        <w:t xml:space="preserve"> </w:t>
      </w:r>
      <w:r>
        <w:t>total</w:t>
      </w:r>
      <w:r>
        <w:rPr>
          <w:spacing w:val="-1"/>
        </w:rPr>
        <w:t xml:space="preserve"> number of major fixtures shared by all the units on the relevant strata plan is less than the number of those units,</w:t>
      </w:r>
      <w:r>
        <w:t xml:space="preserve"> an amount calculated in accordance with the following formula — </w:t>
      </w:r>
    </w:p>
    <w:p>
      <w:pPr>
        <w:pStyle w:val="ySubsection"/>
      </w:pPr>
      <w:r>
        <w:tab/>
      </w:r>
      <w:r>
        <w:tab/>
      </w:r>
      <w:r>
        <w:rPr>
          <w:b/>
          <w:bCs/>
        </w:rPr>
        <w:t>T</w:t>
      </w:r>
      <w:r>
        <w:t xml:space="preserve"> + </w:t>
      </w:r>
      <w:r>
        <w:rPr>
          <w:b/>
          <w:bCs/>
        </w:rPr>
        <w:t>Q</w:t>
      </w:r>
    </w:p>
    <w:p>
      <w:pPr>
        <w:pStyle w:val="ySubsection"/>
      </w:pPr>
      <w:r>
        <w:tab/>
      </w:r>
      <w:r>
        <w:tab/>
        <w:t xml:space="preserve">where — </w:t>
      </w:r>
    </w:p>
    <w:p>
      <w:pPr>
        <w:pStyle w:val="yIndenta"/>
      </w:pPr>
      <w:r>
        <w:rPr>
          <w:b/>
        </w:rPr>
        <w:tab/>
        <w:t>T</w:t>
      </w:r>
      <w:r>
        <w:t xml:space="preserve"> =</w:t>
      </w:r>
      <w:r>
        <w:tab/>
        <w:t>$452.80;</w:t>
      </w:r>
    </w:p>
    <w:p>
      <w:pPr>
        <w:pStyle w:val="yIndenta"/>
      </w:pPr>
      <w:r>
        <w:rPr>
          <w:b/>
        </w:rPr>
        <w:tab/>
        <w:t>Q</w:t>
      </w:r>
      <w:r>
        <w:t xml:space="preserve"> =</w:t>
      </w:r>
      <w:r>
        <w:tab/>
        <w:t>the quantity charge calculated in accordance with the formula in item 19.</w:t>
      </w:r>
    </w:p>
    <w:p>
      <w:pPr>
        <w:pStyle w:val="yFootnotesection"/>
      </w:pPr>
      <w:r>
        <w:tab/>
        <w:t>[Division 4 inserted in Gazette 20 Jun 2012 p. 2735</w:t>
      </w:r>
      <w:r>
        <w:noBreakHyphen/>
        <w:t>9.]</w:t>
      </w:r>
    </w:p>
    <w:p>
      <w:pPr>
        <w:pStyle w:val="yHeading3"/>
      </w:pPr>
      <w:bookmarkStart w:id="686" w:name="_Toc328403448"/>
      <w:bookmarkStart w:id="687" w:name="_Toc328471497"/>
      <w:r>
        <w:rPr>
          <w:rStyle w:val="CharSDivNo"/>
        </w:rPr>
        <w:t>Division 5</w:t>
      </w:r>
      <w:r>
        <w:rPr>
          <w:b w:val="0"/>
        </w:rPr>
        <w:t> — </w:t>
      </w:r>
      <w:r>
        <w:rPr>
          <w:rStyle w:val="CharSDivText"/>
        </w:rPr>
        <w:t>Computation of combined metropolitan charges</w:t>
      </w:r>
      <w:bookmarkEnd w:id="686"/>
      <w:bookmarkEnd w:id="687"/>
    </w:p>
    <w:p>
      <w:pPr>
        <w:pStyle w:val="yFootnoteheading"/>
        <w:spacing w:after="60"/>
      </w:pPr>
      <w:r>
        <w:tab/>
        <w:t>[Heading inserted in Gazette 20 Jun 2012 p. 2739.]</w:t>
      </w:r>
    </w:p>
    <w:p>
      <w:pPr>
        <w:pStyle w:val="yHeading5"/>
      </w:pPr>
      <w:bookmarkStart w:id="688" w:name="_Toc328471498"/>
      <w:r>
        <w:t>18.</w:t>
      </w:r>
      <w:r>
        <w:tab/>
        <w:t>Formula for annual charge</w:t>
      </w:r>
      <w:bookmarkEnd w:id="688"/>
    </w:p>
    <w:p>
      <w:pPr>
        <w:pStyle w:val="ySubsection"/>
      </w:pPr>
      <w:r>
        <w:tab/>
      </w:r>
      <w:r>
        <w:tab/>
        <w:t>For the purposes of Division 4, the annual charge (</w:t>
      </w:r>
      <w:r>
        <w:rPr>
          <w:rStyle w:val="CharDefText"/>
        </w:rPr>
        <w:t>P</w:t>
      </w:r>
      <w:r>
        <w:t xml:space="preserve">) is calculated according to the following formula — </w:t>
      </w:r>
    </w:p>
    <w:p>
      <w:pPr>
        <w:pStyle w:val="ySubsection"/>
      </w:pPr>
      <w:r>
        <w:tab/>
      </w:r>
      <w:r>
        <w:tab/>
        <w:t>If (</w:t>
      </w:r>
      <w:r>
        <w:rPr>
          <w:b/>
        </w:rPr>
        <w:t>A</w:t>
      </w:r>
      <w:r>
        <w:t xml:space="preserve"> </w:t>
      </w:r>
      <w:r>
        <w:sym w:font="Symbol" w:char="F0B4"/>
      </w:r>
      <w:r>
        <w:t xml:space="preserve"> </w:t>
      </w:r>
      <w:r>
        <w:rPr>
          <w:b/>
        </w:rPr>
        <w:t>B</w:t>
      </w:r>
      <w:r>
        <w:t xml:space="preserve">) </w:t>
      </w:r>
      <w:r>
        <w:sym w:font="Symbol" w:char="F0A3"/>
      </w:r>
      <w:r>
        <w:t xml:space="preserve"> (</w:t>
      </w:r>
      <w:r>
        <w:rPr>
          <w:b/>
        </w:rPr>
        <w:t>C</w:t>
      </w:r>
      <w:r>
        <w:t xml:space="preserve"> + </w:t>
      </w:r>
      <w:r>
        <w:rPr>
          <w:b/>
        </w:rPr>
        <w:t>D</w:t>
      </w:r>
      <w:r>
        <w:t xml:space="preserve">), then — </w:t>
      </w:r>
    </w:p>
    <w:p>
      <w:pPr>
        <w:pStyle w:val="ySubsection"/>
        <w:rPr>
          <w:b/>
        </w:rPr>
      </w:pPr>
      <w:r>
        <w:tab/>
      </w:r>
      <w:r>
        <w:tab/>
      </w:r>
      <w:r>
        <w:rPr>
          <w:b/>
        </w:rPr>
        <w:t>X</w:t>
      </w:r>
    </w:p>
    <w:p>
      <w:pPr>
        <w:pStyle w:val="ySubsection"/>
      </w:pPr>
      <w:r>
        <w:tab/>
      </w:r>
      <w:r>
        <w:tab/>
        <w:t>or if (</w:t>
      </w:r>
      <w:r>
        <w:rPr>
          <w:b/>
        </w:rPr>
        <w:t>A</w:t>
      </w:r>
      <w:r>
        <w:t xml:space="preserve"> </w:t>
      </w:r>
      <w:r>
        <w:sym w:font="Symbol" w:char="F0B4"/>
      </w:r>
      <w:r>
        <w:t xml:space="preserve"> </w:t>
      </w:r>
      <w:r>
        <w:rPr>
          <w:b/>
        </w:rPr>
        <w:t>B</w:t>
      </w:r>
      <w:r>
        <w:t>) &gt; (</w:t>
      </w:r>
      <w:r>
        <w:rPr>
          <w:b/>
        </w:rPr>
        <w:t>C</w:t>
      </w:r>
      <w:r>
        <w:t xml:space="preserve"> + </w:t>
      </w:r>
      <w:r>
        <w:rPr>
          <w:b/>
        </w:rPr>
        <w:t>D</w:t>
      </w:r>
      <w:r>
        <w:t xml:space="preserve">), then — </w:t>
      </w:r>
    </w:p>
    <w:p>
      <w:pPr>
        <w:pStyle w:val="ySubsection"/>
      </w:pPr>
      <w:r>
        <w:tab/>
      </w:r>
      <w:r>
        <w:tab/>
        <w:t>(</w:t>
      </w:r>
      <w:r>
        <w:rPr>
          <w:b/>
        </w:rPr>
        <w:t>A</w:t>
      </w:r>
      <w:r>
        <w:t xml:space="preserve"> </w:t>
      </w:r>
      <w:r>
        <w:sym w:font="Symbol" w:char="F0B4"/>
      </w:r>
      <w:r>
        <w:t xml:space="preserve"> </w:t>
      </w:r>
      <w:r>
        <w:rPr>
          <w:b/>
        </w:rPr>
        <w:t>B</w:t>
      </w:r>
      <w:r>
        <w:t>) – [{(</w:t>
      </w:r>
      <w:r>
        <w:rPr>
          <w:b/>
        </w:rPr>
        <w:t>A</w:t>
      </w:r>
      <w:r>
        <w:t xml:space="preserve"> </w:t>
      </w:r>
      <w:r>
        <w:sym w:font="Symbol" w:char="F0B4"/>
      </w:r>
      <w:r>
        <w:t xml:space="preserve"> </w:t>
      </w:r>
      <w:r>
        <w:rPr>
          <w:b/>
        </w:rPr>
        <w:t>B</w:t>
      </w:r>
      <w:r>
        <w:t>) – (</w:t>
      </w:r>
      <w:r>
        <w:rPr>
          <w:b/>
        </w:rPr>
        <w:t>C</w:t>
      </w:r>
      <w:r>
        <w:t xml:space="preserve"> + </w:t>
      </w:r>
      <w:r>
        <w:rPr>
          <w:b/>
        </w:rPr>
        <w:t>D</w:t>
      </w:r>
      <w:r>
        <w:t xml:space="preserve">)} </w:t>
      </w:r>
      <w:r>
        <w:sym w:font="Symbol" w:char="F0B4"/>
      </w:r>
      <w:r>
        <w:t xml:space="preserve"> </w:t>
      </w:r>
      <w:r>
        <w:rPr>
          <w:b/>
        </w:rPr>
        <w:t>E</w:t>
      </w:r>
      <w:r>
        <w:t>]</w:t>
      </w:r>
    </w:p>
    <w:p>
      <w:pPr>
        <w:pStyle w:val="ySubsection"/>
      </w:pPr>
      <w:r>
        <w:tab/>
      </w:r>
      <w:r>
        <w:tab/>
        <w:t xml:space="preserve">where — </w:t>
      </w:r>
    </w:p>
    <w:p>
      <w:pPr>
        <w:pStyle w:val="yIndenta"/>
      </w:pPr>
      <w:r>
        <w:tab/>
      </w:r>
      <w:r>
        <w:rPr>
          <w:b/>
        </w:rPr>
        <w:t>A</w:t>
      </w:r>
      <w:r>
        <w:t xml:space="preserve"> =</w:t>
      </w:r>
      <w:r>
        <w:tab/>
        <w:t>the amount payable in the 2011/2012 year;</w:t>
      </w:r>
    </w:p>
    <w:p>
      <w:pPr>
        <w:pStyle w:val="yIndenta"/>
      </w:pPr>
      <w:r>
        <w:tab/>
      </w:r>
      <w:r>
        <w:rPr>
          <w:b/>
        </w:rPr>
        <w:t>B</w:t>
      </w:r>
      <w:r>
        <w:t xml:space="preserve"> =</w:t>
      </w:r>
      <w:r>
        <w:tab/>
        <w:t>1.136;</w:t>
      </w:r>
    </w:p>
    <w:p>
      <w:pPr>
        <w:pStyle w:val="yIndenta"/>
      </w:pPr>
      <w:r>
        <w:tab/>
      </w:r>
      <w:r>
        <w:rPr>
          <w:b/>
        </w:rPr>
        <w:t>C</w:t>
      </w:r>
      <w:r>
        <w:t xml:space="preserve"> =</w:t>
      </w:r>
      <w:r>
        <w:tab/>
        <w:t>the charge payable for the relevant number of major fixtures for the 2012/2013 year as set out in the Table;</w:t>
      </w:r>
    </w:p>
    <w:p>
      <w:pPr>
        <w:pStyle w:val="yIndenta"/>
      </w:pPr>
      <w:r>
        <w:tab/>
      </w:r>
      <w:r>
        <w:rPr>
          <w:b/>
        </w:rPr>
        <w:t>D</w:t>
      </w:r>
      <w:r>
        <w:t xml:space="preserve"> =</w:t>
      </w:r>
      <w:r>
        <w:tab/>
        <w:t>discharge charge;</w:t>
      </w:r>
    </w:p>
    <w:p>
      <w:pPr>
        <w:pStyle w:val="yIndenta"/>
      </w:pPr>
      <w:r>
        <w:tab/>
      </w:r>
      <w:r>
        <w:rPr>
          <w:b/>
        </w:rPr>
        <w:t>E</w:t>
      </w:r>
      <w:r>
        <w:t xml:space="preserve"> =</w:t>
      </w:r>
      <w:r>
        <w:tab/>
        <w:t>1.000;</w:t>
      </w:r>
    </w:p>
    <w:p>
      <w:pPr>
        <w:pStyle w:val="yIndenta"/>
      </w:pPr>
      <w:r>
        <w:rPr>
          <w:b/>
        </w:rPr>
        <w:tab/>
        <w:t>X</w:t>
      </w:r>
      <w:r>
        <w:t xml:space="preserve"> =</w:t>
      </w:r>
      <w:r>
        <w:tab/>
        <w:t>the amount specified in relation to the 2012/2013 year for the relevant number of major fixtures as set out in the Table.</w:t>
      </w:r>
    </w:p>
    <w:p>
      <w:pPr>
        <w:pStyle w:val="yTHeadingNAm"/>
        <w:rPr>
          <w:bCs w:val="0"/>
        </w:rPr>
      </w:pPr>
      <w:r>
        <w:rPr>
          <w:bCs w:val="0"/>
        </w:rPr>
        <w:t>Table of major fixture</w:t>
      </w:r>
      <w:r>
        <w:rPr>
          <w:bCs w:val="0"/>
        </w:rPr>
        <w:noBreakHyphen/>
        <w:t>based minimum charges</w:t>
      </w:r>
      <w:r>
        <w:rPr>
          <w:bCs w:val="0"/>
        </w:rPr>
        <w:br/>
        <w:t>(per fixture)</w:t>
      </w:r>
    </w:p>
    <w:tbl>
      <w:tblPr>
        <w:tblW w:w="0" w:type="auto"/>
        <w:tblInd w:w="1446" w:type="dxa"/>
        <w:tblLayout w:type="fixed"/>
        <w:tblCellMar>
          <w:left w:w="28" w:type="dxa"/>
          <w:right w:w="28" w:type="dxa"/>
        </w:tblCellMar>
        <w:tblLook w:val="0000" w:firstRow="0" w:lastRow="0" w:firstColumn="0" w:lastColumn="0" w:noHBand="0" w:noVBand="0"/>
      </w:tblPr>
      <w:tblGrid>
        <w:gridCol w:w="2268"/>
        <w:gridCol w:w="2268"/>
      </w:tblGrid>
      <w:tr>
        <w:trPr>
          <w:tblHeader/>
        </w:trPr>
        <w:tc>
          <w:tcPr>
            <w:tcW w:w="2268" w:type="dxa"/>
            <w:tcBorders>
              <w:top w:val="single" w:sz="4" w:space="0" w:color="auto"/>
              <w:bottom w:val="single" w:sz="4" w:space="0" w:color="auto"/>
            </w:tcBorders>
          </w:tcPr>
          <w:p>
            <w:pPr>
              <w:pStyle w:val="yTableNAm"/>
              <w:jc w:val="center"/>
            </w:pPr>
            <w:r>
              <w:rPr>
                <w:b/>
                <w:bCs/>
              </w:rPr>
              <w:t>No. of fixtures</w:t>
            </w:r>
          </w:p>
        </w:tc>
        <w:tc>
          <w:tcPr>
            <w:tcW w:w="2268" w:type="dxa"/>
            <w:tcBorders>
              <w:top w:val="single" w:sz="4" w:space="0" w:color="auto"/>
              <w:bottom w:val="single" w:sz="4" w:space="0" w:color="auto"/>
            </w:tcBorders>
          </w:tcPr>
          <w:p>
            <w:pPr>
              <w:pStyle w:val="yTableNAm"/>
              <w:jc w:val="center"/>
            </w:pPr>
            <w:r>
              <w:rPr>
                <w:b/>
                <w:bCs/>
              </w:rPr>
              <w:t>Charge</w:t>
            </w:r>
            <w:r>
              <w:rPr>
                <w:b/>
                <w:bCs/>
              </w:rPr>
              <w:br/>
              <w:t>$</w:t>
            </w:r>
          </w:p>
        </w:tc>
      </w:tr>
      <w:tr>
        <w:tc>
          <w:tcPr>
            <w:tcW w:w="2268" w:type="dxa"/>
          </w:tcPr>
          <w:p>
            <w:pPr>
              <w:pStyle w:val="yTableNAm"/>
              <w:jc w:val="center"/>
            </w:pPr>
            <w:r>
              <w:t>1</w:t>
            </w:r>
          </w:p>
        </w:tc>
        <w:tc>
          <w:tcPr>
            <w:tcW w:w="2268" w:type="dxa"/>
          </w:tcPr>
          <w:p>
            <w:pPr>
              <w:pStyle w:val="yTableNAm"/>
              <w:jc w:val="center"/>
            </w:pPr>
            <w:r>
              <w:t>728.40</w:t>
            </w:r>
          </w:p>
        </w:tc>
      </w:tr>
      <w:tr>
        <w:tc>
          <w:tcPr>
            <w:tcW w:w="2268" w:type="dxa"/>
          </w:tcPr>
          <w:p>
            <w:pPr>
              <w:pStyle w:val="yTableNAm"/>
              <w:jc w:val="center"/>
            </w:pPr>
            <w:r>
              <w:t>2</w:t>
            </w:r>
          </w:p>
        </w:tc>
        <w:tc>
          <w:tcPr>
            <w:tcW w:w="2268" w:type="dxa"/>
          </w:tcPr>
          <w:p>
            <w:pPr>
              <w:pStyle w:val="yTableNAm"/>
              <w:jc w:val="center"/>
            </w:pPr>
            <w:r>
              <w:t>311.80</w:t>
            </w:r>
          </w:p>
        </w:tc>
      </w:tr>
      <w:tr>
        <w:tc>
          <w:tcPr>
            <w:tcW w:w="2268" w:type="dxa"/>
          </w:tcPr>
          <w:p>
            <w:pPr>
              <w:pStyle w:val="yTableNAm"/>
              <w:jc w:val="center"/>
            </w:pPr>
            <w:r>
              <w:t>3</w:t>
            </w:r>
          </w:p>
        </w:tc>
        <w:tc>
          <w:tcPr>
            <w:tcW w:w="2268" w:type="dxa"/>
          </w:tcPr>
          <w:p>
            <w:pPr>
              <w:pStyle w:val="yTableNAm"/>
              <w:jc w:val="center"/>
            </w:pPr>
            <w:r>
              <w:t>416.40</w:t>
            </w:r>
          </w:p>
        </w:tc>
      </w:tr>
      <w:tr>
        <w:tc>
          <w:tcPr>
            <w:tcW w:w="2268" w:type="dxa"/>
            <w:tcBorders>
              <w:bottom w:val="single" w:sz="4" w:space="0" w:color="auto"/>
            </w:tcBorders>
          </w:tcPr>
          <w:p>
            <w:pPr>
              <w:pStyle w:val="yTableNAm"/>
              <w:jc w:val="center"/>
            </w:pPr>
            <w:r>
              <w:t>4+</w:t>
            </w:r>
          </w:p>
        </w:tc>
        <w:tc>
          <w:tcPr>
            <w:tcW w:w="2268" w:type="dxa"/>
            <w:tcBorders>
              <w:bottom w:val="single" w:sz="4" w:space="0" w:color="auto"/>
            </w:tcBorders>
          </w:tcPr>
          <w:p>
            <w:pPr>
              <w:pStyle w:val="yTableNAm"/>
              <w:jc w:val="center"/>
            </w:pPr>
            <w:r>
              <w:t>452.80</w:t>
            </w:r>
          </w:p>
        </w:tc>
      </w:tr>
    </w:tbl>
    <w:p>
      <w:pPr>
        <w:pStyle w:val="yHeading5"/>
      </w:pPr>
      <w:bookmarkStart w:id="689" w:name="_Toc328471499"/>
      <w:r>
        <w:t>19.</w:t>
      </w:r>
      <w:r>
        <w:tab/>
        <w:t>Formula for quantity charge</w:t>
      </w:r>
      <w:bookmarkEnd w:id="689"/>
    </w:p>
    <w:p>
      <w:pPr>
        <w:pStyle w:val="ySubsection"/>
        <w:rPr>
          <w:snapToGrid w:val="0"/>
        </w:rPr>
      </w:pPr>
      <w:r>
        <w:rPr>
          <w:snapToGrid w:val="0"/>
        </w:rPr>
        <w:tab/>
      </w:r>
      <w:r>
        <w:rPr>
          <w:snapToGrid w:val="0"/>
        </w:rPr>
        <w:tab/>
        <w:t xml:space="preserve">For the </w:t>
      </w:r>
      <w:r>
        <w:t>purposes</w:t>
      </w:r>
      <w:r>
        <w:rPr>
          <w:snapToGrid w:val="0"/>
        </w:rPr>
        <w:t xml:space="preserve"> of </w:t>
      </w:r>
      <w:r>
        <w:t>Division </w:t>
      </w:r>
      <w:r>
        <w:rPr>
          <w:snapToGrid w:val="0"/>
        </w:rPr>
        <w:t>4, the quantity charge (</w:t>
      </w:r>
      <w:r>
        <w:rPr>
          <w:rStyle w:val="CharDefText"/>
        </w:rPr>
        <w:t>Q</w:t>
      </w:r>
      <w:r>
        <w:rPr>
          <w:snapToGrid w:val="0"/>
        </w:rPr>
        <w:t xml:space="preserve">) is calculated in accordance with the following formula — </w:t>
      </w:r>
    </w:p>
    <w:p>
      <w:pPr>
        <w:pStyle w:val="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xml:space="preserve">, then — </w:t>
      </w:r>
    </w:p>
    <w:p>
      <w:pPr>
        <w:pStyle w:val="ySubsection"/>
      </w:pPr>
      <w:r>
        <w:tab/>
      </w:r>
      <w:r>
        <w:tab/>
        <w:t>nil</w:t>
      </w:r>
    </w:p>
    <w:p>
      <w:pPr>
        <w:pStyle w:val="ySubsection"/>
      </w:pPr>
      <w:r>
        <w:tab/>
      </w:r>
      <w:r>
        <w:tab/>
        <w:t>or if (</w:t>
      </w:r>
      <w:r>
        <w:rPr>
          <w:b/>
        </w:rPr>
        <w:t xml:space="preserve">F </w:t>
      </w:r>
      <w:r>
        <w:sym w:font="Symbol" w:char="F0B4"/>
      </w:r>
      <w:r>
        <w:t xml:space="preserve"> </w:t>
      </w:r>
      <w:r>
        <w:rPr>
          <w:b/>
        </w:rPr>
        <w:t>G</w:t>
      </w:r>
      <w:r>
        <w:t xml:space="preserve">) &gt; </w:t>
      </w:r>
      <w:r>
        <w:rPr>
          <w:b/>
        </w:rPr>
        <w:t>H</w:t>
      </w:r>
      <w:r>
        <w:t xml:space="preserve">, then — </w:t>
      </w:r>
    </w:p>
    <w:p>
      <w:pPr>
        <w:pStyle w:val="ySubsection"/>
      </w:pP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Subsection"/>
      </w:pPr>
      <w:r>
        <w:tab/>
      </w:r>
      <w:r>
        <w:tab/>
        <w:t xml:space="preserve">where — </w:t>
      </w:r>
    </w:p>
    <w:p>
      <w:pPr>
        <w:pStyle w:val="yIndenta"/>
      </w:pPr>
      <w:r>
        <w:rPr>
          <w:b/>
        </w:rPr>
        <w:tab/>
        <w:t>F</w:t>
      </w:r>
      <w:r>
        <w:t xml:space="preserve"> =</w:t>
      </w:r>
      <w:r>
        <w:tab/>
        <w:t>the volume of water delivered to the property in the 2012/2013 year;</w:t>
      </w:r>
    </w:p>
    <w:p>
      <w:pPr>
        <w:pStyle w:val="yIndenta"/>
      </w:pPr>
      <w:r>
        <w:rPr>
          <w:b/>
        </w:rPr>
        <w:tab/>
        <w:t>G</w:t>
      </w:r>
      <w:r>
        <w:t xml:space="preserve"> =</w:t>
      </w:r>
      <w:r>
        <w:tab/>
        <w:t>the discharge factor set for the property for the 2012/2013 year;</w:t>
      </w:r>
    </w:p>
    <w:p>
      <w:pPr>
        <w:pStyle w:val="yIndenta"/>
      </w:pPr>
      <w:r>
        <w:rPr>
          <w:b/>
        </w:rPr>
        <w:tab/>
        <w:t>H</w:t>
      </w:r>
      <w:r>
        <w:t xml:space="preserve"> =</w:t>
      </w:r>
      <w:r>
        <w:tab/>
        <w:t>the discharge allowance for the 2012/2013 year calculated in accordance with item 20;</w:t>
      </w:r>
    </w:p>
    <w:p>
      <w:pPr>
        <w:pStyle w:val="yIndenta"/>
      </w:pPr>
      <w:r>
        <w:rPr>
          <w:b/>
        </w:rPr>
        <w:tab/>
        <w:t>I</w:t>
      </w:r>
      <w:r>
        <w:t xml:space="preserve"> =</w:t>
      </w:r>
      <w:r>
        <w:tab/>
        <w:t>2.677.</w:t>
      </w:r>
    </w:p>
    <w:p>
      <w:pPr>
        <w:pStyle w:val="yHeading5"/>
      </w:pPr>
      <w:bookmarkStart w:id="690" w:name="_Toc328471500"/>
      <w:r>
        <w:t>20.</w:t>
      </w:r>
      <w:r>
        <w:tab/>
        <w:t>Discharge allowance</w:t>
      </w:r>
      <w:bookmarkEnd w:id="690"/>
    </w:p>
    <w:p>
      <w:pPr>
        <w:pStyle w:val="ySubsection"/>
        <w:rPr>
          <w:snapToGrid w:val="0"/>
        </w:rPr>
      </w:pPr>
      <w:r>
        <w:rPr>
          <w:snapToGrid w:val="0"/>
        </w:rPr>
        <w:tab/>
      </w:r>
      <w:r>
        <w:rPr>
          <w:snapToGrid w:val="0"/>
        </w:rPr>
        <w:tab/>
        <w:t xml:space="preserve">For the purposes of item 19, the discharge </w:t>
      </w:r>
      <w:r>
        <w:t>allowance</w:t>
      </w:r>
      <w:r>
        <w:rPr>
          <w:snapToGrid w:val="0"/>
        </w:rPr>
        <w:t xml:space="preserve"> is — </w:t>
      </w:r>
    </w:p>
    <w:p>
      <w:pPr>
        <w:pStyle w:val="yIndenta"/>
        <w:rPr>
          <w:snapToGrid w:val="0"/>
        </w:rPr>
      </w:pPr>
      <w:r>
        <w:rPr>
          <w:snapToGrid w:val="0"/>
        </w:rPr>
        <w:tab/>
        <w:t>(a)</w:t>
      </w:r>
      <w:r>
        <w:rPr>
          <w:snapToGrid w:val="0"/>
        </w:rPr>
        <w:tab/>
        <w:t>for land to which item 13 applies that is not mentioned in paragraph (e), 200 kL of water; and</w:t>
      </w:r>
    </w:p>
    <w:p>
      <w:pPr>
        <w:pStyle w:val="yIndenta"/>
        <w:rPr>
          <w:snapToGrid w:val="0"/>
        </w:rPr>
      </w:pPr>
      <w:r>
        <w:rPr>
          <w:snapToGrid w:val="0"/>
        </w:rPr>
        <w:tab/>
        <w:t>(b)</w:t>
      </w:r>
      <w:r>
        <w:rPr>
          <w:snapToGrid w:val="0"/>
        </w:rPr>
        <w:tab/>
        <w:t>for a non</w:t>
      </w:r>
      <w:r>
        <w:rPr>
          <w:snapToGrid w:val="0"/>
        </w:rPr>
        <w:noBreakHyphen/>
        <w:t xml:space="preserve">commercial Government property, or a property held by a </w:t>
      </w:r>
      <w:r>
        <w:t>Government trading organisation</w:t>
      </w:r>
      <w:r>
        <w:rPr>
          <w:snapToGrid w:val="0"/>
        </w:rPr>
        <w:t>, 200 kL of water; and</w:t>
      </w:r>
    </w:p>
    <w:p>
      <w:pPr>
        <w:pStyle w:val="yIndenta"/>
        <w:rPr>
          <w:snapToGrid w:val="0"/>
        </w:rPr>
      </w:pPr>
      <w:r>
        <w:rPr>
          <w:snapToGrid w:val="0"/>
        </w:rPr>
        <w:tab/>
        <w:t>(c)</w:t>
      </w:r>
      <w:r>
        <w:rPr>
          <w:snapToGrid w:val="0"/>
        </w:rPr>
        <w:tab/>
        <w:t>for a caravan park referred to in item 15, an amount of water in kilolitres calculated in accordance with the following formula — </w:t>
      </w:r>
    </w:p>
    <w:p>
      <w:pPr>
        <w:pStyle w:val="yIndenta"/>
      </w:pPr>
      <w:r>
        <w:rPr>
          <w:b/>
        </w:rPr>
        <w:tab/>
      </w:r>
      <w:r>
        <w:rPr>
          <w:b/>
        </w:rPr>
        <w:tab/>
        <w:t>L</w:t>
      </w:r>
      <w:r>
        <w:t xml:space="preserve"> + </w:t>
      </w:r>
      <w:r>
        <w:rPr>
          <w:b/>
        </w:rPr>
        <w:t>M</w:t>
      </w:r>
    </w:p>
    <w:p>
      <w:pPr>
        <w:pStyle w:val="yIndenta"/>
      </w:pPr>
      <w:r>
        <w:tab/>
      </w:r>
      <w:r>
        <w:tab/>
        <w:t xml:space="preserve">where — </w:t>
      </w:r>
    </w:p>
    <w:p>
      <w:pPr>
        <w:pStyle w:val="yIndenti0"/>
        <w:tabs>
          <w:tab w:val="clear" w:pos="2041"/>
          <w:tab w:val="right" w:pos="2160"/>
        </w:tabs>
      </w:pPr>
      <w:r>
        <w:tab/>
      </w:r>
      <w:r>
        <w:rPr>
          <w:b/>
        </w:rPr>
        <w:t>L =</w:t>
      </w:r>
      <w:r>
        <w:rPr>
          <w:b/>
        </w:rPr>
        <w:tab/>
      </w:r>
      <w:r>
        <w:t>200;</w:t>
      </w:r>
    </w:p>
    <w:p>
      <w:pPr>
        <w:pStyle w:val="yIndenti0"/>
        <w:tabs>
          <w:tab w:val="clear" w:pos="2041"/>
          <w:tab w:val="right" w:pos="2160"/>
        </w:tabs>
      </w:pPr>
      <w:r>
        <w:rPr>
          <w:b/>
        </w:rPr>
        <w:tab/>
        <w:t xml:space="preserve">M </w:t>
      </w:r>
      <w:r>
        <w:t>=</w:t>
      </w:r>
      <w:r>
        <w:tab/>
        <w:t>75 kL of water for each long</w:t>
      </w:r>
      <w:r>
        <w:noBreakHyphen/>
        <w:t>term residential caravan bay;</w:t>
      </w:r>
    </w:p>
    <w:p>
      <w:pPr>
        <w:pStyle w:val="yIndenta"/>
      </w:pPr>
      <w:r>
        <w:tab/>
      </w:r>
      <w:r>
        <w:tab/>
        <w:t>and</w:t>
      </w:r>
    </w:p>
    <w:p>
      <w:pPr>
        <w:pStyle w:val="yIndenta"/>
        <w:rPr>
          <w:snapToGrid w:val="0"/>
        </w:rPr>
      </w:pPr>
      <w:r>
        <w:rPr>
          <w:snapToGrid w:val="0"/>
        </w:rPr>
        <w:tab/>
        <w:t>(d)</w:t>
      </w:r>
      <w:r>
        <w:rPr>
          <w:snapToGrid w:val="0"/>
        </w:rPr>
        <w:tab/>
        <w:t>for a nursing home referred to in item 16, 75 kL of water per bed; and</w:t>
      </w:r>
    </w:p>
    <w:p>
      <w:pPr>
        <w:pStyle w:val="yIndenta"/>
        <w:rPr>
          <w:snapToGrid w:val="0"/>
        </w:rPr>
      </w:pPr>
      <w:r>
        <w:rPr>
          <w:snapToGrid w:val="0"/>
        </w:rPr>
        <w:tab/>
        <w:t>(e)</w:t>
      </w:r>
      <w:r>
        <w:rPr>
          <w:snapToGrid w:val="0"/>
        </w:rPr>
        <w:tab/>
        <w:t>for properties served through a common metered service, 200 kL of water for each property.</w:t>
      </w:r>
    </w:p>
    <w:p>
      <w:pPr>
        <w:pStyle w:val="yFootnotesection"/>
      </w:pPr>
      <w:r>
        <w:tab/>
        <w:t>[Division 5 inserted in Gazette 20 Jun 2012 p. 2739</w:t>
      </w:r>
      <w:r>
        <w:noBreakHyphen/>
        <w:t>41.]</w:t>
      </w:r>
    </w:p>
    <w:p>
      <w:pPr>
        <w:pStyle w:val="yHeading3"/>
      </w:pPr>
      <w:bookmarkStart w:id="691" w:name="_Toc328403452"/>
      <w:bookmarkStart w:id="692" w:name="_Toc328471501"/>
      <w:r>
        <w:rPr>
          <w:rStyle w:val="CharSDivNo"/>
        </w:rPr>
        <w:t>Division 6 </w:t>
      </w:r>
      <w:r>
        <w:t>—</w:t>
      </w:r>
      <w:r>
        <w:rPr>
          <w:rStyle w:val="CharSDivNo"/>
        </w:rPr>
        <w:t> </w:t>
      </w:r>
      <w:r>
        <w:rPr>
          <w:rStyle w:val="CharSDivText"/>
        </w:rPr>
        <w:t>Service charges for industrial waste</w:t>
      </w:r>
      <w:bookmarkEnd w:id="691"/>
      <w:bookmarkEnd w:id="692"/>
    </w:p>
    <w:p>
      <w:pPr>
        <w:pStyle w:val="yFootnoteheading"/>
        <w:spacing w:after="60"/>
      </w:pPr>
      <w:r>
        <w:tab/>
        <w:t>[Heading inserted in Gazette 20 Jun 2012 p. 2742.]</w:t>
      </w:r>
    </w:p>
    <w:tbl>
      <w:tblPr>
        <w:tblW w:w="0" w:type="auto"/>
        <w:tblInd w:w="534" w:type="dxa"/>
        <w:tblLayout w:type="fixed"/>
        <w:tblLook w:val="0000" w:firstRow="0" w:lastRow="0" w:firstColumn="0" w:lastColumn="0" w:noHBand="0" w:noVBand="0"/>
      </w:tblPr>
      <w:tblGrid>
        <w:gridCol w:w="850"/>
        <w:gridCol w:w="4198"/>
        <w:gridCol w:w="14"/>
        <w:gridCol w:w="14"/>
        <w:gridCol w:w="1444"/>
      </w:tblGrid>
      <w:tr>
        <w:trPr>
          <w:cantSplit/>
        </w:trPr>
        <w:tc>
          <w:tcPr>
            <w:tcW w:w="850" w:type="dxa"/>
          </w:tcPr>
          <w:p>
            <w:pPr>
              <w:pStyle w:val="yTableNAm"/>
              <w:rPr>
                <w:b/>
                <w:szCs w:val="22"/>
              </w:rPr>
            </w:pPr>
            <w:r>
              <w:rPr>
                <w:b/>
                <w:szCs w:val="22"/>
              </w:rPr>
              <w:t>21.</w:t>
            </w:r>
          </w:p>
        </w:tc>
        <w:tc>
          <w:tcPr>
            <w:tcW w:w="5670" w:type="dxa"/>
            <w:gridSpan w:val="4"/>
          </w:tcPr>
          <w:p>
            <w:pPr>
              <w:pStyle w:val="yTableNAm"/>
              <w:rPr>
                <w:b/>
                <w:bCs/>
                <w:spacing w:val="-1"/>
                <w:szCs w:val="22"/>
              </w:rPr>
            </w:pPr>
            <w:r>
              <w:rPr>
                <w:b/>
                <w:bCs/>
                <w:szCs w:val="22"/>
              </w:rPr>
              <w:t>Inspection — routine programme</w:t>
            </w:r>
          </w:p>
        </w:tc>
      </w:tr>
      <w:tr>
        <w:tc>
          <w:tcPr>
            <w:tcW w:w="850" w:type="dxa"/>
          </w:tcPr>
          <w:p>
            <w:pPr>
              <w:pStyle w:val="yTableNAm"/>
              <w:rPr>
                <w:szCs w:val="22"/>
              </w:rPr>
            </w:pPr>
          </w:p>
        </w:tc>
        <w:tc>
          <w:tcPr>
            <w:tcW w:w="4226" w:type="dxa"/>
            <w:gridSpan w:val="3"/>
          </w:tcPr>
          <w:p>
            <w:pPr>
              <w:pStyle w:val="yTableNAm"/>
              <w:tabs>
                <w:tab w:val="right" w:leader="dot" w:pos="4253"/>
              </w:tabs>
              <w:rPr>
                <w:szCs w:val="22"/>
              </w:rPr>
            </w:pPr>
            <w:r>
              <w:rPr>
                <w:szCs w:val="22"/>
              </w:rPr>
              <w:t xml:space="preserve">For an inspection for a routine programme </w:t>
            </w:r>
            <w:r>
              <w:rPr>
                <w:szCs w:val="22"/>
              </w:rPr>
              <w:tab/>
            </w:r>
          </w:p>
        </w:tc>
        <w:tc>
          <w:tcPr>
            <w:tcW w:w="1444" w:type="dxa"/>
            <w:vAlign w:val="bottom"/>
          </w:tcPr>
          <w:p>
            <w:pPr>
              <w:pStyle w:val="yTableNAm"/>
              <w:tabs>
                <w:tab w:val="clear" w:pos="567"/>
                <w:tab w:val="left" w:pos="202"/>
              </w:tabs>
              <w:rPr>
                <w:spacing w:val="-1"/>
                <w:szCs w:val="22"/>
              </w:rPr>
            </w:pPr>
            <w:r>
              <w:rPr>
                <w:spacing w:val="-1"/>
                <w:szCs w:val="22"/>
              </w:rPr>
              <w:t>$132.00/hour</w:t>
            </w:r>
          </w:p>
        </w:tc>
      </w:tr>
      <w:tr>
        <w:tc>
          <w:tcPr>
            <w:tcW w:w="850" w:type="dxa"/>
          </w:tcPr>
          <w:p>
            <w:pPr>
              <w:pStyle w:val="yTableNAm"/>
              <w:rPr>
                <w:b/>
                <w:szCs w:val="22"/>
              </w:rPr>
            </w:pPr>
            <w:r>
              <w:rPr>
                <w:b/>
                <w:szCs w:val="22"/>
              </w:rPr>
              <w:t>22.</w:t>
            </w:r>
          </w:p>
        </w:tc>
        <w:tc>
          <w:tcPr>
            <w:tcW w:w="4226" w:type="dxa"/>
            <w:gridSpan w:val="3"/>
          </w:tcPr>
          <w:p>
            <w:pPr>
              <w:pStyle w:val="yTableNAm"/>
              <w:tabs>
                <w:tab w:val="right" w:leader="dot" w:pos="4253"/>
              </w:tabs>
              <w:rPr>
                <w:b/>
                <w:bCs/>
                <w:szCs w:val="22"/>
              </w:rPr>
            </w:pPr>
            <w:r>
              <w:rPr>
                <w:b/>
                <w:bCs/>
                <w:snapToGrid w:val="0"/>
                <w:szCs w:val="22"/>
              </w:rPr>
              <w:t>Meter reading — routine programme</w:t>
            </w:r>
          </w:p>
        </w:tc>
        <w:tc>
          <w:tcPr>
            <w:tcW w:w="1444" w:type="dxa"/>
            <w:vAlign w:val="bottom"/>
          </w:tcPr>
          <w:p>
            <w:pPr>
              <w:pStyle w:val="yTableNAm"/>
              <w:tabs>
                <w:tab w:val="clear" w:pos="567"/>
                <w:tab w:val="left" w:pos="194"/>
              </w:tabs>
              <w:rPr>
                <w:spacing w:val="-1"/>
                <w:szCs w:val="22"/>
              </w:rPr>
            </w:pPr>
          </w:p>
        </w:tc>
      </w:tr>
      <w:tr>
        <w:tc>
          <w:tcPr>
            <w:tcW w:w="850" w:type="dxa"/>
          </w:tcPr>
          <w:p>
            <w:pPr>
              <w:pStyle w:val="yTableNAm"/>
              <w:rPr>
                <w:szCs w:val="22"/>
              </w:rPr>
            </w:pPr>
          </w:p>
        </w:tc>
        <w:tc>
          <w:tcPr>
            <w:tcW w:w="4226" w:type="dxa"/>
            <w:gridSpan w:val="3"/>
          </w:tcPr>
          <w:p>
            <w:pPr>
              <w:pStyle w:val="yTableNAm"/>
              <w:tabs>
                <w:tab w:val="right" w:leader="dot" w:pos="4253"/>
              </w:tabs>
              <w:rPr>
                <w:szCs w:val="22"/>
              </w:rPr>
            </w:pPr>
            <w:r>
              <w:rPr>
                <w:szCs w:val="22"/>
              </w:rPr>
              <w:t xml:space="preserve">For each meter reading for a routine programme </w:t>
            </w:r>
            <w:r>
              <w:rPr>
                <w:szCs w:val="22"/>
              </w:rPr>
              <w:tab/>
            </w:r>
          </w:p>
        </w:tc>
        <w:tc>
          <w:tcPr>
            <w:tcW w:w="1444" w:type="dxa"/>
            <w:vAlign w:val="bottom"/>
          </w:tcPr>
          <w:p>
            <w:pPr>
              <w:pStyle w:val="yTableNAm"/>
              <w:tabs>
                <w:tab w:val="clear" w:pos="567"/>
                <w:tab w:val="left" w:pos="194"/>
              </w:tabs>
              <w:rPr>
                <w:spacing w:val="-1"/>
                <w:szCs w:val="22"/>
              </w:rPr>
            </w:pPr>
            <w:r>
              <w:rPr>
                <w:spacing w:val="-1"/>
                <w:szCs w:val="22"/>
              </w:rPr>
              <w:t>$24.10</w:t>
            </w:r>
          </w:p>
        </w:tc>
      </w:tr>
      <w:tr>
        <w:tc>
          <w:tcPr>
            <w:tcW w:w="850" w:type="dxa"/>
          </w:tcPr>
          <w:p>
            <w:pPr>
              <w:pStyle w:val="yTableNAm"/>
              <w:rPr>
                <w:b/>
                <w:szCs w:val="22"/>
              </w:rPr>
            </w:pPr>
            <w:r>
              <w:rPr>
                <w:b/>
                <w:szCs w:val="22"/>
              </w:rPr>
              <w:t>23.</w:t>
            </w:r>
          </w:p>
        </w:tc>
        <w:tc>
          <w:tcPr>
            <w:tcW w:w="4226" w:type="dxa"/>
            <w:gridSpan w:val="3"/>
          </w:tcPr>
          <w:p>
            <w:pPr>
              <w:pStyle w:val="yTableNAm"/>
              <w:tabs>
                <w:tab w:val="right" w:leader="dot" w:pos="4253"/>
              </w:tabs>
              <w:rPr>
                <w:b/>
                <w:bCs/>
                <w:szCs w:val="22"/>
              </w:rPr>
            </w:pPr>
            <w:r>
              <w:rPr>
                <w:b/>
                <w:bCs/>
                <w:snapToGrid w:val="0"/>
                <w:szCs w:val="22"/>
              </w:rPr>
              <w:t>Grab samples — routine programme</w:t>
            </w:r>
          </w:p>
        </w:tc>
        <w:tc>
          <w:tcPr>
            <w:tcW w:w="1444" w:type="dxa"/>
            <w:vAlign w:val="bottom"/>
          </w:tcPr>
          <w:p>
            <w:pPr>
              <w:pStyle w:val="yTableNAm"/>
              <w:tabs>
                <w:tab w:val="clear" w:pos="567"/>
                <w:tab w:val="left" w:pos="194"/>
              </w:tabs>
              <w:rPr>
                <w:spacing w:val="-1"/>
                <w:szCs w:val="22"/>
              </w:rPr>
            </w:pPr>
          </w:p>
        </w:tc>
      </w:tr>
      <w:tr>
        <w:tc>
          <w:tcPr>
            <w:tcW w:w="850" w:type="dxa"/>
          </w:tcPr>
          <w:p>
            <w:pPr>
              <w:pStyle w:val="yTableNAm"/>
              <w:rPr>
                <w:szCs w:val="22"/>
              </w:rPr>
            </w:pPr>
          </w:p>
        </w:tc>
        <w:tc>
          <w:tcPr>
            <w:tcW w:w="4226" w:type="dxa"/>
            <w:gridSpan w:val="3"/>
          </w:tcPr>
          <w:p>
            <w:pPr>
              <w:pStyle w:val="yTableNAm"/>
              <w:tabs>
                <w:tab w:val="right" w:leader="dot" w:pos="4253"/>
              </w:tabs>
              <w:rPr>
                <w:spacing w:val="-12"/>
                <w:szCs w:val="22"/>
              </w:rPr>
            </w:pPr>
            <w:r>
              <w:rPr>
                <w:szCs w:val="22"/>
              </w:rPr>
              <w:t xml:space="preserve">For each grab sample for a routine programme </w:t>
            </w:r>
            <w:r>
              <w:rPr>
                <w:szCs w:val="22"/>
              </w:rPr>
              <w:tab/>
            </w:r>
          </w:p>
        </w:tc>
        <w:tc>
          <w:tcPr>
            <w:tcW w:w="1444" w:type="dxa"/>
            <w:vAlign w:val="bottom"/>
          </w:tcPr>
          <w:p>
            <w:pPr>
              <w:pStyle w:val="yTableNAm"/>
              <w:tabs>
                <w:tab w:val="clear" w:pos="567"/>
                <w:tab w:val="left" w:pos="194"/>
              </w:tabs>
              <w:rPr>
                <w:spacing w:val="-1"/>
                <w:szCs w:val="22"/>
              </w:rPr>
            </w:pPr>
            <w:r>
              <w:rPr>
                <w:spacing w:val="-1"/>
                <w:szCs w:val="22"/>
              </w:rPr>
              <w:t>$280.50</w:t>
            </w:r>
          </w:p>
        </w:tc>
      </w:tr>
      <w:tr>
        <w:tc>
          <w:tcPr>
            <w:tcW w:w="850" w:type="dxa"/>
          </w:tcPr>
          <w:p>
            <w:pPr>
              <w:pStyle w:val="yTableNAm"/>
              <w:keepNext/>
              <w:keepLines/>
              <w:rPr>
                <w:b/>
                <w:szCs w:val="22"/>
              </w:rPr>
            </w:pPr>
            <w:r>
              <w:rPr>
                <w:b/>
                <w:szCs w:val="22"/>
              </w:rPr>
              <w:t>24.</w:t>
            </w:r>
          </w:p>
        </w:tc>
        <w:tc>
          <w:tcPr>
            <w:tcW w:w="4226" w:type="dxa"/>
            <w:gridSpan w:val="3"/>
          </w:tcPr>
          <w:p>
            <w:pPr>
              <w:pStyle w:val="yTableNAm"/>
              <w:keepNext/>
              <w:keepLines/>
              <w:tabs>
                <w:tab w:val="right" w:leader="dot" w:pos="4253"/>
              </w:tabs>
              <w:rPr>
                <w:b/>
                <w:bCs/>
                <w:szCs w:val="22"/>
              </w:rPr>
            </w:pPr>
            <w:r>
              <w:rPr>
                <w:b/>
                <w:bCs/>
                <w:snapToGrid w:val="0"/>
                <w:szCs w:val="22"/>
              </w:rPr>
              <w:t xml:space="preserve">Composite samples — </w:t>
            </w:r>
            <w:r>
              <w:rPr>
                <w:b/>
                <w:bCs/>
                <w:spacing w:val="-1"/>
                <w:szCs w:val="22"/>
              </w:rPr>
              <w:t>routine programme</w:t>
            </w:r>
          </w:p>
        </w:tc>
        <w:tc>
          <w:tcPr>
            <w:tcW w:w="1444" w:type="dxa"/>
            <w:vAlign w:val="bottom"/>
          </w:tcPr>
          <w:p>
            <w:pPr>
              <w:pStyle w:val="yTableNAm"/>
              <w:keepNext/>
              <w:keepLines/>
              <w:tabs>
                <w:tab w:val="clear" w:pos="567"/>
                <w:tab w:val="left" w:pos="194"/>
              </w:tabs>
              <w:rPr>
                <w:spacing w:val="-1"/>
                <w:szCs w:val="22"/>
              </w:rPr>
            </w:pPr>
          </w:p>
        </w:tc>
      </w:tr>
      <w:tr>
        <w:tc>
          <w:tcPr>
            <w:tcW w:w="850" w:type="dxa"/>
          </w:tcPr>
          <w:p>
            <w:pPr>
              <w:pStyle w:val="yTableNAm"/>
              <w:keepNext/>
              <w:keepLines/>
              <w:rPr>
                <w:szCs w:val="22"/>
              </w:rPr>
            </w:pPr>
          </w:p>
        </w:tc>
        <w:tc>
          <w:tcPr>
            <w:tcW w:w="4226" w:type="dxa"/>
            <w:gridSpan w:val="3"/>
          </w:tcPr>
          <w:p>
            <w:pPr>
              <w:pStyle w:val="yTableNAm"/>
              <w:keepNext/>
              <w:keepLines/>
              <w:tabs>
                <w:tab w:val="right" w:leader="dot" w:pos="4253"/>
              </w:tabs>
              <w:rPr>
                <w:spacing w:val="-1"/>
                <w:szCs w:val="22"/>
              </w:rPr>
            </w:pPr>
            <w:r>
              <w:rPr>
                <w:spacing w:val="-1"/>
                <w:szCs w:val="22"/>
              </w:rPr>
              <w:t xml:space="preserve">For each </w:t>
            </w:r>
            <w:r>
              <w:rPr>
                <w:szCs w:val="22"/>
              </w:rPr>
              <w:t>composite sample</w:t>
            </w:r>
            <w:r>
              <w:rPr>
                <w:spacing w:val="-1"/>
                <w:szCs w:val="22"/>
              </w:rPr>
              <w:t xml:space="preserve"> for a routine </w:t>
            </w:r>
            <w:r>
              <w:rPr>
                <w:szCs w:val="22"/>
              </w:rPr>
              <w:t>programme</w:t>
            </w:r>
            <w:r>
              <w:rPr>
                <w:spacing w:val="-1"/>
                <w:szCs w:val="22"/>
              </w:rPr>
              <w:t xml:space="preserve"> </w:t>
            </w:r>
            <w:r>
              <w:rPr>
                <w:spacing w:val="-1"/>
                <w:szCs w:val="22"/>
              </w:rPr>
              <w:tab/>
            </w:r>
          </w:p>
        </w:tc>
        <w:tc>
          <w:tcPr>
            <w:tcW w:w="1444" w:type="dxa"/>
            <w:vAlign w:val="bottom"/>
          </w:tcPr>
          <w:p>
            <w:pPr>
              <w:pStyle w:val="yTableNAm"/>
              <w:keepNext/>
              <w:keepLines/>
              <w:tabs>
                <w:tab w:val="clear" w:pos="567"/>
                <w:tab w:val="left" w:pos="194"/>
              </w:tabs>
              <w:rPr>
                <w:spacing w:val="-1"/>
                <w:szCs w:val="22"/>
              </w:rPr>
            </w:pPr>
            <w:r>
              <w:rPr>
                <w:spacing w:val="-1"/>
                <w:szCs w:val="22"/>
              </w:rPr>
              <w:t>$658.90</w:t>
            </w:r>
          </w:p>
        </w:tc>
      </w:tr>
      <w:tr>
        <w:tc>
          <w:tcPr>
            <w:tcW w:w="850" w:type="dxa"/>
          </w:tcPr>
          <w:p>
            <w:pPr>
              <w:pStyle w:val="yTableNAm"/>
              <w:rPr>
                <w:b/>
                <w:szCs w:val="22"/>
              </w:rPr>
            </w:pPr>
            <w:r>
              <w:rPr>
                <w:b/>
                <w:szCs w:val="22"/>
              </w:rPr>
              <w:t>25.</w:t>
            </w:r>
          </w:p>
        </w:tc>
        <w:tc>
          <w:tcPr>
            <w:tcW w:w="4226" w:type="dxa"/>
            <w:gridSpan w:val="3"/>
          </w:tcPr>
          <w:p>
            <w:pPr>
              <w:pStyle w:val="yTableNAm"/>
              <w:keepNext/>
              <w:tabs>
                <w:tab w:val="right" w:leader="dot" w:pos="4253"/>
              </w:tabs>
              <w:rPr>
                <w:b/>
                <w:bCs/>
                <w:szCs w:val="22"/>
              </w:rPr>
            </w:pPr>
            <w:r>
              <w:rPr>
                <w:b/>
                <w:bCs/>
                <w:szCs w:val="22"/>
              </w:rPr>
              <w:t>Establishment charge — unscheduled visit</w:t>
            </w:r>
          </w:p>
        </w:tc>
        <w:tc>
          <w:tcPr>
            <w:tcW w:w="1444" w:type="dxa"/>
            <w:vAlign w:val="bottom"/>
          </w:tcPr>
          <w:p>
            <w:pPr>
              <w:pStyle w:val="yTableNAm"/>
              <w:keepNext/>
              <w:tabs>
                <w:tab w:val="clear" w:pos="567"/>
                <w:tab w:val="left" w:pos="194"/>
              </w:tabs>
              <w:rPr>
                <w:spacing w:val="-1"/>
                <w:szCs w:val="22"/>
              </w:rPr>
            </w:pPr>
          </w:p>
        </w:tc>
      </w:tr>
      <w:tr>
        <w:tc>
          <w:tcPr>
            <w:tcW w:w="850" w:type="dxa"/>
          </w:tcPr>
          <w:p>
            <w:pPr>
              <w:pStyle w:val="yTableNAm"/>
              <w:rPr>
                <w:szCs w:val="22"/>
              </w:rPr>
            </w:pPr>
          </w:p>
        </w:tc>
        <w:tc>
          <w:tcPr>
            <w:tcW w:w="4226" w:type="dxa"/>
            <w:gridSpan w:val="3"/>
          </w:tcPr>
          <w:p>
            <w:pPr>
              <w:pStyle w:val="yTableNAm"/>
              <w:keepNext/>
              <w:tabs>
                <w:tab w:val="right" w:leader="dot" w:pos="4253"/>
              </w:tabs>
              <w:rPr>
                <w:spacing w:val="-1"/>
                <w:szCs w:val="22"/>
              </w:rPr>
            </w:pPr>
            <w:r>
              <w:rPr>
                <w:spacing w:val="-1"/>
                <w:szCs w:val="22"/>
              </w:rPr>
              <w:t xml:space="preserve">Establishment charge </w:t>
            </w:r>
            <w:r>
              <w:rPr>
                <w:spacing w:val="-12"/>
                <w:szCs w:val="22"/>
              </w:rPr>
              <w:t>for</w:t>
            </w:r>
            <w:r>
              <w:rPr>
                <w:spacing w:val="-1"/>
                <w:szCs w:val="22"/>
              </w:rPr>
              <w:t xml:space="preserve"> an </w:t>
            </w:r>
            <w:r>
              <w:rPr>
                <w:szCs w:val="22"/>
              </w:rPr>
              <w:t>unscheduled</w:t>
            </w:r>
            <w:r>
              <w:rPr>
                <w:spacing w:val="-1"/>
                <w:szCs w:val="22"/>
              </w:rPr>
              <w:t xml:space="preserve"> visit</w:t>
            </w:r>
            <w:r>
              <w:rPr>
                <w:spacing w:val="-1"/>
                <w:szCs w:val="22"/>
              </w:rPr>
              <w:tab/>
              <w:t xml:space="preserve"> </w:t>
            </w:r>
          </w:p>
        </w:tc>
        <w:tc>
          <w:tcPr>
            <w:tcW w:w="1444" w:type="dxa"/>
            <w:vAlign w:val="bottom"/>
          </w:tcPr>
          <w:p>
            <w:pPr>
              <w:pStyle w:val="yTableNAm"/>
              <w:keepNext/>
              <w:tabs>
                <w:tab w:val="clear" w:pos="567"/>
                <w:tab w:val="left" w:pos="194"/>
              </w:tabs>
              <w:rPr>
                <w:spacing w:val="-1"/>
                <w:szCs w:val="22"/>
              </w:rPr>
            </w:pPr>
            <w:r>
              <w:rPr>
                <w:spacing w:val="-1"/>
                <w:szCs w:val="22"/>
              </w:rPr>
              <w:t>$120.00/hour</w:t>
            </w:r>
          </w:p>
        </w:tc>
      </w:tr>
      <w:tr>
        <w:tc>
          <w:tcPr>
            <w:tcW w:w="850" w:type="dxa"/>
          </w:tcPr>
          <w:p>
            <w:pPr>
              <w:pStyle w:val="yTableNAm"/>
              <w:rPr>
                <w:b/>
                <w:szCs w:val="22"/>
              </w:rPr>
            </w:pPr>
            <w:r>
              <w:rPr>
                <w:b/>
                <w:szCs w:val="22"/>
              </w:rPr>
              <w:t>26.</w:t>
            </w:r>
          </w:p>
        </w:tc>
        <w:tc>
          <w:tcPr>
            <w:tcW w:w="4226" w:type="dxa"/>
            <w:gridSpan w:val="3"/>
          </w:tcPr>
          <w:p>
            <w:pPr>
              <w:pStyle w:val="yTableNAm"/>
              <w:tabs>
                <w:tab w:val="right" w:leader="dot" w:pos="4253"/>
              </w:tabs>
              <w:rPr>
                <w:b/>
                <w:bCs/>
                <w:spacing w:val="-1"/>
                <w:szCs w:val="22"/>
              </w:rPr>
            </w:pPr>
            <w:r>
              <w:rPr>
                <w:b/>
                <w:bCs/>
                <w:snapToGrid w:val="0"/>
                <w:szCs w:val="22"/>
              </w:rPr>
              <w:t xml:space="preserve">Product evaluation — </w:t>
            </w:r>
            <w:r>
              <w:rPr>
                <w:b/>
                <w:bCs/>
                <w:spacing w:val="-1"/>
                <w:szCs w:val="22"/>
              </w:rPr>
              <w:t>unscheduled visit</w:t>
            </w:r>
          </w:p>
        </w:tc>
        <w:tc>
          <w:tcPr>
            <w:tcW w:w="1444" w:type="dxa"/>
            <w:vAlign w:val="bottom"/>
          </w:tcPr>
          <w:p>
            <w:pPr>
              <w:pStyle w:val="yTableNAm"/>
              <w:tabs>
                <w:tab w:val="clear" w:pos="567"/>
                <w:tab w:val="left" w:pos="194"/>
              </w:tabs>
              <w:rPr>
                <w:spacing w:val="-1"/>
                <w:szCs w:val="22"/>
              </w:rPr>
            </w:pPr>
          </w:p>
        </w:tc>
      </w:tr>
      <w:tr>
        <w:tc>
          <w:tcPr>
            <w:tcW w:w="850" w:type="dxa"/>
          </w:tcPr>
          <w:p>
            <w:pPr>
              <w:pStyle w:val="yTableNAm"/>
              <w:rPr>
                <w:szCs w:val="22"/>
              </w:rPr>
            </w:pPr>
          </w:p>
        </w:tc>
        <w:tc>
          <w:tcPr>
            <w:tcW w:w="4226" w:type="dxa"/>
            <w:gridSpan w:val="3"/>
          </w:tcPr>
          <w:p>
            <w:pPr>
              <w:pStyle w:val="yTableNAm"/>
              <w:tabs>
                <w:tab w:val="right" w:leader="dot" w:pos="4253"/>
              </w:tabs>
              <w:rPr>
                <w:spacing w:val="-1"/>
                <w:szCs w:val="22"/>
              </w:rPr>
            </w:pPr>
            <w:r>
              <w:rPr>
                <w:spacing w:val="-1"/>
                <w:szCs w:val="22"/>
              </w:rPr>
              <w:t xml:space="preserve">Product evaluation for an unscheduled visit </w:t>
            </w:r>
            <w:r>
              <w:rPr>
                <w:spacing w:val="-1"/>
                <w:szCs w:val="22"/>
              </w:rPr>
              <w:tab/>
            </w:r>
          </w:p>
        </w:tc>
        <w:tc>
          <w:tcPr>
            <w:tcW w:w="1444" w:type="dxa"/>
            <w:vAlign w:val="bottom"/>
          </w:tcPr>
          <w:p>
            <w:pPr>
              <w:pStyle w:val="yTableNAm"/>
              <w:tabs>
                <w:tab w:val="clear" w:pos="567"/>
                <w:tab w:val="left" w:pos="194"/>
              </w:tabs>
              <w:rPr>
                <w:spacing w:val="-1"/>
                <w:szCs w:val="22"/>
              </w:rPr>
            </w:pPr>
            <w:r>
              <w:rPr>
                <w:spacing w:val="-1"/>
                <w:szCs w:val="22"/>
              </w:rPr>
              <w:t>$150.30/hour</w:t>
            </w:r>
          </w:p>
        </w:tc>
      </w:tr>
      <w:tr>
        <w:tc>
          <w:tcPr>
            <w:tcW w:w="850" w:type="dxa"/>
          </w:tcPr>
          <w:p>
            <w:pPr>
              <w:pStyle w:val="yTableNAm"/>
              <w:rPr>
                <w:b/>
                <w:szCs w:val="22"/>
              </w:rPr>
            </w:pPr>
            <w:r>
              <w:rPr>
                <w:b/>
                <w:szCs w:val="22"/>
              </w:rPr>
              <w:t>27.</w:t>
            </w:r>
          </w:p>
        </w:tc>
        <w:tc>
          <w:tcPr>
            <w:tcW w:w="4226" w:type="dxa"/>
            <w:gridSpan w:val="3"/>
          </w:tcPr>
          <w:p>
            <w:pPr>
              <w:pStyle w:val="yTableNAm"/>
              <w:tabs>
                <w:tab w:val="right" w:leader="dot" w:pos="4253"/>
              </w:tabs>
              <w:rPr>
                <w:b/>
                <w:bCs/>
                <w:spacing w:val="-1"/>
                <w:szCs w:val="22"/>
              </w:rPr>
            </w:pPr>
            <w:r>
              <w:rPr>
                <w:b/>
                <w:bCs/>
                <w:snapToGrid w:val="0"/>
                <w:szCs w:val="22"/>
              </w:rPr>
              <w:t xml:space="preserve">Grab samples — </w:t>
            </w:r>
            <w:r>
              <w:rPr>
                <w:b/>
                <w:bCs/>
                <w:spacing w:val="-1"/>
                <w:szCs w:val="22"/>
              </w:rPr>
              <w:t>unscheduled visit</w:t>
            </w:r>
          </w:p>
        </w:tc>
        <w:tc>
          <w:tcPr>
            <w:tcW w:w="1444" w:type="dxa"/>
            <w:vAlign w:val="bottom"/>
          </w:tcPr>
          <w:p>
            <w:pPr>
              <w:pStyle w:val="yTableNAm"/>
              <w:tabs>
                <w:tab w:val="clear" w:pos="567"/>
                <w:tab w:val="left" w:pos="194"/>
              </w:tabs>
              <w:rPr>
                <w:spacing w:val="-1"/>
                <w:szCs w:val="22"/>
              </w:rPr>
            </w:pPr>
          </w:p>
        </w:tc>
      </w:tr>
      <w:tr>
        <w:tc>
          <w:tcPr>
            <w:tcW w:w="850" w:type="dxa"/>
          </w:tcPr>
          <w:p>
            <w:pPr>
              <w:pStyle w:val="yTableNAm"/>
              <w:rPr>
                <w:szCs w:val="22"/>
              </w:rPr>
            </w:pPr>
          </w:p>
        </w:tc>
        <w:tc>
          <w:tcPr>
            <w:tcW w:w="4226" w:type="dxa"/>
            <w:gridSpan w:val="3"/>
          </w:tcPr>
          <w:p>
            <w:pPr>
              <w:pStyle w:val="yTableNAm"/>
              <w:tabs>
                <w:tab w:val="right" w:leader="dot" w:pos="4253"/>
              </w:tabs>
              <w:rPr>
                <w:spacing w:val="-1"/>
                <w:szCs w:val="22"/>
              </w:rPr>
            </w:pPr>
            <w:r>
              <w:rPr>
                <w:spacing w:val="-1"/>
                <w:szCs w:val="22"/>
              </w:rPr>
              <w:t xml:space="preserve">For each grab sample for an unscheduled visit </w:t>
            </w:r>
          </w:p>
        </w:tc>
        <w:tc>
          <w:tcPr>
            <w:tcW w:w="1444" w:type="dxa"/>
            <w:vAlign w:val="bottom"/>
          </w:tcPr>
          <w:p>
            <w:pPr>
              <w:pStyle w:val="yTableNAm"/>
              <w:tabs>
                <w:tab w:val="clear" w:pos="567"/>
                <w:tab w:val="left" w:pos="194"/>
              </w:tabs>
              <w:rPr>
                <w:spacing w:val="-1"/>
                <w:szCs w:val="22"/>
              </w:rPr>
            </w:pPr>
            <w:r>
              <w:rPr>
                <w:spacing w:val="-1"/>
                <w:szCs w:val="22"/>
              </w:rPr>
              <w:t>At cost</w:t>
            </w:r>
          </w:p>
        </w:tc>
      </w:tr>
      <w:tr>
        <w:tc>
          <w:tcPr>
            <w:tcW w:w="850" w:type="dxa"/>
          </w:tcPr>
          <w:p>
            <w:pPr>
              <w:pStyle w:val="yTableNAm"/>
              <w:rPr>
                <w:b/>
                <w:szCs w:val="22"/>
              </w:rPr>
            </w:pPr>
            <w:r>
              <w:rPr>
                <w:b/>
                <w:szCs w:val="22"/>
              </w:rPr>
              <w:t>28.</w:t>
            </w:r>
          </w:p>
        </w:tc>
        <w:tc>
          <w:tcPr>
            <w:tcW w:w="4226" w:type="dxa"/>
            <w:gridSpan w:val="3"/>
          </w:tcPr>
          <w:p>
            <w:pPr>
              <w:pStyle w:val="yTableNAm"/>
              <w:tabs>
                <w:tab w:val="right" w:leader="dot" w:pos="4253"/>
              </w:tabs>
              <w:rPr>
                <w:b/>
                <w:bCs/>
                <w:spacing w:val="-1"/>
                <w:szCs w:val="22"/>
              </w:rPr>
            </w:pPr>
            <w:r>
              <w:rPr>
                <w:b/>
                <w:bCs/>
                <w:snapToGrid w:val="0"/>
                <w:szCs w:val="22"/>
              </w:rPr>
              <w:t xml:space="preserve">Composite samples — </w:t>
            </w:r>
            <w:r>
              <w:rPr>
                <w:b/>
                <w:bCs/>
                <w:spacing w:val="-1"/>
                <w:szCs w:val="22"/>
              </w:rPr>
              <w:t>unscheduled visit</w:t>
            </w:r>
          </w:p>
        </w:tc>
        <w:tc>
          <w:tcPr>
            <w:tcW w:w="1444" w:type="dxa"/>
            <w:vAlign w:val="bottom"/>
          </w:tcPr>
          <w:p>
            <w:pPr>
              <w:pStyle w:val="yTableNAm"/>
              <w:tabs>
                <w:tab w:val="clear" w:pos="567"/>
                <w:tab w:val="left" w:pos="194"/>
              </w:tabs>
              <w:rPr>
                <w:spacing w:val="-1"/>
                <w:szCs w:val="22"/>
              </w:rPr>
            </w:pPr>
          </w:p>
        </w:tc>
      </w:tr>
      <w:tr>
        <w:tc>
          <w:tcPr>
            <w:tcW w:w="850" w:type="dxa"/>
          </w:tcPr>
          <w:p>
            <w:pPr>
              <w:pStyle w:val="yTableNAm"/>
              <w:rPr>
                <w:szCs w:val="22"/>
              </w:rPr>
            </w:pPr>
          </w:p>
        </w:tc>
        <w:tc>
          <w:tcPr>
            <w:tcW w:w="4226" w:type="dxa"/>
            <w:gridSpan w:val="3"/>
          </w:tcPr>
          <w:p>
            <w:pPr>
              <w:pStyle w:val="yTableNAm"/>
              <w:tabs>
                <w:tab w:val="right" w:leader="dot" w:pos="4253"/>
              </w:tabs>
              <w:rPr>
                <w:spacing w:val="-1"/>
                <w:szCs w:val="22"/>
              </w:rPr>
            </w:pPr>
            <w:r>
              <w:rPr>
                <w:spacing w:val="-1"/>
                <w:szCs w:val="22"/>
              </w:rPr>
              <w:t xml:space="preserve">For each composite sample for an unscheduled visit </w:t>
            </w:r>
            <w:r>
              <w:rPr>
                <w:spacing w:val="-1"/>
                <w:szCs w:val="22"/>
              </w:rPr>
              <w:tab/>
            </w:r>
          </w:p>
        </w:tc>
        <w:tc>
          <w:tcPr>
            <w:tcW w:w="1444" w:type="dxa"/>
            <w:vAlign w:val="bottom"/>
          </w:tcPr>
          <w:p>
            <w:pPr>
              <w:pStyle w:val="yTableNAm"/>
              <w:tabs>
                <w:tab w:val="clear" w:pos="567"/>
                <w:tab w:val="left" w:pos="194"/>
              </w:tabs>
              <w:rPr>
                <w:spacing w:val="-1"/>
                <w:szCs w:val="22"/>
              </w:rPr>
            </w:pPr>
            <w:r>
              <w:rPr>
                <w:spacing w:val="-1"/>
                <w:szCs w:val="22"/>
              </w:rPr>
              <w:t>At cost</w:t>
            </w:r>
          </w:p>
        </w:tc>
      </w:tr>
      <w:tr>
        <w:trPr>
          <w:cantSplit/>
        </w:trPr>
        <w:tc>
          <w:tcPr>
            <w:tcW w:w="850" w:type="dxa"/>
          </w:tcPr>
          <w:p>
            <w:pPr>
              <w:pStyle w:val="yTableNAm"/>
              <w:rPr>
                <w:b/>
                <w:szCs w:val="22"/>
              </w:rPr>
            </w:pPr>
            <w:r>
              <w:rPr>
                <w:b/>
                <w:szCs w:val="22"/>
              </w:rPr>
              <w:t>29.</w:t>
            </w:r>
          </w:p>
        </w:tc>
        <w:tc>
          <w:tcPr>
            <w:tcW w:w="5670" w:type="dxa"/>
            <w:gridSpan w:val="4"/>
          </w:tcPr>
          <w:p>
            <w:pPr>
              <w:pStyle w:val="yTableNAm"/>
              <w:rPr>
                <w:b/>
                <w:bCs/>
                <w:spacing w:val="-1"/>
                <w:szCs w:val="22"/>
              </w:rPr>
            </w:pPr>
            <w:r>
              <w:rPr>
                <w:b/>
                <w:bCs/>
                <w:snapToGrid w:val="0"/>
                <w:szCs w:val="22"/>
              </w:rPr>
              <w:t>Non</w:t>
            </w:r>
            <w:r>
              <w:rPr>
                <w:b/>
                <w:bCs/>
                <w:snapToGrid w:val="0"/>
                <w:szCs w:val="22"/>
              </w:rPr>
              <w:noBreakHyphen/>
              <w:t xml:space="preserve">permit </w:t>
            </w:r>
            <w:r>
              <w:rPr>
                <w:b/>
                <w:bCs/>
                <w:spacing w:val="-1"/>
                <w:szCs w:val="22"/>
              </w:rPr>
              <w:t>holders</w:t>
            </w:r>
            <w:r>
              <w:rPr>
                <w:b/>
                <w:bCs/>
                <w:snapToGrid w:val="0"/>
                <w:szCs w:val="22"/>
              </w:rPr>
              <w:t xml:space="preserve"> discharging industrial waste</w:t>
            </w:r>
          </w:p>
        </w:tc>
      </w:tr>
      <w:tr>
        <w:tc>
          <w:tcPr>
            <w:tcW w:w="850" w:type="dxa"/>
          </w:tcPr>
          <w:p>
            <w:pPr>
              <w:pStyle w:val="yTableNAm"/>
              <w:rPr>
                <w:szCs w:val="22"/>
              </w:rPr>
            </w:pPr>
          </w:p>
        </w:tc>
        <w:tc>
          <w:tcPr>
            <w:tcW w:w="4212" w:type="dxa"/>
            <w:gridSpan w:val="2"/>
          </w:tcPr>
          <w:p>
            <w:pPr>
              <w:pStyle w:val="yTableNAm"/>
              <w:tabs>
                <w:tab w:val="right" w:leader="dot" w:pos="4253"/>
              </w:tabs>
              <w:rPr>
                <w:spacing w:val="-1"/>
                <w:szCs w:val="22"/>
              </w:rPr>
            </w:pPr>
            <w:r>
              <w:rPr>
                <w:spacing w:val="-1"/>
                <w:szCs w:val="22"/>
              </w:rPr>
              <w:t>For a one</w:t>
            </w:r>
            <w:r>
              <w:rPr>
                <w:spacing w:val="-1"/>
                <w:szCs w:val="22"/>
              </w:rPr>
              <w:noBreakHyphen/>
              <w:t xml:space="preserve">off discharge of industrial waste by a person who does not hold an industrial waste permit </w:t>
            </w:r>
            <w:r>
              <w:rPr>
                <w:spacing w:val="-1"/>
                <w:szCs w:val="22"/>
              </w:rPr>
              <w:tab/>
            </w:r>
          </w:p>
        </w:tc>
        <w:tc>
          <w:tcPr>
            <w:tcW w:w="1458" w:type="dxa"/>
            <w:gridSpan w:val="2"/>
            <w:vAlign w:val="bottom"/>
          </w:tcPr>
          <w:p>
            <w:pPr>
              <w:pStyle w:val="yTableNAm"/>
              <w:tabs>
                <w:tab w:val="clear" w:pos="567"/>
                <w:tab w:val="left" w:pos="202"/>
              </w:tabs>
              <w:rPr>
                <w:spacing w:val="-1"/>
                <w:szCs w:val="22"/>
              </w:rPr>
            </w:pPr>
            <w:r>
              <w:rPr>
                <w:spacing w:val="-1"/>
                <w:szCs w:val="22"/>
              </w:rPr>
              <w:t>$120.00/hour</w:t>
            </w:r>
          </w:p>
        </w:tc>
      </w:tr>
      <w:tr>
        <w:trPr>
          <w:cantSplit/>
        </w:trPr>
        <w:tc>
          <w:tcPr>
            <w:tcW w:w="850" w:type="dxa"/>
          </w:tcPr>
          <w:p>
            <w:pPr>
              <w:pStyle w:val="yTableNAm"/>
              <w:rPr>
                <w:b/>
                <w:szCs w:val="22"/>
              </w:rPr>
            </w:pPr>
            <w:r>
              <w:rPr>
                <w:b/>
                <w:szCs w:val="22"/>
              </w:rPr>
              <w:t>30.</w:t>
            </w:r>
          </w:p>
        </w:tc>
        <w:tc>
          <w:tcPr>
            <w:tcW w:w="5670" w:type="dxa"/>
            <w:gridSpan w:val="4"/>
          </w:tcPr>
          <w:p>
            <w:pPr>
              <w:pStyle w:val="yTableNAm"/>
              <w:rPr>
                <w:b/>
                <w:bCs/>
                <w:spacing w:val="-1"/>
                <w:szCs w:val="22"/>
              </w:rPr>
            </w:pPr>
            <w:r>
              <w:rPr>
                <w:b/>
                <w:bCs/>
                <w:snapToGrid w:val="0"/>
                <w:szCs w:val="22"/>
              </w:rPr>
              <w:t>Discharging industrial waste from an open area</w:t>
            </w:r>
          </w:p>
        </w:tc>
      </w:tr>
      <w:tr>
        <w:tc>
          <w:tcPr>
            <w:tcW w:w="850" w:type="dxa"/>
          </w:tcPr>
          <w:p>
            <w:pPr>
              <w:pStyle w:val="yTableNAm"/>
              <w:rPr>
                <w:szCs w:val="22"/>
              </w:rPr>
            </w:pPr>
          </w:p>
        </w:tc>
        <w:tc>
          <w:tcPr>
            <w:tcW w:w="4198" w:type="dxa"/>
          </w:tcPr>
          <w:p>
            <w:pPr>
              <w:pStyle w:val="yTableNAm"/>
              <w:tabs>
                <w:tab w:val="right" w:leader="dot" w:pos="4253"/>
              </w:tabs>
              <w:rPr>
                <w:spacing w:val="-1"/>
                <w:szCs w:val="22"/>
              </w:rPr>
            </w:pPr>
            <w:r>
              <w:rPr>
                <w:spacing w:val="-1"/>
                <w:szCs w:val="22"/>
              </w:rPr>
              <w:t xml:space="preserve">For discharging industrial waste from an open area </w:t>
            </w:r>
            <w:r>
              <w:rPr>
                <w:spacing w:val="-1"/>
                <w:szCs w:val="22"/>
              </w:rPr>
              <w:tab/>
            </w:r>
          </w:p>
        </w:tc>
        <w:tc>
          <w:tcPr>
            <w:tcW w:w="1472" w:type="dxa"/>
            <w:gridSpan w:val="3"/>
            <w:vAlign w:val="bottom"/>
          </w:tcPr>
          <w:p>
            <w:pPr>
              <w:pStyle w:val="yTableNAm"/>
              <w:tabs>
                <w:tab w:val="clear" w:pos="567"/>
                <w:tab w:val="left" w:pos="202"/>
              </w:tabs>
              <w:rPr>
                <w:spacing w:val="-1"/>
                <w:szCs w:val="22"/>
              </w:rPr>
            </w:pPr>
            <w:r>
              <w:rPr>
                <w:spacing w:val="-1"/>
                <w:szCs w:val="22"/>
              </w:rPr>
              <w:br/>
              <w:t>$1.42/square metre</w:t>
            </w:r>
          </w:p>
        </w:tc>
      </w:tr>
    </w:tbl>
    <w:p>
      <w:pPr>
        <w:pStyle w:val="yFootnotesection"/>
      </w:pPr>
      <w:r>
        <w:tab/>
        <w:t>[Division 6 inserted in Gazette 20 Jun 2012 p. 2742.]</w:t>
      </w:r>
    </w:p>
    <w:p>
      <w:pPr>
        <w:pStyle w:val="yHeading3"/>
        <w:keepLines/>
      </w:pPr>
      <w:bookmarkStart w:id="693" w:name="_Toc328403453"/>
      <w:bookmarkStart w:id="694" w:name="_Toc328471502"/>
      <w:r>
        <w:rPr>
          <w:rStyle w:val="CharSDivNo"/>
        </w:rPr>
        <w:t>Division 7</w:t>
      </w:r>
      <w:r>
        <w:rPr>
          <w:b w:val="0"/>
        </w:rPr>
        <w:t> — </w:t>
      </w:r>
      <w:r>
        <w:rPr>
          <w:rStyle w:val="CharSDivText"/>
        </w:rPr>
        <w:t>Combined charges for country</w:t>
      </w:r>
      <w:bookmarkEnd w:id="693"/>
      <w:bookmarkEnd w:id="694"/>
    </w:p>
    <w:p>
      <w:pPr>
        <w:pStyle w:val="yFootnoteheading"/>
        <w:keepNext/>
        <w:keepLines/>
        <w:spacing w:after="60"/>
      </w:pPr>
      <w:r>
        <w:tab/>
        <w:t>[Heading inserted in Gazette 20 Jun 2012 p. 2743.]</w:t>
      </w:r>
    </w:p>
    <w:p>
      <w:pPr>
        <w:pStyle w:val="zyHeading5"/>
      </w:pPr>
      <w:r>
        <w:t>31.</w:t>
      </w:r>
      <w:r>
        <w:tab/>
        <w:t>Country non</w:t>
      </w:r>
      <w:r>
        <w:noBreakHyphen/>
        <w:t>residential or commercial residential property, Government trading organisations and non-commercial Government property</w:t>
      </w:r>
    </w:p>
    <w:p>
      <w:pPr>
        <w:pStyle w:val="zySubsection"/>
      </w:pPr>
      <w:r>
        <w:tab/>
      </w:r>
      <w:r>
        <w:tab/>
        <w:t>In respect of land in a country sewerage area that is classified as country non</w:t>
      </w:r>
      <w:r>
        <w:noBreakHyphen/>
        <w:t>residential or commercial residential property, Government trading organisation or non-commercial Government property and is not referred to in item 2, 4, 5, 32, 33 or 34, the charge is calculated in accordance with the following formula —</w:t>
      </w:r>
    </w:p>
    <w:p>
      <w:pPr>
        <w:pStyle w:val="zySubsection"/>
      </w:pPr>
      <w:r>
        <w:tab/>
      </w:r>
      <w:r>
        <w:tab/>
        <w:t>If (</w:t>
      </w:r>
      <w:r>
        <w:rPr>
          <w:b/>
        </w:rPr>
        <w:t>P</w:t>
      </w:r>
      <w:r>
        <w:t xml:space="preserve"> + </w:t>
      </w:r>
      <w:r>
        <w:rPr>
          <w:b/>
        </w:rPr>
        <w:t>Q</w:t>
      </w:r>
      <w:r>
        <w:t xml:space="preserve">) </w:t>
      </w:r>
      <w:r>
        <w:sym w:font="Symbol" w:char="F0A3"/>
      </w:r>
      <w:r>
        <w:t xml:space="preserve"> </w:t>
      </w:r>
      <w:r>
        <w:rPr>
          <w:b/>
        </w:rPr>
        <w:t>R</w:t>
      </w:r>
      <w:r>
        <w:t xml:space="preserve">, then — </w:t>
      </w:r>
    </w:p>
    <w:p>
      <w:pPr>
        <w:pStyle w:val="zySubsection"/>
      </w:pPr>
      <w:r>
        <w:rPr>
          <w:b/>
        </w:rPr>
        <w:tab/>
      </w:r>
      <w:r>
        <w:rPr>
          <w:b/>
        </w:rPr>
        <w:tab/>
        <w:t>P</w:t>
      </w:r>
      <w:r>
        <w:t xml:space="preserve"> + </w:t>
      </w:r>
      <w:r>
        <w:rPr>
          <w:b/>
        </w:rPr>
        <w:t>Q</w:t>
      </w:r>
    </w:p>
    <w:p>
      <w:pPr>
        <w:pStyle w:val="zySubsection"/>
      </w:pPr>
      <w:r>
        <w:tab/>
      </w:r>
      <w:r>
        <w:tab/>
        <w:t xml:space="preserve">or if — </w:t>
      </w:r>
    </w:p>
    <w:p>
      <w:pPr>
        <w:pStyle w:val="zySubsection"/>
      </w:pPr>
      <w:r>
        <w:tab/>
      </w:r>
      <w:r>
        <w:tab/>
        <w:t>(</w:t>
      </w:r>
      <w:r>
        <w:rPr>
          <w:b/>
        </w:rPr>
        <w:t>P</w:t>
      </w:r>
      <w:r>
        <w:t xml:space="preserve"> + </w:t>
      </w:r>
      <w:r>
        <w:rPr>
          <w:b/>
        </w:rPr>
        <w:t>Q</w:t>
      </w:r>
      <w:r>
        <w:t xml:space="preserve">) &gt; </w:t>
      </w:r>
      <w:r>
        <w:rPr>
          <w:b/>
        </w:rPr>
        <w:t>R</w:t>
      </w:r>
      <w:r>
        <w:t>; and</w:t>
      </w:r>
    </w:p>
    <w:p>
      <w:pPr>
        <w:pStyle w:val="zySubsection"/>
      </w:pPr>
      <w:r>
        <w:rPr>
          <w:b/>
        </w:rPr>
        <w:tab/>
      </w:r>
      <w:r>
        <w:rPr>
          <w:b/>
        </w:rPr>
        <w:tab/>
        <w:t>N</w:t>
      </w:r>
      <w:r>
        <w:t xml:space="preserve"> </w:t>
      </w:r>
      <w:r>
        <w:sym w:font="Symbol" w:char="F0A3"/>
      </w:r>
      <w:r>
        <w:t xml:space="preserve"> </w:t>
      </w:r>
      <w:r>
        <w:rPr>
          <w:b/>
        </w:rPr>
        <w:t>W</w:t>
      </w:r>
      <w:r>
        <w:t>,</w:t>
      </w:r>
    </w:p>
    <w:p>
      <w:pPr>
        <w:pStyle w:val="zySubsection"/>
      </w:pPr>
      <w:r>
        <w:tab/>
      </w:r>
      <w:r>
        <w:tab/>
        <w:t xml:space="preserve">then — </w:t>
      </w:r>
    </w:p>
    <w:p>
      <w:pPr>
        <w:pStyle w:val="zySubsection"/>
        <w:rPr>
          <w:b/>
        </w:rPr>
      </w:pPr>
      <w:r>
        <w:rPr>
          <w:b/>
        </w:rPr>
        <w:tab/>
      </w:r>
      <w:r>
        <w:rPr>
          <w:b/>
        </w:rPr>
        <w:tab/>
        <w:t>R</w:t>
      </w:r>
      <w:r>
        <w:t xml:space="preserve"> + {(</w:t>
      </w:r>
      <w:r>
        <w:rPr>
          <w:b/>
        </w:rPr>
        <w:t>N</w:t>
      </w:r>
      <w:r>
        <w:t xml:space="preserve"> </w:t>
      </w:r>
      <w:r>
        <w:sym w:font="Symbol" w:char="F02D"/>
      </w:r>
      <w:r>
        <w:t xml:space="preserve"> </w:t>
      </w:r>
      <w:r>
        <w:rPr>
          <w:b/>
        </w:rPr>
        <w:t>W</w:t>
      </w:r>
      <w:r>
        <w:t xml:space="preserve">) </w:t>
      </w:r>
      <w:r>
        <w:sym w:font="Symbol" w:char="F0B4"/>
      </w:r>
      <w:r>
        <w:rPr>
          <w:b/>
        </w:rPr>
        <w:t xml:space="preserve"> I</w:t>
      </w:r>
      <w:r>
        <w:t>}</w:t>
      </w:r>
    </w:p>
    <w:p>
      <w:pPr>
        <w:pStyle w:val="zySubsection"/>
      </w:pPr>
      <w:r>
        <w:tab/>
      </w:r>
      <w:r>
        <w:tab/>
        <w:t xml:space="preserve">where — </w:t>
      </w:r>
    </w:p>
    <w:p>
      <w:pPr>
        <w:pStyle w:val="zyIndenta"/>
      </w:pPr>
      <w:r>
        <w:rPr>
          <w:b/>
        </w:rPr>
        <w:tab/>
        <w:t>P</w:t>
      </w:r>
      <w:r>
        <w:t xml:space="preserve"> =</w:t>
      </w:r>
      <w:r>
        <w:tab/>
        <w:t xml:space="preserve">the </w:t>
      </w:r>
      <w:r>
        <w:rPr>
          <w:snapToGrid w:val="0"/>
        </w:rPr>
        <w:t>annual</w:t>
      </w:r>
      <w:r>
        <w:t xml:space="preserve"> charge calculated in accordance with the formula in item 36;</w:t>
      </w:r>
    </w:p>
    <w:p>
      <w:pPr>
        <w:pStyle w:val="zyIndenta"/>
      </w:pPr>
      <w:r>
        <w:rPr>
          <w:b/>
        </w:rPr>
        <w:tab/>
        <w:t>Q</w:t>
      </w:r>
      <w:r>
        <w:t xml:space="preserve"> =</w:t>
      </w:r>
      <w:r>
        <w:tab/>
        <w:t>the quantity charge calculated in accordance with the formula in item 37;</w:t>
      </w:r>
    </w:p>
    <w:p>
      <w:pPr>
        <w:pStyle w:val="zyIndenta"/>
      </w:pPr>
      <w:r>
        <w:rPr>
          <w:b/>
        </w:rPr>
        <w:tab/>
        <w:t>R</w:t>
      </w:r>
      <w:r>
        <w:t xml:space="preserve"> =</w:t>
      </w:r>
      <w:r>
        <w:tab/>
        <w:t>the maximum charge calculated in accordance with the formula in item 35;</w:t>
      </w:r>
    </w:p>
    <w:p>
      <w:pPr>
        <w:pStyle w:val="zyIndenta"/>
      </w:pPr>
      <w:r>
        <w:rPr>
          <w:b/>
        </w:rPr>
        <w:tab/>
        <w:t>N</w:t>
      </w:r>
      <w:r>
        <w:t xml:space="preserve"> =</w:t>
      </w:r>
      <w:r>
        <w:tab/>
        <w:t>the discharge volume for the 2012/2013 year;</w:t>
      </w:r>
    </w:p>
    <w:p>
      <w:pPr>
        <w:pStyle w:val="zyIndenta"/>
      </w:pPr>
      <w:r>
        <w:rPr>
          <w:b/>
        </w:rPr>
        <w:tab/>
        <w:t>W</w:t>
      </w:r>
      <w:r>
        <w:t xml:space="preserve"> =</w:t>
      </w:r>
      <w:r>
        <w:tab/>
        <w:t>the discharge volume for the last available consumption year;</w:t>
      </w:r>
    </w:p>
    <w:p>
      <w:pPr>
        <w:pStyle w:val="zyIndenta"/>
      </w:pPr>
      <w:r>
        <w:rPr>
          <w:b/>
        </w:rPr>
        <w:tab/>
        <w:t>I</w:t>
      </w:r>
      <w:r>
        <w:t xml:space="preserve"> =</w:t>
      </w:r>
      <w:r>
        <w:tab/>
        <w:t>2.677.</w:t>
      </w:r>
    </w:p>
    <w:p>
      <w:pPr>
        <w:pStyle w:val="zyHeading5"/>
      </w:pPr>
      <w:r>
        <w:t>32.</w:t>
      </w:r>
      <w:r>
        <w:tab/>
        <w:t>Country non strata</w:t>
      </w:r>
      <w:r>
        <w:noBreakHyphen/>
        <w:t>titled caravan park with long</w:t>
      </w:r>
      <w:r>
        <w:noBreakHyphen/>
        <w:t>term residential caravan bays</w:t>
      </w:r>
    </w:p>
    <w:p>
      <w:pPr>
        <w:pStyle w:val="zySubsection"/>
        <w:keepNext/>
        <w:keepLines/>
      </w:pPr>
      <w:r>
        <w:tab/>
      </w:r>
      <w:r>
        <w:tab/>
        <w:t>In respect of a caravan park in a country sewerage area —</w:t>
      </w:r>
    </w:p>
    <w:p>
      <w:pPr>
        <w:pStyle w:val="zyIndenta"/>
        <w:keepNext/>
        <w:keepLines/>
      </w:pPr>
      <w:r>
        <w:tab/>
        <w:t>(a)</w:t>
      </w:r>
      <w:r>
        <w:tab/>
        <w:t>not consisting of strata</w:t>
      </w:r>
      <w:r>
        <w:noBreakHyphen/>
        <w:t>titled caravan bays referred to in item 3 of this Schedule; and</w:t>
      </w:r>
    </w:p>
    <w:p>
      <w:pPr>
        <w:pStyle w:val="zyIndenta"/>
      </w:pPr>
      <w:r>
        <w:tab/>
        <w:t>(b)</w:t>
      </w:r>
      <w:r>
        <w:tab/>
        <w:t>having long</w:t>
      </w:r>
      <w:r>
        <w:noBreakHyphen/>
        <w:t>term residential caravan bays,</w:t>
      </w:r>
    </w:p>
    <w:p>
      <w:pPr>
        <w:pStyle w:val="zySubsection"/>
      </w:pPr>
      <w:r>
        <w:tab/>
      </w:r>
      <w:r>
        <w:tab/>
        <w:t xml:space="preserve">the charge payable in accordance with the following formula — </w:t>
      </w:r>
    </w:p>
    <w:p>
      <w:pPr>
        <w:pStyle w:val="zySubsection"/>
      </w:pPr>
      <w:r>
        <w:rPr>
          <w:b/>
        </w:rPr>
        <w:tab/>
      </w:r>
      <w:r>
        <w:rPr>
          <w:b/>
        </w:rPr>
        <w:tab/>
        <w:t>AA</w:t>
      </w:r>
      <w:r>
        <w:t xml:space="preserve"> + </w:t>
      </w:r>
      <w:r>
        <w:rPr>
          <w:b/>
        </w:rPr>
        <w:t>AB</w:t>
      </w:r>
    </w:p>
    <w:p>
      <w:pPr>
        <w:pStyle w:val="zySubsection"/>
      </w:pPr>
      <w:r>
        <w:tab/>
      </w:r>
      <w:r>
        <w:tab/>
        <w:t xml:space="preserve">where — </w:t>
      </w:r>
    </w:p>
    <w:p>
      <w:pPr>
        <w:pStyle w:val="zyIndenta"/>
      </w:pPr>
      <w:r>
        <w:rPr>
          <w:b/>
        </w:rPr>
        <w:tab/>
        <w:t>AA</w:t>
      </w:r>
      <w:r>
        <w:t xml:space="preserve"> =</w:t>
      </w:r>
      <w:r>
        <w:tab/>
        <w:t>a charge of $240.50 for each long</w:t>
      </w:r>
      <w:r>
        <w:noBreakHyphen/>
        <w:t xml:space="preserve">term residential caravan bay; </w:t>
      </w:r>
    </w:p>
    <w:p>
      <w:pPr>
        <w:pStyle w:val="zyIndenta"/>
      </w:pPr>
      <w:r>
        <w:rPr>
          <w:b/>
        </w:rPr>
        <w:tab/>
        <w:t>AB</w:t>
      </w:r>
      <w:r>
        <w:t xml:space="preserve"> =</w:t>
      </w:r>
      <w:r>
        <w:tab/>
        <w:t>the charge for any part of the caravan park not comprised in long</w:t>
      </w:r>
      <w:r>
        <w:noBreakHyphen/>
        <w:t xml:space="preserve">term residential caravan bays, calculated in accordance with the following formula — </w:t>
      </w:r>
    </w:p>
    <w:p>
      <w:pPr>
        <w:pStyle w:val="zyIndenta"/>
      </w:pPr>
      <w:r>
        <w:tab/>
      </w:r>
      <w:r>
        <w:tab/>
        <w:t>If (</w:t>
      </w:r>
      <w:r>
        <w:rPr>
          <w:b/>
        </w:rPr>
        <w:t>Y</w:t>
      </w:r>
      <w:r>
        <w:t xml:space="preserve"> + </w:t>
      </w:r>
      <w:r>
        <w:rPr>
          <w:b/>
        </w:rPr>
        <w:t>Q</w:t>
      </w:r>
      <w:r>
        <w:t xml:space="preserve">) </w:t>
      </w:r>
      <w:r>
        <w:sym w:font="Symbol" w:char="F0A3"/>
      </w:r>
      <w:r>
        <w:t xml:space="preserve"> </w:t>
      </w:r>
      <w:r>
        <w:rPr>
          <w:b/>
        </w:rPr>
        <w:t>R</w:t>
      </w:r>
      <w:r>
        <w:t xml:space="preserve">, then — </w:t>
      </w:r>
    </w:p>
    <w:p>
      <w:pPr>
        <w:pStyle w:val="zyIndenta"/>
      </w:pPr>
      <w:r>
        <w:rPr>
          <w:b/>
        </w:rPr>
        <w:tab/>
      </w:r>
      <w:r>
        <w:rPr>
          <w:b/>
        </w:rPr>
        <w:tab/>
        <w:t>Y</w:t>
      </w:r>
      <w:r>
        <w:t xml:space="preserve"> + </w:t>
      </w:r>
      <w:r>
        <w:rPr>
          <w:b/>
        </w:rPr>
        <w:t>Q</w:t>
      </w:r>
    </w:p>
    <w:p>
      <w:pPr>
        <w:pStyle w:val="zyIndenta"/>
      </w:pPr>
      <w:r>
        <w:tab/>
      </w:r>
      <w:r>
        <w:tab/>
        <w:t xml:space="preserve">or if — </w:t>
      </w:r>
    </w:p>
    <w:p>
      <w:pPr>
        <w:pStyle w:val="zyIndenta"/>
      </w:pPr>
      <w:r>
        <w:tab/>
      </w:r>
      <w:r>
        <w:tab/>
        <w:t>(</w:t>
      </w:r>
      <w:r>
        <w:rPr>
          <w:b/>
        </w:rPr>
        <w:t>Y</w:t>
      </w:r>
      <w:r>
        <w:t xml:space="preserve"> + </w:t>
      </w:r>
      <w:r>
        <w:rPr>
          <w:b/>
        </w:rPr>
        <w:t>Q</w:t>
      </w:r>
      <w:r>
        <w:t xml:space="preserve">) &gt; </w:t>
      </w:r>
      <w:r>
        <w:rPr>
          <w:b/>
        </w:rPr>
        <w:t>R</w:t>
      </w:r>
      <w:r>
        <w:t>; and</w:t>
      </w:r>
    </w:p>
    <w:p>
      <w:pPr>
        <w:pStyle w:val="zyIndenta"/>
      </w:pPr>
      <w:r>
        <w:rPr>
          <w:b/>
        </w:rPr>
        <w:tab/>
      </w:r>
      <w:r>
        <w:rPr>
          <w:b/>
        </w:rPr>
        <w:tab/>
        <w:t>N</w:t>
      </w:r>
      <w:r>
        <w:t xml:space="preserve"> </w:t>
      </w:r>
      <w:r>
        <w:sym w:font="Symbol" w:char="F0A3"/>
      </w:r>
      <w:r>
        <w:t xml:space="preserve"> </w:t>
      </w:r>
      <w:r>
        <w:rPr>
          <w:b/>
        </w:rPr>
        <w:t>W</w:t>
      </w:r>
      <w:r>
        <w:t>,</w:t>
      </w:r>
    </w:p>
    <w:p>
      <w:pPr>
        <w:pStyle w:val="zyIndenta"/>
      </w:pPr>
      <w:r>
        <w:tab/>
      </w:r>
      <w:r>
        <w:tab/>
        <w:t xml:space="preserve">then — </w:t>
      </w:r>
    </w:p>
    <w:p>
      <w:pPr>
        <w:pStyle w:val="zyIndenta"/>
        <w:rPr>
          <w:b/>
        </w:rPr>
      </w:pPr>
      <w:r>
        <w:rPr>
          <w:b/>
        </w:rPr>
        <w:tab/>
      </w:r>
      <w:r>
        <w:rPr>
          <w:b/>
        </w:rPr>
        <w:tab/>
        <w:t>R</w:t>
      </w:r>
    </w:p>
    <w:p>
      <w:pPr>
        <w:pStyle w:val="zyIndenta"/>
      </w:pPr>
      <w:r>
        <w:tab/>
      </w:r>
      <w:r>
        <w:tab/>
        <w:t xml:space="preserve">or if — </w:t>
      </w:r>
    </w:p>
    <w:p>
      <w:pPr>
        <w:pStyle w:val="zyIndenta"/>
      </w:pPr>
      <w:r>
        <w:tab/>
      </w:r>
      <w:r>
        <w:tab/>
        <w:t>(</w:t>
      </w:r>
      <w:r>
        <w:rPr>
          <w:b/>
        </w:rPr>
        <w:t>Y</w:t>
      </w:r>
      <w:r>
        <w:t xml:space="preserve"> + </w:t>
      </w:r>
      <w:r>
        <w:rPr>
          <w:b/>
        </w:rPr>
        <w:t>Q</w:t>
      </w:r>
      <w:r>
        <w:t xml:space="preserve">) &gt; </w:t>
      </w:r>
      <w:r>
        <w:rPr>
          <w:b/>
        </w:rPr>
        <w:t>R</w:t>
      </w:r>
      <w:r>
        <w:t>; and</w:t>
      </w:r>
    </w:p>
    <w:p>
      <w:pPr>
        <w:pStyle w:val="zyIndenta"/>
      </w:pPr>
      <w:r>
        <w:rPr>
          <w:b/>
        </w:rPr>
        <w:tab/>
      </w:r>
      <w:r>
        <w:rPr>
          <w:b/>
        </w:rPr>
        <w:tab/>
        <w:t>N</w:t>
      </w:r>
      <w:r>
        <w:t xml:space="preserve"> &gt; </w:t>
      </w:r>
      <w:r>
        <w:rPr>
          <w:b/>
        </w:rPr>
        <w:t>W</w:t>
      </w:r>
      <w:r>
        <w:t>,</w:t>
      </w:r>
    </w:p>
    <w:p>
      <w:pPr>
        <w:pStyle w:val="zyIndenta"/>
      </w:pPr>
      <w:r>
        <w:tab/>
      </w:r>
      <w:r>
        <w:tab/>
        <w:t xml:space="preserve">then — </w:t>
      </w:r>
    </w:p>
    <w:p>
      <w:pPr>
        <w:pStyle w:val="zyIndenta"/>
      </w:pPr>
      <w:r>
        <w:rPr>
          <w:b/>
        </w:rPr>
        <w:tab/>
      </w:r>
      <w:r>
        <w:rPr>
          <w:b/>
        </w:rPr>
        <w:tab/>
        <w:t>R</w:t>
      </w:r>
      <w:r>
        <w:t xml:space="preserve"> + {(</w:t>
      </w:r>
      <w:r>
        <w:rPr>
          <w:b/>
        </w:rPr>
        <w:t>N</w:t>
      </w:r>
      <w:r>
        <w:t xml:space="preserve"> – </w:t>
      </w:r>
      <w:r>
        <w:rPr>
          <w:b/>
        </w:rPr>
        <w:t>W</w:t>
      </w:r>
      <w:r>
        <w:t xml:space="preserve">) </w:t>
      </w:r>
      <w:r>
        <w:sym w:font="Symbol" w:char="F0B4"/>
      </w:r>
      <w:r>
        <w:t xml:space="preserve"> </w:t>
      </w:r>
      <w:r>
        <w:rPr>
          <w:b/>
        </w:rPr>
        <w:t>I</w:t>
      </w:r>
      <w:r>
        <w:t>}</w:t>
      </w:r>
    </w:p>
    <w:p>
      <w:pPr>
        <w:pStyle w:val="zyIndenta"/>
      </w:pPr>
      <w:r>
        <w:tab/>
      </w:r>
      <w:r>
        <w:tab/>
        <w:t xml:space="preserve">where — </w:t>
      </w:r>
    </w:p>
    <w:p>
      <w:pPr>
        <w:pStyle w:val="zyIndenti"/>
      </w:pPr>
      <w:r>
        <w:rPr>
          <w:b/>
        </w:rPr>
        <w:tab/>
        <w:t>Y</w:t>
      </w:r>
      <w:r>
        <w:t xml:space="preserve"> =</w:t>
      </w:r>
      <w:r>
        <w:tab/>
        <w:t>the charge payable for the number of major fixtures in the relevant part of the caravan park in the 2012/2013 year as set out in the Table to item 36;</w:t>
      </w:r>
    </w:p>
    <w:p>
      <w:pPr>
        <w:pStyle w:val="zyIndenti"/>
      </w:pPr>
      <w:r>
        <w:rPr>
          <w:b/>
        </w:rPr>
        <w:tab/>
        <w:t>Q</w:t>
      </w:r>
      <w:r>
        <w:t xml:space="preserve"> =</w:t>
      </w:r>
      <w:r>
        <w:tab/>
        <w:t>the quantity charge calculated in accordance with the formula in item 37;</w:t>
      </w:r>
    </w:p>
    <w:p>
      <w:pPr>
        <w:pStyle w:val="zyIndenti"/>
      </w:pPr>
      <w:r>
        <w:rPr>
          <w:b/>
        </w:rPr>
        <w:tab/>
        <w:t>R</w:t>
      </w:r>
      <w:r>
        <w:t xml:space="preserve"> =</w:t>
      </w:r>
      <w:r>
        <w:tab/>
        <w:t>the charge calculated in accordance with the formula in item 35;</w:t>
      </w:r>
    </w:p>
    <w:p>
      <w:pPr>
        <w:pStyle w:val="zyIndenti"/>
      </w:pPr>
      <w:r>
        <w:rPr>
          <w:b/>
        </w:rPr>
        <w:tab/>
        <w:t>N =</w:t>
      </w:r>
      <w:r>
        <w:rPr>
          <w:b/>
        </w:rPr>
        <w:tab/>
      </w:r>
      <w:r>
        <w:t>the discharge volume for the 2012/2013 year;</w:t>
      </w:r>
    </w:p>
    <w:p>
      <w:pPr>
        <w:pStyle w:val="zyIndenti"/>
      </w:pPr>
      <w:r>
        <w:rPr>
          <w:b/>
        </w:rPr>
        <w:tab/>
        <w:t>W =</w:t>
      </w:r>
      <w:r>
        <w:rPr>
          <w:b/>
        </w:rPr>
        <w:tab/>
      </w:r>
      <w:r>
        <w:t>the discharge volume for the last available consumption year;</w:t>
      </w:r>
    </w:p>
    <w:p>
      <w:pPr>
        <w:pStyle w:val="zyIndenti"/>
      </w:pPr>
      <w:r>
        <w:rPr>
          <w:b/>
        </w:rPr>
        <w:tab/>
        <w:t>I =</w:t>
      </w:r>
      <w:r>
        <w:rPr>
          <w:b/>
        </w:rPr>
        <w:tab/>
      </w:r>
      <w:r>
        <w:t>2.677.</w:t>
      </w:r>
    </w:p>
    <w:p>
      <w:pPr>
        <w:pStyle w:val="zyHeading5"/>
      </w:pPr>
      <w:r>
        <w:t>33.</w:t>
      </w:r>
      <w:r>
        <w:tab/>
        <w:t>Country nursing home</w:t>
      </w:r>
    </w:p>
    <w:p>
      <w:pPr>
        <w:pStyle w:val="zySubsection"/>
      </w:pPr>
      <w:r>
        <w:tab/>
      </w:r>
      <w:r>
        <w:tab/>
        <w:t>In respect of a nursing home in a country sewerage area, not being a nursing home which is, or is part of, an aged home, the charge is calculated in accordance with the following formula —</w:t>
      </w:r>
    </w:p>
    <w:p>
      <w:pPr>
        <w:pStyle w:val="zySubsection"/>
      </w:pPr>
      <w:r>
        <w:tab/>
      </w:r>
      <w:r>
        <w:tab/>
        <w:t>If (</w:t>
      </w:r>
      <w:r>
        <w:rPr>
          <w:b/>
        </w:rPr>
        <w:t>T</w:t>
      </w:r>
      <w:r>
        <w:t xml:space="preserve"> + </w:t>
      </w:r>
      <w:r>
        <w:rPr>
          <w:b/>
        </w:rPr>
        <w:t>Q</w:t>
      </w:r>
      <w:r>
        <w:t xml:space="preserve">) </w:t>
      </w:r>
      <w:r>
        <w:sym w:font="Symbol" w:char="F0A3"/>
      </w:r>
      <w:r>
        <w:t xml:space="preserve"> </w:t>
      </w:r>
      <w:r>
        <w:rPr>
          <w:b/>
        </w:rPr>
        <w:t>R</w:t>
      </w:r>
      <w:r>
        <w:t xml:space="preserve">, then — </w:t>
      </w:r>
    </w:p>
    <w:p>
      <w:pPr>
        <w:pStyle w:val="zySubsection"/>
      </w:pPr>
      <w:r>
        <w:tab/>
      </w:r>
      <w:r>
        <w:tab/>
      </w:r>
      <w:r>
        <w:rPr>
          <w:b/>
        </w:rPr>
        <w:t>T</w:t>
      </w:r>
      <w:r>
        <w:t xml:space="preserve"> + </w:t>
      </w:r>
      <w:r>
        <w:rPr>
          <w:b/>
        </w:rPr>
        <w:t>Q</w:t>
      </w:r>
    </w:p>
    <w:p>
      <w:pPr>
        <w:pStyle w:val="zySubsection"/>
      </w:pPr>
      <w:r>
        <w:tab/>
      </w:r>
      <w:r>
        <w:tab/>
        <w:t>or if (</w:t>
      </w:r>
      <w:r>
        <w:rPr>
          <w:b/>
        </w:rPr>
        <w:t>T</w:t>
      </w:r>
      <w:r>
        <w:t xml:space="preserve"> + </w:t>
      </w:r>
      <w:r>
        <w:rPr>
          <w:b/>
        </w:rPr>
        <w:t>Q</w:t>
      </w:r>
      <w:r>
        <w:t xml:space="preserve">) &gt; </w:t>
      </w:r>
      <w:r>
        <w:rPr>
          <w:b/>
        </w:rPr>
        <w:t>R</w:t>
      </w:r>
      <w:r>
        <w:t xml:space="preserve">, then — </w:t>
      </w:r>
    </w:p>
    <w:p>
      <w:pPr>
        <w:pStyle w:val="zySubsection"/>
        <w:rPr>
          <w:b/>
        </w:rPr>
      </w:pPr>
      <w:r>
        <w:tab/>
      </w:r>
      <w:r>
        <w:tab/>
      </w:r>
      <w:r>
        <w:rPr>
          <w:b/>
        </w:rPr>
        <w:t>R</w:t>
      </w:r>
    </w:p>
    <w:p>
      <w:pPr>
        <w:pStyle w:val="zySubsection"/>
      </w:pPr>
      <w:r>
        <w:tab/>
      </w:r>
      <w:r>
        <w:tab/>
        <w:t xml:space="preserve">where — </w:t>
      </w:r>
    </w:p>
    <w:p>
      <w:pPr>
        <w:pStyle w:val="zyIndenta"/>
      </w:pPr>
      <w:r>
        <w:rPr>
          <w:b/>
        </w:rPr>
        <w:tab/>
        <w:t>T</w:t>
      </w:r>
      <w:r>
        <w:t xml:space="preserve"> =</w:t>
      </w:r>
      <w:r>
        <w:tab/>
        <w:t>the charge calculated in accordance with the following formula — </w:t>
      </w:r>
    </w:p>
    <w:p>
      <w:pPr>
        <w:pStyle w:val="zyIndenta"/>
      </w:pPr>
      <w:r>
        <w:rPr>
          <w:b/>
        </w:rPr>
        <w:tab/>
      </w:r>
      <w:r>
        <w:rPr>
          <w:b/>
        </w:rPr>
        <w:tab/>
        <w:t>U</w:t>
      </w:r>
      <w:r>
        <w:t xml:space="preserve"> </w:t>
      </w:r>
      <w:r>
        <w:sym w:font="Symbol" w:char="F0B4"/>
      </w:r>
      <w:r>
        <w:t xml:space="preserve"> </w:t>
      </w:r>
      <w:r>
        <w:rPr>
          <w:b/>
        </w:rPr>
        <w:t>V</w:t>
      </w:r>
    </w:p>
    <w:p>
      <w:pPr>
        <w:pStyle w:val="zyIndenta"/>
      </w:pPr>
      <w:r>
        <w:tab/>
      </w:r>
      <w:r>
        <w:tab/>
        <w:t xml:space="preserve">where — </w:t>
      </w:r>
    </w:p>
    <w:p>
      <w:pPr>
        <w:pStyle w:val="zyIndenti"/>
      </w:pPr>
      <w:r>
        <w:rPr>
          <w:b/>
        </w:rPr>
        <w:tab/>
        <w:t>U</w:t>
      </w:r>
      <w:r>
        <w:t xml:space="preserve"> =</w:t>
      </w:r>
      <w:r>
        <w:tab/>
        <w:t xml:space="preserve">the number of beds in the nursing home; </w:t>
      </w:r>
    </w:p>
    <w:p>
      <w:pPr>
        <w:pStyle w:val="zyIndenti"/>
      </w:pPr>
      <w:r>
        <w:rPr>
          <w:b/>
        </w:rPr>
        <w:tab/>
        <w:t>V</w:t>
      </w:r>
      <w:r>
        <w:t xml:space="preserve"> =</w:t>
      </w:r>
      <w:r>
        <w:tab/>
        <w:t>$131.80;</w:t>
      </w:r>
    </w:p>
    <w:p>
      <w:pPr>
        <w:pStyle w:val="zyIndenta"/>
      </w:pPr>
      <w:r>
        <w:rPr>
          <w:b/>
        </w:rPr>
        <w:tab/>
        <w:t>Q</w:t>
      </w:r>
      <w:r>
        <w:t xml:space="preserve"> =</w:t>
      </w:r>
      <w:r>
        <w:tab/>
        <w:t>the quantity charge calculated in accordance with the formula in item 37;</w:t>
      </w:r>
    </w:p>
    <w:p>
      <w:pPr>
        <w:pStyle w:val="zyIndenta"/>
      </w:pPr>
      <w:r>
        <w:rPr>
          <w:b/>
        </w:rPr>
        <w:tab/>
        <w:t>R</w:t>
      </w:r>
      <w:r>
        <w:t xml:space="preserve"> =</w:t>
      </w:r>
      <w:r>
        <w:tab/>
        <w:t>the charge calculated in accordance with the formula in item 35.</w:t>
      </w:r>
    </w:p>
    <w:p>
      <w:pPr>
        <w:pStyle w:val="zyHeading5"/>
      </w:pPr>
      <w:r>
        <w:t>34.</w:t>
      </w:r>
      <w:r>
        <w:tab/>
        <w:t>Certain country strata</w:t>
      </w:r>
      <w:r>
        <w:noBreakHyphen/>
        <w:t>titled units</w:t>
      </w:r>
    </w:p>
    <w:p>
      <w:pPr>
        <w:pStyle w:val="zySubsection"/>
      </w:pPr>
      <w:r>
        <w:tab/>
      </w:r>
      <w:r>
        <w:tab/>
        <w:t>In respect of country non</w:t>
      </w:r>
      <w:r>
        <w:noBreakHyphen/>
        <w:t xml:space="preserve">residential or commercial residential property that is in a country sewerage area that — </w:t>
      </w:r>
    </w:p>
    <w:p>
      <w:pPr>
        <w:pStyle w:val="zyIndenta"/>
      </w:pPr>
      <w:r>
        <w:tab/>
        <w:t>(a)</w:t>
      </w:r>
      <w:r>
        <w:tab/>
      </w:r>
      <w:r>
        <w:rPr>
          <w:snapToGrid w:val="0"/>
        </w:rPr>
        <w:t>comprises</w:t>
      </w:r>
      <w:r>
        <w:t xml:space="preserve"> a unit that is a lot within the meaning of the </w:t>
      </w:r>
      <w:r>
        <w:rPr>
          <w:i/>
        </w:rPr>
        <w:t>Strata Titles Act 1985</w:t>
      </w:r>
      <w:r>
        <w:t>; and</w:t>
      </w:r>
    </w:p>
    <w:p>
      <w:pPr>
        <w:pStyle w:val="zyIndenta"/>
      </w:pPr>
      <w:r>
        <w:tab/>
        <w:t>(b)</w:t>
      </w:r>
      <w:r>
        <w:tab/>
      </w:r>
      <w:r>
        <w:rPr>
          <w:snapToGrid w:val="0"/>
        </w:rPr>
        <w:t>shares</w:t>
      </w:r>
      <w:r>
        <w:t xml:space="preserve"> a major fixture with another unit described in paragraph (a) and </w:t>
      </w:r>
      <w:r>
        <w:rPr>
          <w:spacing w:val="-1"/>
        </w:rPr>
        <w:t>has no other major fixtures that discharge into the sewer,</w:t>
      </w:r>
    </w:p>
    <w:p>
      <w:pPr>
        <w:pStyle w:val="zySubsection"/>
      </w:pPr>
      <w:r>
        <w:tab/>
      </w:r>
      <w:r>
        <w:tab/>
      </w:r>
      <w:r>
        <w:rPr>
          <w:spacing w:val="-1"/>
        </w:rPr>
        <w:t xml:space="preserve">and where the </w:t>
      </w:r>
      <w:r>
        <w:t>total</w:t>
      </w:r>
      <w:r>
        <w:rPr>
          <w:spacing w:val="-1"/>
        </w:rPr>
        <w:t xml:space="preserve"> number of major fixtures shared by all the units on the relevant strata plan is less than the number of those units,</w:t>
      </w:r>
      <w:r>
        <w:t xml:space="preserve"> an amount is calculated in accordance with the following formula — </w:t>
      </w:r>
    </w:p>
    <w:p>
      <w:pPr>
        <w:pStyle w:val="zySubsection"/>
      </w:pPr>
      <w:r>
        <w:tab/>
      </w:r>
      <w:r>
        <w:tab/>
      </w:r>
      <w:r>
        <w:rPr>
          <w:b/>
          <w:bCs/>
        </w:rPr>
        <w:t>T</w:t>
      </w:r>
      <w:r>
        <w:t xml:space="preserve"> + </w:t>
      </w:r>
      <w:r>
        <w:rPr>
          <w:b/>
          <w:bCs/>
        </w:rPr>
        <w:t>Q</w:t>
      </w:r>
    </w:p>
    <w:p>
      <w:pPr>
        <w:pStyle w:val="zySubsection"/>
      </w:pPr>
      <w:r>
        <w:tab/>
      </w:r>
      <w:r>
        <w:tab/>
        <w:t xml:space="preserve">where — </w:t>
      </w:r>
    </w:p>
    <w:p>
      <w:pPr>
        <w:pStyle w:val="zyIndenta"/>
      </w:pPr>
      <w:r>
        <w:rPr>
          <w:b/>
        </w:rPr>
        <w:tab/>
        <w:t>T</w:t>
      </w:r>
      <w:r>
        <w:t xml:space="preserve"> =</w:t>
      </w:r>
      <w:r>
        <w:tab/>
        <w:t>$452.80;</w:t>
      </w:r>
    </w:p>
    <w:p>
      <w:pPr>
        <w:pStyle w:val="zyIndenta"/>
      </w:pPr>
      <w:r>
        <w:rPr>
          <w:b/>
        </w:rPr>
        <w:tab/>
        <w:t>Q</w:t>
      </w:r>
      <w:r>
        <w:t xml:space="preserve"> =</w:t>
      </w:r>
      <w:r>
        <w:tab/>
        <w:t>the quantity charge calculated in accordance with the formula in item 37.</w:t>
      </w:r>
    </w:p>
    <w:p>
      <w:pPr>
        <w:pStyle w:val="zyHeading5"/>
      </w:pPr>
      <w:r>
        <w:t>35.</w:t>
      </w:r>
      <w:r>
        <w:tab/>
        <w:t>Limit on increase</w:t>
      </w:r>
    </w:p>
    <w:p>
      <w:pPr>
        <w:pStyle w:val="zySubsection"/>
      </w:pPr>
      <w:r>
        <w:tab/>
      </w:r>
      <w:r>
        <w:tab/>
        <w:t xml:space="preserve">For the </w:t>
      </w:r>
      <w:r>
        <w:rPr>
          <w:spacing w:val="-1"/>
        </w:rPr>
        <w:t>purposes</w:t>
      </w:r>
      <w:r>
        <w:t xml:space="preserve"> of this Division, the maximum charge (</w:t>
      </w:r>
      <w:r>
        <w:rPr>
          <w:rStyle w:val="CharDefText"/>
        </w:rPr>
        <w:t>R</w:t>
      </w:r>
      <w:r>
        <w:t xml:space="preserve">) is calculated in accordance with the following formula — </w:t>
      </w:r>
    </w:p>
    <w:p>
      <w:pPr>
        <w:pStyle w:val="zySubsection"/>
      </w:pPr>
      <w:r>
        <w:tab/>
      </w:r>
      <w:r>
        <w:tab/>
        <w:t>If (</w:t>
      </w:r>
      <w:r>
        <w:rPr>
          <w:b/>
        </w:rPr>
        <w:t>P</w:t>
      </w:r>
      <w:r>
        <w:t xml:space="preserve"> + </w:t>
      </w:r>
      <w:r>
        <w:rPr>
          <w:b/>
        </w:rPr>
        <w:t>Q</w:t>
      </w:r>
      <w:r>
        <w:t xml:space="preserve">) </w:t>
      </w:r>
      <w:r>
        <w:sym w:font="Symbol" w:char="F02D"/>
      </w:r>
      <w:r>
        <w:t xml:space="preserve"> </w:t>
      </w:r>
      <w:r>
        <w:rPr>
          <w:b/>
        </w:rPr>
        <w:t>A</w:t>
      </w:r>
      <w:r>
        <w:t xml:space="preserve"> &gt; </w:t>
      </w:r>
      <w:r>
        <w:rPr>
          <w:b/>
        </w:rPr>
        <w:t>B</w:t>
      </w:r>
      <w:r>
        <w:t xml:space="preserve">, then — </w:t>
      </w:r>
    </w:p>
    <w:p>
      <w:pPr>
        <w:pStyle w:val="zySubsection"/>
      </w:pPr>
      <w:r>
        <w:tab/>
      </w:r>
      <w:r>
        <w:tab/>
        <w:t>if (</w:t>
      </w:r>
      <w:r>
        <w:rPr>
          <w:b/>
        </w:rPr>
        <w:t>A</w:t>
      </w:r>
      <w:r>
        <w:t xml:space="preserve"> </w:t>
      </w:r>
      <w:r>
        <w:sym w:font="Symbol" w:char="F0B4"/>
      </w:r>
      <w:r>
        <w:t xml:space="preserve"> </w:t>
      </w:r>
      <w:r>
        <w:rPr>
          <w:b/>
        </w:rPr>
        <w:t>S</w:t>
      </w:r>
      <w:r>
        <w:t>) &gt; (</w:t>
      </w:r>
      <w:r>
        <w:rPr>
          <w:b/>
        </w:rPr>
        <w:t>A</w:t>
      </w:r>
      <w:r>
        <w:t xml:space="preserve"> + </w:t>
      </w:r>
      <w:r>
        <w:rPr>
          <w:b/>
        </w:rPr>
        <w:t>J</w:t>
      </w:r>
      <w:r>
        <w:t>), then</w:t>
      </w:r>
    </w:p>
    <w:p>
      <w:pPr>
        <w:pStyle w:val="zySubsection"/>
        <w:rPr>
          <w:b/>
        </w:rPr>
      </w:pPr>
      <w:r>
        <w:rPr>
          <w:b/>
        </w:rPr>
        <w:tab/>
      </w:r>
      <w:r>
        <w:rPr>
          <w:b/>
        </w:rPr>
        <w:tab/>
      </w:r>
      <w:r>
        <w:t>(</w:t>
      </w:r>
      <w:r>
        <w:rPr>
          <w:b/>
        </w:rPr>
        <w:t>A</w:t>
      </w:r>
      <w:r>
        <w:rPr>
          <w:bCs/>
        </w:rPr>
        <w:t xml:space="preserve"> </w:t>
      </w:r>
      <w:r>
        <w:rPr>
          <w:bCs/>
        </w:rPr>
        <w:sym w:font="Symbol" w:char="F0B4"/>
      </w:r>
      <w:r>
        <w:rPr>
          <w:bCs/>
        </w:rPr>
        <w:t xml:space="preserve"> </w:t>
      </w:r>
      <w:r>
        <w:rPr>
          <w:b/>
        </w:rPr>
        <w:t>S</w:t>
      </w:r>
      <w:r>
        <w:t>)</w:t>
      </w:r>
    </w:p>
    <w:p>
      <w:pPr>
        <w:pStyle w:val="zySubsection"/>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J</w:t>
      </w:r>
      <w:r>
        <w:t>), then</w:t>
      </w:r>
    </w:p>
    <w:p>
      <w:pPr>
        <w:pStyle w:val="zySubsection"/>
      </w:pPr>
      <w:r>
        <w:rPr>
          <w:b/>
        </w:rPr>
        <w:tab/>
      </w:r>
      <w:r>
        <w:rPr>
          <w:b/>
        </w:rPr>
        <w:tab/>
      </w:r>
      <w:r>
        <w:t>(</w:t>
      </w:r>
      <w:r>
        <w:rPr>
          <w:b/>
        </w:rPr>
        <w:t xml:space="preserve">A </w:t>
      </w:r>
      <w:r>
        <w:t xml:space="preserve">+ </w:t>
      </w:r>
      <w:r>
        <w:rPr>
          <w:b/>
        </w:rPr>
        <w:t>J</w:t>
      </w:r>
      <w:r>
        <w:t>)</w:t>
      </w:r>
    </w:p>
    <w:p>
      <w:pPr>
        <w:pStyle w:val="zySubsection"/>
      </w:pPr>
      <w:r>
        <w:tab/>
      </w:r>
      <w:r>
        <w:tab/>
        <w:t>or if (</w:t>
      </w:r>
      <w:r>
        <w:rPr>
          <w:b/>
        </w:rPr>
        <w:t>P</w:t>
      </w:r>
      <w:r>
        <w:t xml:space="preserve"> + </w:t>
      </w:r>
      <w:r>
        <w:rPr>
          <w:b/>
        </w:rPr>
        <w:t>Q</w:t>
      </w:r>
      <w:r>
        <w:t xml:space="preserve">) </w:t>
      </w:r>
      <w:r>
        <w:sym w:font="Symbol" w:char="F02D"/>
      </w:r>
      <w:r>
        <w:t xml:space="preserve"> </w:t>
      </w:r>
      <w:r>
        <w:rPr>
          <w:b/>
        </w:rPr>
        <w:t>A</w:t>
      </w:r>
      <w:r>
        <w:t xml:space="preserve"> </w:t>
      </w:r>
      <w:r>
        <w:sym w:font="Symbol" w:char="F0A3"/>
      </w:r>
      <w:r>
        <w:t xml:space="preserve"> </w:t>
      </w:r>
      <w:r>
        <w:rPr>
          <w:b/>
        </w:rPr>
        <w:t>B</w:t>
      </w:r>
      <w:r>
        <w:t xml:space="preserve">, then — </w:t>
      </w:r>
    </w:p>
    <w:p>
      <w:pPr>
        <w:pStyle w:val="zySubsection"/>
      </w:pPr>
      <w:r>
        <w:tab/>
      </w:r>
      <w:r>
        <w:tab/>
        <w:t>if (</w:t>
      </w:r>
      <w:r>
        <w:rPr>
          <w:b/>
        </w:rPr>
        <w:t>A</w:t>
      </w:r>
      <w:r>
        <w:t xml:space="preserve"> </w:t>
      </w:r>
      <w:r>
        <w:sym w:font="Symbol" w:char="F0B4"/>
      </w:r>
      <w:r>
        <w:t xml:space="preserve"> </w:t>
      </w:r>
      <w:r>
        <w:rPr>
          <w:b/>
        </w:rPr>
        <w:t>S</w:t>
      </w:r>
      <w:r>
        <w:t>) &gt;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then</w:t>
      </w:r>
    </w:p>
    <w:p>
      <w:pPr>
        <w:pStyle w:val="zySubsection"/>
      </w:pPr>
      <w:r>
        <w:rPr>
          <w:b/>
        </w:rPr>
        <w:tab/>
      </w:r>
      <w:r>
        <w:rPr>
          <w:b/>
        </w:rPr>
        <w:tab/>
      </w:r>
      <w:r>
        <w:t>(</w:t>
      </w:r>
      <w:r>
        <w:rPr>
          <w:b/>
        </w:rPr>
        <w:t>A</w:t>
      </w:r>
      <w:r>
        <w:rPr>
          <w:bCs/>
        </w:rPr>
        <w:t xml:space="preserve"> </w:t>
      </w:r>
      <w:r>
        <w:rPr>
          <w:bCs/>
        </w:rPr>
        <w:sym w:font="Symbol" w:char="F0B4"/>
      </w:r>
      <w:r>
        <w:rPr>
          <w:bCs/>
        </w:rPr>
        <w:t xml:space="preserve"> </w:t>
      </w:r>
      <w:r>
        <w:rPr>
          <w:b/>
        </w:rPr>
        <w:t>S</w:t>
      </w:r>
      <w:r>
        <w:t>)</w:t>
      </w:r>
    </w:p>
    <w:p>
      <w:pPr>
        <w:pStyle w:val="zySubsection"/>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xml:space="preserve">], then — </w:t>
      </w:r>
    </w:p>
    <w:p>
      <w:pPr>
        <w:pStyle w:val="zySubsection"/>
      </w:pPr>
      <w:r>
        <w:rPr>
          <w:b/>
        </w:rPr>
        <w:tab/>
      </w:r>
      <w:r>
        <w:rPr>
          <w:b/>
        </w:rPr>
        <w:tab/>
      </w:r>
      <w:r>
        <w:t>[</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w:t>
      </w:r>
    </w:p>
    <w:p>
      <w:pPr>
        <w:pStyle w:val="zySubsection"/>
      </w:pPr>
      <w:r>
        <w:tab/>
      </w:r>
      <w:r>
        <w:tab/>
        <w:t xml:space="preserve">where — </w:t>
      </w:r>
    </w:p>
    <w:p>
      <w:pPr>
        <w:pStyle w:val="zyIndenta"/>
      </w:pPr>
      <w:r>
        <w:rPr>
          <w:b/>
        </w:rPr>
        <w:tab/>
        <w:t>P</w:t>
      </w:r>
      <w:r>
        <w:t xml:space="preserve"> =</w:t>
      </w:r>
      <w:r>
        <w:tab/>
        <w:t>the target annual charge, based on the number of major fixtures calculated using the Table in item 36;</w:t>
      </w:r>
    </w:p>
    <w:p>
      <w:pPr>
        <w:pStyle w:val="zyIndenta"/>
      </w:pPr>
      <w:r>
        <w:rPr>
          <w:b/>
        </w:rPr>
        <w:tab/>
        <w:t>Q</w:t>
      </w:r>
      <w:r>
        <w:t xml:space="preserve"> =</w:t>
      </w:r>
      <w:r>
        <w:tab/>
        <w:t>the ultimate discharge charge calculated using the formula in item 37, except that the discharge allowance calculated in accordance with item 38(a) is 200 kL;</w:t>
      </w:r>
    </w:p>
    <w:p>
      <w:pPr>
        <w:pStyle w:val="zyIndenta"/>
      </w:pPr>
      <w:r>
        <w:rPr>
          <w:b/>
        </w:rPr>
        <w:tab/>
        <w:t>A</w:t>
      </w:r>
      <w:r>
        <w:t xml:space="preserve"> =</w:t>
      </w:r>
      <w:r>
        <w:tab/>
        <w:t>the equivalent full year charge payable in the 2011/2012 year;</w:t>
      </w:r>
    </w:p>
    <w:p>
      <w:pPr>
        <w:pStyle w:val="zyIndenta"/>
      </w:pPr>
      <w:r>
        <w:rPr>
          <w:b/>
        </w:rPr>
        <w:tab/>
        <w:t>S</w:t>
      </w:r>
      <w:r>
        <w:t xml:space="preserve"> =</w:t>
      </w:r>
      <w:r>
        <w:tab/>
        <w:t>1.136;</w:t>
      </w:r>
    </w:p>
    <w:p>
      <w:pPr>
        <w:pStyle w:val="zyIndenta"/>
      </w:pPr>
      <w:r>
        <w:rPr>
          <w:b/>
        </w:rPr>
        <w:tab/>
        <w:t>B</w:t>
      </w:r>
      <w:r>
        <w:t xml:space="preserve"> =</w:t>
      </w:r>
      <w:r>
        <w:tab/>
        <w:t>$166.67;</w:t>
      </w:r>
    </w:p>
    <w:p>
      <w:pPr>
        <w:pStyle w:val="zyIndenta"/>
      </w:pPr>
      <w:r>
        <w:rPr>
          <w:b/>
        </w:rPr>
        <w:tab/>
        <w:t>J</w:t>
      </w:r>
      <w:r>
        <w:t xml:space="preserve"> =</w:t>
      </w:r>
      <w:r>
        <w:tab/>
        <w:t>$166.67;</w:t>
      </w:r>
    </w:p>
    <w:p>
      <w:pPr>
        <w:pStyle w:val="zyIndenta"/>
      </w:pPr>
      <w:r>
        <w:rPr>
          <w:b/>
        </w:rPr>
        <w:tab/>
        <w:t>O</w:t>
      </w:r>
      <w:r>
        <w:t xml:space="preserve"> =</w:t>
      </w:r>
      <w:r>
        <w:tab/>
        <w:t>1.</w:t>
      </w:r>
    </w:p>
    <w:p>
      <w:pPr>
        <w:pStyle w:val="yFootnotesection"/>
      </w:pPr>
      <w:r>
        <w:tab/>
        <w:t>[Division 7 inserted in Gazette 20 Jun 2012 p. 2743</w:t>
      </w:r>
      <w:r>
        <w:noBreakHyphen/>
        <w:t>7.]</w:t>
      </w:r>
    </w:p>
    <w:p>
      <w:pPr>
        <w:pStyle w:val="yHeading3"/>
        <w:rPr>
          <w:rStyle w:val="CharSDivNo"/>
        </w:rPr>
      </w:pPr>
      <w:bookmarkStart w:id="695" w:name="_Toc328403454"/>
      <w:bookmarkStart w:id="696" w:name="_Toc328471503"/>
      <w:r>
        <w:rPr>
          <w:rStyle w:val="CharSDivNo"/>
        </w:rPr>
        <w:t>Division 8 </w:t>
      </w:r>
      <w:r>
        <w:t>—</w:t>
      </w:r>
      <w:r>
        <w:rPr>
          <w:rStyle w:val="CharSDivNo"/>
        </w:rPr>
        <w:t> </w:t>
      </w:r>
      <w:r>
        <w:rPr>
          <w:rStyle w:val="CharSDivText"/>
        </w:rPr>
        <w:t>Computation of combined charges for country</w:t>
      </w:r>
      <w:bookmarkEnd w:id="695"/>
      <w:bookmarkEnd w:id="696"/>
    </w:p>
    <w:p>
      <w:pPr>
        <w:pStyle w:val="yFootnoteheading"/>
        <w:keepNext/>
        <w:spacing w:after="60"/>
        <w:rPr>
          <w:rStyle w:val="CharSDivNo"/>
        </w:rPr>
      </w:pPr>
      <w:r>
        <w:tab/>
        <w:t>[Heading inserted in Gazette 20 Jun 2012 p. 2747.]</w:t>
      </w:r>
    </w:p>
    <w:p>
      <w:pPr>
        <w:pStyle w:val="zyHeading5"/>
      </w:pPr>
      <w:r>
        <w:t>36.</w:t>
      </w:r>
      <w:r>
        <w:tab/>
        <w:t>Formula for annual charge</w:t>
      </w:r>
    </w:p>
    <w:p>
      <w:pPr>
        <w:pStyle w:val="zySubsection"/>
      </w:pPr>
      <w:r>
        <w:tab/>
      </w:r>
      <w:r>
        <w:tab/>
        <w:t xml:space="preserve">For the </w:t>
      </w:r>
      <w:r>
        <w:rPr>
          <w:spacing w:val="-1"/>
        </w:rPr>
        <w:t>purposes</w:t>
      </w:r>
      <w:r>
        <w:t xml:space="preserve"> of Division 7, the annual charge (</w:t>
      </w:r>
      <w:r>
        <w:rPr>
          <w:rStyle w:val="CharDefText"/>
        </w:rPr>
        <w:t>P</w:t>
      </w:r>
      <w:r>
        <w:t xml:space="preserve">) is calculated according to the following formula — </w:t>
      </w:r>
    </w:p>
    <w:p>
      <w:pPr>
        <w:pStyle w:val="zySubsection"/>
      </w:pPr>
      <w:r>
        <w:tab/>
      </w:r>
      <w:r>
        <w:tab/>
        <w:t xml:space="preserve">If </w:t>
      </w:r>
      <w:r>
        <w:rPr>
          <w:b/>
        </w:rPr>
        <w:t>A</w:t>
      </w:r>
      <w:r>
        <w:t xml:space="preserve"> </w:t>
      </w:r>
      <w:r>
        <w:sym w:font="Symbol" w:char="F0A3"/>
      </w:r>
      <w:r>
        <w:t xml:space="preserve"> (</w:t>
      </w:r>
      <w:r>
        <w:rPr>
          <w:b/>
        </w:rPr>
        <w:t>C</w:t>
      </w:r>
      <w:r>
        <w:t xml:space="preserve"> + </w:t>
      </w:r>
      <w:r>
        <w:rPr>
          <w:b/>
        </w:rPr>
        <w:t>D</w:t>
      </w:r>
      <w:r>
        <w:t xml:space="preserve">), then — </w:t>
      </w:r>
    </w:p>
    <w:p>
      <w:pPr>
        <w:pStyle w:val="zySubsection"/>
        <w:rPr>
          <w:b/>
        </w:rPr>
      </w:pPr>
      <w:r>
        <w:tab/>
      </w:r>
      <w:r>
        <w:tab/>
      </w:r>
      <w:r>
        <w:rPr>
          <w:b/>
        </w:rPr>
        <w:t>X</w:t>
      </w:r>
    </w:p>
    <w:p>
      <w:pPr>
        <w:pStyle w:val="zySubsection"/>
      </w:pPr>
      <w:r>
        <w:tab/>
      </w:r>
      <w:r>
        <w:tab/>
        <w:t xml:space="preserve">or if </w:t>
      </w:r>
      <w:r>
        <w:rPr>
          <w:b/>
        </w:rPr>
        <w:t>A</w:t>
      </w:r>
      <w:r>
        <w:t xml:space="preserve"> &gt; (</w:t>
      </w:r>
      <w:r>
        <w:rPr>
          <w:b/>
        </w:rPr>
        <w:t>C</w:t>
      </w:r>
      <w:r>
        <w:t xml:space="preserve"> + </w:t>
      </w:r>
      <w:r>
        <w:rPr>
          <w:b/>
        </w:rPr>
        <w:t>D</w:t>
      </w:r>
      <w:r>
        <w:t xml:space="preserve">), then — </w:t>
      </w:r>
    </w:p>
    <w:p>
      <w:pPr>
        <w:pStyle w:val="zySubsection"/>
      </w:pPr>
      <w:r>
        <w:tab/>
      </w:r>
      <w:r>
        <w:tab/>
      </w:r>
      <w:r>
        <w:rPr>
          <w:b/>
        </w:rPr>
        <w:t>A</w:t>
      </w:r>
      <w:r>
        <w:t xml:space="preserve"> – [{</w:t>
      </w:r>
      <w:r>
        <w:rPr>
          <w:b/>
        </w:rPr>
        <w:t xml:space="preserve">A </w:t>
      </w:r>
      <w:r>
        <w:t>– (</w:t>
      </w:r>
      <w:r>
        <w:rPr>
          <w:b/>
        </w:rPr>
        <w:t>C</w:t>
      </w:r>
      <w:r>
        <w:t xml:space="preserve"> + </w:t>
      </w:r>
      <w:r>
        <w:rPr>
          <w:b/>
        </w:rPr>
        <w:t>D</w:t>
      </w:r>
      <w:r>
        <w:t xml:space="preserve">)} / </w:t>
      </w:r>
      <w:r>
        <w:rPr>
          <w:b/>
        </w:rPr>
        <w:t>E</w:t>
      </w:r>
      <w:r>
        <w:t>]</w:t>
      </w:r>
    </w:p>
    <w:p>
      <w:pPr>
        <w:pStyle w:val="zySubsection"/>
      </w:pPr>
      <w:r>
        <w:tab/>
      </w:r>
      <w:r>
        <w:tab/>
        <w:t xml:space="preserve">where — </w:t>
      </w:r>
    </w:p>
    <w:p>
      <w:pPr>
        <w:pStyle w:val="zyIndenta"/>
      </w:pPr>
      <w:r>
        <w:rPr>
          <w:b/>
        </w:rPr>
        <w:tab/>
        <w:t>A</w:t>
      </w:r>
      <w:r>
        <w:t xml:space="preserve"> =</w:t>
      </w:r>
      <w:r>
        <w:tab/>
        <w:t>the equivalent amount payable in the 2011/2012 year;</w:t>
      </w:r>
    </w:p>
    <w:p>
      <w:pPr>
        <w:pStyle w:val="zyIndenta"/>
      </w:pPr>
      <w:r>
        <w:rPr>
          <w:b/>
        </w:rPr>
        <w:tab/>
        <w:t>C</w:t>
      </w:r>
      <w:r>
        <w:t xml:space="preserve"> =</w:t>
      </w:r>
      <w:r>
        <w:tab/>
        <w:t>the charge payable for the relevant number of major fixtures for the 2012/2013 year as set out in the Table;</w:t>
      </w:r>
    </w:p>
    <w:p>
      <w:pPr>
        <w:pStyle w:val="zyIndenta"/>
      </w:pPr>
      <w:r>
        <w:rPr>
          <w:b/>
        </w:rPr>
        <w:tab/>
        <w:t>D</w:t>
      </w:r>
      <w:r>
        <w:t xml:space="preserve"> =</w:t>
      </w:r>
      <w:r>
        <w:tab/>
        <w:t>the ultimate discharge charge;</w:t>
      </w:r>
    </w:p>
    <w:p>
      <w:pPr>
        <w:pStyle w:val="zyIndenta"/>
      </w:pPr>
      <w:r>
        <w:rPr>
          <w:b/>
        </w:rPr>
        <w:tab/>
        <w:t>E</w:t>
      </w:r>
      <w:r>
        <w:t xml:space="preserve"> =</w:t>
      </w:r>
      <w:r>
        <w:tab/>
        <w:t>1;</w:t>
      </w:r>
    </w:p>
    <w:p>
      <w:pPr>
        <w:pStyle w:val="zyIndenta"/>
      </w:pPr>
      <w:r>
        <w:rPr>
          <w:b/>
        </w:rPr>
        <w:tab/>
        <w:t>X</w:t>
      </w:r>
      <w:r>
        <w:t xml:space="preserve"> =</w:t>
      </w:r>
      <w:r>
        <w:tab/>
        <w:t>the amount specified in relation to the 2012/2013 year for the relevant number of major fixtures as set out in the Table.</w:t>
      </w:r>
    </w:p>
    <w:p>
      <w:pPr>
        <w:pStyle w:val="yTHeadingNAm"/>
        <w:keepLines/>
      </w:pPr>
      <w:r>
        <w:rPr>
          <w:bCs w:val="0"/>
        </w:rPr>
        <w:t>Table of major fixture</w:t>
      </w:r>
      <w:r>
        <w:rPr>
          <w:bCs w:val="0"/>
        </w:rPr>
        <w:noBreakHyphen/>
        <w:t>based minimum charges</w:t>
      </w:r>
      <w:r>
        <w:rPr>
          <w:bCs w:val="0"/>
        </w:rPr>
        <w:br/>
        <w:t>(</w:t>
      </w:r>
      <w:r>
        <w:rPr>
          <w:bCs w:val="0"/>
          <w:iCs/>
        </w:rPr>
        <w:t>per fixture</w:t>
      </w:r>
      <w:r>
        <w:rPr>
          <w:bCs w:val="0"/>
        </w:rPr>
        <w:t>)</w:t>
      </w:r>
    </w:p>
    <w:tbl>
      <w:tblPr>
        <w:tblW w:w="0" w:type="auto"/>
        <w:tblInd w:w="910" w:type="dxa"/>
        <w:tblLayout w:type="fixed"/>
        <w:tblCellMar>
          <w:left w:w="28" w:type="dxa"/>
          <w:right w:w="28" w:type="dxa"/>
        </w:tblCellMar>
        <w:tblLook w:val="0000" w:firstRow="0" w:lastRow="0" w:firstColumn="0" w:lastColumn="0" w:noHBand="0" w:noVBand="0"/>
      </w:tblPr>
      <w:tblGrid>
        <w:gridCol w:w="2961"/>
        <w:gridCol w:w="2961"/>
      </w:tblGrid>
      <w:tr>
        <w:trPr>
          <w:cantSplit/>
          <w:tblHeader/>
        </w:trPr>
        <w:tc>
          <w:tcPr>
            <w:tcW w:w="2961" w:type="dxa"/>
            <w:tcBorders>
              <w:top w:val="single" w:sz="4" w:space="0" w:color="auto"/>
              <w:bottom w:val="single" w:sz="4" w:space="0" w:color="auto"/>
            </w:tcBorders>
          </w:tcPr>
          <w:p>
            <w:pPr>
              <w:pStyle w:val="yTableNAm"/>
              <w:keepNext/>
              <w:keepLines/>
              <w:jc w:val="center"/>
              <w:rPr>
                <w:b/>
                <w:bCs/>
              </w:rPr>
            </w:pPr>
            <w:r>
              <w:rPr>
                <w:b/>
                <w:bCs/>
              </w:rPr>
              <w:t>No. of fixtures</w:t>
            </w:r>
          </w:p>
        </w:tc>
        <w:tc>
          <w:tcPr>
            <w:tcW w:w="2961" w:type="dxa"/>
            <w:tcBorders>
              <w:top w:val="single" w:sz="4" w:space="0" w:color="auto"/>
              <w:bottom w:val="single" w:sz="4" w:space="0" w:color="auto"/>
            </w:tcBorders>
          </w:tcPr>
          <w:p>
            <w:pPr>
              <w:pStyle w:val="yTableNAm"/>
              <w:keepNext/>
              <w:keepLines/>
              <w:jc w:val="center"/>
              <w:rPr>
                <w:b/>
                <w:bCs/>
              </w:rPr>
            </w:pPr>
            <w:r>
              <w:rPr>
                <w:b/>
                <w:bCs/>
              </w:rPr>
              <w:t>Charges</w:t>
            </w:r>
            <w:r>
              <w:rPr>
                <w:b/>
                <w:bCs/>
              </w:rPr>
              <w:br/>
              <w:t>$</w:t>
            </w:r>
          </w:p>
        </w:tc>
      </w:tr>
      <w:tr>
        <w:trPr>
          <w:cantSplit/>
        </w:trPr>
        <w:tc>
          <w:tcPr>
            <w:tcW w:w="2961" w:type="dxa"/>
          </w:tcPr>
          <w:p>
            <w:pPr>
              <w:pStyle w:val="yTableNAm"/>
              <w:jc w:val="center"/>
            </w:pPr>
            <w:r>
              <w:t>1</w:t>
            </w:r>
          </w:p>
        </w:tc>
        <w:tc>
          <w:tcPr>
            <w:tcW w:w="2961" w:type="dxa"/>
            <w:vAlign w:val="bottom"/>
          </w:tcPr>
          <w:p>
            <w:pPr>
              <w:pStyle w:val="yTableNAm"/>
              <w:jc w:val="center"/>
            </w:pPr>
            <w:r>
              <w:t>728.40</w:t>
            </w:r>
          </w:p>
        </w:tc>
      </w:tr>
      <w:tr>
        <w:trPr>
          <w:cantSplit/>
        </w:trPr>
        <w:tc>
          <w:tcPr>
            <w:tcW w:w="2961" w:type="dxa"/>
          </w:tcPr>
          <w:p>
            <w:pPr>
              <w:pStyle w:val="yTableNAm"/>
              <w:jc w:val="center"/>
            </w:pPr>
            <w:r>
              <w:t>2</w:t>
            </w:r>
          </w:p>
        </w:tc>
        <w:tc>
          <w:tcPr>
            <w:tcW w:w="2961" w:type="dxa"/>
            <w:vAlign w:val="bottom"/>
          </w:tcPr>
          <w:p>
            <w:pPr>
              <w:pStyle w:val="yTableNAm"/>
              <w:jc w:val="center"/>
            </w:pPr>
            <w:r>
              <w:t>311.80</w:t>
            </w:r>
          </w:p>
        </w:tc>
      </w:tr>
      <w:tr>
        <w:trPr>
          <w:cantSplit/>
        </w:trPr>
        <w:tc>
          <w:tcPr>
            <w:tcW w:w="2961" w:type="dxa"/>
          </w:tcPr>
          <w:p>
            <w:pPr>
              <w:pStyle w:val="yTableNAm"/>
              <w:jc w:val="center"/>
            </w:pPr>
            <w:r>
              <w:t>3</w:t>
            </w:r>
          </w:p>
        </w:tc>
        <w:tc>
          <w:tcPr>
            <w:tcW w:w="2961" w:type="dxa"/>
            <w:vAlign w:val="bottom"/>
          </w:tcPr>
          <w:p>
            <w:pPr>
              <w:pStyle w:val="yTableNAm"/>
              <w:jc w:val="center"/>
            </w:pPr>
            <w:r>
              <w:t>416.40</w:t>
            </w:r>
          </w:p>
        </w:tc>
      </w:tr>
      <w:tr>
        <w:trPr>
          <w:cantSplit/>
        </w:trPr>
        <w:tc>
          <w:tcPr>
            <w:tcW w:w="2961" w:type="dxa"/>
            <w:tcBorders>
              <w:bottom w:val="single" w:sz="4" w:space="0" w:color="auto"/>
            </w:tcBorders>
          </w:tcPr>
          <w:p>
            <w:pPr>
              <w:pStyle w:val="yTableNAm"/>
              <w:jc w:val="center"/>
            </w:pPr>
            <w:r>
              <w:t>4+</w:t>
            </w:r>
          </w:p>
        </w:tc>
        <w:tc>
          <w:tcPr>
            <w:tcW w:w="2961" w:type="dxa"/>
            <w:tcBorders>
              <w:bottom w:val="single" w:sz="4" w:space="0" w:color="auto"/>
            </w:tcBorders>
            <w:vAlign w:val="bottom"/>
          </w:tcPr>
          <w:p>
            <w:pPr>
              <w:pStyle w:val="yTableNAm"/>
              <w:jc w:val="center"/>
            </w:pPr>
            <w:r>
              <w:t>452.80</w:t>
            </w:r>
          </w:p>
        </w:tc>
      </w:tr>
    </w:tbl>
    <w:p>
      <w:pPr>
        <w:pStyle w:val="zyHeading5"/>
      </w:pPr>
      <w:r>
        <w:t>37.</w:t>
      </w:r>
      <w:r>
        <w:tab/>
        <w:t>Formula for quantity charge</w:t>
      </w:r>
    </w:p>
    <w:p>
      <w:pPr>
        <w:pStyle w:val="zySubsection"/>
        <w:rPr>
          <w:snapToGrid w:val="0"/>
        </w:rPr>
      </w:pPr>
      <w:r>
        <w:rPr>
          <w:snapToGrid w:val="0"/>
        </w:rPr>
        <w:tab/>
      </w:r>
      <w:r>
        <w:rPr>
          <w:snapToGrid w:val="0"/>
        </w:rPr>
        <w:tab/>
        <w:t xml:space="preserve">For the purposes of </w:t>
      </w:r>
      <w:r>
        <w:rPr>
          <w:spacing w:val="-1"/>
        </w:rPr>
        <w:t>Division</w:t>
      </w:r>
      <w:r>
        <w:t> 7</w:t>
      </w:r>
      <w:r>
        <w:rPr>
          <w:snapToGrid w:val="0"/>
        </w:rPr>
        <w:t>, the quantity charge (</w:t>
      </w:r>
      <w:r>
        <w:rPr>
          <w:rStyle w:val="CharDefText"/>
        </w:rPr>
        <w:t>Q</w:t>
      </w:r>
      <w:r>
        <w:rPr>
          <w:snapToGrid w:val="0"/>
        </w:rPr>
        <w:t xml:space="preserve">) is calculated in accordance with the following formula — </w:t>
      </w:r>
    </w:p>
    <w:p>
      <w:pPr>
        <w:pStyle w:val="z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xml:space="preserve">, then — </w:t>
      </w:r>
    </w:p>
    <w:p>
      <w:pPr>
        <w:pStyle w:val="zySubsection"/>
      </w:pPr>
      <w:r>
        <w:tab/>
      </w:r>
      <w:r>
        <w:tab/>
        <w:t>nil</w:t>
      </w:r>
    </w:p>
    <w:p>
      <w:pPr>
        <w:pStyle w:val="zySubsection"/>
      </w:pPr>
      <w:r>
        <w:tab/>
      </w:r>
      <w:r>
        <w:tab/>
        <w:t>or if (</w:t>
      </w:r>
      <w:r>
        <w:rPr>
          <w:b/>
        </w:rPr>
        <w:t xml:space="preserve">F </w:t>
      </w:r>
      <w:r>
        <w:sym w:font="Symbol" w:char="F0B4"/>
      </w:r>
      <w:r>
        <w:t xml:space="preserve"> </w:t>
      </w:r>
      <w:r>
        <w:rPr>
          <w:b/>
        </w:rPr>
        <w:t>G</w:t>
      </w:r>
      <w:r>
        <w:t xml:space="preserve">) &gt; </w:t>
      </w:r>
      <w:r>
        <w:rPr>
          <w:b/>
        </w:rPr>
        <w:t>H</w:t>
      </w:r>
      <w:r>
        <w:t xml:space="preserve">, then — </w:t>
      </w:r>
    </w:p>
    <w:p>
      <w:pPr>
        <w:pStyle w:val="zySubsection"/>
      </w:pP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zySubsection"/>
      </w:pPr>
      <w:r>
        <w:tab/>
      </w:r>
      <w:r>
        <w:tab/>
        <w:t xml:space="preserve">where — </w:t>
      </w:r>
    </w:p>
    <w:p>
      <w:pPr>
        <w:pStyle w:val="zyIndenta"/>
      </w:pPr>
      <w:r>
        <w:rPr>
          <w:b/>
        </w:rPr>
        <w:tab/>
        <w:t>F</w:t>
      </w:r>
      <w:r>
        <w:t xml:space="preserve"> =</w:t>
      </w:r>
      <w:r>
        <w:tab/>
        <w:t>the volume of water delivered to the property in the 2012/2013 year;</w:t>
      </w:r>
    </w:p>
    <w:p>
      <w:pPr>
        <w:pStyle w:val="zyIndenta"/>
      </w:pPr>
      <w:r>
        <w:rPr>
          <w:b/>
        </w:rPr>
        <w:tab/>
        <w:t>G</w:t>
      </w:r>
      <w:r>
        <w:t xml:space="preserve"> =</w:t>
      </w:r>
      <w:r>
        <w:tab/>
        <w:t>the discharge factor set for the property for the 2012/2013 year;</w:t>
      </w:r>
    </w:p>
    <w:p>
      <w:pPr>
        <w:pStyle w:val="zyIndenta"/>
      </w:pPr>
      <w:r>
        <w:rPr>
          <w:b/>
        </w:rPr>
        <w:tab/>
        <w:t>H</w:t>
      </w:r>
      <w:r>
        <w:t xml:space="preserve"> =</w:t>
      </w:r>
      <w:r>
        <w:tab/>
        <w:t>the discharge allowance for the 2012/2013 year calculated in accordance with item 38;</w:t>
      </w:r>
    </w:p>
    <w:p>
      <w:pPr>
        <w:pStyle w:val="zyIndenta"/>
      </w:pPr>
      <w:r>
        <w:rPr>
          <w:b/>
        </w:rPr>
        <w:tab/>
        <w:t>I</w:t>
      </w:r>
      <w:r>
        <w:t xml:space="preserve"> =</w:t>
      </w:r>
      <w:r>
        <w:tab/>
        <w:t>2.677,</w:t>
      </w:r>
    </w:p>
    <w:p>
      <w:pPr>
        <w:pStyle w:val="zySubsection"/>
      </w:pPr>
      <w:r>
        <w:tab/>
      </w:r>
      <w:r>
        <w:tab/>
        <w:t xml:space="preserve">and </w:t>
      </w:r>
      <w:r>
        <w:rPr>
          <w:snapToGrid w:val="0"/>
        </w:rPr>
        <w:t>where</w:t>
      </w:r>
      <w:r>
        <w:t xml:space="preserve"> only the integer value (i.e. rounded down to the nearest whole number) of (</w:t>
      </w:r>
      <w:r>
        <w:rPr>
          <w:b/>
        </w:rPr>
        <w:t>F</w:t>
      </w:r>
      <w:r>
        <w:t xml:space="preserve"> </w:t>
      </w:r>
      <w:r>
        <w:sym w:font="Symbol" w:char="F0B4"/>
      </w:r>
      <w:r>
        <w:t xml:space="preserve"> </w:t>
      </w:r>
      <w:r>
        <w:rPr>
          <w:b/>
        </w:rPr>
        <w:t>G</w:t>
      </w:r>
      <w:r>
        <w:t xml:space="preserve">) – </w:t>
      </w:r>
      <w:r>
        <w:rPr>
          <w:b/>
        </w:rPr>
        <w:t>H</w:t>
      </w:r>
      <w:r>
        <w:t xml:space="preserve"> is to be used in calculating the final charge.</w:t>
      </w:r>
    </w:p>
    <w:p>
      <w:pPr>
        <w:pStyle w:val="zyHeading5"/>
      </w:pPr>
      <w:r>
        <w:t>38.</w:t>
      </w:r>
      <w:r>
        <w:tab/>
        <w:t>Discharge allowance</w:t>
      </w:r>
    </w:p>
    <w:p>
      <w:pPr>
        <w:pStyle w:val="zySubsection"/>
        <w:rPr>
          <w:snapToGrid w:val="0"/>
        </w:rPr>
      </w:pPr>
      <w:r>
        <w:rPr>
          <w:snapToGrid w:val="0"/>
        </w:rPr>
        <w:tab/>
      </w:r>
      <w:r>
        <w:rPr>
          <w:snapToGrid w:val="0"/>
        </w:rPr>
        <w:tab/>
        <w:t xml:space="preserve">For the purposes of item 37, the discharge allowance is — </w:t>
      </w:r>
    </w:p>
    <w:p>
      <w:pPr>
        <w:pStyle w:val="zyIndenta"/>
        <w:rPr>
          <w:snapToGrid w:val="0"/>
        </w:rPr>
      </w:pPr>
      <w:r>
        <w:rPr>
          <w:snapToGrid w:val="0"/>
        </w:rPr>
        <w:tab/>
        <w:t>(a)</w:t>
      </w:r>
      <w:r>
        <w:rPr>
          <w:snapToGrid w:val="0"/>
        </w:rPr>
        <w:tab/>
        <w:t xml:space="preserve">for land to which item 35 applies that is not mentioned in paragraph (d), an amount of water in kilolitres calculated in accordance with the following formula — </w:t>
      </w:r>
    </w:p>
    <w:p>
      <w:pPr>
        <w:pStyle w:val="zyIndenta"/>
      </w:pPr>
      <w:r>
        <w:tab/>
      </w:r>
      <w:r>
        <w:tab/>
        <w:t xml:space="preserve">If </w:t>
      </w:r>
      <w:r>
        <w:rPr>
          <w:b/>
        </w:rPr>
        <w:t>X</w:t>
      </w:r>
      <w:r>
        <w:t xml:space="preserve"> </w:t>
      </w:r>
      <w:r>
        <w:sym w:font="Symbol" w:char="F0A3"/>
      </w:r>
      <w:r>
        <w:t xml:space="preserve"> </w:t>
      </w:r>
      <w:r>
        <w:rPr>
          <w:b/>
        </w:rPr>
        <w:t>C</w:t>
      </w:r>
      <w:r>
        <w:t xml:space="preserve">, then — </w:t>
      </w:r>
    </w:p>
    <w:p>
      <w:pPr>
        <w:pStyle w:val="zyIndenta"/>
        <w:rPr>
          <w:b/>
        </w:rPr>
      </w:pPr>
      <w:r>
        <w:rPr>
          <w:b/>
        </w:rPr>
        <w:tab/>
      </w:r>
      <w:r>
        <w:rPr>
          <w:b/>
        </w:rPr>
        <w:tab/>
        <w:t>L</w:t>
      </w:r>
    </w:p>
    <w:p>
      <w:pPr>
        <w:pStyle w:val="zyIndenta"/>
      </w:pPr>
      <w:r>
        <w:tab/>
      </w:r>
      <w:r>
        <w:tab/>
      </w:r>
      <w:r>
        <w:rPr>
          <w:snapToGrid w:val="0"/>
        </w:rPr>
        <w:t>or</w:t>
      </w:r>
      <w:r>
        <w:t xml:space="preserve"> if </w:t>
      </w:r>
      <w:r>
        <w:rPr>
          <w:b/>
        </w:rPr>
        <w:t>X</w:t>
      </w:r>
      <w:r>
        <w:t xml:space="preserve"> &gt; </w:t>
      </w:r>
      <w:r>
        <w:rPr>
          <w:b/>
        </w:rPr>
        <w:t>C</w:t>
      </w:r>
      <w:r>
        <w:t xml:space="preserve">, then — </w:t>
      </w:r>
    </w:p>
    <w:p>
      <w:pPr>
        <w:pStyle w:val="zyIndenta"/>
      </w:pPr>
      <w:r>
        <w:rPr>
          <w:b/>
        </w:rPr>
        <w:tab/>
      </w:r>
      <w:r>
        <w:rPr>
          <w:b/>
        </w:rPr>
        <w:tab/>
        <w:t>L</w:t>
      </w:r>
      <w:r>
        <w:t xml:space="preserve"> + [(</w:t>
      </w:r>
      <w:r>
        <w:rPr>
          <w:b/>
        </w:rPr>
        <w:t>X</w:t>
      </w:r>
      <w:r>
        <w:t xml:space="preserve"> – </w:t>
      </w:r>
      <w:r>
        <w:rPr>
          <w:b/>
        </w:rPr>
        <w:t>C</w:t>
      </w:r>
      <w:r>
        <w:t xml:space="preserve">) / </w:t>
      </w:r>
      <w:r>
        <w:rPr>
          <w:b/>
        </w:rPr>
        <w:t>K</w:t>
      </w:r>
      <w:r>
        <w:t>]</w:t>
      </w:r>
    </w:p>
    <w:p>
      <w:pPr>
        <w:pStyle w:val="zyIndenta"/>
      </w:pPr>
      <w:r>
        <w:tab/>
      </w:r>
      <w:r>
        <w:tab/>
        <w:t xml:space="preserve">where — </w:t>
      </w:r>
    </w:p>
    <w:p>
      <w:pPr>
        <w:pStyle w:val="zyIndenti"/>
        <w:rPr>
          <w:snapToGrid w:val="0"/>
        </w:rPr>
      </w:pPr>
      <w:r>
        <w:rPr>
          <w:b/>
        </w:rPr>
        <w:tab/>
        <w:t>X</w:t>
      </w:r>
      <w:r>
        <w:t xml:space="preserve"> =</w:t>
      </w:r>
      <w:r>
        <w:tab/>
        <w:t xml:space="preserve">the annual charge for the 2012/2013 year calculated in </w:t>
      </w:r>
      <w:r>
        <w:rPr>
          <w:snapToGrid w:val="0"/>
        </w:rPr>
        <w:t>accordance with the formula in item 36;</w:t>
      </w:r>
    </w:p>
    <w:p>
      <w:pPr>
        <w:pStyle w:val="zyIndenti"/>
      </w:pPr>
      <w:r>
        <w:rPr>
          <w:b/>
        </w:rPr>
        <w:tab/>
        <w:t>L</w:t>
      </w:r>
      <w:r>
        <w:t xml:space="preserve"> =</w:t>
      </w:r>
      <w:r>
        <w:tab/>
        <w:t>200;</w:t>
      </w:r>
    </w:p>
    <w:p>
      <w:pPr>
        <w:pStyle w:val="zyIndenti"/>
        <w:rPr>
          <w:b/>
        </w:rPr>
      </w:pPr>
      <w:r>
        <w:rPr>
          <w:b/>
        </w:rPr>
        <w:tab/>
        <w:t>C</w:t>
      </w:r>
      <w:r>
        <w:t xml:space="preserve"> =</w:t>
      </w:r>
      <w:r>
        <w:tab/>
        <w:t xml:space="preserve">the charge payable for the relevant number of major fixtures for the 2012/2013 year as set out in the Table to item 36; </w:t>
      </w:r>
    </w:p>
    <w:p>
      <w:pPr>
        <w:pStyle w:val="zyIndenti"/>
      </w:pPr>
      <w:r>
        <w:rPr>
          <w:b/>
        </w:rPr>
        <w:tab/>
        <w:t>K</w:t>
      </w:r>
      <w:r>
        <w:t xml:space="preserve"> =</w:t>
      </w:r>
      <w:r>
        <w:tab/>
        <w:t>2.677;</w:t>
      </w:r>
    </w:p>
    <w:p>
      <w:pPr>
        <w:pStyle w:val="zyIndenta"/>
      </w:pPr>
      <w:r>
        <w:tab/>
      </w:r>
      <w:r>
        <w:tab/>
        <w:t>and</w:t>
      </w:r>
    </w:p>
    <w:p>
      <w:pPr>
        <w:pStyle w:val="zyIndenta"/>
        <w:rPr>
          <w:snapToGrid w:val="0"/>
        </w:rPr>
      </w:pPr>
      <w:r>
        <w:rPr>
          <w:snapToGrid w:val="0"/>
        </w:rPr>
        <w:tab/>
        <w:t>(b)</w:t>
      </w:r>
      <w:r>
        <w:rPr>
          <w:snapToGrid w:val="0"/>
        </w:rPr>
        <w:tab/>
        <w:t>for a caravan park referred to in item 32, an amount of water in kilolitres calculated in accordance with the following formula — </w:t>
      </w:r>
    </w:p>
    <w:p>
      <w:pPr>
        <w:pStyle w:val="zyIndenta"/>
      </w:pPr>
      <w:r>
        <w:rPr>
          <w:b/>
        </w:rPr>
        <w:tab/>
      </w:r>
      <w:r>
        <w:rPr>
          <w:b/>
        </w:rPr>
        <w:tab/>
        <w:t>L</w:t>
      </w:r>
      <w:r>
        <w:t xml:space="preserve"> + </w:t>
      </w:r>
      <w:r>
        <w:rPr>
          <w:b/>
        </w:rPr>
        <w:t>M</w:t>
      </w:r>
    </w:p>
    <w:p>
      <w:pPr>
        <w:pStyle w:val="zyIndenta"/>
      </w:pPr>
      <w:r>
        <w:tab/>
      </w:r>
      <w:r>
        <w:tab/>
        <w:t xml:space="preserve">where — </w:t>
      </w:r>
    </w:p>
    <w:p>
      <w:pPr>
        <w:pStyle w:val="zyIndenti"/>
      </w:pPr>
      <w:r>
        <w:rPr>
          <w:b/>
        </w:rPr>
        <w:tab/>
        <w:t>L</w:t>
      </w:r>
      <w:r>
        <w:t xml:space="preserve"> =</w:t>
      </w:r>
      <w:r>
        <w:tab/>
        <w:t>200;</w:t>
      </w:r>
    </w:p>
    <w:p>
      <w:pPr>
        <w:pStyle w:val="zyIndenti"/>
      </w:pPr>
      <w:r>
        <w:rPr>
          <w:b/>
        </w:rPr>
        <w:tab/>
        <w:t>M</w:t>
      </w:r>
      <w:r>
        <w:t xml:space="preserve"> =</w:t>
      </w:r>
      <w:r>
        <w:tab/>
        <w:t>75 kL of water for each long</w:t>
      </w:r>
      <w:r>
        <w:noBreakHyphen/>
        <w:t>term residential caravan bay;</w:t>
      </w:r>
    </w:p>
    <w:p>
      <w:pPr>
        <w:pStyle w:val="zyIndenta"/>
      </w:pPr>
      <w:r>
        <w:tab/>
      </w:r>
      <w:r>
        <w:tab/>
        <w:t>and</w:t>
      </w:r>
    </w:p>
    <w:p>
      <w:pPr>
        <w:pStyle w:val="zyIndenta"/>
        <w:rPr>
          <w:snapToGrid w:val="0"/>
        </w:rPr>
      </w:pPr>
      <w:r>
        <w:rPr>
          <w:snapToGrid w:val="0"/>
        </w:rPr>
        <w:tab/>
        <w:t>(c)</w:t>
      </w:r>
      <w:r>
        <w:rPr>
          <w:snapToGrid w:val="0"/>
        </w:rPr>
        <w:tab/>
        <w:t>for a nursing home referred to in item 33, 75 kL of water per bed; and</w:t>
      </w:r>
    </w:p>
    <w:p>
      <w:pPr>
        <w:pStyle w:val="zyIndenta"/>
        <w:keepNext/>
        <w:keepLines/>
        <w:rPr>
          <w:snapToGrid w:val="0"/>
        </w:rPr>
      </w:pPr>
      <w:r>
        <w:rPr>
          <w:snapToGrid w:val="0"/>
        </w:rPr>
        <w:tab/>
        <w:t>(d)</w:t>
      </w:r>
      <w:r>
        <w:rPr>
          <w:snapToGrid w:val="0"/>
        </w:rPr>
        <w:tab/>
        <w:t>for properties served through a common metered service, 200 kL of water for each property; and</w:t>
      </w:r>
    </w:p>
    <w:p>
      <w:pPr>
        <w:pStyle w:val="zIndenta"/>
        <w:rPr>
          <w:sz w:val="22"/>
          <w:szCs w:val="22"/>
        </w:rPr>
      </w:pPr>
      <w:r>
        <w:tab/>
      </w:r>
      <w:r>
        <w:rPr>
          <w:sz w:val="22"/>
          <w:szCs w:val="22"/>
        </w:rPr>
        <w:t>(e)</w:t>
      </w:r>
      <w:r>
        <w:rPr>
          <w:sz w:val="22"/>
          <w:szCs w:val="22"/>
        </w:rPr>
        <w:tab/>
        <w:t>for a non-commercial Government property, or a property held by a Government trading organisation, 200 kL of water.</w:t>
      </w:r>
    </w:p>
    <w:p>
      <w:pPr>
        <w:pStyle w:val="yFootnotesection"/>
      </w:pPr>
      <w:r>
        <w:tab/>
        <w:t>[Division 8 inserted in Gazette 20 Jun 2012 p. 2747</w:t>
      </w:r>
      <w:r>
        <w:noBreakHyphen/>
        <w:t>50.]</w:t>
      </w:r>
    </w:p>
    <w:p>
      <w:pPr>
        <w:pStyle w:val="yScheduleHeading"/>
      </w:pPr>
      <w:bookmarkStart w:id="697" w:name="_Toc328403455"/>
      <w:bookmarkStart w:id="698" w:name="_Toc328471504"/>
      <w:bookmarkStart w:id="699" w:name="_Toc265743670"/>
      <w:bookmarkStart w:id="700" w:name="_Toc297540799"/>
      <w:bookmarkStart w:id="701" w:name="_Toc297541227"/>
      <w:bookmarkStart w:id="702" w:name="_Toc233448453"/>
      <w:bookmarkStart w:id="703" w:name="_Toc233611728"/>
      <w:bookmarkStart w:id="704" w:name="_Toc234730735"/>
      <w:bookmarkStart w:id="705" w:name="_Toc234733261"/>
      <w:bookmarkStart w:id="706" w:name="_Toc235863998"/>
      <w:bookmarkStart w:id="707" w:name="_Toc235933473"/>
      <w:bookmarkStart w:id="708" w:name="_Toc237164461"/>
      <w:bookmarkStart w:id="709" w:name="_Toc237244345"/>
      <w:bookmarkStart w:id="710" w:name="_Toc237245669"/>
      <w:bookmarkStart w:id="711" w:name="_Toc237245800"/>
      <w:bookmarkStart w:id="712" w:name="_Toc237247942"/>
      <w:bookmarkStart w:id="713" w:name="_Toc237254251"/>
      <w:bookmarkStart w:id="714" w:name="_Toc237309670"/>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r>
        <w:rPr>
          <w:rStyle w:val="CharSchNo"/>
        </w:rPr>
        <w:t>Schedule 4</w:t>
      </w:r>
      <w:r>
        <w:rPr>
          <w:rStyle w:val="yScheduleHeadingChar"/>
        </w:rPr>
        <w:t> — </w:t>
      </w:r>
      <w:r>
        <w:rPr>
          <w:rStyle w:val="CharSchText"/>
        </w:rPr>
        <w:t>Charges for drainage for 2012/2013</w:t>
      </w:r>
      <w:bookmarkEnd w:id="697"/>
      <w:bookmarkEnd w:id="698"/>
    </w:p>
    <w:p>
      <w:pPr>
        <w:pStyle w:val="yShoulderClause"/>
      </w:pPr>
      <w:r>
        <w:t>[bl. 27]</w:t>
      </w:r>
    </w:p>
    <w:p>
      <w:pPr>
        <w:pStyle w:val="yFootnoteheading"/>
        <w:spacing w:after="60"/>
      </w:pPr>
      <w:r>
        <w:tab/>
        <w:t>[Heading inserted in Gazette 20 Jun 2012 p. 2750.]</w:t>
      </w:r>
    </w:p>
    <w:p>
      <w:pPr>
        <w:pStyle w:val="yHeading3"/>
      </w:pPr>
      <w:bookmarkStart w:id="715" w:name="_Toc328403456"/>
      <w:bookmarkStart w:id="716" w:name="_Toc328471505"/>
      <w:r>
        <w:rPr>
          <w:rStyle w:val="CharSDivNo"/>
        </w:rPr>
        <w:t>Division 1</w:t>
      </w:r>
      <w:r>
        <w:t> — </w:t>
      </w:r>
      <w:r>
        <w:rPr>
          <w:rStyle w:val="CharSDivText"/>
        </w:rPr>
        <w:t>Fixed charges</w:t>
      </w:r>
      <w:bookmarkEnd w:id="715"/>
      <w:bookmarkEnd w:id="716"/>
    </w:p>
    <w:p>
      <w:pPr>
        <w:pStyle w:val="yFootnoteheading"/>
        <w:spacing w:after="60"/>
      </w:pPr>
      <w:r>
        <w:tab/>
        <w:t>[Heading inserted in Gazette 20 Jun 2012 p. 2750.]</w:t>
      </w:r>
    </w:p>
    <w:tbl>
      <w:tblPr>
        <w:tblW w:w="0" w:type="auto"/>
        <w:tblInd w:w="534" w:type="dxa"/>
        <w:tblLook w:val="0000" w:firstRow="0" w:lastRow="0" w:firstColumn="0" w:lastColumn="0" w:noHBand="0" w:noVBand="0"/>
      </w:tblPr>
      <w:tblGrid>
        <w:gridCol w:w="850"/>
        <w:gridCol w:w="4235"/>
        <w:gridCol w:w="1435"/>
      </w:tblGrid>
      <w:tr>
        <w:trPr>
          <w:cantSplit/>
        </w:trPr>
        <w:tc>
          <w:tcPr>
            <w:tcW w:w="850" w:type="dxa"/>
          </w:tcPr>
          <w:p>
            <w:pPr>
              <w:pStyle w:val="yTableNAm"/>
              <w:keepNext/>
              <w:keepLines/>
              <w:rPr>
                <w:b/>
              </w:rPr>
            </w:pPr>
            <w:r>
              <w:rPr>
                <w:b/>
              </w:rPr>
              <w:t>1.</w:t>
            </w:r>
          </w:p>
        </w:tc>
        <w:tc>
          <w:tcPr>
            <w:tcW w:w="5670" w:type="dxa"/>
            <w:gridSpan w:val="2"/>
          </w:tcPr>
          <w:p>
            <w:pPr>
              <w:pStyle w:val="yTableNAm"/>
              <w:keepNext/>
              <w:keepLines/>
              <w:rPr>
                <w:b/>
                <w:bCs/>
              </w:rPr>
            </w:pPr>
            <w:r>
              <w:rPr>
                <w:b/>
                <w:bCs/>
              </w:rPr>
              <w:t>Strata</w:t>
            </w:r>
            <w:r>
              <w:rPr>
                <w:b/>
                <w:bCs/>
              </w:rPr>
              <w:noBreakHyphen/>
              <w:t>titled caravan bay</w:t>
            </w:r>
          </w:p>
        </w:tc>
      </w:tr>
      <w:tr>
        <w:trPr>
          <w:cantSplit/>
        </w:trPr>
        <w:tc>
          <w:tcPr>
            <w:tcW w:w="850" w:type="dxa"/>
          </w:tcPr>
          <w:p>
            <w:pPr>
              <w:pStyle w:val="yTableNAm"/>
              <w:keepNext/>
              <w:keepLines/>
            </w:pPr>
          </w:p>
        </w:tc>
        <w:tc>
          <w:tcPr>
            <w:tcW w:w="4235" w:type="dxa"/>
          </w:tcPr>
          <w:p>
            <w:pPr>
              <w:pStyle w:val="yTableNAm"/>
              <w:keepNext/>
              <w:keepLines/>
              <w:tabs>
                <w:tab w:val="right" w:leader="dot" w:pos="4253"/>
              </w:tabs>
            </w:pPr>
            <w:r>
              <w:t xml:space="preserve">In respect of each residential property being a single caravan bay that is a lot within the meaning of the </w:t>
            </w:r>
            <w:r>
              <w:rPr>
                <w:i/>
              </w:rPr>
              <w:t>Strata Titles Act 1985</w:t>
            </w:r>
            <w:r>
              <w:t xml:space="preserve"> </w:t>
            </w:r>
            <w:r>
              <w:tab/>
            </w:r>
          </w:p>
        </w:tc>
        <w:tc>
          <w:tcPr>
            <w:tcW w:w="1435" w:type="dxa"/>
            <w:vAlign w:val="bottom"/>
          </w:tcPr>
          <w:p>
            <w:pPr>
              <w:pStyle w:val="yTableNAm"/>
              <w:keepNext/>
              <w:keepLines/>
              <w:tabs>
                <w:tab w:val="clear" w:pos="567"/>
                <w:tab w:val="left" w:pos="194"/>
              </w:tabs>
              <w:rPr>
                <w:sz w:val="20"/>
              </w:rPr>
            </w:pPr>
            <w:r>
              <w:t>$26.70</w:t>
            </w:r>
          </w:p>
        </w:tc>
      </w:tr>
      <w:tr>
        <w:trPr>
          <w:cantSplit/>
        </w:trPr>
        <w:tc>
          <w:tcPr>
            <w:tcW w:w="850" w:type="dxa"/>
          </w:tcPr>
          <w:p>
            <w:pPr>
              <w:pStyle w:val="yTableNAm"/>
              <w:rPr>
                <w:b/>
              </w:rPr>
            </w:pPr>
            <w:r>
              <w:rPr>
                <w:b/>
              </w:rPr>
              <w:t>2.</w:t>
            </w:r>
          </w:p>
        </w:tc>
        <w:tc>
          <w:tcPr>
            <w:tcW w:w="5670" w:type="dxa"/>
            <w:gridSpan w:val="2"/>
          </w:tcPr>
          <w:p>
            <w:pPr>
              <w:pStyle w:val="yTableNAm"/>
              <w:rPr>
                <w:b/>
                <w:bCs/>
              </w:rPr>
            </w:pPr>
            <w:r>
              <w:rPr>
                <w:b/>
                <w:bCs/>
              </w:rPr>
              <w:t>Strata</w:t>
            </w:r>
            <w:r>
              <w:rPr>
                <w:b/>
                <w:bCs/>
              </w:rPr>
              <w:noBreakHyphen/>
              <w:t>titled storage unit and strata</w:t>
            </w:r>
            <w:r>
              <w:rPr>
                <w:b/>
                <w:bCs/>
              </w:rPr>
              <w:noBreakHyphen/>
              <w:t>titled parking bay</w:t>
            </w:r>
          </w:p>
        </w:tc>
      </w:tr>
      <w:tr>
        <w:trPr>
          <w:cantSplit/>
        </w:trPr>
        <w:tc>
          <w:tcPr>
            <w:tcW w:w="850" w:type="dxa"/>
          </w:tcPr>
          <w:p>
            <w:pPr>
              <w:pStyle w:val="yTableNAm"/>
            </w:pPr>
          </w:p>
        </w:tc>
        <w:tc>
          <w:tcPr>
            <w:tcW w:w="4235" w:type="dxa"/>
          </w:tcPr>
          <w:p>
            <w:pPr>
              <w:pStyle w:val="yTableNAm"/>
              <w:tabs>
                <w:tab w:val="right" w:leader="dot" w:pos="4253"/>
              </w:tabs>
              <w:rPr>
                <w:iCs/>
              </w:rPr>
            </w:pPr>
            <w:r>
              <w:t xml:space="preserve">In respect of land comprised in a unit used for storage purposes or as a parking bay that is a lot within the meaning of the </w:t>
            </w:r>
            <w:r>
              <w:rPr>
                <w:i/>
                <w:iCs/>
              </w:rPr>
              <w:t>Strata Titles Act 1985</w:t>
            </w:r>
            <w:r>
              <w:t xml:space="preserve"> </w:t>
            </w:r>
            <w:r>
              <w:tab/>
            </w:r>
          </w:p>
        </w:tc>
        <w:tc>
          <w:tcPr>
            <w:tcW w:w="1435" w:type="dxa"/>
            <w:vAlign w:val="bottom"/>
          </w:tcPr>
          <w:p>
            <w:pPr>
              <w:pStyle w:val="yTableNAm"/>
              <w:tabs>
                <w:tab w:val="clear" w:pos="567"/>
                <w:tab w:val="left" w:pos="194"/>
              </w:tabs>
            </w:pPr>
            <w:r>
              <w:t>$9.95</w:t>
            </w:r>
          </w:p>
        </w:tc>
      </w:tr>
    </w:tbl>
    <w:p>
      <w:pPr>
        <w:pStyle w:val="yFootnotesection"/>
      </w:pPr>
      <w:r>
        <w:tab/>
        <w:t>[Division 1 inserted in Gazette 20 Jun 2012 p. 2750.]</w:t>
      </w:r>
    </w:p>
    <w:p>
      <w:pPr>
        <w:pStyle w:val="yHeading3"/>
      </w:pPr>
      <w:bookmarkStart w:id="717" w:name="_Toc328403457"/>
      <w:bookmarkStart w:id="718" w:name="_Toc328471506"/>
      <w:r>
        <w:rPr>
          <w:rStyle w:val="CharSDivNo"/>
        </w:rPr>
        <w:t>Division 2</w:t>
      </w:r>
      <w:r>
        <w:t> — </w:t>
      </w:r>
      <w:r>
        <w:rPr>
          <w:rStyle w:val="CharSDivText"/>
        </w:rPr>
        <w:t>Charges by way of rate</w:t>
      </w:r>
      <w:bookmarkEnd w:id="717"/>
      <w:bookmarkEnd w:id="718"/>
    </w:p>
    <w:p>
      <w:pPr>
        <w:pStyle w:val="yFootnoteheading"/>
        <w:keepNext/>
        <w:spacing w:after="60"/>
      </w:pPr>
      <w:r>
        <w:tab/>
        <w:t>[Heading inserted in Gazette 20 Jun 2012 p. 2750.]</w:t>
      </w:r>
    </w:p>
    <w:tbl>
      <w:tblPr>
        <w:tblW w:w="0" w:type="auto"/>
        <w:tblInd w:w="534" w:type="dxa"/>
        <w:tblLook w:val="0000" w:firstRow="0" w:lastRow="0" w:firstColumn="0" w:lastColumn="0" w:noHBand="0" w:noVBand="0"/>
      </w:tblPr>
      <w:tblGrid>
        <w:gridCol w:w="850"/>
        <w:gridCol w:w="4236"/>
        <w:gridCol w:w="1434"/>
      </w:tblGrid>
      <w:tr>
        <w:trPr>
          <w:cantSplit/>
        </w:trPr>
        <w:tc>
          <w:tcPr>
            <w:tcW w:w="850" w:type="dxa"/>
          </w:tcPr>
          <w:p>
            <w:pPr>
              <w:pStyle w:val="yTableNAm"/>
              <w:keepNext/>
              <w:rPr>
                <w:b/>
              </w:rPr>
            </w:pPr>
            <w:r>
              <w:rPr>
                <w:b/>
              </w:rPr>
              <w:t>3.</w:t>
            </w:r>
          </w:p>
        </w:tc>
        <w:tc>
          <w:tcPr>
            <w:tcW w:w="5670" w:type="dxa"/>
            <w:gridSpan w:val="2"/>
          </w:tcPr>
          <w:p>
            <w:pPr>
              <w:pStyle w:val="yTableNAm"/>
              <w:keepNext/>
              <w:tabs>
                <w:tab w:val="right" w:leader="dot" w:pos="4253"/>
              </w:tabs>
              <w:rPr>
                <w:b/>
              </w:rPr>
            </w:pPr>
            <w:r>
              <w:rPr>
                <w:b/>
              </w:rPr>
              <w:t>Land in a drainage area as referred to in by</w:t>
            </w:r>
            <w:r>
              <w:rPr>
                <w:b/>
              </w:rPr>
              <w:noBreakHyphen/>
              <w:t>law 27 classified as residential or semi</w:t>
            </w:r>
            <w:r>
              <w:rPr>
                <w:b/>
              </w:rPr>
              <w:noBreakHyphen/>
              <w:t>rural residential</w:t>
            </w:r>
          </w:p>
        </w:tc>
      </w:tr>
      <w:tr>
        <w:trPr>
          <w:cantSplit/>
        </w:trPr>
        <w:tc>
          <w:tcPr>
            <w:tcW w:w="850" w:type="dxa"/>
          </w:tcPr>
          <w:p>
            <w:pPr>
              <w:pStyle w:val="yTableNAm"/>
            </w:pPr>
          </w:p>
        </w:tc>
        <w:tc>
          <w:tcPr>
            <w:tcW w:w="4236" w:type="dxa"/>
          </w:tcPr>
          <w:p>
            <w:pPr>
              <w:pStyle w:val="yTableNAm"/>
              <w:tabs>
                <w:tab w:val="right" w:leader="dot" w:pos="4253"/>
              </w:tabs>
            </w:pPr>
            <w:r>
              <w:t>In respect of all land in a drainage area as referred to in by</w:t>
            </w:r>
            <w:r>
              <w:noBreakHyphen/>
              <w:t>law 27 that is classified as residential or semi</w:t>
            </w:r>
            <w:r>
              <w:noBreakHyphen/>
              <w:t xml:space="preserve">rural residential land </w:t>
            </w:r>
            <w:r>
              <w:tab/>
            </w:r>
          </w:p>
        </w:tc>
        <w:tc>
          <w:tcPr>
            <w:tcW w:w="1434" w:type="dxa"/>
            <w:vAlign w:val="bottom"/>
          </w:tcPr>
          <w:p>
            <w:pPr>
              <w:pStyle w:val="yTableNAm"/>
              <w:tabs>
                <w:tab w:val="left" w:pos="194"/>
                <w:tab w:val="right" w:leader="dot" w:pos="4253"/>
              </w:tabs>
            </w:pPr>
            <w:r>
              <w:br/>
            </w:r>
            <w:r>
              <w:br/>
              <w:t>0.514 cents/</w:t>
            </w:r>
            <w:r>
              <w:br/>
              <w:t>$ of GRV</w:t>
            </w:r>
          </w:p>
        </w:tc>
      </w:tr>
      <w:tr>
        <w:trPr>
          <w:cantSplit/>
        </w:trPr>
        <w:tc>
          <w:tcPr>
            <w:tcW w:w="850" w:type="dxa"/>
          </w:tcPr>
          <w:p>
            <w:pPr>
              <w:pStyle w:val="yTableNAm"/>
            </w:pPr>
          </w:p>
        </w:tc>
        <w:tc>
          <w:tcPr>
            <w:tcW w:w="4236" w:type="dxa"/>
          </w:tcPr>
          <w:p>
            <w:pPr>
              <w:pStyle w:val="yTableNAm"/>
              <w:tabs>
                <w:tab w:val="right" w:leader="dot" w:pos="4253"/>
              </w:tabs>
            </w:pPr>
            <w:r>
              <w:t xml:space="preserve">subject to a minimum in respect of any land the subject of a separate assessment of </w:t>
            </w:r>
            <w:r>
              <w:tab/>
            </w:r>
          </w:p>
        </w:tc>
        <w:tc>
          <w:tcPr>
            <w:tcW w:w="1434" w:type="dxa"/>
            <w:vAlign w:val="bottom"/>
          </w:tcPr>
          <w:p>
            <w:pPr>
              <w:pStyle w:val="yTableNAm"/>
              <w:tabs>
                <w:tab w:val="left" w:pos="194"/>
                <w:tab w:val="right" w:leader="dot" w:pos="4253"/>
              </w:tabs>
            </w:pPr>
            <w:r>
              <w:t>$88.30</w:t>
            </w:r>
          </w:p>
        </w:tc>
      </w:tr>
      <w:tr>
        <w:trPr>
          <w:cantSplit/>
        </w:trPr>
        <w:tc>
          <w:tcPr>
            <w:tcW w:w="850" w:type="dxa"/>
          </w:tcPr>
          <w:p>
            <w:pPr>
              <w:pStyle w:val="yTableNAm"/>
              <w:keepNext/>
              <w:rPr>
                <w:b/>
              </w:rPr>
            </w:pPr>
            <w:r>
              <w:rPr>
                <w:b/>
              </w:rPr>
              <w:t>4.</w:t>
            </w:r>
          </w:p>
        </w:tc>
        <w:tc>
          <w:tcPr>
            <w:tcW w:w="5670" w:type="dxa"/>
            <w:gridSpan w:val="2"/>
          </w:tcPr>
          <w:p>
            <w:pPr>
              <w:pStyle w:val="yTableNAm"/>
              <w:keepNext/>
              <w:keepLines/>
              <w:tabs>
                <w:tab w:val="right" w:leader="dot" w:pos="4253"/>
              </w:tabs>
              <w:rPr>
                <w:b/>
                <w:bCs/>
              </w:rPr>
            </w:pPr>
            <w:r>
              <w:rPr>
                <w:b/>
                <w:bCs/>
              </w:rPr>
              <w:t>Land in a drainage area classified as vacant land</w:t>
            </w:r>
          </w:p>
        </w:tc>
      </w:tr>
      <w:tr>
        <w:trPr>
          <w:cantSplit/>
        </w:trPr>
        <w:tc>
          <w:tcPr>
            <w:tcW w:w="850" w:type="dxa"/>
          </w:tcPr>
          <w:p>
            <w:pPr>
              <w:pStyle w:val="yTableNAm"/>
              <w:keepNext/>
              <w:keepLines/>
              <w:tabs>
                <w:tab w:val="right" w:leader="dot" w:pos="4253"/>
              </w:tabs>
            </w:pPr>
          </w:p>
        </w:tc>
        <w:tc>
          <w:tcPr>
            <w:tcW w:w="4236" w:type="dxa"/>
          </w:tcPr>
          <w:p>
            <w:pPr>
              <w:pStyle w:val="yTableNAm"/>
              <w:keepNext/>
              <w:keepLines/>
              <w:tabs>
                <w:tab w:val="right" w:leader="dot" w:pos="4253"/>
              </w:tabs>
            </w:pPr>
            <w:r>
              <w:t xml:space="preserve">In respect of all land in a drainage area classified as vacant land </w:t>
            </w:r>
            <w:r>
              <w:tab/>
            </w:r>
          </w:p>
        </w:tc>
        <w:tc>
          <w:tcPr>
            <w:tcW w:w="1434" w:type="dxa"/>
            <w:vAlign w:val="bottom"/>
          </w:tcPr>
          <w:p>
            <w:pPr>
              <w:pStyle w:val="yTableNAm"/>
              <w:keepNext/>
              <w:keepLines/>
              <w:tabs>
                <w:tab w:val="left" w:pos="194"/>
                <w:tab w:val="right" w:leader="dot" w:pos="4253"/>
              </w:tabs>
              <w:rPr>
                <w:sz w:val="20"/>
              </w:rPr>
            </w:pPr>
            <w:r>
              <w:br/>
            </w:r>
            <w:r>
              <w:br/>
              <w:t>0.687 cents/</w:t>
            </w:r>
            <w:r>
              <w:br/>
              <w:t>$ of GRV</w:t>
            </w:r>
          </w:p>
        </w:tc>
      </w:tr>
      <w:tr>
        <w:trPr>
          <w:cantSplit/>
        </w:trPr>
        <w:tc>
          <w:tcPr>
            <w:tcW w:w="850" w:type="dxa"/>
          </w:tcPr>
          <w:p>
            <w:pPr>
              <w:pStyle w:val="yTableNAm"/>
              <w:tabs>
                <w:tab w:val="right" w:leader="dot" w:pos="4253"/>
              </w:tabs>
            </w:pPr>
          </w:p>
        </w:tc>
        <w:tc>
          <w:tcPr>
            <w:tcW w:w="4236" w:type="dxa"/>
          </w:tcPr>
          <w:p>
            <w:pPr>
              <w:pStyle w:val="yTableNAm"/>
              <w:keepNext/>
              <w:keepLines/>
              <w:tabs>
                <w:tab w:val="right" w:leader="dot" w:pos="4253"/>
              </w:tabs>
            </w:pPr>
            <w:r>
              <w:t xml:space="preserve">subject to a minimum in respect of any land the subject of a separate assessment of </w:t>
            </w:r>
            <w:r>
              <w:tab/>
            </w:r>
          </w:p>
        </w:tc>
        <w:tc>
          <w:tcPr>
            <w:tcW w:w="1434" w:type="dxa"/>
            <w:vAlign w:val="bottom"/>
          </w:tcPr>
          <w:p>
            <w:pPr>
              <w:pStyle w:val="yTableNAm"/>
              <w:keepNext/>
              <w:keepLines/>
              <w:tabs>
                <w:tab w:val="left" w:pos="194"/>
                <w:tab w:val="right" w:leader="dot" w:pos="4253"/>
              </w:tabs>
              <w:rPr>
                <w:sz w:val="20"/>
              </w:rPr>
            </w:pPr>
            <w:r>
              <w:t>$88.30</w:t>
            </w:r>
          </w:p>
        </w:tc>
      </w:tr>
      <w:tr>
        <w:trPr>
          <w:cantSplit/>
        </w:trPr>
        <w:tc>
          <w:tcPr>
            <w:tcW w:w="850" w:type="dxa"/>
          </w:tcPr>
          <w:p>
            <w:pPr>
              <w:pStyle w:val="yTableNAm"/>
              <w:rPr>
                <w:b/>
              </w:rPr>
            </w:pPr>
            <w:r>
              <w:rPr>
                <w:b/>
              </w:rPr>
              <w:t>5.</w:t>
            </w:r>
          </w:p>
        </w:tc>
        <w:tc>
          <w:tcPr>
            <w:tcW w:w="5670" w:type="dxa"/>
            <w:gridSpan w:val="2"/>
          </w:tcPr>
          <w:p>
            <w:pPr>
              <w:pStyle w:val="yTableNAm"/>
              <w:tabs>
                <w:tab w:val="right" w:leader="dot" w:pos="4253"/>
              </w:tabs>
              <w:rPr>
                <w:b/>
                <w:bCs/>
              </w:rPr>
            </w:pPr>
            <w:r>
              <w:rPr>
                <w:b/>
                <w:bCs/>
              </w:rPr>
              <w:t>Land in a drainage area as referred to in by</w:t>
            </w:r>
            <w:r>
              <w:rPr>
                <w:b/>
                <w:bCs/>
              </w:rPr>
              <w:noBreakHyphen/>
              <w:t>law 27 other than land to which item 1, 2, 3 or 4 applies</w:t>
            </w:r>
          </w:p>
        </w:tc>
      </w:tr>
      <w:tr>
        <w:trPr>
          <w:cantSplit/>
        </w:trPr>
        <w:tc>
          <w:tcPr>
            <w:tcW w:w="850" w:type="dxa"/>
          </w:tcPr>
          <w:p>
            <w:pPr>
              <w:pStyle w:val="yTableNAm"/>
              <w:tabs>
                <w:tab w:val="right" w:leader="dot" w:pos="4253"/>
              </w:tabs>
            </w:pPr>
          </w:p>
        </w:tc>
        <w:tc>
          <w:tcPr>
            <w:tcW w:w="4236" w:type="dxa"/>
          </w:tcPr>
          <w:p>
            <w:pPr>
              <w:pStyle w:val="yTableNAm"/>
              <w:tabs>
                <w:tab w:val="right" w:leader="dot" w:pos="4253"/>
              </w:tabs>
            </w:pPr>
            <w:r>
              <w:t>In respect of all land in a drainage area as referred to in by</w:t>
            </w:r>
            <w:r>
              <w:noBreakHyphen/>
              <w:t xml:space="preserve">law 27 other than land to which item 1, 2, 3 or 4 applies </w:t>
            </w:r>
            <w:r>
              <w:tab/>
            </w:r>
          </w:p>
        </w:tc>
        <w:tc>
          <w:tcPr>
            <w:tcW w:w="1434" w:type="dxa"/>
            <w:vAlign w:val="bottom"/>
          </w:tcPr>
          <w:p>
            <w:pPr>
              <w:pStyle w:val="yTableNAm"/>
              <w:tabs>
                <w:tab w:val="left" w:pos="194"/>
                <w:tab w:val="right" w:leader="dot" w:pos="4253"/>
              </w:tabs>
              <w:rPr>
                <w:sz w:val="20"/>
              </w:rPr>
            </w:pPr>
            <w:r>
              <w:br/>
            </w:r>
            <w:r>
              <w:br/>
              <w:t>0.268 cents/</w:t>
            </w:r>
            <w:r>
              <w:br/>
              <w:t>$ of GRV</w:t>
            </w:r>
          </w:p>
        </w:tc>
      </w:tr>
      <w:tr>
        <w:trPr>
          <w:cantSplit/>
        </w:trPr>
        <w:tc>
          <w:tcPr>
            <w:tcW w:w="850" w:type="dxa"/>
          </w:tcPr>
          <w:p>
            <w:pPr>
              <w:pStyle w:val="yTableNAm"/>
              <w:keepNext/>
              <w:keepLines/>
              <w:tabs>
                <w:tab w:val="right" w:leader="dot" w:pos="4253"/>
              </w:tabs>
            </w:pPr>
          </w:p>
        </w:tc>
        <w:tc>
          <w:tcPr>
            <w:tcW w:w="4236" w:type="dxa"/>
          </w:tcPr>
          <w:p>
            <w:pPr>
              <w:pStyle w:val="yTableNAm"/>
              <w:keepNext/>
              <w:keepLines/>
              <w:tabs>
                <w:tab w:val="right" w:leader="dot" w:pos="4253"/>
              </w:tabs>
            </w:pPr>
            <w:r>
              <w:t xml:space="preserve">subject to a minimum in respect of any land the subject of a separate assessment of </w:t>
            </w:r>
            <w:r>
              <w:tab/>
            </w:r>
          </w:p>
        </w:tc>
        <w:tc>
          <w:tcPr>
            <w:tcW w:w="1434" w:type="dxa"/>
            <w:vAlign w:val="bottom"/>
          </w:tcPr>
          <w:p>
            <w:pPr>
              <w:pStyle w:val="yTableNAm"/>
              <w:keepNext/>
              <w:keepLines/>
              <w:tabs>
                <w:tab w:val="left" w:pos="194"/>
                <w:tab w:val="right" w:leader="dot" w:pos="4253"/>
              </w:tabs>
              <w:rPr>
                <w:sz w:val="20"/>
              </w:rPr>
            </w:pPr>
            <w:r>
              <w:t>$88.30</w:t>
            </w:r>
          </w:p>
        </w:tc>
      </w:tr>
    </w:tbl>
    <w:p>
      <w:pPr>
        <w:pStyle w:val="yFootnotesection"/>
      </w:pPr>
      <w:r>
        <w:tab/>
        <w:t>[Division 2 inserted in Gazette 20 Jun 2012 p. 2750</w:t>
      </w:r>
      <w:r>
        <w:noBreakHyphen/>
        <w:t>1.]</w:t>
      </w:r>
    </w:p>
    <w:p>
      <w:pPr>
        <w:pStyle w:val="yScheduleHeading"/>
      </w:pPr>
      <w:bookmarkStart w:id="719" w:name="_Toc328403458"/>
      <w:bookmarkStart w:id="720" w:name="_Toc328471507"/>
      <w:bookmarkStart w:id="721" w:name="_Toc297540802"/>
      <w:bookmarkStart w:id="722" w:name="_Toc297541230"/>
      <w:bookmarkStart w:id="723" w:name="_Toc265743673"/>
      <w:bookmarkEnd w:id="699"/>
      <w:bookmarkEnd w:id="700"/>
      <w:bookmarkEnd w:id="701"/>
      <w:r>
        <w:rPr>
          <w:rStyle w:val="CharSchNo"/>
        </w:rPr>
        <w:t>Schedule 5</w:t>
      </w:r>
      <w:r>
        <w:t> — </w:t>
      </w:r>
      <w:r>
        <w:rPr>
          <w:rStyle w:val="CharSchText"/>
        </w:rPr>
        <w:t>Charges for irrigation for 2012/2013</w:t>
      </w:r>
      <w:bookmarkEnd w:id="719"/>
      <w:bookmarkEnd w:id="720"/>
    </w:p>
    <w:p>
      <w:pPr>
        <w:pStyle w:val="yShoulderClause"/>
      </w:pPr>
      <w:r>
        <w:t>[bl. 31]</w:t>
      </w:r>
    </w:p>
    <w:p>
      <w:pPr>
        <w:pStyle w:val="yFootnoteheading"/>
        <w:spacing w:after="60"/>
      </w:pPr>
      <w:r>
        <w:tab/>
        <w:t>[Heading inserted in Gazette 20 Jun 2012 p. 2751.]</w:t>
      </w:r>
    </w:p>
    <w:tbl>
      <w:tblPr>
        <w:tblW w:w="0" w:type="auto"/>
        <w:tblInd w:w="534" w:type="dxa"/>
        <w:tblLook w:val="0000" w:firstRow="0" w:lastRow="0" w:firstColumn="0" w:lastColumn="0" w:noHBand="0" w:noVBand="0"/>
      </w:tblPr>
      <w:tblGrid>
        <w:gridCol w:w="850"/>
        <w:gridCol w:w="4235"/>
        <w:gridCol w:w="1435"/>
      </w:tblGrid>
      <w:tr>
        <w:trPr>
          <w:cantSplit/>
        </w:trPr>
        <w:tc>
          <w:tcPr>
            <w:tcW w:w="850" w:type="dxa"/>
          </w:tcPr>
          <w:p>
            <w:pPr>
              <w:pStyle w:val="yTableNAm"/>
              <w:tabs>
                <w:tab w:val="right" w:leader="dot" w:pos="4253"/>
              </w:tabs>
              <w:rPr>
                <w:b/>
              </w:rPr>
            </w:pPr>
            <w:r>
              <w:rPr>
                <w:b/>
              </w:rPr>
              <w:t>1.</w:t>
            </w:r>
          </w:p>
        </w:tc>
        <w:tc>
          <w:tcPr>
            <w:tcW w:w="5670" w:type="dxa"/>
            <w:gridSpan w:val="2"/>
          </w:tcPr>
          <w:p>
            <w:pPr>
              <w:pStyle w:val="yTableNAm"/>
              <w:tabs>
                <w:tab w:val="right" w:leader="dot" w:pos="4253"/>
              </w:tabs>
              <w:rPr>
                <w:b/>
                <w:bCs/>
              </w:rPr>
            </w:pPr>
            <w:r>
              <w:rPr>
                <w:b/>
                <w:bCs/>
              </w:rPr>
              <w:t>Ord Irrigation District</w:t>
            </w:r>
          </w:p>
        </w:tc>
      </w:tr>
      <w:tr>
        <w:trPr>
          <w:cantSplit/>
        </w:trPr>
        <w:tc>
          <w:tcPr>
            <w:tcW w:w="850" w:type="dxa"/>
          </w:tcPr>
          <w:p>
            <w:pPr>
              <w:pStyle w:val="yTableNAm"/>
              <w:tabs>
                <w:tab w:val="right" w:leader="dot" w:pos="4253"/>
              </w:tabs>
            </w:pPr>
          </w:p>
        </w:tc>
        <w:tc>
          <w:tcPr>
            <w:tcW w:w="4235" w:type="dxa"/>
          </w:tcPr>
          <w:p>
            <w:pPr>
              <w:pStyle w:val="yTableNAm"/>
              <w:tabs>
                <w:tab w:val="right" w:leader="dot" w:pos="4253"/>
              </w:tabs>
            </w:pPr>
            <w:r>
              <w:t xml:space="preserve">Charges by way of rate for land in the Ord Irrigation District where under the </w:t>
            </w:r>
            <w:r>
              <w:rPr>
                <w:i/>
              </w:rPr>
              <w:t>Ord Irrigation District By</w:t>
            </w:r>
            <w:r>
              <w:rPr>
                <w:i/>
              </w:rPr>
              <w:noBreakHyphen/>
              <w:t>laws 1963</w:t>
            </w:r>
            <w:r>
              <w:t xml:space="preserve"> by</w:t>
            </w:r>
            <w:r>
              <w:noBreakHyphen/>
              <w:t>law 31A, the land is irrigated by pumping from works, an amount per hectare of land so irrigated of —</w:t>
            </w:r>
          </w:p>
        </w:tc>
        <w:tc>
          <w:tcPr>
            <w:tcW w:w="1435" w:type="dxa"/>
          </w:tcPr>
          <w:p>
            <w:pPr>
              <w:pStyle w:val="yTableNAm"/>
              <w:tabs>
                <w:tab w:val="right" w:leader="dot" w:pos="4253"/>
              </w:tabs>
              <w:rPr>
                <w:sz w:val="20"/>
              </w:rPr>
            </w:pPr>
          </w:p>
        </w:tc>
      </w:tr>
      <w:tr>
        <w:trPr>
          <w:cantSplit/>
        </w:trPr>
        <w:tc>
          <w:tcPr>
            <w:tcW w:w="850" w:type="dxa"/>
          </w:tcPr>
          <w:p>
            <w:pPr>
              <w:pStyle w:val="yTableNAm"/>
              <w:tabs>
                <w:tab w:val="right" w:leader="dot" w:pos="4253"/>
              </w:tabs>
            </w:pPr>
          </w:p>
        </w:tc>
        <w:tc>
          <w:tcPr>
            <w:tcW w:w="4235" w:type="dxa"/>
          </w:tcPr>
          <w:p>
            <w:pPr>
              <w:pStyle w:val="yTableNAm"/>
              <w:tabs>
                <w:tab w:val="clear" w:pos="567"/>
                <w:tab w:val="left" w:pos="317"/>
                <w:tab w:val="left" w:pos="743"/>
                <w:tab w:val="right" w:leader="dot" w:pos="4253"/>
              </w:tabs>
              <w:ind w:left="743" w:hanging="743"/>
            </w:pPr>
            <w:r>
              <w:tab/>
              <w:t>(a)</w:t>
            </w:r>
            <w:r>
              <w:tab/>
              <w:t xml:space="preserve">where the supply is assured </w:t>
            </w:r>
            <w:r>
              <w:tab/>
            </w:r>
          </w:p>
        </w:tc>
        <w:tc>
          <w:tcPr>
            <w:tcW w:w="1435" w:type="dxa"/>
          </w:tcPr>
          <w:p>
            <w:pPr>
              <w:pStyle w:val="yTableNAm"/>
              <w:tabs>
                <w:tab w:val="right" w:leader="dot" w:pos="4253"/>
              </w:tabs>
            </w:pPr>
            <w:r>
              <w:t>$139.00</w:t>
            </w:r>
          </w:p>
        </w:tc>
      </w:tr>
      <w:tr>
        <w:trPr>
          <w:cantSplit/>
        </w:trPr>
        <w:tc>
          <w:tcPr>
            <w:tcW w:w="850" w:type="dxa"/>
          </w:tcPr>
          <w:p>
            <w:pPr>
              <w:pStyle w:val="yTableNAm"/>
              <w:tabs>
                <w:tab w:val="right" w:leader="dot" w:pos="4253"/>
              </w:tabs>
            </w:pPr>
          </w:p>
        </w:tc>
        <w:tc>
          <w:tcPr>
            <w:tcW w:w="4235" w:type="dxa"/>
          </w:tcPr>
          <w:p>
            <w:pPr>
              <w:pStyle w:val="yTableNAm"/>
              <w:tabs>
                <w:tab w:val="clear" w:pos="567"/>
                <w:tab w:val="left" w:pos="317"/>
                <w:tab w:val="left" w:pos="743"/>
                <w:tab w:val="right" w:leader="dot" w:pos="4253"/>
              </w:tabs>
              <w:ind w:left="743" w:hanging="743"/>
            </w:pPr>
            <w:r>
              <w:tab/>
              <w:t>(b)</w:t>
            </w:r>
            <w:r>
              <w:tab/>
              <w:t xml:space="preserve">where the supply is not assured </w:t>
            </w:r>
            <w:r>
              <w:tab/>
            </w:r>
          </w:p>
        </w:tc>
        <w:tc>
          <w:tcPr>
            <w:tcW w:w="1435" w:type="dxa"/>
          </w:tcPr>
          <w:p>
            <w:pPr>
              <w:pStyle w:val="yTableNAm"/>
              <w:tabs>
                <w:tab w:val="right" w:leader="dot" w:pos="4253"/>
              </w:tabs>
            </w:pPr>
            <w:r>
              <w:t>$105.00</w:t>
            </w:r>
          </w:p>
        </w:tc>
      </w:tr>
    </w:tbl>
    <w:p>
      <w:pPr>
        <w:pStyle w:val="yFootnotesection"/>
      </w:pPr>
      <w:r>
        <w:tab/>
        <w:t>[Schedule 5 inserted in Gazette 20 Jun 2012 p. 2751.]</w:t>
      </w:r>
    </w:p>
    <w:p>
      <w:pPr>
        <w:pStyle w:val="yScheduleHeading"/>
        <w:outlineLvl w:val="0"/>
      </w:pPr>
      <w:bookmarkStart w:id="724" w:name="_Toc297540803"/>
      <w:bookmarkStart w:id="725" w:name="_Toc297541231"/>
      <w:bookmarkStart w:id="726" w:name="_Toc328403459"/>
      <w:bookmarkStart w:id="727" w:name="_Toc328471508"/>
      <w:bookmarkEnd w:id="721"/>
      <w:bookmarkEnd w:id="722"/>
      <w:r>
        <w:rPr>
          <w:rStyle w:val="CharSchNo"/>
        </w:rPr>
        <w:t>Schedule 6</w:t>
      </w:r>
      <w:r>
        <w:t xml:space="preserve"> — </w:t>
      </w:r>
      <w:r>
        <w:rPr>
          <w:rStyle w:val="CharSchText"/>
        </w:rPr>
        <w:t>Formula for calculating AGRV</w:t>
      </w:r>
      <w:bookmarkEnd w:id="589"/>
      <w:bookmarkEnd w:id="590"/>
      <w:bookmarkEnd w:id="591"/>
      <w:bookmarkEnd w:id="592"/>
      <w:bookmarkEnd w:id="593"/>
      <w:bookmarkEnd w:id="594"/>
      <w:bookmarkEnd w:id="628"/>
      <w:bookmarkEnd w:id="629"/>
      <w:bookmarkEnd w:id="630"/>
      <w:bookmarkEnd w:id="631"/>
      <w:bookmarkEnd w:id="632"/>
      <w:bookmarkEnd w:id="633"/>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702"/>
      <w:bookmarkEnd w:id="703"/>
      <w:bookmarkEnd w:id="704"/>
      <w:bookmarkEnd w:id="705"/>
      <w:bookmarkEnd w:id="706"/>
      <w:bookmarkEnd w:id="707"/>
      <w:bookmarkEnd w:id="708"/>
      <w:bookmarkEnd w:id="709"/>
      <w:bookmarkEnd w:id="710"/>
      <w:bookmarkEnd w:id="711"/>
      <w:bookmarkEnd w:id="712"/>
      <w:bookmarkEnd w:id="713"/>
      <w:bookmarkEnd w:id="714"/>
      <w:bookmarkEnd w:id="723"/>
      <w:bookmarkEnd w:id="724"/>
      <w:bookmarkEnd w:id="725"/>
      <w:bookmarkEnd w:id="726"/>
      <w:bookmarkEnd w:id="727"/>
    </w:p>
    <w:p>
      <w:pPr>
        <w:pStyle w:val="yShoulderClause"/>
      </w:pPr>
      <w:r>
        <w:t>[bl. 14(2) and 24(2)]</w:t>
      </w:r>
    </w:p>
    <w:p>
      <w:pPr>
        <w:pStyle w:val="yFootnotesection"/>
      </w:pPr>
      <w:bookmarkStart w:id="728" w:name="_Toc17278766"/>
      <w:r>
        <w:tab/>
        <w:t>[Heading inserted in Gazette 29 Jun 2001 p. 3224.]</w:t>
      </w:r>
    </w:p>
    <w:p>
      <w:pPr>
        <w:pStyle w:val="yHeading5"/>
      </w:pPr>
      <w:bookmarkStart w:id="729" w:name="_Toc180204903"/>
      <w:bookmarkStart w:id="730" w:name="_Toc328471509"/>
      <w:r>
        <w:rPr>
          <w:rStyle w:val="CharSClsNo"/>
        </w:rPr>
        <w:t>1</w:t>
      </w:r>
      <w:r>
        <w:t>.</w:t>
      </w:r>
      <w:r>
        <w:tab/>
      </w:r>
      <w:bookmarkEnd w:id="728"/>
      <w:r>
        <w:t>Term used</w:t>
      </w:r>
      <w:bookmarkEnd w:id="729"/>
      <w:r>
        <w:t>: relevant general valuation</w:t>
      </w:r>
      <w:bookmarkEnd w:id="730"/>
    </w:p>
    <w:p>
      <w:pPr>
        <w:pStyle w:val="ySubsection"/>
      </w:pPr>
      <w:r>
        <w:tab/>
      </w:r>
      <w:r>
        <w:tab/>
        <w:t>In this Schedule —</w:t>
      </w:r>
    </w:p>
    <w:p>
      <w:pPr>
        <w:pStyle w:val="yDefstart"/>
      </w:pPr>
      <w:r>
        <w:tab/>
      </w:r>
      <w:r>
        <w:rPr>
          <w:rStyle w:val="CharDefText"/>
        </w:rPr>
        <w:t>relevant general valuation</w:t>
      </w:r>
      <w:r>
        <w:t xml:space="preserve">, in relation to a charge in respect of land, means the last general valuation under the </w:t>
      </w:r>
      <w:r>
        <w:rPr>
          <w:i/>
        </w:rPr>
        <w:t>Valuation of Land Act 1978</w:t>
      </w:r>
      <w:r>
        <w:t xml:space="preserve"> pursuant to which a value was assigned to that land and that —</w:t>
      </w:r>
    </w:p>
    <w:p>
      <w:pPr>
        <w:pStyle w:val="yDefpara"/>
      </w:pPr>
      <w:r>
        <w:tab/>
        <w:t>(a)</w:t>
      </w:r>
      <w:r>
        <w:tab/>
        <w:t>was expressed by a notice under section 21 or 22 of that Act to come into force; and</w:t>
      </w:r>
    </w:p>
    <w:p>
      <w:pPr>
        <w:pStyle w:val="yDefpara"/>
      </w:pPr>
      <w:r>
        <w:tab/>
        <w:t>(b)</w:t>
      </w:r>
      <w:r>
        <w:tab/>
        <w:t>came into force for the purposes of this Act,</w:t>
      </w:r>
    </w:p>
    <w:p>
      <w:pPr>
        <w:pStyle w:val="yDefstart"/>
      </w:pPr>
      <w:r>
        <w:tab/>
        <w:t>before the commencement of the period for which the charge is to be imposed.</w:t>
      </w:r>
    </w:p>
    <w:p>
      <w:pPr>
        <w:pStyle w:val="yHeading5"/>
      </w:pPr>
      <w:bookmarkStart w:id="731" w:name="_Toc17278767"/>
      <w:bookmarkStart w:id="732" w:name="_Toc180204904"/>
      <w:bookmarkStart w:id="733" w:name="_Toc328471510"/>
      <w:r>
        <w:rPr>
          <w:rStyle w:val="CharSClsNo"/>
        </w:rPr>
        <w:t>2</w:t>
      </w:r>
      <w:r>
        <w:t>.</w:t>
      </w:r>
      <w:r>
        <w:tab/>
        <w:t>Formula for calculating AGRV</w:t>
      </w:r>
      <w:bookmarkEnd w:id="731"/>
      <w:bookmarkEnd w:id="732"/>
      <w:bookmarkEnd w:id="733"/>
    </w:p>
    <w:p>
      <w:pPr>
        <w:pStyle w:val="ySubsection"/>
      </w:pPr>
      <w:r>
        <w:tab/>
      </w:r>
      <w:r>
        <w:tab/>
        <w:t>If the relevant general valuation was conducted in the previous year, then —</w:t>
      </w:r>
    </w:p>
    <w:p>
      <w:pPr>
        <w:pStyle w:val="ySubsection"/>
        <w:rPr>
          <w:b/>
          <w:bCs/>
        </w:rPr>
      </w:pPr>
      <w:r>
        <w:tab/>
      </w:r>
      <w:r>
        <w:tab/>
      </w:r>
      <w:r>
        <w:rPr>
          <w:b/>
          <w:bCs/>
        </w:rPr>
        <w:t xml:space="preserve">AGRV = GRV </w:t>
      </w:r>
      <w:r>
        <w:rPr>
          <w:b/>
          <w:bCs/>
        </w:rPr>
        <w:sym w:font="Symbol" w:char="F0B4"/>
      </w:r>
      <w:r>
        <w:rPr>
          <w:b/>
          <w:bCs/>
        </w:rPr>
        <w:t xml:space="preserve"> A</w:t>
      </w:r>
    </w:p>
    <w:p>
      <w:pPr>
        <w:pStyle w:val="ySubsection"/>
      </w:pPr>
      <w:r>
        <w:tab/>
      </w:r>
      <w:r>
        <w:tab/>
        <w:t>or if the relevant general valuation was conducted in any earlier year —</w:t>
      </w:r>
    </w:p>
    <w:p>
      <w:pPr>
        <w:pStyle w:val="ySubsection"/>
        <w:rPr>
          <w:b/>
          <w:bCs/>
        </w:rPr>
      </w:pPr>
      <w:r>
        <w:tab/>
      </w:r>
      <w:r>
        <w:tab/>
      </w:r>
      <w:r>
        <w:rPr>
          <w:b/>
          <w:bCs/>
        </w:rPr>
        <w:t xml:space="preserve">AGRV = GRV </w:t>
      </w:r>
      <w:r>
        <w:rPr>
          <w:b/>
          <w:bCs/>
        </w:rPr>
        <w:sym w:font="Symbol" w:char="F0B4"/>
      </w:r>
      <w:r>
        <w:rPr>
          <w:b/>
          <w:bCs/>
        </w:rPr>
        <w:t xml:space="preserve"> A </w:t>
      </w:r>
      <w:r>
        <w:rPr>
          <w:b/>
          <w:bCs/>
        </w:rPr>
        <w:sym w:font="Symbol" w:char="F0B4"/>
      </w:r>
      <w:r>
        <w:rPr>
          <w:b/>
          <w:bCs/>
        </w:rPr>
        <w:t xml:space="preserve"> B</w:t>
      </w:r>
    </w:p>
    <w:p>
      <w:pPr>
        <w:pStyle w:val="ySubsection"/>
      </w:pPr>
      <w:r>
        <w:tab/>
      </w:r>
      <w:r>
        <w:tab/>
        <w:t>where —</w:t>
      </w:r>
    </w:p>
    <w:p>
      <w:pPr>
        <w:pStyle w:val="yIndenta"/>
      </w:pPr>
      <w:r>
        <w:rPr>
          <w:b/>
        </w:rPr>
        <w:tab/>
        <w:t xml:space="preserve">A  </w:t>
      </w:r>
      <w:r>
        <w:t>=</w:t>
      </w:r>
      <w:r>
        <w:tab/>
        <w:t>1.00; and</w:t>
      </w:r>
    </w:p>
    <w:p>
      <w:pPr>
        <w:pStyle w:val="yIndenta"/>
      </w:pPr>
      <w:r>
        <w:rPr>
          <w:b/>
        </w:rPr>
        <w:tab/>
        <w:t>B</w:t>
      </w:r>
      <w:r>
        <w:t xml:space="preserve">  =</w:t>
      </w:r>
      <w:r>
        <w:tab/>
        <w:t>the product of the values of “</w:t>
      </w:r>
      <w:r>
        <w:rPr>
          <w:b/>
        </w:rPr>
        <w:t>A</w:t>
      </w:r>
      <w:r>
        <w:t>” prescribed for each year after the year in which the relevant general valuation was conducted, up to but not including the previous year as defined in by</w:t>
      </w:r>
      <w:r>
        <w:noBreakHyphen/>
        <w:t>law 2(1).</w:t>
      </w:r>
    </w:p>
    <w:p>
      <w:pPr>
        <w:pStyle w:val="yFootnotesection"/>
      </w:pPr>
      <w:r>
        <w:tab/>
        <w:t>[Schedule 6, formerly Schedule 5, inserted in Gazette 29 Jun 1999 p. 2822</w:t>
      </w:r>
      <w:r>
        <w:noBreakHyphen/>
        <w:t>3; amended in Gazette 29 Jun 2000 p. 3357; 29 Jun 2001 p. 3224.]</w:t>
      </w:r>
    </w:p>
    <w:p>
      <w:pPr>
        <w:sectPr>
          <w:headerReference w:type="even" r:id="rId28"/>
          <w:headerReference w:type="default" r:id="rId29"/>
          <w:headerReference w:type="first" r:id="rId30"/>
          <w:pgSz w:w="11906" w:h="16838" w:code="9"/>
          <w:pgMar w:top="2604" w:right="2405" w:bottom="3542" w:left="2405" w:header="706" w:footer="3380" w:gutter="0"/>
          <w:cols w:space="720"/>
          <w:noEndnote/>
          <w:docGrid w:linePitch="326"/>
        </w:sectPr>
      </w:pPr>
      <w:bookmarkStart w:id="734" w:name="_Toc328403462"/>
      <w:bookmarkStart w:id="735" w:name="_Toc265743687"/>
      <w:bookmarkStart w:id="736" w:name="_Toc297540806"/>
      <w:bookmarkStart w:id="737" w:name="_Toc297541234"/>
      <w:bookmarkStart w:id="738" w:name="_Toc139771109"/>
      <w:bookmarkStart w:id="739" w:name="_Toc139771487"/>
      <w:bookmarkStart w:id="740" w:name="_Toc151191702"/>
      <w:bookmarkStart w:id="741" w:name="_Toc151260595"/>
      <w:bookmarkStart w:id="742" w:name="_Toc164158702"/>
      <w:bookmarkStart w:id="743" w:name="_Toc164221074"/>
    </w:p>
    <w:p>
      <w:pPr>
        <w:pStyle w:val="yScheduleHeading"/>
      </w:pPr>
      <w:bookmarkStart w:id="744" w:name="_Toc328471511"/>
      <w:r>
        <w:rPr>
          <w:rStyle w:val="CharSchNo"/>
        </w:rPr>
        <w:t>Schedule 7</w:t>
      </w:r>
      <w:r>
        <w:t> — </w:t>
      </w:r>
      <w:r>
        <w:rPr>
          <w:rStyle w:val="CharSchText"/>
        </w:rPr>
        <w:t>Discounts and additional charges</w:t>
      </w:r>
      <w:bookmarkEnd w:id="734"/>
      <w:bookmarkEnd w:id="744"/>
    </w:p>
    <w:p>
      <w:pPr>
        <w:pStyle w:val="yShoulderClause"/>
      </w:pPr>
      <w:r>
        <w:t>[bl. 7, 8, 8A and 9]</w:t>
      </w:r>
    </w:p>
    <w:p>
      <w:pPr>
        <w:pStyle w:val="yFootnoteheading"/>
        <w:spacing w:after="60"/>
      </w:pPr>
      <w:r>
        <w:tab/>
        <w:t>[Heading inserted in Gazette 20 Jun 2012 p. 2752.]</w:t>
      </w:r>
    </w:p>
    <w:tbl>
      <w:tblPr>
        <w:tblW w:w="0" w:type="auto"/>
        <w:tblInd w:w="534" w:type="dxa"/>
        <w:tblLook w:val="0000" w:firstRow="0" w:lastRow="0" w:firstColumn="0" w:lastColumn="0" w:noHBand="0" w:noVBand="0"/>
      </w:tblPr>
      <w:tblGrid>
        <w:gridCol w:w="850"/>
        <w:gridCol w:w="4235"/>
        <w:gridCol w:w="1435"/>
      </w:tblGrid>
      <w:tr>
        <w:trPr>
          <w:cantSplit/>
        </w:trPr>
        <w:tc>
          <w:tcPr>
            <w:tcW w:w="850" w:type="dxa"/>
          </w:tcPr>
          <w:p>
            <w:pPr>
              <w:pStyle w:val="yTableNAm"/>
              <w:tabs>
                <w:tab w:val="right" w:leader="dot" w:pos="4253"/>
              </w:tabs>
              <w:rPr>
                <w:b/>
              </w:rPr>
            </w:pPr>
            <w:r>
              <w:rPr>
                <w:b/>
              </w:rPr>
              <w:t>1.</w:t>
            </w:r>
          </w:p>
        </w:tc>
        <w:tc>
          <w:tcPr>
            <w:tcW w:w="5670" w:type="dxa"/>
            <w:gridSpan w:val="2"/>
          </w:tcPr>
          <w:p>
            <w:pPr>
              <w:pStyle w:val="yTableNAm"/>
              <w:keepNext/>
              <w:keepLines/>
              <w:tabs>
                <w:tab w:val="right" w:leader="dot" w:pos="4253"/>
              </w:tabs>
              <w:rPr>
                <w:b/>
                <w:bCs/>
              </w:rPr>
            </w:pPr>
            <w:r>
              <w:rPr>
                <w:b/>
                <w:bCs/>
              </w:rPr>
              <w:t>Discount</w:t>
            </w:r>
          </w:p>
        </w:tc>
      </w:tr>
      <w:tr>
        <w:tc>
          <w:tcPr>
            <w:tcW w:w="850" w:type="dxa"/>
          </w:tcPr>
          <w:p>
            <w:pPr>
              <w:pStyle w:val="yTableNAm"/>
              <w:tabs>
                <w:tab w:val="right" w:leader="dot" w:pos="4253"/>
              </w:tabs>
            </w:pPr>
          </w:p>
        </w:tc>
        <w:tc>
          <w:tcPr>
            <w:tcW w:w="4235" w:type="dxa"/>
          </w:tcPr>
          <w:p>
            <w:pPr>
              <w:pStyle w:val="yTableNAm"/>
              <w:keepNext/>
              <w:keepLines/>
              <w:tabs>
                <w:tab w:val="right" w:leader="dot" w:pos="4253"/>
              </w:tabs>
            </w:pPr>
            <w:r>
              <w:t>By</w:t>
            </w:r>
            <w:r>
              <w:noBreakHyphen/>
              <w:t xml:space="preserve">law 7(4)(a)(i) </w:t>
            </w:r>
            <w:r>
              <w:tab/>
            </w:r>
          </w:p>
        </w:tc>
        <w:tc>
          <w:tcPr>
            <w:tcW w:w="1435" w:type="dxa"/>
          </w:tcPr>
          <w:p>
            <w:pPr>
              <w:pStyle w:val="yTableNAm"/>
              <w:keepNext/>
              <w:keepLines/>
              <w:tabs>
                <w:tab w:val="right" w:leader="dot" w:pos="4253"/>
              </w:tabs>
            </w:pPr>
            <w:r>
              <w:t>$1.50</w:t>
            </w:r>
          </w:p>
        </w:tc>
      </w:tr>
      <w:tr>
        <w:tc>
          <w:tcPr>
            <w:tcW w:w="850" w:type="dxa"/>
          </w:tcPr>
          <w:p>
            <w:pPr>
              <w:pStyle w:val="yTableNAm"/>
              <w:tabs>
                <w:tab w:val="right" w:leader="dot" w:pos="4253"/>
              </w:tabs>
              <w:rPr>
                <w:b/>
              </w:rPr>
            </w:pPr>
            <w:r>
              <w:rPr>
                <w:b/>
              </w:rPr>
              <w:t>2.</w:t>
            </w:r>
          </w:p>
        </w:tc>
        <w:tc>
          <w:tcPr>
            <w:tcW w:w="4235" w:type="dxa"/>
          </w:tcPr>
          <w:p>
            <w:pPr>
              <w:pStyle w:val="yTableNAm"/>
              <w:tabs>
                <w:tab w:val="right" w:leader="dot" w:pos="4253"/>
              </w:tabs>
              <w:rPr>
                <w:b/>
                <w:bCs/>
              </w:rPr>
            </w:pPr>
            <w:r>
              <w:rPr>
                <w:b/>
                <w:bCs/>
              </w:rPr>
              <w:t>Additional charges</w:t>
            </w:r>
          </w:p>
        </w:tc>
        <w:tc>
          <w:tcPr>
            <w:tcW w:w="1435" w:type="dxa"/>
          </w:tcPr>
          <w:p>
            <w:pPr>
              <w:pStyle w:val="yTableNAm"/>
              <w:tabs>
                <w:tab w:val="right" w:leader="dot" w:pos="4253"/>
              </w:tabs>
              <w:rPr>
                <w:b/>
                <w:bCs/>
              </w:rPr>
            </w:pPr>
          </w:p>
        </w:tc>
      </w:tr>
      <w:tr>
        <w:tc>
          <w:tcPr>
            <w:tcW w:w="850" w:type="dxa"/>
          </w:tcPr>
          <w:p>
            <w:pPr>
              <w:pStyle w:val="yTableNAm"/>
              <w:tabs>
                <w:tab w:val="right" w:leader="dot" w:pos="4253"/>
              </w:tabs>
            </w:pPr>
          </w:p>
        </w:tc>
        <w:tc>
          <w:tcPr>
            <w:tcW w:w="4235" w:type="dxa"/>
          </w:tcPr>
          <w:p>
            <w:pPr>
              <w:pStyle w:val="yTableNAm"/>
              <w:tabs>
                <w:tab w:val="right" w:leader="dot" w:pos="4253"/>
              </w:tabs>
            </w:pPr>
            <w:r>
              <w:t>By</w:t>
            </w:r>
            <w:r>
              <w:noBreakHyphen/>
              <w:t xml:space="preserve">law 7(4)(b)(i) </w:t>
            </w:r>
            <w:r>
              <w:tab/>
            </w:r>
          </w:p>
        </w:tc>
        <w:tc>
          <w:tcPr>
            <w:tcW w:w="1435" w:type="dxa"/>
          </w:tcPr>
          <w:p>
            <w:pPr>
              <w:pStyle w:val="yTableNAm"/>
              <w:tabs>
                <w:tab w:val="right" w:leader="dot" w:pos="4253"/>
              </w:tabs>
            </w:pPr>
            <w:r>
              <w:t>$3.00</w:t>
            </w:r>
          </w:p>
        </w:tc>
      </w:tr>
      <w:tr>
        <w:tc>
          <w:tcPr>
            <w:tcW w:w="850" w:type="dxa"/>
          </w:tcPr>
          <w:p>
            <w:pPr>
              <w:pStyle w:val="yTableNAm"/>
              <w:keepNext/>
              <w:keepLines/>
              <w:tabs>
                <w:tab w:val="right" w:leader="dot" w:pos="4253"/>
              </w:tabs>
              <w:rPr>
                <w:b/>
              </w:rPr>
            </w:pPr>
            <w:r>
              <w:rPr>
                <w:b/>
              </w:rPr>
              <w:t>3.</w:t>
            </w:r>
          </w:p>
        </w:tc>
        <w:tc>
          <w:tcPr>
            <w:tcW w:w="4235" w:type="dxa"/>
          </w:tcPr>
          <w:p>
            <w:pPr>
              <w:pStyle w:val="yTableNAm"/>
              <w:keepNext/>
              <w:keepLines/>
              <w:tabs>
                <w:tab w:val="right" w:leader="dot" w:pos="4253"/>
              </w:tabs>
              <w:rPr>
                <w:b/>
                <w:bCs/>
              </w:rPr>
            </w:pPr>
            <w:r>
              <w:rPr>
                <w:b/>
                <w:bCs/>
              </w:rPr>
              <w:t>Rates of interest</w:t>
            </w:r>
          </w:p>
        </w:tc>
        <w:tc>
          <w:tcPr>
            <w:tcW w:w="1435" w:type="dxa"/>
          </w:tcPr>
          <w:p>
            <w:pPr>
              <w:pStyle w:val="yTableNAm"/>
              <w:keepNext/>
              <w:keepLines/>
              <w:tabs>
                <w:tab w:val="right" w:leader="dot" w:pos="4253"/>
              </w:tabs>
              <w:rPr>
                <w:b/>
                <w:bCs/>
              </w:rPr>
            </w:pPr>
          </w:p>
        </w:tc>
      </w:tr>
      <w:tr>
        <w:tc>
          <w:tcPr>
            <w:tcW w:w="850" w:type="dxa"/>
          </w:tcPr>
          <w:p>
            <w:pPr>
              <w:pStyle w:val="yTableNAm"/>
              <w:keepNext/>
              <w:keepLines/>
              <w:tabs>
                <w:tab w:val="right" w:leader="dot" w:pos="4253"/>
              </w:tabs>
            </w:pPr>
          </w:p>
        </w:tc>
        <w:tc>
          <w:tcPr>
            <w:tcW w:w="4235" w:type="dxa"/>
          </w:tcPr>
          <w:p>
            <w:pPr>
              <w:pStyle w:val="yTableNAm"/>
              <w:keepNext/>
              <w:keepLines/>
              <w:tabs>
                <w:tab w:val="right" w:leader="dot" w:pos="4253"/>
              </w:tabs>
            </w:pPr>
            <w:r>
              <w:t>By</w:t>
            </w:r>
            <w:r>
              <w:noBreakHyphen/>
              <w:t xml:space="preserve">law 7(4)(a)(ii) </w:t>
            </w:r>
            <w:r>
              <w:tab/>
            </w:r>
          </w:p>
        </w:tc>
        <w:tc>
          <w:tcPr>
            <w:tcW w:w="1435" w:type="dxa"/>
          </w:tcPr>
          <w:p>
            <w:pPr>
              <w:pStyle w:val="yTableNAm"/>
              <w:keepNext/>
              <w:keepLines/>
              <w:tabs>
                <w:tab w:val="right" w:leader="dot" w:pos="4253"/>
              </w:tabs>
            </w:pPr>
            <w:r>
              <w:t>2.19% per annum</w:t>
            </w:r>
          </w:p>
        </w:tc>
      </w:tr>
      <w:tr>
        <w:tc>
          <w:tcPr>
            <w:tcW w:w="850" w:type="dxa"/>
          </w:tcPr>
          <w:p>
            <w:pPr>
              <w:pStyle w:val="yTableNAm"/>
              <w:tabs>
                <w:tab w:val="right" w:leader="dot" w:pos="4253"/>
              </w:tabs>
            </w:pPr>
          </w:p>
        </w:tc>
        <w:tc>
          <w:tcPr>
            <w:tcW w:w="4235" w:type="dxa"/>
          </w:tcPr>
          <w:p>
            <w:pPr>
              <w:pStyle w:val="yTableNAm"/>
              <w:tabs>
                <w:tab w:val="right" w:leader="dot" w:pos="4253"/>
              </w:tabs>
            </w:pPr>
            <w:r>
              <w:t>By</w:t>
            </w:r>
            <w:r>
              <w:noBreakHyphen/>
              <w:t xml:space="preserve">law 7(4)(b)(ii) </w:t>
            </w:r>
            <w:r>
              <w:tab/>
            </w:r>
          </w:p>
        </w:tc>
        <w:tc>
          <w:tcPr>
            <w:tcW w:w="1435" w:type="dxa"/>
          </w:tcPr>
          <w:p>
            <w:pPr>
              <w:pStyle w:val="yTableNAm"/>
              <w:tabs>
                <w:tab w:val="right" w:leader="dot" w:pos="4253"/>
              </w:tabs>
            </w:pPr>
            <w:r>
              <w:t>3.19% per annum</w:t>
            </w:r>
          </w:p>
        </w:tc>
      </w:tr>
      <w:tr>
        <w:tc>
          <w:tcPr>
            <w:tcW w:w="850" w:type="dxa"/>
          </w:tcPr>
          <w:p>
            <w:pPr>
              <w:pStyle w:val="yTableNAm"/>
              <w:tabs>
                <w:tab w:val="right" w:leader="dot" w:pos="4253"/>
              </w:tabs>
              <w:rPr>
                <w:b/>
              </w:rPr>
            </w:pPr>
            <w:r>
              <w:rPr>
                <w:b/>
              </w:rPr>
              <w:t>4.</w:t>
            </w:r>
          </w:p>
        </w:tc>
        <w:tc>
          <w:tcPr>
            <w:tcW w:w="4235" w:type="dxa"/>
          </w:tcPr>
          <w:p>
            <w:pPr>
              <w:pStyle w:val="yTableNAm"/>
              <w:tabs>
                <w:tab w:val="right" w:leader="dot" w:pos="4253"/>
              </w:tabs>
              <w:rPr>
                <w:b/>
                <w:bCs/>
              </w:rPr>
            </w:pPr>
            <w:r>
              <w:rPr>
                <w:b/>
                <w:bCs/>
              </w:rPr>
              <w:t>Concession (by</w:t>
            </w:r>
            <w:r>
              <w:rPr>
                <w:b/>
                <w:bCs/>
              </w:rPr>
              <w:noBreakHyphen/>
              <w:t>law 8A(2))</w:t>
            </w:r>
          </w:p>
        </w:tc>
        <w:tc>
          <w:tcPr>
            <w:tcW w:w="1435" w:type="dxa"/>
          </w:tcPr>
          <w:p>
            <w:pPr>
              <w:pStyle w:val="yTableNAm"/>
              <w:tabs>
                <w:tab w:val="right" w:leader="dot" w:pos="4253"/>
              </w:tabs>
              <w:rPr>
                <w:b/>
                <w:bCs/>
              </w:rPr>
            </w:pPr>
          </w:p>
        </w:tc>
      </w:tr>
      <w:tr>
        <w:tc>
          <w:tcPr>
            <w:tcW w:w="850" w:type="dxa"/>
          </w:tcPr>
          <w:p>
            <w:pPr>
              <w:pStyle w:val="yTableNAm"/>
              <w:tabs>
                <w:tab w:val="right" w:leader="dot" w:pos="4253"/>
              </w:tabs>
            </w:pPr>
          </w:p>
        </w:tc>
        <w:tc>
          <w:tcPr>
            <w:tcW w:w="4235" w:type="dxa"/>
          </w:tcPr>
          <w:p>
            <w:pPr>
              <w:pStyle w:val="yTableNAm"/>
              <w:tabs>
                <w:tab w:val="right" w:leader="dot" w:pos="4253"/>
              </w:tabs>
            </w:pPr>
            <w:r>
              <w:t xml:space="preserve">Charge for water supply </w:t>
            </w:r>
            <w:r>
              <w:tab/>
            </w:r>
          </w:p>
        </w:tc>
        <w:tc>
          <w:tcPr>
            <w:tcW w:w="1435" w:type="dxa"/>
          </w:tcPr>
          <w:p>
            <w:pPr>
              <w:pStyle w:val="yTableNAm"/>
              <w:tabs>
                <w:tab w:val="right" w:leader="dot" w:pos="4253"/>
              </w:tabs>
            </w:pPr>
            <w:r>
              <w:t>$89.75</w:t>
            </w:r>
          </w:p>
        </w:tc>
      </w:tr>
      <w:tr>
        <w:tc>
          <w:tcPr>
            <w:tcW w:w="850" w:type="dxa"/>
          </w:tcPr>
          <w:p>
            <w:pPr>
              <w:pStyle w:val="yTableNAm"/>
              <w:tabs>
                <w:tab w:val="right" w:leader="dot" w:pos="4253"/>
              </w:tabs>
            </w:pPr>
          </w:p>
        </w:tc>
        <w:tc>
          <w:tcPr>
            <w:tcW w:w="4235" w:type="dxa"/>
          </w:tcPr>
          <w:p>
            <w:pPr>
              <w:pStyle w:val="yTableNAm"/>
              <w:tabs>
                <w:tab w:val="right" w:leader="dot" w:pos="4253"/>
              </w:tabs>
            </w:pPr>
            <w:r>
              <w:t xml:space="preserve">Charge for sewerage </w:t>
            </w:r>
            <w:r>
              <w:tab/>
            </w:r>
          </w:p>
        </w:tc>
        <w:tc>
          <w:tcPr>
            <w:tcW w:w="1435" w:type="dxa"/>
          </w:tcPr>
          <w:p>
            <w:pPr>
              <w:pStyle w:val="yTableNAm"/>
              <w:tabs>
                <w:tab w:val="right" w:leader="dot" w:pos="4253"/>
              </w:tabs>
            </w:pPr>
            <w:r>
              <w:t>$184.70</w:t>
            </w:r>
          </w:p>
        </w:tc>
      </w:tr>
      <w:tr>
        <w:tc>
          <w:tcPr>
            <w:tcW w:w="850" w:type="dxa"/>
          </w:tcPr>
          <w:p>
            <w:pPr>
              <w:pStyle w:val="yTableNAm"/>
              <w:tabs>
                <w:tab w:val="right" w:leader="dot" w:pos="4253"/>
              </w:tabs>
            </w:pPr>
          </w:p>
        </w:tc>
        <w:tc>
          <w:tcPr>
            <w:tcW w:w="4235" w:type="dxa"/>
          </w:tcPr>
          <w:p>
            <w:pPr>
              <w:pStyle w:val="yTableNAm"/>
              <w:tabs>
                <w:tab w:val="right" w:leader="dot" w:pos="4253"/>
              </w:tabs>
            </w:pPr>
            <w:r>
              <w:t xml:space="preserve">Charge for drainage </w:t>
            </w:r>
            <w:r>
              <w:tab/>
            </w:r>
          </w:p>
        </w:tc>
        <w:tc>
          <w:tcPr>
            <w:tcW w:w="1435" w:type="dxa"/>
          </w:tcPr>
          <w:p>
            <w:pPr>
              <w:pStyle w:val="yTableNAm"/>
              <w:tabs>
                <w:tab w:val="right" w:leader="dot" w:pos="4253"/>
              </w:tabs>
            </w:pPr>
            <w:r>
              <w:t>$24.05</w:t>
            </w:r>
          </w:p>
        </w:tc>
      </w:tr>
      <w:tr>
        <w:tc>
          <w:tcPr>
            <w:tcW w:w="850" w:type="dxa"/>
          </w:tcPr>
          <w:p>
            <w:pPr>
              <w:pStyle w:val="yTableNAm"/>
              <w:tabs>
                <w:tab w:val="right" w:leader="dot" w:pos="4253"/>
              </w:tabs>
              <w:rPr>
                <w:b/>
              </w:rPr>
            </w:pPr>
            <w:r>
              <w:rPr>
                <w:b/>
              </w:rPr>
              <w:t>5.</w:t>
            </w:r>
          </w:p>
        </w:tc>
        <w:tc>
          <w:tcPr>
            <w:tcW w:w="4235" w:type="dxa"/>
          </w:tcPr>
          <w:p>
            <w:pPr>
              <w:pStyle w:val="yTableNAm"/>
              <w:tabs>
                <w:tab w:val="right" w:leader="dot" w:pos="4253"/>
              </w:tabs>
              <w:rPr>
                <w:b/>
                <w:bCs/>
              </w:rPr>
            </w:pPr>
            <w:r>
              <w:rPr>
                <w:b/>
                <w:bCs/>
              </w:rPr>
              <w:t>Interest on overdue amounts (by</w:t>
            </w:r>
            <w:r>
              <w:rPr>
                <w:b/>
                <w:bCs/>
              </w:rPr>
              <w:noBreakHyphen/>
              <w:t>law 9)</w:t>
            </w:r>
          </w:p>
        </w:tc>
        <w:tc>
          <w:tcPr>
            <w:tcW w:w="1435" w:type="dxa"/>
          </w:tcPr>
          <w:p>
            <w:pPr>
              <w:pStyle w:val="yTableNAm"/>
              <w:tabs>
                <w:tab w:val="right" w:leader="dot" w:pos="4253"/>
              </w:tabs>
              <w:rPr>
                <w:b/>
                <w:bCs/>
              </w:rPr>
            </w:pPr>
          </w:p>
        </w:tc>
      </w:tr>
      <w:tr>
        <w:tc>
          <w:tcPr>
            <w:tcW w:w="850" w:type="dxa"/>
          </w:tcPr>
          <w:p>
            <w:pPr>
              <w:pStyle w:val="yTableNAm"/>
              <w:tabs>
                <w:tab w:val="right" w:leader="dot" w:pos="4253"/>
              </w:tabs>
            </w:pPr>
          </w:p>
        </w:tc>
        <w:tc>
          <w:tcPr>
            <w:tcW w:w="4235" w:type="dxa"/>
          </w:tcPr>
          <w:p>
            <w:pPr>
              <w:pStyle w:val="yTableNAm"/>
              <w:tabs>
                <w:tab w:val="right" w:leader="dot" w:pos="4253"/>
              </w:tabs>
            </w:pPr>
            <w:r>
              <w:t>Interest on overdue amounts (by</w:t>
            </w:r>
            <w:r>
              <w:noBreakHyphen/>
              <w:t xml:space="preserve">law 9) </w:t>
            </w:r>
            <w:r>
              <w:tab/>
            </w:r>
          </w:p>
        </w:tc>
        <w:tc>
          <w:tcPr>
            <w:tcW w:w="1435" w:type="dxa"/>
          </w:tcPr>
          <w:p>
            <w:pPr>
              <w:pStyle w:val="yTableNAm"/>
              <w:tabs>
                <w:tab w:val="right" w:leader="dot" w:pos="4253"/>
              </w:tabs>
            </w:pPr>
            <w:r>
              <w:t>13.39% per annum</w:t>
            </w:r>
          </w:p>
        </w:tc>
      </w:tr>
    </w:tbl>
    <w:p>
      <w:pPr>
        <w:pStyle w:val="yFootnotesection"/>
      </w:pPr>
      <w:r>
        <w:tab/>
        <w:t>[Schedule 7 inserted in Gazette 20 Jun 2012 p. 2752.]</w:t>
      </w:r>
    </w:p>
    <w:p>
      <w:pPr>
        <w:pStyle w:val="yScheduleHeading"/>
      </w:pPr>
      <w:bookmarkStart w:id="745" w:name="_Toc328403463"/>
      <w:bookmarkStart w:id="746" w:name="_Toc328471512"/>
      <w:bookmarkStart w:id="747" w:name="_Toc297540807"/>
      <w:bookmarkStart w:id="748" w:name="_Toc297541235"/>
      <w:bookmarkEnd w:id="735"/>
      <w:bookmarkEnd w:id="736"/>
      <w:bookmarkEnd w:id="737"/>
      <w:r>
        <w:rPr>
          <w:rStyle w:val="CharSchNo"/>
        </w:rPr>
        <w:t>Schedule 8</w:t>
      </w:r>
      <w:r>
        <w:t> — </w:t>
      </w:r>
      <w:r>
        <w:rPr>
          <w:rStyle w:val="CharSchText"/>
        </w:rPr>
        <w:t>Water supply charges for Government trading organisations and non</w:t>
      </w:r>
      <w:r>
        <w:rPr>
          <w:rStyle w:val="CharSchText"/>
        </w:rPr>
        <w:noBreakHyphen/>
        <w:t>commercial Government property</w:t>
      </w:r>
      <w:bookmarkEnd w:id="745"/>
      <w:bookmarkEnd w:id="746"/>
    </w:p>
    <w:p>
      <w:pPr>
        <w:pStyle w:val="yShoulderClause"/>
      </w:pPr>
      <w:r>
        <w:t>[bl. 8B]</w:t>
      </w:r>
    </w:p>
    <w:p>
      <w:pPr>
        <w:pStyle w:val="yFootnoteheading"/>
        <w:spacing w:after="60"/>
      </w:pPr>
      <w:r>
        <w:tab/>
        <w:t>[Heading inserted in Gazette 20 Jun 2012 p. 2753.]</w:t>
      </w:r>
    </w:p>
    <w:p>
      <w:pPr>
        <w:pStyle w:val="yMiscellaneousHeading"/>
        <w:tabs>
          <w:tab w:val="left" w:pos="993"/>
        </w:tabs>
        <w:ind w:left="480"/>
        <w:jc w:val="left"/>
        <w:rPr>
          <w:b/>
        </w:rPr>
      </w:pPr>
      <w:r>
        <w:rPr>
          <w:b/>
        </w:rPr>
        <w:t>1.</w:t>
      </w:r>
      <w:r>
        <w:rPr>
          <w:b/>
        </w:rPr>
        <w:tab/>
        <w:t>Annual charge (based on meter size)</w:t>
      </w:r>
    </w:p>
    <w:tbl>
      <w:tblPr>
        <w:tblW w:w="0" w:type="auto"/>
        <w:tblInd w:w="1166" w:type="dxa"/>
        <w:tblLayout w:type="fixed"/>
        <w:tblCellMar>
          <w:left w:w="284" w:type="dxa"/>
          <w:right w:w="284" w:type="dxa"/>
        </w:tblCellMar>
        <w:tblLook w:val="0000" w:firstRow="0" w:lastRow="0" w:firstColumn="0" w:lastColumn="0" w:noHBand="0" w:noVBand="0"/>
      </w:tblPr>
      <w:tblGrid>
        <w:gridCol w:w="3087"/>
        <w:gridCol w:w="2960"/>
        <w:gridCol w:w="17"/>
      </w:tblGrid>
      <w:tr>
        <w:trPr>
          <w:cantSplit/>
          <w:tblHeader/>
        </w:trPr>
        <w:tc>
          <w:tcPr>
            <w:tcW w:w="3087" w:type="dxa"/>
            <w:tcBorders>
              <w:top w:val="single" w:sz="4" w:space="0" w:color="auto"/>
              <w:bottom w:val="single" w:sz="4" w:space="0" w:color="auto"/>
            </w:tcBorders>
          </w:tcPr>
          <w:p>
            <w:pPr>
              <w:pStyle w:val="yTableNAm"/>
              <w:ind w:right="-142"/>
              <w:jc w:val="center"/>
              <w:rPr>
                <w:b/>
                <w:bCs/>
              </w:rPr>
            </w:pPr>
            <w:r>
              <w:rPr>
                <w:b/>
                <w:bCs/>
              </w:rPr>
              <w:t>Meter size</w:t>
            </w:r>
            <w:r>
              <w:rPr>
                <w:b/>
                <w:bCs/>
              </w:rPr>
              <w:br/>
              <w:t>mm</w:t>
            </w:r>
          </w:p>
        </w:tc>
        <w:tc>
          <w:tcPr>
            <w:tcW w:w="2977" w:type="dxa"/>
            <w:gridSpan w:val="2"/>
            <w:tcBorders>
              <w:top w:val="single" w:sz="4" w:space="0" w:color="auto"/>
              <w:bottom w:val="single" w:sz="4" w:space="0" w:color="auto"/>
            </w:tcBorders>
          </w:tcPr>
          <w:p>
            <w:pPr>
              <w:pStyle w:val="yTableNAm"/>
              <w:tabs>
                <w:tab w:val="clear" w:pos="567"/>
              </w:tabs>
              <w:ind w:right="-284"/>
              <w:jc w:val="center"/>
              <w:rPr>
                <w:b/>
                <w:bCs/>
              </w:rPr>
            </w:pPr>
            <w:r>
              <w:rPr>
                <w:b/>
                <w:bCs/>
              </w:rPr>
              <w:t>Charge</w:t>
            </w:r>
            <w:r>
              <w:rPr>
                <w:b/>
                <w:bCs/>
              </w:rPr>
              <w:br/>
              <w:t>$</w:t>
            </w:r>
          </w:p>
        </w:tc>
      </w:tr>
      <w:tr>
        <w:trPr>
          <w:cantSplit/>
        </w:trPr>
        <w:tc>
          <w:tcPr>
            <w:tcW w:w="3087" w:type="dxa"/>
          </w:tcPr>
          <w:p>
            <w:pPr>
              <w:pStyle w:val="yTableNAm"/>
              <w:ind w:right="-142"/>
              <w:jc w:val="center"/>
              <w:rPr>
                <w:spacing w:val="-2"/>
              </w:rPr>
            </w:pPr>
            <w:r>
              <w:rPr>
                <w:spacing w:val="-2"/>
              </w:rPr>
              <w:t>20 or less</w:t>
            </w:r>
          </w:p>
        </w:tc>
        <w:tc>
          <w:tcPr>
            <w:tcW w:w="2977" w:type="dxa"/>
            <w:gridSpan w:val="2"/>
            <w:vAlign w:val="bottom"/>
          </w:tcPr>
          <w:p>
            <w:pPr>
              <w:pStyle w:val="yTableNAm"/>
              <w:ind w:right="-142"/>
              <w:jc w:val="center"/>
              <w:rPr>
                <w:spacing w:val="-2"/>
              </w:rPr>
            </w:pPr>
            <w:r>
              <w:rPr>
                <w:spacing w:val="-2"/>
              </w:rPr>
              <w:t>188.10</w:t>
            </w:r>
          </w:p>
        </w:tc>
      </w:tr>
      <w:tr>
        <w:trPr>
          <w:cantSplit/>
        </w:trPr>
        <w:tc>
          <w:tcPr>
            <w:tcW w:w="3087" w:type="dxa"/>
          </w:tcPr>
          <w:p>
            <w:pPr>
              <w:pStyle w:val="yTableNAm"/>
              <w:ind w:right="-142"/>
              <w:jc w:val="center"/>
              <w:rPr>
                <w:spacing w:val="-2"/>
              </w:rPr>
            </w:pPr>
            <w:r>
              <w:rPr>
                <w:spacing w:val="-2"/>
              </w:rPr>
              <w:t>25</w:t>
            </w:r>
          </w:p>
        </w:tc>
        <w:tc>
          <w:tcPr>
            <w:tcW w:w="2977" w:type="dxa"/>
            <w:gridSpan w:val="2"/>
            <w:vAlign w:val="bottom"/>
          </w:tcPr>
          <w:p>
            <w:pPr>
              <w:pStyle w:val="yTableNAm"/>
              <w:ind w:right="-142"/>
              <w:jc w:val="center"/>
              <w:rPr>
                <w:spacing w:val="-2"/>
              </w:rPr>
            </w:pPr>
            <w:r>
              <w:rPr>
                <w:spacing w:val="-2"/>
              </w:rPr>
              <w:t>293.90</w:t>
            </w:r>
          </w:p>
        </w:tc>
      </w:tr>
      <w:tr>
        <w:trPr>
          <w:cantSplit/>
        </w:trPr>
        <w:tc>
          <w:tcPr>
            <w:tcW w:w="3087" w:type="dxa"/>
          </w:tcPr>
          <w:p>
            <w:pPr>
              <w:pStyle w:val="yTableNAm"/>
              <w:ind w:right="-142"/>
              <w:jc w:val="center"/>
              <w:rPr>
                <w:spacing w:val="-2"/>
              </w:rPr>
            </w:pPr>
            <w:r>
              <w:rPr>
                <w:spacing w:val="-2"/>
              </w:rPr>
              <w:t>30</w:t>
            </w:r>
          </w:p>
        </w:tc>
        <w:tc>
          <w:tcPr>
            <w:tcW w:w="2977" w:type="dxa"/>
            <w:gridSpan w:val="2"/>
            <w:vAlign w:val="bottom"/>
          </w:tcPr>
          <w:p>
            <w:pPr>
              <w:pStyle w:val="yTableNAm"/>
              <w:ind w:right="-142"/>
              <w:jc w:val="center"/>
              <w:rPr>
                <w:spacing w:val="-2"/>
              </w:rPr>
            </w:pPr>
            <w:r>
              <w:rPr>
                <w:spacing w:val="-2"/>
              </w:rPr>
              <w:t>423.20</w:t>
            </w:r>
          </w:p>
        </w:tc>
      </w:tr>
      <w:tr>
        <w:trPr>
          <w:cantSplit/>
        </w:trPr>
        <w:tc>
          <w:tcPr>
            <w:tcW w:w="3087" w:type="dxa"/>
          </w:tcPr>
          <w:p>
            <w:pPr>
              <w:pStyle w:val="yTableNAm"/>
              <w:ind w:right="-142"/>
              <w:jc w:val="center"/>
              <w:rPr>
                <w:spacing w:val="-2"/>
              </w:rPr>
            </w:pPr>
            <w:r>
              <w:rPr>
                <w:spacing w:val="-2"/>
              </w:rPr>
              <w:t>40</w:t>
            </w:r>
          </w:p>
        </w:tc>
        <w:tc>
          <w:tcPr>
            <w:tcW w:w="2977" w:type="dxa"/>
            <w:gridSpan w:val="2"/>
            <w:vAlign w:val="bottom"/>
          </w:tcPr>
          <w:p>
            <w:pPr>
              <w:pStyle w:val="yTableNAm"/>
              <w:ind w:right="-142"/>
              <w:jc w:val="center"/>
              <w:rPr>
                <w:spacing w:val="-2"/>
              </w:rPr>
            </w:pPr>
            <w:r>
              <w:rPr>
                <w:spacing w:val="-2"/>
              </w:rPr>
              <w:t>752.40</w:t>
            </w:r>
          </w:p>
        </w:tc>
      </w:tr>
      <w:tr>
        <w:trPr>
          <w:cantSplit/>
        </w:trPr>
        <w:tc>
          <w:tcPr>
            <w:tcW w:w="3087" w:type="dxa"/>
          </w:tcPr>
          <w:p>
            <w:pPr>
              <w:pStyle w:val="yTableNAm"/>
              <w:ind w:right="-142"/>
              <w:jc w:val="center"/>
              <w:rPr>
                <w:spacing w:val="-2"/>
              </w:rPr>
            </w:pPr>
            <w:r>
              <w:rPr>
                <w:spacing w:val="-2"/>
              </w:rPr>
              <w:t>50</w:t>
            </w:r>
          </w:p>
        </w:tc>
        <w:tc>
          <w:tcPr>
            <w:tcW w:w="2977" w:type="dxa"/>
            <w:gridSpan w:val="2"/>
            <w:vAlign w:val="bottom"/>
          </w:tcPr>
          <w:p>
            <w:pPr>
              <w:pStyle w:val="yTableNAm"/>
              <w:ind w:right="-142"/>
              <w:jc w:val="center"/>
              <w:rPr>
                <w:spacing w:val="-2"/>
              </w:rPr>
            </w:pPr>
            <w:r>
              <w:rPr>
                <w:spacing w:val="-2"/>
              </w:rPr>
              <w:t>1 175.60</w:t>
            </w:r>
          </w:p>
        </w:tc>
      </w:tr>
      <w:tr>
        <w:trPr>
          <w:cantSplit/>
        </w:trPr>
        <w:tc>
          <w:tcPr>
            <w:tcW w:w="3087" w:type="dxa"/>
          </w:tcPr>
          <w:p>
            <w:pPr>
              <w:pStyle w:val="yTableNAm"/>
              <w:ind w:right="-142"/>
              <w:jc w:val="center"/>
              <w:rPr>
                <w:spacing w:val="-2"/>
              </w:rPr>
            </w:pPr>
            <w:r>
              <w:rPr>
                <w:spacing w:val="-2"/>
              </w:rPr>
              <w:t>70, 75, 80</w:t>
            </w:r>
          </w:p>
        </w:tc>
        <w:tc>
          <w:tcPr>
            <w:tcW w:w="2977" w:type="dxa"/>
            <w:gridSpan w:val="2"/>
            <w:vAlign w:val="bottom"/>
          </w:tcPr>
          <w:p>
            <w:pPr>
              <w:pStyle w:val="yTableNAm"/>
              <w:ind w:right="-142"/>
              <w:jc w:val="center"/>
              <w:rPr>
                <w:spacing w:val="-2"/>
              </w:rPr>
            </w:pPr>
            <w:r>
              <w:rPr>
                <w:spacing w:val="-2"/>
              </w:rPr>
              <w:t>3 009.60</w:t>
            </w:r>
          </w:p>
        </w:tc>
      </w:tr>
      <w:tr>
        <w:trPr>
          <w:cantSplit/>
        </w:trPr>
        <w:tc>
          <w:tcPr>
            <w:tcW w:w="3087" w:type="dxa"/>
          </w:tcPr>
          <w:p>
            <w:pPr>
              <w:pStyle w:val="yTableNAm"/>
              <w:ind w:right="-142"/>
              <w:jc w:val="center"/>
              <w:rPr>
                <w:spacing w:val="-2"/>
              </w:rPr>
            </w:pPr>
            <w:r>
              <w:rPr>
                <w:spacing w:val="-2"/>
              </w:rPr>
              <w:t>100</w:t>
            </w:r>
          </w:p>
        </w:tc>
        <w:tc>
          <w:tcPr>
            <w:tcW w:w="2977" w:type="dxa"/>
            <w:gridSpan w:val="2"/>
            <w:vAlign w:val="bottom"/>
          </w:tcPr>
          <w:p>
            <w:pPr>
              <w:pStyle w:val="yTableNAm"/>
              <w:ind w:right="-142"/>
              <w:jc w:val="center"/>
              <w:rPr>
                <w:spacing w:val="-2"/>
              </w:rPr>
            </w:pPr>
            <w:r>
              <w:rPr>
                <w:spacing w:val="-2"/>
              </w:rPr>
              <w:t>4 702.50</w:t>
            </w:r>
          </w:p>
        </w:tc>
      </w:tr>
      <w:tr>
        <w:trPr>
          <w:cantSplit/>
        </w:trPr>
        <w:tc>
          <w:tcPr>
            <w:tcW w:w="3087" w:type="dxa"/>
          </w:tcPr>
          <w:p>
            <w:pPr>
              <w:pStyle w:val="yTableNAm"/>
              <w:ind w:right="-142"/>
              <w:jc w:val="center"/>
              <w:rPr>
                <w:spacing w:val="-2"/>
              </w:rPr>
            </w:pPr>
            <w:r>
              <w:rPr>
                <w:spacing w:val="-2"/>
              </w:rPr>
              <w:t>140, 150</w:t>
            </w:r>
          </w:p>
        </w:tc>
        <w:tc>
          <w:tcPr>
            <w:tcW w:w="2977" w:type="dxa"/>
            <w:gridSpan w:val="2"/>
            <w:vAlign w:val="bottom"/>
          </w:tcPr>
          <w:p>
            <w:pPr>
              <w:pStyle w:val="yTableNAm"/>
              <w:ind w:right="-142"/>
              <w:jc w:val="center"/>
              <w:rPr>
                <w:spacing w:val="-2"/>
              </w:rPr>
            </w:pPr>
            <w:r>
              <w:rPr>
                <w:spacing w:val="-2"/>
              </w:rPr>
              <w:t>10 580.60</w:t>
            </w:r>
          </w:p>
        </w:tc>
      </w:tr>
      <w:tr>
        <w:trPr>
          <w:cantSplit/>
        </w:trPr>
        <w:tc>
          <w:tcPr>
            <w:tcW w:w="3087" w:type="dxa"/>
          </w:tcPr>
          <w:p>
            <w:pPr>
              <w:pStyle w:val="yTableNAm"/>
              <w:ind w:right="-142"/>
              <w:jc w:val="center"/>
              <w:rPr>
                <w:spacing w:val="-2"/>
              </w:rPr>
            </w:pPr>
            <w:r>
              <w:rPr>
                <w:spacing w:val="-2"/>
              </w:rPr>
              <w:t>200</w:t>
            </w:r>
          </w:p>
        </w:tc>
        <w:tc>
          <w:tcPr>
            <w:tcW w:w="2977" w:type="dxa"/>
            <w:gridSpan w:val="2"/>
            <w:vAlign w:val="bottom"/>
          </w:tcPr>
          <w:p>
            <w:pPr>
              <w:pStyle w:val="yTableNAm"/>
              <w:ind w:right="-142"/>
              <w:jc w:val="center"/>
              <w:rPr>
                <w:spacing w:val="-2"/>
              </w:rPr>
            </w:pPr>
            <w:r>
              <w:rPr>
                <w:spacing w:val="-2"/>
              </w:rPr>
              <w:t>18 810.00</w:t>
            </w:r>
          </w:p>
        </w:tc>
      </w:tr>
      <w:tr>
        <w:trPr>
          <w:cantSplit/>
        </w:trPr>
        <w:tc>
          <w:tcPr>
            <w:tcW w:w="3087" w:type="dxa"/>
          </w:tcPr>
          <w:p>
            <w:pPr>
              <w:pStyle w:val="yTableNAm"/>
              <w:ind w:right="-142"/>
              <w:jc w:val="center"/>
              <w:rPr>
                <w:spacing w:val="-2"/>
              </w:rPr>
            </w:pPr>
            <w:r>
              <w:rPr>
                <w:spacing w:val="-2"/>
              </w:rPr>
              <w:t>250</w:t>
            </w:r>
          </w:p>
        </w:tc>
        <w:tc>
          <w:tcPr>
            <w:tcW w:w="2977" w:type="dxa"/>
            <w:gridSpan w:val="2"/>
            <w:vAlign w:val="bottom"/>
          </w:tcPr>
          <w:p>
            <w:pPr>
              <w:pStyle w:val="yTableNAm"/>
              <w:ind w:right="-142"/>
              <w:jc w:val="center"/>
              <w:rPr>
                <w:spacing w:val="-2"/>
              </w:rPr>
            </w:pPr>
            <w:r>
              <w:rPr>
                <w:spacing w:val="-2"/>
              </w:rPr>
              <w:t>29 390.60</w:t>
            </w:r>
          </w:p>
        </w:tc>
      </w:tr>
      <w:tr>
        <w:trPr>
          <w:cantSplit/>
        </w:trPr>
        <w:tc>
          <w:tcPr>
            <w:tcW w:w="3087" w:type="dxa"/>
          </w:tcPr>
          <w:p>
            <w:pPr>
              <w:pStyle w:val="yTableNAm"/>
              <w:ind w:right="-142"/>
              <w:jc w:val="center"/>
              <w:rPr>
                <w:spacing w:val="-2"/>
              </w:rPr>
            </w:pPr>
            <w:r>
              <w:rPr>
                <w:spacing w:val="-2"/>
              </w:rPr>
              <w:t>300</w:t>
            </w:r>
          </w:p>
        </w:tc>
        <w:tc>
          <w:tcPr>
            <w:tcW w:w="2977" w:type="dxa"/>
            <w:gridSpan w:val="2"/>
            <w:vAlign w:val="bottom"/>
          </w:tcPr>
          <w:p>
            <w:pPr>
              <w:pStyle w:val="yTableNAm"/>
              <w:ind w:right="-142"/>
              <w:jc w:val="center"/>
              <w:rPr>
                <w:spacing w:val="-2"/>
              </w:rPr>
            </w:pPr>
            <w:r>
              <w:rPr>
                <w:spacing w:val="-2"/>
              </w:rPr>
              <w:t>42 322.50</w:t>
            </w:r>
          </w:p>
        </w:tc>
      </w:tr>
      <w:tr>
        <w:trPr>
          <w:cantSplit/>
        </w:trPr>
        <w:tc>
          <w:tcPr>
            <w:tcW w:w="3087" w:type="dxa"/>
          </w:tcPr>
          <w:p>
            <w:pPr>
              <w:pStyle w:val="yTableNAm"/>
              <w:ind w:right="-142"/>
              <w:jc w:val="center"/>
              <w:rPr>
                <w:spacing w:val="-2"/>
              </w:rPr>
            </w:pPr>
            <w:r>
              <w:rPr>
                <w:spacing w:val="-2"/>
              </w:rPr>
              <w:t>350</w:t>
            </w:r>
          </w:p>
        </w:tc>
        <w:tc>
          <w:tcPr>
            <w:tcW w:w="2977" w:type="dxa"/>
            <w:gridSpan w:val="2"/>
            <w:vAlign w:val="bottom"/>
          </w:tcPr>
          <w:p>
            <w:pPr>
              <w:pStyle w:val="yTableNAm"/>
              <w:ind w:right="-142"/>
              <w:jc w:val="center"/>
              <w:rPr>
                <w:spacing w:val="-2"/>
              </w:rPr>
            </w:pPr>
            <w:r>
              <w:rPr>
                <w:spacing w:val="-2"/>
              </w:rPr>
              <w:t>57 605.60</w:t>
            </w:r>
          </w:p>
        </w:tc>
      </w:tr>
      <w:tr>
        <w:tblPrEx>
          <w:tblCellMar>
            <w:left w:w="142" w:type="dxa"/>
            <w:right w:w="142" w:type="dxa"/>
          </w:tblCellMar>
        </w:tblPrEx>
        <w:trPr>
          <w:gridAfter w:val="1"/>
          <w:wAfter w:w="17" w:type="dxa"/>
          <w:cantSplit/>
        </w:trPr>
        <w:tc>
          <w:tcPr>
            <w:tcW w:w="3087" w:type="dxa"/>
            <w:tcBorders>
              <w:bottom w:val="single" w:sz="4" w:space="0" w:color="auto"/>
            </w:tcBorders>
          </w:tcPr>
          <w:p>
            <w:pPr>
              <w:pStyle w:val="yTableNAm"/>
              <w:tabs>
                <w:tab w:val="right" w:leader="dot" w:pos="4253"/>
              </w:tabs>
              <w:ind w:right="-142"/>
            </w:pPr>
            <w:r>
              <w:t xml:space="preserve">subject to a minimum charge, where property is served but not metered by the Corporation, of </w:t>
            </w:r>
          </w:p>
        </w:tc>
        <w:tc>
          <w:tcPr>
            <w:tcW w:w="2960" w:type="dxa"/>
            <w:tcBorders>
              <w:bottom w:val="single" w:sz="4" w:space="0" w:color="auto"/>
            </w:tcBorders>
            <w:vAlign w:val="bottom"/>
          </w:tcPr>
          <w:p>
            <w:pPr>
              <w:pStyle w:val="yTableNAm"/>
              <w:ind w:right="-142"/>
              <w:jc w:val="center"/>
              <w:rPr>
                <w:spacing w:val="-2"/>
              </w:rPr>
            </w:pPr>
            <w:r>
              <w:rPr>
                <w:spacing w:val="-2"/>
              </w:rPr>
              <w:t>188.10</w:t>
            </w:r>
          </w:p>
        </w:tc>
      </w:tr>
    </w:tbl>
    <w:p>
      <w:pPr>
        <w:pStyle w:val="yMiscellaneousBody"/>
        <w:spacing w:before="0"/>
      </w:pPr>
    </w:p>
    <w:tbl>
      <w:tblPr>
        <w:tblW w:w="0" w:type="auto"/>
        <w:tblInd w:w="534" w:type="dxa"/>
        <w:tblLayout w:type="fixed"/>
        <w:tblLook w:val="0000" w:firstRow="0" w:lastRow="0" w:firstColumn="0" w:lastColumn="0" w:noHBand="0" w:noVBand="0"/>
      </w:tblPr>
      <w:tblGrid>
        <w:gridCol w:w="425"/>
        <w:gridCol w:w="4678"/>
        <w:gridCol w:w="1417"/>
      </w:tblGrid>
      <w:tr>
        <w:trPr>
          <w:cantSplit/>
        </w:trPr>
        <w:tc>
          <w:tcPr>
            <w:tcW w:w="425" w:type="dxa"/>
          </w:tcPr>
          <w:p>
            <w:pPr>
              <w:pStyle w:val="yTableNAm"/>
              <w:ind w:right="-97"/>
              <w:rPr>
                <w:rStyle w:val="CharSClsNo"/>
                <w:b/>
                <w:bCs/>
                <w:szCs w:val="22"/>
              </w:rPr>
            </w:pPr>
            <w:r>
              <w:rPr>
                <w:b/>
                <w:szCs w:val="22"/>
              </w:rPr>
              <w:t>2.</w:t>
            </w:r>
          </w:p>
        </w:tc>
        <w:tc>
          <w:tcPr>
            <w:tcW w:w="6095" w:type="dxa"/>
            <w:gridSpan w:val="2"/>
          </w:tcPr>
          <w:p>
            <w:pPr>
              <w:pStyle w:val="yTableNAm"/>
              <w:tabs>
                <w:tab w:val="right" w:leader="dot" w:pos="4253"/>
              </w:tabs>
              <w:rPr>
                <w:b/>
                <w:bCs/>
                <w:spacing w:val="-1"/>
                <w:szCs w:val="22"/>
              </w:rPr>
            </w:pPr>
            <w:r>
              <w:rPr>
                <w:b/>
                <w:bCs/>
                <w:szCs w:val="22"/>
              </w:rPr>
              <w:t>Volume charge (c/kL)</w:t>
            </w:r>
          </w:p>
        </w:tc>
      </w:tr>
      <w:tr>
        <w:tc>
          <w:tcPr>
            <w:tcW w:w="425" w:type="dxa"/>
          </w:tcPr>
          <w:p>
            <w:pPr>
              <w:pStyle w:val="yTableNAm"/>
              <w:tabs>
                <w:tab w:val="clear" w:pos="567"/>
                <w:tab w:val="left" w:pos="601"/>
                <w:tab w:val="right" w:leader="dot" w:pos="4253"/>
              </w:tabs>
              <w:ind w:left="601" w:hanging="601"/>
              <w:rPr>
                <w:szCs w:val="22"/>
              </w:rPr>
            </w:pPr>
          </w:p>
        </w:tc>
        <w:tc>
          <w:tcPr>
            <w:tcW w:w="4678" w:type="dxa"/>
          </w:tcPr>
          <w:p>
            <w:pPr>
              <w:pStyle w:val="yTableNAm"/>
              <w:tabs>
                <w:tab w:val="clear" w:pos="567"/>
                <w:tab w:val="left" w:pos="459"/>
                <w:tab w:val="right" w:leader="dot" w:pos="4570"/>
              </w:tabs>
              <w:ind w:left="459" w:hanging="459"/>
              <w:rPr>
                <w:spacing w:val="-1"/>
                <w:szCs w:val="22"/>
              </w:rPr>
            </w:pPr>
            <w:r>
              <w:rPr>
                <w:szCs w:val="22"/>
              </w:rPr>
              <w:t>(1)</w:t>
            </w:r>
            <w:r>
              <w:rPr>
                <w:szCs w:val="22"/>
              </w:rPr>
              <w:tab/>
              <w:t xml:space="preserve">Metropolitan </w:t>
            </w:r>
            <w:r>
              <w:rPr>
                <w:szCs w:val="22"/>
              </w:rPr>
              <w:tab/>
            </w:r>
          </w:p>
        </w:tc>
        <w:tc>
          <w:tcPr>
            <w:tcW w:w="1417" w:type="dxa"/>
          </w:tcPr>
          <w:p>
            <w:pPr>
              <w:pStyle w:val="yTableNAm"/>
              <w:tabs>
                <w:tab w:val="right" w:leader="dot" w:pos="4253"/>
              </w:tabs>
              <w:rPr>
                <w:spacing w:val="-2"/>
                <w:szCs w:val="22"/>
              </w:rPr>
            </w:pPr>
            <w:r>
              <w:rPr>
                <w:spacing w:val="-2"/>
                <w:szCs w:val="22"/>
              </w:rPr>
              <w:t>204.1 cents</w:t>
            </w:r>
          </w:p>
        </w:tc>
      </w:tr>
      <w:tr>
        <w:tc>
          <w:tcPr>
            <w:tcW w:w="425" w:type="dxa"/>
          </w:tcPr>
          <w:p>
            <w:pPr>
              <w:pStyle w:val="yTableNAm"/>
              <w:keepNext/>
              <w:tabs>
                <w:tab w:val="clear" w:pos="567"/>
                <w:tab w:val="left" w:pos="601"/>
                <w:tab w:val="right" w:leader="dot" w:pos="4253"/>
              </w:tabs>
              <w:ind w:left="601" w:hanging="601"/>
              <w:rPr>
                <w:szCs w:val="22"/>
              </w:rPr>
            </w:pPr>
          </w:p>
        </w:tc>
        <w:tc>
          <w:tcPr>
            <w:tcW w:w="4678" w:type="dxa"/>
          </w:tcPr>
          <w:p>
            <w:pPr>
              <w:pStyle w:val="yTableNAm"/>
              <w:keepNext/>
              <w:tabs>
                <w:tab w:val="clear" w:pos="567"/>
                <w:tab w:val="left" w:pos="459"/>
                <w:tab w:val="right" w:leader="dot" w:pos="4253"/>
                <w:tab w:val="right" w:leader="dot" w:pos="4536"/>
              </w:tabs>
              <w:ind w:left="459" w:hanging="459"/>
              <w:rPr>
                <w:szCs w:val="22"/>
              </w:rPr>
            </w:pPr>
            <w:r>
              <w:rPr>
                <w:szCs w:val="22"/>
              </w:rPr>
              <w:t>(2)</w:t>
            </w:r>
            <w:r>
              <w:rPr>
                <w:szCs w:val="22"/>
              </w:rPr>
              <w:tab/>
              <w:t>Country (according to the non</w:t>
            </w:r>
            <w:r>
              <w:rPr>
                <w:szCs w:val="22"/>
              </w:rPr>
              <w:noBreakHyphen/>
              <w:t>residential classification of the town/area in which that property is situated, as set out in Schedule 10) —</w:t>
            </w:r>
          </w:p>
        </w:tc>
        <w:tc>
          <w:tcPr>
            <w:tcW w:w="1417" w:type="dxa"/>
          </w:tcPr>
          <w:p>
            <w:pPr>
              <w:pStyle w:val="yTableNAm"/>
              <w:keepNext/>
              <w:tabs>
                <w:tab w:val="right" w:leader="dot" w:pos="4253"/>
              </w:tabs>
              <w:rPr>
                <w:szCs w:val="22"/>
              </w:rPr>
            </w:pPr>
          </w:p>
        </w:tc>
      </w:tr>
    </w:tbl>
    <w:p>
      <w:pPr>
        <w:pStyle w:val="yMiscellaneousBody"/>
        <w:spacing w:before="0"/>
      </w:pPr>
    </w:p>
    <w:tbl>
      <w:tblPr>
        <w:tblW w:w="6520" w:type="dxa"/>
        <w:tblInd w:w="454" w:type="dxa"/>
        <w:tblLayout w:type="fixed"/>
        <w:tblCellMar>
          <w:left w:w="28" w:type="dxa"/>
          <w:right w:w="28" w:type="dxa"/>
        </w:tblCellMar>
        <w:tblLook w:val="0000" w:firstRow="0" w:lastRow="0" w:firstColumn="0" w:lastColumn="0" w:noHBand="0" w:noVBand="0"/>
      </w:tblPr>
      <w:tblGrid>
        <w:gridCol w:w="2409"/>
        <w:gridCol w:w="2055"/>
        <w:gridCol w:w="2056"/>
      </w:tblGrid>
      <w:tr>
        <w:trPr>
          <w:cantSplit/>
          <w:trHeight w:val="217"/>
          <w:tblHeader/>
        </w:trPr>
        <w:tc>
          <w:tcPr>
            <w:tcW w:w="2409" w:type="dxa"/>
            <w:vMerge w:val="restart"/>
            <w:tcBorders>
              <w:top w:val="single" w:sz="4" w:space="0" w:color="auto"/>
            </w:tcBorders>
          </w:tcPr>
          <w:p>
            <w:pPr>
              <w:pStyle w:val="yTableNAm"/>
              <w:jc w:val="center"/>
              <w:rPr>
                <w:b/>
                <w:bCs/>
              </w:rPr>
            </w:pPr>
            <w:r>
              <w:rPr>
                <w:b/>
                <w:bCs/>
              </w:rPr>
              <w:t>Class</w:t>
            </w:r>
          </w:p>
        </w:tc>
        <w:tc>
          <w:tcPr>
            <w:tcW w:w="4111" w:type="dxa"/>
            <w:gridSpan w:val="2"/>
            <w:tcBorders>
              <w:top w:val="single" w:sz="4" w:space="0" w:color="auto"/>
            </w:tcBorders>
          </w:tcPr>
          <w:p>
            <w:pPr>
              <w:pStyle w:val="yTableNAm"/>
              <w:jc w:val="center"/>
              <w:rPr>
                <w:b/>
                <w:bCs/>
              </w:rPr>
            </w:pPr>
            <w:r>
              <w:rPr>
                <w:b/>
                <w:bCs/>
              </w:rPr>
              <w:t>Consumption (kL)</w:t>
            </w:r>
          </w:p>
        </w:tc>
      </w:tr>
      <w:tr>
        <w:trPr>
          <w:cantSplit/>
          <w:trHeight w:val="217"/>
          <w:tblHeader/>
        </w:trPr>
        <w:tc>
          <w:tcPr>
            <w:tcW w:w="2409" w:type="dxa"/>
            <w:vMerge/>
            <w:tcBorders>
              <w:bottom w:val="single" w:sz="4" w:space="0" w:color="auto"/>
            </w:tcBorders>
          </w:tcPr>
          <w:p>
            <w:pPr>
              <w:pStyle w:val="yTableNAm"/>
              <w:rPr>
                <w:b/>
                <w:bCs/>
              </w:rPr>
            </w:pPr>
          </w:p>
        </w:tc>
        <w:tc>
          <w:tcPr>
            <w:tcW w:w="2055" w:type="dxa"/>
            <w:tcBorders>
              <w:bottom w:val="single" w:sz="4" w:space="0" w:color="auto"/>
            </w:tcBorders>
          </w:tcPr>
          <w:p>
            <w:pPr>
              <w:pStyle w:val="yTableNAm"/>
              <w:jc w:val="center"/>
              <w:rPr>
                <w:b/>
                <w:bCs/>
              </w:rPr>
            </w:pPr>
            <w:r>
              <w:rPr>
                <w:b/>
                <w:bCs/>
              </w:rPr>
              <w:t>Up to 300</w:t>
            </w:r>
          </w:p>
        </w:tc>
        <w:tc>
          <w:tcPr>
            <w:tcW w:w="2056" w:type="dxa"/>
            <w:tcBorders>
              <w:bottom w:val="single" w:sz="4" w:space="0" w:color="auto"/>
            </w:tcBorders>
          </w:tcPr>
          <w:p>
            <w:pPr>
              <w:pStyle w:val="yTableNAm"/>
              <w:jc w:val="center"/>
              <w:rPr>
                <w:b/>
                <w:bCs/>
              </w:rPr>
            </w:pPr>
            <w:r>
              <w:rPr>
                <w:b/>
                <w:bCs/>
              </w:rPr>
              <w:t>Over 300</w:t>
            </w:r>
          </w:p>
        </w:tc>
      </w:tr>
      <w:tr>
        <w:tc>
          <w:tcPr>
            <w:tcW w:w="2409" w:type="dxa"/>
            <w:tcBorders>
              <w:top w:val="single" w:sz="4" w:space="0" w:color="auto"/>
            </w:tcBorders>
          </w:tcPr>
          <w:p>
            <w:pPr>
              <w:pStyle w:val="yTableNAm"/>
            </w:pPr>
            <w:r>
              <w:t>Class 1 (c/kL)</w:t>
            </w:r>
          </w:p>
        </w:tc>
        <w:tc>
          <w:tcPr>
            <w:tcW w:w="2055" w:type="dxa"/>
            <w:tcBorders>
              <w:top w:val="single" w:sz="4" w:space="0" w:color="auto"/>
            </w:tcBorders>
            <w:vAlign w:val="bottom"/>
          </w:tcPr>
          <w:p>
            <w:pPr>
              <w:pStyle w:val="yTableNAm"/>
              <w:jc w:val="center"/>
            </w:pPr>
            <w:r>
              <w:t>174.7</w:t>
            </w:r>
          </w:p>
        </w:tc>
        <w:tc>
          <w:tcPr>
            <w:tcW w:w="2056" w:type="dxa"/>
            <w:tcBorders>
              <w:top w:val="single" w:sz="4" w:space="0" w:color="auto"/>
            </w:tcBorders>
            <w:vAlign w:val="bottom"/>
          </w:tcPr>
          <w:p>
            <w:pPr>
              <w:pStyle w:val="yTableNAm"/>
              <w:jc w:val="center"/>
            </w:pPr>
            <w:r>
              <w:t>192.6</w:t>
            </w:r>
          </w:p>
        </w:tc>
      </w:tr>
      <w:tr>
        <w:tc>
          <w:tcPr>
            <w:tcW w:w="2409" w:type="dxa"/>
          </w:tcPr>
          <w:p>
            <w:pPr>
              <w:pStyle w:val="yTableNAm"/>
            </w:pPr>
            <w:r>
              <w:t>Class 2 (c/kL)</w:t>
            </w:r>
          </w:p>
        </w:tc>
        <w:tc>
          <w:tcPr>
            <w:tcW w:w="2055" w:type="dxa"/>
            <w:vAlign w:val="bottom"/>
          </w:tcPr>
          <w:p>
            <w:pPr>
              <w:pStyle w:val="yTableNAm"/>
              <w:jc w:val="center"/>
            </w:pPr>
            <w:r>
              <w:t>191.6</w:t>
            </w:r>
          </w:p>
        </w:tc>
        <w:tc>
          <w:tcPr>
            <w:tcW w:w="2056" w:type="dxa"/>
            <w:vAlign w:val="bottom"/>
          </w:tcPr>
          <w:p>
            <w:pPr>
              <w:pStyle w:val="yTableNAm"/>
              <w:jc w:val="center"/>
            </w:pPr>
            <w:r>
              <w:t>209.8</w:t>
            </w:r>
          </w:p>
        </w:tc>
      </w:tr>
      <w:tr>
        <w:tc>
          <w:tcPr>
            <w:tcW w:w="2409" w:type="dxa"/>
          </w:tcPr>
          <w:p>
            <w:pPr>
              <w:pStyle w:val="yTableNAm"/>
            </w:pPr>
            <w:r>
              <w:t>Class 3 (c/kL)</w:t>
            </w:r>
          </w:p>
        </w:tc>
        <w:tc>
          <w:tcPr>
            <w:tcW w:w="2055" w:type="dxa"/>
            <w:vAlign w:val="bottom"/>
          </w:tcPr>
          <w:p>
            <w:pPr>
              <w:pStyle w:val="yTableNAm"/>
              <w:jc w:val="center"/>
            </w:pPr>
            <w:r>
              <w:t>209.8</w:t>
            </w:r>
          </w:p>
        </w:tc>
        <w:tc>
          <w:tcPr>
            <w:tcW w:w="2056" w:type="dxa"/>
            <w:vAlign w:val="bottom"/>
          </w:tcPr>
          <w:p>
            <w:pPr>
              <w:pStyle w:val="yTableNAm"/>
              <w:jc w:val="center"/>
            </w:pPr>
            <w:r>
              <w:t>228.2</w:t>
            </w:r>
          </w:p>
        </w:tc>
      </w:tr>
      <w:tr>
        <w:tc>
          <w:tcPr>
            <w:tcW w:w="2409" w:type="dxa"/>
          </w:tcPr>
          <w:p>
            <w:pPr>
              <w:pStyle w:val="yTableNAm"/>
            </w:pPr>
            <w:r>
              <w:t>Class 4 (c/kL)</w:t>
            </w:r>
          </w:p>
        </w:tc>
        <w:tc>
          <w:tcPr>
            <w:tcW w:w="2055" w:type="dxa"/>
            <w:vAlign w:val="bottom"/>
          </w:tcPr>
          <w:p>
            <w:pPr>
              <w:pStyle w:val="yTableNAm"/>
              <w:jc w:val="center"/>
            </w:pPr>
            <w:r>
              <w:t>230.0</w:t>
            </w:r>
          </w:p>
        </w:tc>
        <w:tc>
          <w:tcPr>
            <w:tcW w:w="2056" w:type="dxa"/>
            <w:vAlign w:val="bottom"/>
          </w:tcPr>
          <w:p>
            <w:pPr>
              <w:pStyle w:val="yTableNAm"/>
              <w:jc w:val="center"/>
            </w:pPr>
            <w:r>
              <w:t>248.6</w:t>
            </w:r>
          </w:p>
        </w:tc>
      </w:tr>
      <w:tr>
        <w:tc>
          <w:tcPr>
            <w:tcW w:w="2409" w:type="dxa"/>
          </w:tcPr>
          <w:p>
            <w:pPr>
              <w:pStyle w:val="yTableNAm"/>
            </w:pPr>
            <w:r>
              <w:t>Class 5 (c/kL)</w:t>
            </w:r>
          </w:p>
        </w:tc>
        <w:tc>
          <w:tcPr>
            <w:tcW w:w="2055" w:type="dxa"/>
            <w:vAlign w:val="bottom"/>
          </w:tcPr>
          <w:p>
            <w:pPr>
              <w:pStyle w:val="yTableNAm"/>
              <w:jc w:val="center"/>
            </w:pPr>
            <w:r>
              <w:t>252.2</w:t>
            </w:r>
          </w:p>
        </w:tc>
        <w:tc>
          <w:tcPr>
            <w:tcW w:w="2056" w:type="dxa"/>
            <w:vAlign w:val="bottom"/>
          </w:tcPr>
          <w:p>
            <w:pPr>
              <w:pStyle w:val="yTableNAm"/>
              <w:jc w:val="center"/>
            </w:pPr>
            <w:r>
              <w:t>270.7</w:t>
            </w:r>
          </w:p>
        </w:tc>
      </w:tr>
      <w:tr>
        <w:tc>
          <w:tcPr>
            <w:tcW w:w="2409" w:type="dxa"/>
          </w:tcPr>
          <w:p>
            <w:pPr>
              <w:pStyle w:val="yTableNAm"/>
            </w:pPr>
            <w:r>
              <w:t>Class 6 (c/kL)</w:t>
            </w:r>
          </w:p>
        </w:tc>
        <w:tc>
          <w:tcPr>
            <w:tcW w:w="2055" w:type="dxa"/>
            <w:vAlign w:val="bottom"/>
          </w:tcPr>
          <w:p>
            <w:pPr>
              <w:pStyle w:val="yTableNAm"/>
              <w:jc w:val="center"/>
            </w:pPr>
            <w:r>
              <w:t>274.4</w:t>
            </w:r>
          </w:p>
        </w:tc>
        <w:tc>
          <w:tcPr>
            <w:tcW w:w="2056" w:type="dxa"/>
            <w:vAlign w:val="bottom"/>
          </w:tcPr>
          <w:p>
            <w:pPr>
              <w:pStyle w:val="yTableNAm"/>
              <w:jc w:val="center"/>
            </w:pPr>
            <w:r>
              <w:t>294.8</w:t>
            </w:r>
          </w:p>
        </w:tc>
      </w:tr>
      <w:tr>
        <w:tc>
          <w:tcPr>
            <w:tcW w:w="2409" w:type="dxa"/>
          </w:tcPr>
          <w:p>
            <w:pPr>
              <w:pStyle w:val="yTableNAm"/>
            </w:pPr>
            <w:r>
              <w:t>Class 7 (c/kL)</w:t>
            </w:r>
          </w:p>
        </w:tc>
        <w:tc>
          <w:tcPr>
            <w:tcW w:w="2055" w:type="dxa"/>
            <w:vAlign w:val="bottom"/>
          </w:tcPr>
          <w:p>
            <w:pPr>
              <w:pStyle w:val="yTableNAm"/>
              <w:jc w:val="center"/>
            </w:pPr>
            <w:r>
              <w:t>298.6</w:t>
            </w:r>
          </w:p>
        </w:tc>
        <w:tc>
          <w:tcPr>
            <w:tcW w:w="2056" w:type="dxa"/>
            <w:vAlign w:val="bottom"/>
          </w:tcPr>
          <w:p>
            <w:pPr>
              <w:pStyle w:val="yTableNAm"/>
              <w:jc w:val="center"/>
            </w:pPr>
            <w:r>
              <w:t>321.1</w:t>
            </w:r>
          </w:p>
        </w:tc>
      </w:tr>
      <w:tr>
        <w:tc>
          <w:tcPr>
            <w:tcW w:w="2409" w:type="dxa"/>
          </w:tcPr>
          <w:p>
            <w:pPr>
              <w:pStyle w:val="yTableNAm"/>
            </w:pPr>
            <w:r>
              <w:t>Class 8 (c/kL)</w:t>
            </w:r>
          </w:p>
        </w:tc>
        <w:tc>
          <w:tcPr>
            <w:tcW w:w="2055" w:type="dxa"/>
            <w:vAlign w:val="bottom"/>
          </w:tcPr>
          <w:p>
            <w:pPr>
              <w:pStyle w:val="yTableNAm"/>
              <w:jc w:val="center"/>
            </w:pPr>
            <w:r>
              <w:t>324.2</w:t>
            </w:r>
          </w:p>
        </w:tc>
        <w:tc>
          <w:tcPr>
            <w:tcW w:w="2056" w:type="dxa"/>
            <w:vAlign w:val="bottom"/>
          </w:tcPr>
          <w:p>
            <w:pPr>
              <w:pStyle w:val="yTableNAm"/>
              <w:jc w:val="center"/>
            </w:pPr>
            <w:r>
              <w:t>349.6</w:t>
            </w:r>
          </w:p>
        </w:tc>
      </w:tr>
      <w:tr>
        <w:tc>
          <w:tcPr>
            <w:tcW w:w="2409" w:type="dxa"/>
          </w:tcPr>
          <w:p>
            <w:pPr>
              <w:pStyle w:val="yTableNAm"/>
            </w:pPr>
            <w:r>
              <w:t>Class 9 (c/kL)</w:t>
            </w:r>
          </w:p>
        </w:tc>
        <w:tc>
          <w:tcPr>
            <w:tcW w:w="2055" w:type="dxa"/>
            <w:vAlign w:val="bottom"/>
          </w:tcPr>
          <w:p>
            <w:pPr>
              <w:pStyle w:val="yTableNAm"/>
              <w:jc w:val="center"/>
            </w:pPr>
            <w:r>
              <w:t>352.0</w:t>
            </w:r>
          </w:p>
        </w:tc>
        <w:tc>
          <w:tcPr>
            <w:tcW w:w="2056" w:type="dxa"/>
            <w:vAlign w:val="bottom"/>
          </w:tcPr>
          <w:p>
            <w:pPr>
              <w:pStyle w:val="yTableNAm"/>
              <w:jc w:val="center"/>
            </w:pPr>
            <w:r>
              <w:t>380.7</w:t>
            </w:r>
          </w:p>
        </w:tc>
      </w:tr>
      <w:tr>
        <w:tc>
          <w:tcPr>
            <w:tcW w:w="2409" w:type="dxa"/>
          </w:tcPr>
          <w:p>
            <w:pPr>
              <w:pStyle w:val="yTableNAm"/>
            </w:pPr>
            <w:r>
              <w:t>Class 10 (c/kL)</w:t>
            </w:r>
          </w:p>
        </w:tc>
        <w:tc>
          <w:tcPr>
            <w:tcW w:w="2055" w:type="dxa"/>
            <w:vAlign w:val="bottom"/>
          </w:tcPr>
          <w:p>
            <w:pPr>
              <w:pStyle w:val="yTableNAm"/>
              <w:jc w:val="center"/>
            </w:pPr>
            <w:r>
              <w:t>379.0</w:t>
            </w:r>
          </w:p>
        </w:tc>
        <w:tc>
          <w:tcPr>
            <w:tcW w:w="2056" w:type="dxa"/>
            <w:vAlign w:val="bottom"/>
          </w:tcPr>
          <w:p>
            <w:pPr>
              <w:pStyle w:val="yTableNAm"/>
              <w:jc w:val="center"/>
            </w:pPr>
            <w:r>
              <w:t>414.6</w:t>
            </w:r>
          </w:p>
        </w:tc>
      </w:tr>
      <w:tr>
        <w:tc>
          <w:tcPr>
            <w:tcW w:w="2409" w:type="dxa"/>
          </w:tcPr>
          <w:p>
            <w:pPr>
              <w:pStyle w:val="yTableNAm"/>
            </w:pPr>
            <w:r>
              <w:t>Class 11 (c/kL)</w:t>
            </w:r>
          </w:p>
        </w:tc>
        <w:tc>
          <w:tcPr>
            <w:tcW w:w="2055" w:type="dxa"/>
            <w:vAlign w:val="bottom"/>
          </w:tcPr>
          <w:p>
            <w:pPr>
              <w:pStyle w:val="yTableNAm"/>
              <w:jc w:val="center"/>
            </w:pPr>
            <w:r>
              <w:t>413.5</w:t>
            </w:r>
          </w:p>
        </w:tc>
        <w:tc>
          <w:tcPr>
            <w:tcW w:w="2056" w:type="dxa"/>
            <w:vAlign w:val="bottom"/>
          </w:tcPr>
          <w:p>
            <w:pPr>
              <w:pStyle w:val="yTableNAm"/>
              <w:jc w:val="center"/>
            </w:pPr>
            <w:r>
              <w:t>451.4</w:t>
            </w:r>
          </w:p>
        </w:tc>
      </w:tr>
      <w:tr>
        <w:tc>
          <w:tcPr>
            <w:tcW w:w="2409" w:type="dxa"/>
          </w:tcPr>
          <w:p>
            <w:pPr>
              <w:pStyle w:val="yTableNAm"/>
            </w:pPr>
            <w:r>
              <w:t>Class 12 (c/kL)</w:t>
            </w:r>
          </w:p>
        </w:tc>
        <w:tc>
          <w:tcPr>
            <w:tcW w:w="2055" w:type="dxa"/>
            <w:vAlign w:val="bottom"/>
          </w:tcPr>
          <w:p>
            <w:pPr>
              <w:pStyle w:val="yTableNAm"/>
              <w:jc w:val="center"/>
            </w:pPr>
            <w:r>
              <w:t>451.3</w:t>
            </w:r>
          </w:p>
        </w:tc>
        <w:tc>
          <w:tcPr>
            <w:tcW w:w="2056" w:type="dxa"/>
            <w:vAlign w:val="bottom"/>
          </w:tcPr>
          <w:p>
            <w:pPr>
              <w:pStyle w:val="yTableNAm"/>
              <w:jc w:val="center"/>
            </w:pPr>
            <w:r>
              <w:t>491.6</w:t>
            </w:r>
          </w:p>
        </w:tc>
      </w:tr>
      <w:tr>
        <w:tc>
          <w:tcPr>
            <w:tcW w:w="2409" w:type="dxa"/>
          </w:tcPr>
          <w:p>
            <w:pPr>
              <w:pStyle w:val="yTableNAm"/>
            </w:pPr>
            <w:r>
              <w:t>Class 13 (c/kL)</w:t>
            </w:r>
          </w:p>
        </w:tc>
        <w:tc>
          <w:tcPr>
            <w:tcW w:w="2055" w:type="dxa"/>
            <w:vAlign w:val="bottom"/>
          </w:tcPr>
          <w:p>
            <w:pPr>
              <w:pStyle w:val="yTableNAm"/>
              <w:jc w:val="center"/>
            </w:pPr>
            <w:r>
              <w:t>492.4</w:t>
            </w:r>
          </w:p>
        </w:tc>
        <w:tc>
          <w:tcPr>
            <w:tcW w:w="2056" w:type="dxa"/>
            <w:vAlign w:val="bottom"/>
          </w:tcPr>
          <w:p>
            <w:pPr>
              <w:pStyle w:val="yTableNAm"/>
              <w:jc w:val="center"/>
            </w:pPr>
            <w:r>
              <w:t>535.3</w:t>
            </w:r>
          </w:p>
        </w:tc>
      </w:tr>
      <w:tr>
        <w:tc>
          <w:tcPr>
            <w:tcW w:w="2409" w:type="dxa"/>
          </w:tcPr>
          <w:p>
            <w:pPr>
              <w:pStyle w:val="yTableNAm"/>
            </w:pPr>
            <w:r>
              <w:t>Class 14 (c/kL)</w:t>
            </w:r>
          </w:p>
        </w:tc>
        <w:tc>
          <w:tcPr>
            <w:tcW w:w="2055" w:type="dxa"/>
            <w:vAlign w:val="bottom"/>
          </w:tcPr>
          <w:p>
            <w:pPr>
              <w:pStyle w:val="yTableNAm"/>
              <w:jc w:val="center"/>
            </w:pPr>
            <w:r>
              <w:t>537.3</w:t>
            </w:r>
          </w:p>
        </w:tc>
        <w:tc>
          <w:tcPr>
            <w:tcW w:w="2056" w:type="dxa"/>
            <w:vAlign w:val="bottom"/>
          </w:tcPr>
          <w:p>
            <w:pPr>
              <w:pStyle w:val="yTableNAm"/>
              <w:jc w:val="center"/>
            </w:pPr>
            <w:r>
              <w:t>582.9</w:t>
            </w:r>
          </w:p>
        </w:tc>
      </w:tr>
      <w:tr>
        <w:tc>
          <w:tcPr>
            <w:tcW w:w="2409" w:type="dxa"/>
            <w:tcBorders>
              <w:bottom w:val="single" w:sz="4" w:space="0" w:color="auto"/>
            </w:tcBorders>
          </w:tcPr>
          <w:p>
            <w:pPr>
              <w:pStyle w:val="yTableNAm"/>
            </w:pPr>
            <w:r>
              <w:t>Class 15 (c/kL)</w:t>
            </w:r>
          </w:p>
        </w:tc>
        <w:tc>
          <w:tcPr>
            <w:tcW w:w="2055" w:type="dxa"/>
            <w:tcBorders>
              <w:bottom w:val="single" w:sz="4" w:space="0" w:color="auto"/>
            </w:tcBorders>
            <w:vAlign w:val="bottom"/>
          </w:tcPr>
          <w:p>
            <w:pPr>
              <w:pStyle w:val="yTableNAm"/>
              <w:jc w:val="center"/>
            </w:pPr>
            <w:r>
              <w:t>586.2</w:t>
            </w:r>
          </w:p>
        </w:tc>
        <w:tc>
          <w:tcPr>
            <w:tcW w:w="2056" w:type="dxa"/>
            <w:tcBorders>
              <w:bottom w:val="single" w:sz="4" w:space="0" w:color="auto"/>
            </w:tcBorders>
            <w:vAlign w:val="bottom"/>
          </w:tcPr>
          <w:p>
            <w:pPr>
              <w:pStyle w:val="yTableNAm"/>
              <w:jc w:val="center"/>
            </w:pPr>
            <w:r>
              <w:t>634.7</w:t>
            </w:r>
          </w:p>
        </w:tc>
      </w:tr>
    </w:tbl>
    <w:p>
      <w:pPr>
        <w:pStyle w:val="yFootnotesection"/>
      </w:pPr>
      <w:r>
        <w:tab/>
        <w:t>[Schedule 8 inserted in Gazette 20 Jun 2012 p. 2753</w:t>
      </w:r>
      <w:r>
        <w:noBreakHyphen/>
        <w:t>4.]</w:t>
      </w:r>
    </w:p>
    <w:bookmarkEnd w:id="747"/>
    <w:bookmarkEnd w:id="748"/>
    <w:p>
      <w:pPr>
        <w:tabs>
          <w:tab w:val="left" w:pos="416"/>
          <w:tab w:val="left" w:pos="697"/>
          <w:tab w:val="left" w:pos="776"/>
          <w:tab w:val="left" w:pos="840"/>
          <w:tab w:val="left" w:pos="896"/>
          <w:tab w:val="left" w:pos="1016"/>
          <w:tab w:val="left" w:pos="1057"/>
          <w:tab w:val="decimal" w:pos="1172"/>
          <w:tab w:val="right" w:pos="1212"/>
          <w:tab w:val="left" w:pos="1452"/>
          <w:tab w:val="left" w:pos="1856"/>
          <w:tab w:val="left" w:leader="dot" w:pos="4212"/>
          <w:tab w:val="right" w:leader="dot" w:pos="4253"/>
          <w:tab w:val="left" w:leader="dot" w:pos="4584"/>
          <w:tab w:val="left" w:pos="5387"/>
        </w:tabs>
        <w:spacing w:before="180"/>
        <w:ind w:left="896" w:right="116" w:hanging="896"/>
        <w:rPr>
          <w:b/>
          <w:bCs/>
        </w:rPr>
        <w:sectPr>
          <w:headerReference w:type="even" r:id="rId31"/>
          <w:pgSz w:w="11906" w:h="16838" w:code="9"/>
          <w:pgMar w:top="2604" w:right="2405" w:bottom="3542" w:left="2405" w:header="706" w:footer="3380" w:gutter="0"/>
          <w:cols w:space="720"/>
          <w:noEndnote/>
          <w:docGrid w:linePitch="326"/>
        </w:sectPr>
      </w:pPr>
    </w:p>
    <w:p>
      <w:pPr>
        <w:pStyle w:val="yScheduleHeading"/>
      </w:pPr>
      <w:bookmarkStart w:id="749" w:name="_Toc328471513"/>
      <w:bookmarkStart w:id="750" w:name="_Toc265743692"/>
      <w:bookmarkStart w:id="751" w:name="_Toc297540809"/>
      <w:bookmarkStart w:id="752" w:name="_Toc297541237"/>
      <w:bookmarkEnd w:id="738"/>
      <w:bookmarkEnd w:id="739"/>
      <w:bookmarkEnd w:id="740"/>
      <w:bookmarkEnd w:id="741"/>
      <w:bookmarkEnd w:id="742"/>
      <w:bookmarkEnd w:id="743"/>
      <w:r>
        <w:rPr>
          <w:rStyle w:val="CharSchNo"/>
        </w:rPr>
        <w:t>Schedule 9</w:t>
      </w:r>
      <w:r>
        <w:rPr>
          <w:rStyle w:val="CharSDivNo"/>
        </w:rPr>
        <w:t> </w:t>
      </w:r>
      <w:r>
        <w:t>—</w:t>
      </w:r>
      <w:r>
        <w:rPr>
          <w:rStyle w:val="CharSDivText"/>
        </w:rPr>
        <w:t> </w:t>
      </w:r>
      <w:r>
        <w:rPr>
          <w:rStyle w:val="CharSchText"/>
        </w:rPr>
        <w:t>Classification of towns/areas for the purpose of determining quantity charges in the previous year</w:t>
      </w:r>
      <w:bookmarkEnd w:id="749"/>
    </w:p>
    <w:p>
      <w:pPr>
        <w:pStyle w:val="yShoulderClause"/>
      </w:pPr>
      <w:r>
        <w:t>[bl. 17D(3)]</w:t>
      </w:r>
    </w:p>
    <w:p>
      <w:pPr>
        <w:pStyle w:val="yFootnoteheading"/>
        <w:spacing w:after="60"/>
      </w:pPr>
      <w:r>
        <w:tab/>
        <w:t>[Heading inserted in Gazette 20 Jun 2012 p. 2755.]</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20"/>
        <w:gridCol w:w="1800"/>
        <w:gridCol w:w="1800"/>
      </w:tblGrid>
      <w:tr>
        <w:trPr>
          <w:tblHeader/>
        </w:trPr>
        <w:tc>
          <w:tcPr>
            <w:tcW w:w="2920" w:type="dxa"/>
            <w:tcBorders>
              <w:top w:val="single" w:sz="4" w:space="0" w:color="auto"/>
              <w:left w:val="nil"/>
              <w:bottom w:val="single" w:sz="4" w:space="0" w:color="auto"/>
              <w:right w:val="nil"/>
            </w:tcBorders>
          </w:tcPr>
          <w:p>
            <w:pPr>
              <w:pStyle w:val="yTableNAm"/>
              <w:jc w:val="center"/>
              <w:rPr>
                <w:b/>
                <w:bCs/>
              </w:rPr>
            </w:pPr>
            <w:r>
              <w:rPr>
                <w:b/>
                <w:bCs/>
              </w:rPr>
              <w:t>Town/area</w:t>
            </w:r>
          </w:p>
        </w:tc>
        <w:tc>
          <w:tcPr>
            <w:tcW w:w="1800" w:type="dxa"/>
            <w:tcBorders>
              <w:top w:val="single" w:sz="4" w:space="0" w:color="auto"/>
              <w:left w:val="nil"/>
              <w:bottom w:val="single" w:sz="4" w:space="0" w:color="auto"/>
              <w:right w:val="nil"/>
            </w:tcBorders>
          </w:tcPr>
          <w:p>
            <w:pPr>
              <w:pStyle w:val="yTableNAm"/>
              <w:jc w:val="center"/>
              <w:rPr>
                <w:b/>
                <w:bCs/>
              </w:rPr>
            </w:pPr>
            <w:r>
              <w:rPr>
                <w:b/>
                <w:bCs/>
              </w:rPr>
              <w:t>Residential classification</w:t>
            </w:r>
          </w:p>
        </w:tc>
        <w:tc>
          <w:tcPr>
            <w:tcW w:w="1800" w:type="dxa"/>
            <w:tcBorders>
              <w:top w:val="single" w:sz="4" w:space="0" w:color="auto"/>
              <w:left w:val="nil"/>
              <w:bottom w:val="single" w:sz="4" w:space="0" w:color="auto"/>
              <w:right w:val="nil"/>
            </w:tcBorders>
          </w:tcPr>
          <w:p>
            <w:pPr>
              <w:pStyle w:val="yTableNAm"/>
              <w:jc w:val="center"/>
              <w:rPr>
                <w:b/>
                <w:bCs/>
              </w:rPr>
            </w:pPr>
            <w:r>
              <w:rPr>
                <w:b/>
                <w:bCs/>
              </w:rPr>
              <w:t>Non</w:t>
            </w:r>
            <w:r>
              <w:rPr>
                <w:b/>
                <w:bCs/>
              </w:rPr>
              <w:noBreakHyphen/>
              <w:t>residential classification</w:t>
            </w:r>
          </w:p>
        </w:tc>
      </w:tr>
      <w:tr>
        <w:tc>
          <w:tcPr>
            <w:tcW w:w="2920" w:type="dxa"/>
            <w:tcBorders>
              <w:top w:val="single" w:sz="4" w:space="0" w:color="auto"/>
              <w:left w:val="nil"/>
              <w:bottom w:val="nil"/>
              <w:right w:val="nil"/>
            </w:tcBorders>
            <w:vAlign w:val="center"/>
          </w:tcPr>
          <w:p>
            <w:pPr>
              <w:pStyle w:val="yTableNAm"/>
              <w:rPr>
                <w:szCs w:val="22"/>
              </w:rPr>
            </w:pPr>
            <w:smartTag w:uri="urn:schemas-microsoft-com:office:smarttags" w:element="place">
              <w:smartTag w:uri="urn:schemas-microsoft-com:office:smarttags" w:element="City">
                <w:r>
                  <w:rPr>
                    <w:szCs w:val="22"/>
                  </w:rPr>
                  <w:t>Albany</w:t>
                </w:r>
              </w:smartTag>
            </w:smartTag>
          </w:p>
        </w:tc>
        <w:tc>
          <w:tcPr>
            <w:tcW w:w="1800" w:type="dxa"/>
            <w:tcBorders>
              <w:top w:val="single" w:sz="4" w:space="0" w:color="auto"/>
              <w:left w:val="nil"/>
              <w:bottom w:val="nil"/>
              <w:right w:val="nil"/>
            </w:tcBorders>
            <w:vAlign w:val="bottom"/>
          </w:tcPr>
          <w:p>
            <w:pPr>
              <w:pStyle w:val="yTableNAm"/>
              <w:jc w:val="center"/>
              <w:rPr>
                <w:szCs w:val="22"/>
              </w:rPr>
            </w:pPr>
            <w:r>
              <w:rPr>
                <w:szCs w:val="22"/>
              </w:rPr>
              <w:t>3</w:t>
            </w:r>
          </w:p>
        </w:tc>
        <w:tc>
          <w:tcPr>
            <w:tcW w:w="1800" w:type="dxa"/>
            <w:tcBorders>
              <w:top w:val="single" w:sz="4" w:space="0" w:color="auto"/>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City">
                <w:r>
                  <w:rPr>
                    <w:szCs w:val="22"/>
                  </w:rPr>
                  <w:t>Albany</w:t>
                </w:r>
              </w:smartTag>
            </w:smartTag>
            <w:r>
              <w:rPr>
                <w:szCs w:val="22"/>
              </w:rPr>
              <w:t xml:space="preserve"> Farmlands</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Allanooka Farmlands</w:t>
            </w:r>
          </w:p>
        </w:tc>
        <w:tc>
          <w:tcPr>
            <w:tcW w:w="1800" w:type="dxa"/>
            <w:tcBorders>
              <w:top w:val="nil"/>
              <w:left w:val="nil"/>
              <w:bottom w:val="nil"/>
              <w:right w:val="nil"/>
            </w:tcBorders>
            <w:vAlign w:val="bottom"/>
          </w:tcPr>
          <w:p>
            <w:pPr>
              <w:pStyle w:val="yTableNAm"/>
              <w:jc w:val="center"/>
              <w:rPr>
                <w:szCs w:val="22"/>
              </w:rPr>
            </w:pPr>
            <w:r>
              <w:rPr>
                <w:szCs w:val="22"/>
              </w:rPr>
              <w:t>1</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Allanson</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Arrino</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Arrowsmith Farmlands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City">
                <w:r>
                  <w:rPr>
                    <w:szCs w:val="22"/>
                  </w:rPr>
                  <w:t>Augusta</w:t>
                </w:r>
              </w:smartTag>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Australind/Eaton</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Badgingarra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Bakers Hill</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Balingup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Ballidu</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Beacon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Bencubbin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Beverley</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Bindi Bindi</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Bindoon/Chittering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Binningup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Bodallin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Boddington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Bolgart</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Borden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Boyanup</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Boyup Brook</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Name">
                <w:r>
                  <w:rPr>
                    <w:szCs w:val="22"/>
                  </w:rPr>
                  <w:t>Bremer</w:t>
                </w:r>
              </w:smartTag>
              <w:r>
                <w:rPr>
                  <w:szCs w:val="22"/>
                </w:rPr>
                <w:t xml:space="preserve"> </w:t>
              </w:r>
              <w:smartTag w:uri="urn:schemas-microsoft-com:office:smarttags" w:element="PlaceType">
                <w:r>
                  <w:rPr>
                    <w:szCs w:val="22"/>
                  </w:rPr>
                  <w:t>Bay</w:t>
                </w:r>
              </w:smartTag>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Bridgetown/Hester</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Broad Arrow</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Brookton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Broome</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Broomehill</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Bruce Rock</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Brunswick/Burekup/Roelands</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6</w:t>
            </w:r>
          </w:p>
        </w:tc>
      </w:tr>
      <w:tr>
        <w:tc>
          <w:tcPr>
            <w:tcW w:w="2920" w:type="dxa"/>
            <w:tcBorders>
              <w:top w:val="nil"/>
              <w:left w:val="nil"/>
              <w:bottom w:val="nil"/>
              <w:right w:val="nil"/>
            </w:tcBorders>
            <w:vAlign w:val="center"/>
          </w:tcPr>
          <w:p>
            <w:pPr>
              <w:pStyle w:val="yTableNAm"/>
              <w:rPr>
                <w:szCs w:val="22"/>
              </w:rPr>
            </w:pPr>
            <w:r>
              <w:rPr>
                <w:szCs w:val="22"/>
              </w:rPr>
              <w:t>Bullaring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Bullfinch</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Bunjil</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Buntine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Burracoppin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Calingiri</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Camballin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Capel</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4</w:t>
            </w:r>
          </w:p>
        </w:tc>
      </w:tr>
      <w:tr>
        <w:tc>
          <w:tcPr>
            <w:tcW w:w="2920" w:type="dxa"/>
            <w:tcBorders>
              <w:top w:val="nil"/>
              <w:left w:val="nil"/>
              <w:bottom w:val="nil"/>
              <w:right w:val="nil"/>
            </w:tcBorders>
            <w:vAlign w:val="center"/>
          </w:tcPr>
          <w:p>
            <w:pPr>
              <w:pStyle w:val="yTableNAm"/>
              <w:rPr>
                <w:szCs w:val="22"/>
              </w:rPr>
            </w:pPr>
            <w:r>
              <w:rPr>
                <w:szCs w:val="22"/>
              </w:rPr>
              <w:t>Carnamah</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Carnarvon</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Caron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Cervantes</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Collie</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Collie Farmlands</w:t>
            </w:r>
          </w:p>
        </w:tc>
        <w:tc>
          <w:tcPr>
            <w:tcW w:w="1800" w:type="dxa"/>
            <w:tcBorders>
              <w:top w:val="nil"/>
              <w:left w:val="nil"/>
              <w:bottom w:val="nil"/>
              <w:right w:val="nil"/>
            </w:tcBorders>
            <w:vAlign w:val="bottom"/>
          </w:tcPr>
          <w:p>
            <w:pPr>
              <w:pStyle w:val="yTableNAm"/>
              <w:jc w:val="center"/>
              <w:rPr>
                <w:szCs w:val="22"/>
              </w:rPr>
            </w:pPr>
            <w:r>
              <w:rPr>
                <w:szCs w:val="22"/>
              </w:rPr>
              <w:t>1</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Condingup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Coolgardie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Coomberdale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Coorow</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Name">
                <w:r>
                  <w:rPr>
                    <w:szCs w:val="22"/>
                  </w:rPr>
                  <w:t>Coral</w:t>
                </w:r>
              </w:smartTag>
              <w:r>
                <w:rPr>
                  <w:szCs w:val="22"/>
                </w:rPr>
                <w:t xml:space="preserve"> </w:t>
              </w:r>
              <w:smartTag w:uri="urn:schemas-microsoft-com:office:smarttags" w:element="PlaceType">
                <w:r>
                  <w:rPr>
                    <w:szCs w:val="22"/>
                  </w:rPr>
                  <w:t>Bay</w:t>
                </w:r>
              </w:smartTag>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N/A</w:t>
            </w:r>
          </w:p>
        </w:tc>
      </w:tr>
      <w:tr>
        <w:tc>
          <w:tcPr>
            <w:tcW w:w="2920" w:type="dxa"/>
            <w:tcBorders>
              <w:top w:val="nil"/>
              <w:left w:val="nil"/>
              <w:bottom w:val="nil"/>
              <w:right w:val="nil"/>
            </w:tcBorders>
            <w:vAlign w:val="center"/>
          </w:tcPr>
          <w:p>
            <w:pPr>
              <w:pStyle w:val="yTableNAm"/>
              <w:rPr>
                <w:szCs w:val="22"/>
              </w:rPr>
            </w:pPr>
            <w:r>
              <w:rPr>
                <w:szCs w:val="22"/>
              </w:rPr>
              <w:t>Corrigin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Cowaramup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City">
                <w:r>
                  <w:rPr>
                    <w:szCs w:val="22"/>
                  </w:rPr>
                  <w:t>Cranbrook</w:t>
                </w:r>
              </w:smartTag>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Cuballing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Cue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Cunderdin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Dalwallinu</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Dalyellup</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4</w:t>
            </w:r>
          </w:p>
        </w:tc>
      </w:tr>
      <w:tr>
        <w:tc>
          <w:tcPr>
            <w:tcW w:w="2920" w:type="dxa"/>
            <w:tcBorders>
              <w:top w:val="nil"/>
              <w:left w:val="nil"/>
              <w:bottom w:val="nil"/>
              <w:right w:val="nil"/>
            </w:tcBorders>
            <w:vAlign w:val="center"/>
          </w:tcPr>
          <w:p>
            <w:pPr>
              <w:pStyle w:val="yTableNAm"/>
              <w:rPr>
                <w:szCs w:val="22"/>
              </w:rPr>
            </w:pPr>
            <w:r>
              <w:rPr>
                <w:szCs w:val="22"/>
              </w:rPr>
              <w:t>Dandaragan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tcPr>
          <w:p>
            <w:pPr>
              <w:pStyle w:val="yTableNAm"/>
              <w:rPr>
                <w:szCs w:val="22"/>
              </w:rPr>
            </w:pPr>
            <w:r>
              <w:rPr>
                <w:szCs w:val="22"/>
              </w:rPr>
              <w:t>Dardanup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Darkan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Dathagnoorara Farmlands</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Denham (Saline)</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country-region">
                <w:r>
                  <w:rPr>
                    <w:szCs w:val="22"/>
                  </w:rPr>
                  <w:t>Denmark</w:t>
                </w:r>
              </w:smartTag>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City">
                <w:r>
                  <w:rPr>
                    <w:szCs w:val="22"/>
                  </w:rPr>
                  <w:t>Derby</w:t>
                </w:r>
              </w:smartTag>
            </w:smartTag>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Dongara/Denison</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Donnybrook</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4</w:t>
            </w:r>
          </w:p>
        </w:tc>
      </w:tr>
      <w:tr>
        <w:tc>
          <w:tcPr>
            <w:tcW w:w="2920" w:type="dxa"/>
            <w:tcBorders>
              <w:top w:val="nil"/>
              <w:left w:val="nil"/>
              <w:bottom w:val="nil"/>
              <w:right w:val="nil"/>
            </w:tcBorders>
            <w:vAlign w:val="center"/>
          </w:tcPr>
          <w:p>
            <w:pPr>
              <w:pStyle w:val="yTableNAm"/>
              <w:rPr>
                <w:szCs w:val="22"/>
              </w:rPr>
            </w:pPr>
            <w:r>
              <w:rPr>
                <w:szCs w:val="22"/>
              </w:rPr>
              <w:t>Doodlakine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Dowerin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Dudinin/Harrismith/Jitarning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Dumbleyung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Dunsborough/Yallingup</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Dwellingup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Eneabba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Eradu</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Esperance</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Exmouth</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Fitzroy Crossing</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3</w:t>
            </w:r>
          </w:p>
        </w:tc>
      </w:tr>
      <w:tr>
        <w:tc>
          <w:tcPr>
            <w:tcW w:w="2920" w:type="dxa"/>
            <w:tcBorders>
              <w:top w:val="nil"/>
              <w:left w:val="nil"/>
              <w:bottom w:val="nil"/>
              <w:right w:val="nil"/>
            </w:tcBorders>
            <w:vAlign w:val="center"/>
          </w:tcPr>
          <w:p>
            <w:pPr>
              <w:pStyle w:val="yTableNAm"/>
              <w:rPr>
                <w:szCs w:val="22"/>
              </w:rPr>
            </w:pPr>
            <w:r>
              <w:rPr>
                <w:szCs w:val="22"/>
              </w:rPr>
              <w:t>Frankland</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Gabbadah</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Gascoyne Junction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Geraldton</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Gibson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Gingin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Gnarabup</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Gnowangerup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Goomalling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Grass Patch</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Name">
                <w:r>
                  <w:rPr>
                    <w:szCs w:val="22"/>
                  </w:rPr>
                  <w:t>Grass</w:t>
                </w:r>
              </w:smartTag>
              <w:r>
                <w:rPr>
                  <w:szCs w:val="22"/>
                </w:rPr>
                <w:t xml:space="preserve"> </w:t>
              </w:r>
              <w:smartTag w:uri="urn:schemas-microsoft-com:office:smarttags" w:element="PlaceType">
                <w:r>
                  <w:rPr>
                    <w:szCs w:val="22"/>
                  </w:rPr>
                  <w:t>Valley</w:t>
                </w:r>
              </w:smartTag>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Greenbushes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Greenhead</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Guilderton</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8</w:t>
            </w:r>
          </w:p>
        </w:tc>
      </w:tr>
      <w:tr>
        <w:tc>
          <w:tcPr>
            <w:tcW w:w="2920" w:type="dxa"/>
            <w:tcBorders>
              <w:top w:val="nil"/>
              <w:left w:val="nil"/>
              <w:bottom w:val="nil"/>
              <w:right w:val="nil"/>
            </w:tcBorders>
            <w:vAlign w:val="center"/>
          </w:tcPr>
          <w:p>
            <w:pPr>
              <w:pStyle w:val="yTableNAm"/>
              <w:rPr>
                <w:szCs w:val="22"/>
              </w:rPr>
            </w:pPr>
            <w:r>
              <w:rPr>
                <w:szCs w:val="22"/>
              </w:rPr>
              <w:t>Halls Creek</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Hamel/Waroona</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3</w:t>
            </w:r>
          </w:p>
        </w:tc>
      </w:tr>
      <w:tr>
        <w:tc>
          <w:tcPr>
            <w:tcW w:w="2920" w:type="dxa"/>
            <w:tcBorders>
              <w:top w:val="nil"/>
              <w:left w:val="nil"/>
              <w:bottom w:val="nil"/>
              <w:right w:val="nil"/>
            </w:tcBorders>
            <w:vAlign w:val="center"/>
          </w:tcPr>
          <w:p>
            <w:pPr>
              <w:pStyle w:val="yTableNAm"/>
              <w:rPr>
                <w:szCs w:val="22"/>
              </w:rPr>
            </w:pPr>
            <w:r>
              <w:rPr>
                <w:szCs w:val="22"/>
              </w:rPr>
              <w:t>Harvey/Wokalup</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3</w:t>
            </w:r>
          </w:p>
        </w:tc>
      </w:tr>
      <w:tr>
        <w:tc>
          <w:tcPr>
            <w:tcW w:w="2920" w:type="dxa"/>
            <w:tcBorders>
              <w:top w:val="nil"/>
              <w:left w:val="nil"/>
              <w:bottom w:val="nil"/>
              <w:right w:val="nil"/>
            </w:tcBorders>
            <w:vAlign w:val="center"/>
          </w:tcPr>
          <w:p>
            <w:pPr>
              <w:pStyle w:val="yTableNAm"/>
              <w:rPr>
                <w:szCs w:val="22"/>
              </w:rPr>
            </w:pPr>
            <w:r>
              <w:rPr>
                <w:szCs w:val="22"/>
              </w:rPr>
              <w:t>Highbury/Piesseville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Hines Hill</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Hopetoun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Horrocks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Hyden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Jerramungup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Name">
                <w:r>
                  <w:rPr>
                    <w:szCs w:val="22"/>
                  </w:rPr>
                  <w:t>Jurien</w:t>
                </w:r>
              </w:smartTag>
              <w:r>
                <w:rPr>
                  <w:szCs w:val="22"/>
                </w:rPr>
                <w:t xml:space="preserve"> </w:t>
              </w:r>
              <w:smartTag w:uri="urn:schemas-microsoft-com:office:smarttags" w:element="PlaceType">
                <w:r>
                  <w:rPr>
                    <w:szCs w:val="22"/>
                  </w:rPr>
                  <w:t>Bay</w:t>
                </w:r>
              </w:smartTag>
            </w:smartTag>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3</w:t>
            </w:r>
          </w:p>
        </w:tc>
      </w:tr>
      <w:tr>
        <w:tc>
          <w:tcPr>
            <w:tcW w:w="2920" w:type="dxa"/>
            <w:tcBorders>
              <w:top w:val="nil"/>
              <w:left w:val="nil"/>
              <w:bottom w:val="nil"/>
              <w:right w:val="nil"/>
            </w:tcBorders>
            <w:vAlign w:val="center"/>
          </w:tcPr>
          <w:p>
            <w:pPr>
              <w:pStyle w:val="yTableNAm"/>
              <w:rPr>
                <w:szCs w:val="22"/>
              </w:rPr>
            </w:pPr>
            <w:r>
              <w:rPr>
                <w:szCs w:val="22"/>
              </w:rPr>
              <w:t>Kalannie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Kalbarri</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2</w:t>
            </w:r>
          </w:p>
        </w:tc>
      </w:tr>
      <w:tr>
        <w:tc>
          <w:tcPr>
            <w:tcW w:w="2920" w:type="dxa"/>
            <w:tcBorders>
              <w:top w:val="nil"/>
              <w:left w:val="nil"/>
              <w:bottom w:val="nil"/>
              <w:right w:val="nil"/>
            </w:tcBorders>
            <w:vAlign w:val="center"/>
          </w:tcPr>
          <w:p>
            <w:pPr>
              <w:pStyle w:val="yTableNAm"/>
              <w:rPr>
                <w:szCs w:val="22"/>
              </w:rPr>
            </w:pPr>
            <w:r>
              <w:rPr>
                <w:szCs w:val="22"/>
              </w:rPr>
              <w:t>Kalgoorlie/Boulder</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Kambalda</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7</w:t>
            </w:r>
          </w:p>
        </w:tc>
      </w:tr>
      <w:tr>
        <w:tc>
          <w:tcPr>
            <w:tcW w:w="2920" w:type="dxa"/>
            <w:tcBorders>
              <w:top w:val="nil"/>
              <w:left w:val="nil"/>
              <w:bottom w:val="nil"/>
              <w:right w:val="nil"/>
            </w:tcBorders>
            <w:vAlign w:val="center"/>
          </w:tcPr>
          <w:p>
            <w:pPr>
              <w:pStyle w:val="yTableNAm"/>
              <w:rPr>
                <w:szCs w:val="22"/>
              </w:rPr>
            </w:pPr>
            <w:r>
              <w:rPr>
                <w:szCs w:val="22"/>
              </w:rPr>
              <w:t>Karakin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Karlgarin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Karratha</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6</w:t>
            </w:r>
          </w:p>
        </w:tc>
      </w:tr>
      <w:tr>
        <w:tc>
          <w:tcPr>
            <w:tcW w:w="2920" w:type="dxa"/>
            <w:tcBorders>
              <w:top w:val="nil"/>
              <w:left w:val="nil"/>
              <w:bottom w:val="nil"/>
              <w:right w:val="nil"/>
            </w:tcBorders>
            <w:vAlign w:val="center"/>
          </w:tcPr>
          <w:p>
            <w:pPr>
              <w:pStyle w:val="yTableNAm"/>
              <w:rPr>
                <w:szCs w:val="22"/>
              </w:rPr>
            </w:pPr>
            <w:r>
              <w:rPr>
                <w:szCs w:val="22"/>
              </w:rPr>
              <w:t>Katanning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Katanning Farmlands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Kellerberrin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Kendenup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Kendenup Farmlands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Kirup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Kojonup/Muradup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Kondinin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Koorda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Kukerin/Moulyinning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Kulin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Kununoppin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tcPr>
          <w:p>
            <w:pPr>
              <w:pStyle w:val="yTableNAm"/>
              <w:rPr>
                <w:szCs w:val="22"/>
              </w:rPr>
            </w:pPr>
            <w:r>
              <w:rPr>
                <w:szCs w:val="22"/>
              </w:rPr>
              <w:t>Kununurra</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2</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Type">
                <w:r>
                  <w:rPr>
                    <w:szCs w:val="22"/>
                  </w:rPr>
                  <w:t>Lake</w:t>
                </w:r>
              </w:smartTag>
              <w:r>
                <w:rPr>
                  <w:szCs w:val="22"/>
                </w:rPr>
                <w:t xml:space="preserve"> </w:t>
              </w:r>
              <w:smartTag w:uri="urn:schemas-microsoft-com:office:smarttags" w:element="PlaceName">
                <w:r>
                  <w:rPr>
                    <w:szCs w:val="22"/>
                  </w:rPr>
                  <w:t>Argyle</w:t>
                </w:r>
              </w:smartTag>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Type">
                <w:r>
                  <w:rPr>
                    <w:szCs w:val="22"/>
                  </w:rPr>
                  <w:t>Lake</w:t>
                </w:r>
              </w:smartTag>
              <w:r>
                <w:rPr>
                  <w:szCs w:val="22"/>
                </w:rPr>
                <w:t xml:space="preserve"> </w:t>
              </w:r>
              <w:smartTag w:uri="urn:schemas-microsoft-com:office:smarttags" w:element="PlaceName">
                <w:r>
                  <w:rPr>
                    <w:szCs w:val="22"/>
                  </w:rPr>
                  <w:t>Grace</w:t>
                </w:r>
              </w:smartTag>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Type">
                <w:r>
                  <w:rPr>
                    <w:szCs w:val="22"/>
                  </w:rPr>
                  <w:t>Lake</w:t>
                </w:r>
              </w:smartTag>
              <w:r>
                <w:rPr>
                  <w:szCs w:val="22"/>
                </w:rPr>
                <w:t xml:space="preserve"> </w:t>
              </w:r>
              <w:smartTag w:uri="urn:schemas-microsoft-com:office:smarttags" w:element="PlaceName">
                <w:r>
                  <w:rPr>
                    <w:szCs w:val="22"/>
                  </w:rPr>
                  <w:t>King</w:t>
                </w:r>
              </w:smartTag>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Lancelin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Latham</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Laverton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Ledge Point</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Leeman</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Leonora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Mandurah</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3</w:t>
            </w:r>
          </w:p>
        </w:tc>
      </w:tr>
      <w:tr>
        <w:tc>
          <w:tcPr>
            <w:tcW w:w="2920" w:type="dxa"/>
            <w:tcBorders>
              <w:top w:val="nil"/>
              <w:left w:val="nil"/>
              <w:bottom w:val="nil"/>
              <w:right w:val="nil"/>
            </w:tcBorders>
            <w:vAlign w:val="center"/>
          </w:tcPr>
          <w:p>
            <w:pPr>
              <w:pStyle w:val="yTableNAm"/>
              <w:rPr>
                <w:szCs w:val="22"/>
              </w:rPr>
            </w:pPr>
            <w:r>
              <w:rPr>
                <w:szCs w:val="22"/>
              </w:rPr>
              <w:t>Manjimup</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Marble Bar</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Name">
                <w:r>
                  <w:rPr>
                    <w:szCs w:val="22"/>
                  </w:rPr>
                  <w:t>Margaret</w:t>
                </w:r>
              </w:smartTag>
              <w:r>
                <w:rPr>
                  <w:szCs w:val="22"/>
                </w:rPr>
                <w:t xml:space="preserve"> </w:t>
              </w:r>
              <w:smartTag w:uri="urn:schemas-microsoft-com:office:smarttags" w:element="PlaceName">
                <w:r>
                  <w:rPr>
                    <w:szCs w:val="22"/>
                  </w:rPr>
                  <w:t>River</w:t>
                </w:r>
              </w:smartTag>
            </w:smartTag>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3</w:t>
            </w:r>
          </w:p>
        </w:tc>
      </w:tr>
      <w:tr>
        <w:tc>
          <w:tcPr>
            <w:tcW w:w="2920" w:type="dxa"/>
            <w:tcBorders>
              <w:top w:val="nil"/>
              <w:left w:val="nil"/>
              <w:bottom w:val="nil"/>
              <w:right w:val="nil"/>
            </w:tcBorders>
            <w:vAlign w:val="center"/>
          </w:tcPr>
          <w:p>
            <w:pPr>
              <w:pStyle w:val="yTableNAm"/>
              <w:rPr>
                <w:szCs w:val="22"/>
              </w:rPr>
            </w:pPr>
            <w:r>
              <w:rPr>
                <w:szCs w:val="22"/>
              </w:rPr>
              <w:t xml:space="preserve">Marvel </w:t>
            </w:r>
            <w:smartTag w:uri="urn:schemas-microsoft-com:office:smarttags" w:element="place">
              <w:r>
                <w:rPr>
                  <w:szCs w:val="22"/>
                </w:rPr>
                <w:t>Loch</w:t>
              </w:r>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Meckering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Meekatharra</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10</w:t>
            </w:r>
          </w:p>
        </w:tc>
      </w:tr>
      <w:tr>
        <w:tc>
          <w:tcPr>
            <w:tcW w:w="2920" w:type="dxa"/>
            <w:tcBorders>
              <w:top w:val="nil"/>
              <w:left w:val="nil"/>
              <w:bottom w:val="nil"/>
              <w:right w:val="nil"/>
            </w:tcBorders>
            <w:vAlign w:val="center"/>
          </w:tcPr>
          <w:p>
            <w:pPr>
              <w:pStyle w:val="yTableNAm"/>
              <w:rPr>
                <w:szCs w:val="22"/>
              </w:rPr>
            </w:pPr>
            <w:r>
              <w:rPr>
                <w:szCs w:val="22"/>
              </w:rPr>
              <w:t>Menzies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Merredin</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Merredin Farmlands</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Miling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Mingenew</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Moora</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3</w:t>
            </w:r>
          </w:p>
        </w:tc>
      </w:tr>
      <w:tr>
        <w:tc>
          <w:tcPr>
            <w:tcW w:w="2920" w:type="dxa"/>
            <w:tcBorders>
              <w:top w:val="nil"/>
              <w:left w:val="nil"/>
              <w:bottom w:val="nil"/>
              <w:right w:val="nil"/>
            </w:tcBorders>
            <w:vAlign w:val="center"/>
          </w:tcPr>
          <w:p>
            <w:pPr>
              <w:pStyle w:val="yTableNAm"/>
              <w:rPr>
                <w:szCs w:val="22"/>
              </w:rPr>
            </w:pPr>
            <w:r>
              <w:rPr>
                <w:szCs w:val="22"/>
              </w:rPr>
              <w:t>Moorine Rock</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Morawa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Barker</w:t>
                </w:r>
              </w:smartTag>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Magnet</w:t>
                </w:r>
              </w:smartTag>
            </w:smartTag>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Roe</w:t>
                </w:r>
              </w:smartTag>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Mukinbudin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Mullalyup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Mullewa</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10</w:t>
            </w:r>
          </w:p>
        </w:tc>
      </w:tr>
      <w:tr>
        <w:tc>
          <w:tcPr>
            <w:tcW w:w="2920" w:type="dxa"/>
            <w:tcBorders>
              <w:top w:val="nil"/>
              <w:left w:val="nil"/>
              <w:bottom w:val="nil"/>
              <w:right w:val="nil"/>
            </w:tcBorders>
            <w:vAlign w:val="center"/>
          </w:tcPr>
          <w:p>
            <w:pPr>
              <w:pStyle w:val="yTableNAm"/>
              <w:rPr>
                <w:szCs w:val="22"/>
              </w:rPr>
            </w:pPr>
            <w:r>
              <w:rPr>
                <w:szCs w:val="22"/>
              </w:rPr>
              <w:t>Mullewa Farmlands</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Munglinup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Muntadgin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Myalup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Nabawa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Nannup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Narembeen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Narngulu</w:t>
            </w:r>
          </w:p>
        </w:tc>
        <w:tc>
          <w:tcPr>
            <w:tcW w:w="1800" w:type="dxa"/>
            <w:tcBorders>
              <w:top w:val="nil"/>
              <w:left w:val="nil"/>
              <w:bottom w:val="nil"/>
              <w:right w:val="nil"/>
            </w:tcBorders>
            <w:vAlign w:val="bottom"/>
          </w:tcPr>
          <w:p>
            <w:pPr>
              <w:pStyle w:val="yTableNAm"/>
              <w:jc w:val="center"/>
              <w:rPr>
                <w:szCs w:val="22"/>
              </w:rPr>
            </w:pPr>
            <w:r>
              <w:rPr>
                <w:szCs w:val="22"/>
              </w:rPr>
              <w:t>1</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Narrikup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Narrogin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Narrogin Farmlands</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8</w:t>
            </w:r>
          </w:p>
        </w:tc>
      </w:tr>
      <w:tr>
        <w:tc>
          <w:tcPr>
            <w:tcW w:w="2920" w:type="dxa"/>
            <w:tcBorders>
              <w:top w:val="nil"/>
              <w:left w:val="nil"/>
              <w:bottom w:val="nil"/>
              <w:right w:val="nil"/>
            </w:tcBorders>
            <w:vAlign w:val="center"/>
          </w:tcPr>
          <w:p>
            <w:pPr>
              <w:pStyle w:val="yTableNAm"/>
              <w:rPr>
                <w:szCs w:val="22"/>
              </w:rPr>
            </w:pPr>
            <w:r>
              <w:rPr>
                <w:szCs w:val="22"/>
              </w:rPr>
              <w:t>New Norcia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Newdegate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Newman</w:t>
            </w:r>
          </w:p>
        </w:tc>
        <w:tc>
          <w:tcPr>
            <w:tcW w:w="1800" w:type="dxa"/>
            <w:tcBorders>
              <w:top w:val="nil"/>
              <w:left w:val="nil"/>
              <w:bottom w:val="nil"/>
              <w:right w:val="nil"/>
            </w:tcBorders>
            <w:vAlign w:val="bottom"/>
          </w:tcPr>
          <w:p>
            <w:pPr>
              <w:pStyle w:val="yTableNAm"/>
              <w:jc w:val="center"/>
              <w:rPr>
                <w:szCs w:val="22"/>
              </w:rPr>
            </w:pPr>
            <w:r>
              <w:rPr>
                <w:szCs w:val="22"/>
              </w:rPr>
              <w:t>1</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Nilgen</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6</w:t>
            </w:r>
          </w:p>
        </w:tc>
      </w:tr>
      <w:tr>
        <w:tc>
          <w:tcPr>
            <w:tcW w:w="2920" w:type="dxa"/>
            <w:tcBorders>
              <w:top w:val="nil"/>
              <w:left w:val="nil"/>
              <w:bottom w:val="nil"/>
              <w:right w:val="nil"/>
            </w:tcBorders>
            <w:vAlign w:val="center"/>
          </w:tcPr>
          <w:p>
            <w:pPr>
              <w:pStyle w:val="yTableNAm"/>
              <w:rPr>
                <w:szCs w:val="22"/>
              </w:rPr>
            </w:pPr>
            <w:r>
              <w:rPr>
                <w:szCs w:val="22"/>
              </w:rPr>
              <w:t>Norseman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12</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r>
                <w:rPr>
                  <w:szCs w:val="22"/>
                </w:rPr>
                <w:t>North Dandalup</w:t>
              </w:r>
            </w:smartTag>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Northam</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Northam Farmlands</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City">
                <w:r>
                  <w:rPr>
                    <w:szCs w:val="22"/>
                  </w:rPr>
                  <w:t>Northampton</w:t>
                </w:r>
              </w:smartTag>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Northcliffe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Nullagine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Nungarin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Nyabing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Ongerup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Onslow</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Ora Banda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City">
                <w:r>
                  <w:rPr>
                    <w:szCs w:val="22"/>
                  </w:rPr>
                  <w:t>Park Ridge</w:t>
                </w:r>
              </w:smartTag>
            </w:smartTag>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Pemberton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Name">
                <w:r>
                  <w:rPr>
                    <w:szCs w:val="22"/>
                  </w:rPr>
                  <w:t>Peppermint</w:t>
                </w:r>
              </w:smartTag>
              <w:r>
                <w:rPr>
                  <w:szCs w:val="22"/>
                </w:rPr>
                <w:t xml:space="preserve"> </w:t>
              </w:r>
              <w:smartTag w:uri="urn:schemas-microsoft-com:office:smarttags" w:element="PlaceType">
                <w:r>
                  <w:rPr>
                    <w:szCs w:val="22"/>
                  </w:rPr>
                  <w:t>Grove</w:t>
                </w:r>
              </w:smartTag>
              <w:r>
                <w:rPr>
                  <w:szCs w:val="22"/>
                </w:rPr>
                <w:t xml:space="preserve"> </w:t>
              </w:r>
              <w:smartTag w:uri="urn:schemas-microsoft-com:office:smarttags" w:element="PlaceType">
                <w:r>
                  <w:rPr>
                    <w:szCs w:val="22"/>
                  </w:rPr>
                  <w:t>Beach</w:t>
                </w:r>
              </w:smartTag>
            </w:smartTag>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Perenjori</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Pingaring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Pingelly</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Pingrup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Pinjarra</w:t>
            </w:r>
          </w:p>
        </w:tc>
        <w:tc>
          <w:tcPr>
            <w:tcW w:w="1800" w:type="dxa"/>
            <w:tcBorders>
              <w:top w:val="nil"/>
              <w:left w:val="nil"/>
              <w:bottom w:val="nil"/>
              <w:right w:val="nil"/>
            </w:tcBorders>
            <w:vAlign w:val="bottom"/>
          </w:tcPr>
          <w:p>
            <w:pPr>
              <w:pStyle w:val="yTableNAm"/>
              <w:jc w:val="center"/>
              <w:rPr>
                <w:szCs w:val="22"/>
              </w:rPr>
            </w:pPr>
            <w:r>
              <w:rPr>
                <w:szCs w:val="22"/>
              </w:rPr>
              <w:t>1</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Pithara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Point Samson</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10</w:t>
            </w:r>
          </w:p>
        </w:tc>
      </w:tr>
      <w:tr>
        <w:tc>
          <w:tcPr>
            <w:tcW w:w="2920" w:type="dxa"/>
            <w:tcBorders>
              <w:top w:val="nil"/>
              <w:left w:val="nil"/>
              <w:bottom w:val="nil"/>
              <w:right w:val="nil"/>
            </w:tcBorders>
            <w:vAlign w:val="center"/>
          </w:tcPr>
          <w:p>
            <w:pPr>
              <w:pStyle w:val="yTableNAm"/>
              <w:rPr>
                <w:szCs w:val="22"/>
              </w:rPr>
            </w:pPr>
            <w:r>
              <w:rPr>
                <w:szCs w:val="22"/>
              </w:rPr>
              <w:t>Popanyinning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Porongurup</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3</w:t>
            </w:r>
          </w:p>
        </w:tc>
      </w:tr>
      <w:tr>
        <w:tc>
          <w:tcPr>
            <w:tcW w:w="2920" w:type="dxa"/>
            <w:tcBorders>
              <w:top w:val="nil"/>
              <w:left w:val="nil"/>
              <w:bottom w:val="nil"/>
              <w:right w:val="nil"/>
            </w:tcBorders>
            <w:vAlign w:val="center"/>
          </w:tcPr>
          <w:p>
            <w:pPr>
              <w:pStyle w:val="yTableNAm"/>
              <w:rPr>
                <w:szCs w:val="22"/>
              </w:rPr>
            </w:pPr>
            <w:r>
              <w:rPr>
                <w:szCs w:val="22"/>
              </w:rPr>
              <w:t>Porongurup Farmlands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Port Hedland</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Name">
                <w:r>
                  <w:rPr>
                    <w:szCs w:val="22"/>
                  </w:rPr>
                  <w:t>Preston</w:t>
                </w:r>
              </w:smartTag>
              <w:r>
                <w:rPr>
                  <w:szCs w:val="22"/>
                </w:rPr>
                <w:t xml:space="preserve"> </w:t>
              </w:r>
              <w:smartTag w:uri="urn:schemas-microsoft-com:office:smarttags" w:element="PlaceType">
                <w:r>
                  <w:rPr>
                    <w:szCs w:val="22"/>
                  </w:rPr>
                  <w:t>Beach</w:t>
                </w:r>
              </w:smartTag>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Quairading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Quinninup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Ravensthorpe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Rocky Gully</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Roebourne</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10</w:t>
            </w:r>
          </w:p>
        </w:tc>
      </w:tr>
      <w:tr>
        <w:tc>
          <w:tcPr>
            <w:tcW w:w="2920" w:type="dxa"/>
            <w:tcBorders>
              <w:top w:val="nil"/>
              <w:left w:val="nil"/>
              <w:bottom w:val="nil"/>
              <w:right w:val="nil"/>
            </w:tcBorders>
            <w:vAlign w:val="center"/>
          </w:tcPr>
          <w:p>
            <w:pPr>
              <w:pStyle w:val="yTableNAm"/>
              <w:rPr>
                <w:szCs w:val="22"/>
              </w:rPr>
            </w:pPr>
            <w:r>
              <w:rPr>
                <w:szCs w:val="22"/>
              </w:rPr>
              <w:t>Salmon Gums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Sandstone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Seabird</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r>
                <w:rPr>
                  <w:szCs w:val="22"/>
                </w:rPr>
                <w:t>South Hedland</w:t>
              </w:r>
            </w:smartTag>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Southern Cross</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8</w:t>
            </w:r>
          </w:p>
        </w:tc>
      </w:tr>
      <w:tr>
        <w:tc>
          <w:tcPr>
            <w:tcW w:w="2920" w:type="dxa"/>
            <w:tcBorders>
              <w:top w:val="nil"/>
              <w:left w:val="nil"/>
              <w:bottom w:val="nil"/>
              <w:right w:val="nil"/>
            </w:tcBorders>
            <w:vAlign w:val="center"/>
          </w:tcPr>
          <w:p>
            <w:pPr>
              <w:pStyle w:val="yTableNAm"/>
              <w:rPr>
                <w:szCs w:val="22"/>
              </w:rPr>
            </w:pPr>
            <w:r>
              <w:rPr>
                <w:szCs w:val="22"/>
              </w:rPr>
              <w:t>Tambellup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Tammin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Three Springs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Tincurrin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Toodyay</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Trayning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Varley</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Wagin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Walkaway</w:t>
            </w:r>
          </w:p>
        </w:tc>
        <w:tc>
          <w:tcPr>
            <w:tcW w:w="1800" w:type="dxa"/>
            <w:tcBorders>
              <w:top w:val="nil"/>
              <w:left w:val="nil"/>
              <w:bottom w:val="nil"/>
              <w:right w:val="nil"/>
            </w:tcBorders>
            <w:vAlign w:val="bottom"/>
          </w:tcPr>
          <w:p>
            <w:pPr>
              <w:pStyle w:val="yTableNAm"/>
              <w:jc w:val="center"/>
              <w:rPr>
                <w:szCs w:val="22"/>
              </w:rPr>
            </w:pPr>
            <w:r>
              <w:rPr>
                <w:szCs w:val="22"/>
              </w:rPr>
              <w:t>1</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City">
                <w:r>
                  <w:rPr>
                    <w:szCs w:val="22"/>
                  </w:rPr>
                  <w:t>Walpole</w:t>
                </w:r>
              </w:smartTag>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Wandering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Watheroo</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Wellstead</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Westonia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Wickepin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Wickham</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10</w:t>
            </w:r>
          </w:p>
        </w:tc>
      </w:tr>
      <w:tr>
        <w:tc>
          <w:tcPr>
            <w:tcW w:w="2920" w:type="dxa"/>
            <w:tcBorders>
              <w:top w:val="nil"/>
              <w:left w:val="nil"/>
              <w:bottom w:val="nil"/>
              <w:right w:val="nil"/>
            </w:tcBorders>
            <w:vAlign w:val="center"/>
          </w:tcPr>
          <w:p>
            <w:pPr>
              <w:pStyle w:val="yTableNAm"/>
              <w:rPr>
                <w:szCs w:val="22"/>
              </w:rPr>
            </w:pPr>
            <w:r>
              <w:rPr>
                <w:szCs w:val="22"/>
              </w:rPr>
              <w:t>Widgiemooltha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Williams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Wiluna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Wongan Hills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Woodanilling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r>
                <w:rPr>
                  <w:szCs w:val="22"/>
                </w:rPr>
                <w:t>Woodridge</w:t>
              </w:r>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Wubin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Wundowie</w:t>
            </w:r>
          </w:p>
        </w:tc>
        <w:tc>
          <w:tcPr>
            <w:tcW w:w="1800" w:type="dxa"/>
            <w:tcBorders>
              <w:top w:val="nil"/>
              <w:left w:val="nil"/>
              <w:bottom w:val="nil"/>
              <w:right w:val="nil"/>
            </w:tcBorders>
            <w:vAlign w:val="bottom"/>
          </w:tcPr>
          <w:p>
            <w:pPr>
              <w:pStyle w:val="yTableNAm"/>
              <w:jc w:val="center"/>
              <w:rPr>
                <w:szCs w:val="22"/>
              </w:rPr>
            </w:pPr>
            <w:r>
              <w:rPr>
                <w:szCs w:val="22"/>
              </w:rPr>
              <w:t>1</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Wyalkatchem</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Wyndham</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Yalgoo</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Yarloop/Wagerup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Yealering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Yerecoin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City">
                <w:r>
                  <w:rPr>
                    <w:szCs w:val="22"/>
                  </w:rPr>
                  <w:t>York</w:t>
                </w:r>
              </w:smartTag>
            </w:smartTag>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Yuna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bl>
    <w:p>
      <w:pPr>
        <w:pStyle w:val="yFootnotesection"/>
      </w:pPr>
      <w:r>
        <w:tab/>
        <w:t>[Schedule 9 inserted in Gazette 20 Jun 2012 p. 2755</w:t>
      </w:r>
      <w:r>
        <w:noBreakHyphen/>
        <w:t>64.]</w:t>
      </w:r>
    </w:p>
    <w:p>
      <w:pPr>
        <w:pStyle w:val="yScheduleHeading"/>
      </w:pPr>
      <w:bookmarkStart w:id="753" w:name="_Toc328403464"/>
      <w:bookmarkStart w:id="754" w:name="_Toc328471514"/>
      <w:bookmarkStart w:id="755" w:name="_Toc297540810"/>
      <w:bookmarkStart w:id="756" w:name="_Toc297541238"/>
      <w:bookmarkEnd w:id="750"/>
      <w:bookmarkEnd w:id="751"/>
      <w:bookmarkEnd w:id="752"/>
      <w:r>
        <w:rPr>
          <w:rStyle w:val="CharSchNo"/>
        </w:rPr>
        <w:t>Schedule 10</w:t>
      </w:r>
      <w:r>
        <w:rPr>
          <w:rStyle w:val="CharSDivNo"/>
        </w:rPr>
        <w:t> </w:t>
      </w:r>
      <w:r>
        <w:t>—</w:t>
      </w:r>
      <w:r>
        <w:rPr>
          <w:rStyle w:val="CharSDivText"/>
        </w:rPr>
        <w:t> </w:t>
      </w:r>
      <w:r>
        <w:rPr>
          <w:rStyle w:val="CharSchText"/>
        </w:rPr>
        <w:t>Classification of towns/areas for the purpose of determining quantity charges in the current year</w:t>
      </w:r>
      <w:bookmarkEnd w:id="753"/>
      <w:bookmarkEnd w:id="754"/>
    </w:p>
    <w:p>
      <w:pPr>
        <w:pStyle w:val="yShoulderClause"/>
      </w:pPr>
      <w:r>
        <w:t>[bl. 17D(3)]</w:t>
      </w:r>
    </w:p>
    <w:p>
      <w:pPr>
        <w:pStyle w:val="yFootnoteheading"/>
        <w:spacing w:after="60"/>
      </w:pPr>
      <w:r>
        <w:tab/>
        <w:t>[Heading inserted in Gazette 20 Jun 2012 p. 2765.]</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20"/>
        <w:gridCol w:w="1800"/>
        <w:gridCol w:w="1800"/>
      </w:tblGrid>
      <w:tr>
        <w:trPr>
          <w:tblHeader/>
        </w:trPr>
        <w:tc>
          <w:tcPr>
            <w:tcW w:w="2920" w:type="dxa"/>
            <w:tcBorders>
              <w:top w:val="single" w:sz="4" w:space="0" w:color="auto"/>
              <w:left w:val="nil"/>
              <w:bottom w:val="single" w:sz="4" w:space="0" w:color="auto"/>
              <w:right w:val="nil"/>
            </w:tcBorders>
          </w:tcPr>
          <w:p>
            <w:pPr>
              <w:pStyle w:val="yTableNAm"/>
              <w:jc w:val="center"/>
              <w:rPr>
                <w:b/>
                <w:bCs/>
              </w:rPr>
            </w:pPr>
            <w:r>
              <w:rPr>
                <w:b/>
                <w:bCs/>
              </w:rPr>
              <w:t>Town/area</w:t>
            </w:r>
          </w:p>
        </w:tc>
        <w:tc>
          <w:tcPr>
            <w:tcW w:w="1800" w:type="dxa"/>
            <w:tcBorders>
              <w:top w:val="single" w:sz="4" w:space="0" w:color="auto"/>
              <w:left w:val="nil"/>
              <w:bottom w:val="single" w:sz="4" w:space="0" w:color="auto"/>
              <w:right w:val="nil"/>
            </w:tcBorders>
          </w:tcPr>
          <w:p>
            <w:pPr>
              <w:pStyle w:val="yTableNAm"/>
              <w:jc w:val="center"/>
              <w:rPr>
                <w:b/>
                <w:bCs/>
              </w:rPr>
            </w:pPr>
            <w:r>
              <w:rPr>
                <w:b/>
                <w:bCs/>
              </w:rPr>
              <w:t>Residential classification</w:t>
            </w:r>
          </w:p>
        </w:tc>
        <w:tc>
          <w:tcPr>
            <w:tcW w:w="1800" w:type="dxa"/>
            <w:tcBorders>
              <w:top w:val="single" w:sz="4" w:space="0" w:color="auto"/>
              <w:left w:val="nil"/>
              <w:bottom w:val="single" w:sz="4" w:space="0" w:color="auto"/>
              <w:right w:val="nil"/>
            </w:tcBorders>
          </w:tcPr>
          <w:p>
            <w:pPr>
              <w:pStyle w:val="yTableNAm"/>
              <w:jc w:val="center"/>
              <w:rPr>
                <w:b/>
                <w:bCs/>
              </w:rPr>
            </w:pPr>
            <w:r>
              <w:rPr>
                <w:b/>
                <w:bCs/>
              </w:rPr>
              <w:t>Non</w:t>
            </w:r>
            <w:r>
              <w:rPr>
                <w:b/>
                <w:bCs/>
              </w:rPr>
              <w:noBreakHyphen/>
              <w:t>residential classification</w:t>
            </w:r>
          </w:p>
        </w:tc>
      </w:tr>
      <w:tr>
        <w:tc>
          <w:tcPr>
            <w:tcW w:w="2920" w:type="dxa"/>
            <w:tcBorders>
              <w:top w:val="single" w:sz="4" w:space="0" w:color="auto"/>
              <w:left w:val="nil"/>
              <w:bottom w:val="nil"/>
              <w:right w:val="nil"/>
            </w:tcBorders>
            <w:vAlign w:val="center"/>
          </w:tcPr>
          <w:p>
            <w:pPr>
              <w:pStyle w:val="yTableNAm"/>
              <w:rPr>
                <w:szCs w:val="22"/>
              </w:rPr>
            </w:pPr>
            <w:smartTag w:uri="urn:schemas-microsoft-com:office:smarttags" w:element="place">
              <w:smartTag w:uri="urn:schemas-microsoft-com:office:smarttags" w:element="City">
                <w:r>
                  <w:rPr>
                    <w:szCs w:val="22"/>
                  </w:rPr>
                  <w:t>Albany</w:t>
                </w:r>
              </w:smartTag>
            </w:smartTag>
          </w:p>
        </w:tc>
        <w:tc>
          <w:tcPr>
            <w:tcW w:w="1800" w:type="dxa"/>
            <w:tcBorders>
              <w:top w:val="single" w:sz="4" w:space="0" w:color="auto"/>
              <w:left w:val="nil"/>
              <w:bottom w:val="nil"/>
              <w:right w:val="nil"/>
            </w:tcBorders>
            <w:vAlign w:val="bottom"/>
          </w:tcPr>
          <w:p>
            <w:pPr>
              <w:pStyle w:val="yTableNAm"/>
              <w:jc w:val="center"/>
              <w:rPr>
                <w:szCs w:val="22"/>
              </w:rPr>
            </w:pPr>
            <w:r>
              <w:rPr>
                <w:szCs w:val="22"/>
              </w:rPr>
              <w:t>3</w:t>
            </w:r>
          </w:p>
        </w:tc>
        <w:tc>
          <w:tcPr>
            <w:tcW w:w="1800" w:type="dxa"/>
            <w:tcBorders>
              <w:top w:val="single" w:sz="4" w:space="0" w:color="auto"/>
              <w:left w:val="nil"/>
              <w:bottom w:val="nil"/>
              <w:right w:val="nil"/>
            </w:tcBorders>
            <w:vAlign w:val="bottom"/>
          </w:tcPr>
          <w:p>
            <w:pPr>
              <w:pStyle w:val="yTableNAm"/>
              <w:jc w:val="center"/>
              <w:rPr>
                <w:szCs w:val="22"/>
              </w:rPr>
            </w:pPr>
            <w:r>
              <w:rPr>
                <w:szCs w:val="22"/>
              </w:rPr>
              <w:t>6</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City">
                <w:r>
                  <w:rPr>
                    <w:szCs w:val="22"/>
                  </w:rPr>
                  <w:t>Albany</w:t>
                </w:r>
              </w:smartTag>
            </w:smartTag>
            <w:r>
              <w:rPr>
                <w:szCs w:val="22"/>
              </w:rPr>
              <w:t xml:space="preserve"> Farmlands</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6</w:t>
            </w:r>
          </w:p>
        </w:tc>
      </w:tr>
      <w:tr>
        <w:tc>
          <w:tcPr>
            <w:tcW w:w="2920" w:type="dxa"/>
            <w:tcBorders>
              <w:top w:val="nil"/>
              <w:left w:val="nil"/>
              <w:bottom w:val="nil"/>
              <w:right w:val="nil"/>
            </w:tcBorders>
            <w:vAlign w:val="center"/>
          </w:tcPr>
          <w:p>
            <w:pPr>
              <w:pStyle w:val="yTableNAm"/>
              <w:rPr>
                <w:szCs w:val="22"/>
              </w:rPr>
            </w:pPr>
            <w:r>
              <w:rPr>
                <w:szCs w:val="22"/>
              </w:rPr>
              <w:t>Allanooka Farmlands</w:t>
            </w:r>
          </w:p>
        </w:tc>
        <w:tc>
          <w:tcPr>
            <w:tcW w:w="1800" w:type="dxa"/>
            <w:tcBorders>
              <w:top w:val="nil"/>
              <w:left w:val="nil"/>
              <w:bottom w:val="nil"/>
              <w:right w:val="nil"/>
            </w:tcBorders>
            <w:vAlign w:val="bottom"/>
          </w:tcPr>
          <w:p>
            <w:pPr>
              <w:pStyle w:val="yTableNAm"/>
              <w:jc w:val="center"/>
              <w:rPr>
                <w:sz w:val="24"/>
                <w:szCs w:val="24"/>
              </w:rPr>
            </w:pPr>
            <w:r>
              <w:t>1</w:t>
            </w:r>
          </w:p>
        </w:tc>
        <w:tc>
          <w:tcPr>
            <w:tcW w:w="1800" w:type="dxa"/>
            <w:tcBorders>
              <w:top w:val="nil"/>
              <w:left w:val="nil"/>
              <w:bottom w:val="nil"/>
              <w:right w:val="nil"/>
            </w:tcBorders>
            <w:vAlign w:val="bottom"/>
          </w:tcPr>
          <w:p>
            <w:pPr>
              <w:pStyle w:val="yTableNAm"/>
              <w:jc w:val="center"/>
              <w:rPr>
                <w:sz w:val="24"/>
                <w:szCs w:val="24"/>
              </w:rPr>
            </w:pPr>
            <w:r>
              <w:t>1</w:t>
            </w:r>
          </w:p>
        </w:tc>
      </w:tr>
      <w:tr>
        <w:tc>
          <w:tcPr>
            <w:tcW w:w="2920" w:type="dxa"/>
            <w:tcBorders>
              <w:top w:val="nil"/>
              <w:left w:val="nil"/>
              <w:bottom w:val="nil"/>
              <w:right w:val="nil"/>
            </w:tcBorders>
            <w:vAlign w:val="center"/>
          </w:tcPr>
          <w:p>
            <w:pPr>
              <w:pStyle w:val="yTableNAm"/>
              <w:rPr>
                <w:szCs w:val="22"/>
              </w:rPr>
            </w:pPr>
            <w:r>
              <w:rPr>
                <w:szCs w:val="22"/>
              </w:rPr>
              <w:t>Allanson</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Arrino</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Arrowsmith Farmlands</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City">
                <w:r>
                  <w:rPr>
                    <w:szCs w:val="22"/>
                  </w:rPr>
                  <w:t>Augusta</w:t>
                </w:r>
              </w:smartTag>
            </w:smartTag>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Australind/Eaton</w:t>
            </w:r>
          </w:p>
        </w:tc>
        <w:tc>
          <w:tcPr>
            <w:tcW w:w="1800" w:type="dxa"/>
            <w:tcBorders>
              <w:top w:val="nil"/>
              <w:left w:val="nil"/>
              <w:bottom w:val="nil"/>
              <w:right w:val="nil"/>
            </w:tcBorders>
            <w:vAlign w:val="bottom"/>
          </w:tcPr>
          <w:p>
            <w:pPr>
              <w:pStyle w:val="yTableNAm"/>
              <w:jc w:val="center"/>
              <w:rPr>
                <w:sz w:val="24"/>
                <w:szCs w:val="24"/>
              </w:rPr>
            </w:pPr>
            <w:r>
              <w:t>2</w:t>
            </w:r>
          </w:p>
        </w:tc>
        <w:tc>
          <w:tcPr>
            <w:tcW w:w="1800" w:type="dxa"/>
            <w:tcBorders>
              <w:top w:val="nil"/>
              <w:left w:val="nil"/>
              <w:bottom w:val="nil"/>
              <w:right w:val="nil"/>
            </w:tcBorders>
            <w:vAlign w:val="bottom"/>
          </w:tcPr>
          <w:p>
            <w:pPr>
              <w:pStyle w:val="yTableNAm"/>
              <w:jc w:val="center"/>
              <w:rPr>
                <w:sz w:val="24"/>
                <w:szCs w:val="24"/>
              </w:rPr>
            </w:pPr>
            <w:r>
              <w:t>1</w:t>
            </w:r>
          </w:p>
        </w:tc>
      </w:tr>
      <w:tr>
        <w:tc>
          <w:tcPr>
            <w:tcW w:w="2920" w:type="dxa"/>
            <w:tcBorders>
              <w:top w:val="nil"/>
              <w:left w:val="nil"/>
              <w:bottom w:val="nil"/>
              <w:right w:val="nil"/>
            </w:tcBorders>
            <w:vAlign w:val="center"/>
          </w:tcPr>
          <w:p>
            <w:pPr>
              <w:pStyle w:val="yTableNAm"/>
              <w:rPr>
                <w:szCs w:val="22"/>
              </w:rPr>
            </w:pPr>
            <w:r>
              <w:rPr>
                <w:szCs w:val="22"/>
              </w:rPr>
              <w:t>Badgingarra</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Bakers Hill</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Balingup</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Ballidu</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Beacon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Bencubbin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Beverley</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Bindi Bindi</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Bindoon/Chittering</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Binningup</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Bodallin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Boddington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Bolgart</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Borden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Boyanup</w:t>
            </w:r>
          </w:p>
        </w:tc>
        <w:tc>
          <w:tcPr>
            <w:tcW w:w="1800" w:type="dxa"/>
            <w:tcBorders>
              <w:top w:val="nil"/>
              <w:left w:val="nil"/>
              <w:bottom w:val="nil"/>
              <w:right w:val="nil"/>
            </w:tcBorders>
            <w:vAlign w:val="bottom"/>
          </w:tcPr>
          <w:p>
            <w:pPr>
              <w:pStyle w:val="yTableNAm"/>
              <w:jc w:val="center"/>
              <w:rPr>
                <w:sz w:val="24"/>
                <w:szCs w:val="24"/>
              </w:rPr>
            </w:pPr>
            <w:r>
              <w:t>3</w:t>
            </w:r>
          </w:p>
        </w:tc>
        <w:tc>
          <w:tcPr>
            <w:tcW w:w="1800" w:type="dxa"/>
            <w:tcBorders>
              <w:top w:val="nil"/>
              <w:left w:val="nil"/>
              <w:bottom w:val="nil"/>
              <w:right w:val="nil"/>
            </w:tcBorders>
            <w:vAlign w:val="bottom"/>
          </w:tcPr>
          <w:p>
            <w:pPr>
              <w:pStyle w:val="yTableNAm"/>
              <w:jc w:val="center"/>
              <w:rPr>
                <w:sz w:val="24"/>
                <w:szCs w:val="24"/>
              </w:rPr>
            </w:pPr>
            <w:r>
              <w:t>6</w:t>
            </w:r>
          </w:p>
        </w:tc>
      </w:tr>
      <w:tr>
        <w:tc>
          <w:tcPr>
            <w:tcW w:w="2920" w:type="dxa"/>
            <w:tcBorders>
              <w:top w:val="nil"/>
              <w:left w:val="nil"/>
              <w:bottom w:val="nil"/>
              <w:right w:val="nil"/>
            </w:tcBorders>
            <w:vAlign w:val="center"/>
          </w:tcPr>
          <w:p>
            <w:pPr>
              <w:pStyle w:val="yTableNAm"/>
              <w:rPr>
                <w:szCs w:val="22"/>
              </w:rPr>
            </w:pPr>
            <w:r>
              <w:rPr>
                <w:szCs w:val="22"/>
              </w:rPr>
              <w:t>Boyup Brook</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Name">
                <w:r>
                  <w:rPr>
                    <w:szCs w:val="22"/>
                  </w:rPr>
                  <w:t>Bremer</w:t>
                </w:r>
              </w:smartTag>
              <w:r>
                <w:rPr>
                  <w:szCs w:val="22"/>
                </w:rPr>
                <w:t xml:space="preserve"> </w:t>
              </w:r>
              <w:smartTag w:uri="urn:schemas-microsoft-com:office:smarttags" w:element="PlaceType">
                <w:r>
                  <w:rPr>
                    <w:szCs w:val="22"/>
                  </w:rPr>
                  <w:t>Bay</w:t>
                </w:r>
              </w:smartTag>
            </w:smartTag>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Bridgetown/Hester</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Broad Arrow</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Brookton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Broome</w:t>
            </w:r>
          </w:p>
        </w:tc>
        <w:tc>
          <w:tcPr>
            <w:tcW w:w="1800" w:type="dxa"/>
            <w:tcBorders>
              <w:top w:val="nil"/>
              <w:left w:val="nil"/>
              <w:bottom w:val="nil"/>
              <w:right w:val="nil"/>
            </w:tcBorders>
            <w:vAlign w:val="bottom"/>
          </w:tcPr>
          <w:p>
            <w:pPr>
              <w:pStyle w:val="yTableNAm"/>
              <w:jc w:val="center"/>
              <w:rPr>
                <w:sz w:val="24"/>
                <w:szCs w:val="24"/>
              </w:rPr>
            </w:pPr>
            <w:r>
              <w:t>2</w:t>
            </w:r>
          </w:p>
        </w:tc>
        <w:tc>
          <w:tcPr>
            <w:tcW w:w="1800" w:type="dxa"/>
            <w:tcBorders>
              <w:top w:val="nil"/>
              <w:left w:val="nil"/>
              <w:bottom w:val="nil"/>
              <w:right w:val="nil"/>
            </w:tcBorders>
            <w:vAlign w:val="bottom"/>
          </w:tcPr>
          <w:p>
            <w:pPr>
              <w:pStyle w:val="yTableNAm"/>
              <w:jc w:val="center"/>
              <w:rPr>
                <w:sz w:val="24"/>
                <w:szCs w:val="24"/>
              </w:rPr>
            </w:pPr>
            <w:r>
              <w:t>1</w:t>
            </w:r>
          </w:p>
        </w:tc>
      </w:tr>
      <w:tr>
        <w:tc>
          <w:tcPr>
            <w:tcW w:w="2920" w:type="dxa"/>
            <w:tcBorders>
              <w:top w:val="nil"/>
              <w:left w:val="nil"/>
              <w:bottom w:val="nil"/>
              <w:right w:val="nil"/>
            </w:tcBorders>
            <w:vAlign w:val="center"/>
          </w:tcPr>
          <w:p>
            <w:pPr>
              <w:pStyle w:val="yTableNAm"/>
              <w:rPr>
                <w:szCs w:val="22"/>
              </w:rPr>
            </w:pPr>
            <w:r>
              <w:rPr>
                <w:szCs w:val="22"/>
              </w:rPr>
              <w:t>Broomehill</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Bruce Rock</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Brunswick/Burekup/Roelands</w:t>
            </w:r>
          </w:p>
        </w:tc>
        <w:tc>
          <w:tcPr>
            <w:tcW w:w="1800" w:type="dxa"/>
            <w:tcBorders>
              <w:top w:val="nil"/>
              <w:left w:val="nil"/>
              <w:bottom w:val="nil"/>
              <w:right w:val="nil"/>
            </w:tcBorders>
            <w:vAlign w:val="bottom"/>
          </w:tcPr>
          <w:p>
            <w:pPr>
              <w:pStyle w:val="yTableNAm"/>
              <w:jc w:val="center"/>
              <w:rPr>
                <w:sz w:val="24"/>
                <w:szCs w:val="24"/>
              </w:rPr>
            </w:pPr>
            <w:r>
              <w:t>3</w:t>
            </w:r>
          </w:p>
        </w:tc>
        <w:tc>
          <w:tcPr>
            <w:tcW w:w="1800" w:type="dxa"/>
            <w:tcBorders>
              <w:top w:val="nil"/>
              <w:left w:val="nil"/>
              <w:bottom w:val="nil"/>
              <w:right w:val="nil"/>
            </w:tcBorders>
            <w:vAlign w:val="bottom"/>
          </w:tcPr>
          <w:p>
            <w:pPr>
              <w:pStyle w:val="yTableNAm"/>
              <w:jc w:val="center"/>
              <w:rPr>
                <w:sz w:val="24"/>
                <w:szCs w:val="24"/>
              </w:rPr>
            </w:pPr>
            <w:r>
              <w:t>6</w:t>
            </w:r>
          </w:p>
        </w:tc>
      </w:tr>
      <w:tr>
        <w:tc>
          <w:tcPr>
            <w:tcW w:w="2920" w:type="dxa"/>
            <w:tcBorders>
              <w:top w:val="nil"/>
              <w:left w:val="nil"/>
              <w:bottom w:val="nil"/>
              <w:right w:val="nil"/>
            </w:tcBorders>
            <w:vAlign w:val="center"/>
          </w:tcPr>
          <w:p>
            <w:pPr>
              <w:pStyle w:val="yTableNAm"/>
              <w:rPr>
                <w:szCs w:val="22"/>
              </w:rPr>
            </w:pPr>
            <w:r>
              <w:rPr>
                <w:szCs w:val="22"/>
              </w:rPr>
              <w:t>Bullaring</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Bullfinch</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Bunjil</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Buntine</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Burracoppin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Calingiri</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Camballin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Capel</w:t>
            </w:r>
          </w:p>
        </w:tc>
        <w:tc>
          <w:tcPr>
            <w:tcW w:w="1800" w:type="dxa"/>
            <w:tcBorders>
              <w:top w:val="nil"/>
              <w:left w:val="nil"/>
              <w:bottom w:val="nil"/>
              <w:right w:val="nil"/>
            </w:tcBorders>
            <w:vAlign w:val="bottom"/>
          </w:tcPr>
          <w:p>
            <w:pPr>
              <w:pStyle w:val="yTableNAm"/>
              <w:jc w:val="center"/>
              <w:rPr>
                <w:sz w:val="24"/>
                <w:szCs w:val="24"/>
              </w:rPr>
            </w:pPr>
            <w:r>
              <w:t>2</w:t>
            </w:r>
          </w:p>
        </w:tc>
        <w:tc>
          <w:tcPr>
            <w:tcW w:w="1800" w:type="dxa"/>
            <w:tcBorders>
              <w:top w:val="nil"/>
              <w:left w:val="nil"/>
              <w:bottom w:val="nil"/>
              <w:right w:val="nil"/>
            </w:tcBorders>
            <w:vAlign w:val="bottom"/>
          </w:tcPr>
          <w:p>
            <w:pPr>
              <w:pStyle w:val="yTableNAm"/>
              <w:jc w:val="center"/>
              <w:rPr>
                <w:sz w:val="24"/>
                <w:szCs w:val="24"/>
              </w:rPr>
            </w:pPr>
            <w:r>
              <w:t>5</w:t>
            </w:r>
          </w:p>
        </w:tc>
      </w:tr>
      <w:tr>
        <w:tc>
          <w:tcPr>
            <w:tcW w:w="2920" w:type="dxa"/>
            <w:tcBorders>
              <w:top w:val="nil"/>
              <w:left w:val="nil"/>
              <w:bottom w:val="nil"/>
              <w:right w:val="nil"/>
            </w:tcBorders>
            <w:vAlign w:val="center"/>
          </w:tcPr>
          <w:p>
            <w:pPr>
              <w:pStyle w:val="yTableNAm"/>
              <w:rPr>
                <w:szCs w:val="22"/>
              </w:rPr>
            </w:pPr>
            <w:r>
              <w:rPr>
                <w:szCs w:val="22"/>
              </w:rPr>
              <w:t>Carnamah</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Carnarvon</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Caron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Cervantes</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6</w:t>
            </w:r>
          </w:p>
        </w:tc>
      </w:tr>
      <w:tr>
        <w:tc>
          <w:tcPr>
            <w:tcW w:w="2920" w:type="dxa"/>
            <w:tcBorders>
              <w:top w:val="nil"/>
              <w:left w:val="nil"/>
              <w:bottom w:val="nil"/>
              <w:right w:val="nil"/>
            </w:tcBorders>
            <w:vAlign w:val="center"/>
          </w:tcPr>
          <w:p>
            <w:pPr>
              <w:pStyle w:val="yTableNAm"/>
              <w:rPr>
                <w:szCs w:val="22"/>
              </w:rPr>
            </w:pPr>
            <w:r>
              <w:rPr>
                <w:szCs w:val="22"/>
              </w:rPr>
              <w:t>Collie</w:t>
            </w:r>
          </w:p>
        </w:tc>
        <w:tc>
          <w:tcPr>
            <w:tcW w:w="1800" w:type="dxa"/>
            <w:tcBorders>
              <w:top w:val="nil"/>
              <w:left w:val="nil"/>
              <w:bottom w:val="nil"/>
              <w:right w:val="nil"/>
            </w:tcBorders>
            <w:vAlign w:val="bottom"/>
          </w:tcPr>
          <w:p>
            <w:pPr>
              <w:pStyle w:val="yTableNAm"/>
              <w:jc w:val="center"/>
              <w:rPr>
                <w:sz w:val="24"/>
                <w:szCs w:val="24"/>
              </w:rPr>
            </w:pPr>
            <w:r>
              <w:t>2</w:t>
            </w:r>
          </w:p>
        </w:tc>
        <w:tc>
          <w:tcPr>
            <w:tcW w:w="1800" w:type="dxa"/>
            <w:tcBorders>
              <w:top w:val="nil"/>
              <w:left w:val="nil"/>
              <w:bottom w:val="nil"/>
              <w:right w:val="nil"/>
            </w:tcBorders>
            <w:vAlign w:val="bottom"/>
          </w:tcPr>
          <w:p>
            <w:pPr>
              <w:pStyle w:val="yTableNAm"/>
              <w:jc w:val="center"/>
              <w:rPr>
                <w:sz w:val="24"/>
                <w:szCs w:val="24"/>
              </w:rPr>
            </w:pPr>
            <w:r>
              <w:t>6</w:t>
            </w:r>
          </w:p>
        </w:tc>
      </w:tr>
      <w:tr>
        <w:tc>
          <w:tcPr>
            <w:tcW w:w="2920" w:type="dxa"/>
            <w:tcBorders>
              <w:top w:val="nil"/>
              <w:left w:val="nil"/>
              <w:bottom w:val="nil"/>
              <w:right w:val="nil"/>
            </w:tcBorders>
            <w:vAlign w:val="center"/>
          </w:tcPr>
          <w:p>
            <w:pPr>
              <w:pStyle w:val="yTableNAm"/>
              <w:rPr>
                <w:szCs w:val="22"/>
              </w:rPr>
            </w:pPr>
            <w:r>
              <w:rPr>
                <w:szCs w:val="22"/>
              </w:rPr>
              <w:t>Collie Farmlands</w:t>
            </w:r>
          </w:p>
        </w:tc>
        <w:tc>
          <w:tcPr>
            <w:tcW w:w="1800" w:type="dxa"/>
            <w:tcBorders>
              <w:top w:val="nil"/>
              <w:left w:val="nil"/>
              <w:bottom w:val="nil"/>
              <w:right w:val="nil"/>
            </w:tcBorders>
            <w:vAlign w:val="bottom"/>
          </w:tcPr>
          <w:p>
            <w:pPr>
              <w:pStyle w:val="yTableNAm"/>
              <w:jc w:val="center"/>
              <w:rPr>
                <w:sz w:val="24"/>
                <w:szCs w:val="24"/>
              </w:rPr>
            </w:pPr>
            <w:r>
              <w:t>1</w:t>
            </w:r>
          </w:p>
        </w:tc>
        <w:tc>
          <w:tcPr>
            <w:tcW w:w="1800" w:type="dxa"/>
            <w:tcBorders>
              <w:top w:val="nil"/>
              <w:left w:val="nil"/>
              <w:bottom w:val="nil"/>
              <w:right w:val="nil"/>
            </w:tcBorders>
            <w:vAlign w:val="bottom"/>
          </w:tcPr>
          <w:p>
            <w:pPr>
              <w:pStyle w:val="yTableNAm"/>
              <w:jc w:val="center"/>
              <w:rPr>
                <w:sz w:val="24"/>
                <w:szCs w:val="24"/>
              </w:rPr>
            </w:pPr>
            <w:r>
              <w:t>1</w:t>
            </w:r>
          </w:p>
        </w:tc>
      </w:tr>
      <w:tr>
        <w:tc>
          <w:tcPr>
            <w:tcW w:w="2920" w:type="dxa"/>
            <w:tcBorders>
              <w:top w:val="nil"/>
              <w:left w:val="nil"/>
              <w:bottom w:val="nil"/>
              <w:right w:val="nil"/>
            </w:tcBorders>
            <w:vAlign w:val="center"/>
          </w:tcPr>
          <w:p>
            <w:pPr>
              <w:pStyle w:val="yTableNAm"/>
              <w:rPr>
                <w:szCs w:val="22"/>
              </w:rPr>
            </w:pPr>
            <w:r>
              <w:rPr>
                <w:szCs w:val="22"/>
              </w:rPr>
              <w:t>Condingup</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Coolgardie</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Coomberdale</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Coorow</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Name">
                <w:r>
                  <w:rPr>
                    <w:szCs w:val="22"/>
                  </w:rPr>
                  <w:t>Coral</w:t>
                </w:r>
              </w:smartTag>
              <w:r>
                <w:rPr>
                  <w:szCs w:val="22"/>
                </w:rPr>
                <w:t xml:space="preserve"> </w:t>
              </w:r>
              <w:smartTag w:uri="urn:schemas-microsoft-com:office:smarttags" w:element="PlaceType">
                <w:r>
                  <w:rPr>
                    <w:szCs w:val="22"/>
                  </w:rPr>
                  <w:t>Bay</w:t>
                </w:r>
              </w:smartTag>
            </w:smartTag>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N/A</w:t>
            </w:r>
          </w:p>
        </w:tc>
      </w:tr>
      <w:tr>
        <w:tc>
          <w:tcPr>
            <w:tcW w:w="2920" w:type="dxa"/>
            <w:tcBorders>
              <w:top w:val="nil"/>
              <w:left w:val="nil"/>
              <w:bottom w:val="nil"/>
              <w:right w:val="nil"/>
            </w:tcBorders>
            <w:vAlign w:val="center"/>
          </w:tcPr>
          <w:p>
            <w:pPr>
              <w:pStyle w:val="yTableNAm"/>
              <w:rPr>
                <w:szCs w:val="22"/>
              </w:rPr>
            </w:pPr>
            <w:r>
              <w:rPr>
                <w:szCs w:val="22"/>
              </w:rPr>
              <w:t>Corrigin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Cowaramup</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City">
                <w:r>
                  <w:rPr>
                    <w:szCs w:val="22"/>
                  </w:rPr>
                  <w:t>Cranbrook</w:t>
                </w:r>
              </w:smartTag>
            </w:smartTag>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Cuballing</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Cue</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Cunderdin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6</w:t>
            </w:r>
          </w:p>
        </w:tc>
      </w:tr>
      <w:tr>
        <w:tc>
          <w:tcPr>
            <w:tcW w:w="2920" w:type="dxa"/>
            <w:tcBorders>
              <w:top w:val="nil"/>
              <w:left w:val="nil"/>
              <w:bottom w:val="nil"/>
              <w:right w:val="nil"/>
            </w:tcBorders>
            <w:vAlign w:val="center"/>
          </w:tcPr>
          <w:p>
            <w:pPr>
              <w:pStyle w:val="yTableNAm"/>
              <w:rPr>
                <w:szCs w:val="22"/>
              </w:rPr>
            </w:pPr>
            <w:r>
              <w:rPr>
                <w:szCs w:val="22"/>
              </w:rPr>
              <w:t>Dalwallinu</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Dalyellup</w:t>
            </w:r>
          </w:p>
        </w:tc>
        <w:tc>
          <w:tcPr>
            <w:tcW w:w="1800" w:type="dxa"/>
            <w:tcBorders>
              <w:top w:val="nil"/>
              <w:left w:val="nil"/>
              <w:bottom w:val="nil"/>
              <w:right w:val="nil"/>
            </w:tcBorders>
            <w:vAlign w:val="bottom"/>
          </w:tcPr>
          <w:p>
            <w:pPr>
              <w:pStyle w:val="yTableNAm"/>
              <w:jc w:val="center"/>
              <w:rPr>
                <w:sz w:val="24"/>
                <w:szCs w:val="24"/>
              </w:rPr>
            </w:pPr>
            <w:r>
              <w:t>2</w:t>
            </w:r>
          </w:p>
        </w:tc>
        <w:tc>
          <w:tcPr>
            <w:tcW w:w="1800" w:type="dxa"/>
            <w:tcBorders>
              <w:top w:val="nil"/>
              <w:left w:val="nil"/>
              <w:bottom w:val="nil"/>
              <w:right w:val="nil"/>
            </w:tcBorders>
            <w:vAlign w:val="bottom"/>
          </w:tcPr>
          <w:p>
            <w:pPr>
              <w:pStyle w:val="yTableNAm"/>
              <w:jc w:val="center"/>
              <w:rPr>
                <w:sz w:val="24"/>
                <w:szCs w:val="24"/>
              </w:rPr>
            </w:pPr>
            <w:r>
              <w:t>4</w:t>
            </w:r>
          </w:p>
        </w:tc>
      </w:tr>
      <w:tr>
        <w:tc>
          <w:tcPr>
            <w:tcW w:w="2920" w:type="dxa"/>
            <w:tcBorders>
              <w:top w:val="nil"/>
              <w:left w:val="nil"/>
              <w:bottom w:val="nil"/>
              <w:right w:val="nil"/>
            </w:tcBorders>
            <w:vAlign w:val="center"/>
          </w:tcPr>
          <w:p>
            <w:pPr>
              <w:pStyle w:val="yTableNAm"/>
              <w:rPr>
                <w:szCs w:val="22"/>
              </w:rPr>
            </w:pPr>
            <w:r>
              <w:rPr>
                <w:szCs w:val="22"/>
              </w:rPr>
              <w:t>Dandaragan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tcPr>
          <w:p>
            <w:pPr>
              <w:pStyle w:val="yTableNAm"/>
              <w:rPr>
                <w:szCs w:val="22"/>
              </w:rPr>
            </w:pPr>
            <w:r>
              <w:rPr>
                <w:szCs w:val="22"/>
              </w:rPr>
              <w:t>Dardanup</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Darkan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10</w:t>
            </w:r>
          </w:p>
        </w:tc>
      </w:tr>
      <w:tr>
        <w:tc>
          <w:tcPr>
            <w:tcW w:w="2920" w:type="dxa"/>
            <w:tcBorders>
              <w:top w:val="nil"/>
              <w:left w:val="nil"/>
              <w:bottom w:val="nil"/>
              <w:right w:val="nil"/>
            </w:tcBorders>
            <w:vAlign w:val="center"/>
          </w:tcPr>
          <w:p>
            <w:pPr>
              <w:pStyle w:val="yTableNAm"/>
              <w:rPr>
                <w:szCs w:val="22"/>
              </w:rPr>
            </w:pPr>
            <w:r>
              <w:rPr>
                <w:szCs w:val="22"/>
              </w:rPr>
              <w:t>Dathagnoorara Farmlands</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6</w:t>
            </w:r>
          </w:p>
        </w:tc>
      </w:tr>
      <w:tr>
        <w:tc>
          <w:tcPr>
            <w:tcW w:w="2920" w:type="dxa"/>
            <w:tcBorders>
              <w:top w:val="nil"/>
              <w:left w:val="nil"/>
              <w:bottom w:val="nil"/>
              <w:right w:val="nil"/>
            </w:tcBorders>
            <w:vAlign w:val="center"/>
          </w:tcPr>
          <w:p>
            <w:pPr>
              <w:pStyle w:val="yTableNAm"/>
              <w:rPr>
                <w:szCs w:val="22"/>
              </w:rPr>
            </w:pPr>
            <w:r>
              <w:rPr>
                <w:szCs w:val="22"/>
              </w:rPr>
              <w:t>Denham (Saline)</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country-region">
                <w:r>
                  <w:rPr>
                    <w:szCs w:val="22"/>
                  </w:rPr>
                  <w:t>Denmark</w:t>
                </w:r>
              </w:smartTag>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City">
                <w:r>
                  <w:rPr>
                    <w:szCs w:val="22"/>
                  </w:rPr>
                  <w:t>Derby</w:t>
                </w:r>
              </w:smartTag>
            </w:smartTag>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Dongara/Denison</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Donnybrook</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4</w:t>
            </w:r>
          </w:p>
        </w:tc>
      </w:tr>
      <w:tr>
        <w:tc>
          <w:tcPr>
            <w:tcW w:w="2920" w:type="dxa"/>
            <w:tcBorders>
              <w:top w:val="nil"/>
              <w:left w:val="nil"/>
              <w:bottom w:val="nil"/>
              <w:right w:val="nil"/>
            </w:tcBorders>
            <w:vAlign w:val="center"/>
          </w:tcPr>
          <w:p>
            <w:pPr>
              <w:pStyle w:val="yTableNAm"/>
              <w:rPr>
                <w:szCs w:val="22"/>
              </w:rPr>
            </w:pPr>
            <w:r>
              <w:rPr>
                <w:szCs w:val="22"/>
              </w:rPr>
              <w:t>Doodlakine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12</w:t>
            </w:r>
          </w:p>
        </w:tc>
      </w:tr>
      <w:tr>
        <w:tc>
          <w:tcPr>
            <w:tcW w:w="2920" w:type="dxa"/>
            <w:tcBorders>
              <w:top w:val="nil"/>
              <w:left w:val="nil"/>
              <w:bottom w:val="nil"/>
              <w:right w:val="nil"/>
            </w:tcBorders>
            <w:vAlign w:val="center"/>
          </w:tcPr>
          <w:p>
            <w:pPr>
              <w:pStyle w:val="yTableNAm"/>
              <w:rPr>
                <w:szCs w:val="22"/>
              </w:rPr>
            </w:pPr>
            <w:r>
              <w:rPr>
                <w:szCs w:val="22"/>
              </w:rPr>
              <w:t>Dowerin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10</w:t>
            </w:r>
          </w:p>
        </w:tc>
      </w:tr>
      <w:tr>
        <w:tc>
          <w:tcPr>
            <w:tcW w:w="2920" w:type="dxa"/>
            <w:tcBorders>
              <w:top w:val="nil"/>
              <w:left w:val="nil"/>
              <w:bottom w:val="nil"/>
              <w:right w:val="nil"/>
            </w:tcBorders>
            <w:vAlign w:val="center"/>
          </w:tcPr>
          <w:p>
            <w:pPr>
              <w:pStyle w:val="yTableNAm"/>
              <w:rPr>
                <w:szCs w:val="22"/>
              </w:rPr>
            </w:pPr>
            <w:r>
              <w:rPr>
                <w:szCs w:val="22"/>
              </w:rPr>
              <w:t>Dudinin/Harrismith/Jitarning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15</w:t>
            </w:r>
          </w:p>
        </w:tc>
      </w:tr>
      <w:tr>
        <w:tc>
          <w:tcPr>
            <w:tcW w:w="2920" w:type="dxa"/>
            <w:tcBorders>
              <w:top w:val="nil"/>
              <w:left w:val="nil"/>
              <w:bottom w:val="nil"/>
              <w:right w:val="nil"/>
            </w:tcBorders>
            <w:vAlign w:val="center"/>
          </w:tcPr>
          <w:p>
            <w:pPr>
              <w:pStyle w:val="yTableNAm"/>
              <w:rPr>
                <w:szCs w:val="22"/>
              </w:rPr>
            </w:pPr>
            <w:r>
              <w:rPr>
                <w:szCs w:val="22"/>
              </w:rPr>
              <w:t>Dumbleyung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15</w:t>
            </w:r>
          </w:p>
        </w:tc>
      </w:tr>
      <w:tr>
        <w:tc>
          <w:tcPr>
            <w:tcW w:w="2920" w:type="dxa"/>
            <w:tcBorders>
              <w:top w:val="nil"/>
              <w:left w:val="nil"/>
              <w:bottom w:val="nil"/>
              <w:right w:val="nil"/>
            </w:tcBorders>
            <w:vAlign w:val="center"/>
          </w:tcPr>
          <w:p>
            <w:pPr>
              <w:pStyle w:val="yTableNAm"/>
              <w:rPr>
                <w:szCs w:val="22"/>
              </w:rPr>
            </w:pPr>
            <w:r>
              <w:rPr>
                <w:szCs w:val="22"/>
              </w:rPr>
              <w:t>Dunsborough/Yallingup</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Dwellingup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12</w:t>
            </w:r>
          </w:p>
        </w:tc>
      </w:tr>
      <w:tr>
        <w:tc>
          <w:tcPr>
            <w:tcW w:w="2920" w:type="dxa"/>
            <w:tcBorders>
              <w:top w:val="nil"/>
              <w:left w:val="nil"/>
              <w:bottom w:val="nil"/>
              <w:right w:val="nil"/>
            </w:tcBorders>
            <w:vAlign w:val="center"/>
          </w:tcPr>
          <w:p>
            <w:pPr>
              <w:pStyle w:val="yTableNAm"/>
              <w:rPr>
                <w:szCs w:val="22"/>
              </w:rPr>
            </w:pPr>
            <w:r>
              <w:rPr>
                <w:szCs w:val="22"/>
              </w:rPr>
              <w:t>Eneabba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10</w:t>
            </w:r>
          </w:p>
        </w:tc>
      </w:tr>
      <w:tr>
        <w:tc>
          <w:tcPr>
            <w:tcW w:w="2920" w:type="dxa"/>
            <w:tcBorders>
              <w:top w:val="nil"/>
              <w:left w:val="nil"/>
              <w:bottom w:val="nil"/>
              <w:right w:val="nil"/>
            </w:tcBorders>
            <w:vAlign w:val="center"/>
          </w:tcPr>
          <w:p>
            <w:pPr>
              <w:pStyle w:val="yTableNAm"/>
              <w:rPr>
                <w:szCs w:val="22"/>
              </w:rPr>
            </w:pPr>
            <w:r>
              <w:rPr>
                <w:szCs w:val="22"/>
              </w:rPr>
              <w:t>Eradu</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12</w:t>
            </w:r>
          </w:p>
        </w:tc>
      </w:tr>
      <w:tr>
        <w:tc>
          <w:tcPr>
            <w:tcW w:w="2920" w:type="dxa"/>
            <w:tcBorders>
              <w:top w:val="nil"/>
              <w:left w:val="nil"/>
              <w:bottom w:val="nil"/>
              <w:right w:val="nil"/>
            </w:tcBorders>
            <w:vAlign w:val="center"/>
          </w:tcPr>
          <w:p>
            <w:pPr>
              <w:pStyle w:val="yTableNAm"/>
              <w:rPr>
                <w:szCs w:val="22"/>
              </w:rPr>
            </w:pPr>
            <w:r>
              <w:rPr>
                <w:szCs w:val="22"/>
              </w:rPr>
              <w:t>Esperance</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Exmouth</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Fitzroy Crossing</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2</w:t>
            </w:r>
          </w:p>
        </w:tc>
      </w:tr>
      <w:tr>
        <w:tc>
          <w:tcPr>
            <w:tcW w:w="2920" w:type="dxa"/>
            <w:tcBorders>
              <w:top w:val="nil"/>
              <w:left w:val="nil"/>
              <w:bottom w:val="nil"/>
              <w:right w:val="nil"/>
            </w:tcBorders>
            <w:vAlign w:val="center"/>
          </w:tcPr>
          <w:p>
            <w:pPr>
              <w:pStyle w:val="yTableNAm"/>
              <w:rPr>
                <w:szCs w:val="22"/>
              </w:rPr>
            </w:pPr>
            <w:r>
              <w:rPr>
                <w:szCs w:val="22"/>
              </w:rPr>
              <w:t>Frankland</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Gabbadah</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10</w:t>
            </w:r>
          </w:p>
        </w:tc>
      </w:tr>
      <w:tr>
        <w:tc>
          <w:tcPr>
            <w:tcW w:w="2920" w:type="dxa"/>
            <w:tcBorders>
              <w:top w:val="nil"/>
              <w:left w:val="nil"/>
              <w:bottom w:val="nil"/>
              <w:right w:val="nil"/>
            </w:tcBorders>
            <w:vAlign w:val="center"/>
          </w:tcPr>
          <w:p>
            <w:pPr>
              <w:pStyle w:val="yTableNAm"/>
              <w:rPr>
                <w:szCs w:val="22"/>
              </w:rPr>
            </w:pPr>
            <w:r>
              <w:rPr>
                <w:szCs w:val="22"/>
              </w:rPr>
              <w:t>Gascoyne Junction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Geraldton</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Gibson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Gingin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10</w:t>
            </w:r>
          </w:p>
        </w:tc>
      </w:tr>
      <w:tr>
        <w:tc>
          <w:tcPr>
            <w:tcW w:w="2920" w:type="dxa"/>
            <w:tcBorders>
              <w:top w:val="nil"/>
              <w:left w:val="nil"/>
              <w:bottom w:val="nil"/>
              <w:right w:val="nil"/>
            </w:tcBorders>
            <w:vAlign w:val="center"/>
          </w:tcPr>
          <w:p>
            <w:pPr>
              <w:pStyle w:val="yTableNAm"/>
              <w:rPr>
                <w:szCs w:val="22"/>
              </w:rPr>
            </w:pPr>
            <w:r>
              <w:rPr>
                <w:szCs w:val="22"/>
              </w:rPr>
              <w:t>Gnarabup</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6</w:t>
            </w:r>
          </w:p>
        </w:tc>
      </w:tr>
      <w:tr>
        <w:tc>
          <w:tcPr>
            <w:tcW w:w="2920" w:type="dxa"/>
            <w:tcBorders>
              <w:top w:val="nil"/>
              <w:left w:val="nil"/>
              <w:bottom w:val="nil"/>
              <w:right w:val="nil"/>
            </w:tcBorders>
            <w:vAlign w:val="center"/>
          </w:tcPr>
          <w:p>
            <w:pPr>
              <w:pStyle w:val="yTableNAm"/>
              <w:rPr>
                <w:szCs w:val="22"/>
              </w:rPr>
            </w:pPr>
            <w:r>
              <w:rPr>
                <w:szCs w:val="22"/>
              </w:rPr>
              <w:t>Gnowangerup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Goomalling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12</w:t>
            </w:r>
          </w:p>
        </w:tc>
      </w:tr>
      <w:tr>
        <w:tc>
          <w:tcPr>
            <w:tcW w:w="2920" w:type="dxa"/>
            <w:tcBorders>
              <w:top w:val="nil"/>
              <w:left w:val="nil"/>
              <w:bottom w:val="nil"/>
              <w:right w:val="nil"/>
            </w:tcBorders>
            <w:vAlign w:val="center"/>
          </w:tcPr>
          <w:p>
            <w:pPr>
              <w:pStyle w:val="yTableNAm"/>
              <w:rPr>
                <w:szCs w:val="22"/>
              </w:rPr>
            </w:pPr>
            <w:r>
              <w:rPr>
                <w:szCs w:val="22"/>
              </w:rPr>
              <w:t>Grass Patch</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15</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Name">
                <w:r>
                  <w:rPr>
                    <w:szCs w:val="22"/>
                  </w:rPr>
                  <w:t>Grass</w:t>
                </w:r>
              </w:smartTag>
              <w:r>
                <w:rPr>
                  <w:szCs w:val="22"/>
                </w:rPr>
                <w:t xml:space="preserve"> </w:t>
              </w:r>
              <w:smartTag w:uri="urn:schemas-microsoft-com:office:smarttags" w:element="PlaceType">
                <w:r>
                  <w:rPr>
                    <w:szCs w:val="22"/>
                  </w:rPr>
                  <w:t>Valley</w:t>
                </w:r>
              </w:smartTag>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10</w:t>
            </w:r>
          </w:p>
        </w:tc>
      </w:tr>
      <w:tr>
        <w:tc>
          <w:tcPr>
            <w:tcW w:w="2920" w:type="dxa"/>
            <w:tcBorders>
              <w:top w:val="nil"/>
              <w:left w:val="nil"/>
              <w:bottom w:val="nil"/>
              <w:right w:val="nil"/>
            </w:tcBorders>
            <w:vAlign w:val="center"/>
          </w:tcPr>
          <w:p>
            <w:pPr>
              <w:pStyle w:val="yTableNAm"/>
              <w:rPr>
                <w:szCs w:val="22"/>
              </w:rPr>
            </w:pPr>
            <w:r>
              <w:rPr>
                <w:szCs w:val="22"/>
              </w:rPr>
              <w:t>Greenbushes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12</w:t>
            </w:r>
          </w:p>
        </w:tc>
      </w:tr>
      <w:tr>
        <w:tc>
          <w:tcPr>
            <w:tcW w:w="2920" w:type="dxa"/>
            <w:tcBorders>
              <w:top w:val="nil"/>
              <w:left w:val="nil"/>
              <w:bottom w:val="nil"/>
              <w:right w:val="nil"/>
            </w:tcBorders>
            <w:vAlign w:val="center"/>
          </w:tcPr>
          <w:p>
            <w:pPr>
              <w:pStyle w:val="yTableNAm"/>
              <w:rPr>
                <w:szCs w:val="22"/>
              </w:rPr>
            </w:pPr>
            <w:r>
              <w:rPr>
                <w:szCs w:val="22"/>
              </w:rPr>
              <w:t>Greenhead</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10</w:t>
            </w:r>
          </w:p>
        </w:tc>
      </w:tr>
      <w:tr>
        <w:tc>
          <w:tcPr>
            <w:tcW w:w="2920" w:type="dxa"/>
            <w:tcBorders>
              <w:top w:val="nil"/>
              <w:left w:val="nil"/>
              <w:bottom w:val="nil"/>
              <w:right w:val="nil"/>
            </w:tcBorders>
            <w:vAlign w:val="center"/>
          </w:tcPr>
          <w:p>
            <w:pPr>
              <w:pStyle w:val="yTableNAm"/>
              <w:rPr>
                <w:szCs w:val="22"/>
              </w:rPr>
            </w:pPr>
            <w:r>
              <w:rPr>
                <w:szCs w:val="22"/>
              </w:rPr>
              <w:t>Guilderton</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8</w:t>
            </w:r>
          </w:p>
        </w:tc>
      </w:tr>
      <w:tr>
        <w:tc>
          <w:tcPr>
            <w:tcW w:w="2920" w:type="dxa"/>
            <w:tcBorders>
              <w:top w:val="nil"/>
              <w:left w:val="nil"/>
              <w:bottom w:val="nil"/>
              <w:right w:val="nil"/>
            </w:tcBorders>
            <w:vAlign w:val="center"/>
          </w:tcPr>
          <w:p>
            <w:pPr>
              <w:pStyle w:val="yTableNAm"/>
              <w:rPr>
                <w:szCs w:val="22"/>
              </w:rPr>
            </w:pPr>
            <w:r>
              <w:rPr>
                <w:szCs w:val="22"/>
              </w:rPr>
              <w:t>Halls Creek</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12</w:t>
            </w:r>
          </w:p>
        </w:tc>
      </w:tr>
      <w:tr>
        <w:tc>
          <w:tcPr>
            <w:tcW w:w="2920" w:type="dxa"/>
            <w:tcBorders>
              <w:top w:val="nil"/>
              <w:left w:val="nil"/>
              <w:bottom w:val="nil"/>
              <w:right w:val="nil"/>
            </w:tcBorders>
            <w:vAlign w:val="center"/>
          </w:tcPr>
          <w:p>
            <w:pPr>
              <w:pStyle w:val="yTableNAm"/>
              <w:rPr>
                <w:szCs w:val="22"/>
              </w:rPr>
            </w:pPr>
            <w:r>
              <w:rPr>
                <w:szCs w:val="22"/>
              </w:rPr>
              <w:t>Hamel/Waroona</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4</w:t>
            </w:r>
          </w:p>
        </w:tc>
      </w:tr>
      <w:tr>
        <w:tc>
          <w:tcPr>
            <w:tcW w:w="2920" w:type="dxa"/>
            <w:tcBorders>
              <w:top w:val="nil"/>
              <w:left w:val="nil"/>
              <w:bottom w:val="nil"/>
              <w:right w:val="nil"/>
            </w:tcBorders>
            <w:vAlign w:val="center"/>
          </w:tcPr>
          <w:p>
            <w:pPr>
              <w:pStyle w:val="yTableNAm"/>
              <w:rPr>
                <w:szCs w:val="22"/>
              </w:rPr>
            </w:pPr>
            <w:r>
              <w:rPr>
                <w:szCs w:val="22"/>
              </w:rPr>
              <w:t>Harvey/Wokalup</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4</w:t>
            </w:r>
          </w:p>
        </w:tc>
      </w:tr>
      <w:tr>
        <w:tc>
          <w:tcPr>
            <w:tcW w:w="2920" w:type="dxa"/>
            <w:tcBorders>
              <w:top w:val="nil"/>
              <w:left w:val="nil"/>
              <w:bottom w:val="nil"/>
              <w:right w:val="nil"/>
            </w:tcBorders>
            <w:vAlign w:val="center"/>
          </w:tcPr>
          <w:p>
            <w:pPr>
              <w:pStyle w:val="yTableNAm"/>
              <w:rPr>
                <w:szCs w:val="22"/>
              </w:rPr>
            </w:pPr>
            <w:r>
              <w:rPr>
                <w:szCs w:val="22"/>
              </w:rPr>
              <w:t>Highbury/Piesseville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12</w:t>
            </w:r>
          </w:p>
        </w:tc>
      </w:tr>
      <w:tr>
        <w:tc>
          <w:tcPr>
            <w:tcW w:w="2920" w:type="dxa"/>
            <w:tcBorders>
              <w:top w:val="nil"/>
              <w:left w:val="nil"/>
              <w:bottom w:val="nil"/>
              <w:right w:val="nil"/>
            </w:tcBorders>
            <w:vAlign w:val="center"/>
          </w:tcPr>
          <w:p>
            <w:pPr>
              <w:pStyle w:val="yTableNAm"/>
              <w:rPr>
                <w:szCs w:val="22"/>
              </w:rPr>
            </w:pPr>
            <w:r>
              <w:rPr>
                <w:szCs w:val="22"/>
              </w:rPr>
              <w:t>Hines Hill</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12</w:t>
            </w:r>
          </w:p>
        </w:tc>
      </w:tr>
      <w:tr>
        <w:tc>
          <w:tcPr>
            <w:tcW w:w="2920" w:type="dxa"/>
            <w:tcBorders>
              <w:top w:val="nil"/>
              <w:left w:val="nil"/>
              <w:bottom w:val="nil"/>
              <w:right w:val="nil"/>
            </w:tcBorders>
            <w:vAlign w:val="center"/>
          </w:tcPr>
          <w:p>
            <w:pPr>
              <w:pStyle w:val="yTableNAm"/>
              <w:rPr>
                <w:szCs w:val="22"/>
              </w:rPr>
            </w:pPr>
            <w:r>
              <w:rPr>
                <w:szCs w:val="22"/>
              </w:rPr>
              <w:t>Hopetoun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12</w:t>
            </w:r>
          </w:p>
        </w:tc>
      </w:tr>
      <w:tr>
        <w:tc>
          <w:tcPr>
            <w:tcW w:w="2920" w:type="dxa"/>
            <w:tcBorders>
              <w:top w:val="nil"/>
              <w:left w:val="nil"/>
              <w:bottom w:val="nil"/>
              <w:right w:val="nil"/>
            </w:tcBorders>
            <w:vAlign w:val="center"/>
          </w:tcPr>
          <w:p>
            <w:pPr>
              <w:pStyle w:val="yTableNAm"/>
              <w:rPr>
                <w:szCs w:val="22"/>
              </w:rPr>
            </w:pPr>
            <w:r>
              <w:rPr>
                <w:szCs w:val="22"/>
              </w:rPr>
              <w:t>Horrocks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Hyden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Jerramungup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Name">
                <w:r>
                  <w:rPr>
                    <w:szCs w:val="22"/>
                  </w:rPr>
                  <w:t>Jurien</w:t>
                </w:r>
              </w:smartTag>
              <w:r>
                <w:rPr>
                  <w:szCs w:val="22"/>
                </w:rPr>
                <w:t xml:space="preserve"> </w:t>
              </w:r>
              <w:smartTag w:uri="urn:schemas-microsoft-com:office:smarttags" w:element="PlaceType">
                <w:r>
                  <w:rPr>
                    <w:szCs w:val="22"/>
                  </w:rPr>
                  <w:t>Bay</w:t>
                </w:r>
              </w:smartTag>
            </w:smartTag>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3</w:t>
            </w:r>
          </w:p>
        </w:tc>
      </w:tr>
      <w:tr>
        <w:tc>
          <w:tcPr>
            <w:tcW w:w="2920" w:type="dxa"/>
            <w:tcBorders>
              <w:top w:val="nil"/>
              <w:left w:val="nil"/>
              <w:bottom w:val="nil"/>
              <w:right w:val="nil"/>
            </w:tcBorders>
            <w:vAlign w:val="center"/>
          </w:tcPr>
          <w:p>
            <w:pPr>
              <w:pStyle w:val="yTableNAm"/>
              <w:rPr>
                <w:szCs w:val="22"/>
              </w:rPr>
            </w:pPr>
            <w:r>
              <w:rPr>
                <w:szCs w:val="22"/>
              </w:rPr>
              <w:t>Kalannie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Kalbarri</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2</w:t>
            </w:r>
          </w:p>
        </w:tc>
      </w:tr>
      <w:tr>
        <w:tc>
          <w:tcPr>
            <w:tcW w:w="2920" w:type="dxa"/>
            <w:tcBorders>
              <w:top w:val="nil"/>
              <w:left w:val="nil"/>
              <w:bottom w:val="nil"/>
              <w:right w:val="nil"/>
            </w:tcBorders>
            <w:vAlign w:val="center"/>
          </w:tcPr>
          <w:p>
            <w:pPr>
              <w:pStyle w:val="yTableNAm"/>
              <w:rPr>
                <w:szCs w:val="22"/>
              </w:rPr>
            </w:pPr>
            <w:r>
              <w:rPr>
                <w:szCs w:val="22"/>
              </w:rPr>
              <w:t>Kalgoorlie/Boulder</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12</w:t>
            </w:r>
          </w:p>
        </w:tc>
      </w:tr>
      <w:tr>
        <w:tc>
          <w:tcPr>
            <w:tcW w:w="2920" w:type="dxa"/>
            <w:tcBorders>
              <w:top w:val="nil"/>
              <w:left w:val="nil"/>
              <w:bottom w:val="nil"/>
              <w:right w:val="nil"/>
            </w:tcBorders>
            <w:vAlign w:val="center"/>
          </w:tcPr>
          <w:p>
            <w:pPr>
              <w:pStyle w:val="yTableNAm"/>
              <w:rPr>
                <w:szCs w:val="22"/>
              </w:rPr>
            </w:pPr>
            <w:r>
              <w:rPr>
                <w:szCs w:val="22"/>
              </w:rPr>
              <w:t>Kambalda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8</w:t>
            </w:r>
          </w:p>
        </w:tc>
      </w:tr>
      <w:tr>
        <w:tc>
          <w:tcPr>
            <w:tcW w:w="2920" w:type="dxa"/>
            <w:tcBorders>
              <w:top w:val="nil"/>
              <w:left w:val="nil"/>
              <w:bottom w:val="nil"/>
              <w:right w:val="nil"/>
            </w:tcBorders>
            <w:vAlign w:val="center"/>
          </w:tcPr>
          <w:p>
            <w:pPr>
              <w:pStyle w:val="yTableNAm"/>
              <w:rPr>
                <w:szCs w:val="22"/>
              </w:rPr>
            </w:pPr>
            <w:r>
              <w:rPr>
                <w:szCs w:val="22"/>
              </w:rPr>
              <w:t>Karakin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10</w:t>
            </w:r>
          </w:p>
        </w:tc>
      </w:tr>
      <w:tr>
        <w:tc>
          <w:tcPr>
            <w:tcW w:w="2920" w:type="dxa"/>
            <w:tcBorders>
              <w:top w:val="nil"/>
              <w:left w:val="nil"/>
              <w:bottom w:val="nil"/>
              <w:right w:val="nil"/>
            </w:tcBorders>
            <w:vAlign w:val="center"/>
          </w:tcPr>
          <w:p>
            <w:pPr>
              <w:pStyle w:val="yTableNAm"/>
              <w:rPr>
                <w:szCs w:val="22"/>
              </w:rPr>
            </w:pPr>
            <w:r>
              <w:rPr>
                <w:szCs w:val="22"/>
              </w:rPr>
              <w:t>Karlgarin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15</w:t>
            </w:r>
          </w:p>
        </w:tc>
      </w:tr>
      <w:tr>
        <w:tc>
          <w:tcPr>
            <w:tcW w:w="2920" w:type="dxa"/>
            <w:tcBorders>
              <w:top w:val="nil"/>
              <w:left w:val="nil"/>
              <w:bottom w:val="nil"/>
              <w:right w:val="nil"/>
            </w:tcBorders>
            <w:vAlign w:val="center"/>
          </w:tcPr>
          <w:p>
            <w:pPr>
              <w:pStyle w:val="yTableNAm"/>
              <w:rPr>
                <w:szCs w:val="22"/>
              </w:rPr>
            </w:pPr>
            <w:r>
              <w:rPr>
                <w:szCs w:val="22"/>
              </w:rPr>
              <w:t>Karratha</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6</w:t>
            </w:r>
          </w:p>
        </w:tc>
      </w:tr>
      <w:tr>
        <w:tc>
          <w:tcPr>
            <w:tcW w:w="2920" w:type="dxa"/>
            <w:tcBorders>
              <w:top w:val="nil"/>
              <w:left w:val="nil"/>
              <w:bottom w:val="nil"/>
              <w:right w:val="nil"/>
            </w:tcBorders>
            <w:vAlign w:val="center"/>
          </w:tcPr>
          <w:p>
            <w:pPr>
              <w:pStyle w:val="yTableNAm"/>
              <w:rPr>
                <w:szCs w:val="22"/>
              </w:rPr>
            </w:pPr>
            <w:r>
              <w:rPr>
                <w:szCs w:val="22"/>
              </w:rPr>
              <w:t>Katanning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12</w:t>
            </w:r>
          </w:p>
        </w:tc>
      </w:tr>
      <w:tr>
        <w:tc>
          <w:tcPr>
            <w:tcW w:w="2920" w:type="dxa"/>
            <w:tcBorders>
              <w:top w:val="nil"/>
              <w:left w:val="nil"/>
              <w:bottom w:val="nil"/>
              <w:right w:val="nil"/>
            </w:tcBorders>
            <w:vAlign w:val="center"/>
          </w:tcPr>
          <w:p>
            <w:pPr>
              <w:pStyle w:val="yTableNAm"/>
              <w:rPr>
                <w:szCs w:val="22"/>
              </w:rPr>
            </w:pPr>
            <w:r>
              <w:rPr>
                <w:szCs w:val="22"/>
              </w:rPr>
              <w:t>Katanning Farmlands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12</w:t>
            </w:r>
          </w:p>
        </w:tc>
      </w:tr>
      <w:tr>
        <w:tc>
          <w:tcPr>
            <w:tcW w:w="2920" w:type="dxa"/>
            <w:tcBorders>
              <w:top w:val="nil"/>
              <w:left w:val="nil"/>
              <w:bottom w:val="nil"/>
              <w:right w:val="nil"/>
            </w:tcBorders>
            <w:vAlign w:val="center"/>
          </w:tcPr>
          <w:p>
            <w:pPr>
              <w:pStyle w:val="yTableNAm"/>
              <w:rPr>
                <w:szCs w:val="22"/>
              </w:rPr>
            </w:pPr>
            <w:r>
              <w:rPr>
                <w:szCs w:val="22"/>
              </w:rPr>
              <w:t>Kellerberrin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12</w:t>
            </w:r>
          </w:p>
        </w:tc>
      </w:tr>
      <w:tr>
        <w:tc>
          <w:tcPr>
            <w:tcW w:w="2920" w:type="dxa"/>
            <w:tcBorders>
              <w:top w:val="nil"/>
              <w:left w:val="nil"/>
              <w:bottom w:val="nil"/>
              <w:right w:val="nil"/>
            </w:tcBorders>
            <w:vAlign w:val="center"/>
          </w:tcPr>
          <w:p>
            <w:pPr>
              <w:pStyle w:val="yTableNAm"/>
              <w:rPr>
                <w:szCs w:val="22"/>
              </w:rPr>
            </w:pPr>
            <w:r>
              <w:rPr>
                <w:szCs w:val="22"/>
              </w:rPr>
              <w:t>Kendenup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Kendenup Farmlands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12</w:t>
            </w:r>
          </w:p>
        </w:tc>
      </w:tr>
      <w:tr>
        <w:tc>
          <w:tcPr>
            <w:tcW w:w="2920" w:type="dxa"/>
            <w:tcBorders>
              <w:top w:val="nil"/>
              <w:left w:val="nil"/>
              <w:bottom w:val="nil"/>
              <w:right w:val="nil"/>
            </w:tcBorders>
            <w:vAlign w:val="center"/>
          </w:tcPr>
          <w:p>
            <w:pPr>
              <w:pStyle w:val="yTableNAm"/>
              <w:rPr>
                <w:szCs w:val="22"/>
              </w:rPr>
            </w:pPr>
            <w:r>
              <w:rPr>
                <w:szCs w:val="22"/>
              </w:rPr>
              <w:t>Kirup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Kojonup/Muradup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12</w:t>
            </w:r>
          </w:p>
        </w:tc>
      </w:tr>
      <w:tr>
        <w:tc>
          <w:tcPr>
            <w:tcW w:w="2920" w:type="dxa"/>
            <w:tcBorders>
              <w:top w:val="nil"/>
              <w:left w:val="nil"/>
              <w:bottom w:val="nil"/>
              <w:right w:val="nil"/>
            </w:tcBorders>
            <w:vAlign w:val="center"/>
          </w:tcPr>
          <w:p>
            <w:pPr>
              <w:pStyle w:val="yTableNAm"/>
              <w:rPr>
                <w:szCs w:val="22"/>
              </w:rPr>
            </w:pPr>
            <w:r>
              <w:rPr>
                <w:szCs w:val="22"/>
              </w:rPr>
              <w:t>Kondinin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Koorda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12</w:t>
            </w:r>
          </w:p>
        </w:tc>
      </w:tr>
      <w:tr>
        <w:tc>
          <w:tcPr>
            <w:tcW w:w="2920" w:type="dxa"/>
            <w:tcBorders>
              <w:top w:val="nil"/>
              <w:left w:val="nil"/>
              <w:bottom w:val="nil"/>
              <w:right w:val="nil"/>
            </w:tcBorders>
            <w:vAlign w:val="center"/>
          </w:tcPr>
          <w:p>
            <w:pPr>
              <w:pStyle w:val="yTableNAm"/>
              <w:rPr>
                <w:szCs w:val="22"/>
              </w:rPr>
            </w:pPr>
            <w:r>
              <w:rPr>
                <w:szCs w:val="22"/>
              </w:rPr>
              <w:t>Kukerin/Moulyinning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15</w:t>
            </w:r>
          </w:p>
        </w:tc>
      </w:tr>
      <w:tr>
        <w:tc>
          <w:tcPr>
            <w:tcW w:w="2920" w:type="dxa"/>
            <w:tcBorders>
              <w:top w:val="nil"/>
              <w:left w:val="nil"/>
              <w:bottom w:val="nil"/>
              <w:right w:val="nil"/>
            </w:tcBorders>
            <w:vAlign w:val="center"/>
          </w:tcPr>
          <w:p>
            <w:pPr>
              <w:pStyle w:val="yTableNAm"/>
              <w:rPr>
                <w:szCs w:val="22"/>
              </w:rPr>
            </w:pPr>
            <w:r>
              <w:rPr>
                <w:szCs w:val="22"/>
              </w:rPr>
              <w:t>Kulin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Kununoppin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tcPr>
          <w:p>
            <w:pPr>
              <w:pStyle w:val="yTableNAm"/>
              <w:rPr>
                <w:szCs w:val="22"/>
              </w:rPr>
            </w:pPr>
            <w:r>
              <w:rPr>
                <w:szCs w:val="22"/>
              </w:rPr>
              <w:t>Kununurra</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2</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Type">
                <w:r>
                  <w:rPr>
                    <w:szCs w:val="22"/>
                  </w:rPr>
                  <w:t>Lake</w:t>
                </w:r>
              </w:smartTag>
              <w:r>
                <w:rPr>
                  <w:szCs w:val="22"/>
                </w:rPr>
                <w:t xml:space="preserve"> </w:t>
              </w:r>
              <w:smartTag w:uri="urn:schemas-microsoft-com:office:smarttags" w:element="PlaceName">
                <w:r>
                  <w:rPr>
                    <w:szCs w:val="22"/>
                  </w:rPr>
                  <w:t>Grace</w:t>
                </w:r>
              </w:smartTag>
            </w:smartTag>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Type">
                <w:r>
                  <w:rPr>
                    <w:szCs w:val="22"/>
                  </w:rPr>
                  <w:t>Lake</w:t>
                </w:r>
              </w:smartTag>
              <w:r>
                <w:rPr>
                  <w:szCs w:val="22"/>
                </w:rPr>
                <w:t xml:space="preserve"> </w:t>
              </w:r>
              <w:smartTag w:uri="urn:schemas-microsoft-com:office:smarttags" w:element="PlaceName">
                <w:r>
                  <w:rPr>
                    <w:szCs w:val="22"/>
                  </w:rPr>
                  <w:t>King</w:t>
                </w:r>
              </w:smartTag>
            </w:smartTag>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Lancelin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Latham</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Laverton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Ledge Point</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Leeman</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Leonora</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Mandurah</w:t>
            </w:r>
          </w:p>
        </w:tc>
        <w:tc>
          <w:tcPr>
            <w:tcW w:w="1800" w:type="dxa"/>
            <w:tcBorders>
              <w:top w:val="nil"/>
              <w:left w:val="nil"/>
              <w:bottom w:val="nil"/>
              <w:right w:val="nil"/>
            </w:tcBorders>
            <w:vAlign w:val="bottom"/>
          </w:tcPr>
          <w:p>
            <w:pPr>
              <w:pStyle w:val="yTableNAm"/>
              <w:jc w:val="center"/>
              <w:rPr>
                <w:sz w:val="24"/>
                <w:szCs w:val="24"/>
              </w:rPr>
            </w:pPr>
            <w:r>
              <w:t>2</w:t>
            </w:r>
          </w:p>
        </w:tc>
        <w:tc>
          <w:tcPr>
            <w:tcW w:w="1800" w:type="dxa"/>
            <w:tcBorders>
              <w:top w:val="nil"/>
              <w:left w:val="nil"/>
              <w:bottom w:val="nil"/>
              <w:right w:val="nil"/>
            </w:tcBorders>
            <w:vAlign w:val="bottom"/>
          </w:tcPr>
          <w:p>
            <w:pPr>
              <w:pStyle w:val="yTableNAm"/>
              <w:jc w:val="center"/>
              <w:rPr>
                <w:sz w:val="24"/>
                <w:szCs w:val="24"/>
              </w:rPr>
            </w:pPr>
            <w:r>
              <w:t>3</w:t>
            </w:r>
          </w:p>
        </w:tc>
      </w:tr>
      <w:tr>
        <w:tc>
          <w:tcPr>
            <w:tcW w:w="2920" w:type="dxa"/>
            <w:tcBorders>
              <w:top w:val="nil"/>
              <w:left w:val="nil"/>
              <w:bottom w:val="nil"/>
              <w:right w:val="nil"/>
            </w:tcBorders>
            <w:vAlign w:val="center"/>
          </w:tcPr>
          <w:p>
            <w:pPr>
              <w:pStyle w:val="yTableNAm"/>
              <w:rPr>
                <w:szCs w:val="22"/>
              </w:rPr>
            </w:pPr>
            <w:r>
              <w:rPr>
                <w:szCs w:val="22"/>
              </w:rPr>
              <w:t>Manjimup</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Marble Bar</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Name">
                <w:r>
                  <w:rPr>
                    <w:szCs w:val="22"/>
                  </w:rPr>
                  <w:t>Margaret</w:t>
                </w:r>
              </w:smartTag>
              <w:r>
                <w:rPr>
                  <w:szCs w:val="22"/>
                </w:rPr>
                <w:t xml:space="preserve"> </w:t>
              </w:r>
              <w:smartTag w:uri="urn:schemas-microsoft-com:office:smarttags" w:element="PlaceName">
                <w:r>
                  <w:rPr>
                    <w:szCs w:val="22"/>
                  </w:rPr>
                  <w:t>River</w:t>
                </w:r>
              </w:smartTag>
            </w:smartTag>
          </w:p>
        </w:tc>
        <w:tc>
          <w:tcPr>
            <w:tcW w:w="1800" w:type="dxa"/>
            <w:tcBorders>
              <w:top w:val="nil"/>
              <w:left w:val="nil"/>
              <w:bottom w:val="nil"/>
              <w:right w:val="nil"/>
            </w:tcBorders>
            <w:vAlign w:val="bottom"/>
          </w:tcPr>
          <w:p>
            <w:pPr>
              <w:pStyle w:val="yTableNAm"/>
              <w:jc w:val="center"/>
              <w:rPr>
                <w:sz w:val="24"/>
                <w:szCs w:val="24"/>
              </w:rPr>
            </w:pPr>
            <w:r>
              <w:t>2</w:t>
            </w:r>
          </w:p>
        </w:tc>
        <w:tc>
          <w:tcPr>
            <w:tcW w:w="1800" w:type="dxa"/>
            <w:tcBorders>
              <w:top w:val="nil"/>
              <w:left w:val="nil"/>
              <w:bottom w:val="nil"/>
              <w:right w:val="nil"/>
            </w:tcBorders>
            <w:vAlign w:val="bottom"/>
          </w:tcPr>
          <w:p>
            <w:pPr>
              <w:pStyle w:val="yTableNAm"/>
              <w:jc w:val="center"/>
              <w:rPr>
                <w:sz w:val="24"/>
                <w:szCs w:val="24"/>
              </w:rPr>
            </w:pPr>
            <w:r>
              <w:t>4</w:t>
            </w:r>
          </w:p>
        </w:tc>
      </w:tr>
      <w:tr>
        <w:tc>
          <w:tcPr>
            <w:tcW w:w="2920" w:type="dxa"/>
            <w:tcBorders>
              <w:top w:val="nil"/>
              <w:left w:val="nil"/>
              <w:bottom w:val="nil"/>
              <w:right w:val="nil"/>
            </w:tcBorders>
            <w:vAlign w:val="center"/>
          </w:tcPr>
          <w:p>
            <w:pPr>
              <w:pStyle w:val="yTableNAm"/>
              <w:rPr>
                <w:szCs w:val="22"/>
              </w:rPr>
            </w:pPr>
            <w:r>
              <w:rPr>
                <w:szCs w:val="22"/>
              </w:rPr>
              <w:t xml:space="preserve">Marvel </w:t>
            </w:r>
            <w:smartTag w:uri="urn:schemas-microsoft-com:office:smarttags" w:element="place">
              <w:r>
                <w:rPr>
                  <w:szCs w:val="22"/>
                </w:rPr>
                <w:t>Loch</w:t>
              </w:r>
            </w:smartTag>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Meckering</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Meekatharra</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Menzies</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Merredin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Merredin Farmlands</w:t>
            </w:r>
          </w:p>
        </w:tc>
        <w:tc>
          <w:tcPr>
            <w:tcW w:w="1800" w:type="dxa"/>
            <w:tcBorders>
              <w:top w:val="nil"/>
              <w:left w:val="nil"/>
              <w:bottom w:val="nil"/>
              <w:right w:val="nil"/>
            </w:tcBorders>
            <w:vAlign w:val="bottom"/>
          </w:tcPr>
          <w:p>
            <w:pPr>
              <w:pStyle w:val="yTableNAm"/>
              <w:jc w:val="center"/>
              <w:rPr>
                <w:sz w:val="24"/>
                <w:szCs w:val="24"/>
              </w:rPr>
            </w:pPr>
            <w:r>
              <w:t>3</w:t>
            </w:r>
          </w:p>
        </w:tc>
        <w:tc>
          <w:tcPr>
            <w:tcW w:w="1800" w:type="dxa"/>
            <w:tcBorders>
              <w:top w:val="nil"/>
              <w:left w:val="nil"/>
              <w:bottom w:val="nil"/>
              <w:right w:val="nil"/>
            </w:tcBorders>
            <w:vAlign w:val="bottom"/>
          </w:tcPr>
          <w:p>
            <w:pPr>
              <w:pStyle w:val="yTableNAm"/>
              <w:jc w:val="center"/>
              <w:rPr>
                <w:sz w:val="24"/>
                <w:szCs w:val="24"/>
              </w:rPr>
            </w:pPr>
            <w:r>
              <w:t>9</w:t>
            </w:r>
          </w:p>
        </w:tc>
      </w:tr>
      <w:tr>
        <w:tc>
          <w:tcPr>
            <w:tcW w:w="2920" w:type="dxa"/>
            <w:tcBorders>
              <w:top w:val="nil"/>
              <w:left w:val="nil"/>
              <w:bottom w:val="nil"/>
              <w:right w:val="nil"/>
            </w:tcBorders>
            <w:vAlign w:val="center"/>
          </w:tcPr>
          <w:p>
            <w:pPr>
              <w:pStyle w:val="yTableNAm"/>
              <w:rPr>
                <w:szCs w:val="22"/>
              </w:rPr>
            </w:pPr>
            <w:r>
              <w:rPr>
                <w:szCs w:val="22"/>
              </w:rPr>
              <w:t>Miling</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Mingenew</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Moora</w:t>
            </w:r>
          </w:p>
        </w:tc>
        <w:tc>
          <w:tcPr>
            <w:tcW w:w="1800" w:type="dxa"/>
            <w:tcBorders>
              <w:top w:val="nil"/>
              <w:left w:val="nil"/>
              <w:bottom w:val="nil"/>
              <w:right w:val="nil"/>
            </w:tcBorders>
            <w:vAlign w:val="bottom"/>
          </w:tcPr>
          <w:p>
            <w:pPr>
              <w:pStyle w:val="yTableNAm"/>
              <w:jc w:val="center"/>
              <w:rPr>
                <w:sz w:val="24"/>
                <w:szCs w:val="24"/>
              </w:rPr>
            </w:pPr>
            <w:r>
              <w:t>2</w:t>
            </w:r>
          </w:p>
        </w:tc>
        <w:tc>
          <w:tcPr>
            <w:tcW w:w="1800" w:type="dxa"/>
            <w:tcBorders>
              <w:top w:val="nil"/>
              <w:left w:val="nil"/>
              <w:bottom w:val="nil"/>
              <w:right w:val="nil"/>
            </w:tcBorders>
            <w:vAlign w:val="bottom"/>
          </w:tcPr>
          <w:p>
            <w:pPr>
              <w:pStyle w:val="yTableNAm"/>
              <w:jc w:val="center"/>
              <w:rPr>
                <w:sz w:val="24"/>
                <w:szCs w:val="24"/>
              </w:rPr>
            </w:pPr>
            <w:r>
              <w:t>3</w:t>
            </w:r>
          </w:p>
        </w:tc>
      </w:tr>
      <w:tr>
        <w:tc>
          <w:tcPr>
            <w:tcW w:w="2920" w:type="dxa"/>
            <w:tcBorders>
              <w:top w:val="nil"/>
              <w:left w:val="nil"/>
              <w:bottom w:val="nil"/>
              <w:right w:val="nil"/>
            </w:tcBorders>
            <w:vAlign w:val="center"/>
          </w:tcPr>
          <w:p>
            <w:pPr>
              <w:pStyle w:val="yTableNAm"/>
              <w:rPr>
                <w:szCs w:val="22"/>
              </w:rPr>
            </w:pPr>
            <w:r>
              <w:rPr>
                <w:szCs w:val="22"/>
              </w:rPr>
              <w:t>Moorine Rock</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Morawa</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Barker</w:t>
                </w:r>
              </w:smartTag>
            </w:smartTag>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Magnet</w:t>
                </w:r>
              </w:smartTag>
            </w:smartTag>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Roe</w:t>
                </w:r>
              </w:smartTag>
            </w:smartTag>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Mukinbudin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Mullalyup</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Mullewa</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Mullewa Farmlands</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Munglinup</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Muntadgin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Myalup</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Nabawa</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Nannup</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Narembeen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Narngulu</w:t>
            </w:r>
          </w:p>
        </w:tc>
        <w:tc>
          <w:tcPr>
            <w:tcW w:w="1800" w:type="dxa"/>
            <w:tcBorders>
              <w:top w:val="nil"/>
              <w:left w:val="nil"/>
              <w:bottom w:val="nil"/>
              <w:right w:val="nil"/>
            </w:tcBorders>
            <w:vAlign w:val="bottom"/>
          </w:tcPr>
          <w:p>
            <w:pPr>
              <w:pStyle w:val="yTableNAm"/>
              <w:jc w:val="center"/>
              <w:rPr>
                <w:sz w:val="24"/>
                <w:szCs w:val="24"/>
              </w:rPr>
            </w:pPr>
            <w:r>
              <w:t>1</w:t>
            </w:r>
          </w:p>
        </w:tc>
        <w:tc>
          <w:tcPr>
            <w:tcW w:w="1800" w:type="dxa"/>
            <w:tcBorders>
              <w:top w:val="nil"/>
              <w:left w:val="nil"/>
              <w:bottom w:val="nil"/>
              <w:right w:val="nil"/>
            </w:tcBorders>
            <w:vAlign w:val="bottom"/>
          </w:tcPr>
          <w:p>
            <w:pPr>
              <w:pStyle w:val="yTableNAm"/>
              <w:jc w:val="center"/>
              <w:rPr>
                <w:sz w:val="24"/>
                <w:szCs w:val="24"/>
              </w:rPr>
            </w:pPr>
            <w:r>
              <w:t>1</w:t>
            </w:r>
          </w:p>
        </w:tc>
      </w:tr>
      <w:tr>
        <w:tc>
          <w:tcPr>
            <w:tcW w:w="2920" w:type="dxa"/>
            <w:tcBorders>
              <w:top w:val="nil"/>
              <w:left w:val="nil"/>
              <w:bottom w:val="nil"/>
              <w:right w:val="nil"/>
            </w:tcBorders>
            <w:vAlign w:val="center"/>
          </w:tcPr>
          <w:p>
            <w:pPr>
              <w:pStyle w:val="yTableNAm"/>
              <w:rPr>
                <w:szCs w:val="22"/>
              </w:rPr>
            </w:pPr>
            <w:r>
              <w:rPr>
                <w:szCs w:val="22"/>
              </w:rPr>
              <w:t>Narrikup</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Narrogin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Narrogin Farmlands</w:t>
            </w:r>
          </w:p>
        </w:tc>
        <w:tc>
          <w:tcPr>
            <w:tcW w:w="1800" w:type="dxa"/>
            <w:tcBorders>
              <w:top w:val="nil"/>
              <w:left w:val="nil"/>
              <w:bottom w:val="nil"/>
              <w:right w:val="nil"/>
            </w:tcBorders>
            <w:vAlign w:val="bottom"/>
          </w:tcPr>
          <w:p>
            <w:pPr>
              <w:pStyle w:val="yTableNAm"/>
              <w:jc w:val="center"/>
              <w:rPr>
                <w:sz w:val="24"/>
                <w:szCs w:val="24"/>
              </w:rPr>
            </w:pPr>
            <w:r>
              <w:t>3</w:t>
            </w:r>
          </w:p>
        </w:tc>
        <w:tc>
          <w:tcPr>
            <w:tcW w:w="1800" w:type="dxa"/>
            <w:tcBorders>
              <w:top w:val="nil"/>
              <w:left w:val="nil"/>
              <w:bottom w:val="nil"/>
              <w:right w:val="nil"/>
            </w:tcBorders>
            <w:vAlign w:val="bottom"/>
          </w:tcPr>
          <w:p>
            <w:pPr>
              <w:pStyle w:val="yTableNAm"/>
              <w:jc w:val="center"/>
              <w:rPr>
                <w:sz w:val="24"/>
                <w:szCs w:val="24"/>
              </w:rPr>
            </w:pPr>
            <w:r>
              <w:t>8</w:t>
            </w:r>
          </w:p>
        </w:tc>
      </w:tr>
      <w:tr>
        <w:tc>
          <w:tcPr>
            <w:tcW w:w="2920" w:type="dxa"/>
            <w:tcBorders>
              <w:top w:val="nil"/>
              <w:left w:val="nil"/>
              <w:bottom w:val="nil"/>
              <w:right w:val="nil"/>
            </w:tcBorders>
            <w:vAlign w:val="center"/>
          </w:tcPr>
          <w:p>
            <w:pPr>
              <w:pStyle w:val="yTableNAm"/>
              <w:rPr>
                <w:szCs w:val="22"/>
              </w:rPr>
            </w:pPr>
            <w:r>
              <w:rPr>
                <w:szCs w:val="22"/>
              </w:rPr>
              <w:t>New Norcia</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Newdegate</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Newman</w:t>
            </w:r>
          </w:p>
        </w:tc>
        <w:tc>
          <w:tcPr>
            <w:tcW w:w="1800" w:type="dxa"/>
            <w:tcBorders>
              <w:top w:val="nil"/>
              <w:left w:val="nil"/>
              <w:bottom w:val="nil"/>
              <w:right w:val="nil"/>
            </w:tcBorders>
            <w:vAlign w:val="bottom"/>
          </w:tcPr>
          <w:p>
            <w:pPr>
              <w:pStyle w:val="yTableNAm"/>
              <w:jc w:val="center"/>
              <w:rPr>
                <w:sz w:val="24"/>
                <w:szCs w:val="24"/>
              </w:rPr>
            </w:pPr>
            <w:r>
              <w:t>1</w:t>
            </w:r>
          </w:p>
        </w:tc>
        <w:tc>
          <w:tcPr>
            <w:tcW w:w="1800" w:type="dxa"/>
            <w:tcBorders>
              <w:top w:val="nil"/>
              <w:left w:val="nil"/>
              <w:bottom w:val="nil"/>
              <w:right w:val="nil"/>
            </w:tcBorders>
            <w:vAlign w:val="bottom"/>
          </w:tcPr>
          <w:p>
            <w:pPr>
              <w:pStyle w:val="yTableNAm"/>
              <w:jc w:val="center"/>
              <w:rPr>
                <w:sz w:val="24"/>
                <w:szCs w:val="24"/>
              </w:rPr>
            </w:pPr>
            <w:r>
              <w:t>1</w:t>
            </w:r>
          </w:p>
        </w:tc>
      </w:tr>
      <w:tr>
        <w:tc>
          <w:tcPr>
            <w:tcW w:w="2920" w:type="dxa"/>
            <w:tcBorders>
              <w:top w:val="nil"/>
              <w:left w:val="nil"/>
              <w:bottom w:val="nil"/>
              <w:right w:val="nil"/>
            </w:tcBorders>
            <w:vAlign w:val="center"/>
          </w:tcPr>
          <w:p>
            <w:pPr>
              <w:pStyle w:val="yTableNAm"/>
              <w:rPr>
                <w:szCs w:val="22"/>
              </w:rPr>
            </w:pPr>
            <w:r>
              <w:rPr>
                <w:szCs w:val="22"/>
              </w:rPr>
              <w:t>Nilgen</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7</w:t>
            </w:r>
          </w:p>
        </w:tc>
      </w:tr>
      <w:tr>
        <w:tc>
          <w:tcPr>
            <w:tcW w:w="2920" w:type="dxa"/>
            <w:tcBorders>
              <w:top w:val="nil"/>
              <w:left w:val="nil"/>
              <w:bottom w:val="nil"/>
              <w:right w:val="nil"/>
            </w:tcBorders>
            <w:vAlign w:val="center"/>
          </w:tcPr>
          <w:p>
            <w:pPr>
              <w:pStyle w:val="yTableNAm"/>
              <w:rPr>
                <w:szCs w:val="22"/>
              </w:rPr>
            </w:pPr>
            <w:r>
              <w:rPr>
                <w:szCs w:val="22"/>
              </w:rPr>
              <w:t>Norseman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13</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r>
                <w:rPr>
                  <w:szCs w:val="22"/>
                </w:rPr>
                <w:t>North Dandalup</w:t>
              </w:r>
            </w:smartTag>
          </w:p>
        </w:tc>
        <w:tc>
          <w:tcPr>
            <w:tcW w:w="1800" w:type="dxa"/>
            <w:tcBorders>
              <w:top w:val="nil"/>
              <w:left w:val="nil"/>
              <w:bottom w:val="nil"/>
              <w:right w:val="nil"/>
            </w:tcBorders>
            <w:vAlign w:val="bottom"/>
          </w:tcPr>
          <w:p>
            <w:pPr>
              <w:pStyle w:val="yTableNAm"/>
              <w:jc w:val="center"/>
              <w:rPr>
                <w:sz w:val="24"/>
                <w:szCs w:val="24"/>
              </w:rPr>
            </w:pPr>
            <w:r>
              <w:t>3</w:t>
            </w:r>
          </w:p>
        </w:tc>
        <w:tc>
          <w:tcPr>
            <w:tcW w:w="1800" w:type="dxa"/>
            <w:tcBorders>
              <w:top w:val="nil"/>
              <w:left w:val="nil"/>
              <w:bottom w:val="nil"/>
              <w:right w:val="nil"/>
            </w:tcBorders>
            <w:vAlign w:val="bottom"/>
          </w:tcPr>
          <w:p>
            <w:pPr>
              <w:pStyle w:val="yTableNAm"/>
              <w:jc w:val="center"/>
              <w:rPr>
                <w:sz w:val="24"/>
                <w:szCs w:val="24"/>
              </w:rPr>
            </w:pPr>
            <w:r>
              <w:t>9</w:t>
            </w:r>
          </w:p>
        </w:tc>
      </w:tr>
      <w:tr>
        <w:tc>
          <w:tcPr>
            <w:tcW w:w="2920" w:type="dxa"/>
            <w:tcBorders>
              <w:top w:val="nil"/>
              <w:left w:val="nil"/>
              <w:bottom w:val="nil"/>
              <w:right w:val="nil"/>
            </w:tcBorders>
            <w:vAlign w:val="center"/>
          </w:tcPr>
          <w:p>
            <w:pPr>
              <w:pStyle w:val="yTableNAm"/>
              <w:rPr>
                <w:szCs w:val="22"/>
              </w:rPr>
            </w:pPr>
            <w:r>
              <w:rPr>
                <w:szCs w:val="22"/>
              </w:rPr>
              <w:t>Northam</w:t>
            </w:r>
          </w:p>
        </w:tc>
        <w:tc>
          <w:tcPr>
            <w:tcW w:w="1800" w:type="dxa"/>
            <w:tcBorders>
              <w:top w:val="nil"/>
              <w:left w:val="nil"/>
              <w:bottom w:val="nil"/>
              <w:right w:val="nil"/>
            </w:tcBorders>
            <w:vAlign w:val="bottom"/>
          </w:tcPr>
          <w:p>
            <w:pPr>
              <w:pStyle w:val="yTableNAm"/>
              <w:jc w:val="center"/>
              <w:rPr>
                <w:sz w:val="24"/>
                <w:szCs w:val="24"/>
              </w:rPr>
            </w:pPr>
            <w:r>
              <w:t>3</w:t>
            </w:r>
          </w:p>
        </w:tc>
        <w:tc>
          <w:tcPr>
            <w:tcW w:w="1800" w:type="dxa"/>
            <w:tcBorders>
              <w:top w:val="nil"/>
              <w:left w:val="nil"/>
              <w:bottom w:val="nil"/>
              <w:right w:val="nil"/>
            </w:tcBorders>
            <w:vAlign w:val="bottom"/>
          </w:tcPr>
          <w:p>
            <w:pPr>
              <w:pStyle w:val="yTableNAm"/>
              <w:jc w:val="center"/>
              <w:rPr>
                <w:sz w:val="24"/>
                <w:szCs w:val="24"/>
              </w:rPr>
            </w:pPr>
            <w:r>
              <w:t>6</w:t>
            </w:r>
          </w:p>
        </w:tc>
      </w:tr>
      <w:tr>
        <w:tc>
          <w:tcPr>
            <w:tcW w:w="2920" w:type="dxa"/>
            <w:tcBorders>
              <w:top w:val="nil"/>
              <w:left w:val="nil"/>
              <w:bottom w:val="nil"/>
              <w:right w:val="nil"/>
            </w:tcBorders>
            <w:vAlign w:val="center"/>
          </w:tcPr>
          <w:p>
            <w:pPr>
              <w:pStyle w:val="yTableNAm"/>
              <w:rPr>
                <w:szCs w:val="22"/>
              </w:rPr>
            </w:pPr>
            <w:r>
              <w:rPr>
                <w:szCs w:val="22"/>
              </w:rPr>
              <w:t>Northam Farmlands</w:t>
            </w:r>
          </w:p>
        </w:tc>
        <w:tc>
          <w:tcPr>
            <w:tcW w:w="1800" w:type="dxa"/>
            <w:tcBorders>
              <w:top w:val="nil"/>
              <w:left w:val="nil"/>
              <w:bottom w:val="nil"/>
              <w:right w:val="nil"/>
            </w:tcBorders>
            <w:vAlign w:val="bottom"/>
          </w:tcPr>
          <w:p>
            <w:pPr>
              <w:pStyle w:val="yTableNAm"/>
              <w:jc w:val="center"/>
              <w:rPr>
                <w:sz w:val="24"/>
                <w:szCs w:val="24"/>
              </w:rPr>
            </w:pPr>
            <w:r>
              <w:t>3</w:t>
            </w:r>
          </w:p>
        </w:tc>
        <w:tc>
          <w:tcPr>
            <w:tcW w:w="1800" w:type="dxa"/>
            <w:tcBorders>
              <w:top w:val="nil"/>
              <w:left w:val="nil"/>
              <w:bottom w:val="nil"/>
              <w:right w:val="nil"/>
            </w:tcBorders>
            <w:vAlign w:val="bottom"/>
          </w:tcPr>
          <w:p>
            <w:pPr>
              <w:pStyle w:val="yTableNAm"/>
              <w:jc w:val="center"/>
              <w:rPr>
                <w:sz w:val="24"/>
                <w:szCs w:val="24"/>
              </w:rPr>
            </w:pPr>
            <w:r>
              <w:t>9</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City">
                <w:r>
                  <w:rPr>
                    <w:szCs w:val="22"/>
                  </w:rPr>
                  <w:t>Northampton</w:t>
                </w:r>
              </w:smartTag>
            </w:smartTag>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Northcliffe</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Nullagine</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Nungarin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Nyabing</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Ongerup</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Onslow</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Ora Banda</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City">
                <w:r>
                  <w:rPr>
                    <w:szCs w:val="22"/>
                  </w:rPr>
                  <w:t>Park Ridge</w:t>
                </w:r>
              </w:smartTag>
            </w:smartTag>
          </w:p>
        </w:tc>
        <w:tc>
          <w:tcPr>
            <w:tcW w:w="1800" w:type="dxa"/>
            <w:tcBorders>
              <w:top w:val="nil"/>
              <w:left w:val="nil"/>
              <w:bottom w:val="nil"/>
              <w:right w:val="nil"/>
            </w:tcBorders>
            <w:vAlign w:val="bottom"/>
          </w:tcPr>
          <w:p>
            <w:pPr>
              <w:pStyle w:val="yTableNAm"/>
              <w:jc w:val="center"/>
              <w:rPr>
                <w:sz w:val="24"/>
                <w:szCs w:val="24"/>
              </w:rPr>
            </w:pPr>
            <w:r>
              <w:t>3</w:t>
            </w:r>
          </w:p>
        </w:tc>
        <w:tc>
          <w:tcPr>
            <w:tcW w:w="1800" w:type="dxa"/>
            <w:tcBorders>
              <w:top w:val="nil"/>
              <w:left w:val="nil"/>
              <w:bottom w:val="nil"/>
              <w:right w:val="nil"/>
            </w:tcBorders>
            <w:vAlign w:val="bottom"/>
          </w:tcPr>
          <w:p>
            <w:pPr>
              <w:pStyle w:val="yTableNAm"/>
              <w:jc w:val="center"/>
              <w:rPr>
                <w:sz w:val="24"/>
                <w:szCs w:val="24"/>
              </w:rPr>
            </w:pPr>
            <w:r>
              <w:t>6</w:t>
            </w:r>
          </w:p>
        </w:tc>
      </w:tr>
      <w:tr>
        <w:tc>
          <w:tcPr>
            <w:tcW w:w="2920" w:type="dxa"/>
            <w:tcBorders>
              <w:top w:val="nil"/>
              <w:left w:val="nil"/>
              <w:bottom w:val="nil"/>
              <w:right w:val="nil"/>
            </w:tcBorders>
            <w:vAlign w:val="center"/>
          </w:tcPr>
          <w:p>
            <w:pPr>
              <w:pStyle w:val="yTableNAm"/>
              <w:rPr>
                <w:szCs w:val="22"/>
              </w:rPr>
            </w:pPr>
            <w:r>
              <w:rPr>
                <w:szCs w:val="22"/>
              </w:rPr>
              <w:t>Pemberton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Name">
                <w:r>
                  <w:rPr>
                    <w:szCs w:val="22"/>
                  </w:rPr>
                  <w:t>Peppermint</w:t>
                </w:r>
              </w:smartTag>
              <w:r>
                <w:rPr>
                  <w:szCs w:val="22"/>
                </w:rPr>
                <w:t xml:space="preserve"> </w:t>
              </w:r>
              <w:smartTag w:uri="urn:schemas-microsoft-com:office:smarttags" w:element="PlaceType">
                <w:r>
                  <w:rPr>
                    <w:szCs w:val="22"/>
                  </w:rPr>
                  <w:t>Grove</w:t>
                </w:r>
              </w:smartTag>
              <w:r>
                <w:rPr>
                  <w:szCs w:val="22"/>
                </w:rPr>
                <w:t xml:space="preserve"> </w:t>
              </w:r>
              <w:smartTag w:uri="urn:schemas-microsoft-com:office:smarttags" w:element="PlaceType">
                <w:r>
                  <w:rPr>
                    <w:szCs w:val="22"/>
                  </w:rPr>
                  <w:t>Beach</w:t>
                </w:r>
              </w:smartTag>
            </w:smartTag>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Perenjori</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Pingaring</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Pingelly</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Pingrup</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Pinjarra</w:t>
            </w:r>
          </w:p>
        </w:tc>
        <w:tc>
          <w:tcPr>
            <w:tcW w:w="1800" w:type="dxa"/>
            <w:tcBorders>
              <w:top w:val="nil"/>
              <w:left w:val="nil"/>
              <w:bottom w:val="nil"/>
              <w:right w:val="nil"/>
            </w:tcBorders>
            <w:vAlign w:val="bottom"/>
          </w:tcPr>
          <w:p>
            <w:pPr>
              <w:pStyle w:val="yTableNAm"/>
              <w:jc w:val="center"/>
              <w:rPr>
                <w:sz w:val="24"/>
                <w:szCs w:val="24"/>
              </w:rPr>
            </w:pPr>
            <w:r>
              <w:t>1</w:t>
            </w:r>
          </w:p>
        </w:tc>
        <w:tc>
          <w:tcPr>
            <w:tcW w:w="1800" w:type="dxa"/>
            <w:tcBorders>
              <w:top w:val="nil"/>
              <w:left w:val="nil"/>
              <w:bottom w:val="nil"/>
              <w:right w:val="nil"/>
            </w:tcBorders>
            <w:vAlign w:val="bottom"/>
          </w:tcPr>
          <w:p>
            <w:pPr>
              <w:pStyle w:val="yTableNAm"/>
              <w:jc w:val="center"/>
              <w:rPr>
                <w:sz w:val="24"/>
                <w:szCs w:val="24"/>
              </w:rPr>
            </w:pPr>
            <w:r>
              <w:t>1</w:t>
            </w:r>
          </w:p>
        </w:tc>
      </w:tr>
      <w:tr>
        <w:tc>
          <w:tcPr>
            <w:tcW w:w="2920" w:type="dxa"/>
            <w:tcBorders>
              <w:top w:val="nil"/>
              <w:left w:val="nil"/>
              <w:bottom w:val="nil"/>
              <w:right w:val="nil"/>
            </w:tcBorders>
            <w:vAlign w:val="center"/>
          </w:tcPr>
          <w:p>
            <w:pPr>
              <w:pStyle w:val="yTableNAm"/>
              <w:rPr>
                <w:szCs w:val="22"/>
              </w:rPr>
            </w:pPr>
            <w:r>
              <w:rPr>
                <w:szCs w:val="22"/>
              </w:rPr>
              <w:t>Pithara</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Point Samson</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Popanyinning</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Porongurup</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4</w:t>
            </w:r>
          </w:p>
        </w:tc>
      </w:tr>
      <w:tr>
        <w:tc>
          <w:tcPr>
            <w:tcW w:w="2920" w:type="dxa"/>
            <w:tcBorders>
              <w:top w:val="nil"/>
              <w:left w:val="nil"/>
              <w:bottom w:val="nil"/>
              <w:right w:val="nil"/>
            </w:tcBorders>
            <w:vAlign w:val="center"/>
          </w:tcPr>
          <w:p>
            <w:pPr>
              <w:pStyle w:val="yTableNAm"/>
              <w:rPr>
                <w:szCs w:val="22"/>
              </w:rPr>
            </w:pPr>
            <w:r>
              <w:rPr>
                <w:szCs w:val="22"/>
              </w:rPr>
              <w:t>Porongurup Farmlands</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Port Hedland</w:t>
            </w:r>
          </w:p>
        </w:tc>
        <w:tc>
          <w:tcPr>
            <w:tcW w:w="1800" w:type="dxa"/>
            <w:tcBorders>
              <w:top w:val="nil"/>
              <w:left w:val="nil"/>
              <w:bottom w:val="nil"/>
              <w:right w:val="nil"/>
            </w:tcBorders>
            <w:vAlign w:val="bottom"/>
          </w:tcPr>
          <w:p>
            <w:pPr>
              <w:pStyle w:val="yTableNAm"/>
              <w:jc w:val="center"/>
              <w:rPr>
                <w:sz w:val="24"/>
                <w:szCs w:val="24"/>
              </w:rPr>
            </w:pPr>
            <w:r>
              <w:t>2</w:t>
            </w:r>
          </w:p>
        </w:tc>
        <w:tc>
          <w:tcPr>
            <w:tcW w:w="1800" w:type="dxa"/>
            <w:tcBorders>
              <w:top w:val="nil"/>
              <w:left w:val="nil"/>
              <w:bottom w:val="nil"/>
              <w:right w:val="nil"/>
            </w:tcBorders>
            <w:vAlign w:val="bottom"/>
          </w:tcPr>
          <w:p>
            <w:pPr>
              <w:pStyle w:val="yTableNAm"/>
              <w:jc w:val="center"/>
              <w:rPr>
                <w:sz w:val="24"/>
                <w:szCs w:val="24"/>
              </w:rPr>
            </w:pPr>
            <w:r>
              <w:t>5</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Name">
                <w:r>
                  <w:rPr>
                    <w:szCs w:val="22"/>
                  </w:rPr>
                  <w:t>Preston</w:t>
                </w:r>
              </w:smartTag>
              <w:r>
                <w:rPr>
                  <w:szCs w:val="22"/>
                </w:rPr>
                <w:t xml:space="preserve"> </w:t>
              </w:r>
              <w:smartTag w:uri="urn:schemas-microsoft-com:office:smarttags" w:element="PlaceType">
                <w:r>
                  <w:rPr>
                    <w:szCs w:val="22"/>
                  </w:rPr>
                  <w:t>Beach</w:t>
                </w:r>
              </w:smartTag>
            </w:smartTag>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Quairading</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Quinninup</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Ravensthorpe</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Rocky Gully</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Roebourne</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Salmon Gums</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Sandstone</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Seabird</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r>
                <w:rPr>
                  <w:szCs w:val="22"/>
                </w:rPr>
                <w:t>South Hedland</w:t>
              </w:r>
            </w:smartTag>
          </w:p>
        </w:tc>
        <w:tc>
          <w:tcPr>
            <w:tcW w:w="1800" w:type="dxa"/>
            <w:tcBorders>
              <w:top w:val="nil"/>
              <w:left w:val="nil"/>
              <w:bottom w:val="nil"/>
              <w:right w:val="nil"/>
            </w:tcBorders>
            <w:vAlign w:val="bottom"/>
          </w:tcPr>
          <w:p>
            <w:pPr>
              <w:pStyle w:val="yTableNAm"/>
              <w:jc w:val="center"/>
              <w:rPr>
                <w:sz w:val="24"/>
                <w:szCs w:val="24"/>
              </w:rPr>
            </w:pPr>
            <w:r>
              <w:t>2</w:t>
            </w:r>
          </w:p>
        </w:tc>
        <w:tc>
          <w:tcPr>
            <w:tcW w:w="1800" w:type="dxa"/>
            <w:tcBorders>
              <w:top w:val="nil"/>
              <w:left w:val="nil"/>
              <w:bottom w:val="nil"/>
              <w:right w:val="nil"/>
            </w:tcBorders>
            <w:vAlign w:val="bottom"/>
          </w:tcPr>
          <w:p>
            <w:pPr>
              <w:pStyle w:val="yTableNAm"/>
              <w:jc w:val="center"/>
              <w:rPr>
                <w:sz w:val="24"/>
                <w:szCs w:val="24"/>
              </w:rPr>
            </w:pPr>
            <w:r>
              <w:t>5</w:t>
            </w:r>
          </w:p>
        </w:tc>
      </w:tr>
      <w:tr>
        <w:tc>
          <w:tcPr>
            <w:tcW w:w="2920" w:type="dxa"/>
            <w:tcBorders>
              <w:top w:val="nil"/>
              <w:left w:val="nil"/>
              <w:bottom w:val="nil"/>
              <w:right w:val="nil"/>
            </w:tcBorders>
            <w:vAlign w:val="center"/>
          </w:tcPr>
          <w:p>
            <w:pPr>
              <w:pStyle w:val="yTableNAm"/>
              <w:rPr>
                <w:szCs w:val="22"/>
              </w:rPr>
            </w:pPr>
            <w:r>
              <w:rPr>
                <w:szCs w:val="22"/>
              </w:rPr>
              <w:t>Southern Cross</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9</w:t>
            </w:r>
          </w:p>
        </w:tc>
      </w:tr>
      <w:tr>
        <w:tc>
          <w:tcPr>
            <w:tcW w:w="2920" w:type="dxa"/>
            <w:tcBorders>
              <w:top w:val="nil"/>
              <w:left w:val="nil"/>
              <w:bottom w:val="nil"/>
              <w:right w:val="nil"/>
            </w:tcBorders>
            <w:vAlign w:val="center"/>
          </w:tcPr>
          <w:p>
            <w:pPr>
              <w:pStyle w:val="yTableNAm"/>
              <w:rPr>
                <w:szCs w:val="22"/>
              </w:rPr>
            </w:pPr>
            <w:r>
              <w:rPr>
                <w:szCs w:val="22"/>
              </w:rPr>
              <w:t>Tambellup</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Tammin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Three Springs</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Tincurrin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Toodyay</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Trayning</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Varley</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Wagin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Walkaway</w:t>
            </w:r>
          </w:p>
        </w:tc>
        <w:tc>
          <w:tcPr>
            <w:tcW w:w="1800" w:type="dxa"/>
            <w:tcBorders>
              <w:top w:val="nil"/>
              <w:left w:val="nil"/>
              <w:bottom w:val="nil"/>
              <w:right w:val="nil"/>
            </w:tcBorders>
            <w:vAlign w:val="bottom"/>
          </w:tcPr>
          <w:p>
            <w:pPr>
              <w:pStyle w:val="yTableNAm"/>
              <w:jc w:val="center"/>
              <w:rPr>
                <w:sz w:val="24"/>
                <w:szCs w:val="24"/>
              </w:rPr>
            </w:pPr>
            <w:r>
              <w:t>1</w:t>
            </w:r>
          </w:p>
        </w:tc>
        <w:tc>
          <w:tcPr>
            <w:tcW w:w="1800" w:type="dxa"/>
            <w:tcBorders>
              <w:top w:val="nil"/>
              <w:left w:val="nil"/>
              <w:bottom w:val="nil"/>
              <w:right w:val="nil"/>
            </w:tcBorders>
            <w:vAlign w:val="bottom"/>
          </w:tcPr>
          <w:p>
            <w:pPr>
              <w:pStyle w:val="yTableNAm"/>
              <w:jc w:val="center"/>
              <w:rPr>
                <w:sz w:val="24"/>
                <w:szCs w:val="24"/>
              </w:rPr>
            </w:pPr>
            <w:r>
              <w:t>1</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City">
                <w:r>
                  <w:rPr>
                    <w:szCs w:val="22"/>
                  </w:rPr>
                  <w:t>Walpole</w:t>
                </w:r>
              </w:smartTag>
            </w:smartTag>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Wandering</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Watheroo</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Wellstead</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Westonia</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Wickepin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Wickham</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Widgiemooltha</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Williams</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Wiluna</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Wongan Hills</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Woodanilling</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r>
                <w:rPr>
                  <w:szCs w:val="22"/>
                </w:rPr>
                <w:t>Woodridge</w:t>
              </w:r>
            </w:smartTag>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Wubin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Wundowie</w:t>
            </w:r>
          </w:p>
        </w:tc>
        <w:tc>
          <w:tcPr>
            <w:tcW w:w="1800" w:type="dxa"/>
            <w:tcBorders>
              <w:top w:val="nil"/>
              <w:left w:val="nil"/>
              <w:bottom w:val="nil"/>
              <w:right w:val="nil"/>
            </w:tcBorders>
            <w:vAlign w:val="bottom"/>
          </w:tcPr>
          <w:p>
            <w:pPr>
              <w:pStyle w:val="yTableNAm"/>
              <w:jc w:val="center"/>
              <w:rPr>
                <w:sz w:val="24"/>
                <w:szCs w:val="24"/>
              </w:rPr>
            </w:pPr>
            <w:r>
              <w:t>1</w:t>
            </w:r>
          </w:p>
        </w:tc>
        <w:tc>
          <w:tcPr>
            <w:tcW w:w="1800" w:type="dxa"/>
            <w:tcBorders>
              <w:top w:val="nil"/>
              <w:left w:val="nil"/>
              <w:bottom w:val="nil"/>
              <w:right w:val="nil"/>
            </w:tcBorders>
            <w:vAlign w:val="bottom"/>
          </w:tcPr>
          <w:p>
            <w:pPr>
              <w:pStyle w:val="yTableNAm"/>
              <w:jc w:val="center"/>
              <w:rPr>
                <w:sz w:val="24"/>
                <w:szCs w:val="24"/>
              </w:rPr>
            </w:pPr>
            <w:r>
              <w:t>1</w:t>
            </w:r>
          </w:p>
        </w:tc>
      </w:tr>
      <w:tr>
        <w:tc>
          <w:tcPr>
            <w:tcW w:w="2920" w:type="dxa"/>
            <w:tcBorders>
              <w:top w:val="nil"/>
              <w:left w:val="nil"/>
              <w:bottom w:val="nil"/>
              <w:right w:val="nil"/>
            </w:tcBorders>
            <w:vAlign w:val="center"/>
          </w:tcPr>
          <w:p>
            <w:pPr>
              <w:pStyle w:val="yTableNAm"/>
              <w:rPr>
                <w:szCs w:val="22"/>
              </w:rPr>
            </w:pPr>
            <w:r>
              <w:rPr>
                <w:szCs w:val="22"/>
              </w:rPr>
              <w:t>Wyalkatchem</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Wyndham</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Yalgoo</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Yarloop/Wagerup</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6</w:t>
            </w:r>
          </w:p>
        </w:tc>
      </w:tr>
      <w:tr>
        <w:tc>
          <w:tcPr>
            <w:tcW w:w="2920" w:type="dxa"/>
            <w:tcBorders>
              <w:top w:val="nil"/>
              <w:left w:val="nil"/>
              <w:bottom w:val="nil"/>
              <w:right w:val="nil"/>
            </w:tcBorders>
            <w:vAlign w:val="center"/>
          </w:tcPr>
          <w:p>
            <w:pPr>
              <w:pStyle w:val="yTableNAm"/>
              <w:rPr>
                <w:szCs w:val="22"/>
              </w:rPr>
            </w:pPr>
            <w:r>
              <w:rPr>
                <w:szCs w:val="22"/>
              </w:rPr>
              <w:t>Yealering</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Yerecoin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City">
                <w:r>
                  <w:rPr>
                    <w:szCs w:val="22"/>
                  </w:rPr>
                  <w:t>York</w:t>
                </w:r>
              </w:smartTag>
            </w:smartTag>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Yuna</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bl>
    <w:p>
      <w:pPr>
        <w:pStyle w:val="yFootnotesection"/>
      </w:pPr>
      <w:r>
        <w:tab/>
        <w:t>[Schedule 10 inserted in Gazette 20 Jun 2012 p. 2765</w:t>
      </w:r>
      <w:r>
        <w:noBreakHyphen/>
        <w:t>74.]</w:t>
      </w:r>
    </w:p>
    <w:bookmarkEnd w:id="755"/>
    <w:bookmarkEnd w:id="756"/>
    <w:p>
      <w:pPr>
        <w:tabs>
          <w:tab w:val="left" w:pos="284"/>
          <w:tab w:val="left" w:pos="372"/>
          <w:tab w:val="left" w:pos="851"/>
          <w:tab w:val="right" w:pos="939"/>
          <w:tab w:val="left" w:pos="1179"/>
          <w:tab w:val="right" w:pos="1332"/>
          <w:tab w:val="left" w:pos="1418"/>
          <w:tab w:val="left" w:pos="1616"/>
        </w:tabs>
        <w:ind w:left="1179" w:hanging="1179"/>
        <w:rPr>
          <w:b/>
        </w:r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outlineLvl w:val="0"/>
      </w:pPr>
      <w:bookmarkStart w:id="757" w:name="_Toc91580567"/>
      <w:bookmarkStart w:id="758" w:name="_Toc103667252"/>
      <w:bookmarkStart w:id="759" w:name="_Toc103741771"/>
      <w:bookmarkStart w:id="760" w:name="_Toc107982014"/>
      <w:bookmarkStart w:id="761" w:name="_Toc118800181"/>
      <w:bookmarkStart w:id="762" w:name="_Toc118860189"/>
      <w:bookmarkStart w:id="763" w:name="_Toc121545689"/>
      <w:bookmarkStart w:id="764" w:name="_Toc121801212"/>
      <w:bookmarkStart w:id="765" w:name="_Toc121818325"/>
      <w:bookmarkStart w:id="766" w:name="_Toc121880935"/>
      <w:bookmarkStart w:id="767" w:name="_Toc129482006"/>
      <w:bookmarkStart w:id="768" w:name="_Toc130095375"/>
      <w:bookmarkStart w:id="769" w:name="_Toc130273439"/>
      <w:bookmarkStart w:id="770" w:name="_Toc139771111"/>
      <w:bookmarkStart w:id="771" w:name="_Toc139771489"/>
      <w:bookmarkStart w:id="772" w:name="_Toc151191704"/>
      <w:bookmarkStart w:id="773" w:name="_Toc151260597"/>
      <w:bookmarkStart w:id="774" w:name="_Toc164158704"/>
      <w:bookmarkStart w:id="775" w:name="_Toc164221076"/>
      <w:bookmarkStart w:id="776" w:name="_Toc170879152"/>
      <w:bookmarkStart w:id="777" w:name="_Toc170894789"/>
      <w:bookmarkStart w:id="778" w:name="_Toc175712755"/>
      <w:bookmarkStart w:id="779" w:name="_Toc175970696"/>
      <w:bookmarkStart w:id="780" w:name="_Toc176335415"/>
      <w:bookmarkStart w:id="781" w:name="_Toc176338990"/>
      <w:bookmarkStart w:id="782" w:name="_Toc178743015"/>
      <w:bookmarkStart w:id="783" w:name="_Toc179363438"/>
      <w:bookmarkStart w:id="784" w:name="_Toc179604507"/>
      <w:bookmarkStart w:id="785" w:name="_Toc180204700"/>
      <w:bookmarkStart w:id="786" w:name="_Toc180204916"/>
      <w:bookmarkStart w:id="787" w:name="_Toc185844661"/>
      <w:bookmarkStart w:id="788" w:name="_Toc185845281"/>
      <w:bookmarkStart w:id="789" w:name="_Toc185927246"/>
      <w:bookmarkStart w:id="790" w:name="_Toc202506108"/>
      <w:bookmarkStart w:id="791" w:name="_Toc202672840"/>
      <w:bookmarkStart w:id="792" w:name="_Toc202691800"/>
      <w:bookmarkStart w:id="793" w:name="_Toc233448466"/>
      <w:bookmarkStart w:id="794" w:name="_Toc233611736"/>
      <w:bookmarkStart w:id="795" w:name="_Toc234730743"/>
      <w:bookmarkStart w:id="796" w:name="_Toc234733269"/>
      <w:bookmarkStart w:id="797" w:name="_Toc235864006"/>
      <w:bookmarkStart w:id="798" w:name="_Toc235933481"/>
      <w:bookmarkStart w:id="799" w:name="_Toc237164469"/>
      <w:bookmarkStart w:id="800" w:name="_Toc237244353"/>
      <w:bookmarkStart w:id="801" w:name="_Toc237245677"/>
      <w:bookmarkStart w:id="802" w:name="_Toc237245808"/>
      <w:bookmarkStart w:id="803" w:name="_Toc237247950"/>
      <w:bookmarkStart w:id="804" w:name="_Toc237254265"/>
      <w:bookmarkStart w:id="805" w:name="_Toc237309684"/>
      <w:bookmarkStart w:id="806" w:name="_Toc265743693"/>
      <w:bookmarkStart w:id="807" w:name="_Toc297540811"/>
      <w:bookmarkStart w:id="808" w:name="_Toc297541239"/>
      <w:bookmarkStart w:id="809" w:name="_Toc328403465"/>
      <w:bookmarkStart w:id="810" w:name="_Toc328471515"/>
      <w:r>
        <w:t>Notes</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nSubsection"/>
        <w:rPr>
          <w:snapToGrid w:val="0"/>
        </w:rPr>
      </w:pPr>
      <w:r>
        <w:rPr>
          <w:snapToGrid w:val="0"/>
          <w:vertAlign w:val="superscript"/>
        </w:rPr>
        <w:t>1</w:t>
      </w:r>
      <w:r>
        <w:rPr>
          <w:snapToGrid w:val="0"/>
        </w:rPr>
        <w:tab/>
        <w:t xml:space="preserve">This is a compilation of the </w:t>
      </w:r>
      <w:r>
        <w:rPr>
          <w:i/>
          <w:noProof/>
          <w:snapToGrid w:val="0"/>
        </w:rPr>
        <w:t>Water Agencies (Charges) By-laws 1987</w:t>
      </w:r>
      <w:r>
        <w:rPr>
          <w:snapToGrid w:val="0"/>
        </w:rPr>
        <w:t xml:space="preserve"> and includes the amendments made by the other written laws referred to in the following table.  The table also contains information about any reprint.</w:t>
      </w:r>
    </w:p>
    <w:p>
      <w:pPr>
        <w:pStyle w:val="nHeading3"/>
        <w:outlineLvl w:val="0"/>
      </w:pPr>
      <w:bookmarkStart w:id="811" w:name="_Toc180204917"/>
      <w:bookmarkStart w:id="812" w:name="_Toc328471516"/>
      <w:r>
        <w:t>Compilation table</w:t>
      </w:r>
      <w:bookmarkEnd w:id="811"/>
      <w:bookmarkEnd w:id="81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vertAlign w:val="superscript"/>
              </w:rPr>
            </w:pPr>
            <w:r>
              <w:rPr>
                <w:i/>
                <w:sz w:val="19"/>
              </w:rPr>
              <w:t>Water Authority (Charges) By</w:t>
            </w:r>
            <w:r>
              <w:rPr>
                <w:i/>
                <w:sz w:val="19"/>
              </w:rPr>
              <w:noBreakHyphen/>
              <w:t>laws 1987</w:t>
            </w:r>
            <w:r>
              <w:rPr>
                <w:sz w:val="19"/>
                <w:vertAlign w:val="superscript"/>
              </w:rPr>
              <w:t> 12</w:t>
            </w:r>
          </w:p>
        </w:tc>
        <w:tc>
          <w:tcPr>
            <w:tcW w:w="1276" w:type="dxa"/>
            <w:tcBorders>
              <w:top w:val="single" w:sz="8" w:space="0" w:color="auto"/>
            </w:tcBorders>
          </w:tcPr>
          <w:p>
            <w:pPr>
              <w:pStyle w:val="nTable"/>
              <w:spacing w:after="40"/>
              <w:rPr>
                <w:sz w:val="19"/>
              </w:rPr>
            </w:pPr>
            <w:r>
              <w:rPr>
                <w:sz w:val="19"/>
              </w:rPr>
              <w:t>14 Jul 1987 p. 2658</w:t>
            </w:r>
            <w:r>
              <w:rPr>
                <w:sz w:val="19"/>
              </w:rPr>
              <w:noBreakHyphen/>
              <w:t>72</w:t>
            </w:r>
            <w:r>
              <w:rPr>
                <w:sz w:val="19"/>
              </w:rPr>
              <w:br/>
              <w:t>(errata 24 Jul 1987 p. 2841)</w:t>
            </w:r>
          </w:p>
        </w:tc>
        <w:tc>
          <w:tcPr>
            <w:tcW w:w="2693" w:type="dxa"/>
            <w:tcBorders>
              <w:top w:val="single" w:sz="8" w:space="0" w:color="auto"/>
            </w:tcBorders>
          </w:tcPr>
          <w:p>
            <w:pPr>
              <w:pStyle w:val="nTable"/>
              <w:spacing w:after="40"/>
              <w:rPr>
                <w:sz w:val="19"/>
              </w:rPr>
            </w:pPr>
            <w:r>
              <w:rPr>
                <w:sz w:val="19"/>
              </w:rPr>
              <w:t>14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1987</w:t>
            </w:r>
          </w:p>
        </w:tc>
        <w:tc>
          <w:tcPr>
            <w:tcW w:w="1276" w:type="dxa"/>
          </w:tcPr>
          <w:p>
            <w:pPr>
              <w:pStyle w:val="nTable"/>
              <w:spacing w:after="40"/>
              <w:rPr>
                <w:sz w:val="19"/>
              </w:rPr>
            </w:pPr>
            <w:r>
              <w:rPr>
                <w:sz w:val="19"/>
              </w:rPr>
              <w:t>31 Jul 1987 p. 2884</w:t>
            </w:r>
          </w:p>
        </w:tc>
        <w:tc>
          <w:tcPr>
            <w:tcW w:w="2693" w:type="dxa"/>
          </w:tcPr>
          <w:p>
            <w:pPr>
              <w:pStyle w:val="nTable"/>
              <w:spacing w:after="40"/>
              <w:rPr>
                <w:sz w:val="19"/>
              </w:rPr>
            </w:pPr>
            <w:r>
              <w:rPr>
                <w:sz w:val="19"/>
              </w:rPr>
              <w:t>31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1988</w:t>
            </w:r>
          </w:p>
        </w:tc>
        <w:tc>
          <w:tcPr>
            <w:tcW w:w="1276" w:type="dxa"/>
          </w:tcPr>
          <w:p>
            <w:pPr>
              <w:pStyle w:val="nTable"/>
              <w:spacing w:after="40"/>
              <w:rPr>
                <w:sz w:val="19"/>
              </w:rPr>
            </w:pPr>
            <w:r>
              <w:rPr>
                <w:sz w:val="19"/>
              </w:rPr>
              <w:t>29 Jun 1988 p. 2112</w:t>
            </w:r>
            <w:r>
              <w:rPr>
                <w:sz w:val="19"/>
              </w:rPr>
              <w:noBreakHyphen/>
              <w:t>22</w:t>
            </w:r>
          </w:p>
        </w:tc>
        <w:tc>
          <w:tcPr>
            <w:tcW w:w="2693" w:type="dxa"/>
          </w:tcPr>
          <w:p>
            <w:pPr>
              <w:pStyle w:val="nTable"/>
              <w:spacing w:after="40"/>
              <w:rPr>
                <w:sz w:val="19"/>
              </w:rPr>
            </w:pPr>
            <w:r>
              <w:rPr>
                <w:sz w:val="19"/>
              </w:rPr>
              <w:t>29 Jun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1988</w:t>
            </w:r>
          </w:p>
        </w:tc>
        <w:tc>
          <w:tcPr>
            <w:tcW w:w="1276" w:type="dxa"/>
          </w:tcPr>
          <w:p>
            <w:pPr>
              <w:pStyle w:val="nTable"/>
              <w:spacing w:after="40"/>
              <w:rPr>
                <w:sz w:val="19"/>
              </w:rPr>
            </w:pPr>
            <w:r>
              <w:rPr>
                <w:sz w:val="19"/>
              </w:rPr>
              <w:t>4 Jul 1988 p. 2178</w:t>
            </w:r>
          </w:p>
        </w:tc>
        <w:tc>
          <w:tcPr>
            <w:tcW w:w="2693" w:type="dxa"/>
          </w:tcPr>
          <w:p>
            <w:pPr>
              <w:pStyle w:val="nTable"/>
              <w:spacing w:after="40"/>
              <w:rPr>
                <w:sz w:val="19"/>
              </w:rPr>
            </w:pPr>
            <w:r>
              <w:rPr>
                <w:sz w:val="19"/>
              </w:rPr>
              <w:t>4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1988</w:t>
            </w:r>
          </w:p>
        </w:tc>
        <w:tc>
          <w:tcPr>
            <w:tcW w:w="1276" w:type="dxa"/>
          </w:tcPr>
          <w:p>
            <w:pPr>
              <w:pStyle w:val="nTable"/>
              <w:spacing w:after="40"/>
              <w:rPr>
                <w:sz w:val="19"/>
              </w:rPr>
            </w:pPr>
            <w:r>
              <w:rPr>
                <w:sz w:val="19"/>
              </w:rPr>
              <w:t>8 Jul 1988 p. 2387</w:t>
            </w:r>
          </w:p>
        </w:tc>
        <w:tc>
          <w:tcPr>
            <w:tcW w:w="2693" w:type="dxa"/>
          </w:tcPr>
          <w:p>
            <w:pPr>
              <w:pStyle w:val="nTable"/>
              <w:spacing w:after="40"/>
              <w:rPr>
                <w:sz w:val="19"/>
              </w:rPr>
            </w:pPr>
            <w:r>
              <w:rPr>
                <w:sz w:val="19"/>
              </w:rPr>
              <w:t>8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1988</w:t>
            </w:r>
          </w:p>
        </w:tc>
        <w:tc>
          <w:tcPr>
            <w:tcW w:w="1276" w:type="dxa"/>
          </w:tcPr>
          <w:p>
            <w:pPr>
              <w:pStyle w:val="nTable"/>
              <w:spacing w:after="40"/>
              <w:rPr>
                <w:sz w:val="19"/>
              </w:rPr>
            </w:pPr>
            <w:r>
              <w:rPr>
                <w:sz w:val="19"/>
              </w:rPr>
              <w:t>14 Oct 1988 p. 4174</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1988</w:t>
            </w:r>
          </w:p>
        </w:tc>
        <w:tc>
          <w:tcPr>
            <w:tcW w:w="1276" w:type="dxa"/>
          </w:tcPr>
          <w:p>
            <w:pPr>
              <w:pStyle w:val="nTable"/>
              <w:spacing w:after="40"/>
              <w:rPr>
                <w:sz w:val="19"/>
              </w:rPr>
            </w:pPr>
            <w:r>
              <w:rPr>
                <w:sz w:val="19"/>
              </w:rPr>
              <w:t>20 Jan 1989 p. 121</w:t>
            </w:r>
          </w:p>
        </w:tc>
        <w:tc>
          <w:tcPr>
            <w:tcW w:w="2693" w:type="dxa"/>
          </w:tcPr>
          <w:p>
            <w:pPr>
              <w:pStyle w:val="nTable"/>
              <w:spacing w:after="40"/>
              <w:rPr>
                <w:sz w:val="19"/>
              </w:rPr>
            </w:pPr>
            <w:r>
              <w:rPr>
                <w:sz w:val="19"/>
              </w:rPr>
              <w:t>20 Jan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1989</w:t>
            </w:r>
          </w:p>
        </w:tc>
        <w:tc>
          <w:tcPr>
            <w:tcW w:w="1276" w:type="dxa"/>
          </w:tcPr>
          <w:p>
            <w:pPr>
              <w:pStyle w:val="nTable"/>
              <w:spacing w:after="40"/>
              <w:rPr>
                <w:sz w:val="19"/>
              </w:rPr>
            </w:pPr>
            <w:r>
              <w:rPr>
                <w:sz w:val="19"/>
              </w:rPr>
              <w:t>10 Mar 1989 p. 712</w:t>
            </w:r>
          </w:p>
        </w:tc>
        <w:tc>
          <w:tcPr>
            <w:tcW w:w="2693" w:type="dxa"/>
          </w:tcPr>
          <w:p>
            <w:pPr>
              <w:pStyle w:val="nTable"/>
              <w:spacing w:after="40"/>
              <w:rPr>
                <w:sz w:val="19"/>
              </w:rPr>
            </w:pPr>
            <w:r>
              <w:rPr>
                <w:sz w:val="19"/>
              </w:rPr>
              <w:t>10 Mar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1989</w:t>
            </w:r>
          </w:p>
        </w:tc>
        <w:tc>
          <w:tcPr>
            <w:tcW w:w="1276" w:type="dxa"/>
          </w:tcPr>
          <w:p>
            <w:pPr>
              <w:pStyle w:val="nTable"/>
              <w:spacing w:after="40"/>
              <w:rPr>
                <w:sz w:val="19"/>
              </w:rPr>
            </w:pPr>
            <w:r>
              <w:rPr>
                <w:sz w:val="19"/>
              </w:rPr>
              <w:t>23 Jun 1989 p. 1824</w:t>
            </w:r>
          </w:p>
        </w:tc>
        <w:tc>
          <w:tcPr>
            <w:tcW w:w="2693" w:type="dxa"/>
          </w:tcPr>
          <w:p>
            <w:pPr>
              <w:pStyle w:val="nTable"/>
              <w:spacing w:after="40"/>
              <w:rPr>
                <w:sz w:val="19"/>
              </w:rPr>
            </w:pPr>
            <w:r>
              <w:rPr>
                <w:sz w:val="19"/>
              </w:rPr>
              <w:t>23 Jun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3) 1989</w:t>
            </w:r>
            <w:r>
              <w:rPr>
                <w:sz w:val="19"/>
                <w:vertAlign w:val="superscript"/>
              </w:rPr>
              <w:t> 13</w:t>
            </w:r>
          </w:p>
        </w:tc>
        <w:tc>
          <w:tcPr>
            <w:tcW w:w="1276" w:type="dxa"/>
          </w:tcPr>
          <w:p>
            <w:pPr>
              <w:pStyle w:val="nTable"/>
              <w:spacing w:after="40"/>
              <w:rPr>
                <w:sz w:val="19"/>
              </w:rPr>
            </w:pPr>
            <w:r>
              <w:rPr>
                <w:sz w:val="19"/>
              </w:rPr>
              <w:t>29 Jun 1989 p. 1870</w:t>
            </w:r>
            <w:r>
              <w:rPr>
                <w:sz w:val="19"/>
              </w:rPr>
              <w:noBreakHyphen/>
              <w:t>82</w:t>
            </w:r>
            <w:r>
              <w:rPr>
                <w:sz w:val="19"/>
              </w:rPr>
              <w:br/>
              <w:t>(errata 7 Jul 1989 p. 2075)</w:t>
            </w:r>
          </w:p>
        </w:tc>
        <w:tc>
          <w:tcPr>
            <w:tcW w:w="2693" w:type="dxa"/>
          </w:tcPr>
          <w:p>
            <w:pPr>
              <w:pStyle w:val="nTable"/>
              <w:spacing w:after="40"/>
              <w:rPr>
                <w:sz w:val="19"/>
              </w:rPr>
            </w:pPr>
            <w:r>
              <w:rPr>
                <w:sz w:val="19"/>
              </w:rPr>
              <w:t>29 Jun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1989</w:t>
            </w:r>
          </w:p>
        </w:tc>
        <w:tc>
          <w:tcPr>
            <w:tcW w:w="1276" w:type="dxa"/>
          </w:tcPr>
          <w:p>
            <w:pPr>
              <w:pStyle w:val="nTable"/>
              <w:spacing w:after="40"/>
              <w:rPr>
                <w:sz w:val="19"/>
              </w:rPr>
            </w:pPr>
            <w:r>
              <w:rPr>
                <w:sz w:val="19"/>
              </w:rPr>
              <w:t>7 Jul 1989 p. 2077</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1989</w:t>
            </w:r>
          </w:p>
        </w:tc>
        <w:tc>
          <w:tcPr>
            <w:tcW w:w="1276" w:type="dxa"/>
          </w:tcPr>
          <w:p>
            <w:pPr>
              <w:pStyle w:val="nTable"/>
              <w:spacing w:after="40"/>
              <w:rPr>
                <w:sz w:val="19"/>
              </w:rPr>
            </w:pPr>
            <w:r>
              <w:rPr>
                <w:sz w:val="19"/>
              </w:rPr>
              <w:t>7 Jul 1989 p. 2078</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1989</w:t>
            </w:r>
          </w:p>
        </w:tc>
        <w:tc>
          <w:tcPr>
            <w:tcW w:w="1276" w:type="dxa"/>
          </w:tcPr>
          <w:p>
            <w:pPr>
              <w:pStyle w:val="nTable"/>
              <w:spacing w:after="40"/>
              <w:rPr>
                <w:sz w:val="19"/>
              </w:rPr>
            </w:pPr>
            <w:r>
              <w:rPr>
                <w:sz w:val="19"/>
              </w:rPr>
              <w:t>27 Oct 1989 p. 3898</w:t>
            </w:r>
            <w:r>
              <w:rPr>
                <w:sz w:val="19"/>
              </w:rPr>
              <w:noBreakHyphen/>
              <w:t>9</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1989</w:t>
            </w:r>
          </w:p>
        </w:tc>
        <w:tc>
          <w:tcPr>
            <w:tcW w:w="1276" w:type="dxa"/>
          </w:tcPr>
          <w:p>
            <w:pPr>
              <w:pStyle w:val="nTable"/>
              <w:spacing w:after="40"/>
              <w:rPr>
                <w:sz w:val="19"/>
              </w:rPr>
            </w:pPr>
            <w:r>
              <w:rPr>
                <w:sz w:val="19"/>
              </w:rPr>
              <w:t>17 Nov 1989 p. 4117</w:t>
            </w:r>
          </w:p>
        </w:tc>
        <w:tc>
          <w:tcPr>
            <w:tcW w:w="2693" w:type="dxa"/>
          </w:tcPr>
          <w:p>
            <w:pPr>
              <w:pStyle w:val="nTable"/>
              <w:spacing w:after="40"/>
              <w:rPr>
                <w:sz w:val="19"/>
              </w:rPr>
            </w:pPr>
            <w:r>
              <w:rPr>
                <w:sz w:val="19"/>
              </w:rPr>
              <w:t>17 Nov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1990</w:t>
            </w:r>
            <w:r>
              <w:rPr>
                <w:sz w:val="19"/>
                <w:vertAlign w:val="superscript"/>
              </w:rPr>
              <w:t> 14</w:t>
            </w:r>
          </w:p>
        </w:tc>
        <w:tc>
          <w:tcPr>
            <w:tcW w:w="1276" w:type="dxa"/>
          </w:tcPr>
          <w:p>
            <w:pPr>
              <w:pStyle w:val="nTable"/>
              <w:spacing w:after="40"/>
              <w:rPr>
                <w:sz w:val="19"/>
              </w:rPr>
            </w:pPr>
            <w:r>
              <w:rPr>
                <w:sz w:val="19"/>
              </w:rPr>
              <w:t>29 Jun 1990 p. 3226</w:t>
            </w:r>
            <w:r>
              <w:rPr>
                <w:sz w:val="19"/>
              </w:rPr>
              <w:noBreakHyphen/>
              <w:t>40</w:t>
            </w:r>
            <w:r>
              <w:rPr>
                <w:sz w:val="19"/>
              </w:rPr>
              <w:br/>
              <w:t>(errata 6 Jul 1990 p. 3317)</w:t>
            </w:r>
          </w:p>
        </w:tc>
        <w:tc>
          <w:tcPr>
            <w:tcW w:w="2693" w:type="dxa"/>
          </w:tcPr>
          <w:p>
            <w:pPr>
              <w:pStyle w:val="nTable"/>
              <w:spacing w:after="40"/>
              <w:rPr>
                <w:sz w:val="19"/>
              </w:rPr>
            </w:pPr>
            <w:r>
              <w:rPr>
                <w:sz w:val="19"/>
              </w:rPr>
              <w:t>29 Jun 1990</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1991</w:t>
            </w:r>
            <w:r>
              <w:rPr>
                <w:i/>
                <w:sz w:val="19"/>
                <w:vertAlign w:val="superscript"/>
              </w:rPr>
              <w:t> </w:t>
            </w:r>
            <w:r>
              <w:rPr>
                <w:sz w:val="19"/>
                <w:vertAlign w:val="superscript"/>
              </w:rPr>
              <w:t>15</w:t>
            </w:r>
          </w:p>
        </w:tc>
        <w:tc>
          <w:tcPr>
            <w:tcW w:w="1276" w:type="dxa"/>
          </w:tcPr>
          <w:p>
            <w:pPr>
              <w:pStyle w:val="nTable"/>
              <w:spacing w:after="40"/>
              <w:rPr>
                <w:sz w:val="19"/>
              </w:rPr>
            </w:pPr>
            <w:r>
              <w:rPr>
                <w:sz w:val="19"/>
              </w:rPr>
              <w:t>28 Jun 1991 p. 3267</w:t>
            </w:r>
            <w:r>
              <w:rPr>
                <w:sz w:val="19"/>
              </w:rPr>
              <w:noBreakHyphen/>
              <w:t>80</w:t>
            </w:r>
            <w:r>
              <w:rPr>
                <w:sz w:val="19"/>
              </w:rPr>
              <w:br/>
              <w:t>(errata 5 Jul 1991 p. 3379)</w:t>
            </w:r>
          </w:p>
        </w:tc>
        <w:tc>
          <w:tcPr>
            <w:tcW w:w="2693" w:type="dxa"/>
          </w:tcPr>
          <w:p>
            <w:pPr>
              <w:pStyle w:val="nTable"/>
              <w:spacing w:after="40"/>
              <w:rPr>
                <w:sz w:val="19"/>
              </w:rPr>
            </w:pPr>
            <w:r>
              <w:rPr>
                <w:sz w:val="19"/>
              </w:rPr>
              <w:t>28 Jun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1991</w:t>
            </w:r>
          </w:p>
        </w:tc>
        <w:tc>
          <w:tcPr>
            <w:tcW w:w="1276" w:type="dxa"/>
          </w:tcPr>
          <w:p>
            <w:pPr>
              <w:pStyle w:val="nTable"/>
              <w:spacing w:after="40"/>
              <w:rPr>
                <w:sz w:val="19"/>
              </w:rPr>
            </w:pPr>
            <w:r>
              <w:rPr>
                <w:sz w:val="19"/>
              </w:rPr>
              <w:t>20 Sep 1991 p. 4952</w:t>
            </w:r>
            <w:r>
              <w:rPr>
                <w:sz w:val="19"/>
              </w:rPr>
              <w:noBreakHyphen/>
              <w:t>3</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1991</w:t>
            </w:r>
          </w:p>
        </w:tc>
        <w:tc>
          <w:tcPr>
            <w:tcW w:w="1276" w:type="dxa"/>
          </w:tcPr>
          <w:p>
            <w:pPr>
              <w:pStyle w:val="nTable"/>
              <w:spacing w:after="40"/>
              <w:rPr>
                <w:sz w:val="19"/>
              </w:rPr>
            </w:pPr>
            <w:r>
              <w:rPr>
                <w:sz w:val="19"/>
              </w:rPr>
              <w:t>20 Sep 1991 p. 4954</w:t>
            </w:r>
            <w:r>
              <w:rPr>
                <w:sz w:val="19"/>
              </w:rPr>
              <w:noBreakHyphen/>
              <w:t>5</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1992</w:t>
            </w:r>
            <w:r>
              <w:rPr>
                <w:i/>
                <w:sz w:val="19"/>
                <w:vertAlign w:val="superscript"/>
              </w:rPr>
              <w:t> </w:t>
            </w:r>
            <w:r>
              <w:rPr>
                <w:sz w:val="19"/>
                <w:vertAlign w:val="superscript"/>
              </w:rPr>
              <w:t>16</w:t>
            </w:r>
          </w:p>
        </w:tc>
        <w:tc>
          <w:tcPr>
            <w:tcW w:w="1276" w:type="dxa"/>
          </w:tcPr>
          <w:p>
            <w:pPr>
              <w:pStyle w:val="nTable"/>
              <w:spacing w:after="40"/>
              <w:rPr>
                <w:sz w:val="19"/>
              </w:rPr>
            </w:pPr>
            <w:r>
              <w:rPr>
                <w:sz w:val="19"/>
              </w:rPr>
              <w:t>28 Feb 1992 p. 1024</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1992</w:t>
            </w:r>
          </w:p>
        </w:tc>
        <w:tc>
          <w:tcPr>
            <w:tcW w:w="1276" w:type="dxa"/>
          </w:tcPr>
          <w:p>
            <w:pPr>
              <w:pStyle w:val="nTable"/>
              <w:spacing w:after="40"/>
              <w:rPr>
                <w:sz w:val="19"/>
              </w:rPr>
            </w:pPr>
            <w:r>
              <w:rPr>
                <w:sz w:val="19"/>
              </w:rPr>
              <w:t>28 Feb 1992 p. 1025</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1992</w:t>
            </w:r>
          </w:p>
        </w:tc>
        <w:tc>
          <w:tcPr>
            <w:tcW w:w="1276" w:type="dxa"/>
          </w:tcPr>
          <w:p>
            <w:pPr>
              <w:pStyle w:val="nTable"/>
              <w:spacing w:after="40"/>
              <w:rPr>
                <w:sz w:val="19"/>
              </w:rPr>
            </w:pPr>
            <w:r>
              <w:rPr>
                <w:sz w:val="19"/>
              </w:rPr>
              <w:t>1 May 1992 p. 1864</w:t>
            </w:r>
          </w:p>
        </w:tc>
        <w:tc>
          <w:tcPr>
            <w:tcW w:w="2693" w:type="dxa"/>
          </w:tcPr>
          <w:p>
            <w:pPr>
              <w:pStyle w:val="nTable"/>
              <w:spacing w:after="40"/>
              <w:rPr>
                <w:sz w:val="19"/>
              </w:rPr>
            </w:pPr>
            <w:r>
              <w:rPr>
                <w:sz w:val="19"/>
              </w:rPr>
              <w:t>1 May 1992</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4) 1992</w:t>
            </w:r>
            <w:r>
              <w:rPr>
                <w:sz w:val="19"/>
                <w:vertAlign w:val="superscript"/>
              </w:rPr>
              <w:t> 17</w:t>
            </w:r>
          </w:p>
        </w:tc>
        <w:tc>
          <w:tcPr>
            <w:tcW w:w="1276" w:type="dxa"/>
          </w:tcPr>
          <w:p>
            <w:pPr>
              <w:pStyle w:val="nTable"/>
              <w:spacing w:after="40"/>
              <w:rPr>
                <w:sz w:val="19"/>
              </w:rPr>
            </w:pPr>
            <w:r>
              <w:rPr>
                <w:sz w:val="19"/>
              </w:rPr>
              <w:t>1 May 1992 p. 1865</w:t>
            </w:r>
          </w:p>
        </w:tc>
        <w:tc>
          <w:tcPr>
            <w:tcW w:w="2693" w:type="dxa"/>
          </w:tcPr>
          <w:p>
            <w:pPr>
              <w:pStyle w:val="nTable"/>
              <w:spacing w:after="40"/>
              <w:rPr>
                <w:sz w:val="19"/>
              </w:rPr>
            </w:pPr>
            <w:r>
              <w:rPr>
                <w:sz w:val="19"/>
              </w:rPr>
              <w:t>1 May 1992</w:t>
            </w:r>
          </w:p>
        </w:tc>
      </w:tr>
      <w:tr>
        <w:trPr>
          <w:cantSplit/>
        </w:trPr>
        <w:tc>
          <w:tcPr>
            <w:tcW w:w="3118" w:type="dxa"/>
          </w:tcPr>
          <w:p>
            <w:pPr>
              <w:pStyle w:val="nTable"/>
              <w:keepNext/>
              <w:keepLines/>
              <w:spacing w:after="40"/>
              <w:ind w:right="113"/>
              <w:rPr>
                <w:sz w:val="19"/>
              </w:rPr>
            </w:pPr>
            <w:r>
              <w:rPr>
                <w:i/>
                <w:sz w:val="19"/>
              </w:rPr>
              <w:t>Water Authority (Charges) Amendment By</w:t>
            </w:r>
            <w:r>
              <w:rPr>
                <w:i/>
                <w:sz w:val="19"/>
              </w:rPr>
              <w:noBreakHyphen/>
              <w:t>laws (No. 5) 1992</w:t>
            </w:r>
          </w:p>
        </w:tc>
        <w:tc>
          <w:tcPr>
            <w:tcW w:w="1276" w:type="dxa"/>
          </w:tcPr>
          <w:p>
            <w:pPr>
              <w:pStyle w:val="nTable"/>
              <w:keepNext/>
              <w:keepLines/>
              <w:spacing w:after="40"/>
              <w:rPr>
                <w:sz w:val="19"/>
              </w:rPr>
            </w:pPr>
            <w:r>
              <w:rPr>
                <w:sz w:val="19"/>
              </w:rPr>
              <w:t>26 Jun 1992 p. 2812</w:t>
            </w:r>
            <w:r>
              <w:rPr>
                <w:sz w:val="19"/>
              </w:rPr>
              <w:noBreakHyphen/>
              <w:t>31</w:t>
            </w:r>
          </w:p>
        </w:tc>
        <w:tc>
          <w:tcPr>
            <w:tcW w:w="2693" w:type="dxa"/>
          </w:tcPr>
          <w:p>
            <w:pPr>
              <w:pStyle w:val="nTable"/>
              <w:keepNext/>
              <w:keepLines/>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1992</w:t>
            </w:r>
          </w:p>
        </w:tc>
        <w:tc>
          <w:tcPr>
            <w:tcW w:w="1276" w:type="dxa"/>
          </w:tcPr>
          <w:p>
            <w:pPr>
              <w:pStyle w:val="nTable"/>
              <w:spacing w:after="40"/>
              <w:rPr>
                <w:sz w:val="19"/>
              </w:rPr>
            </w:pPr>
            <w:r>
              <w:rPr>
                <w:sz w:val="19"/>
              </w:rPr>
              <w:t>26 Jun 1992 p. 2831</w:t>
            </w:r>
            <w:r>
              <w:rPr>
                <w:sz w:val="19"/>
              </w:rPr>
              <w:noBreakHyphen/>
              <w:t>2</w:t>
            </w:r>
          </w:p>
        </w:tc>
        <w:tc>
          <w:tcPr>
            <w:tcW w:w="2693" w:type="dxa"/>
          </w:tcPr>
          <w:p>
            <w:pPr>
              <w:pStyle w:val="nTable"/>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1992</w:t>
            </w:r>
          </w:p>
        </w:tc>
        <w:tc>
          <w:tcPr>
            <w:tcW w:w="1276" w:type="dxa"/>
          </w:tcPr>
          <w:p>
            <w:pPr>
              <w:pStyle w:val="nTable"/>
              <w:spacing w:after="40"/>
              <w:rPr>
                <w:sz w:val="19"/>
              </w:rPr>
            </w:pPr>
            <w:r>
              <w:rPr>
                <w:sz w:val="19"/>
              </w:rPr>
              <w:t>6 Jul 1992 p. 3079</w:t>
            </w:r>
          </w:p>
        </w:tc>
        <w:tc>
          <w:tcPr>
            <w:tcW w:w="2693" w:type="dxa"/>
          </w:tcPr>
          <w:p>
            <w:pPr>
              <w:pStyle w:val="nTable"/>
              <w:spacing w:after="40"/>
              <w:rPr>
                <w:sz w:val="19"/>
              </w:rPr>
            </w:pPr>
            <w:r>
              <w:rPr>
                <w:sz w:val="19"/>
              </w:rPr>
              <w:t>6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1992</w:t>
            </w:r>
          </w:p>
        </w:tc>
        <w:tc>
          <w:tcPr>
            <w:tcW w:w="1276" w:type="dxa"/>
          </w:tcPr>
          <w:p>
            <w:pPr>
              <w:pStyle w:val="nTable"/>
              <w:spacing w:after="40"/>
              <w:rPr>
                <w:sz w:val="19"/>
              </w:rPr>
            </w:pPr>
            <w:r>
              <w:rPr>
                <w:sz w:val="19"/>
              </w:rPr>
              <w:t>24 Jul 1992 p. 3660</w:t>
            </w:r>
            <w:r>
              <w:rPr>
                <w:sz w:val="19"/>
              </w:rPr>
              <w:noBreakHyphen/>
              <w:t>1</w:t>
            </w:r>
          </w:p>
        </w:tc>
        <w:tc>
          <w:tcPr>
            <w:tcW w:w="2693" w:type="dxa"/>
          </w:tcPr>
          <w:p>
            <w:pPr>
              <w:pStyle w:val="nTable"/>
              <w:spacing w:after="40"/>
              <w:rPr>
                <w:sz w:val="19"/>
              </w:rPr>
            </w:pPr>
            <w:r>
              <w:rPr>
                <w:sz w:val="19"/>
              </w:rPr>
              <w:t>24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1992</w:t>
            </w:r>
          </w:p>
        </w:tc>
        <w:tc>
          <w:tcPr>
            <w:tcW w:w="1276" w:type="dxa"/>
          </w:tcPr>
          <w:p>
            <w:pPr>
              <w:pStyle w:val="nTable"/>
              <w:spacing w:after="40"/>
              <w:rPr>
                <w:sz w:val="19"/>
              </w:rPr>
            </w:pPr>
            <w:r>
              <w:rPr>
                <w:sz w:val="19"/>
              </w:rPr>
              <w:t>31 Dec 1992 p. 6412</w:t>
            </w:r>
            <w:r>
              <w:rPr>
                <w:sz w:val="19"/>
              </w:rPr>
              <w:noBreakHyphen/>
              <w:t>13</w:t>
            </w:r>
          </w:p>
        </w:tc>
        <w:tc>
          <w:tcPr>
            <w:tcW w:w="2693" w:type="dxa"/>
          </w:tcPr>
          <w:p>
            <w:pPr>
              <w:pStyle w:val="nTable"/>
              <w:spacing w:after="40"/>
              <w:rPr>
                <w:sz w:val="19"/>
              </w:rPr>
            </w:pPr>
            <w:r>
              <w:rPr>
                <w:sz w:val="19"/>
              </w:rPr>
              <w:t>31 Dec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1993</w:t>
            </w:r>
          </w:p>
        </w:tc>
        <w:tc>
          <w:tcPr>
            <w:tcW w:w="1276" w:type="dxa"/>
          </w:tcPr>
          <w:p>
            <w:pPr>
              <w:pStyle w:val="nTable"/>
              <w:spacing w:after="40"/>
              <w:rPr>
                <w:sz w:val="19"/>
              </w:rPr>
            </w:pPr>
            <w:r>
              <w:rPr>
                <w:sz w:val="19"/>
              </w:rPr>
              <w:t>1 Jul 1993 p. 3214</w:t>
            </w:r>
            <w:r>
              <w:rPr>
                <w:sz w:val="19"/>
              </w:rPr>
              <w:noBreakHyphen/>
              <w:t>36</w:t>
            </w:r>
          </w:p>
        </w:tc>
        <w:tc>
          <w:tcPr>
            <w:tcW w:w="2693" w:type="dxa"/>
          </w:tcPr>
          <w:p>
            <w:pPr>
              <w:pStyle w:val="nTable"/>
              <w:spacing w:after="40"/>
              <w:rPr>
                <w:sz w:val="19"/>
              </w:rPr>
            </w:pPr>
            <w:r>
              <w:rPr>
                <w:sz w:val="19"/>
              </w:rPr>
              <w:t>1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1993</w:t>
            </w:r>
          </w:p>
        </w:tc>
        <w:tc>
          <w:tcPr>
            <w:tcW w:w="1276" w:type="dxa"/>
          </w:tcPr>
          <w:p>
            <w:pPr>
              <w:pStyle w:val="nTable"/>
              <w:spacing w:after="40"/>
              <w:rPr>
                <w:sz w:val="19"/>
              </w:rPr>
            </w:pPr>
            <w:r>
              <w:rPr>
                <w:sz w:val="19"/>
              </w:rPr>
              <w:t>1 Jul 1993 p. 3236</w:t>
            </w:r>
            <w:r>
              <w:rPr>
                <w:sz w:val="19"/>
              </w:rPr>
              <w:noBreakHyphen/>
              <w:t>7</w:t>
            </w:r>
          </w:p>
        </w:tc>
        <w:tc>
          <w:tcPr>
            <w:tcW w:w="2693" w:type="dxa"/>
          </w:tcPr>
          <w:p>
            <w:pPr>
              <w:pStyle w:val="nTable"/>
              <w:spacing w:after="40"/>
              <w:rPr>
                <w:sz w:val="19"/>
              </w:rPr>
            </w:pPr>
            <w:r>
              <w:rPr>
                <w:sz w:val="19"/>
              </w:rPr>
              <w:t>1 Jul 1993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1993</w:t>
            </w:r>
          </w:p>
        </w:tc>
        <w:tc>
          <w:tcPr>
            <w:tcW w:w="1276" w:type="dxa"/>
          </w:tcPr>
          <w:p>
            <w:pPr>
              <w:pStyle w:val="nTable"/>
              <w:spacing w:after="40"/>
              <w:rPr>
                <w:sz w:val="19"/>
              </w:rPr>
            </w:pPr>
            <w:r>
              <w:rPr>
                <w:sz w:val="19"/>
              </w:rPr>
              <w:t>27 Jul 1993 p. 4096</w:t>
            </w:r>
            <w:r>
              <w:rPr>
                <w:sz w:val="19"/>
              </w:rPr>
              <w:noBreakHyphen/>
              <w:t>7</w:t>
            </w:r>
          </w:p>
        </w:tc>
        <w:tc>
          <w:tcPr>
            <w:tcW w:w="2693" w:type="dxa"/>
          </w:tcPr>
          <w:p>
            <w:pPr>
              <w:pStyle w:val="nTable"/>
              <w:spacing w:after="40"/>
              <w:rPr>
                <w:sz w:val="19"/>
              </w:rPr>
            </w:pPr>
            <w:r>
              <w:rPr>
                <w:sz w:val="19"/>
              </w:rPr>
              <w:t>27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1993</w:t>
            </w:r>
          </w:p>
        </w:tc>
        <w:tc>
          <w:tcPr>
            <w:tcW w:w="1276" w:type="dxa"/>
          </w:tcPr>
          <w:p>
            <w:pPr>
              <w:pStyle w:val="nTable"/>
              <w:spacing w:after="40"/>
              <w:rPr>
                <w:sz w:val="19"/>
              </w:rPr>
            </w:pPr>
            <w:r>
              <w:rPr>
                <w:sz w:val="19"/>
              </w:rPr>
              <w:t>28 Sep 1993 p. 5328</w:t>
            </w:r>
          </w:p>
        </w:tc>
        <w:tc>
          <w:tcPr>
            <w:tcW w:w="2693" w:type="dxa"/>
          </w:tcPr>
          <w:p>
            <w:pPr>
              <w:pStyle w:val="nTable"/>
              <w:spacing w:after="40"/>
              <w:rPr>
                <w:sz w:val="19"/>
              </w:rPr>
            </w:pPr>
            <w:r>
              <w:rPr>
                <w:sz w:val="19"/>
              </w:rPr>
              <w:t>28 Sep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1994</w:t>
            </w:r>
          </w:p>
        </w:tc>
        <w:tc>
          <w:tcPr>
            <w:tcW w:w="1276" w:type="dxa"/>
          </w:tcPr>
          <w:p>
            <w:pPr>
              <w:pStyle w:val="nTable"/>
              <w:spacing w:after="40"/>
              <w:rPr>
                <w:sz w:val="19"/>
              </w:rPr>
            </w:pPr>
            <w:r>
              <w:rPr>
                <w:sz w:val="19"/>
              </w:rPr>
              <w:t>4 Mar 1994 p. 900</w:t>
            </w:r>
            <w:r>
              <w:rPr>
                <w:sz w:val="19"/>
              </w:rPr>
              <w:noBreakHyphen/>
              <w:t>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1994</w:t>
            </w:r>
          </w:p>
        </w:tc>
        <w:tc>
          <w:tcPr>
            <w:tcW w:w="1276" w:type="dxa"/>
          </w:tcPr>
          <w:p>
            <w:pPr>
              <w:pStyle w:val="nTable"/>
              <w:spacing w:after="40"/>
              <w:rPr>
                <w:sz w:val="19"/>
              </w:rPr>
            </w:pPr>
            <w:r>
              <w:rPr>
                <w:sz w:val="19"/>
              </w:rPr>
              <w:t>4 Mar 1994 p. 901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1994</w:t>
            </w:r>
          </w:p>
        </w:tc>
        <w:tc>
          <w:tcPr>
            <w:tcW w:w="1276" w:type="dxa"/>
          </w:tcPr>
          <w:p>
            <w:pPr>
              <w:pStyle w:val="nTable"/>
              <w:spacing w:after="40"/>
              <w:rPr>
                <w:sz w:val="19"/>
              </w:rPr>
            </w:pPr>
            <w:r>
              <w:rPr>
                <w:sz w:val="19"/>
              </w:rPr>
              <w:t>4 Mar 1994 p. 902</w:t>
            </w:r>
            <w:r>
              <w:rPr>
                <w:sz w:val="19"/>
              </w:rPr>
              <w:noBreakHyphen/>
              <w:t>3</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1994</w:t>
            </w:r>
          </w:p>
        </w:tc>
        <w:tc>
          <w:tcPr>
            <w:tcW w:w="1276" w:type="dxa"/>
          </w:tcPr>
          <w:p>
            <w:pPr>
              <w:pStyle w:val="nTable"/>
              <w:spacing w:after="40"/>
              <w:rPr>
                <w:sz w:val="19"/>
              </w:rPr>
            </w:pPr>
            <w:r>
              <w:rPr>
                <w:sz w:val="19"/>
              </w:rPr>
              <w:t>4 Mar 1994 p. 904</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1994</w:t>
            </w:r>
          </w:p>
        </w:tc>
        <w:tc>
          <w:tcPr>
            <w:tcW w:w="1276" w:type="dxa"/>
          </w:tcPr>
          <w:p>
            <w:pPr>
              <w:pStyle w:val="nTable"/>
              <w:spacing w:after="40"/>
              <w:rPr>
                <w:sz w:val="19"/>
              </w:rPr>
            </w:pPr>
            <w:r>
              <w:rPr>
                <w:sz w:val="19"/>
              </w:rPr>
              <w:t>6 May 1994 p. 1934</w:t>
            </w:r>
          </w:p>
        </w:tc>
        <w:tc>
          <w:tcPr>
            <w:tcW w:w="2693" w:type="dxa"/>
          </w:tcPr>
          <w:p>
            <w:pPr>
              <w:pStyle w:val="nTable"/>
              <w:spacing w:after="40"/>
              <w:rPr>
                <w:sz w:val="19"/>
              </w:rPr>
            </w:pPr>
            <w:r>
              <w:rPr>
                <w:sz w:val="19"/>
              </w:rPr>
              <w:t>6 May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1994</w:t>
            </w:r>
          </w:p>
        </w:tc>
        <w:tc>
          <w:tcPr>
            <w:tcW w:w="1276" w:type="dxa"/>
          </w:tcPr>
          <w:p>
            <w:pPr>
              <w:pStyle w:val="nTable"/>
              <w:spacing w:after="40"/>
              <w:rPr>
                <w:sz w:val="19"/>
              </w:rPr>
            </w:pPr>
            <w:r>
              <w:rPr>
                <w:sz w:val="19"/>
              </w:rPr>
              <w:t>29 Jun 1994 p. 3171</w:t>
            </w:r>
            <w:r>
              <w:rPr>
                <w:sz w:val="19"/>
              </w:rPr>
              <w:noBreakHyphen/>
              <w:t>200</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1994</w:t>
            </w:r>
          </w:p>
        </w:tc>
        <w:tc>
          <w:tcPr>
            <w:tcW w:w="1276" w:type="dxa"/>
          </w:tcPr>
          <w:p>
            <w:pPr>
              <w:pStyle w:val="nTable"/>
              <w:spacing w:after="40"/>
              <w:rPr>
                <w:sz w:val="19"/>
              </w:rPr>
            </w:pPr>
            <w:r>
              <w:rPr>
                <w:sz w:val="19"/>
              </w:rPr>
              <w:t>16 Sep 1994 p. 4806</w:t>
            </w:r>
            <w:r>
              <w:rPr>
                <w:sz w:val="19"/>
              </w:rPr>
              <w:noBreakHyphen/>
              <w:t>7</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10) 1994</w:t>
            </w:r>
          </w:p>
        </w:tc>
        <w:tc>
          <w:tcPr>
            <w:tcW w:w="1276" w:type="dxa"/>
          </w:tcPr>
          <w:p>
            <w:pPr>
              <w:pStyle w:val="nTable"/>
              <w:spacing w:after="40"/>
              <w:rPr>
                <w:sz w:val="19"/>
              </w:rPr>
            </w:pPr>
            <w:r>
              <w:rPr>
                <w:sz w:val="19"/>
              </w:rPr>
              <w:t>28 Oct 1994 p. 5556</w:t>
            </w:r>
            <w:r>
              <w:rPr>
                <w:sz w:val="19"/>
              </w:rPr>
              <w:noBreakHyphen/>
              <w:t>7</w:t>
            </w:r>
          </w:p>
        </w:tc>
        <w:tc>
          <w:tcPr>
            <w:tcW w:w="2693" w:type="dxa"/>
          </w:tcPr>
          <w:p>
            <w:pPr>
              <w:pStyle w:val="nTable"/>
              <w:spacing w:after="40"/>
              <w:rPr>
                <w:sz w:val="19"/>
              </w:rPr>
            </w:pPr>
            <w:r>
              <w:rPr>
                <w:sz w:val="19"/>
              </w:rPr>
              <w:t>28 Oct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11) 1994</w:t>
            </w:r>
          </w:p>
        </w:tc>
        <w:tc>
          <w:tcPr>
            <w:tcW w:w="1276" w:type="dxa"/>
          </w:tcPr>
          <w:p>
            <w:pPr>
              <w:pStyle w:val="nTable"/>
              <w:spacing w:after="40"/>
              <w:rPr>
                <w:sz w:val="19"/>
              </w:rPr>
            </w:pPr>
            <w:r>
              <w:rPr>
                <w:sz w:val="19"/>
              </w:rPr>
              <w:t>30 Dec 1994 p. 7351</w:t>
            </w:r>
            <w:r>
              <w:rPr>
                <w:sz w:val="19"/>
              </w:rPr>
              <w:noBreakHyphen/>
              <w:t>3</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1995</w:t>
            </w:r>
          </w:p>
        </w:tc>
        <w:tc>
          <w:tcPr>
            <w:tcW w:w="1276" w:type="dxa"/>
          </w:tcPr>
          <w:p>
            <w:pPr>
              <w:pStyle w:val="nTable"/>
              <w:spacing w:after="40"/>
              <w:rPr>
                <w:sz w:val="19"/>
              </w:rPr>
            </w:pPr>
            <w:r>
              <w:rPr>
                <w:sz w:val="19"/>
              </w:rPr>
              <w:t>2 Jun 1995 p. 2215</w:t>
            </w:r>
          </w:p>
        </w:tc>
        <w:tc>
          <w:tcPr>
            <w:tcW w:w="2693" w:type="dxa"/>
          </w:tcPr>
          <w:p>
            <w:pPr>
              <w:pStyle w:val="nTable"/>
              <w:spacing w:after="40"/>
              <w:rPr>
                <w:sz w:val="19"/>
              </w:rPr>
            </w:pPr>
            <w:r>
              <w:rPr>
                <w:sz w:val="19"/>
              </w:rPr>
              <w:t>2 Jun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1995</w:t>
            </w:r>
          </w:p>
        </w:tc>
        <w:tc>
          <w:tcPr>
            <w:tcW w:w="1276" w:type="dxa"/>
          </w:tcPr>
          <w:p>
            <w:pPr>
              <w:pStyle w:val="nTable"/>
              <w:spacing w:after="40"/>
              <w:rPr>
                <w:sz w:val="19"/>
              </w:rPr>
            </w:pPr>
            <w:r>
              <w:rPr>
                <w:sz w:val="19"/>
              </w:rPr>
              <w:t>30 Jun 1995 p. 2735</w:t>
            </w:r>
            <w:r>
              <w:rPr>
                <w:sz w:val="19"/>
              </w:rPr>
              <w:noBreakHyphen/>
              <w:t>66</w:t>
            </w:r>
          </w:p>
        </w:tc>
        <w:tc>
          <w:tcPr>
            <w:tcW w:w="2693" w:type="dxa"/>
          </w:tcPr>
          <w:p>
            <w:pPr>
              <w:pStyle w:val="nTable"/>
              <w:spacing w:after="40"/>
              <w:rPr>
                <w:sz w:val="19"/>
              </w:rPr>
            </w:pPr>
            <w:r>
              <w:rPr>
                <w:sz w:val="19"/>
              </w:rPr>
              <w:t>1 Jul 1995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1995</w:t>
            </w:r>
          </w:p>
        </w:tc>
        <w:tc>
          <w:tcPr>
            <w:tcW w:w="1276" w:type="dxa"/>
          </w:tcPr>
          <w:p>
            <w:pPr>
              <w:pStyle w:val="nTable"/>
              <w:spacing w:after="40"/>
              <w:rPr>
                <w:sz w:val="19"/>
              </w:rPr>
            </w:pPr>
            <w:r>
              <w:rPr>
                <w:sz w:val="19"/>
              </w:rPr>
              <w:t>17 Nov 1995 p. 5344</w:t>
            </w:r>
            <w:r>
              <w:rPr>
                <w:sz w:val="19"/>
              </w:rPr>
              <w:noBreakHyphen/>
              <w:t>5</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1995</w:t>
            </w:r>
          </w:p>
        </w:tc>
        <w:tc>
          <w:tcPr>
            <w:tcW w:w="1276" w:type="dxa"/>
          </w:tcPr>
          <w:p>
            <w:pPr>
              <w:pStyle w:val="nTable"/>
              <w:spacing w:after="40"/>
              <w:rPr>
                <w:sz w:val="19"/>
              </w:rPr>
            </w:pPr>
            <w:r>
              <w:rPr>
                <w:sz w:val="19"/>
              </w:rPr>
              <w:t>17 Nov 1995 p. 5345</w:t>
            </w:r>
            <w:r>
              <w:rPr>
                <w:sz w:val="19"/>
              </w:rPr>
              <w:noBreakHyphen/>
              <w:t>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1995</w:t>
            </w:r>
          </w:p>
        </w:tc>
        <w:tc>
          <w:tcPr>
            <w:tcW w:w="1276" w:type="dxa"/>
          </w:tcPr>
          <w:p>
            <w:pPr>
              <w:pStyle w:val="nTable"/>
              <w:spacing w:after="40"/>
              <w:rPr>
                <w:sz w:val="19"/>
              </w:rPr>
            </w:pPr>
            <w:r>
              <w:rPr>
                <w:sz w:val="19"/>
              </w:rPr>
              <w:t>17 Nov 1995 p. 5346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i/>
                <w:sz w:val="19"/>
              </w:rPr>
            </w:pPr>
            <w:r>
              <w:rPr>
                <w:i/>
                <w:sz w:val="19"/>
              </w:rPr>
              <w:t>Water Agencies (Amendment and Repeal) By</w:t>
            </w:r>
            <w:r>
              <w:rPr>
                <w:i/>
                <w:sz w:val="19"/>
              </w:rPr>
              <w:noBreakHyphen/>
              <w:t xml:space="preserve">laws 1995 </w:t>
            </w:r>
            <w:r>
              <w:rPr>
                <w:sz w:val="19"/>
              </w:rPr>
              <w:t>Pt. 11</w:t>
            </w:r>
          </w:p>
        </w:tc>
        <w:tc>
          <w:tcPr>
            <w:tcW w:w="1276" w:type="dxa"/>
          </w:tcPr>
          <w:p>
            <w:pPr>
              <w:pStyle w:val="nTable"/>
              <w:spacing w:after="40"/>
              <w:ind w:right="113"/>
              <w:rPr>
                <w:sz w:val="19"/>
              </w:rPr>
            </w:pPr>
            <w:r>
              <w:rPr>
                <w:sz w:val="19"/>
              </w:rPr>
              <w:t>29 Dec 1995 p. 6305-32</w:t>
            </w:r>
          </w:p>
        </w:tc>
        <w:tc>
          <w:tcPr>
            <w:tcW w:w="2693" w:type="dxa"/>
          </w:tcPr>
          <w:p>
            <w:pPr>
              <w:pStyle w:val="nTable"/>
              <w:spacing w:after="40"/>
              <w:ind w:right="113"/>
              <w:rPr>
                <w:sz w:val="19"/>
              </w:rPr>
            </w:pPr>
            <w:r>
              <w:rPr>
                <w:sz w:val="19"/>
              </w:rPr>
              <w:t xml:space="preserve">1 Jan 1996 (see bl. 2 and </w:t>
            </w:r>
            <w:r>
              <w:rPr>
                <w:i/>
                <w:sz w:val="19"/>
              </w:rPr>
              <w:t>Gazette</w:t>
            </w:r>
            <w:r>
              <w:rPr>
                <w:sz w:val="19"/>
              </w:rPr>
              <w:t xml:space="preserve"> 29 Dec 1995 p. 6291)</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1996</w:t>
            </w:r>
          </w:p>
        </w:tc>
        <w:tc>
          <w:tcPr>
            <w:tcW w:w="1276" w:type="dxa"/>
          </w:tcPr>
          <w:p>
            <w:pPr>
              <w:pStyle w:val="nTable"/>
              <w:spacing w:after="40"/>
              <w:rPr>
                <w:sz w:val="19"/>
              </w:rPr>
            </w:pPr>
            <w:r>
              <w:rPr>
                <w:sz w:val="19"/>
              </w:rPr>
              <w:t>21 May 1996 p. 2139</w:t>
            </w:r>
          </w:p>
        </w:tc>
        <w:tc>
          <w:tcPr>
            <w:tcW w:w="2693" w:type="dxa"/>
          </w:tcPr>
          <w:p>
            <w:pPr>
              <w:pStyle w:val="nTable"/>
              <w:spacing w:after="40"/>
              <w:rPr>
                <w:sz w:val="19"/>
              </w:rPr>
            </w:pPr>
            <w:r>
              <w:rPr>
                <w:sz w:val="19"/>
              </w:rPr>
              <w:t xml:space="preserve">21 May 1996 (see bl. 2 and </w:t>
            </w:r>
            <w:r>
              <w:rPr>
                <w:i/>
                <w:sz w:val="19"/>
              </w:rPr>
              <w:t>Gazette</w:t>
            </w:r>
            <w:r>
              <w:rPr>
                <w:sz w:val="19"/>
              </w:rPr>
              <w:t xml:space="preserve"> 21 May 1996 p. 2140)</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1996</w:t>
            </w:r>
          </w:p>
        </w:tc>
        <w:tc>
          <w:tcPr>
            <w:tcW w:w="1276" w:type="dxa"/>
          </w:tcPr>
          <w:p>
            <w:pPr>
              <w:pStyle w:val="nTable"/>
              <w:keepNext/>
              <w:spacing w:after="40"/>
              <w:rPr>
                <w:sz w:val="19"/>
              </w:rPr>
            </w:pPr>
            <w:r>
              <w:rPr>
                <w:sz w:val="19"/>
              </w:rPr>
              <w:t>28 Jun 1996 p. 3103</w:t>
            </w:r>
            <w:r>
              <w:rPr>
                <w:sz w:val="19"/>
              </w:rPr>
              <w:noBreakHyphen/>
              <w:t>30</w:t>
            </w:r>
            <w:r>
              <w:rPr>
                <w:sz w:val="19"/>
              </w:rPr>
              <w:br/>
              <w:t>(correction 9 Jul 1996 p. 3281)</w:t>
            </w:r>
          </w:p>
        </w:tc>
        <w:tc>
          <w:tcPr>
            <w:tcW w:w="2693" w:type="dxa"/>
          </w:tcPr>
          <w:p>
            <w:pPr>
              <w:pStyle w:val="nTable"/>
              <w:keepNext/>
              <w:spacing w:after="40"/>
              <w:rPr>
                <w:sz w:val="19"/>
              </w:rPr>
            </w:pPr>
            <w:r>
              <w:rPr>
                <w:sz w:val="19"/>
              </w:rPr>
              <w:t>1 Jul 1996 (see bl. 2)</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1996</w:t>
            </w:r>
          </w:p>
        </w:tc>
        <w:tc>
          <w:tcPr>
            <w:tcW w:w="1276" w:type="dxa"/>
          </w:tcPr>
          <w:p>
            <w:pPr>
              <w:pStyle w:val="nTable"/>
              <w:spacing w:after="40"/>
              <w:rPr>
                <w:sz w:val="19"/>
              </w:rPr>
            </w:pPr>
            <w:r>
              <w:rPr>
                <w:sz w:val="19"/>
              </w:rPr>
              <w:t>5 Jul 1996 p. 3255</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1996</w:t>
            </w:r>
          </w:p>
        </w:tc>
        <w:tc>
          <w:tcPr>
            <w:tcW w:w="1276" w:type="dxa"/>
          </w:tcPr>
          <w:p>
            <w:pPr>
              <w:pStyle w:val="nTable"/>
              <w:spacing w:after="40"/>
              <w:rPr>
                <w:sz w:val="19"/>
              </w:rPr>
            </w:pPr>
            <w:r>
              <w:rPr>
                <w:sz w:val="19"/>
              </w:rPr>
              <w:t>19 Jul 1996 p. 3489</w:t>
            </w:r>
            <w:r>
              <w:rPr>
                <w:sz w:val="19"/>
              </w:rPr>
              <w:noBreakHyphen/>
              <w:t>90</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5) 1996</w:t>
            </w:r>
          </w:p>
        </w:tc>
        <w:tc>
          <w:tcPr>
            <w:tcW w:w="1276" w:type="dxa"/>
          </w:tcPr>
          <w:p>
            <w:pPr>
              <w:pStyle w:val="nTable"/>
              <w:spacing w:after="40"/>
              <w:rPr>
                <w:sz w:val="19"/>
              </w:rPr>
            </w:pPr>
            <w:r>
              <w:rPr>
                <w:sz w:val="19"/>
              </w:rPr>
              <w:t>23 Aug 1996 p. 4128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6) 1996</w:t>
            </w:r>
          </w:p>
        </w:tc>
        <w:tc>
          <w:tcPr>
            <w:tcW w:w="1276" w:type="dxa"/>
          </w:tcPr>
          <w:p>
            <w:pPr>
              <w:pStyle w:val="nTable"/>
              <w:spacing w:after="40"/>
              <w:rPr>
                <w:sz w:val="19"/>
              </w:rPr>
            </w:pPr>
            <w:r>
              <w:rPr>
                <w:sz w:val="19"/>
              </w:rPr>
              <w:t>13 Sep 1996 p. 4606</w:t>
            </w:r>
          </w:p>
        </w:tc>
        <w:tc>
          <w:tcPr>
            <w:tcW w:w="2693" w:type="dxa"/>
          </w:tcPr>
          <w:p>
            <w:pPr>
              <w:pStyle w:val="nTable"/>
              <w:spacing w:after="40"/>
              <w:rPr>
                <w:sz w:val="19"/>
              </w:rPr>
            </w:pPr>
            <w:r>
              <w:rPr>
                <w:sz w:val="19"/>
              </w:rPr>
              <w:t>13 Sep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7) 1996</w:t>
            </w:r>
          </w:p>
        </w:tc>
        <w:tc>
          <w:tcPr>
            <w:tcW w:w="1276" w:type="dxa"/>
          </w:tcPr>
          <w:p>
            <w:pPr>
              <w:pStyle w:val="nTable"/>
              <w:spacing w:after="40"/>
              <w:rPr>
                <w:sz w:val="19"/>
              </w:rPr>
            </w:pPr>
            <w:r>
              <w:rPr>
                <w:sz w:val="19"/>
              </w:rPr>
              <w:t>7 Jan 1997 p. 63</w:t>
            </w:r>
          </w:p>
        </w:tc>
        <w:tc>
          <w:tcPr>
            <w:tcW w:w="2693" w:type="dxa"/>
          </w:tcPr>
          <w:p>
            <w:pPr>
              <w:pStyle w:val="nTable"/>
              <w:spacing w:after="40"/>
              <w:rPr>
                <w:sz w:val="19"/>
              </w:rPr>
            </w:pPr>
            <w:r>
              <w:rPr>
                <w:sz w:val="19"/>
              </w:rPr>
              <w:t>7 Jan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1997</w:t>
            </w:r>
          </w:p>
        </w:tc>
        <w:tc>
          <w:tcPr>
            <w:tcW w:w="1276" w:type="dxa"/>
          </w:tcPr>
          <w:p>
            <w:pPr>
              <w:pStyle w:val="nTable"/>
              <w:spacing w:after="40"/>
              <w:rPr>
                <w:sz w:val="19"/>
              </w:rPr>
            </w:pPr>
            <w:r>
              <w:rPr>
                <w:sz w:val="19"/>
              </w:rPr>
              <w:t>7 Feb 1997 p. 779</w:t>
            </w:r>
          </w:p>
        </w:tc>
        <w:tc>
          <w:tcPr>
            <w:tcW w:w="2693" w:type="dxa"/>
          </w:tcPr>
          <w:p>
            <w:pPr>
              <w:pStyle w:val="nTable"/>
              <w:spacing w:after="40"/>
              <w:rPr>
                <w:sz w:val="19"/>
              </w:rPr>
            </w:pPr>
            <w:r>
              <w:rPr>
                <w:sz w:val="19"/>
              </w:rPr>
              <w:t>7 Feb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2) 1997</w:t>
            </w:r>
          </w:p>
        </w:tc>
        <w:tc>
          <w:tcPr>
            <w:tcW w:w="1276" w:type="dxa"/>
          </w:tcPr>
          <w:p>
            <w:pPr>
              <w:pStyle w:val="nTable"/>
              <w:spacing w:after="40"/>
              <w:rPr>
                <w:sz w:val="19"/>
              </w:rPr>
            </w:pPr>
            <w:r>
              <w:rPr>
                <w:sz w:val="19"/>
              </w:rPr>
              <w:t>13 May 1997 p. 2350</w:t>
            </w:r>
            <w:r>
              <w:rPr>
                <w:sz w:val="19"/>
              </w:rPr>
              <w:noBreakHyphen/>
              <w:t>3</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1997</w:t>
            </w:r>
          </w:p>
        </w:tc>
        <w:tc>
          <w:tcPr>
            <w:tcW w:w="1276" w:type="dxa"/>
          </w:tcPr>
          <w:p>
            <w:pPr>
              <w:pStyle w:val="nTable"/>
              <w:spacing w:after="40"/>
              <w:rPr>
                <w:sz w:val="19"/>
              </w:rPr>
            </w:pPr>
            <w:r>
              <w:rPr>
                <w:sz w:val="19"/>
              </w:rPr>
              <w:t>10 Jun 1997 p. 2669</w:t>
            </w:r>
            <w:r>
              <w:rPr>
                <w:sz w:val="19"/>
              </w:rPr>
              <w:noBreakHyphen/>
              <w:t>70</w:t>
            </w:r>
          </w:p>
        </w:tc>
        <w:tc>
          <w:tcPr>
            <w:tcW w:w="2693" w:type="dxa"/>
          </w:tcPr>
          <w:p>
            <w:pPr>
              <w:pStyle w:val="nTable"/>
              <w:spacing w:after="40"/>
              <w:rPr>
                <w:sz w:val="19"/>
              </w:rPr>
            </w:pPr>
            <w:r>
              <w:rPr>
                <w:sz w:val="19"/>
              </w:rPr>
              <w:t>10 Jun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1997</w:t>
            </w:r>
          </w:p>
        </w:tc>
        <w:tc>
          <w:tcPr>
            <w:tcW w:w="1276" w:type="dxa"/>
          </w:tcPr>
          <w:p>
            <w:pPr>
              <w:pStyle w:val="nTable"/>
              <w:spacing w:after="40"/>
              <w:rPr>
                <w:sz w:val="19"/>
              </w:rPr>
            </w:pPr>
            <w:r>
              <w:rPr>
                <w:sz w:val="19"/>
              </w:rPr>
              <w:t>27 Jun 1997 p. 3175</w:t>
            </w:r>
            <w:r>
              <w:rPr>
                <w:sz w:val="19"/>
              </w:rPr>
              <w:noBreakHyphen/>
              <w:t>203</w:t>
            </w:r>
          </w:p>
        </w:tc>
        <w:tc>
          <w:tcPr>
            <w:tcW w:w="2693" w:type="dxa"/>
          </w:tcPr>
          <w:p>
            <w:pPr>
              <w:pStyle w:val="nTable"/>
              <w:spacing w:after="40"/>
              <w:rPr>
                <w:sz w:val="19"/>
              </w:rPr>
            </w:pPr>
            <w:r>
              <w:rPr>
                <w:sz w:val="19"/>
              </w:rPr>
              <w:t>1 Jul 1997 (see bl. 2)</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w:t>
            </w:r>
            <w:r>
              <w:rPr>
                <w:b/>
                <w:bCs/>
                <w:i/>
                <w:sz w:val="19"/>
              </w:rPr>
              <w:noBreakHyphen/>
            </w:r>
            <w:r>
              <w:rPr>
                <w:b/>
                <w:i/>
                <w:sz w:val="19"/>
              </w:rPr>
              <w:t>laws 1987</w:t>
            </w:r>
            <w:r>
              <w:rPr>
                <w:b/>
                <w:sz w:val="19"/>
              </w:rPr>
              <w:t xml:space="preserve"> as at 25 Aug 1997</w:t>
            </w:r>
            <w:r>
              <w:rPr>
                <w:sz w:val="19"/>
              </w:rPr>
              <w:t xml:space="preserve"> </w:t>
            </w:r>
            <w:r>
              <w:rPr>
                <w:sz w:val="19"/>
              </w:rPr>
              <w:br/>
              <w:t>(includes amendments listed above)</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1997</w:t>
            </w:r>
            <w:r>
              <w:rPr>
                <w:i/>
                <w:sz w:val="19"/>
                <w:vertAlign w:val="superscript"/>
              </w:rPr>
              <w:t xml:space="preserve"> </w:t>
            </w:r>
            <w:r>
              <w:rPr>
                <w:sz w:val="19"/>
                <w:vertAlign w:val="superscript"/>
              </w:rPr>
              <w:t>18</w:t>
            </w:r>
          </w:p>
        </w:tc>
        <w:tc>
          <w:tcPr>
            <w:tcW w:w="1276" w:type="dxa"/>
          </w:tcPr>
          <w:p>
            <w:pPr>
              <w:pStyle w:val="nTable"/>
              <w:spacing w:after="40"/>
              <w:rPr>
                <w:sz w:val="19"/>
              </w:rPr>
            </w:pPr>
            <w:r>
              <w:rPr>
                <w:sz w:val="19"/>
              </w:rPr>
              <w:t>6 Jan 1998 p. 39</w:t>
            </w:r>
            <w:r>
              <w:rPr>
                <w:sz w:val="19"/>
              </w:rPr>
              <w:noBreakHyphen/>
              <w:t>41</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1998</w:t>
            </w:r>
          </w:p>
        </w:tc>
        <w:tc>
          <w:tcPr>
            <w:tcW w:w="1276" w:type="dxa"/>
          </w:tcPr>
          <w:p>
            <w:pPr>
              <w:pStyle w:val="nTable"/>
              <w:spacing w:after="40"/>
              <w:rPr>
                <w:sz w:val="19"/>
              </w:rPr>
            </w:pPr>
            <w:r>
              <w:rPr>
                <w:sz w:val="19"/>
              </w:rPr>
              <w:t>9 Apr 1998 p. 2035</w:t>
            </w:r>
          </w:p>
        </w:tc>
        <w:tc>
          <w:tcPr>
            <w:tcW w:w="2693" w:type="dxa"/>
          </w:tcPr>
          <w:p>
            <w:pPr>
              <w:pStyle w:val="nTable"/>
              <w:spacing w:after="40"/>
              <w:rPr>
                <w:sz w:val="19"/>
              </w:rPr>
            </w:pPr>
            <w:r>
              <w:rPr>
                <w:sz w:val="19"/>
              </w:rPr>
              <w:t>14 Apr 1998 (see bl. 2)</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1998</w:t>
            </w:r>
          </w:p>
        </w:tc>
        <w:tc>
          <w:tcPr>
            <w:tcW w:w="1276" w:type="dxa"/>
          </w:tcPr>
          <w:p>
            <w:pPr>
              <w:pStyle w:val="nTable"/>
              <w:keepNext/>
              <w:spacing w:after="40"/>
              <w:rPr>
                <w:sz w:val="19"/>
              </w:rPr>
            </w:pPr>
            <w:r>
              <w:rPr>
                <w:sz w:val="19"/>
              </w:rPr>
              <w:t>26 Jun 1998 p. 3399</w:t>
            </w:r>
            <w:r>
              <w:rPr>
                <w:sz w:val="19"/>
              </w:rPr>
              <w:noBreakHyphen/>
              <w:t>415</w:t>
            </w:r>
          </w:p>
        </w:tc>
        <w:tc>
          <w:tcPr>
            <w:tcW w:w="2693" w:type="dxa"/>
          </w:tcPr>
          <w:p>
            <w:pPr>
              <w:pStyle w:val="nTable"/>
              <w:keepNext/>
              <w:spacing w:after="40"/>
              <w:rPr>
                <w:sz w:val="19"/>
              </w:rPr>
            </w:pPr>
            <w:r>
              <w:rPr>
                <w:sz w:val="19"/>
              </w:rPr>
              <w:t xml:space="preserve">1 Jul 1998 (see bl. 2) </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1998</w:t>
            </w:r>
          </w:p>
        </w:tc>
        <w:tc>
          <w:tcPr>
            <w:tcW w:w="1276" w:type="dxa"/>
          </w:tcPr>
          <w:p>
            <w:pPr>
              <w:pStyle w:val="nTable"/>
              <w:spacing w:after="40"/>
              <w:rPr>
                <w:sz w:val="19"/>
              </w:rPr>
            </w:pPr>
            <w:r>
              <w:rPr>
                <w:sz w:val="19"/>
              </w:rPr>
              <w:t>26 Jun 1998 p. 3415</w:t>
            </w:r>
            <w:r>
              <w:rPr>
                <w:sz w:val="19"/>
              </w:rPr>
              <w:noBreakHyphen/>
              <w:t>16</w:t>
            </w:r>
          </w:p>
        </w:tc>
        <w:tc>
          <w:tcPr>
            <w:tcW w:w="2693" w:type="dxa"/>
          </w:tcPr>
          <w:p>
            <w:pPr>
              <w:pStyle w:val="nTable"/>
              <w:spacing w:after="40"/>
              <w:rPr>
                <w:sz w:val="19"/>
              </w:rPr>
            </w:pPr>
            <w:r>
              <w:rPr>
                <w:sz w:val="19"/>
              </w:rPr>
              <w:t>26 Jun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1998</w:t>
            </w:r>
          </w:p>
        </w:tc>
        <w:tc>
          <w:tcPr>
            <w:tcW w:w="1276" w:type="dxa"/>
          </w:tcPr>
          <w:p>
            <w:pPr>
              <w:pStyle w:val="nTable"/>
              <w:spacing w:after="40"/>
              <w:rPr>
                <w:sz w:val="19"/>
              </w:rPr>
            </w:pPr>
            <w:r>
              <w:rPr>
                <w:sz w:val="19"/>
              </w:rPr>
              <w:t>1 Jul 1998 p. 3561</w:t>
            </w:r>
          </w:p>
        </w:tc>
        <w:tc>
          <w:tcPr>
            <w:tcW w:w="2693" w:type="dxa"/>
          </w:tcPr>
          <w:p>
            <w:pPr>
              <w:pStyle w:val="nTable"/>
              <w:spacing w:after="40"/>
              <w:rPr>
                <w:sz w:val="19"/>
              </w:rPr>
            </w:pPr>
            <w:r>
              <w:rPr>
                <w:sz w:val="19"/>
              </w:rPr>
              <w:t xml:space="preserve">1 Jul 1998 (see bl. 2 and </w:t>
            </w:r>
            <w:r>
              <w:rPr>
                <w:i/>
                <w:sz w:val="19"/>
              </w:rPr>
              <w:t>Gazette</w:t>
            </w:r>
            <w:r>
              <w:rPr>
                <w:sz w:val="19"/>
              </w:rPr>
              <w:t xml:space="preserve"> 26 Jun 1998 p. 3399)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5) 1998</w:t>
            </w:r>
          </w:p>
        </w:tc>
        <w:tc>
          <w:tcPr>
            <w:tcW w:w="1276" w:type="dxa"/>
          </w:tcPr>
          <w:p>
            <w:pPr>
              <w:pStyle w:val="nTable"/>
              <w:spacing w:after="40"/>
              <w:rPr>
                <w:sz w:val="19"/>
              </w:rPr>
            </w:pPr>
            <w:r>
              <w:rPr>
                <w:sz w:val="19"/>
              </w:rPr>
              <w:t>30 Oct 1998 p. 6017</w:t>
            </w:r>
            <w:r>
              <w:rPr>
                <w:sz w:val="19"/>
              </w:rPr>
              <w:noBreakHyphen/>
              <w:t>18</w:t>
            </w:r>
          </w:p>
        </w:tc>
        <w:tc>
          <w:tcPr>
            <w:tcW w:w="2693" w:type="dxa"/>
          </w:tcPr>
          <w:p>
            <w:pPr>
              <w:pStyle w:val="nTable"/>
              <w:spacing w:after="40"/>
              <w:rPr>
                <w:sz w:val="19"/>
              </w:rPr>
            </w:pPr>
            <w:r>
              <w:rPr>
                <w:sz w:val="19"/>
              </w:rPr>
              <w:t>30 Oct 1998</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1999</w:t>
            </w:r>
          </w:p>
        </w:tc>
        <w:tc>
          <w:tcPr>
            <w:tcW w:w="1276" w:type="dxa"/>
          </w:tcPr>
          <w:p>
            <w:pPr>
              <w:pStyle w:val="nTable"/>
              <w:spacing w:after="40"/>
              <w:rPr>
                <w:sz w:val="19"/>
              </w:rPr>
            </w:pPr>
            <w:r>
              <w:rPr>
                <w:sz w:val="19"/>
              </w:rPr>
              <w:t>7 May 1999 p. 1859</w:t>
            </w:r>
            <w:r>
              <w:rPr>
                <w:sz w:val="19"/>
              </w:rPr>
              <w:noBreakHyphen/>
              <w:t>61</w:t>
            </w:r>
          </w:p>
        </w:tc>
        <w:tc>
          <w:tcPr>
            <w:tcW w:w="2693" w:type="dxa"/>
          </w:tcPr>
          <w:p>
            <w:pPr>
              <w:pStyle w:val="nTable"/>
              <w:spacing w:after="40"/>
              <w:rPr>
                <w:sz w:val="19"/>
              </w:rPr>
            </w:pPr>
            <w:r>
              <w:rPr>
                <w:sz w:val="19"/>
              </w:rPr>
              <w:t>7 May 1999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1999</w:t>
            </w:r>
          </w:p>
        </w:tc>
        <w:tc>
          <w:tcPr>
            <w:tcW w:w="1276" w:type="dxa"/>
          </w:tcPr>
          <w:p>
            <w:pPr>
              <w:pStyle w:val="nTable"/>
              <w:spacing w:after="40"/>
              <w:rPr>
                <w:sz w:val="19"/>
              </w:rPr>
            </w:pPr>
            <w:r>
              <w:rPr>
                <w:sz w:val="19"/>
              </w:rPr>
              <w:t>25 Jun 1999 p. 2742</w:t>
            </w:r>
          </w:p>
        </w:tc>
        <w:tc>
          <w:tcPr>
            <w:tcW w:w="2693" w:type="dxa"/>
          </w:tcPr>
          <w:p>
            <w:pPr>
              <w:pStyle w:val="nTable"/>
              <w:spacing w:after="40"/>
              <w:rPr>
                <w:sz w:val="19"/>
              </w:rPr>
            </w:pPr>
            <w:r>
              <w:rPr>
                <w:sz w:val="19"/>
              </w:rPr>
              <w:t>25 Jun 1999</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2) 1999</w:t>
            </w:r>
            <w:r>
              <w:rPr>
                <w:sz w:val="19"/>
                <w:vertAlign w:val="superscript"/>
              </w:rPr>
              <w:t> 19</w:t>
            </w:r>
          </w:p>
        </w:tc>
        <w:tc>
          <w:tcPr>
            <w:tcW w:w="1276" w:type="dxa"/>
          </w:tcPr>
          <w:p>
            <w:pPr>
              <w:pStyle w:val="nTable"/>
              <w:spacing w:after="40"/>
              <w:rPr>
                <w:sz w:val="19"/>
              </w:rPr>
            </w:pPr>
            <w:r>
              <w:rPr>
                <w:sz w:val="19"/>
              </w:rPr>
              <w:t>29 Jun 1999 p. 2789</w:t>
            </w:r>
            <w:r>
              <w:rPr>
                <w:sz w:val="19"/>
              </w:rPr>
              <w:noBreakHyphen/>
              <w:t>828</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1999</w:t>
            </w:r>
          </w:p>
        </w:tc>
        <w:tc>
          <w:tcPr>
            <w:tcW w:w="1276" w:type="dxa"/>
          </w:tcPr>
          <w:p>
            <w:pPr>
              <w:pStyle w:val="nTable"/>
              <w:spacing w:after="40"/>
              <w:rPr>
                <w:sz w:val="19"/>
              </w:rPr>
            </w:pPr>
            <w:r>
              <w:rPr>
                <w:sz w:val="19"/>
              </w:rPr>
              <w:t xml:space="preserve">1 Jul 1999 </w:t>
            </w:r>
            <w:r>
              <w:rPr>
                <w:sz w:val="19"/>
              </w:rPr>
              <w:br/>
              <w:t>p. 2907</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2000</w:t>
            </w:r>
          </w:p>
        </w:tc>
        <w:tc>
          <w:tcPr>
            <w:tcW w:w="1276" w:type="dxa"/>
          </w:tcPr>
          <w:p>
            <w:pPr>
              <w:pStyle w:val="nTable"/>
              <w:spacing w:after="40"/>
              <w:rPr>
                <w:sz w:val="19"/>
              </w:rPr>
            </w:pPr>
            <w:r>
              <w:rPr>
                <w:sz w:val="19"/>
              </w:rPr>
              <w:t>15 Feb 2000 p. 524</w:t>
            </w:r>
            <w:r>
              <w:rPr>
                <w:sz w:val="19"/>
              </w:rPr>
              <w:noBreakHyphen/>
              <w:t>5</w:t>
            </w:r>
          </w:p>
        </w:tc>
        <w:tc>
          <w:tcPr>
            <w:tcW w:w="2693" w:type="dxa"/>
          </w:tcPr>
          <w:p>
            <w:pPr>
              <w:pStyle w:val="nTable"/>
              <w:spacing w:after="40"/>
              <w:rPr>
                <w:sz w:val="19"/>
              </w:rPr>
            </w:pPr>
            <w:r>
              <w:rPr>
                <w:sz w:val="19"/>
              </w:rPr>
              <w:t>15 Feb 2000</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2000</w:t>
            </w:r>
          </w:p>
        </w:tc>
        <w:tc>
          <w:tcPr>
            <w:tcW w:w="1276" w:type="dxa"/>
          </w:tcPr>
          <w:p>
            <w:pPr>
              <w:pStyle w:val="nTable"/>
              <w:spacing w:after="40"/>
              <w:rPr>
                <w:sz w:val="19"/>
              </w:rPr>
            </w:pPr>
            <w:r>
              <w:rPr>
                <w:sz w:val="19"/>
              </w:rPr>
              <w:t>29 Jun 2000 p. 3323</w:t>
            </w:r>
            <w:r>
              <w:rPr>
                <w:sz w:val="19"/>
              </w:rPr>
              <w:noBreakHyphen/>
              <w:t>63</w:t>
            </w:r>
          </w:p>
        </w:tc>
        <w:tc>
          <w:tcPr>
            <w:tcW w:w="2693" w:type="dxa"/>
          </w:tcPr>
          <w:p>
            <w:pPr>
              <w:pStyle w:val="nTable"/>
              <w:spacing w:after="40"/>
              <w:rPr>
                <w:sz w:val="19"/>
              </w:rPr>
            </w:pPr>
            <w:r>
              <w:rPr>
                <w:sz w:val="19"/>
              </w:rPr>
              <w:t>1 Jul 2000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2001</w:t>
            </w:r>
          </w:p>
        </w:tc>
        <w:tc>
          <w:tcPr>
            <w:tcW w:w="1276" w:type="dxa"/>
          </w:tcPr>
          <w:p>
            <w:pPr>
              <w:pStyle w:val="nTable"/>
              <w:spacing w:after="40"/>
              <w:rPr>
                <w:sz w:val="19"/>
              </w:rPr>
            </w:pPr>
            <w:r>
              <w:rPr>
                <w:sz w:val="19"/>
              </w:rPr>
              <w:t>13 Feb 2001 p. 892</w:t>
            </w:r>
          </w:p>
        </w:tc>
        <w:tc>
          <w:tcPr>
            <w:tcW w:w="2693" w:type="dxa"/>
          </w:tcPr>
          <w:p>
            <w:pPr>
              <w:pStyle w:val="nTable"/>
              <w:spacing w:after="40"/>
              <w:rPr>
                <w:sz w:val="19"/>
              </w:rPr>
            </w:pPr>
            <w:r>
              <w:rPr>
                <w:sz w:val="19"/>
              </w:rPr>
              <w:t>13 Feb 2001</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w:t>
            </w:r>
            <w:r>
              <w:rPr>
                <w:b/>
                <w:bCs/>
                <w:i/>
                <w:sz w:val="19"/>
              </w:rPr>
              <w:noBreakHyphen/>
            </w:r>
            <w:r>
              <w:rPr>
                <w:b/>
                <w:i/>
                <w:sz w:val="19"/>
              </w:rPr>
              <w:t>laws 1987</w:t>
            </w:r>
            <w:r>
              <w:rPr>
                <w:b/>
                <w:sz w:val="19"/>
              </w:rPr>
              <w:t xml:space="preserve"> as at 16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2001</w:t>
            </w:r>
          </w:p>
        </w:tc>
        <w:tc>
          <w:tcPr>
            <w:tcW w:w="1276" w:type="dxa"/>
          </w:tcPr>
          <w:p>
            <w:pPr>
              <w:pStyle w:val="nTable"/>
              <w:spacing w:after="40"/>
              <w:rPr>
                <w:sz w:val="19"/>
              </w:rPr>
            </w:pPr>
            <w:r>
              <w:rPr>
                <w:sz w:val="19"/>
              </w:rPr>
              <w:t>29 Jun 2001 p. 3187</w:t>
            </w:r>
            <w:r>
              <w:rPr>
                <w:sz w:val="19"/>
              </w:rPr>
              <w:noBreakHyphen/>
              <w:t>229</w:t>
            </w:r>
          </w:p>
        </w:tc>
        <w:tc>
          <w:tcPr>
            <w:tcW w:w="2693" w:type="dxa"/>
          </w:tcPr>
          <w:p>
            <w:pPr>
              <w:pStyle w:val="nTable"/>
              <w:spacing w:after="40"/>
              <w:rPr>
                <w:sz w:val="19"/>
              </w:rPr>
            </w:pPr>
            <w:r>
              <w:rPr>
                <w:sz w:val="19"/>
              </w:rPr>
              <w:t>1 Jul 2001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2001</w:t>
            </w:r>
          </w:p>
        </w:tc>
        <w:tc>
          <w:tcPr>
            <w:tcW w:w="1276" w:type="dxa"/>
          </w:tcPr>
          <w:p>
            <w:pPr>
              <w:pStyle w:val="nTable"/>
              <w:spacing w:after="40"/>
              <w:rPr>
                <w:sz w:val="19"/>
              </w:rPr>
            </w:pPr>
            <w:r>
              <w:rPr>
                <w:sz w:val="19"/>
              </w:rPr>
              <w:t>7 Aug 2001 p. 4037</w:t>
            </w:r>
            <w:r>
              <w:rPr>
                <w:sz w:val="19"/>
              </w:rPr>
              <w:noBreakHyphen/>
              <w:t>8</w:t>
            </w:r>
          </w:p>
        </w:tc>
        <w:tc>
          <w:tcPr>
            <w:tcW w:w="2693" w:type="dxa"/>
          </w:tcPr>
          <w:p>
            <w:pPr>
              <w:pStyle w:val="nTable"/>
              <w:spacing w:after="40"/>
              <w:rPr>
                <w:sz w:val="19"/>
              </w:rPr>
            </w:pPr>
            <w:r>
              <w:rPr>
                <w:sz w:val="19"/>
              </w:rPr>
              <w:t>7 Aug 2001</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2001</w:t>
            </w:r>
          </w:p>
        </w:tc>
        <w:tc>
          <w:tcPr>
            <w:tcW w:w="1276" w:type="dxa"/>
          </w:tcPr>
          <w:p>
            <w:pPr>
              <w:pStyle w:val="nTable"/>
              <w:spacing w:after="40"/>
              <w:rPr>
                <w:sz w:val="19"/>
              </w:rPr>
            </w:pPr>
            <w:r>
              <w:rPr>
                <w:sz w:val="19"/>
              </w:rPr>
              <w:t>5 Oct 2001 p. 5478</w:t>
            </w:r>
            <w:r>
              <w:rPr>
                <w:sz w:val="19"/>
              </w:rPr>
              <w:noBreakHyphen/>
              <w:t>9</w:t>
            </w:r>
          </w:p>
        </w:tc>
        <w:tc>
          <w:tcPr>
            <w:tcW w:w="2693" w:type="dxa"/>
          </w:tcPr>
          <w:p>
            <w:pPr>
              <w:pStyle w:val="nTable"/>
              <w:spacing w:after="40"/>
              <w:rPr>
                <w:sz w:val="19"/>
              </w:rPr>
            </w:pPr>
            <w:r>
              <w:rPr>
                <w:sz w:val="19"/>
              </w:rPr>
              <w:t>5 Oct 2001</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2001</w:t>
            </w:r>
            <w:r>
              <w:rPr>
                <w:sz w:val="19"/>
                <w:vertAlign w:val="superscript"/>
              </w:rPr>
              <w:t> 20</w:t>
            </w:r>
          </w:p>
        </w:tc>
        <w:tc>
          <w:tcPr>
            <w:tcW w:w="1276" w:type="dxa"/>
          </w:tcPr>
          <w:p>
            <w:pPr>
              <w:pStyle w:val="nTable"/>
              <w:spacing w:after="40"/>
              <w:rPr>
                <w:sz w:val="19"/>
              </w:rPr>
            </w:pPr>
            <w:r>
              <w:rPr>
                <w:sz w:val="19"/>
              </w:rPr>
              <w:t>22 Feb 2002 p. 767</w:t>
            </w:r>
            <w:r>
              <w:rPr>
                <w:sz w:val="19"/>
              </w:rPr>
              <w:noBreakHyphen/>
              <w:t>9</w:t>
            </w:r>
          </w:p>
        </w:tc>
        <w:tc>
          <w:tcPr>
            <w:tcW w:w="2693" w:type="dxa"/>
          </w:tcPr>
          <w:p>
            <w:pPr>
              <w:pStyle w:val="nTable"/>
              <w:spacing w:after="40"/>
              <w:rPr>
                <w:sz w:val="19"/>
              </w:rPr>
            </w:pPr>
            <w:r>
              <w:rPr>
                <w:sz w:val="19"/>
              </w:rPr>
              <w:t>22 Feb 2002</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2002</w:t>
            </w:r>
            <w:r>
              <w:rPr>
                <w:sz w:val="19"/>
                <w:vertAlign w:val="superscript"/>
              </w:rPr>
              <w:t> 21</w:t>
            </w:r>
          </w:p>
        </w:tc>
        <w:tc>
          <w:tcPr>
            <w:tcW w:w="1276" w:type="dxa"/>
          </w:tcPr>
          <w:p>
            <w:pPr>
              <w:pStyle w:val="nTable"/>
              <w:spacing w:after="40"/>
              <w:rPr>
                <w:sz w:val="19"/>
              </w:rPr>
            </w:pPr>
            <w:r>
              <w:rPr>
                <w:sz w:val="19"/>
              </w:rPr>
              <w:t>1 Mar 2002 p. 869</w:t>
            </w:r>
            <w:r>
              <w:rPr>
                <w:sz w:val="19"/>
              </w:rPr>
              <w:noBreakHyphen/>
              <w:t>70</w:t>
            </w:r>
          </w:p>
        </w:tc>
        <w:tc>
          <w:tcPr>
            <w:tcW w:w="2693" w:type="dxa"/>
          </w:tcPr>
          <w:p>
            <w:pPr>
              <w:pStyle w:val="nTable"/>
              <w:spacing w:after="40"/>
              <w:rPr>
                <w:sz w:val="19"/>
              </w:rPr>
            </w:pPr>
            <w:r>
              <w:rPr>
                <w:sz w:val="19"/>
              </w:rPr>
              <w:t>1 Mar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2002</w:t>
            </w:r>
          </w:p>
        </w:tc>
        <w:tc>
          <w:tcPr>
            <w:tcW w:w="1276" w:type="dxa"/>
          </w:tcPr>
          <w:p>
            <w:pPr>
              <w:pStyle w:val="nTable"/>
              <w:spacing w:after="40"/>
              <w:rPr>
                <w:sz w:val="19"/>
              </w:rPr>
            </w:pPr>
            <w:r>
              <w:rPr>
                <w:sz w:val="19"/>
              </w:rPr>
              <w:t>1 Mar 2002 p. 870</w:t>
            </w:r>
          </w:p>
        </w:tc>
        <w:tc>
          <w:tcPr>
            <w:tcW w:w="2693" w:type="dxa"/>
          </w:tcPr>
          <w:p>
            <w:pPr>
              <w:pStyle w:val="nTable"/>
              <w:spacing w:after="40"/>
              <w:rPr>
                <w:sz w:val="19"/>
              </w:rPr>
            </w:pPr>
            <w:r>
              <w:rPr>
                <w:sz w:val="19"/>
              </w:rPr>
              <w:t xml:space="preserve">1 Mar 2002 </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2002</w:t>
            </w:r>
          </w:p>
        </w:tc>
        <w:tc>
          <w:tcPr>
            <w:tcW w:w="1276" w:type="dxa"/>
          </w:tcPr>
          <w:p>
            <w:pPr>
              <w:pStyle w:val="nTable"/>
              <w:spacing w:after="40"/>
              <w:rPr>
                <w:sz w:val="19"/>
              </w:rPr>
            </w:pPr>
            <w:r>
              <w:rPr>
                <w:sz w:val="19"/>
              </w:rPr>
              <w:t>1 Jul 2002 p. 3155</w:t>
            </w:r>
            <w:r>
              <w:rPr>
                <w:sz w:val="19"/>
              </w:rPr>
              <w:noBreakHyphen/>
              <w:t>201</w:t>
            </w:r>
          </w:p>
        </w:tc>
        <w:tc>
          <w:tcPr>
            <w:tcW w:w="2693" w:type="dxa"/>
          </w:tcPr>
          <w:p>
            <w:pPr>
              <w:pStyle w:val="nTable"/>
              <w:spacing w:after="40"/>
              <w:rPr>
                <w:sz w:val="19"/>
              </w:rPr>
            </w:pPr>
            <w:r>
              <w:rPr>
                <w:sz w:val="19"/>
              </w:rPr>
              <w:t>1 Jul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2003</w:t>
            </w:r>
          </w:p>
        </w:tc>
        <w:tc>
          <w:tcPr>
            <w:tcW w:w="1276" w:type="dxa"/>
          </w:tcPr>
          <w:p>
            <w:pPr>
              <w:pStyle w:val="nTable"/>
              <w:spacing w:after="40"/>
              <w:rPr>
                <w:sz w:val="19"/>
              </w:rPr>
            </w:pPr>
            <w:r>
              <w:rPr>
                <w:sz w:val="19"/>
              </w:rPr>
              <w:t>29 Apr 2003 p. 1293-4</w:t>
            </w:r>
          </w:p>
        </w:tc>
        <w:tc>
          <w:tcPr>
            <w:tcW w:w="2693" w:type="dxa"/>
          </w:tcPr>
          <w:p>
            <w:pPr>
              <w:pStyle w:val="nTable"/>
              <w:spacing w:after="40"/>
              <w:rPr>
                <w:sz w:val="19"/>
              </w:rPr>
            </w:pPr>
            <w:r>
              <w:rPr>
                <w:sz w:val="19"/>
              </w:rPr>
              <w:t>29 Apr 2003</w:t>
            </w:r>
          </w:p>
        </w:tc>
      </w:tr>
      <w:tr>
        <w:trPr>
          <w:cantSplit/>
        </w:trPr>
        <w:tc>
          <w:tcPr>
            <w:tcW w:w="7087" w:type="dxa"/>
            <w:gridSpan w:val="3"/>
          </w:tcPr>
          <w:p>
            <w:pPr>
              <w:pStyle w:val="nTable"/>
              <w:spacing w:after="40"/>
              <w:rPr>
                <w:sz w:val="19"/>
              </w:rPr>
            </w:pPr>
            <w:r>
              <w:rPr>
                <w:b/>
                <w:sz w:val="19"/>
              </w:rPr>
              <w:t xml:space="preserve">Reprint 3:  The </w:t>
            </w:r>
            <w:r>
              <w:rPr>
                <w:b/>
                <w:i/>
                <w:sz w:val="19"/>
              </w:rPr>
              <w:t>Water Agencies (Charges) By</w:t>
            </w:r>
            <w:r>
              <w:rPr>
                <w:b/>
                <w:bCs/>
                <w:i/>
                <w:sz w:val="19"/>
              </w:rPr>
              <w:noBreakHyphen/>
            </w:r>
            <w:r>
              <w:rPr>
                <w:b/>
                <w:i/>
                <w:sz w:val="19"/>
              </w:rPr>
              <w:t>laws 1987</w:t>
            </w:r>
            <w:r>
              <w:rPr>
                <w:b/>
                <w:sz w:val="19"/>
              </w:rPr>
              <w:t xml:space="preserve"> as at 9 May 2003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2003</w:t>
            </w:r>
          </w:p>
        </w:tc>
        <w:tc>
          <w:tcPr>
            <w:tcW w:w="1276" w:type="dxa"/>
          </w:tcPr>
          <w:p>
            <w:pPr>
              <w:pStyle w:val="nTable"/>
              <w:spacing w:after="40"/>
              <w:rPr>
                <w:sz w:val="19"/>
              </w:rPr>
            </w:pPr>
            <w:r>
              <w:rPr>
                <w:sz w:val="19"/>
              </w:rPr>
              <w:t>24 Jun 2003 p. 2273</w:t>
            </w:r>
          </w:p>
        </w:tc>
        <w:tc>
          <w:tcPr>
            <w:tcW w:w="2693" w:type="dxa"/>
          </w:tcPr>
          <w:p>
            <w:pPr>
              <w:pStyle w:val="nTable"/>
              <w:spacing w:after="40"/>
              <w:rPr>
                <w:sz w:val="19"/>
              </w:rPr>
            </w:pPr>
            <w:r>
              <w:rPr>
                <w:sz w:val="19"/>
              </w:rPr>
              <w:t>24 Jun 2003</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2003</w:t>
            </w:r>
          </w:p>
        </w:tc>
        <w:tc>
          <w:tcPr>
            <w:tcW w:w="1276" w:type="dxa"/>
          </w:tcPr>
          <w:p>
            <w:pPr>
              <w:pStyle w:val="nTable"/>
              <w:spacing w:after="40"/>
              <w:rPr>
                <w:sz w:val="19"/>
              </w:rPr>
            </w:pPr>
            <w:r>
              <w:rPr>
                <w:sz w:val="19"/>
              </w:rPr>
              <w:t>27 Jun 2003 p. 2283-340</w:t>
            </w:r>
          </w:p>
        </w:tc>
        <w:tc>
          <w:tcPr>
            <w:tcW w:w="2693" w:type="dxa"/>
          </w:tcPr>
          <w:p>
            <w:pPr>
              <w:pStyle w:val="nTable"/>
              <w:spacing w:after="40"/>
              <w:rPr>
                <w:sz w:val="19"/>
              </w:rPr>
            </w:pPr>
            <w:r>
              <w:rPr>
                <w:sz w:val="19"/>
              </w:rPr>
              <w:t>1 Jul 2003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2003</w:t>
            </w:r>
          </w:p>
        </w:tc>
        <w:tc>
          <w:tcPr>
            <w:tcW w:w="1276" w:type="dxa"/>
          </w:tcPr>
          <w:p>
            <w:pPr>
              <w:pStyle w:val="nTable"/>
              <w:spacing w:after="40"/>
              <w:rPr>
                <w:sz w:val="19"/>
              </w:rPr>
            </w:pPr>
            <w:r>
              <w:rPr>
                <w:sz w:val="19"/>
              </w:rPr>
              <w:t>9 Dec 2003 p. 5007-8</w:t>
            </w:r>
          </w:p>
        </w:tc>
        <w:tc>
          <w:tcPr>
            <w:tcW w:w="2693" w:type="dxa"/>
          </w:tcPr>
          <w:p>
            <w:pPr>
              <w:pStyle w:val="nTable"/>
              <w:spacing w:after="40"/>
              <w:rPr>
                <w:sz w:val="19"/>
              </w:rPr>
            </w:pPr>
            <w:r>
              <w:rPr>
                <w:sz w:val="19"/>
              </w:rPr>
              <w:t>9 Dec 2003</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2004</w:t>
            </w:r>
          </w:p>
        </w:tc>
        <w:tc>
          <w:tcPr>
            <w:tcW w:w="1276" w:type="dxa"/>
          </w:tcPr>
          <w:p>
            <w:pPr>
              <w:pStyle w:val="nTable"/>
              <w:spacing w:after="40"/>
              <w:rPr>
                <w:sz w:val="19"/>
              </w:rPr>
            </w:pPr>
            <w:r>
              <w:rPr>
                <w:sz w:val="19"/>
              </w:rPr>
              <w:t>29 Jun 2004 p. 2467-96</w:t>
            </w:r>
          </w:p>
        </w:tc>
        <w:tc>
          <w:tcPr>
            <w:tcW w:w="2693" w:type="dxa"/>
          </w:tcPr>
          <w:p>
            <w:pPr>
              <w:pStyle w:val="nTable"/>
              <w:spacing w:after="40"/>
              <w:rPr>
                <w:sz w:val="19"/>
              </w:rPr>
            </w:pPr>
            <w:r>
              <w:rPr>
                <w:sz w:val="19"/>
              </w:rPr>
              <w:t>1 Jul 2004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2004</w:t>
            </w:r>
          </w:p>
        </w:tc>
        <w:tc>
          <w:tcPr>
            <w:tcW w:w="1276" w:type="dxa"/>
          </w:tcPr>
          <w:p>
            <w:pPr>
              <w:pStyle w:val="nTable"/>
              <w:spacing w:after="40"/>
              <w:rPr>
                <w:sz w:val="19"/>
              </w:rPr>
            </w:pPr>
            <w:r>
              <w:rPr>
                <w:sz w:val="19"/>
              </w:rPr>
              <w:t>24 Dec 2004 p. 6157-8</w:t>
            </w:r>
          </w:p>
        </w:tc>
        <w:tc>
          <w:tcPr>
            <w:tcW w:w="2693" w:type="dxa"/>
          </w:tcPr>
          <w:p>
            <w:pPr>
              <w:pStyle w:val="nTable"/>
              <w:spacing w:after="40"/>
              <w:rPr>
                <w:sz w:val="19"/>
              </w:rPr>
            </w:pPr>
            <w:r>
              <w:rPr>
                <w:sz w:val="19"/>
              </w:rPr>
              <w:t>24 Dec 2004</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2005</w:t>
            </w:r>
          </w:p>
        </w:tc>
        <w:tc>
          <w:tcPr>
            <w:tcW w:w="1276" w:type="dxa"/>
          </w:tcPr>
          <w:p>
            <w:pPr>
              <w:pStyle w:val="nTable"/>
              <w:spacing w:after="40"/>
              <w:rPr>
                <w:sz w:val="19"/>
              </w:rPr>
            </w:pPr>
            <w:r>
              <w:rPr>
                <w:sz w:val="19"/>
              </w:rPr>
              <w:t>13 May 2005 p. 2088</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2005</w:t>
            </w:r>
          </w:p>
        </w:tc>
        <w:tc>
          <w:tcPr>
            <w:tcW w:w="1276" w:type="dxa"/>
          </w:tcPr>
          <w:p>
            <w:pPr>
              <w:pStyle w:val="nTable"/>
              <w:spacing w:after="40"/>
              <w:rPr>
                <w:sz w:val="19"/>
              </w:rPr>
            </w:pPr>
            <w:r>
              <w:rPr>
                <w:sz w:val="19"/>
              </w:rPr>
              <w:t>1 Jul 2005 p. 3008-9</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2005</w:t>
            </w:r>
          </w:p>
        </w:tc>
        <w:tc>
          <w:tcPr>
            <w:tcW w:w="1276" w:type="dxa"/>
          </w:tcPr>
          <w:p>
            <w:pPr>
              <w:pStyle w:val="nTable"/>
              <w:spacing w:after="40"/>
              <w:rPr>
                <w:sz w:val="19"/>
              </w:rPr>
            </w:pPr>
            <w:r>
              <w:rPr>
                <w:sz w:val="19"/>
              </w:rPr>
              <w:t>1 Jul 2005 p. 3031-78</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2005</w:t>
            </w:r>
          </w:p>
        </w:tc>
        <w:tc>
          <w:tcPr>
            <w:tcW w:w="1276" w:type="dxa"/>
          </w:tcPr>
          <w:p>
            <w:pPr>
              <w:pStyle w:val="nTable"/>
              <w:spacing w:after="40"/>
              <w:rPr>
                <w:sz w:val="19"/>
              </w:rPr>
            </w:pPr>
            <w:r>
              <w:rPr>
                <w:sz w:val="19"/>
              </w:rPr>
              <w:t>4 Nov 2005 p. 5321</w:t>
            </w:r>
          </w:p>
        </w:tc>
        <w:tc>
          <w:tcPr>
            <w:tcW w:w="2693" w:type="dxa"/>
          </w:tcPr>
          <w:p>
            <w:pPr>
              <w:pStyle w:val="nTable"/>
              <w:spacing w:after="40"/>
              <w:rPr>
                <w:sz w:val="19"/>
              </w:rPr>
            </w:pPr>
            <w:r>
              <w:rPr>
                <w:sz w:val="19"/>
              </w:rPr>
              <w:t>4 Nov 2005</w:t>
            </w:r>
          </w:p>
        </w:tc>
      </w:tr>
      <w:tr>
        <w:trPr>
          <w:cantSplit/>
        </w:trPr>
        <w:tc>
          <w:tcPr>
            <w:tcW w:w="7087" w:type="dxa"/>
            <w:gridSpan w:val="3"/>
          </w:tcPr>
          <w:p>
            <w:pPr>
              <w:pStyle w:val="nTable"/>
              <w:spacing w:after="40"/>
              <w:rPr>
                <w:sz w:val="19"/>
              </w:rPr>
            </w:pPr>
            <w:r>
              <w:rPr>
                <w:b/>
                <w:sz w:val="19"/>
              </w:rPr>
              <w:t xml:space="preserve">Reprint 4:  The </w:t>
            </w:r>
            <w:r>
              <w:rPr>
                <w:b/>
                <w:i/>
                <w:sz w:val="19"/>
              </w:rPr>
              <w:t>Water Agencies (Charges) By</w:t>
            </w:r>
            <w:r>
              <w:rPr>
                <w:b/>
                <w:bCs/>
                <w:i/>
                <w:sz w:val="19"/>
              </w:rPr>
              <w:noBreakHyphen/>
            </w:r>
            <w:r>
              <w:rPr>
                <w:b/>
                <w:i/>
                <w:sz w:val="19"/>
              </w:rPr>
              <w:t>laws 1987</w:t>
            </w:r>
            <w:r>
              <w:rPr>
                <w:b/>
                <w:sz w:val="19"/>
              </w:rPr>
              <w:t xml:space="preserve"> as at 31 Mar 2006 </w:t>
            </w:r>
            <w:r>
              <w:rPr>
                <w:sz w:val="19"/>
              </w:rPr>
              <w:t>(includes amendments listed above)</w:t>
            </w:r>
          </w:p>
        </w:tc>
      </w:tr>
      <w:tr>
        <w:trPr>
          <w:cantSplit/>
        </w:trPr>
        <w:tc>
          <w:tcPr>
            <w:tcW w:w="3118" w:type="dxa"/>
          </w:tcPr>
          <w:p>
            <w:pPr>
              <w:pStyle w:val="nTable"/>
              <w:spacing w:after="40"/>
              <w:ind w:right="113"/>
              <w:rPr>
                <w:sz w:val="19"/>
              </w:rPr>
            </w:pPr>
            <w:r>
              <w:rPr>
                <w:i/>
                <w:sz w:val="19"/>
              </w:rPr>
              <w:t>Electricity Corporations (Consequential Amendments) Regulations 2006</w:t>
            </w:r>
            <w:r>
              <w:rPr>
                <w:sz w:val="19"/>
              </w:rPr>
              <w:t xml:space="preserve"> r. 89</w:t>
            </w:r>
          </w:p>
        </w:tc>
        <w:tc>
          <w:tcPr>
            <w:tcW w:w="1276" w:type="dxa"/>
          </w:tcPr>
          <w:p>
            <w:pPr>
              <w:pStyle w:val="nTable"/>
              <w:spacing w:after="40"/>
              <w:rPr>
                <w:sz w:val="19"/>
              </w:rPr>
            </w:pPr>
            <w:r>
              <w:rPr>
                <w:sz w:val="19"/>
              </w:rPr>
              <w:t>31 Mar 2006 p. 1299-357</w:t>
            </w:r>
          </w:p>
        </w:tc>
        <w:tc>
          <w:tcPr>
            <w:tcW w:w="2693" w:type="dxa"/>
          </w:tcPr>
          <w:p>
            <w:pPr>
              <w:pStyle w:val="nTable"/>
              <w:spacing w:after="40"/>
              <w:rPr>
                <w:sz w:val="19"/>
              </w:rPr>
            </w:pPr>
            <w:r>
              <w:rPr>
                <w:sz w:val="19"/>
              </w:rPr>
              <w:t>1 Apr 2006 (see r.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 xml:space="preserve">laws 2006 </w:t>
            </w:r>
          </w:p>
        </w:tc>
        <w:tc>
          <w:tcPr>
            <w:tcW w:w="1276" w:type="dxa"/>
          </w:tcPr>
          <w:p>
            <w:pPr>
              <w:pStyle w:val="nTable"/>
              <w:spacing w:after="40"/>
              <w:rPr>
                <w:sz w:val="19"/>
              </w:rPr>
            </w:pPr>
            <w:r>
              <w:rPr>
                <w:sz w:val="19"/>
              </w:rPr>
              <w:t>30 Jun 2006 p. 2413</w:t>
            </w:r>
            <w:r>
              <w:rPr>
                <w:sz w:val="19"/>
              </w:rPr>
              <w:noBreakHyphen/>
              <w:t>61</w:t>
            </w:r>
          </w:p>
        </w:tc>
        <w:tc>
          <w:tcPr>
            <w:tcW w:w="2693" w:type="dxa"/>
          </w:tcPr>
          <w:p>
            <w:pPr>
              <w:pStyle w:val="nTable"/>
              <w:spacing w:after="40"/>
              <w:rPr>
                <w:sz w:val="19"/>
              </w:rPr>
            </w:pPr>
            <w:r>
              <w:rPr>
                <w:sz w:val="19"/>
              </w:rPr>
              <w:t>1 Jul 2006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2006</w:t>
            </w:r>
          </w:p>
        </w:tc>
        <w:tc>
          <w:tcPr>
            <w:tcW w:w="1276" w:type="dxa"/>
          </w:tcPr>
          <w:p>
            <w:pPr>
              <w:pStyle w:val="nTable"/>
              <w:spacing w:after="40"/>
              <w:rPr>
                <w:sz w:val="19"/>
              </w:rPr>
            </w:pPr>
            <w:r>
              <w:rPr>
                <w:sz w:val="19"/>
              </w:rPr>
              <w:t>14 Nov 2006 p. 4738</w:t>
            </w:r>
          </w:p>
        </w:tc>
        <w:tc>
          <w:tcPr>
            <w:tcW w:w="2693" w:type="dxa"/>
          </w:tcPr>
          <w:p>
            <w:pPr>
              <w:pStyle w:val="nTable"/>
              <w:spacing w:after="40"/>
              <w:rPr>
                <w:sz w:val="19"/>
              </w:rPr>
            </w:pPr>
            <w:r>
              <w:rPr>
                <w:sz w:val="19"/>
              </w:rPr>
              <w:t>14 Nov 2006</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2007</w:t>
            </w:r>
          </w:p>
        </w:tc>
        <w:tc>
          <w:tcPr>
            <w:tcW w:w="1276" w:type="dxa"/>
          </w:tcPr>
          <w:p>
            <w:pPr>
              <w:pStyle w:val="nTable"/>
              <w:spacing w:after="40"/>
              <w:rPr>
                <w:sz w:val="19"/>
              </w:rPr>
            </w:pPr>
            <w:r>
              <w:rPr>
                <w:sz w:val="19"/>
              </w:rPr>
              <w:t>13 Apr 2007 p. 1686-8</w:t>
            </w:r>
          </w:p>
        </w:tc>
        <w:tc>
          <w:tcPr>
            <w:tcW w:w="2693" w:type="dxa"/>
          </w:tcPr>
          <w:p>
            <w:pPr>
              <w:pStyle w:val="nTable"/>
              <w:spacing w:after="40"/>
              <w:rPr>
                <w:sz w:val="19"/>
              </w:rPr>
            </w:pPr>
            <w:r>
              <w:rPr>
                <w:sz w:val="19"/>
              </w:rPr>
              <w:t>13 Apr 2007</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2007</w:t>
            </w:r>
          </w:p>
        </w:tc>
        <w:tc>
          <w:tcPr>
            <w:tcW w:w="1276" w:type="dxa"/>
          </w:tcPr>
          <w:p>
            <w:pPr>
              <w:pStyle w:val="nTable"/>
              <w:spacing w:after="40"/>
              <w:rPr>
                <w:sz w:val="19"/>
              </w:rPr>
            </w:pPr>
            <w:r>
              <w:rPr>
                <w:sz w:val="19"/>
              </w:rPr>
              <w:t>29 Jun 2007 p. 3245-88</w:t>
            </w:r>
          </w:p>
        </w:tc>
        <w:tc>
          <w:tcPr>
            <w:tcW w:w="2693" w:type="dxa"/>
          </w:tcPr>
          <w:p>
            <w:pPr>
              <w:pStyle w:val="nTable"/>
              <w:spacing w:after="40"/>
              <w:rPr>
                <w:sz w:val="19"/>
              </w:rPr>
            </w:pPr>
            <w:r>
              <w:rPr>
                <w:sz w:val="19"/>
              </w:rPr>
              <w:t>bl. 1 and 2: 29 Jun 2007 (see bl. 2(a));</w:t>
            </w:r>
            <w:r>
              <w:rPr>
                <w:sz w:val="19"/>
              </w:rPr>
              <w:br/>
              <w:t>By-laws other than bl. 1 and 2: 1 Jul 2007 (see bl. 2(b))</w:t>
            </w:r>
          </w:p>
        </w:tc>
      </w:tr>
      <w:tr>
        <w:trPr>
          <w:cantSplit/>
        </w:trPr>
        <w:tc>
          <w:tcPr>
            <w:tcW w:w="7087" w:type="dxa"/>
            <w:gridSpan w:val="3"/>
          </w:tcPr>
          <w:p>
            <w:pPr>
              <w:pStyle w:val="nTable"/>
              <w:spacing w:after="40"/>
              <w:rPr>
                <w:sz w:val="19"/>
              </w:rPr>
            </w:pPr>
            <w:r>
              <w:rPr>
                <w:b/>
                <w:sz w:val="19"/>
              </w:rPr>
              <w:t xml:space="preserve">Reprint 5:  The </w:t>
            </w:r>
            <w:r>
              <w:rPr>
                <w:b/>
                <w:i/>
                <w:sz w:val="19"/>
              </w:rPr>
              <w:t>Water Agencies (Charges) By</w:t>
            </w:r>
            <w:r>
              <w:rPr>
                <w:b/>
                <w:bCs/>
                <w:i/>
                <w:sz w:val="19"/>
              </w:rPr>
              <w:noBreakHyphen/>
            </w:r>
            <w:r>
              <w:rPr>
                <w:b/>
                <w:i/>
                <w:sz w:val="19"/>
              </w:rPr>
              <w:t>laws 1987</w:t>
            </w:r>
            <w:r>
              <w:rPr>
                <w:b/>
                <w:sz w:val="19"/>
              </w:rPr>
              <w:t xml:space="preserve"> as at 5 Oct 2007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2007</w:t>
            </w:r>
          </w:p>
        </w:tc>
        <w:tc>
          <w:tcPr>
            <w:tcW w:w="1276" w:type="dxa"/>
          </w:tcPr>
          <w:p>
            <w:pPr>
              <w:pStyle w:val="nTable"/>
              <w:spacing w:after="40"/>
              <w:rPr>
                <w:sz w:val="19"/>
              </w:rPr>
            </w:pPr>
            <w:r>
              <w:rPr>
                <w:sz w:val="19"/>
              </w:rPr>
              <w:t>21 Dec 2007 p. 6349</w:t>
            </w:r>
          </w:p>
        </w:tc>
        <w:tc>
          <w:tcPr>
            <w:tcW w:w="2693" w:type="dxa"/>
          </w:tcPr>
          <w:p>
            <w:pPr>
              <w:pStyle w:val="nTable"/>
              <w:spacing w:before="0" w:after="40"/>
              <w:rPr>
                <w:sz w:val="19"/>
              </w:rPr>
            </w:pPr>
            <w:r>
              <w:rPr>
                <w:sz w:val="19"/>
              </w:rPr>
              <w:t>bl. 1 and 2: 21 Dec 2007 (see bl. 2(a));</w:t>
            </w:r>
            <w:r>
              <w:rPr>
                <w:sz w:val="19"/>
              </w:rPr>
              <w:br/>
              <w:t>By-laws other than bl. 1 and 2: 22 Dec 2007 (see bl. 2(b))</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2008</w:t>
            </w:r>
          </w:p>
        </w:tc>
        <w:tc>
          <w:tcPr>
            <w:tcW w:w="1276" w:type="dxa"/>
          </w:tcPr>
          <w:p>
            <w:pPr>
              <w:pStyle w:val="nTable"/>
              <w:spacing w:after="40"/>
              <w:rPr>
                <w:sz w:val="19"/>
              </w:rPr>
            </w:pPr>
            <w:r>
              <w:rPr>
                <w:sz w:val="19"/>
              </w:rPr>
              <w:t>27 Jun 2008 p. 2981</w:t>
            </w:r>
            <w:r>
              <w:rPr>
                <w:sz w:val="19"/>
              </w:rPr>
              <w:noBreakHyphen/>
              <w:t>3048</w:t>
            </w:r>
          </w:p>
        </w:tc>
        <w:tc>
          <w:tcPr>
            <w:tcW w:w="2693" w:type="dxa"/>
          </w:tcPr>
          <w:p>
            <w:pPr>
              <w:pStyle w:val="nTable"/>
              <w:spacing w:before="0" w:after="40"/>
              <w:rPr>
                <w:sz w:val="19"/>
              </w:rPr>
            </w:pPr>
            <w:r>
              <w:rPr>
                <w:sz w:val="19"/>
              </w:rPr>
              <w:t>bl. 1 and 2: 27 Jun 2008 (see bl. 2(a));</w:t>
            </w:r>
            <w:r>
              <w:rPr>
                <w:sz w:val="19"/>
              </w:rPr>
              <w:br/>
              <w:t>By-laws other than bl. 1 and 2: 1 Jul 2008 (see bl. 2(b))</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2009</w:t>
            </w:r>
          </w:p>
        </w:tc>
        <w:tc>
          <w:tcPr>
            <w:tcW w:w="1276" w:type="dxa"/>
          </w:tcPr>
          <w:p>
            <w:pPr>
              <w:pStyle w:val="nTable"/>
              <w:spacing w:after="40"/>
              <w:rPr>
                <w:sz w:val="19"/>
              </w:rPr>
            </w:pPr>
            <w:r>
              <w:rPr>
                <w:sz w:val="19"/>
              </w:rPr>
              <w:t>19 Jun 2009 p. 2319-92</w:t>
            </w:r>
          </w:p>
        </w:tc>
        <w:tc>
          <w:tcPr>
            <w:tcW w:w="2693" w:type="dxa"/>
          </w:tcPr>
          <w:p>
            <w:pPr>
              <w:pStyle w:val="nTable"/>
              <w:spacing w:before="0" w:after="40"/>
              <w:rPr>
                <w:sz w:val="19"/>
              </w:rPr>
            </w:pPr>
            <w:r>
              <w:rPr>
                <w:sz w:val="19"/>
              </w:rPr>
              <w:t>bl. 1 and 2: 19 Jun 2009 (see bl. 2(a));</w:t>
            </w:r>
            <w:r>
              <w:rPr>
                <w:sz w:val="19"/>
              </w:rPr>
              <w:br/>
              <w:t>By-laws other than bl. 1 and 2: 1 Jul 2009 (see bl. 2(b))</w:t>
            </w:r>
          </w:p>
        </w:tc>
      </w:tr>
      <w:tr>
        <w:trPr>
          <w:cantSplit/>
        </w:trPr>
        <w:tc>
          <w:tcPr>
            <w:tcW w:w="7087" w:type="dxa"/>
            <w:gridSpan w:val="3"/>
          </w:tcPr>
          <w:p>
            <w:pPr>
              <w:pStyle w:val="nTable"/>
              <w:spacing w:before="0" w:after="40"/>
              <w:rPr>
                <w:sz w:val="19"/>
              </w:rPr>
            </w:pPr>
            <w:r>
              <w:rPr>
                <w:b/>
                <w:sz w:val="19"/>
              </w:rPr>
              <w:t xml:space="preserve">Reprint 6:  The </w:t>
            </w:r>
            <w:r>
              <w:rPr>
                <w:b/>
                <w:i/>
                <w:sz w:val="19"/>
              </w:rPr>
              <w:t>Water Agencies (Charges) By</w:t>
            </w:r>
            <w:r>
              <w:rPr>
                <w:b/>
                <w:bCs/>
                <w:i/>
                <w:sz w:val="19"/>
              </w:rPr>
              <w:noBreakHyphen/>
            </w:r>
            <w:r>
              <w:rPr>
                <w:b/>
                <w:i/>
                <w:sz w:val="19"/>
              </w:rPr>
              <w:t>laws 1987</w:t>
            </w:r>
            <w:r>
              <w:rPr>
                <w:b/>
                <w:sz w:val="19"/>
              </w:rPr>
              <w:t xml:space="preserve"> as at 7 Aug 2009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2010</w:t>
            </w:r>
          </w:p>
        </w:tc>
        <w:tc>
          <w:tcPr>
            <w:tcW w:w="1276" w:type="dxa"/>
          </w:tcPr>
          <w:p>
            <w:pPr>
              <w:pStyle w:val="nTable"/>
              <w:spacing w:after="40"/>
              <w:rPr>
                <w:sz w:val="19"/>
              </w:rPr>
            </w:pPr>
            <w:r>
              <w:rPr>
                <w:sz w:val="19"/>
              </w:rPr>
              <w:t>25 Jun 2010 p. 2901</w:t>
            </w:r>
            <w:r>
              <w:rPr>
                <w:sz w:val="19"/>
              </w:rPr>
              <w:noBreakHyphen/>
              <w:t>81</w:t>
            </w:r>
          </w:p>
        </w:tc>
        <w:tc>
          <w:tcPr>
            <w:tcW w:w="2693" w:type="dxa"/>
          </w:tcPr>
          <w:p>
            <w:pPr>
              <w:pStyle w:val="nTable"/>
              <w:spacing w:before="0" w:after="40"/>
              <w:rPr>
                <w:sz w:val="19"/>
              </w:rPr>
            </w:pPr>
            <w:r>
              <w:rPr>
                <w:sz w:val="19"/>
              </w:rPr>
              <w:t>bl. 1 and 2: 25 Jun 2010 (see bl. 2(a));</w:t>
            </w:r>
            <w:r>
              <w:rPr>
                <w:sz w:val="19"/>
              </w:rPr>
              <w:br/>
              <w:t>By-laws other than bl. 1 and 2: 1 Jul 2010 (see bl. 2(b))</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2010</w:t>
            </w:r>
          </w:p>
        </w:tc>
        <w:tc>
          <w:tcPr>
            <w:tcW w:w="1276" w:type="dxa"/>
          </w:tcPr>
          <w:p>
            <w:pPr>
              <w:pStyle w:val="nTable"/>
              <w:spacing w:after="40"/>
              <w:rPr>
                <w:sz w:val="19"/>
              </w:rPr>
            </w:pPr>
            <w:r>
              <w:rPr>
                <w:sz w:val="19"/>
              </w:rPr>
              <w:t>10 Sep 2010 p. 4350-1</w:t>
            </w:r>
          </w:p>
        </w:tc>
        <w:tc>
          <w:tcPr>
            <w:tcW w:w="2693" w:type="dxa"/>
          </w:tcPr>
          <w:p>
            <w:pPr>
              <w:pStyle w:val="nTable"/>
              <w:spacing w:before="0" w:after="40"/>
              <w:rPr>
                <w:sz w:val="19"/>
              </w:rPr>
            </w:pPr>
            <w:r>
              <w:rPr>
                <w:sz w:val="19"/>
              </w:rPr>
              <w:t>bl. 1 and 2: 10 Sep 2010 (see bl. 2(a));</w:t>
            </w:r>
            <w:r>
              <w:rPr>
                <w:sz w:val="19"/>
              </w:rPr>
              <w:br/>
              <w:t>By-laws other than bl. 1 and 2: 11 Sep 2010 (see bl. 2(b))</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2011</w:t>
            </w:r>
          </w:p>
        </w:tc>
        <w:tc>
          <w:tcPr>
            <w:tcW w:w="1276" w:type="dxa"/>
          </w:tcPr>
          <w:p>
            <w:pPr>
              <w:pStyle w:val="nTable"/>
              <w:spacing w:after="40"/>
              <w:rPr>
                <w:sz w:val="19"/>
              </w:rPr>
            </w:pPr>
            <w:r>
              <w:rPr>
                <w:sz w:val="19"/>
              </w:rPr>
              <w:t>23 Jun 2011 p. 2417-93</w:t>
            </w:r>
          </w:p>
        </w:tc>
        <w:tc>
          <w:tcPr>
            <w:tcW w:w="2693" w:type="dxa"/>
          </w:tcPr>
          <w:p>
            <w:pPr>
              <w:pStyle w:val="nTable"/>
              <w:spacing w:before="0" w:after="40"/>
              <w:rPr>
                <w:sz w:val="19"/>
              </w:rPr>
            </w:pPr>
            <w:r>
              <w:rPr>
                <w:sz w:val="19"/>
              </w:rPr>
              <w:t>bl. 1 and 2: 23 Jun 2011 (see bl. 2(a));</w:t>
            </w:r>
            <w:r>
              <w:rPr>
                <w:sz w:val="19"/>
              </w:rPr>
              <w:br/>
              <w:t>By-laws other than bl. 1 and 2: 1 Jul 2011 (see bl. 2(b))</w:t>
            </w:r>
          </w:p>
        </w:tc>
      </w:tr>
      <w:tr>
        <w:trPr>
          <w:cantSplit/>
        </w:trPr>
        <w:tc>
          <w:tcPr>
            <w:tcW w:w="3118" w:type="dxa"/>
            <w:tcBorders>
              <w:bottom w:val="single" w:sz="4" w:space="0" w:color="auto"/>
            </w:tcBorders>
          </w:tcPr>
          <w:p>
            <w:pPr>
              <w:pStyle w:val="nTable"/>
              <w:spacing w:after="40"/>
              <w:ind w:right="113"/>
              <w:rPr>
                <w:i/>
                <w:sz w:val="19"/>
              </w:rPr>
            </w:pPr>
            <w:r>
              <w:rPr>
                <w:i/>
                <w:sz w:val="19"/>
              </w:rPr>
              <w:t>Water Agencies (Charges) Amendment By</w:t>
            </w:r>
            <w:r>
              <w:rPr>
                <w:i/>
                <w:sz w:val="19"/>
              </w:rPr>
              <w:noBreakHyphen/>
              <w:t>laws 2012</w:t>
            </w:r>
          </w:p>
        </w:tc>
        <w:tc>
          <w:tcPr>
            <w:tcW w:w="1276" w:type="dxa"/>
            <w:tcBorders>
              <w:bottom w:val="single" w:sz="4" w:space="0" w:color="auto"/>
            </w:tcBorders>
          </w:tcPr>
          <w:p>
            <w:pPr>
              <w:pStyle w:val="nTable"/>
              <w:spacing w:after="40"/>
              <w:rPr>
                <w:sz w:val="19"/>
              </w:rPr>
            </w:pPr>
            <w:r>
              <w:rPr>
                <w:sz w:val="19"/>
              </w:rPr>
              <w:t>20 Jun 2012 p. 2693</w:t>
            </w:r>
            <w:r>
              <w:rPr>
                <w:sz w:val="19"/>
              </w:rPr>
              <w:noBreakHyphen/>
              <w:t>774</w:t>
            </w:r>
          </w:p>
        </w:tc>
        <w:tc>
          <w:tcPr>
            <w:tcW w:w="2693" w:type="dxa"/>
            <w:tcBorders>
              <w:bottom w:val="single" w:sz="4" w:space="0" w:color="auto"/>
            </w:tcBorders>
          </w:tcPr>
          <w:p>
            <w:pPr>
              <w:pStyle w:val="nTable"/>
              <w:spacing w:before="0" w:after="40"/>
              <w:rPr>
                <w:sz w:val="19"/>
              </w:rPr>
            </w:pPr>
            <w:r>
              <w:rPr>
                <w:snapToGrid w:val="0"/>
                <w:spacing w:val="-2"/>
                <w:sz w:val="19"/>
                <w:lang w:val="en-US"/>
              </w:rPr>
              <w:t>bl. 1 and 2: 20 Jun 2012 (see bl. 2(a));</w:t>
            </w:r>
            <w:r>
              <w:rPr>
                <w:snapToGrid w:val="0"/>
                <w:spacing w:val="-2"/>
                <w:sz w:val="19"/>
                <w:lang w:val="en-US"/>
              </w:rPr>
              <w:br/>
              <w:t>By-laws other than bl. 1 and 2: 1 Jul 2012 (see bl. 2(b))</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Now established by the </w:t>
      </w:r>
      <w:r>
        <w:rPr>
          <w:i/>
          <w:snapToGrid w:val="0"/>
        </w:rPr>
        <w:t>Port Authorities Act 1999</w:t>
      </w:r>
      <w:r>
        <w:rPr>
          <w:snapToGrid w:val="0"/>
        </w:rPr>
        <w:t xml:space="preserve"> s. 4.</w:t>
      </w:r>
    </w:p>
    <w:p>
      <w:pPr>
        <w:pStyle w:val="nSubsection"/>
        <w:rPr>
          <w:snapToGrid w:val="0"/>
        </w:rPr>
      </w:pPr>
      <w:r>
        <w:rPr>
          <w:snapToGrid w:val="0"/>
          <w:vertAlign w:val="superscript"/>
        </w:rPr>
        <w:t>3</w:t>
      </w:r>
      <w:r>
        <w:rPr>
          <w:snapToGrid w:val="0"/>
        </w:rPr>
        <w:tab/>
        <w:t xml:space="preserve">Under the </w:t>
      </w:r>
      <w:r>
        <w:rPr>
          <w:i/>
          <w:snapToGrid w:val="0"/>
        </w:rPr>
        <w:t>Marine and Harbours Act 1981</w:t>
      </w:r>
      <w:r>
        <w:rPr>
          <w:snapToGrid w:val="0"/>
        </w:rPr>
        <w:t xml:space="preserve"> s. 20 a reference in a written law to the former Department of Marine and Harbours is, unless the contrary intention appears, to be read and construed as a reference to the department principally assisting the Minister in the administration of that Act.</w:t>
      </w:r>
    </w:p>
    <w:p>
      <w:pPr>
        <w:pStyle w:val="nSubsection"/>
        <w:spacing w:before="60"/>
        <w:rPr>
          <w:i/>
          <w:snapToGrid w:val="0"/>
        </w:rPr>
      </w:pPr>
      <w:r>
        <w:rPr>
          <w:snapToGrid w:val="0"/>
          <w:vertAlign w:val="superscript"/>
        </w:rPr>
        <w:t>4</w:t>
      </w:r>
      <w:r>
        <w:rPr>
          <w:snapToGrid w:val="0"/>
        </w:rPr>
        <w:tab/>
        <w:t xml:space="preserve">Repealed by the </w:t>
      </w:r>
      <w:r>
        <w:rPr>
          <w:i/>
          <w:snapToGrid w:val="0"/>
        </w:rPr>
        <w:t>Gas Corporation (Business Disposal) Act 1999</w:t>
      </w:r>
      <w:r>
        <w:rPr>
          <w:snapToGrid w:val="0"/>
        </w:rPr>
        <w:t>.</w:t>
      </w:r>
    </w:p>
    <w:p>
      <w:pPr>
        <w:pStyle w:val="nSubsection"/>
        <w:spacing w:before="60"/>
        <w:rPr>
          <w:snapToGrid w:val="0"/>
        </w:rPr>
      </w:pPr>
      <w:r>
        <w:rPr>
          <w:snapToGrid w:val="0"/>
          <w:vertAlign w:val="superscript"/>
        </w:rPr>
        <w:t>5</w:t>
      </w:r>
      <w:r>
        <w:rPr>
          <w:snapToGrid w:val="0"/>
        </w:rPr>
        <w:tab/>
        <w:t xml:space="preserve">Repealed by the </w:t>
      </w:r>
      <w:smartTag w:uri="urn:schemas-microsoft-com:office:smarttags" w:element="place">
        <w:smartTag w:uri="urn:schemas-microsoft-com:office:smarttags" w:element="PlaceName">
          <w:r>
            <w:rPr>
              <w:i/>
              <w:snapToGrid w:val="0"/>
            </w:rPr>
            <w:t>Western</w:t>
          </w:r>
        </w:smartTag>
        <w:r>
          <w:rPr>
            <w:i/>
            <w:snapToGrid w:val="0"/>
          </w:rPr>
          <w:t xml:space="preserve"> </w:t>
        </w:r>
        <w:smartTag w:uri="urn:schemas-microsoft-com:office:smarttags" w:element="PlaceName">
          <w:r>
            <w:rPr>
              <w:i/>
              <w:snapToGrid w:val="0"/>
            </w:rPr>
            <w:t>Australian</w:t>
          </w:r>
        </w:smartTag>
        <w:r>
          <w:rPr>
            <w:i/>
            <w:snapToGrid w:val="0"/>
          </w:rPr>
          <w:t xml:space="preserve"> </w:t>
        </w:r>
        <w:smartTag w:uri="urn:schemas-microsoft-com:office:smarttags" w:element="PlaceType">
          <w:r>
            <w:rPr>
              <w:i/>
              <w:snapToGrid w:val="0"/>
            </w:rPr>
            <w:t>Land</w:t>
          </w:r>
        </w:smartTag>
      </w:smartTag>
      <w:r>
        <w:rPr>
          <w:i/>
          <w:snapToGrid w:val="0"/>
        </w:rPr>
        <w:t xml:space="preserve"> Authority Act 1992</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Public Transport Authority Act 2003</w:t>
      </w:r>
      <w:r>
        <w:rPr>
          <w:snapToGrid w:val="0"/>
        </w:rPr>
        <w:t>.</w:t>
      </w:r>
    </w:p>
    <w:p>
      <w:pPr>
        <w:pStyle w:val="nSubsection"/>
        <w:spacing w:before="60"/>
        <w:rPr>
          <w:snapToGrid w:val="0"/>
        </w:rPr>
      </w:pPr>
      <w:r>
        <w:rPr>
          <w:snapToGrid w:val="0"/>
          <w:vertAlign w:val="superscript"/>
        </w:rPr>
        <w:t>7</w:t>
      </w:r>
      <w:r>
        <w:rPr>
          <w:snapToGrid w:val="0"/>
        </w:rPr>
        <w:tab/>
        <w:t xml:space="preserve">Repealed by the </w:t>
      </w:r>
      <w:r>
        <w:rPr>
          <w:i/>
          <w:snapToGrid w:val="0"/>
        </w:rPr>
        <w:t>WADC and WA Exim Corporation Repeal Act 1998</w:t>
      </w:r>
      <w:r>
        <w:rPr>
          <w:snapToGrid w:val="0"/>
        </w:rPr>
        <w:t>.</w:t>
      </w:r>
    </w:p>
    <w:p>
      <w:pPr>
        <w:pStyle w:val="nSubsection"/>
        <w:spacing w:before="60"/>
        <w:rPr>
          <w:snapToGrid w:val="0"/>
        </w:rPr>
      </w:pPr>
      <w:r>
        <w:rPr>
          <w:snapToGrid w:val="0"/>
          <w:vertAlign w:val="superscript"/>
        </w:rPr>
        <w:t>8</w:t>
      </w:r>
      <w:r>
        <w:rPr>
          <w:snapToGrid w:val="0"/>
        </w:rPr>
        <w:tab/>
        <w:t xml:space="preserve">Repealed by the </w:t>
      </w:r>
      <w:r>
        <w:rPr>
          <w:i/>
          <w:snapToGrid w:val="0"/>
        </w:rPr>
        <w:t>Meat Industry Legislation (Amendment and Repeal) Act 1993</w:t>
      </w:r>
      <w:r>
        <w:rPr>
          <w:snapToGrid w:val="0"/>
        </w:rPr>
        <w:t>.</w:t>
      </w:r>
    </w:p>
    <w:p>
      <w:pPr>
        <w:pStyle w:val="nSubsection"/>
        <w:rPr>
          <w:snapToGrid w:val="0"/>
        </w:rPr>
      </w:pPr>
      <w:r>
        <w:rPr>
          <w:snapToGrid w:val="0"/>
          <w:vertAlign w:val="superscript"/>
        </w:rPr>
        <w:t>9</w:t>
      </w:r>
      <w:r>
        <w:rPr>
          <w:snapToGrid w:val="0"/>
        </w:rPr>
        <w:tab/>
        <w:t xml:space="preserve">Under the </w:t>
      </w:r>
      <w:r>
        <w:rPr>
          <w:i/>
          <w:snapToGrid w:val="0"/>
        </w:rPr>
        <w:t>Public Transport Authority Act 2003</w:t>
      </w:r>
      <w:r>
        <w:rPr>
          <w:snapToGrid w:val="0"/>
        </w:rPr>
        <w:t xml:space="preserve"> s. 85 a reference in a written law to the former Western Australian Government Railways Commission is, unless in the context it would be inappropriate to do so, to be construed as a reference to the Public Transport Authority.</w:t>
      </w:r>
    </w:p>
    <w:p>
      <w:pPr>
        <w:pStyle w:val="nSubsection"/>
        <w:spacing w:before="60"/>
        <w:rPr>
          <w:snapToGrid w:val="0"/>
        </w:rPr>
      </w:pPr>
      <w:r>
        <w:rPr>
          <w:snapToGrid w:val="0"/>
          <w:vertAlign w:val="superscript"/>
        </w:rPr>
        <w:t>10</w:t>
      </w:r>
      <w:r>
        <w:rPr>
          <w:snapToGrid w:val="0"/>
        </w:rPr>
        <w:tab/>
        <w:t xml:space="preserve">Formerly referred to the </w:t>
      </w:r>
      <w:r>
        <w:rPr>
          <w:i/>
          <w:snapToGrid w:val="0"/>
        </w:rPr>
        <w:t>Western Australian Greyhound Racing Authority Act 1981</w:t>
      </w:r>
      <w:r>
        <w:rPr>
          <w:snapToGrid w:val="0"/>
        </w:rPr>
        <w:t xml:space="preserve"> the short title of which was changed to the </w:t>
      </w:r>
      <w:r>
        <w:rPr>
          <w:i/>
          <w:snapToGrid w:val="0"/>
        </w:rPr>
        <w:t>Western Australian Greyhound Racing Association Act 1981</w:t>
      </w:r>
      <w:r>
        <w:rPr>
          <w:snapToGrid w:val="0"/>
        </w:rPr>
        <w:t xml:space="preserve"> by the </w:t>
      </w:r>
      <w:r>
        <w:rPr>
          <w:i/>
        </w:rPr>
        <w:t xml:space="preserve">Racing and Gambling Legislation Amendment and Repeal Act 2003 </w:t>
      </w:r>
      <w:r>
        <w:t xml:space="preserve">s. 197. The reference was changed under the </w:t>
      </w:r>
      <w:r>
        <w:rPr>
          <w:i/>
        </w:rPr>
        <w:t>Reprints Act 1984</w:t>
      </w:r>
      <w:r>
        <w:t xml:space="preserve"> s. 7(3)(gb)</w:t>
      </w:r>
      <w:r>
        <w:rPr>
          <w:snapToGrid w:val="0"/>
        </w:rPr>
        <w:t>.</w:t>
      </w:r>
    </w:p>
    <w:p>
      <w:pPr>
        <w:pStyle w:val="nSubsection"/>
        <w:rPr>
          <w:snapToGrid w:val="0"/>
        </w:rPr>
      </w:pPr>
      <w:r>
        <w:rPr>
          <w:snapToGrid w:val="0"/>
          <w:vertAlign w:val="superscript"/>
        </w:rPr>
        <w:t>11</w:t>
      </w:r>
      <w:r>
        <w:rPr>
          <w:snapToGrid w:val="0"/>
        </w:rPr>
        <w:tab/>
        <w:t xml:space="preserve">Repealed by the </w:t>
      </w:r>
      <w:r>
        <w:rPr>
          <w:i/>
          <w:color w:val="000000"/>
        </w:rPr>
        <w:t>Racing and Gambling Legislation Amendment and Repeal Act 2003</w:t>
      </w:r>
      <w:r>
        <w:rPr>
          <w:snapToGrid w:val="0"/>
        </w:rPr>
        <w:t>.</w:t>
      </w:r>
    </w:p>
    <w:p>
      <w:pPr>
        <w:pStyle w:val="nSubsection"/>
        <w:spacing w:before="60"/>
        <w:rPr>
          <w:snapToGrid w:val="0"/>
        </w:rPr>
      </w:pPr>
      <w:r>
        <w:rPr>
          <w:snapToGrid w:val="0"/>
          <w:vertAlign w:val="superscript"/>
        </w:rPr>
        <w:t>12</w:t>
      </w:r>
      <w:r>
        <w:rPr>
          <w:snapToGrid w:val="0"/>
        </w:rPr>
        <w:tab/>
        <w:t xml:space="preserve">Now known as the </w:t>
      </w:r>
      <w:r>
        <w:rPr>
          <w:i/>
          <w:snapToGrid w:val="0"/>
        </w:rPr>
        <w:t>Water Agencies (Charges) By</w:t>
      </w:r>
      <w:r>
        <w:rPr>
          <w:i/>
        </w:rPr>
        <w:noBreakHyphen/>
      </w:r>
      <w:r>
        <w:rPr>
          <w:i/>
          <w:snapToGrid w:val="0"/>
        </w:rPr>
        <w:t>laws 1987</w:t>
      </w:r>
      <w:r>
        <w:rPr>
          <w:snapToGrid w:val="0"/>
        </w:rPr>
        <w:t>; citation changed (see note under bl. 1).</w:t>
      </w:r>
    </w:p>
    <w:p>
      <w:pPr>
        <w:pStyle w:val="nSubsection"/>
        <w:rPr>
          <w:snapToGrid w:val="0"/>
        </w:rPr>
      </w:pPr>
      <w:r>
        <w:rPr>
          <w:snapToGrid w:val="0"/>
          <w:vertAlign w:val="superscript"/>
        </w:rPr>
        <w:t>13</w:t>
      </w:r>
      <w:r>
        <w:rPr>
          <w:snapToGrid w:val="0"/>
        </w:rPr>
        <w:tab/>
        <w:t xml:space="preserve">The </w:t>
      </w:r>
      <w:r>
        <w:rPr>
          <w:i/>
          <w:snapToGrid w:val="0"/>
        </w:rPr>
        <w:t>Water Authority (Charges) Amendment By</w:t>
      </w:r>
      <w:r>
        <w:rPr>
          <w:i/>
          <w:snapToGrid w:val="0"/>
        </w:rPr>
        <w:noBreakHyphen/>
        <w:t>laws (No. 3) 1989</w:t>
      </w:r>
      <w:r>
        <w:rPr>
          <w:snapToGrid w:val="0"/>
        </w:rPr>
        <w:t xml:space="preserve"> bl. 3 is an application provision that is of no further effect.</w:t>
      </w:r>
    </w:p>
    <w:p>
      <w:pPr>
        <w:pStyle w:val="nSubsection"/>
        <w:rPr>
          <w:snapToGrid w:val="0"/>
        </w:rPr>
      </w:pPr>
      <w:r>
        <w:rPr>
          <w:snapToGrid w:val="0"/>
          <w:vertAlign w:val="superscript"/>
        </w:rPr>
        <w:t>14</w:t>
      </w:r>
      <w:r>
        <w:rPr>
          <w:snapToGrid w:val="0"/>
        </w:rPr>
        <w:tab/>
        <w:t xml:space="preserve">The </w:t>
      </w:r>
      <w:r>
        <w:rPr>
          <w:i/>
          <w:snapToGrid w:val="0"/>
        </w:rPr>
        <w:t>Water Authority (Charges) Amendment By</w:t>
      </w:r>
      <w:r>
        <w:rPr>
          <w:i/>
          <w:snapToGrid w:val="0"/>
        </w:rPr>
        <w:noBreakHyphen/>
        <w:t>laws 1990</w:t>
      </w:r>
      <w:r>
        <w:rPr>
          <w:snapToGrid w:val="0"/>
        </w:rPr>
        <w:t xml:space="preserve"> bl. 3 is an application provision that is of no further effect.</w:t>
      </w:r>
    </w:p>
    <w:p>
      <w:pPr>
        <w:pStyle w:val="nSubsection"/>
      </w:pPr>
      <w:r>
        <w:rPr>
          <w:vertAlign w:val="superscript"/>
        </w:rPr>
        <w:t>15</w:t>
      </w:r>
      <w:r>
        <w:tab/>
        <w:t xml:space="preserve">The </w:t>
      </w:r>
      <w:r>
        <w:rPr>
          <w:i/>
        </w:rPr>
        <w:t>Water Authority (Charges) Amendment By</w:t>
      </w:r>
      <w:r>
        <w:rPr>
          <w:i/>
        </w:rPr>
        <w:noBreakHyphen/>
        <w:t>laws 1991</w:t>
      </w:r>
      <w:r>
        <w:t xml:space="preserve"> bl. 3 and 7 are application provisions that are of no further effect.</w:t>
      </w:r>
    </w:p>
    <w:p>
      <w:pPr>
        <w:pStyle w:val="nSubsection"/>
        <w:rPr>
          <w:snapToGrid w:val="0"/>
        </w:rPr>
      </w:pPr>
      <w:r>
        <w:rPr>
          <w:snapToGrid w:val="0"/>
          <w:vertAlign w:val="superscript"/>
        </w:rPr>
        <w:t>16</w:t>
      </w:r>
      <w:r>
        <w:rPr>
          <w:snapToGrid w:val="0"/>
        </w:rPr>
        <w:tab/>
        <w:t xml:space="preserve">The </w:t>
      </w:r>
      <w:r>
        <w:rPr>
          <w:i/>
          <w:snapToGrid w:val="0"/>
        </w:rPr>
        <w:t>Water Authority (Charges) Amendment By</w:t>
      </w:r>
      <w:r>
        <w:rPr>
          <w:i/>
          <w:snapToGrid w:val="0"/>
        </w:rPr>
        <w:noBreakHyphen/>
        <w:t>laws 1992</w:t>
      </w:r>
      <w:r>
        <w:rPr>
          <w:snapToGrid w:val="0"/>
        </w:rPr>
        <w:t xml:space="preserve"> bl. 4 is an application provision that is of no further effect.</w:t>
      </w:r>
    </w:p>
    <w:p>
      <w:pPr>
        <w:pStyle w:val="nSubsection"/>
        <w:rPr>
          <w:snapToGrid w:val="0"/>
        </w:rPr>
      </w:pPr>
      <w:r>
        <w:rPr>
          <w:snapToGrid w:val="0"/>
          <w:vertAlign w:val="superscript"/>
        </w:rPr>
        <w:t>17</w:t>
      </w:r>
      <w:r>
        <w:rPr>
          <w:snapToGrid w:val="0"/>
        </w:rPr>
        <w:tab/>
        <w:t xml:space="preserve">The </w:t>
      </w:r>
      <w:r>
        <w:rPr>
          <w:i/>
          <w:snapToGrid w:val="0"/>
        </w:rPr>
        <w:t>Water Authority (Charges) Amendment By</w:t>
      </w:r>
      <w:r>
        <w:rPr>
          <w:i/>
          <w:snapToGrid w:val="0"/>
        </w:rPr>
        <w:noBreakHyphen/>
        <w:t>laws (No. 4) 1992</w:t>
      </w:r>
      <w:r>
        <w:rPr>
          <w:snapToGrid w:val="0"/>
        </w:rPr>
        <w:t xml:space="preserve"> bl. 4 is an application provision that is of no further effect.</w:t>
      </w:r>
    </w:p>
    <w:p>
      <w:pPr>
        <w:pStyle w:val="nSubsection"/>
        <w:keepNext/>
        <w:rPr>
          <w:snapToGrid w:val="0"/>
        </w:rPr>
      </w:pPr>
      <w:r>
        <w:rPr>
          <w:snapToGrid w:val="0"/>
          <w:vertAlign w:val="superscript"/>
        </w:rPr>
        <w:t>18</w:t>
      </w:r>
      <w:r>
        <w:rPr>
          <w:snapToGrid w:val="0"/>
        </w:rPr>
        <w:tab/>
        <w:t xml:space="preserve">The </w:t>
      </w:r>
      <w:r>
        <w:rPr>
          <w:i/>
          <w:snapToGrid w:val="0"/>
        </w:rPr>
        <w:t>Water Agencies (Charges) Amendment By</w:t>
      </w:r>
      <w:r>
        <w:rPr>
          <w:i/>
          <w:snapToGrid w:val="0"/>
        </w:rPr>
        <w:noBreakHyphen/>
        <w:t>laws (No. 5) 1997</w:t>
      </w:r>
      <w:r>
        <w:rPr>
          <w:snapToGrid w:val="0"/>
        </w:rPr>
        <w:t xml:space="preserve"> bl. 10 is a savings provision that is of no further effect.</w:t>
      </w:r>
    </w:p>
    <w:p>
      <w:pPr>
        <w:pStyle w:val="nSubsection"/>
      </w:pPr>
      <w:r>
        <w:rPr>
          <w:vertAlign w:val="superscript"/>
        </w:rPr>
        <w:t>19</w:t>
      </w:r>
      <w:r>
        <w:tab/>
        <w:t xml:space="preserve">The </w:t>
      </w:r>
      <w:r>
        <w:rPr>
          <w:i/>
        </w:rPr>
        <w:t>Water Agencies (Charges) Amendment By</w:t>
      </w:r>
      <w:r>
        <w:rPr>
          <w:i/>
        </w:rPr>
        <w:noBreakHyphen/>
        <w:t>laws (No. 2) 1999</w:t>
      </w:r>
      <w:r>
        <w:t xml:space="preserve"> bl. 32(2) is a transitional provision that is of no further effect.</w:t>
      </w:r>
    </w:p>
    <w:p>
      <w:pPr>
        <w:pStyle w:val="nSubsection"/>
        <w:rPr>
          <w:snapToGrid w:val="0"/>
        </w:rPr>
      </w:pPr>
      <w:r>
        <w:rPr>
          <w:vertAlign w:val="superscript"/>
        </w:rPr>
        <w:t>20</w:t>
      </w:r>
      <w:r>
        <w:tab/>
        <w:t xml:space="preserve">The </w:t>
      </w:r>
      <w:r>
        <w:rPr>
          <w:i/>
        </w:rPr>
        <w:t>Water Agencies (Charges) Amendment By</w:t>
      </w:r>
      <w:r>
        <w:rPr>
          <w:i/>
        </w:rPr>
        <w:noBreakHyphen/>
        <w:t>Laws (No. 5) 2001</w:t>
      </w:r>
      <w:r>
        <w:t xml:space="preserve"> bl. 2 and 6 are transitional and application provisions that are of no further effect.</w:t>
      </w:r>
    </w:p>
    <w:p>
      <w:pPr>
        <w:pStyle w:val="nSubsection"/>
        <w:keepNext/>
        <w:keepLines/>
      </w:pPr>
      <w:r>
        <w:rPr>
          <w:vertAlign w:val="superscript"/>
        </w:rPr>
        <w:t>21</w:t>
      </w:r>
      <w:r>
        <w:tab/>
        <w:t xml:space="preserve">The </w:t>
      </w:r>
      <w:r>
        <w:rPr>
          <w:i/>
        </w:rPr>
        <w:t>Water Agencies (Charges) Amendment By</w:t>
      </w:r>
      <w:r>
        <w:rPr>
          <w:i/>
        </w:rPr>
        <w:noBreakHyphen/>
        <w:t xml:space="preserve">laws 2002 </w:t>
      </w:r>
      <w:r>
        <w:t>bl. 3</w:t>
      </w:r>
      <w:r>
        <w:rPr>
          <w:i/>
        </w:rPr>
        <w:t xml:space="preserve"> </w:t>
      </w:r>
      <w:r>
        <w:t>reads as follows:</w:t>
      </w:r>
    </w:p>
    <w:p>
      <w:pPr>
        <w:pStyle w:val="BlankOpen"/>
      </w:pPr>
    </w:p>
    <w:p>
      <w:pPr>
        <w:pStyle w:val="nzHeading5"/>
      </w:pPr>
      <w:r>
        <w:rPr>
          <w:rStyle w:val="CharSectno"/>
        </w:rPr>
        <w:t>3</w:t>
      </w:r>
      <w:r>
        <w:t>.</w:t>
      </w:r>
      <w:r>
        <w:tab/>
        <w:t>Saving</w:t>
      </w:r>
    </w:p>
    <w:p>
      <w:pPr>
        <w:pStyle w:val="nzSubsection"/>
      </w:pPr>
      <w:r>
        <w:tab/>
      </w:r>
      <w:r>
        <w:tab/>
        <w:t>Where a hydrant standpipe in the metropolitan area was issued by the Corporation before the commencement of these by</w:t>
      </w:r>
      <w:r>
        <w:noBreakHyphen/>
        <w:t xml:space="preserve">laws, the charge under Schedule 1 item 31 to the </w:t>
      </w:r>
      <w:r>
        <w:rPr>
          <w:i/>
        </w:rPr>
        <w:t>Water Agencies (Charges) By</w:t>
      </w:r>
      <w:r>
        <w:rPr>
          <w:i/>
        </w:rPr>
        <w:noBreakHyphen/>
        <w:t>laws 1987</w:t>
      </w:r>
      <w:r>
        <w:t xml:space="preserve"> in respect of the standpipe is to be assessed as if these by</w:t>
      </w:r>
      <w:r>
        <w:noBreakHyphen/>
        <w:t>laws had not come into operation.</w:t>
      </w:r>
    </w:p>
    <w:p>
      <w:pPr>
        <w:pStyle w:val="BlankClose"/>
        <w:rPr>
          <w:snapToGrid w:val="0"/>
        </w:rPr>
      </w:pPr>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Pr>
        <w:pStyle w:val="nHeading2"/>
        <w:rPr>
          <w:sz w:val="28"/>
        </w:rPr>
      </w:pPr>
      <w:bookmarkStart w:id="813" w:name="_Toc235933483"/>
      <w:bookmarkStart w:id="814" w:name="_Toc237164471"/>
      <w:bookmarkStart w:id="815" w:name="_Toc237244355"/>
      <w:bookmarkStart w:id="816" w:name="_Toc237245679"/>
      <w:bookmarkStart w:id="817" w:name="_Toc237245810"/>
      <w:bookmarkStart w:id="818" w:name="_Toc237247952"/>
      <w:bookmarkStart w:id="819" w:name="_Toc237254267"/>
      <w:bookmarkStart w:id="820" w:name="_Toc237309686"/>
      <w:bookmarkStart w:id="821" w:name="_Toc265743695"/>
      <w:bookmarkStart w:id="822" w:name="_Toc297540813"/>
      <w:bookmarkStart w:id="823" w:name="_Toc297541241"/>
      <w:bookmarkStart w:id="824" w:name="_Toc328403467"/>
      <w:bookmarkStart w:id="825" w:name="_Toc328471517"/>
      <w:r>
        <w:rPr>
          <w:sz w:val="28"/>
        </w:rPr>
        <w:t>Defined Terms</w:t>
      </w:r>
      <w:bookmarkEnd w:id="813"/>
      <w:bookmarkEnd w:id="814"/>
      <w:bookmarkEnd w:id="815"/>
      <w:bookmarkEnd w:id="816"/>
      <w:bookmarkEnd w:id="817"/>
      <w:bookmarkEnd w:id="818"/>
      <w:bookmarkEnd w:id="819"/>
      <w:bookmarkEnd w:id="820"/>
      <w:bookmarkEnd w:id="821"/>
      <w:bookmarkEnd w:id="822"/>
      <w:bookmarkEnd w:id="823"/>
      <w:bookmarkEnd w:id="824"/>
      <w:bookmarkEnd w:id="8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26" w:name="DefinedTerms"/>
      <w:bookmarkEnd w:id="826"/>
      <w:r>
        <w:t>&gt;</w:t>
      </w:r>
      <w:r>
        <w:tab/>
        <w:t>2(3)</w:t>
      </w:r>
    </w:p>
    <w:p>
      <w:pPr>
        <w:pStyle w:val="DefinedTerms"/>
      </w:pPr>
      <w:r>
        <w:t>≤</w:t>
      </w:r>
      <w:r>
        <w:tab/>
        <w:t>2(3)</w:t>
      </w:r>
    </w:p>
    <w:p>
      <w:pPr>
        <w:pStyle w:val="DefinedTerms"/>
      </w:pPr>
      <w:r>
        <w:t>aged home</w:t>
      </w:r>
      <w:r>
        <w:tab/>
        <w:t>2(1)</w:t>
      </w:r>
    </w:p>
    <w:p>
      <w:pPr>
        <w:pStyle w:val="DefinedTerms"/>
      </w:pPr>
      <w:r>
        <w:t>AGRV</w:t>
      </w:r>
      <w:r>
        <w:tab/>
        <w:t>14(2), 24(2)</w:t>
      </w:r>
    </w:p>
    <w:p>
      <w:pPr>
        <w:pStyle w:val="DefinedTerms"/>
      </w:pPr>
      <w:r>
        <w:t>caravan bay</w:t>
      </w:r>
      <w:r>
        <w:tab/>
        <w:t>2(1)</w:t>
      </w:r>
    </w:p>
    <w:p>
      <w:pPr>
        <w:pStyle w:val="DefinedTerms"/>
      </w:pPr>
      <w:r>
        <w:t>charge</w:t>
      </w:r>
      <w:r>
        <w:tab/>
        <w:t>7(1)</w:t>
      </w:r>
    </w:p>
    <w:p>
      <w:pPr>
        <w:pStyle w:val="DefinedTerms"/>
      </w:pPr>
      <w:r>
        <w:t>charitable purposes</w:t>
      </w:r>
      <w:r>
        <w:tab/>
        <w:t>4(3)</w:t>
      </w:r>
    </w:p>
    <w:p>
      <w:pPr>
        <w:pStyle w:val="DefinedTerms"/>
      </w:pPr>
      <w:r>
        <w:t>consumption year</w:t>
      </w:r>
      <w:r>
        <w:tab/>
        <w:t>2(1)</w:t>
      </w:r>
    </w:p>
    <w:p>
      <w:pPr>
        <w:pStyle w:val="DefinedTerms"/>
      </w:pPr>
      <w:r>
        <w:t>country non</w:t>
      </w:r>
      <w:r>
        <w:noBreakHyphen/>
        <w:t>residential or commercial residential property</w:t>
      </w:r>
      <w:r>
        <w:tab/>
        <w:t>21A</w:t>
      </w:r>
    </w:p>
    <w:p>
      <w:pPr>
        <w:pStyle w:val="DefinedTerms"/>
      </w:pPr>
      <w:r>
        <w:t>country sewerage area</w:t>
      </w:r>
      <w:r>
        <w:tab/>
        <w:t>2(1)</w:t>
      </w:r>
    </w:p>
    <w:p>
      <w:pPr>
        <w:pStyle w:val="DefinedTerms"/>
      </w:pPr>
      <w:r>
        <w:t>current year</w:t>
      </w:r>
      <w:r>
        <w:tab/>
        <w:t>2(1)</w:t>
      </w:r>
    </w:p>
    <w:p>
      <w:pPr>
        <w:pStyle w:val="DefinedTerms"/>
      </w:pPr>
      <w:r>
        <w:t>customer</w:t>
      </w:r>
      <w:r>
        <w:tab/>
        <w:t>33(1)</w:t>
      </w:r>
    </w:p>
    <w:p>
      <w:pPr>
        <w:pStyle w:val="DefinedTerms"/>
      </w:pPr>
      <w:r>
        <w:t>development</w:t>
      </w:r>
      <w:r>
        <w:tab/>
        <w:t>28(3)</w:t>
      </w:r>
    </w:p>
    <w:p>
      <w:pPr>
        <w:pStyle w:val="DefinedTerms"/>
      </w:pPr>
      <w:r>
        <w:t>discharge charge</w:t>
      </w:r>
      <w:r>
        <w:tab/>
        <w:t>2(1)</w:t>
      </w:r>
    </w:p>
    <w:p>
      <w:pPr>
        <w:pStyle w:val="DefinedTerms"/>
      </w:pPr>
      <w:r>
        <w:t>discharge factor</w:t>
      </w:r>
      <w:r>
        <w:tab/>
        <w:t>2(1)</w:t>
      </w:r>
    </w:p>
    <w:p>
      <w:pPr>
        <w:pStyle w:val="DefinedTerms"/>
      </w:pPr>
      <w:r>
        <w:t>discharge period</w:t>
      </w:r>
      <w:r>
        <w:tab/>
        <w:t>2(1)</w:t>
      </w:r>
    </w:p>
    <w:p>
      <w:pPr>
        <w:pStyle w:val="DefinedTerms"/>
      </w:pPr>
      <w:r>
        <w:t>discharge volume</w:t>
      </w:r>
      <w:r>
        <w:tab/>
        <w:t>2(1)</w:t>
      </w:r>
    </w:p>
    <w:p>
      <w:pPr>
        <w:pStyle w:val="DefinedTerms"/>
      </w:pPr>
      <w:r>
        <w:t>eligible pensioner</w:t>
      </w:r>
      <w:r>
        <w:tab/>
        <w:t>18(1), 18A(1), 18B(1)</w:t>
      </w:r>
    </w:p>
    <w:p>
      <w:pPr>
        <w:pStyle w:val="DefinedTerms"/>
      </w:pPr>
      <w:r>
        <w:t>exempt land</w:t>
      </w:r>
      <w:r>
        <w:tab/>
        <w:t>5A</w:t>
      </w:r>
    </w:p>
    <w:p>
      <w:pPr>
        <w:pStyle w:val="DefinedTerms"/>
      </w:pPr>
      <w:r>
        <w:t>formula</w:t>
      </w:r>
      <w:r>
        <w:tab/>
        <w:t>21A</w:t>
      </w:r>
    </w:p>
    <w:p>
      <w:pPr>
        <w:pStyle w:val="DefinedTerms"/>
      </w:pPr>
      <w:r>
        <w:t>Government trading organisation</w:t>
      </w:r>
      <w:r>
        <w:tab/>
        <w:t>2(1)</w:t>
      </w:r>
    </w:p>
    <w:p>
      <w:pPr>
        <w:pStyle w:val="DefinedTerms"/>
      </w:pPr>
      <w:r>
        <w:t>GRV</w:t>
      </w:r>
      <w:r>
        <w:tab/>
        <w:t>2(1)</w:t>
      </w:r>
    </w:p>
    <w:p>
      <w:pPr>
        <w:pStyle w:val="DefinedTerms"/>
      </w:pPr>
      <w:r>
        <w:t>holiday accommodation</w:t>
      </w:r>
      <w:r>
        <w:tab/>
        <w:t>2(1)</w:t>
      </w:r>
    </w:p>
    <w:p>
      <w:pPr>
        <w:pStyle w:val="DefinedTerms"/>
      </w:pPr>
      <w:r>
        <w:t>irrigation district</w:t>
      </w:r>
      <w:r>
        <w:tab/>
        <w:t>2(1)</w:t>
      </w:r>
    </w:p>
    <w:p>
      <w:pPr>
        <w:pStyle w:val="DefinedTerms"/>
      </w:pPr>
      <w:r>
        <w:t>land</w:t>
      </w:r>
      <w:r>
        <w:tab/>
        <w:t>19A(1)</w:t>
      </w:r>
    </w:p>
    <w:p>
      <w:pPr>
        <w:pStyle w:val="DefinedTerms"/>
      </w:pPr>
      <w:r>
        <w:t>long term residential caravan bay</w:t>
      </w:r>
      <w:r>
        <w:tab/>
        <w:t>2(1)</w:t>
      </w:r>
    </w:p>
    <w:p>
      <w:pPr>
        <w:pStyle w:val="DefinedTerms"/>
      </w:pPr>
      <w:r>
        <w:t>lot</w:t>
      </w:r>
      <w:r>
        <w:tab/>
        <w:t>28(3)</w:t>
      </w:r>
    </w:p>
    <w:p>
      <w:pPr>
        <w:pStyle w:val="DefinedTerms"/>
      </w:pPr>
      <w:r>
        <w:t>major fixture</w:t>
      </w:r>
      <w:r>
        <w:tab/>
        <w:t>2(1)</w:t>
      </w:r>
    </w:p>
    <w:p>
      <w:pPr>
        <w:pStyle w:val="DefinedTerms"/>
      </w:pPr>
      <w:r>
        <w:t>metropolitan area</w:t>
      </w:r>
      <w:r>
        <w:tab/>
        <w:t>2(1)</w:t>
      </w:r>
    </w:p>
    <w:p>
      <w:pPr>
        <w:pStyle w:val="DefinedTerms"/>
      </w:pPr>
      <w:r>
        <w:t>metropolitan non</w:t>
      </w:r>
      <w:r>
        <w:noBreakHyphen/>
        <w:t>residential property</w:t>
      </w:r>
      <w:r>
        <w:tab/>
        <w:t>21A</w:t>
      </w:r>
    </w:p>
    <w:p>
      <w:pPr>
        <w:pStyle w:val="DefinedTerms"/>
      </w:pPr>
      <w:r>
        <w:t>non</w:t>
      </w:r>
      <w:r>
        <w:noBreakHyphen/>
        <w:t>commercial Government property</w:t>
      </w:r>
      <w:r>
        <w:tab/>
        <w:t>2(1)</w:t>
      </w:r>
    </w:p>
    <w:p>
      <w:pPr>
        <w:pStyle w:val="DefinedTerms"/>
      </w:pPr>
      <w:r>
        <w:t>option A</w:t>
      </w:r>
      <w:r>
        <w:tab/>
        <w:t>33(2)(a)</w:t>
      </w:r>
    </w:p>
    <w:p>
      <w:pPr>
        <w:pStyle w:val="DefinedTerms"/>
      </w:pPr>
      <w:r>
        <w:t>option B</w:t>
      </w:r>
      <w:r>
        <w:tab/>
        <w:t>33(2)(b)</w:t>
      </w:r>
    </w:p>
    <w:p>
      <w:pPr>
        <w:pStyle w:val="DefinedTerms"/>
      </w:pPr>
      <w:r>
        <w:t>P</w:t>
      </w:r>
      <w:r>
        <w:tab/>
        <w:t>Sch. 3 cl. 18 and 36</w:t>
      </w:r>
    </w:p>
    <w:p>
      <w:pPr>
        <w:pStyle w:val="DefinedTerms"/>
      </w:pPr>
      <w:r>
        <w:t>previous year</w:t>
      </w:r>
      <w:r>
        <w:tab/>
        <w:t>2(1)</w:t>
      </w:r>
    </w:p>
    <w:p>
      <w:pPr>
        <w:pStyle w:val="DefinedTerms"/>
      </w:pPr>
      <w:r>
        <w:t>Q</w:t>
      </w:r>
      <w:r>
        <w:tab/>
        <w:t>Sch. 3 cl. 19 and 37</w:t>
      </w:r>
    </w:p>
    <w:p>
      <w:pPr>
        <w:pStyle w:val="DefinedTerms"/>
      </w:pPr>
      <w:r>
        <w:t>quantity charge</w:t>
      </w:r>
      <w:r>
        <w:tab/>
        <w:t>2(1)</w:t>
      </w:r>
    </w:p>
    <w:p>
      <w:pPr>
        <w:pStyle w:val="DefinedTerms"/>
      </w:pPr>
      <w:r>
        <w:t>R</w:t>
      </w:r>
      <w:r>
        <w:tab/>
        <w:t>Sch. 3 cl. 35</w:t>
      </w:r>
    </w:p>
    <w:p>
      <w:pPr>
        <w:pStyle w:val="DefinedTerms"/>
      </w:pPr>
      <w:r>
        <w:t>registered</w:t>
      </w:r>
      <w:r>
        <w:tab/>
        <w:t>18B(1)</w:t>
      </w:r>
    </w:p>
    <w:p>
      <w:pPr>
        <w:pStyle w:val="DefinedTerms"/>
      </w:pPr>
      <w:r>
        <w:t>relevant general valuation</w:t>
      </w:r>
      <w:r>
        <w:tab/>
        <w:t>Sch. 6 cl. 1</w:t>
      </w:r>
    </w:p>
    <w:p>
      <w:pPr>
        <w:pStyle w:val="DefinedTerms"/>
      </w:pPr>
      <w:r>
        <w:t>residence</w:t>
      </w:r>
      <w:r>
        <w:tab/>
        <w:t>2(1)</w:t>
      </w:r>
    </w:p>
    <w:p>
      <w:pPr>
        <w:pStyle w:val="DefinedTerms"/>
      </w:pPr>
      <w:r>
        <w:t>residential property</w:t>
      </w:r>
      <w:r>
        <w:tab/>
        <w:t>2(1)</w:t>
      </w:r>
    </w:p>
    <w:p>
      <w:pPr>
        <w:pStyle w:val="DefinedTerms"/>
      </w:pPr>
      <w:r>
        <w:t>retirement village</w:t>
      </w:r>
      <w:r>
        <w:tab/>
        <w:t>8A(3)</w:t>
      </w:r>
    </w:p>
    <w:p>
      <w:pPr>
        <w:pStyle w:val="DefinedTerms"/>
      </w:pPr>
      <w:r>
        <w:t>rural land</w:t>
      </w:r>
      <w:r>
        <w:tab/>
        <w:t>28(3)</w:t>
      </w:r>
    </w:p>
    <w:p>
      <w:pPr>
        <w:pStyle w:val="DefinedTerms"/>
      </w:pPr>
      <w:r>
        <w:t>single capital infrastructure charge</w:t>
      </w:r>
      <w:r>
        <w:tab/>
        <w:t>2(1)</w:t>
      </w:r>
    </w:p>
    <w:p>
      <w:pPr>
        <w:pStyle w:val="DefinedTerms"/>
      </w:pPr>
      <w:r>
        <w:t>site</w:t>
      </w:r>
      <w:r>
        <w:tab/>
        <w:t>2(1)</w:t>
      </w:r>
    </w:p>
    <w:p>
      <w:pPr>
        <w:pStyle w:val="DefinedTerms"/>
      </w:pPr>
      <w:r>
        <w:t>Table</w:t>
      </w:r>
      <w:r>
        <w:tab/>
        <w:t>21A</w:t>
      </w:r>
    </w:p>
    <w:p>
      <w:pPr>
        <w:pStyle w:val="DefinedTerms"/>
      </w:pPr>
      <w:r>
        <w:t>UV</w:t>
      </w:r>
      <w:r>
        <w:tab/>
        <w:t>2(1)</w:t>
      </w:r>
    </w:p>
    <w:p>
      <w:pPr>
        <w:pStyle w:val="DefinedTerms"/>
      </w:pPr>
      <w:r>
        <w:t>water supply</w:t>
      </w:r>
      <w:r>
        <w:tab/>
        <w:t>2(1)</w:t>
      </w:r>
    </w:p>
    <w:p>
      <w:pPr>
        <w:pStyle w:val="DefinedTerms"/>
      </w:pPr>
      <w:r>
        <w:t>water supply connection</w:t>
      </w:r>
      <w:r>
        <w:tab/>
        <w:t>12(1)</w:t>
      </w:r>
    </w:p>
    <w:p>
      <w:pPr>
        <w:pStyle w:val="DefinedTerms"/>
      </w:pPr>
      <w:r>
        <w:t>year</w:t>
      </w:r>
      <w:r>
        <w:tab/>
        <w:t>2(1)</w:t>
      </w:r>
    </w:p>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sectPr>
      <w:headerReference w:type="even" r:id="rId40"/>
      <w:headerReference w:type="defaul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80"/>
    </w:tblGrid>
    <w:tr>
      <w:trPr>
        <w:cantSplit/>
      </w:trPr>
      <w:tc>
        <w:tcPr>
          <w:tcW w:w="7312" w:type="dxa"/>
          <w:gridSpan w:val="2"/>
        </w:tcPr>
        <w:p>
          <w:pPr>
            <w:pStyle w:val="HeaderActNameLeft"/>
          </w:pPr>
          <w:fldSimple w:instr=" Styleref &quot;Name of Act/Reg&quot; ">
            <w:r>
              <w:rPr>
                <w:noProof/>
              </w:rPr>
              <w:t>Water Agencies (Charges) By-laws 1987</w:t>
            </w:r>
          </w:fldSimple>
        </w:p>
      </w:tc>
    </w:tr>
    <w:tr>
      <w:tc>
        <w:tcPr>
          <w:tcW w:w="1632"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680" w:type="dxa"/>
        </w:tcPr>
        <w:p>
          <w:pPr>
            <w:pStyle w:val="HeaderTextLeft"/>
          </w:pPr>
          <w:r>
            <w:fldChar w:fldCharType="begin"/>
          </w:r>
          <w:r>
            <w:instrText xml:space="preserve"> styleref CharPartText </w:instrText>
          </w:r>
          <w:r>
            <w:fldChar w:fldCharType="end"/>
          </w:r>
        </w:p>
      </w:tc>
    </w:tr>
    <w:tr>
      <w:tc>
        <w:tcPr>
          <w:tcW w:w="1632"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680"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60"/>
    </w:tblGrid>
    <w:tr>
      <w:trPr>
        <w:cantSplit/>
      </w:trPr>
      <w:tc>
        <w:tcPr>
          <w:tcW w:w="7302" w:type="dxa"/>
          <w:gridSpan w:val="2"/>
        </w:tcPr>
        <w:p>
          <w:pPr>
            <w:pStyle w:val="HeaderActNameRight"/>
          </w:pPr>
          <w:fldSimple w:instr=" Styleref &quot;Name of Act/Reg&quot; ">
            <w:r>
              <w:rPr>
                <w:noProof/>
              </w:rPr>
              <w:t>Water Agencies (Charges) By-laws 1987</w:t>
            </w:r>
          </w:fldSimple>
        </w:p>
      </w:tc>
    </w:tr>
    <w:tr>
      <w:tc>
        <w:tcPr>
          <w:tcW w:w="5742" w:type="dxa"/>
        </w:tcPr>
        <w:p>
          <w:pPr>
            <w:pStyle w:val="HeaderTextRight"/>
          </w:pPr>
          <w:r>
            <w:fldChar w:fldCharType="begin"/>
          </w:r>
          <w:r>
            <w:instrText xml:space="preserve"> styleref CharPartText </w:instrText>
          </w:r>
          <w:r>
            <w:fldChar w:fldCharType="end"/>
          </w:r>
        </w:p>
      </w:tc>
      <w:tc>
        <w:tcPr>
          <w:tcW w:w="1560"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42" w:type="dxa"/>
        </w:tcPr>
        <w:p>
          <w:pPr>
            <w:pStyle w:val="HeaderTextRight"/>
          </w:pPr>
          <w:r>
            <w:fldChar w:fldCharType="begin"/>
          </w:r>
          <w:r>
            <w:instrText xml:space="preserve"> styleref CharDivText </w:instrText>
          </w:r>
          <w:r>
            <w:fldChar w:fldCharType="end"/>
          </w:r>
        </w:p>
      </w:tc>
      <w:tc>
        <w:tcPr>
          <w:tcW w:w="1560"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302" w:type="dxa"/>
          <w:gridSpan w:val="2"/>
        </w:tcPr>
        <w:p>
          <w:pPr>
            <w:pStyle w:val="HeaderSectionRigh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tabs>
              <w:tab w:val="left" w:pos="645"/>
            </w:tabs>
          </w:pPr>
          <w:fldSimple w:instr=" styleref CharSDivText ">
            <w:r>
              <w:rPr>
                <w:noProof/>
              </w:rPr>
              <w:t>Fixed charges</w:t>
            </w:r>
          </w:fldSimple>
          <w:r>
            <w:tab/>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w:r>
              <w:rPr>
                <w:noProof/>
              </w:rPr>
              <w:t>Water Agencies (Charges) By-laws 1987</w:t>
            </w:r>
          </w:fldSimple>
        </w:p>
      </w:tc>
    </w:tr>
    <w:tr>
      <w:tc>
        <w:tcPr>
          <w:tcW w:w="5715" w:type="dxa"/>
          <w:vAlign w:val="bottom"/>
        </w:tcPr>
        <w:p>
          <w:pPr>
            <w:pStyle w:val="HeaderTextRight"/>
          </w:pPr>
          <w:fldSimple w:instr=" styleref CharSchText ">
            <w:r>
              <w:rPr>
                <w:noProof/>
              </w:rPr>
              <w:t>Formula for calculating AGRV</w:t>
            </w:r>
          </w:fldSimple>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r>
    <w:tr>
      <w:tc>
        <w:tcPr>
          <w:tcW w:w="5715" w:type="dxa"/>
          <w:vAlign w:val="bottom"/>
        </w:tcPr>
        <w:p>
          <w:pPr>
            <w:pStyle w:val="HeaderTextRight"/>
          </w:pPr>
          <w:fldSimple w:instr=" styleref CharSDivText ">
            <w:r>
              <w:rPr>
                <w:noProof/>
              </w:rPr>
              <w:t>Charges by way of rate</w:t>
            </w:r>
          </w:fldSimple>
        </w:p>
      </w:tc>
      <w:tc>
        <w:tcPr>
          <w:tcW w:w="1557"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Right"/>
          </w:pPr>
        </w:p>
      </w:tc>
      <w:tc>
        <w:tcPr>
          <w:tcW w:w="1557" w:type="dxa"/>
        </w:tcPr>
        <w:p>
          <w:pPr>
            <w:pStyle w:val="HeaderNumberRight"/>
            <w:ind w:right="3"/>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Formula for calculating AGRV</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tabs>
              <w:tab w:val="left" w:pos="645"/>
            </w:tabs>
          </w:pPr>
          <w:fldSimple w:instr=" styleref CharSDivText ">
            <w:r>
              <w:rPr>
                <w:noProof/>
              </w:rPr>
              <w:t>Charges by way of rate</w:t>
            </w:r>
          </w:fldSimple>
          <w:r>
            <w:tab/>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fldSimple w:instr=" STYLEREF CharSchno ">
            <w:r>
              <w:rPr>
                <w:noProof/>
              </w:rPr>
              <w:instrText>Schedule 8</w:instrText>
            </w:r>
          </w:fldSimple>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c>
        <w:tcPr>
          <w:tcW w:w="5715" w:type="dxa"/>
          <w:vAlign w:val="bottom"/>
        </w:tcPr>
        <w:p>
          <w:pPr>
            <w:pStyle w:val="HeaderTextLeft"/>
          </w:pPr>
          <w:fldSimple w:instr=" styleref CharSchText ">
            <w:r>
              <w:rPr>
                <w:noProof/>
              </w:rPr>
              <w:t>Water supply charges for Government trading organisations and non-commercial Government property</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vAlign w:val="bottom"/>
        </w:tcPr>
        <w:p>
          <w:pPr>
            <w:pStyle w:val="HeaderTextLeft"/>
          </w:pPr>
          <w:fldSimple w:instr=" styleref CharSDivText ">
            <w:r>
              <w:rPr>
                <w:noProof/>
              </w:rPr>
              <w:t>Charges by way of rate</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vAlign w:val="bottom"/>
        </w:tcPr>
        <w:p>
          <w:pPr>
            <w:pStyle w:val="HeaderTextRight"/>
          </w:pPr>
          <w:fldSimple w:instr=" styleref CharSchText ">
            <w:r>
              <w:rPr>
                <w:noProof/>
              </w:rPr>
              <w:t>Water supply charges for Government trading organisations and non-commercial Government property</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fldSimple w:instr=" STYLEREF CharSchno ">
            <w:r>
              <w:rPr>
                <w:noProof/>
              </w:rPr>
              <w:instrText>Schedule 8</w:instrText>
            </w:r>
          </w:fldSimple>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r>
    <w:tr>
      <w:tc>
        <w:tcPr>
          <w:tcW w:w="5715" w:type="dxa"/>
          <w:vAlign w:val="bottom"/>
        </w:tcPr>
        <w:p>
          <w:pPr>
            <w:pStyle w:val="HeaderTextRight"/>
          </w:pPr>
          <w:fldSimple w:instr=" styleref CharSDivText ">
            <w:r>
              <w:rPr>
                <w:noProof/>
              </w:rPr>
              <w:t>Charges by way of rate</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0E31326C"/>
    <w:multiLevelType w:val="multilevel"/>
    <w:tmpl w:val="0B24E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676B68"/>
    <w:multiLevelType w:val="multilevel"/>
    <w:tmpl w:val="6BF65D2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CC03303"/>
    <w:multiLevelType w:val="singleLevel"/>
    <w:tmpl w:val="0809000F"/>
    <w:lvl w:ilvl="0">
      <w:start w:val="1"/>
      <w:numFmt w:val="decimal"/>
      <w:lvlText w:val="%1."/>
      <w:lvlJc w:val="left"/>
      <w:pPr>
        <w:tabs>
          <w:tab w:val="num" w:pos="360"/>
        </w:tabs>
        <w:ind w:left="36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27"/>
  </w:num>
  <w:num w:numId="14">
    <w:abstractNumId w:val="16"/>
  </w:num>
  <w:num w:numId="15">
    <w:abstractNumId w:val="13"/>
  </w:num>
  <w:num w:numId="16">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GrammaticalErrors/>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
    <w:name w:val="- PAGE -"/>
    <w:rPr>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link w:val="yHeading2Char"/>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link w:val="yScheduleHeadingChar"/>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Style2">
    <w:name w:val="Style 2"/>
    <w:pPr>
      <w:widowControl w:val="0"/>
      <w:autoSpaceDE w:val="0"/>
      <w:autoSpaceDN w:val="0"/>
      <w:adjustRightInd w:val="0"/>
    </w:pPr>
    <w:rPr>
      <w:sz w:val="14"/>
      <w:szCs w:val="14"/>
      <w:lang w:val="en-US" w:eastAsia="en-US"/>
    </w:rPr>
  </w:style>
  <w:style w:type="paragraph" w:customStyle="1" w:styleId="Style1">
    <w:name w:val="Style 1"/>
    <w:pPr>
      <w:widowControl w:val="0"/>
      <w:autoSpaceDE w:val="0"/>
      <w:autoSpaceDN w:val="0"/>
      <w:adjustRightInd w:val="0"/>
    </w:pPr>
    <w:rPr>
      <w:lang w:val="en-US" w:eastAsia="en-US"/>
    </w:rPr>
  </w:style>
  <w:style w:type="character" w:customStyle="1" w:styleId="CharacterStyle1">
    <w:name w:val="Character Style 1"/>
    <w:rPr>
      <w:sz w:val="14"/>
      <w:szCs w:val="1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character" w:customStyle="1" w:styleId="FootnotesectionChar">
    <w:name w:val="Footnote(section) Char"/>
    <w:basedOn w:val="DefaultParagraphFont"/>
    <w:link w:val="Footnotesection"/>
    <w:rPr>
      <w:i/>
      <w:snapToGrid w:val="0"/>
      <w:sz w:val="24"/>
      <w:lang w:val="en-AU" w:eastAsia="en-US" w:bidi="ar-SA"/>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yHeading2Char">
    <w:name w:val="yHeading 2 Char"/>
    <w:basedOn w:val="Heading2Char"/>
    <w:link w:val="yHeading2"/>
    <w:rPr>
      <w:b/>
      <w:snapToGrid w:val="0"/>
      <w:sz w:val="28"/>
      <w:lang w:val="en-AU" w:eastAsia="en-US" w:bidi="ar-SA"/>
    </w:rPr>
  </w:style>
  <w:style w:type="character" w:customStyle="1" w:styleId="yScheduleHeadingChar">
    <w:name w:val="yScheduleHeading Char"/>
    <w:basedOn w:val="yHeading2Char"/>
    <w:link w:val="yScheduleHeading"/>
    <w:rPr>
      <w:b/>
      <w:snapToGrid w:val="0"/>
      <w:sz w:val="28"/>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
    <w:name w:val="- PAGE -"/>
    <w:rPr>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link w:val="yHeading2Char"/>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link w:val="yScheduleHeadingChar"/>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Style2">
    <w:name w:val="Style 2"/>
    <w:pPr>
      <w:widowControl w:val="0"/>
      <w:autoSpaceDE w:val="0"/>
      <w:autoSpaceDN w:val="0"/>
      <w:adjustRightInd w:val="0"/>
    </w:pPr>
    <w:rPr>
      <w:sz w:val="14"/>
      <w:szCs w:val="14"/>
      <w:lang w:val="en-US" w:eastAsia="en-US"/>
    </w:rPr>
  </w:style>
  <w:style w:type="paragraph" w:customStyle="1" w:styleId="Style1">
    <w:name w:val="Style 1"/>
    <w:pPr>
      <w:widowControl w:val="0"/>
      <w:autoSpaceDE w:val="0"/>
      <w:autoSpaceDN w:val="0"/>
      <w:adjustRightInd w:val="0"/>
    </w:pPr>
    <w:rPr>
      <w:lang w:val="en-US" w:eastAsia="en-US"/>
    </w:rPr>
  </w:style>
  <w:style w:type="character" w:customStyle="1" w:styleId="CharacterStyle1">
    <w:name w:val="Character Style 1"/>
    <w:rPr>
      <w:sz w:val="14"/>
      <w:szCs w:val="1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character" w:customStyle="1" w:styleId="FootnotesectionChar">
    <w:name w:val="Footnote(section) Char"/>
    <w:basedOn w:val="DefaultParagraphFont"/>
    <w:link w:val="Footnotesection"/>
    <w:rPr>
      <w:i/>
      <w:snapToGrid w:val="0"/>
      <w:sz w:val="24"/>
      <w:lang w:val="en-AU" w:eastAsia="en-US" w:bidi="ar-SA"/>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yHeading2Char">
    <w:name w:val="yHeading 2 Char"/>
    <w:basedOn w:val="Heading2Char"/>
    <w:link w:val="yHeading2"/>
    <w:rPr>
      <w:b/>
      <w:snapToGrid w:val="0"/>
      <w:sz w:val="28"/>
      <w:lang w:val="en-AU" w:eastAsia="en-US" w:bidi="ar-SA"/>
    </w:rPr>
  </w:style>
  <w:style w:type="character" w:customStyle="1" w:styleId="yScheduleHeadingChar">
    <w:name w:val="yScheduleHeading Char"/>
    <w:basedOn w:val="yHeading2Char"/>
    <w:link w:val="yScheduleHeading"/>
    <w:rPr>
      <w:b/>
      <w:snapToGrid w:val="0"/>
      <w:sz w:val="28"/>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image" Target="media/image3.wmf"/><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152</Pages>
  <Words>28941</Words>
  <Characters>133423</Characters>
  <Application>Microsoft Office Word</Application>
  <DocSecurity>0</DocSecurity>
  <Lines>7412</Lines>
  <Paragraphs>5598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156766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(Charges) By-laws 1987 - 06-e0-02</dc:title>
  <dc:subject/>
  <dc:creator/>
  <cp:keywords/>
  <dc:description/>
  <cp:lastModifiedBy>svcMRProcess</cp:lastModifiedBy>
  <cp:revision>4</cp:revision>
  <cp:lastPrinted>2009-08-27T02:26:00Z</cp:lastPrinted>
  <dcterms:created xsi:type="dcterms:W3CDTF">2020-02-29T15:20:00Z</dcterms:created>
  <dcterms:modified xsi:type="dcterms:W3CDTF">2020-02-29T15:20:00Z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July 1987 pp.2658-72</vt:lpwstr>
  </property>
  <property fmtid="{D5CDD505-2E9C-101B-9397-08002B2CF9AE}" pid="3" name="CommencementDate">
    <vt:lpwstr>20120701</vt:lpwstr>
  </property>
  <property fmtid="{D5CDD505-2E9C-101B-9397-08002B2CF9AE}" pid="4" name="DocumentType">
    <vt:lpwstr>Reg</vt:lpwstr>
  </property>
  <property fmtid="{D5CDD505-2E9C-101B-9397-08002B2CF9AE}" pid="5" name="OwlsUID">
    <vt:i4>4852</vt:i4>
  </property>
  <property fmtid="{D5CDD505-2E9C-101B-9397-08002B2CF9AE}" pid="6" name="ReprintNo">
    <vt:lpwstr>6</vt:lpwstr>
  </property>
  <property fmtid="{D5CDD505-2E9C-101B-9397-08002B2CF9AE}" pid="7" name="AsAtDate">
    <vt:lpwstr>01 Jul 2012</vt:lpwstr>
  </property>
  <property fmtid="{D5CDD505-2E9C-101B-9397-08002B2CF9AE}" pid="8" name="Suffix">
    <vt:lpwstr>06-e0-02</vt:lpwstr>
  </property>
</Properties>
</file>