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Electricity Industry Act 2004</w:t>
      </w:r>
    </w:p>
    <w:p>
      <w:pPr>
        <w:pStyle w:val="NameofActRegPage1"/>
        <w:spacing w:before="1800" w:after="4200"/>
      </w:pPr>
      <w:r>
        <w:fldChar w:fldCharType="begin"/>
      </w:r>
      <w:r>
        <w:instrText xml:space="preserve"> STYLEREF "Name Of Act/Reg"</w:instrText>
      </w:r>
      <w:r>
        <w:fldChar w:fldCharType="separate"/>
      </w:r>
      <w:r>
        <w:rPr>
          <w:noProof/>
        </w:rPr>
        <w:t>Electricity Industry Exemption Order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tab/>
        <w:t>Citation</w:t>
      </w:r>
      <w:r>
        <w:tab/>
      </w:r>
      <w:r>
        <w:fldChar w:fldCharType="begin"/>
      </w:r>
      <w:r>
        <w:instrText xml:space="preserve"> PAGEREF _Toc328654365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_Toc328654366 \h </w:instrText>
      </w:r>
      <w:r>
        <w:fldChar w:fldCharType="separate"/>
      </w:r>
      <w:r>
        <w:t>1</w:t>
      </w:r>
      <w:r>
        <w:fldChar w:fldCharType="end"/>
      </w:r>
    </w:p>
    <w:p>
      <w:pPr>
        <w:pStyle w:val="TOC8"/>
        <w:rPr>
          <w:sz w:val="24"/>
          <w:szCs w:val="24"/>
          <w:lang w:val="en-US"/>
        </w:rPr>
      </w:pPr>
      <w:r>
        <w:t>3A.</w:t>
      </w:r>
      <w:r>
        <w:tab/>
        <w:t>Terms used</w:t>
      </w:r>
      <w:r>
        <w:tab/>
      </w:r>
      <w:r>
        <w:fldChar w:fldCharType="begin"/>
      </w:r>
      <w:r>
        <w:instrText xml:space="preserve"> PAGEREF _Toc328654367 \h </w:instrText>
      </w:r>
      <w:r>
        <w:fldChar w:fldCharType="separate"/>
      </w:r>
      <w:r>
        <w:t>1</w:t>
      </w:r>
      <w:r>
        <w:fldChar w:fldCharType="end"/>
      </w:r>
    </w:p>
    <w:p>
      <w:pPr>
        <w:pStyle w:val="TOC8"/>
        <w:rPr>
          <w:sz w:val="24"/>
          <w:szCs w:val="24"/>
          <w:lang w:val="en-US"/>
        </w:rPr>
      </w:pPr>
      <w:r>
        <w:t>3.</w:t>
      </w:r>
      <w:r>
        <w:tab/>
        <w:t>Exemption for generating works under 30 MW</w:t>
      </w:r>
      <w:r>
        <w:tab/>
      </w:r>
      <w:r>
        <w:fldChar w:fldCharType="begin"/>
      </w:r>
      <w:r>
        <w:instrText xml:space="preserve"> PAGEREF _Toc328654368 \h </w:instrText>
      </w:r>
      <w:r>
        <w:fldChar w:fldCharType="separate"/>
      </w:r>
      <w:r>
        <w:t>1</w:t>
      </w:r>
      <w:r>
        <w:fldChar w:fldCharType="end"/>
      </w:r>
    </w:p>
    <w:p>
      <w:pPr>
        <w:pStyle w:val="TOC8"/>
        <w:rPr>
          <w:sz w:val="24"/>
          <w:szCs w:val="24"/>
          <w:lang w:val="en-US"/>
        </w:rPr>
      </w:pPr>
      <w:r>
        <w:t>4A.</w:t>
      </w:r>
      <w:r>
        <w:tab/>
        <w:t>Exemptions for supply to commercial premises on which generating works are located</w:t>
      </w:r>
      <w:r>
        <w:tab/>
      </w:r>
      <w:r>
        <w:fldChar w:fldCharType="begin"/>
      </w:r>
      <w:r>
        <w:instrText xml:space="preserve"> PAGEREF _Toc328654369 \h </w:instrText>
      </w:r>
      <w:r>
        <w:fldChar w:fldCharType="separate"/>
      </w:r>
      <w:r>
        <w:t>2</w:t>
      </w:r>
      <w:r>
        <w:fldChar w:fldCharType="end"/>
      </w:r>
    </w:p>
    <w:p>
      <w:pPr>
        <w:pStyle w:val="TOC8"/>
        <w:rPr>
          <w:sz w:val="24"/>
          <w:szCs w:val="24"/>
          <w:lang w:val="en-US"/>
        </w:rPr>
      </w:pPr>
      <w:r>
        <w:t>4.</w:t>
      </w:r>
      <w:r>
        <w:tab/>
        <w:t>Exemptions for on</w:t>
      </w:r>
      <w:r>
        <w:noBreakHyphen/>
        <w:t>supply to commercial premises</w:t>
      </w:r>
      <w:r>
        <w:tab/>
      </w:r>
      <w:r>
        <w:fldChar w:fldCharType="begin"/>
      </w:r>
      <w:r>
        <w:instrText xml:space="preserve"> PAGEREF _Toc328654370 \h </w:instrText>
      </w:r>
      <w:r>
        <w:fldChar w:fldCharType="separate"/>
      </w:r>
      <w:r>
        <w:t>3</w:t>
      </w:r>
      <w:r>
        <w:fldChar w:fldCharType="end"/>
      </w:r>
    </w:p>
    <w:p>
      <w:pPr>
        <w:pStyle w:val="TOC8"/>
        <w:rPr>
          <w:sz w:val="24"/>
          <w:szCs w:val="24"/>
          <w:lang w:val="en-US"/>
        </w:rPr>
      </w:pPr>
      <w:r>
        <w:t>5.</w:t>
      </w:r>
      <w:r>
        <w:tab/>
        <w:t>Exemptions for on</w:t>
      </w:r>
      <w:r>
        <w:noBreakHyphen/>
        <w:t>supply to residential premises</w:t>
      </w:r>
      <w:r>
        <w:tab/>
      </w:r>
      <w:r>
        <w:fldChar w:fldCharType="begin"/>
      </w:r>
      <w:r>
        <w:instrText xml:space="preserve"> PAGEREF _Toc328654371 \h </w:instrText>
      </w:r>
      <w:r>
        <w:fldChar w:fldCharType="separate"/>
      </w:r>
      <w:r>
        <w:t>3</w:t>
      </w:r>
      <w:r>
        <w:fldChar w:fldCharType="end"/>
      </w:r>
    </w:p>
    <w:p>
      <w:pPr>
        <w:pStyle w:val="TOC8"/>
        <w:rPr>
          <w:sz w:val="24"/>
          <w:szCs w:val="24"/>
          <w:lang w:val="en-US"/>
        </w:rPr>
      </w:pPr>
      <w:r>
        <w:t>6.</w:t>
      </w:r>
      <w:r>
        <w:tab/>
        <w:t>Conditions applying to exemptions under clause 5</w:t>
      </w:r>
      <w:r>
        <w:tab/>
      </w:r>
      <w:r>
        <w:fldChar w:fldCharType="begin"/>
      </w:r>
      <w:r>
        <w:instrText xml:space="preserve"> PAGEREF _Toc328654372 \h </w:instrText>
      </w:r>
      <w:r>
        <w:fldChar w:fldCharType="separate"/>
      </w:r>
      <w:r>
        <w:t>5</w:t>
      </w:r>
      <w:r>
        <w:fldChar w:fldCharType="end"/>
      </w:r>
    </w:p>
    <w:p>
      <w:pPr>
        <w:pStyle w:val="TOC8"/>
        <w:rPr>
          <w:sz w:val="24"/>
          <w:szCs w:val="24"/>
          <w:lang w:val="en-US"/>
        </w:rPr>
      </w:pPr>
      <w:r>
        <w:t>7.</w:t>
      </w:r>
      <w:r>
        <w:tab/>
        <w:t>Exemptions for supply to Aboriginal communities</w:t>
      </w:r>
      <w:r>
        <w:tab/>
      </w:r>
      <w:r>
        <w:fldChar w:fldCharType="begin"/>
      </w:r>
      <w:r>
        <w:instrText xml:space="preserve"> PAGEREF _Toc328654373 \h </w:instrText>
      </w:r>
      <w:r>
        <w:fldChar w:fldCharType="separate"/>
      </w:r>
      <w:r>
        <w:t>7</w:t>
      </w:r>
      <w:r>
        <w:fldChar w:fldCharType="end"/>
      </w:r>
    </w:p>
    <w:p>
      <w:pPr>
        <w:pStyle w:val="TOC8"/>
        <w:rPr>
          <w:sz w:val="24"/>
          <w:szCs w:val="24"/>
          <w:lang w:val="en-US"/>
        </w:rPr>
      </w:pPr>
      <w:r>
        <w:t>8.</w:t>
      </w:r>
      <w:r>
        <w:tab/>
        <w:t>Exemptions for operations under Pilbara Energy Project Agreement</w:t>
      </w:r>
      <w:r>
        <w:tab/>
      </w:r>
      <w:r>
        <w:fldChar w:fldCharType="begin"/>
      </w:r>
      <w:r>
        <w:instrText xml:space="preserve"> PAGEREF _Toc328654374 \h </w:instrText>
      </w:r>
      <w:r>
        <w:fldChar w:fldCharType="separate"/>
      </w:r>
      <w:r>
        <w:t>8</w:t>
      </w:r>
      <w:r>
        <w:fldChar w:fldCharType="end"/>
      </w:r>
    </w:p>
    <w:p>
      <w:pPr>
        <w:pStyle w:val="TOC8"/>
        <w:rPr>
          <w:sz w:val="24"/>
          <w:szCs w:val="24"/>
          <w:lang w:val="en-US"/>
        </w:rPr>
      </w:pPr>
      <w:r>
        <w:t>9.</w:t>
      </w:r>
      <w:r>
        <w:tab/>
        <w:t xml:space="preserve">Exemption for sale to certain customers under </w:t>
      </w:r>
      <w:r>
        <w:rPr>
          <w:iCs/>
        </w:rPr>
        <w:t>Iron Ore Beneficiation (BHP) Agreement</w:t>
      </w:r>
      <w:r>
        <w:tab/>
      </w:r>
      <w:r>
        <w:fldChar w:fldCharType="begin"/>
      </w:r>
      <w:r>
        <w:instrText xml:space="preserve"> PAGEREF _Toc328654375 \h </w:instrText>
      </w:r>
      <w:r>
        <w:fldChar w:fldCharType="separate"/>
      </w:r>
      <w:r>
        <w:t>9</w:t>
      </w:r>
      <w:r>
        <w:fldChar w:fldCharType="end"/>
      </w:r>
    </w:p>
    <w:p>
      <w:pPr>
        <w:pStyle w:val="TOC8"/>
        <w:rPr>
          <w:sz w:val="24"/>
          <w:szCs w:val="24"/>
          <w:lang w:val="en-US"/>
        </w:rPr>
      </w:pPr>
      <w:r>
        <w:t>10.</w:t>
      </w:r>
      <w:r>
        <w:tab/>
        <w:t>Exemptions for operations under various government agreements</w:t>
      </w:r>
      <w:r>
        <w:tab/>
      </w:r>
      <w:r>
        <w:fldChar w:fldCharType="begin"/>
      </w:r>
      <w:r>
        <w:instrText xml:space="preserve"> PAGEREF _Toc328654376 \h </w:instrText>
      </w:r>
      <w:r>
        <w:fldChar w:fldCharType="separate"/>
      </w:r>
      <w:r>
        <w:t>9</w:t>
      </w:r>
      <w:r>
        <w:fldChar w:fldCharType="end"/>
      </w:r>
    </w:p>
    <w:p>
      <w:pPr>
        <w:pStyle w:val="TOC8"/>
        <w:rPr>
          <w:sz w:val="24"/>
          <w:szCs w:val="24"/>
          <w:lang w:val="en-US"/>
        </w:rPr>
      </w:pPr>
      <w:r>
        <w:t>11.</w:t>
      </w:r>
      <w:r>
        <w:tab/>
        <w:t>Conditions applying to exemptions under clause 10</w:t>
      </w:r>
      <w:r>
        <w:tab/>
      </w:r>
      <w:r>
        <w:fldChar w:fldCharType="begin"/>
      </w:r>
      <w:r>
        <w:instrText xml:space="preserve"> PAGEREF _Toc328654377 \h </w:instrText>
      </w:r>
      <w:r>
        <w:fldChar w:fldCharType="separate"/>
      </w:r>
      <w:r>
        <w:t>10</w:t>
      </w:r>
      <w:r>
        <w:fldChar w:fldCharType="end"/>
      </w:r>
    </w:p>
    <w:p>
      <w:pPr>
        <w:pStyle w:val="TOC8"/>
        <w:rPr>
          <w:sz w:val="24"/>
          <w:szCs w:val="24"/>
          <w:lang w:val="en-US"/>
        </w:rPr>
      </w:pPr>
      <w:r>
        <w:t>12.</w:t>
      </w:r>
      <w:r>
        <w:tab/>
        <w:t>Exemptions for operations in DBNGP corridor</w:t>
      </w:r>
      <w:r>
        <w:tab/>
      </w:r>
      <w:r>
        <w:fldChar w:fldCharType="begin"/>
      </w:r>
      <w:r>
        <w:instrText xml:space="preserve"> PAGEREF _Toc328654378 \h </w:instrText>
      </w:r>
      <w:r>
        <w:fldChar w:fldCharType="separate"/>
      </w:r>
      <w:r>
        <w:t>11</w:t>
      </w:r>
      <w:r>
        <w:fldChar w:fldCharType="end"/>
      </w:r>
    </w:p>
    <w:p>
      <w:pPr>
        <w:pStyle w:val="TOC8"/>
        <w:rPr>
          <w:sz w:val="24"/>
          <w:szCs w:val="24"/>
          <w:lang w:val="en-US"/>
        </w:rPr>
      </w:pPr>
      <w:r>
        <w:t>13.</w:t>
      </w:r>
      <w:r>
        <w:tab/>
        <w:t>Exemptions for Electricity Generation Corporation</w:t>
      </w:r>
      <w:r>
        <w:tab/>
      </w:r>
      <w:r>
        <w:fldChar w:fldCharType="begin"/>
      </w:r>
      <w:r>
        <w:instrText xml:space="preserve"> PAGEREF _Toc328654379 \h </w:instrText>
      </w:r>
      <w:r>
        <w:fldChar w:fldCharType="separate"/>
      </w:r>
      <w:r>
        <w:t>12</w:t>
      </w:r>
      <w:r>
        <w:fldChar w:fldCharType="end"/>
      </w:r>
    </w:p>
    <w:p>
      <w:pPr>
        <w:pStyle w:val="TOC8"/>
        <w:rPr>
          <w:sz w:val="24"/>
          <w:szCs w:val="24"/>
          <w:lang w:val="en-US"/>
        </w:rPr>
      </w:pPr>
      <w:r>
        <w:t>13A.</w:t>
      </w:r>
      <w:r>
        <w:tab/>
        <w:t>Further exemptions for Electricity Generation Corporation — supply to Alstom Limited</w:t>
      </w:r>
      <w:r>
        <w:tab/>
      </w:r>
      <w:r>
        <w:fldChar w:fldCharType="begin"/>
      </w:r>
      <w:r>
        <w:instrText xml:space="preserve"> PAGEREF _Toc328654380 \h </w:instrText>
      </w:r>
      <w:r>
        <w:fldChar w:fldCharType="separate"/>
      </w:r>
      <w:r>
        <w:t>13</w:t>
      </w:r>
      <w:r>
        <w:fldChar w:fldCharType="end"/>
      </w:r>
    </w:p>
    <w:p>
      <w:pPr>
        <w:pStyle w:val="TOC8"/>
        <w:rPr>
          <w:sz w:val="24"/>
          <w:szCs w:val="24"/>
          <w:lang w:val="en-US"/>
        </w:rPr>
      </w:pPr>
      <w:r>
        <w:t>14.</w:t>
      </w:r>
      <w:r>
        <w:tab/>
        <w:t>Exemptions for Fremantle Port Authority</w:t>
      </w:r>
      <w:r>
        <w:tab/>
      </w:r>
      <w:r>
        <w:fldChar w:fldCharType="begin"/>
      </w:r>
      <w:r>
        <w:instrText xml:space="preserve"> PAGEREF _Toc328654381 \h </w:instrText>
      </w:r>
      <w:r>
        <w:fldChar w:fldCharType="separate"/>
      </w:r>
      <w:r>
        <w:t>13</w:t>
      </w:r>
      <w:r>
        <w:fldChar w:fldCharType="end"/>
      </w:r>
    </w:p>
    <w:p>
      <w:pPr>
        <w:pStyle w:val="TOC8"/>
        <w:rPr>
          <w:sz w:val="24"/>
          <w:szCs w:val="24"/>
          <w:lang w:val="en-US"/>
        </w:rPr>
      </w:pPr>
      <w:r>
        <w:t>15.</w:t>
      </w:r>
      <w:r>
        <w:tab/>
        <w:t>Exemptions for supply in Eucla</w:t>
      </w:r>
      <w:r>
        <w:tab/>
      </w:r>
      <w:r>
        <w:fldChar w:fldCharType="begin"/>
      </w:r>
      <w:r>
        <w:instrText xml:space="preserve"> PAGEREF _Toc328654382 \h </w:instrText>
      </w:r>
      <w:r>
        <w:fldChar w:fldCharType="separate"/>
      </w:r>
      <w:r>
        <w:t>14</w:t>
      </w:r>
      <w:r>
        <w:fldChar w:fldCharType="end"/>
      </w:r>
    </w:p>
    <w:p>
      <w:pPr>
        <w:pStyle w:val="TOC8"/>
        <w:rPr>
          <w:sz w:val="24"/>
          <w:szCs w:val="24"/>
          <w:lang w:val="en-US"/>
        </w:rPr>
      </w:pPr>
      <w:r>
        <w:t>16.</w:t>
      </w:r>
      <w:r>
        <w:tab/>
        <w:t>Exemption for distribution systems of less than 1 km connecting to network other than SWIS</w:t>
      </w:r>
      <w:r>
        <w:tab/>
      </w:r>
      <w:r>
        <w:fldChar w:fldCharType="begin"/>
      </w:r>
      <w:r>
        <w:instrText xml:space="preserve"> PAGEREF _Toc328654383 \h </w:instrText>
      </w:r>
      <w:r>
        <w:fldChar w:fldCharType="separate"/>
      </w:r>
      <w:r>
        <w:t>14</w:t>
      </w:r>
      <w:r>
        <w:fldChar w:fldCharType="end"/>
      </w:r>
    </w:p>
    <w:p>
      <w:pPr>
        <w:pStyle w:val="TOC8"/>
        <w:rPr>
          <w:sz w:val="24"/>
          <w:szCs w:val="24"/>
          <w:lang w:val="en-US"/>
        </w:rPr>
      </w:pPr>
      <w:r>
        <w:t>17.</w:t>
      </w:r>
      <w:r>
        <w:tab/>
        <w:t>Exemptions for holders of generation licence connecting to SWIS</w:t>
      </w:r>
      <w:r>
        <w:tab/>
      </w:r>
      <w:r>
        <w:fldChar w:fldCharType="begin"/>
      </w:r>
      <w:r>
        <w:instrText xml:space="preserve"> PAGEREF _Toc328654384 \h </w:instrText>
      </w:r>
      <w:r>
        <w:fldChar w:fldCharType="separate"/>
      </w:r>
      <w:r>
        <w:t>15</w:t>
      </w:r>
      <w:r>
        <w:fldChar w:fldCharType="end"/>
      </w:r>
    </w:p>
    <w:p>
      <w:pPr>
        <w:pStyle w:val="TOC8"/>
        <w:rPr>
          <w:sz w:val="24"/>
          <w:szCs w:val="24"/>
          <w:lang w:val="en-US"/>
        </w:rPr>
      </w:pPr>
      <w:r>
        <w:t>18.</w:t>
      </w:r>
      <w:r>
        <w:tab/>
        <w:t>Exemption for EDL NGD (WA)</w:t>
      </w:r>
      <w:r>
        <w:tab/>
      </w:r>
      <w:r>
        <w:fldChar w:fldCharType="begin"/>
      </w:r>
      <w:r>
        <w:instrText xml:space="preserve"> PAGEREF _Toc328654385 \h </w:instrText>
      </w:r>
      <w:r>
        <w:fldChar w:fldCharType="separate"/>
      </w:r>
      <w:r>
        <w:t>15</w:t>
      </w:r>
      <w:r>
        <w:fldChar w:fldCharType="end"/>
      </w:r>
    </w:p>
    <w:p>
      <w:pPr>
        <w:pStyle w:val="TOC8"/>
        <w:rPr>
          <w:sz w:val="24"/>
          <w:szCs w:val="24"/>
          <w:lang w:val="en-US"/>
        </w:rPr>
      </w:pPr>
      <w:r>
        <w:t>19.</w:t>
      </w:r>
      <w:r>
        <w:tab/>
        <w:t>Exemptions for electric vehicle charging stations</w:t>
      </w:r>
      <w:r>
        <w:tab/>
      </w:r>
      <w:r>
        <w:fldChar w:fldCharType="begin"/>
      </w:r>
      <w:r>
        <w:instrText xml:space="preserve"> PAGEREF _Toc328654386 \h </w:instrText>
      </w:r>
      <w:r>
        <w:fldChar w:fldCharType="separate"/>
      </w:r>
      <w:r>
        <w:t>15</w:t>
      </w:r>
      <w:r>
        <w:fldChar w:fldCharType="end"/>
      </w:r>
    </w:p>
    <w:p>
      <w:pPr>
        <w:pStyle w:val="TOC8"/>
        <w:rPr>
          <w:sz w:val="24"/>
          <w:szCs w:val="24"/>
          <w:lang w:val="en-US"/>
        </w:rPr>
      </w:pPr>
      <w:r>
        <w:t>20.</w:t>
      </w:r>
      <w:r>
        <w:tab/>
        <w:t>Exemptions for Blair Fox — Karakin Wind Farm</w:t>
      </w:r>
      <w:r>
        <w:tab/>
      </w:r>
      <w:r>
        <w:fldChar w:fldCharType="begin"/>
      </w:r>
      <w:r>
        <w:instrText xml:space="preserve"> PAGEREF _Toc328654387 \h </w:instrText>
      </w:r>
      <w:r>
        <w:fldChar w:fldCharType="separate"/>
      </w:r>
      <w:r>
        <w:t>16</w:t>
      </w:r>
      <w:r>
        <w:fldChar w:fldCharType="end"/>
      </w:r>
    </w:p>
    <w:p>
      <w:pPr>
        <w:pStyle w:val="TOC8"/>
        <w:rPr>
          <w:sz w:val="24"/>
          <w:szCs w:val="24"/>
          <w:lang w:val="en-US"/>
        </w:rPr>
      </w:pPr>
      <w:r>
        <w:t>21.</w:t>
      </w:r>
      <w:r>
        <w:tab/>
        <w:t>Exemptions for MMG Golden Grove — supply to Minjar Gold</w:t>
      </w:r>
      <w:r>
        <w:tab/>
      </w:r>
      <w:r>
        <w:fldChar w:fldCharType="begin"/>
      </w:r>
      <w:r>
        <w:instrText xml:space="preserve"> PAGEREF _Toc328654388 \h </w:instrText>
      </w:r>
      <w:r>
        <w:fldChar w:fldCharType="separate"/>
      </w:r>
      <w:r>
        <w:t>17</w:t>
      </w:r>
      <w:r>
        <w:fldChar w:fldCharType="end"/>
      </w:r>
    </w:p>
    <w:p>
      <w:pPr>
        <w:pStyle w:val="TOC2"/>
        <w:tabs>
          <w:tab w:val="right" w:leader="dot" w:pos="7086"/>
        </w:tabs>
        <w:rPr>
          <w:b w:val="0"/>
          <w:sz w:val="24"/>
          <w:szCs w:val="24"/>
          <w:lang w:val="en-US"/>
        </w:rPr>
      </w:pPr>
      <w:r>
        <w:t>Schedule 1 — Depiction of EDL NGD (WA) exempt distribution system</w:t>
      </w:r>
    </w:p>
    <w:p>
      <w:pPr>
        <w:pStyle w:val="TOC4"/>
        <w:tabs>
          <w:tab w:val="right" w:leader="dot" w:pos="7086"/>
        </w:tabs>
        <w:rPr>
          <w:b w:val="0"/>
          <w:sz w:val="24"/>
          <w:szCs w:val="24"/>
          <w:lang w:val="en-US"/>
        </w:rPr>
      </w:pPr>
      <w:r>
        <w:t>EDL NGD (WA) — HV Cabling Route</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_Toc328654392 \h </w:instrText>
      </w:r>
      <w:r>
        <w:fldChar w:fldCharType="separate"/>
      </w:r>
      <w:r>
        <w:t>19</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Electricity Industry Act 2004</w:t>
      </w:r>
    </w:p>
    <w:p>
      <w:pPr>
        <w:pStyle w:val="NameofActReg"/>
      </w:pPr>
      <w:r>
        <w:t>Electricity Industry Exemption Order 2005</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328654365"/>
      <w:r>
        <w:rPr>
          <w:rStyle w:val="CharSectno"/>
        </w:rPr>
        <w:t>1</w:t>
      </w:r>
      <w:r>
        <w:t>.</w:t>
      </w:r>
      <w:r>
        <w:tab/>
        <w:t>Citation</w:t>
      </w:r>
      <w:bookmarkEnd w:id="1"/>
      <w:bookmarkEnd w:id="2"/>
      <w:bookmarkEnd w:id="3"/>
      <w:bookmarkEnd w:id="4"/>
      <w:bookmarkEnd w:id="5"/>
      <w:bookmarkEnd w:id="6"/>
      <w:bookmarkEnd w:id="7"/>
      <w:bookmarkEnd w:id="8"/>
    </w:p>
    <w:p>
      <w:pPr>
        <w:pStyle w:val="Subsection"/>
        <w:rPr>
          <w:i/>
        </w:rPr>
      </w:pPr>
      <w:r>
        <w:tab/>
      </w:r>
      <w:r>
        <w:tab/>
      </w:r>
      <w:bookmarkStart w:id="9" w:name="Start_Cursor"/>
      <w:bookmarkEnd w:id="9"/>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328654366"/>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pPr>
        <w:pStyle w:val="Subsection"/>
      </w:pPr>
      <w:r>
        <w:rPr>
          <w:spacing w:val="-2"/>
        </w:rPr>
        <w:tab/>
      </w:r>
      <w:r>
        <w:rPr>
          <w:spacing w:val="-2"/>
        </w:rPr>
        <w:tab/>
        <w:t>This order comes into operation on 1 January 2006.</w:t>
      </w:r>
    </w:p>
    <w:p>
      <w:pPr>
        <w:pStyle w:val="Heading5"/>
      </w:pPr>
      <w:bookmarkStart w:id="18" w:name="_Toc328654367"/>
      <w:r>
        <w:rPr>
          <w:rStyle w:val="CharSectno"/>
        </w:rPr>
        <w:t>3A</w:t>
      </w:r>
      <w:r>
        <w:t>.</w:t>
      </w:r>
      <w:r>
        <w:tab/>
        <w:t>Terms used</w:t>
      </w:r>
      <w:bookmarkEnd w:id="18"/>
    </w:p>
    <w:p>
      <w:pPr>
        <w:pStyle w:val="Subsection"/>
      </w:pPr>
      <w:r>
        <w:tab/>
      </w:r>
      <w:r>
        <w:tab/>
        <w:t xml:space="preserve">In this order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tab/>
      </w:r>
      <w:r>
        <w:rPr>
          <w:rStyle w:val="CharDefText"/>
        </w:rPr>
        <w:t>SWIS</w:t>
      </w:r>
      <w:r>
        <w:t xml:space="preserve"> means the South West interconnected system.</w:t>
      </w:r>
    </w:p>
    <w:p>
      <w:pPr>
        <w:pStyle w:val="Footnotesection"/>
      </w:pPr>
      <w:r>
        <w:tab/>
        <w:t>[Clause 3A inserted in Gazette 9 Oct 2009 p. 3992; amended in Gazette 29 Jun 2012 p. 2933.]</w:t>
      </w:r>
    </w:p>
    <w:p>
      <w:pPr>
        <w:pStyle w:val="Heading5"/>
      </w:pPr>
      <w:bookmarkStart w:id="19" w:name="_Toc328654368"/>
      <w:r>
        <w:rPr>
          <w:rStyle w:val="CharSectno"/>
        </w:rPr>
        <w:t>3</w:t>
      </w:r>
      <w:r>
        <w:t>.</w:t>
      </w:r>
      <w:r>
        <w:tab/>
        <w:t>Exemption for generating works under 30 MW</w:t>
      </w:r>
      <w:bookmarkEnd w:id="19"/>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20" w:name="_Toc328654369"/>
      <w:r>
        <w:rPr>
          <w:rStyle w:val="CharSectno"/>
        </w:rPr>
        <w:t>4A</w:t>
      </w:r>
      <w:r>
        <w:t>.</w:t>
      </w:r>
      <w:r>
        <w:tab/>
        <w:t>Exemptions for supply to commercial premises on which generating works are located</w:t>
      </w:r>
      <w:bookmarkEnd w:id="20"/>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to generating works operated by the supplier; and</w:t>
      </w:r>
    </w:p>
    <w:p>
      <w:pPr>
        <w:pStyle w:val="Indenta"/>
      </w:pPr>
      <w:r>
        <w:tab/>
        <w:t>(b)</w:t>
      </w:r>
      <w:r>
        <w:tab/>
        <w:t>is used or to be used solely for the transportation of electricity for consumption by another person on commercial premises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Indenta"/>
      </w:pPr>
      <w:r>
        <w:tab/>
        <w:t>(b)</w:t>
      </w:r>
      <w:r>
        <w:tab/>
        <w:t xml:space="preserve">the supplier is exempt, under clause 3(2), from the </w:t>
      </w:r>
      <w:r>
        <w:rPr>
          <w:i/>
        </w:rPr>
        <w:t>Electricity Industry Act 2004</w:t>
      </w:r>
      <w:r>
        <w:t xml:space="preserve"> section 7(1) in relation to the generating works; and</w:t>
      </w:r>
    </w:p>
    <w:p>
      <w:pPr>
        <w:pStyle w:val="Indenta"/>
      </w:pPr>
      <w:r>
        <w:tab/>
        <w:t>(c)</w:t>
      </w:r>
      <w:r>
        <w:tab/>
        <w:t>the electricity is sold for consumption on commercial premises on which the generating works are located.</w:t>
      </w:r>
    </w:p>
    <w:p>
      <w:pPr>
        <w:pStyle w:val="Footnotesection"/>
      </w:pPr>
      <w:r>
        <w:tab/>
        <w:t>[Clause 4A inserted in Gazette 29 Jun 2012 p. 2934.]</w:t>
      </w:r>
    </w:p>
    <w:p>
      <w:pPr>
        <w:pStyle w:val="Heading5"/>
      </w:pPr>
      <w:bookmarkStart w:id="21" w:name="_Toc328654370"/>
      <w:r>
        <w:rPr>
          <w:rStyle w:val="CharSectno"/>
        </w:rPr>
        <w:t>4</w:t>
      </w:r>
      <w:r>
        <w:t>.</w:t>
      </w:r>
      <w:r>
        <w:tab/>
        <w:t>Exemptions for on</w:t>
      </w:r>
      <w:r>
        <w:noBreakHyphen/>
        <w:t>supply to commercial premises</w:t>
      </w:r>
      <w:bookmarkEnd w:id="21"/>
    </w:p>
    <w:p>
      <w:pPr>
        <w:pStyle w:val="Subsection"/>
      </w:pPr>
      <w:r>
        <w:tab/>
        <w:t>(1)</w:t>
      </w:r>
      <w:r>
        <w:tab/>
        <w:t xml:space="preserve">In this clause — </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Footnotesection"/>
        <w:rPr>
          <w:iCs/>
        </w:rPr>
      </w:pPr>
      <w:r>
        <w:tab/>
        <w:t>[Clause 4 amended in Gazette 29 Jun 2012 p. 2934.]</w:t>
      </w:r>
    </w:p>
    <w:p>
      <w:pPr>
        <w:pStyle w:val="Heading5"/>
      </w:pPr>
      <w:bookmarkStart w:id="22" w:name="_Toc328654371"/>
      <w:r>
        <w:rPr>
          <w:rStyle w:val="CharSectno"/>
        </w:rPr>
        <w:t>5</w:t>
      </w:r>
      <w:r>
        <w:t>.</w:t>
      </w:r>
      <w:r>
        <w:tab/>
        <w:t>Exemptions for on</w:t>
      </w:r>
      <w:r>
        <w:noBreakHyphen/>
        <w:t>supply to residential premises</w:t>
      </w:r>
      <w:bookmarkEnd w:id="22"/>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3" w:name="_Toc328654372"/>
      <w:r>
        <w:rPr>
          <w:rStyle w:val="CharSectno"/>
        </w:rPr>
        <w:t>6</w:t>
      </w:r>
      <w:r>
        <w:t>.</w:t>
      </w:r>
      <w:r>
        <w:tab/>
        <w:t>Conditions applying to exemptions under clause 5</w:t>
      </w:r>
      <w:bookmarkEnd w:id="23"/>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 xml:space="preserve">in a licence area in which the Electricity Retail Corporation sells electricity to customers, exceed the fixed charge — </w:t>
      </w:r>
    </w:p>
    <w:p>
      <w:pPr>
        <w:pStyle w:val="Indenti"/>
      </w:pPr>
      <w:r>
        <w:tab/>
        <w:t>(i)</w:t>
      </w:r>
      <w:r>
        <w:tab/>
        <w:t xml:space="preserve">to be paid under the </w:t>
      </w:r>
      <w:r>
        <w:rPr>
          <w:i/>
        </w:rPr>
        <w:t>Energy Operators (Electricity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w:t>
      </w:r>
    </w:p>
    <w:p>
      <w:pPr>
        <w:pStyle w:val="Heading5"/>
      </w:pPr>
      <w:bookmarkStart w:id="24" w:name="_Toc328654373"/>
      <w:r>
        <w:rPr>
          <w:rStyle w:val="CharSectno"/>
        </w:rPr>
        <w:t>7</w:t>
      </w:r>
      <w:r>
        <w:t>.</w:t>
      </w:r>
      <w:r>
        <w:tab/>
        <w:t>Exemptions for supply to Aboriginal communities</w:t>
      </w:r>
      <w:bookmarkEnd w:id="24"/>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Retail Corporation or the Regional Power Corporation.</w:t>
      </w:r>
    </w:p>
    <w:p>
      <w:pPr>
        <w:pStyle w:val="Footnotesection"/>
      </w:pPr>
      <w:r>
        <w:tab/>
        <w:t>[Clause 7 amended in Gazette 31 Mar 2006 p. 1158.]</w:t>
      </w:r>
    </w:p>
    <w:p>
      <w:pPr>
        <w:pStyle w:val="Heading5"/>
      </w:pPr>
      <w:bookmarkStart w:id="25" w:name="_Toc328654374"/>
      <w:r>
        <w:rPr>
          <w:rStyle w:val="CharSectno"/>
        </w:rPr>
        <w:t>8</w:t>
      </w:r>
      <w:r>
        <w:t>.</w:t>
      </w:r>
      <w:r>
        <w:tab/>
        <w:t>Exemptions for operations under Pilbara Energy Project Agreement</w:t>
      </w:r>
      <w:bookmarkEnd w:id="25"/>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6" w:name="_Toc328654375"/>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26"/>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27" w:name="_Toc328654376"/>
      <w:r>
        <w:rPr>
          <w:rStyle w:val="CharSectno"/>
        </w:rPr>
        <w:t>10</w:t>
      </w:r>
      <w:r>
        <w:t>.</w:t>
      </w:r>
      <w:r>
        <w:tab/>
        <w:t>Exemptions for operations under various government agreements</w:t>
      </w:r>
      <w:bookmarkEnd w:id="27"/>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28" w:name="_Toc328654377"/>
      <w:r>
        <w:rPr>
          <w:rStyle w:val="CharSectno"/>
        </w:rPr>
        <w:t>11</w:t>
      </w:r>
      <w:r>
        <w:t>.</w:t>
      </w:r>
      <w:r>
        <w:tab/>
        <w:t>Conditions applying to exemptions under clause 10</w:t>
      </w:r>
      <w:bookmarkEnd w:id="28"/>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29" w:name="_Toc328654378"/>
      <w:r>
        <w:rPr>
          <w:rStyle w:val="CharSectno"/>
        </w:rPr>
        <w:t>12</w:t>
      </w:r>
      <w:r>
        <w:t>.</w:t>
      </w:r>
      <w:r>
        <w:tab/>
        <w:t>Exemptions for operations in DBNGP corridor</w:t>
      </w:r>
      <w:bookmarkEnd w:id="29"/>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30" w:name="_Toc328654379"/>
      <w:r>
        <w:rPr>
          <w:rStyle w:val="CharSectno"/>
        </w:rPr>
        <w:t>13</w:t>
      </w:r>
      <w:r>
        <w:t>.</w:t>
      </w:r>
      <w:r>
        <w:tab/>
        <w:t>Exemptions for Electricity Generation Corporation</w:t>
      </w:r>
      <w:bookmarkEnd w:id="30"/>
    </w:p>
    <w:p>
      <w:pPr>
        <w:pStyle w:val="Subsection"/>
      </w:pPr>
      <w:r>
        <w:tab/>
        <w:t>(1)</w:t>
      </w:r>
      <w:r>
        <w:tab/>
        <w:t xml:space="preserve">The Electricity Generation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w:t>
      </w:r>
    </w:p>
    <w:p>
      <w:pPr>
        <w:pStyle w:val="Heading5"/>
      </w:pPr>
      <w:bookmarkStart w:id="31" w:name="_Toc328654380"/>
      <w:r>
        <w:rPr>
          <w:rStyle w:val="CharSectno"/>
        </w:rPr>
        <w:t>13A</w:t>
      </w:r>
      <w:r>
        <w:t>.</w:t>
      </w:r>
      <w:r>
        <w:tab/>
        <w:t>Further exemptions for Electricity Generation Corporation — supply to Alstom Limited</w:t>
      </w:r>
      <w:bookmarkEnd w:id="31"/>
    </w:p>
    <w:p>
      <w:pPr>
        <w:pStyle w:val="Subsection"/>
      </w:pPr>
      <w:r>
        <w:tab/>
        <w:t>(1)</w:t>
      </w:r>
      <w:r>
        <w:tab/>
        <w:t xml:space="preserve">In this clause — </w:t>
      </w:r>
    </w:p>
    <w:p>
      <w:pPr>
        <w:pStyle w:val="Defstart"/>
      </w:pPr>
      <w:r>
        <w:rPr>
          <w:b/>
        </w:rPr>
        <w:tab/>
      </w:r>
      <w:r>
        <w:rPr>
          <w:rStyle w:val="CharDefText"/>
        </w:rPr>
        <w:t>Alstom</w:t>
      </w:r>
      <w:r>
        <w:t xml:space="preserve"> means Alstom Limited (ABN 15 000 038 237);</w:t>
      </w:r>
    </w:p>
    <w:p>
      <w:pPr>
        <w:pStyle w:val="Defstart"/>
      </w:pPr>
      <w:r>
        <w:rPr>
          <w:b/>
        </w:rPr>
        <w:tab/>
      </w:r>
      <w:r>
        <w:rPr>
          <w:rStyle w:val="CharDefText"/>
        </w:rPr>
        <w:t>NewGen power station site</w:t>
      </w:r>
      <w:r>
        <w:t xml:space="preserve"> means the Site as defined in the agreement entered into by Western Power Corporation and the NewGen Power Kwinana Partnership (Babcock &amp; Brown Kwinana Pty Ltd (ACN 166 803 779) and ERM Kwinana Power Pty Ltd (ABN 84 115 348 171)) on 5 November 2005, being the area of land that is — </w:t>
      </w:r>
    </w:p>
    <w:p>
      <w:pPr>
        <w:pStyle w:val="Defpara"/>
      </w:pPr>
      <w:r>
        <w:tab/>
        <w:t>(a)</w:t>
      </w:r>
      <w:r>
        <w:tab/>
        <w:t xml:space="preserve">a portion of Reserve 30611 (in particular, part of Lot 3000 and part of </w:t>
      </w:r>
      <w:smartTag w:uri="urn:schemas-microsoft-com:office:smarttags" w:element="place">
        <w:r>
          <w:t>Lot</w:t>
        </w:r>
      </w:smartTag>
      <w:r>
        <w:t xml:space="preserve"> 218); and</w:t>
      </w:r>
    </w:p>
    <w:p>
      <w:pPr>
        <w:pStyle w:val="Defpara"/>
      </w:pPr>
      <w:r>
        <w:tab/>
        <w:t>(b)</w:t>
      </w:r>
      <w:r>
        <w:tab/>
        <w:t xml:space="preserve">part of </w:t>
      </w:r>
      <w:smartTag w:uri="urn:schemas-microsoft-com:office:smarttags" w:element="place">
        <w:r>
          <w:t>Lot</w:t>
        </w:r>
      </w:smartTag>
      <w:r>
        <w:t xml:space="preserve"> 22 on Diagram 72310 being part of the land in Certificate of Title volume 1918 folio 62.</w:t>
      </w:r>
    </w:p>
    <w:p>
      <w:pPr>
        <w:pStyle w:val="Subsection"/>
      </w:pPr>
      <w:r>
        <w:tab/>
        <w:t>(2)</w:t>
      </w:r>
      <w:r>
        <w:tab/>
        <w:t xml:space="preserve">The Electricity Generation Corporation is exempt from the </w:t>
      </w:r>
      <w:r>
        <w:rPr>
          <w:i/>
          <w:iCs/>
        </w:rPr>
        <w:t>Electricity Industry Act 2004</w:t>
      </w:r>
      <w:r>
        <w:t xml:space="preserve"> section 7(3) in relation to the construction and operation of a distribution system for the supply of electricity to Alstom for the purposes of commissioning generating works on the NewGen power station site.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Alstom for the purposes of commissioning generating works on the NewGen power station site.</w:t>
      </w:r>
    </w:p>
    <w:p>
      <w:pPr>
        <w:pStyle w:val="Subsection"/>
      </w:pPr>
      <w:r>
        <w:tab/>
        <w:t>(4)</w:t>
      </w:r>
      <w:r>
        <w:tab/>
        <w:t>The exemptions provided for in this clause expire on 30 June 2008.</w:t>
      </w:r>
    </w:p>
    <w:p>
      <w:pPr>
        <w:pStyle w:val="Footnotesection"/>
      </w:pPr>
      <w:r>
        <w:tab/>
        <w:t>[Clause 13A inserted in Gazette 11 Jan 2008 p. 102-3.]</w:t>
      </w:r>
    </w:p>
    <w:p>
      <w:pPr>
        <w:pStyle w:val="Heading5"/>
      </w:pPr>
      <w:bookmarkStart w:id="32" w:name="_Toc328654381"/>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32"/>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33" w:name="_Toc328654382"/>
      <w:r>
        <w:rPr>
          <w:rStyle w:val="CharSectno"/>
        </w:rPr>
        <w:t>15</w:t>
      </w:r>
      <w:r>
        <w:t>.</w:t>
      </w:r>
      <w:r>
        <w:tab/>
        <w:t>Exemptions for supply in Eucla</w:t>
      </w:r>
      <w:bookmarkEnd w:id="33"/>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34" w:name="_Toc328654383"/>
      <w:r>
        <w:rPr>
          <w:rStyle w:val="CharSectno"/>
        </w:rPr>
        <w:t>16</w:t>
      </w:r>
      <w:r>
        <w:t>.</w:t>
      </w:r>
      <w:r>
        <w:tab/>
        <w:t>Exemption for distribution systems of less than 1 km connecting to network other than SWIS</w:t>
      </w:r>
      <w:bookmarkEnd w:id="34"/>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35" w:name="_Toc328654384"/>
      <w:r>
        <w:rPr>
          <w:rStyle w:val="CharSectno"/>
        </w:rPr>
        <w:t>17</w:t>
      </w:r>
      <w:r>
        <w:t>.</w:t>
      </w:r>
      <w:r>
        <w:tab/>
        <w:t>Exemptions for holders of generation licence connecting to SWIS</w:t>
      </w:r>
      <w:bookmarkEnd w:id="35"/>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36" w:name="_Toc328654385"/>
      <w:r>
        <w:rPr>
          <w:rStyle w:val="CharSectno"/>
        </w:rPr>
        <w:t>18</w:t>
      </w:r>
      <w:r>
        <w:t>.</w:t>
      </w:r>
      <w:r>
        <w:tab/>
        <w:t>Exemption for EDL NGD (WA)</w:t>
      </w:r>
      <w:bookmarkEnd w:id="36"/>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37" w:name="_Toc328654386"/>
      <w:r>
        <w:rPr>
          <w:rStyle w:val="CharSectno"/>
        </w:rPr>
        <w:t>19</w:t>
      </w:r>
      <w:r>
        <w:t>.</w:t>
      </w:r>
      <w:r>
        <w:tab/>
        <w:t>Exemptions for electric vehicle charging stations</w:t>
      </w:r>
      <w:bookmarkEnd w:id="37"/>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19 inserted in Gazette 29 Jun 2012 p. 2934</w:t>
      </w:r>
      <w:r>
        <w:noBreakHyphen/>
        <w:t>5.]</w:t>
      </w:r>
    </w:p>
    <w:p>
      <w:pPr>
        <w:pStyle w:val="Heading5"/>
      </w:pPr>
      <w:bookmarkStart w:id="38" w:name="_Toc328654387"/>
      <w:r>
        <w:rPr>
          <w:rStyle w:val="CharSectno"/>
        </w:rPr>
        <w:t>20</w:t>
      </w:r>
      <w:r>
        <w:t>.</w:t>
      </w:r>
      <w:r>
        <w:tab/>
        <w:t>Exemptions for Blair Fox — Karakin Wind Farm</w:t>
      </w:r>
      <w:bookmarkEnd w:id="38"/>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39" w:name="_Toc328654388"/>
      <w:r>
        <w:rPr>
          <w:rStyle w:val="CharSectno"/>
        </w:rPr>
        <w:t>21</w:t>
      </w:r>
      <w:r>
        <w:t>.</w:t>
      </w:r>
      <w:r>
        <w:tab/>
        <w:t>Exemptions for MMG Golden Grove — supply to Minjar Gold</w:t>
      </w:r>
      <w:bookmarkEnd w:id="39"/>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21 inserted in Gazette 29 Jun 2012 p. 2935</w:t>
      </w:r>
      <w:r>
        <w:noBreakHyphen/>
        <w:t>6.]</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40" w:name="_Toc317862477"/>
      <w:bookmarkStart w:id="41" w:name="_Toc320862641"/>
      <w:bookmarkStart w:id="42" w:name="_Toc328654389"/>
      <w:bookmarkStart w:id="43" w:name="_Toc113695922"/>
      <w:bookmarkStart w:id="44" w:name="_Toc320799991"/>
      <w:bookmarkStart w:id="45" w:name="_Toc320801968"/>
      <w:bookmarkStart w:id="46" w:name="_Toc320861411"/>
      <w:bookmarkStart w:id="47" w:name="_Toc320861929"/>
      <w:r>
        <w:rPr>
          <w:rStyle w:val="CharSchNo"/>
        </w:rPr>
        <w:t>Schedule 1</w:t>
      </w:r>
      <w:r>
        <w:rPr>
          <w:rStyle w:val="CharSDivNo"/>
        </w:rPr>
        <w:t> </w:t>
      </w:r>
      <w:r>
        <w:t>—</w:t>
      </w:r>
      <w:r>
        <w:rPr>
          <w:rStyle w:val="CharSDivText"/>
        </w:rPr>
        <w:t> </w:t>
      </w:r>
      <w:r>
        <w:rPr>
          <w:rStyle w:val="CharSchText"/>
        </w:rPr>
        <w:t>Depiction of EDL NGD (WA) exempt distribution system</w:t>
      </w:r>
      <w:bookmarkEnd w:id="40"/>
      <w:bookmarkEnd w:id="41"/>
      <w:bookmarkEnd w:id="42"/>
    </w:p>
    <w:p>
      <w:pPr>
        <w:pStyle w:val="yShoulderClause"/>
      </w:pPr>
      <w:r>
        <w:t>[cl. 18]</w:t>
      </w:r>
    </w:p>
    <w:p>
      <w:pPr>
        <w:pStyle w:val="yFootnoteheading"/>
      </w:pPr>
      <w:r>
        <w:tab/>
        <w:t>[Heading inserted in Gazette 9 Oct 2009 p. 3994.]</w:t>
      </w:r>
    </w:p>
    <w:p>
      <w:pPr>
        <w:pStyle w:val="yHeading3"/>
      </w:pPr>
      <w:bookmarkStart w:id="48" w:name="_Toc317862478"/>
      <w:bookmarkStart w:id="49" w:name="_Toc320862642"/>
      <w:bookmarkStart w:id="50" w:name="_Toc328654390"/>
      <w:r>
        <w:t>EDL NGD (WA) — HV Cabling Route</w:t>
      </w:r>
      <w:bookmarkEnd w:id="48"/>
      <w:bookmarkEnd w:id="49"/>
      <w:bookmarkEnd w:id="50"/>
    </w:p>
    <w:p>
      <w:pPr>
        <w:pStyle w:val="Graphics"/>
        <w:spacing w:before="120"/>
        <w:jc w:val="center"/>
      </w:pPr>
      <w:r>
        <w:rPr>
          <w:lang w:eastAsia="en-AU"/>
        </w:rPr>
        <w:drawing>
          <wp:inline distT="0" distB="0" distL="0" distR="0">
            <wp:extent cx="4094480" cy="3377565"/>
            <wp:effectExtent l="0" t="0" r="127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94480" cy="3377565"/>
                    </a:xfrm>
                    <a:prstGeom prst="rect">
                      <a:avLst/>
                    </a:prstGeom>
                    <a:noFill/>
                    <a:ln>
                      <a:noFill/>
                    </a:ln>
                  </pic:spPr>
                </pic:pic>
              </a:graphicData>
            </a:graphic>
          </wp:inline>
        </w:drawing>
      </w:r>
    </w:p>
    <w:p>
      <w:pPr>
        <w:pStyle w:val="yFootnotesection"/>
      </w:pPr>
      <w:r>
        <w:tab/>
        <w:t>[Schedule 1 inserted in Gazette 9 Oct 2009 p. 3994.]</w:t>
      </w:r>
    </w:p>
    <w:p>
      <w:pPr>
        <w:sectPr>
          <w:headerReference w:type="even" r:id="rId26"/>
          <w:headerReference w:type="default" r:id="rId27"/>
          <w:pgSz w:w="11906" w:h="16838" w:code="9"/>
          <w:pgMar w:top="2376" w:right="2405" w:bottom="3542" w:left="2405" w:header="706" w:footer="3380" w:gutter="0"/>
          <w:cols w:space="720"/>
          <w:noEndnote/>
          <w:docGrid w:linePitch="326"/>
        </w:sectPr>
      </w:pPr>
    </w:p>
    <w:p>
      <w:pPr>
        <w:pStyle w:val="nHeading2"/>
      </w:pPr>
      <w:bookmarkStart w:id="51" w:name="_Toc320862643"/>
      <w:bookmarkStart w:id="52" w:name="_Toc328654391"/>
      <w:r>
        <w:t>Notes</w:t>
      </w:r>
      <w:bookmarkEnd w:id="43"/>
      <w:bookmarkEnd w:id="44"/>
      <w:bookmarkEnd w:id="45"/>
      <w:bookmarkEnd w:id="46"/>
      <w:bookmarkEnd w:id="47"/>
      <w:bookmarkEnd w:id="51"/>
      <w:bookmarkEnd w:id="52"/>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53" w:name="_Toc70311430"/>
      <w:bookmarkStart w:id="54" w:name="_Toc113695923"/>
      <w:bookmarkStart w:id="55" w:name="_Toc328654392"/>
      <w:r>
        <w:t>Compilation table</w:t>
      </w:r>
      <w:bookmarkEnd w:id="53"/>
      <w:bookmarkEnd w:id="54"/>
      <w:bookmarkEnd w:id="5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i/>
                <w:sz w:val="19"/>
              </w:rPr>
            </w:pPr>
            <w:r>
              <w:rPr>
                <w:i/>
                <w:sz w:val="19"/>
              </w:rPr>
              <w:t>Electricity Industry Exemption Order 2005</w:t>
            </w:r>
          </w:p>
        </w:tc>
        <w:tc>
          <w:tcPr>
            <w:tcW w:w="1276" w:type="dxa"/>
            <w:tcBorders>
              <w:bottom w:val="nil"/>
            </w:tcBorders>
          </w:tcPr>
          <w:p>
            <w:pPr>
              <w:pStyle w:val="nTable"/>
              <w:spacing w:after="40"/>
              <w:rPr>
                <w:sz w:val="19"/>
              </w:rPr>
            </w:pPr>
            <w:r>
              <w:rPr>
                <w:sz w:val="19"/>
              </w:rPr>
              <w:t>9 Dec 2005 p. 5878-84</w:t>
            </w:r>
          </w:p>
        </w:tc>
        <w:tc>
          <w:tcPr>
            <w:tcW w:w="2693" w:type="dxa"/>
            <w:tcBorders>
              <w:bottom w:val="nil"/>
            </w:tcBorders>
          </w:tcPr>
          <w:p>
            <w:pPr>
              <w:pStyle w:val="nTable"/>
              <w:spacing w:after="40"/>
              <w:rPr>
                <w:sz w:val="19"/>
              </w:rPr>
            </w:pPr>
            <w:r>
              <w:rPr>
                <w:sz w:val="19"/>
              </w:rPr>
              <w:t>1 Jan 2006 (see cl. 2)</w:t>
            </w:r>
          </w:p>
        </w:tc>
      </w:tr>
      <w:tr>
        <w:tc>
          <w:tcPr>
            <w:tcW w:w="3118" w:type="dxa"/>
            <w:tcBorders>
              <w:top w:val="nil"/>
              <w:bottom w:val="nil"/>
            </w:tcBorders>
          </w:tcPr>
          <w:p>
            <w:pPr>
              <w:pStyle w:val="nTable"/>
              <w:spacing w:after="40"/>
              <w:rPr>
                <w:i/>
                <w:sz w:val="19"/>
              </w:rPr>
            </w:pPr>
            <w:r>
              <w:rPr>
                <w:i/>
                <w:sz w:val="19"/>
              </w:rPr>
              <w:t>Electricity Industry Exemption Amendment Order 2006</w:t>
            </w:r>
          </w:p>
        </w:tc>
        <w:tc>
          <w:tcPr>
            <w:tcW w:w="1276" w:type="dxa"/>
            <w:tcBorders>
              <w:top w:val="nil"/>
              <w:bottom w:val="nil"/>
            </w:tcBorders>
          </w:tcPr>
          <w:p>
            <w:pPr>
              <w:pStyle w:val="nTable"/>
              <w:spacing w:after="40"/>
              <w:rPr>
                <w:sz w:val="19"/>
              </w:rPr>
            </w:pPr>
            <w:r>
              <w:rPr>
                <w:sz w:val="19"/>
              </w:rPr>
              <w:t>31 Mar 2006 p. 1158-9</w:t>
            </w:r>
          </w:p>
        </w:tc>
        <w:tc>
          <w:tcPr>
            <w:tcW w:w="2693" w:type="dxa"/>
            <w:tcBorders>
              <w:top w:val="nil"/>
              <w:bottom w:val="nil"/>
            </w:tcBorders>
          </w:tcPr>
          <w:p>
            <w:pPr>
              <w:pStyle w:val="nTable"/>
              <w:spacing w:after="40"/>
              <w:rPr>
                <w:sz w:val="19"/>
              </w:rPr>
            </w:pPr>
            <w:r>
              <w:rPr>
                <w:sz w:val="19"/>
              </w:rPr>
              <w:t>1 Apr 2006 (see cl. 2)</w:t>
            </w:r>
          </w:p>
        </w:tc>
      </w:tr>
      <w:tr>
        <w:tc>
          <w:tcPr>
            <w:tcW w:w="3118" w:type="dxa"/>
            <w:tcBorders>
              <w:top w:val="nil"/>
              <w:bottom w:val="nil"/>
            </w:tcBorders>
          </w:tcPr>
          <w:p>
            <w:pPr>
              <w:pStyle w:val="nTable"/>
              <w:spacing w:after="40"/>
              <w:rPr>
                <w:i/>
                <w:sz w:val="19"/>
              </w:rPr>
            </w:pPr>
            <w:r>
              <w:rPr>
                <w:i/>
                <w:sz w:val="19"/>
              </w:rPr>
              <w:t>Electricity Industry Exemption Amendment Order (No. 2) 2006</w:t>
            </w:r>
          </w:p>
        </w:tc>
        <w:tc>
          <w:tcPr>
            <w:tcW w:w="1276" w:type="dxa"/>
            <w:tcBorders>
              <w:top w:val="nil"/>
              <w:bottom w:val="nil"/>
            </w:tcBorders>
          </w:tcPr>
          <w:p>
            <w:pPr>
              <w:pStyle w:val="nTable"/>
              <w:spacing w:after="40"/>
              <w:rPr>
                <w:sz w:val="19"/>
              </w:rPr>
            </w:pPr>
            <w:r>
              <w:rPr>
                <w:sz w:val="19"/>
              </w:rPr>
              <w:t>27 Jun 2006 p. 2285-7</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(No. 3) 2006</w:t>
            </w:r>
          </w:p>
        </w:tc>
        <w:tc>
          <w:tcPr>
            <w:tcW w:w="1276" w:type="dxa"/>
            <w:tcBorders>
              <w:top w:val="nil"/>
              <w:bottom w:val="nil"/>
            </w:tcBorders>
          </w:tcPr>
          <w:p>
            <w:pPr>
              <w:pStyle w:val="nTable"/>
              <w:spacing w:after="40"/>
              <w:rPr>
                <w:sz w:val="19"/>
              </w:rPr>
            </w:pPr>
            <w:r>
              <w:rPr>
                <w:sz w:val="19"/>
              </w:rPr>
              <w:t>27 Jun 2006 p. 2287-8</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2007</w:t>
            </w:r>
          </w:p>
        </w:tc>
        <w:tc>
          <w:tcPr>
            <w:tcW w:w="1276" w:type="dxa"/>
            <w:tcBorders>
              <w:top w:val="nil"/>
              <w:bottom w:val="nil"/>
            </w:tcBorders>
          </w:tcPr>
          <w:p>
            <w:pPr>
              <w:pStyle w:val="nTable"/>
              <w:spacing w:after="40"/>
              <w:rPr>
                <w:sz w:val="19"/>
              </w:rPr>
            </w:pPr>
            <w:r>
              <w:rPr>
                <w:sz w:val="19"/>
              </w:rPr>
              <w:t>11 Jan 2008 p. 101-3</w:t>
            </w:r>
          </w:p>
        </w:tc>
        <w:tc>
          <w:tcPr>
            <w:tcW w:w="2693" w:type="dxa"/>
            <w:tcBorders>
              <w:top w:val="nil"/>
              <w:bottom w:val="nil"/>
            </w:tcBorders>
          </w:tcPr>
          <w:p>
            <w:pPr>
              <w:pStyle w:val="nTable"/>
              <w:spacing w:after="40"/>
              <w:rPr>
                <w:sz w:val="19"/>
              </w:rPr>
            </w:pPr>
            <w:r>
              <w:rPr>
                <w:sz w:val="19"/>
              </w:rPr>
              <w:t>cl. 1 and 2: 11 Jan 2008 (see cl. 2(a));</w:t>
            </w:r>
            <w:r>
              <w:rPr>
                <w:sz w:val="19"/>
              </w:rPr>
              <w:br/>
              <w:t>Order other than cl. 1 and 2: 12 Jan 2008 (see cl. 2(b))</w:t>
            </w:r>
          </w:p>
        </w:tc>
      </w:tr>
      <w:tr>
        <w:tc>
          <w:tcPr>
            <w:tcW w:w="3118" w:type="dxa"/>
            <w:tcBorders>
              <w:top w:val="nil"/>
              <w:bottom w:val="nil"/>
            </w:tcBorders>
          </w:tcPr>
          <w:p>
            <w:pPr>
              <w:pStyle w:val="nTable"/>
              <w:spacing w:after="40"/>
              <w:rPr>
                <w:i/>
                <w:sz w:val="19"/>
              </w:rPr>
            </w:pPr>
            <w:r>
              <w:rPr>
                <w:i/>
                <w:sz w:val="19"/>
              </w:rPr>
              <w:t>Electricity Industry Exemption Amendment Order (No. 2) 2009</w:t>
            </w:r>
          </w:p>
        </w:tc>
        <w:tc>
          <w:tcPr>
            <w:tcW w:w="1276" w:type="dxa"/>
            <w:tcBorders>
              <w:top w:val="nil"/>
              <w:bottom w:val="nil"/>
            </w:tcBorders>
          </w:tcPr>
          <w:p>
            <w:pPr>
              <w:pStyle w:val="nTable"/>
              <w:spacing w:after="40"/>
              <w:rPr>
                <w:sz w:val="19"/>
              </w:rPr>
            </w:pPr>
            <w:r>
              <w:rPr>
                <w:sz w:val="19"/>
              </w:rPr>
              <w:t>8 May 2009 p. 1497-9</w:t>
            </w:r>
          </w:p>
        </w:tc>
        <w:tc>
          <w:tcPr>
            <w:tcW w:w="2693" w:type="dxa"/>
            <w:tcBorders>
              <w:top w:val="nil"/>
              <w:bottom w:val="nil"/>
            </w:tcBorders>
          </w:tcPr>
          <w:p>
            <w:pPr>
              <w:pStyle w:val="nTable"/>
              <w:spacing w:after="40"/>
              <w:rPr>
                <w:sz w:val="19"/>
              </w:rPr>
            </w:pPr>
            <w:r>
              <w:rPr>
                <w:sz w:val="19"/>
              </w:rPr>
              <w:t>cl. 1 and 2: 8 May 2009 (see cl. 2(a));</w:t>
            </w:r>
            <w:r>
              <w:rPr>
                <w:sz w:val="19"/>
              </w:rPr>
              <w:br/>
              <w:t>Order other than cl. 1 and 2: 9 May 2009 (see cl. 2(b))</w:t>
            </w:r>
          </w:p>
        </w:tc>
      </w:tr>
      <w:tr>
        <w:tc>
          <w:tcPr>
            <w:tcW w:w="3118" w:type="dxa"/>
            <w:tcBorders>
              <w:top w:val="nil"/>
              <w:bottom w:val="nil"/>
            </w:tcBorders>
          </w:tcPr>
          <w:p>
            <w:pPr>
              <w:pStyle w:val="nTable"/>
              <w:spacing w:after="40"/>
              <w:rPr>
                <w:i/>
                <w:sz w:val="19"/>
              </w:rPr>
            </w:pPr>
            <w:r>
              <w:rPr>
                <w:i/>
                <w:sz w:val="19"/>
              </w:rPr>
              <w:t>Electricity Industry Exemption Amendment Order 2009</w:t>
            </w:r>
          </w:p>
        </w:tc>
        <w:tc>
          <w:tcPr>
            <w:tcW w:w="1276" w:type="dxa"/>
            <w:tcBorders>
              <w:top w:val="nil"/>
              <w:bottom w:val="nil"/>
            </w:tcBorders>
          </w:tcPr>
          <w:p>
            <w:pPr>
              <w:pStyle w:val="nTable"/>
              <w:spacing w:after="40"/>
              <w:rPr>
                <w:sz w:val="19"/>
              </w:rPr>
            </w:pPr>
            <w:r>
              <w:rPr>
                <w:sz w:val="19"/>
              </w:rPr>
              <w:t>9 Oct 2009 p. 3992-4</w:t>
            </w:r>
          </w:p>
        </w:tc>
        <w:tc>
          <w:tcPr>
            <w:tcW w:w="2693" w:type="dxa"/>
            <w:tcBorders>
              <w:top w:val="nil"/>
              <w:bottom w:val="nil"/>
            </w:tcBorders>
          </w:tcPr>
          <w:p>
            <w:pPr>
              <w:pStyle w:val="nTable"/>
              <w:spacing w:after="40"/>
              <w:rPr>
                <w:sz w:val="19"/>
              </w:rPr>
            </w:pPr>
            <w:r>
              <w:rPr>
                <w:sz w:val="19"/>
              </w:rPr>
              <w:t>cl. 1 and 2: 9 Oct 2009 (see cl. 2(a));</w:t>
            </w:r>
            <w:r>
              <w:rPr>
                <w:sz w:val="19"/>
              </w:rPr>
              <w:br/>
              <w:t>Order other than cl. 1 and 2: 10 Oct 2009 (see cl. 2(b))</w:t>
            </w:r>
          </w:p>
        </w:tc>
      </w:tr>
      <w:tr>
        <w:tc>
          <w:tcPr>
            <w:tcW w:w="3118" w:type="dxa"/>
            <w:tcBorders>
              <w:top w:val="nil"/>
              <w:bottom w:val="single" w:sz="4" w:space="0" w:color="auto"/>
            </w:tcBorders>
          </w:tcPr>
          <w:p>
            <w:pPr>
              <w:pStyle w:val="nTable"/>
              <w:spacing w:after="40"/>
              <w:rPr>
                <w:i/>
                <w:sz w:val="19"/>
              </w:rPr>
            </w:pPr>
            <w:r>
              <w:rPr>
                <w:i/>
                <w:sz w:val="19"/>
              </w:rPr>
              <w:t>Electricity Industry Exemption Amendment Order 2012</w:t>
            </w:r>
          </w:p>
        </w:tc>
        <w:tc>
          <w:tcPr>
            <w:tcW w:w="1276" w:type="dxa"/>
            <w:tcBorders>
              <w:top w:val="nil"/>
              <w:bottom w:val="single" w:sz="4" w:space="0" w:color="auto"/>
            </w:tcBorders>
          </w:tcPr>
          <w:p>
            <w:pPr>
              <w:pStyle w:val="nTable"/>
              <w:spacing w:after="40"/>
              <w:rPr>
                <w:sz w:val="19"/>
              </w:rPr>
            </w:pPr>
            <w:r>
              <w:rPr>
                <w:sz w:val="19"/>
              </w:rPr>
              <w:t>29 Jun 2012 p. 2933</w:t>
            </w:r>
            <w:r>
              <w:rPr>
                <w:sz w:val="19"/>
              </w:rPr>
              <w:noBreakHyphen/>
              <w:t>6</w:t>
            </w:r>
          </w:p>
        </w:tc>
        <w:tc>
          <w:tcPr>
            <w:tcW w:w="2693" w:type="dxa"/>
            <w:tcBorders>
              <w:top w:val="nil"/>
              <w:bottom w:val="single" w:sz="4" w:space="0" w:color="auto"/>
            </w:tcBorders>
          </w:tcPr>
          <w:p>
            <w:pPr>
              <w:pStyle w:val="nTable"/>
              <w:spacing w:after="40"/>
              <w:rPr>
                <w:sz w:val="19"/>
              </w:rPr>
            </w:pPr>
            <w:r>
              <w:rPr>
                <w:snapToGrid w:val="0"/>
                <w:spacing w:val="-2"/>
                <w:sz w:val="19"/>
                <w:lang w:val="en-US"/>
              </w:rPr>
              <w:t>cl. 1 and 2: 29 Jun 2012 (see cl. 2(a));</w:t>
            </w:r>
            <w:r>
              <w:rPr>
                <w:snapToGrid w:val="0"/>
                <w:spacing w:val="-2"/>
                <w:sz w:val="19"/>
                <w:lang w:val="en-US"/>
              </w:rPr>
              <w:br/>
              <w:t>Order other than cl. 1 and 2: 30 Jun 2012 (see cl. 2(b))</w:t>
            </w:r>
          </w:p>
        </w:tc>
      </w:tr>
    </w:tbl>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pPr>
        <w:pStyle w:val="nHeading2"/>
        <w:rPr>
          <w:sz w:val="28"/>
        </w:rPr>
      </w:pPr>
      <w:bookmarkStart w:id="56" w:name="_Toc320799993"/>
      <w:bookmarkStart w:id="57" w:name="_Toc320801970"/>
      <w:bookmarkStart w:id="58" w:name="_Toc320861413"/>
      <w:bookmarkStart w:id="59" w:name="_Toc320861931"/>
      <w:bookmarkStart w:id="60" w:name="_Toc320862645"/>
      <w:bookmarkStart w:id="61" w:name="_Toc328654393"/>
      <w:r>
        <w:rPr>
          <w:sz w:val="28"/>
        </w:rPr>
        <w:t>Defined Terms</w:t>
      </w:r>
      <w:bookmarkEnd w:id="56"/>
      <w:bookmarkEnd w:id="57"/>
      <w:bookmarkEnd w:id="58"/>
      <w:bookmarkEnd w:id="59"/>
      <w:bookmarkEnd w:id="60"/>
      <w:bookmarkEnd w:id="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2" w:name="DefinedTerms"/>
      <w:bookmarkEnd w:id="62"/>
      <w:r>
        <w:t>Aboriginal community</w:t>
      </w:r>
      <w:r>
        <w:tab/>
        <w:t>7(1)</w:t>
      </w:r>
    </w:p>
    <w:p>
      <w:pPr>
        <w:pStyle w:val="DefinedTerms"/>
      </w:pPr>
      <w:r>
        <w:t>Aboriginal community premises</w:t>
      </w:r>
      <w:r>
        <w:tab/>
        <w:t>7(1)</w:t>
      </w:r>
    </w:p>
    <w:p>
      <w:pPr>
        <w:pStyle w:val="DefinedTerms"/>
      </w:pPr>
      <w:r>
        <w:t>administering body</w:t>
      </w:r>
      <w:r>
        <w:tab/>
        <w:t>5(1)</w:t>
      </w:r>
    </w:p>
    <w:p>
      <w:pPr>
        <w:pStyle w:val="DefinedTerms"/>
      </w:pPr>
      <w:r>
        <w:t>Alstom</w:t>
      </w:r>
      <w:r>
        <w:tab/>
        <w:t>13A(1)</w:t>
      </w:r>
    </w:p>
    <w:p>
      <w:pPr>
        <w:pStyle w:val="DefinedTerms"/>
      </w:pPr>
      <w:r>
        <w:t>Blair Fox</w:t>
      </w:r>
      <w:r>
        <w:tab/>
        <w:t>20</w:t>
      </w:r>
    </w:p>
    <w:p>
      <w:pPr>
        <w:pStyle w:val="DefinedTerms"/>
        <w:rPr>
          <w:lang w:val="fr-FR"/>
        </w:rPr>
      </w:pPr>
      <w:r>
        <w:rPr>
          <w:lang w:val="fr-FR"/>
        </w:rPr>
        <w:t>code provision</w:t>
      </w:r>
      <w:r>
        <w:rPr>
          <w:lang w:val="fr-FR"/>
        </w:rPr>
        <w:tab/>
        <w:t>11(1)</w:t>
      </w:r>
    </w:p>
    <w:p>
      <w:pPr>
        <w:pStyle w:val="DefinedTerms"/>
        <w:rPr>
          <w:lang w:val="fr-FR"/>
        </w:rPr>
      </w:pPr>
      <w:r>
        <w:rPr>
          <w:lang w:val="fr-FR"/>
        </w:rPr>
        <w:t>commercial premises</w:t>
      </w:r>
      <w:r>
        <w:rPr>
          <w:lang w:val="fr-FR"/>
        </w:rPr>
        <w:tab/>
        <w:t xml:space="preserve">3A, </w:t>
      </w:r>
    </w:p>
    <w:p>
      <w:pPr>
        <w:pStyle w:val="DefinedTerms"/>
      </w:pPr>
      <w:r>
        <w:t>connection point</w:t>
      </w:r>
      <w:r>
        <w:tab/>
        <w:t>3(1)</w:t>
      </w:r>
    </w:p>
    <w:p>
      <w:pPr>
        <w:pStyle w:val="DefinedTerms"/>
      </w:pPr>
      <w:r>
        <w:t>DBNGP corridor</w:t>
      </w:r>
      <w:r>
        <w:tab/>
        <w:t>12(1)</w:t>
      </w:r>
    </w:p>
    <w:p>
      <w:pPr>
        <w:pStyle w:val="DefinedTerms"/>
      </w:pPr>
      <w:r>
        <w:t>DBNGP Transmission</w:t>
      </w:r>
      <w:r>
        <w:tab/>
        <w:t>12(1)</w:t>
      </w:r>
    </w:p>
    <w:p>
      <w:pPr>
        <w:pStyle w:val="DefinedTerms"/>
      </w:pPr>
      <w:r>
        <w:t>electric vehicle</w:t>
      </w:r>
      <w:r>
        <w:tab/>
        <w:t>19</w:t>
      </w:r>
    </w:p>
    <w:p>
      <w:pPr>
        <w:pStyle w:val="DefinedTerms"/>
      </w:pPr>
      <w:r>
        <w:t>electricity reticulation system</w:t>
      </w:r>
      <w:r>
        <w:tab/>
        <w:t>6(1)</w:t>
      </w:r>
    </w:p>
    <w:p>
      <w:pPr>
        <w:pStyle w:val="DefinedTerms"/>
      </w:pPr>
      <w:r>
        <w:t>Eucla</w:t>
      </w:r>
      <w:r>
        <w:tab/>
        <w:t>15(1)</w:t>
      </w:r>
    </w:p>
    <w:p>
      <w:pPr>
        <w:pStyle w:val="DefinedTerms"/>
      </w:pP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r>
        <w:tab/>
        <w:t>14(1)</w:t>
      </w:r>
    </w:p>
    <w:p>
      <w:pPr>
        <w:pStyle w:val="DefinedTerms"/>
      </w:pPr>
      <w:r>
        <w:t>generation capacity</w:t>
      </w:r>
      <w:r>
        <w:tab/>
        <w:t>3(1)</w:t>
      </w:r>
    </w:p>
    <w:p>
      <w:pPr>
        <w:pStyle w:val="DefinedTerms"/>
      </w:pPr>
      <w:r>
        <w:t>Karakin Wind Farm</w:t>
      </w:r>
      <w:r>
        <w:tab/>
        <w:t>20</w:t>
      </w:r>
    </w:p>
    <w:p>
      <w:pPr>
        <w:pStyle w:val="DefinedTerms"/>
      </w:pPr>
      <w:r>
        <w:t>Minjar Gold</w:t>
      </w:r>
      <w:r>
        <w:tab/>
        <w:t>21</w:t>
      </w:r>
    </w:p>
    <w:p>
      <w:pPr>
        <w:pStyle w:val="DefinedTerms"/>
      </w:pPr>
      <w:r>
        <w:t>MMG Golden Grove</w:t>
      </w:r>
      <w:r>
        <w:tab/>
        <w:t>21</w:t>
      </w:r>
    </w:p>
    <w:p>
      <w:pPr>
        <w:pStyle w:val="DefinedTerms"/>
      </w:pPr>
      <w:r>
        <w:t>NewGen power station site</w:t>
      </w:r>
      <w:r>
        <w:tab/>
        <w:t>13A(1)</w:t>
      </w:r>
    </w:p>
    <w:p>
      <w:pPr>
        <w:pStyle w:val="DefinedTerms"/>
      </w:pPr>
      <w:r>
        <w:t>PEP Agreement</w:t>
      </w:r>
      <w:r>
        <w:tab/>
        <w:t>8(1)</w:t>
      </w:r>
    </w:p>
    <w:p>
      <w:pPr>
        <w:pStyle w:val="DefinedTerms"/>
      </w:pPr>
      <w:r>
        <w:t>relevant agreement</w:t>
      </w:r>
      <w:r>
        <w:tab/>
        <w:t>10(1)</w:t>
      </w:r>
    </w:p>
    <w:p>
      <w:pPr>
        <w:pStyle w:val="DefinedTerms"/>
      </w:pPr>
      <w:r>
        <w:t>relevant premises</w:t>
      </w:r>
      <w:r>
        <w:tab/>
        <w:t>6(1)</w:t>
      </w:r>
    </w:p>
    <w:p>
      <w:pPr>
        <w:pStyle w:val="DefinedTerms"/>
      </w:pPr>
      <w:r>
        <w:t>resident</w:t>
      </w:r>
      <w:r>
        <w:tab/>
        <w:t>6(1)</w:t>
      </w:r>
    </w:p>
    <w:p>
      <w:pPr>
        <w:pStyle w:val="DefinedTerms"/>
      </w:pPr>
      <w:r>
        <w:t>residential premises</w:t>
      </w:r>
      <w:r>
        <w:tab/>
        <w:t>5(1)</w:t>
      </w:r>
    </w:p>
    <w:p>
      <w:pPr>
        <w:pStyle w:val="DefinedTerms"/>
      </w:pPr>
      <w:r>
        <w:t>retirement village</w:t>
      </w:r>
      <w:r>
        <w:tab/>
        <w:t>5(1)</w:t>
      </w:r>
    </w:p>
    <w:p>
      <w:pPr>
        <w:pStyle w:val="DefinedTerms"/>
      </w:pPr>
      <w:r>
        <w:t>scheme</w:t>
      </w:r>
      <w:r>
        <w:tab/>
        <w:t>4(1), 5(1)</w:t>
      </w:r>
    </w:p>
    <w:p>
      <w:pPr>
        <w:pStyle w:val="DefinedTerms"/>
      </w:pPr>
      <w:r>
        <w:t>strata company</w:t>
      </w:r>
      <w:r>
        <w:tab/>
        <w:t>4(1), 5(1)</w:t>
      </w:r>
    </w:p>
    <w:p>
      <w:pPr>
        <w:pStyle w:val="DefinedTerms"/>
      </w:pPr>
      <w:r>
        <w:t>supplier</w:t>
      </w:r>
      <w:r>
        <w:tab/>
        <w:t>4A, 4(2), 4(3), 4(4), 5(2), 5(3)</w:t>
      </w:r>
    </w:p>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even"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Exemption Order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Electricity Industry Exemption Order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557" w:type="dxa"/>
        </w:tcPr>
        <w:p>
          <w:pPr>
            <w:pStyle w:val="HeaderNumberRight"/>
            <w:ind w:right="17"/>
          </w:pPr>
          <w:r>
            <w:fldChar w:fldCharType="begin"/>
          </w:r>
          <w:r>
            <w:instrText xml:space="preserve"> STYLEREF CharSDivNo \* charformat</w:instrText>
          </w:r>
          <w:r>
            <w:fldChar w:fldCharType="end"/>
          </w: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cl.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cl.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Exemption Order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FootnotesectionChar">
    <w:name w:val="Footnote(section) Char"/>
    <w:basedOn w:val="DefaultParagraphFont"/>
    <w:link w:val="Footnotesection"/>
    <w:rPr>
      <w:i/>
      <w:snapToGrid w:val="0"/>
      <w:sz w:val="24"/>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FootnotesectionChar">
    <w:name w:val="Footnote(section) Char"/>
    <w:basedOn w:val="DefaultParagraphFont"/>
    <w:link w:val="Footnotesection"/>
    <w:rPr>
      <w:i/>
      <w:snapToGrid w:val="0"/>
      <w:sz w:val="24"/>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4989</Words>
  <Characters>25297</Characters>
  <Application>Microsoft Office Word</Application>
  <DocSecurity>0</DocSecurity>
  <Lines>702</Lines>
  <Paragraphs>393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2005 - 00-g0-02</dc:title>
  <dc:subject/>
  <dc:creator/>
  <cp:keywords/>
  <dc:description/>
  <cp:lastModifiedBy>svcMRProcess</cp:lastModifiedBy>
  <cp:revision>4</cp:revision>
  <cp:lastPrinted>2012-03-29T07:14:00Z</cp:lastPrinted>
  <dcterms:created xsi:type="dcterms:W3CDTF">2018-09-18T23:49:00Z</dcterms:created>
  <dcterms:modified xsi:type="dcterms:W3CDTF">2018-09-18T23:49:00Z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CommencementDate">
    <vt:lpwstr>20120630</vt:lpwstr>
  </property>
  <property fmtid="{D5CDD505-2E9C-101B-9397-08002B2CF9AE}" pid="4" name="AsAtDate">
    <vt:lpwstr>30 Jun 2012</vt:lpwstr>
  </property>
  <property fmtid="{D5CDD505-2E9C-101B-9397-08002B2CF9AE}" pid="5" name="Suffix">
    <vt:lpwstr>00-g0-02</vt:lpwstr>
  </property>
  <property fmtid="{D5CDD505-2E9C-101B-9397-08002B2CF9AE}" pid="6" name="DocumentType">
    <vt:lpwstr>Reg</vt:lpwstr>
  </property>
</Properties>
</file>