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Veterinary Chemical Control and Animal Feeding Stuffs Act 1976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February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_Toc128798244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_Toc128798245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_Toc128798246 \h </w:instrText>
      </w:r>
      <w:r>
        <w:fldChar w:fldCharType="separate"/>
      </w:r>
      <w:r>
        <w:t>2</w:t>
      </w:r>
      <w:r>
        <w:fldChar w:fldCharType="end"/>
      </w:r>
    </w:p>
    <w:p>
      <w:pPr>
        <w:pStyle w:val="TOC2"/>
        <w:tabs>
          <w:tab w:val="right" w:leader="dot" w:pos="7086"/>
        </w:tabs>
        <w:rPr>
          <w:b w:val="0"/>
          <w:sz w:val="24"/>
          <w:szCs w:val="24"/>
        </w:rPr>
      </w:pPr>
      <w:r>
        <w:rPr>
          <w:szCs w:val="30"/>
        </w:rPr>
        <w:t>Part II — Exemptions, prohibitions and construction</w:t>
      </w:r>
    </w:p>
    <w:p>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_Toc128798248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Exemptions by Order</w:t>
      </w:r>
      <w:r>
        <w:tab/>
      </w:r>
      <w:r>
        <w:fldChar w:fldCharType="begin"/>
      </w:r>
      <w:r>
        <w:instrText xml:space="preserve"> PAGEREF _Toc128798249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_Toc128798250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 to be construed subject to certain laws</w:t>
      </w:r>
      <w:r>
        <w:tab/>
      </w:r>
      <w:r>
        <w:fldChar w:fldCharType="begin"/>
      </w:r>
      <w:r>
        <w:instrText xml:space="preserve"> PAGEREF _Toc128798251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Administration</w:t>
      </w:r>
      <w:r>
        <w:tab/>
      </w:r>
      <w:r>
        <w:fldChar w:fldCharType="begin"/>
      </w:r>
      <w:r>
        <w:instrText xml:space="preserve"> PAGEREF _Toc128798252 \h </w:instrText>
      </w:r>
      <w:r>
        <w:fldChar w:fldCharType="separate"/>
      </w:r>
      <w:r>
        <w:t>11</w:t>
      </w:r>
      <w:r>
        <w:fldChar w:fldCharType="end"/>
      </w:r>
    </w:p>
    <w:p>
      <w:pPr>
        <w:pStyle w:val="TOC2"/>
        <w:tabs>
          <w:tab w:val="right" w:leader="dot" w:pos="7086"/>
        </w:tabs>
        <w:rPr>
          <w:b w:val="0"/>
          <w:sz w:val="24"/>
          <w:szCs w:val="24"/>
        </w:rPr>
      </w:pPr>
      <w:r>
        <w:rPr>
          <w:szCs w:val="30"/>
        </w:rPr>
        <w:t>Part III — Control of production and sales</w:t>
      </w:r>
    </w:p>
    <w:p>
      <w:pPr>
        <w:pStyle w:val="TOC8"/>
        <w:rPr>
          <w:sz w:val="24"/>
          <w:szCs w:val="24"/>
        </w:rPr>
      </w:pPr>
      <w:r>
        <w:rPr>
          <w:szCs w:val="24"/>
        </w:rPr>
        <w:t>11.</w:t>
      </w:r>
      <w:r>
        <w:rPr>
          <w:szCs w:val="24"/>
        </w:rPr>
        <w:tab/>
        <w:t>Unhygienic production etc. of animal feeding stuffs</w:t>
      </w:r>
      <w:r>
        <w:tab/>
      </w:r>
      <w:r>
        <w:fldChar w:fldCharType="begin"/>
      </w:r>
      <w:r>
        <w:instrText xml:space="preserve"> PAGEREF _Toc128798254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Prohibition on sale of prohibited products and substances, and use of certain premises</w:t>
      </w:r>
      <w:r>
        <w:tab/>
      </w:r>
      <w:r>
        <w:fldChar w:fldCharType="begin"/>
      </w:r>
      <w:r>
        <w:instrText xml:space="preserve"> PAGEREF _Toc128798255 \h </w:instrText>
      </w:r>
      <w:r>
        <w:fldChar w:fldCharType="separate"/>
      </w:r>
      <w:r>
        <w:t>12</w:t>
      </w:r>
      <w:r>
        <w:fldChar w:fldCharType="end"/>
      </w:r>
    </w:p>
    <w:p>
      <w:pPr>
        <w:pStyle w:val="TOC8"/>
        <w:rPr>
          <w:sz w:val="24"/>
          <w:szCs w:val="24"/>
        </w:rPr>
      </w:pPr>
      <w:r>
        <w:rPr>
          <w:szCs w:val="24"/>
        </w:rPr>
        <w:t>14.</w:t>
      </w:r>
      <w:r>
        <w:rPr>
          <w:szCs w:val="24"/>
        </w:rPr>
        <w:tab/>
        <w:t>Sale of sub</w:t>
      </w:r>
      <w:r>
        <w:rPr>
          <w:szCs w:val="24"/>
        </w:rPr>
        <w:noBreakHyphen/>
        <w:t>standard animal feeding stuff</w:t>
      </w:r>
      <w:r>
        <w:tab/>
      </w:r>
      <w:r>
        <w:fldChar w:fldCharType="begin"/>
      </w:r>
      <w:r>
        <w:instrText xml:space="preserve"> PAGEREF _Toc128798256 \h </w:instrText>
      </w:r>
      <w:r>
        <w:fldChar w:fldCharType="separate"/>
      </w:r>
      <w:r>
        <w:t>12</w:t>
      </w:r>
      <w:r>
        <w:fldChar w:fldCharType="end"/>
      </w:r>
    </w:p>
    <w:p>
      <w:pPr>
        <w:pStyle w:val="TOC2"/>
        <w:tabs>
          <w:tab w:val="right" w:leader="dot" w:pos="7086"/>
        </w:tabs>
        <w:rPr>
          <w:b w:val="0"/>
          <w:sz w:val="24"/>
          <w:szCs w:val="24"/>
        </w:rPr>
      </w:pPr>
      <w:r>
        <w:rPr>
          <w:szCs w:val="30"/>
        </w:rPr>
        <w:lastRenderedPageBreak/>
        <w:t>Part IV — Control of use of veterinary chemical products</w:t>
      </w:r>
    </w:p>
    <w:p>
      <w:pPr>
        <w:pStyle w:val="TOC8"/>
        <w:rPr>
          <w:sz w:val="24"/>
          <w:szCs w:val="24"/>
        </w:rPr>
      </w:pPr>
      <w:r>
        <w:rPr>
          <w:szCs w:val="24"/>
        </w:rPr>
        <w:t>15.</w:t>
      </w:r>
      <w:r>
        <w:rPr>
          <w:szCs w:val="24"/>
        </w:rPr>
        <w:tab/>
        <w:t>Regulations relating to control of use of veterinary chemical products</w:t>
      </w:r>
      <w:r>
        <w:tab/>
      </w:r>
      <w:r>
        <w:fldChar w:fldCharType="begin"/>
      </w:r>
      <w:r>
        <w:instrText xml:space="preserve"> PAGEREF _Toc128798258 \h </w:instrText>
      </w:r>
      <w:r>
        <w:fldChar w:fldCharType="separate"/>
      </w:r>
      <w:r>
        <w:t>14</w:t>
      </w:r>
      <w:r>
        <w:fldChar w:fldCharType="end"/>
      </w:r>
    </w:p>
    <w:p>
      <w:pPr>
        <w:pStyle w:val="TOC2"/>
        <w:tabs>
          <w:tab w:val="right" w:leader="dot" w:pos="7086"/>
        </w:tabs>
        <w:rPr>
          <w:b w:val="0"/>
          <w:sz w:val="24"/>
          <w:szCs w:val="24"/>
        </w:rPr>
      </w:pPr>
      <w:r>
        <w:rPr>
          <w:szCs w:val="30"/>
        </w:rPr>
        <w:t>Part V — Regulation of sale of certain stock, stock products and carcasses</w:t>
      </w:r>
    </w:p>
    <w:p>
      <w:pPr>
        <w:pStyle w:val="TOC8"/>
        <w:rPr>
          <w:sz w:val="24"/>
          <w:szCs w:val="24"/>
        </w:rPr>
      </w:pPr>
      <w:r>
        <w:rPr>
          <w:szCs w:val="24"/>
        </w:rPr>
        <w:t>16.</w:t>
      </w:r>
      <w:r>
        <w:rPr>
          <w:szCs w:val="24"/>
        </w:rPr>
        <w:tab/>
        <w:t>Regulations relating to sale of certain stock, stock products and carcasses</w:t>
      </w:r>
      <w:r>
        <w:tab/>
      </w:r>
      <w:r>
        <w:fldChar w:fldCharType="begin"/>
      </w:r>
      <w:r>
        <w:instrText xml:space="preserve"> PAGEREF _Toc128798260 \h </w:instrText>
      </w:r>
      <w:r>
        <w:fldChar w:fldCharType="separate"/>
      </w:r>
      <w:r>
        <w:t>15</w:t>
      </w:r>
      <w:r>
        <w:fldChar w:fldCharType="end"/>
      </w:r>
    </w:p>
    <w:p>
      <w:pPr>
        <w:pStyle w:val="TOC2"/>
        <w:tabs>
          <w:tab w:val="right" w:leader="dot" w:pos="7086"/>
        </w:tabs>
        <w:rPr>
          <w:b w:val="0"/>
          <w:sz w:val="24"/>
          <w:szCs w:val="24"/>
        </w:rPr>
      </w:pPr>
      <w:r>
        <w:rPr>
          <w:szCs w:val="30"/>
        </w:rPr>
        <w:t>Part VA — Regulation of prescribed substances</w:t>
      </w:r>
    </w:p>
    <w:p>
      <w:pPr>
        <w:pStyle w:val="TOC8"/>
        <w:rPr>
          <w:sz w:val="24"/>
          <w:szCs w:val="24"/>
        </w:rPr>
      </w:pPr>
      <w:r>
        <w:rPr>
          <w:szCs w:val="24"/>
        </w:rPr>
        <w:t>36AA.</w:t>
      </w:r>
      <w:r>
        <w:rPr>
          <w:szCs w:val="24"/>
        </w:rPr>
        <w:tab/>
        <w:t>Definition</w:t>
      </w:r>
      <w:r>
        <w:tab/>
      </w:r>
      <w:r>
        <w:fldChar w:fldCharType="begin"/>
      </w:r>
      <w:r>
        <w:instrText xml:space="preserve"> PAGEREF _Toc128798262 \h </w:instrText>
      </w:r>
      <w:r>
        <w:fldChar w:fldCharType="separate"/>
      </w:r>
      <w:r>
        <w:t>16</w:t>
      </w:r>
      <w:r>
        <w:fldChar w:fldCharType="end"/>
      </w:r>
    </w:p>
    <w:p>
      <w:pPr>
        <w:pStyle w:val="TOC8"/>
        <w:rPr>
          <w:sz w:val="24"/>
          <w:szCs w:val="24"/>
        </w:rPr>
      </w:pPr>
      <w:r>
        <w:rPr>
          <w:szCs w:val="24"/>
        </w:rPr>
        <w:t>36A</w:t>
      </w:r>
      <w:r>
        <w:rPr>
          <w:snapToGrid w:val="0"/>
          <w:szCs w:val="24"/>
        </w:rPr>
        <w:t>.</w:t>
      </w:r>
      <w:r>
        <w:rPr>
          <w:snapToGrid w:val="0"/>
          <w:szCs w:val="24"/>
        </w:rPr>
        <w:tab/>
        <w:t>Regulations relating to prescribed substances</w:t>
      </w:r>
      <w:r>
        <w:tab/>
      </w:r>
      <w:r>
        <w:fldChar w:fldCharType="begin"/>
      </w:r>
      <w:r>
        <w:instrText xml:space="preserve"> PAGEREF _Toc128798263 \h </w:instrText>
      </w:r>
      <w:r>
        <w:fldChar w:fldCharType="separate"/>
      </w:r>
      <w:r>
        <w:t>16</w:t>
      </w:r>
      <w:r>
        <w:fldChar w:fldCharType="end"/>
      </w:r>
    </w:p>
    <w:p>
      <w:pPr>
        <w:pStyle w:val="TOC8"/>
        <w:rPr>
          <w:sz w:val="24"/>
          <w:szCs w:val="24"/>
        </w:rPr>
      </w:pPr>
      <w:r>
        <w:rPr>
          <w:szCs w:val="24"/>
        </w:rPr>
        <w:t>36B</w:t>
      </w:r>
      <w:r>
        <w:rPr>
          <w:snapToGrid w:val="0"/>
          <w:szCs w:val="24"/>
        </w:rPr>
        <w:t>.</w:t>
      </w:r>
      <w:r>
        <w:rPr>
          <w:snapToGrid w:val="0"/>
          <w:szCs w:val="24"/>
        </w:rPr>
        <w:tab/>
        <w:t>Certain agreements void</w:t>
      </w:r>
      <w:r>
        <w:tab/>
      </w:r>
      <w:r>
        <w:fldChar w:fldCharType="begin"/>
      </w:r>
      <w:r>
        <w:instrText xml:space="preserve"> PAGEREF _Toc128798264 \h </w:instrText>
      </w:r>
      <w:r>
        <w:fldChar w:fldCharType="separate"/>
      </w:r>
      <w:r>
        <w:t>18</w:t>
      </w:r>
      <w:r>
        <w:fldChar w:fldCharType="end"/>
      </w:r>
    </w:p>
    <w:p>
      <w:pPr>
        <w:pStyle w:val="TOC8"/>
        <w:rPr>
          <w:sz w:val="24"/>
          <w:szCs w:val="24"/>
        </w:rPr>
      </w:pPr>
      <w:r>
        <w:rPr>
          <w:szCs w:val="24"/>
        </w:rPr>
        <w:t>36D</w:t>
      </w:r>
      <w:r>
        <w:rPr>
          <w:snapToGrid w:val="0"/>
          <w:szCs w:val="24"/>
        </w:rPr>
        <w:t>.</w:t>
      </w:r>
      <w:r>
        <w:rPr>
          <w:snapToGrid w:val="0"/>
          <w:szCs w:val="24"/>
        </w:rPr>
        <w:tab/>
        <w:t>False statements as to prescribed substances</w:t>
      </w:r>
      <w:r>
        <w:tab/>
      </w:r>
      <w:r>
        <w:fldChar w:fldCharType="begin"/>
      </w:r>
      <w:r>
        <w:instrText xml:space="preserve"> PAGEREF _Toc128798265 \h </w:instrText>
      </w:r>
      <w:r>
        <w:fldChar w:fldCharType="separate"/>
      </w:r>
      <w:r>
        <w:t>19</w:t>
      </w:r>
      <w:r>
        <w:fldChar w:fldCharType="end"/>
      </w:r>
    </w:p>
    <w:p>
      <w:pPr>
        <w:pStyle w:val="TOC2"/>
        <w:tabs>
          <w:tab w:val="right" w:leader="dot" w:pos="7086"/>
        </w:tabs>
        <w:rPr>
          <w:b w:val="0"/>
          <w:sz w:val="24"/>
          <w:szCs w:val="24"/>
        </w:rPr>
      </w:pPr>
      <w:r>
        <w:rPr>
          <w:szCs w:val="30"/>
        </w:rPr>
        <w:t>Part VI — Inspection, sampling and analysis</w:t>
      </w:r>
    </w:p>
    <w:p>
      <w:pPr>
        <w:pStyle w:val="TOC8"/>
        <w:rPr>
          <w:sz w:val="24"/>
          <w:szCs w:val="24"/>
        </w:rPr>
      </w:pPr>
      <w:r>
        <w:rPr>
          <w:szCs w:val="24"/>
        </w:rPr>
        <w:t>37</w:t>
      </w:r>
      <w:r>
        <w:rPr>
          <w:snapToGrid w:val="0"/>
          <w:szCs w:val="24"/>
        </w:rPr>
        <w:t>.</w:t>
      </w:r>
      <w:r>
        <w:rPr>
          <w:snapToGrid w:val="0"/>
          <w:szCs w:val="24"/>
        </w:rPr>
        <w:tab/>
        <w:t>Appointment of inspectors</w:t>
      </w:r>
      <w:r>
        <w:tab/>
      </w:r>
      <w:r>
        <w:fldChar w:fldCharType="begin"/>
      </w:r>
      <w:r>
        <w:instrText xml:space="preserve"> PAGEREF _Toc128798267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Powers of entry, search and in relation to movement of stock</w:t>
      </w:r>
      <w:r>
        <w:tab/>
      </w:r>
      <w:r>
        <w:fldChar w:fldCharType="begin"/>
      </w:r>
      <w:r>
        <w:instrText xml:space="preserve"> PAGEREF _Toc128798268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Supply of information</w:t>
      </w:r>
      <w:r>
        <w:tab/>
      </w:r>
      <w:r>
        <w:fldChar w:fldCharType="begin"/>
      </w:r>
      <w:r>
        <w:instrText xml:space="preserve"> PAGEREF _Toc128798269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Power to seize and detain</w:t>
      </w:r>
      <w:r>
        <w:tab/>
      </w:r>
      <w:r>
        <w:fldChar w:fldCharType="begin"/>
      </w:r>
      <w:r>
        <w:instrText xml:space="preserve"> PAGEREF _Toc128798270 \h </w:instrText>
      </w:r>
      <w:r>
        <w:fldChar w:fldCharType="separate"/>
      </w:r>
      <w:r>
        <w:t>25</w:t>
      </w:r>
      <w:r>
        <w:fldChar w:fldCharType="end"/>
      </w:r>
    </w:p>
    <w:p>
      <w:pPr>
        <w:pStyle w:val="TOC8"/>
        <w:rPr>
          <w:sz w:val="24"/>
          <w:szCs w:val="24"/>
        </w:rPr>
      </w:pPr>
      <w:r>
        <w:rPr>
          <w:szCs w:val="24"/>
        </w:rPr>
        <w:t>40A</w:t>
      </w:r>
      <w:r>
        <w:rPr>
          <w:snapToGrid w:val="0"/>
          <w:szCs w:val="24"/>
        </w:rPr>
        <w:t>.</w:t>
      </w:r>
      <w:r>
        <w:rPr>
          <w:snapToGrid w:val="0"/>
          <w:szCs w:val="24"/>
        </w:rPr>
        <w:tab/>
        <w:t>Other powers of an inspector</w:t>
      </w:r>
      <w:r>
        <w:tab/>
      </w:r>
      <w:r>
        <w:fldChar w:fldCharType="begin"/>
      </w:r>
      <w:r>
        <w:instrText xml:space="preserve"> PAGEREF _Toc128798271 \h </w:instrText>
      </w:r>
      <w:r>
        <w:fldChar w:fldCharType="separate"/>
      </w:r>
      <w:r>
        <w:t>25</w:t>
      </w:r>
      <w:r>
        <w:fldChar w:fldCharType="end"/>
      </w:r>
    </w:p>
    <w:p>
      <w:pPr>
        <w:pStyle w:val="TOC8"/>
        <w:rPr>
          <w:sz w:val="24"/>
          <w:szCs w:val="24"/>
        </w:rPr>
      </w:pPr>
      <w:r>
        <w:rPr>
          <w:szCs w:val="24"/>
        </w:rPr>
        <w:t>40B</w:t>
      </w:r>
      <w:r>
        <w:rPr>
          <w:snapToGrid w:val="0"/>
          <w:szCs w:val="24"/>
        </w:rPr>
        <w:t>.</w:t>
      </w:r>
      <w:r>
        <w:rPr>
          <w:snapToGrid w:val="0"/>
          <w:szCs w:val="24"/>
        </w:rPr>
        <w:tab/>
        <w:t>Recovery of inspection costs</w:t>
      </w:r>
      <w:r>
        <w:tab/>
      </w:r>
      <w:r>
        <w:fldChar w:fldCharType="begin"/>
      </w:r>
      <w:r>
        <w:instrText xml:space="preserve"> PAGEREF _Toc128798272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Powers of sampling</w:t>
      </w:r>
      <w:r>
        <w:tab/>
      </w:r>
      <w:r>
        <w:fldChar w:fldCharType="begin"/>
      </w:r>
      <w:r>
        <w:instrText xml:space="preserve"> PAGEREF _Toc128798273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Duty of dealers to provide samples and information when required</w:t>
      </w:r>
      <w:r>
        <w:tab/>
      </w:r>
      <w:r>
        <w:fldChar w:fldCharType="begin"/>
      </w:r>
      <w:r>
        <w:instrText xml:space="preserve"> PAGEREF _Toc128798274 \h </w:instrText>
      </w:r>
      <w:r>
        <w:fldChar w:fldCharType="separate"/>
      </w:r>
      <w:r>
        <w:t>29</w:t>
      </w:r>
      <w:r>
        <w:fldChar w:fldCharType="end"/>
      </w:r>
    </w:p>
    <w:p>
      <w:pPr>
        <w:pStyle w:val="TOC8"/>
        <w:rPr>
          <w:sz w:val="24"/>
          <w:szCs w:val="24"/>
        </w:rPr>
      </w:pPr>
      <w:r>
        <w:rPr>
          <w:szCs w:val="24"/>
        </w:rPr>
        <w:t>42A</w:t>
      </w:r>
      <w:r>
        <w:rPr>
          <w:snapToGrid w:val="0"/>
          <w:szCs w:val="24"/>
        </w:rPr>
        <w:t>.</w:t>
      </w:r>
      <w:r>
        <w:rPr>
          <w:snapToGrid w:val="0"/>
          <w:szCs w:val="24"/>
        </w:rPr>
        <w:tab/>
        <w:t>Duty of persons to facilitate the operation of Parts IV, V and VA</w:t>
      </w:r>
      <w:r>
        <w:tab/>
      </w:r>
      <w:r>
        <w:fldChar w:fldCharType="begin"/>
      </w:r>
      <w:r>
        <w:instrText xml:space="preserve"> PAGEREF _Toc128798275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Tampering with samples</w:t>
      </w:r>
      <w:r>
        <w:tab/>
      </w:r>
      <w:r>
        <w:fldChar w:fldCharType="begin"/>
      </w:r>
      <w:r>
        <w:instrText xml:space="preserve"> PAGEREF _Toc128798276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Use of samples for prosecutions</w:t>
      </w:r>
      <w:r>
        <w:tab/>
      </w:r>
      <w:r>
        <w:fldChar w:fldCharType="begin"/>
      </w:r>
      <w:r>
        <w:instrText xml:space="preserve"> PAGEREF _Toc128798277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Production of part retained for comparison</w:t>
      </w:r>
      <w:r>
        <w:tab/>
      </w:r>
      <w:r>
        <w:fldChar w:fldCharType="begin"/>
      </w:r>
      <w:r>
        <w:instrText xml:space="preserve"> PAGEREF _Toc128798278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Analysts</w:t>
      </w:r>
      <w:r>
        <w:tab/>
      </w:r>
      <w:r>
        <w:fldChar w:fldCharType="begin"/>
      </w:r>
      <w:r>
        <w:instrText xml:space="preserve"> PAGEREF _Toc128798279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Analysis</w:t>
      </w:r>
      <w:r>
        <w:tab/>
      </w:r>
      <w:r>
        <w:fldChar w:fldCharType="begin"/>
      </w:r>
      <w:r>
        <w:instrText xml:space="preserve"> PAGEREF _Toc128798280 \h </w:instrText>
      </w:r>
      <w:r>
        <w:fldChar w:fldCharType="separate"/>
      </w:r>
      <w:r>
        <w:t>32</w:t>
      </w:r>
      <w:r>
        <w:fldChar w:fldCharType="end"/>
      </w:r>
    </w:p>
    <w:p>
      <w:pPr>
        <w:pStyle w:val="TOC8"/>
        <w:rPr>
          <w:sz w:val="24"/>
          <w:szCs w:val="24"/>
        </w:rPr>
      </w:pPr>
      <w:r>
        <w:rPr>
          <w:szCs w:val="24"/>
        </w:rPr>
        <w:t>48</w:t>
      </w:r>
      <w:r>
        <w:rPr>
          <w:snapToGrid w:val="0"/>
          <w:szCs w:val="24"/>
        </w:rPr>
        <w:t>.</w:t>
      </w:r>
      <w:r>
        <w:rPr>
          <w:snapToGrid w:val="0"/>
          <w:szCs w:val="24"/>
        </w:rPr>
        <w:tab/>
        <w:t>Results of analysis may be published</w:t>
      </w:r>
      <w:r>
        <w:tab/>
      </w:r>
      <w:r>
        <w:fldChar w:fldCharType="begin"/>
      </w:r>
      <w:r>
        <w:instrText xml:space="preserve"> PAGEREF _Toc128798281 \h </w:instrText>
      </w:r>
      <w:r>
        <w:fldChar w:fldCharType="separate"/>
      </w:r>
      <w:r>
        <w:t>32</w:t>
      </w:r>
      <w:r>
        <w:fldChar w:fldCharType="end"/>
      </w:r>
    </w:p>
    <w:p>
      <w:pPr>
        <w:pStyle w:val="TOC8"/>
        <w:rPr>
          <w:sz w:val="24"/>
          <w:szCs w:val="24"/>
        </w:rPr>
      </w:pPr>
      <w:r>
        <w:rPr>
          <w:szCs w:val="24"/>
        </w:rPr>
        <w:t>49</w:t>
      </w:r>
      <w:r>
        <w:rPr>
          <w:snapToGrid w:val="0"/>
          <w:szCs w:val="24"/>
        </w:rPr>
        <w:t>.</w:t>
      </w:r>
      <w:r>
        <w:rPr>
          <w:snapToGrid w:val="0"/>
          <w:szCs w:val="24"/>
        </w:rPr>
        <w:tab/>
        <w:t>Evidence of analysis and relation of sample to bulk</w:t>
      </w:r>
      <w:r>
        <w:tab/>
      </w:r>
      <w:r>
        <w:fldChar w:fldCharType="begin"/>
      </w:r>
      <w:r>
        <w:instrText xml:space="preserve"> PAGEREF _Toc128798282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Omissions not to prejudice proceedings</w:t>
      </w:r>
      <w:r>
        <w:tab/>
      </w:r>
      <w:r>
        <w:fldChar w:fldCharType="begin"/>
      </w:r>
      <w:r>
        <w:instrText xml:space="preserve"> PAGEREF _Toc128798283 \h </w:instrText>
      </w:r>
      <w:r>
        <w:fldChar w:fldCharType="separate"/>
      </w:r>
      <w:r>
        <w:t>33</w:t>
      </w:r>
      <w:r>
        <w:fldChar w:fldCharType="end"/>
      </w:r>
    </w:p>
    <w:p>
      <w:pPr>
        <w:pStyle w:val="TOC2"/>
        <w:tabs>
          <w:tab w:val="right" w:leader="dot" w:pos="7086"/>
        </w:tabs>
        <w:rPr>
          <w:b w:val="0"/>
          <w:sz w:val="24"/>
          <w:szCs w:val="24"/>
        </w:rPr>
      </w:pPr>
      <w:r>
        <w:rPr>
          <w:szCs w:val="30"/>
        </w:rPr>
        <w:t>Part VII — Packaging, labelling and standards</w:t>
      </w:r>
    </w:p>
    <w:p>
      <w:pPr>
        <w:pStyle w:val="TOC8"/>
        <w:rPr>
          <w:sz w:val="24"/>
          <w:szCs w:val="24"/>
        </w:rPr>
      </w:pPr>
      <w:r>
        <w:rPr>
          <w:szCs w:val="24"/>
        </w:rPr>
        <w:t>52</w:t>
      </w:r>
      <w:r>
        <w:rPr>
          <w:snapToGrid w:val="0"/>
          <w:szCs w:val="24"/>
        </w:rPr>
        <w:t>.</w:t>
      </w:r>
      <w:r>
        <w:rPr>
          <w:snapToGrid w:val="0"/>
          <w:szCs w:val="24"/>
        </w:rPr>
        <w:tab/>
        <w:t>Regulations</w:t>
      </w:r>
      <w:r>
        <w:tab/>
      </w:r>
      <w:r>
        <w:fldChar w:fldCharType="begin"/>
      </w:r>
      <w:r>
        <w:instrText xml:space="preserve"> PAGEREF _Toc128798285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Offences relating to labelling</w:t>
      </w:r>
      <w:r>
        <w:tab/>
      </w:r>
      <w:r>
        <w:fldChar w:fldCharType="begin"/>
      </w:r>
      <w:r>
        <w:instrText xml:space="preserve"> PAGEREF _Toc128798286 \h </w:instrText>
      </w:r>
      <w:r>
        <w:fldChar w:fldCharType="separate"/>
      </w:r>
      <w:r>
        <w:t>38</w:t>
      </w:r>
      <w:r>
        <w:fldChar w:fldCharType="end"/>
      </w:r>
    </w:p>
    <w:p>
      <w:pPr>
        <w:pStyle w:val="TOC2"/>
        <w:tabs>
          <w:tab w:val="right" w:leader="dot" w:pos="7086"/>
        </w:tabs>
        <w:rPr>
          <w:b w:val="0"/>
          <w:sz w:val="24"/>
          <w:szCs w:val="24"/>
        </w:rPr>
      </w:pPr>
      <w:r>
        <w:rPr>
          <w:szCs w:val="30"/>
        </w:rPr>
        <w:t>Part VIII — Advertisements</w:t>
      </w:r>
    </w:p>
    <w:p>
      <w:pPr>
        <w:pStyle w:val="TOC8"/>
        <w:rPr>
          <w:sz w:val="24"/>
          <w:szCs w:val="24"/>
        </w:rPr>
      </w:pPr>
      <w:r>
        <w:rPr>
          <w:szCs w:val="24"/>
        </w:rPr>
        <w:t>54</w:t>
      </w:r>
      <w:r>
        <w:rPr>
          <w:snapToGrid w:val="0"/>
          <w:szCs w:val="24"/>
        </w:rPr>
        <w:t>.</w:t>
      </w:r>
      <w:r>
        <w:rPr>
          <w:snapToGrid w:val="0"/>
          <w:szCs w:val="24"/>
        </w:rPr>
        <w:tab/>
        <w:t>Advertisements</w:t>
      </w:r>
      <w:r>
        <w:tab/>
      </w:r>
      <w:r>
        <w:fldChar w:fldCharType="begin"/>
      </w:r>
      <w:r>
        <w:instrText xml:space="preserve"> PAGEREF _Toc128798288 \h </w:instrText>
      </w:r>
      <w:r>
        <w:fldChar w:fldCharType="separate"/>
      </w:r>
      <w:r>
        <w:t>39</w:t>
      </w:r>
      <w:r>
        <w:fldChar w:fldCharType="end"/>
      </w:r>
    </w:p>
    <w:p>
      <w:pPr>
        <w:pStyle w:val="TOC8"/>
        <w:rPr>
          <w:sz w:val="24"/>
          <w:szCs w:val="24"/>
        </w:rPr>
      </w:pPr>
      <w:r>
        <w:rPr>
          <w:szCs w:val="24"/>
        </w:rPr>
        <w:t>55</w:t>
      </w:r>
      <w:r>
        <w:rPr>
          <w:snapToGrid w:val="0"/>
          <w:szCs w:val="24"/>
        </w:rPr>
        <w:t>.</w:t>
      </w:r>
      <w:r>
        <w:rPr>
          <w:snapToGrid w:val="0"/>
          <w:szCs w:val="24"/>
        </w:rPr>
        <w:tab/>
        <w:t>Prohibited statements</w:t>
      </w:r>
      <w:r>
        <w:tab/>
      </w:r>
      <w:r>
        <w:fldChar w:fldCharType="begin"/>
      </w:r>
      <w:r>
        <w:instrText xml:space="preserve"> PAGEREF _Toc128798289 \h </w:instrText>
      </w:r>
      <w:r>
        <w:fldChar w:fldCharType="separate"/>
      </w:r>
      <w:r>
        <w:t>39</w:t>
      </w:r>
      <w:r>
        <w:fldChar w:fldCharType="end"/>
      </w:r>
    </w:p>
    <w:p>
      <w:pPr>
        <w:pStyle w:val="TOC2"/>
        <w:tabs>
          <w:tab w:val="right" w:leader="dot" w:pos="7086"/>
        </w:tabs>
        <w:rPr>
          <w:b w:val="0"/>
          <w:sz w:val="24"/>
          <w:szCs w:val="24"/>
        </w:rPr>
      </w:pPr>
      <w:r>
        <w:rPr>
          <w:szCs w:val="30"/>
        </w:rPr>
        <w:t>Part IX — Invoices and warranties</w:t>
      </w:r>
    </w:p>
    <w:p>
      <w:pPr>
        <w:pStyle w:val="TOC8"/>
        <w:rPr>
          <w:sz w:val="24"/>
          <w:szCs w:val="24"/>
        </w:rPr>
      </w:pPr>
      <w:r>
        <w:rPr>
          <w:szCs w:val="24"/>
        </w:rPr>
        <w:t>57</w:t>
      </w:r>
      <w:r>
        <w:rPr>
          <w:snapToGrid w:val="0"/>
          <w:szCs w:val="24"/>
        </w:rPr>
        <w:t>.</w:t>
      </w:r>
      <w:r>
        <w:rPr>
          <w:snapToGrid w:val="0"/>
          <w:szCs w:val="24"/>
        </w:rPr>
        <w:tab/>
        <w:t>Invoices</w:t>
      </w:r>
      <w:r>
        <w:tab/>
      </w:r>
      <w:r>
        <w:fldChar w:fldCharType="begin"/>
      </w:r>
      <w:r>
        <w:instrText xml:space="preserve"> PAGEREF _Toc128798291 \h </w:instrText>
      </w:r>
      <w:r>
        <w:fldChar w:fldCharType="separate"/>
      </w:r>
      <w:r>
        <w:t>41</w:t>
      </w:r>
      <w:r>
        <w:fldChar w:fldCharType="end"/>
      </w:r>
    </w:p>
    <w:p>
      <w:pPr>
        <w:pStyle w:val="TOC8"/>
        <w:rPr>
          <w:sz w:val="24"/>
          <w:szCs w:val="24"/>
        </w:rPr>
      </w:pPr>
      <w:r>
        <w:rPr>
          <w:szCs w:val="24"/>
        </w:rPr>
        <w:t>58</w:t>
      </w:r>
      <w:r>
        <w:rPr>
          <w:snapToGrid w:val="0"/>
          <w:szCs w:val="24"/>
        </w:rPr>
        <w:t>.</w:t>
      </w:r>
      <w:r>
        <w:rPr>
          <w:snapToGrid w:val="0"/>
          <w:szCs w:val="24"/>
        </w:rPr>
        <w:tab/>
        <w:t>Warranties</w:t>
      </w:r>
      <w:r>
        <w:tab/>
      </w:r>
      <w:r>
        <w:fldChar w:fldCharType="begin"/>
      </w:r>
      <w:r>
        <w:instrText xml:space="preserve"> PAGEREF _Toc128798292 \h </w:instrText>
      </w:r>
      <w:r>
        <w:fldChar w:fldCharType="separate"/>
      </w:r>
      <w:r>
        <w:t>42</w:t>
      </w:r>
      <w:r>
        <w:fldChar w:fldCharType="end"/>
      </w:r>
    </w:p>
    <w:p>
      <w:pPr>
        <w:pStyle w:val="TOC8"/>
        <w:rPr>
          <w:sz w:val="24"/>
          <w:szCs w:val="24"/>
        </w:rPr>
      </w:pPr>
      <w:r>
        <w:rPr>
          <w:szCs w:val="24"/>
        </w:rPr>
        <w:t>59</w:t>
      </w:r>
      <w:r>
        <w:rPr>
          <w:snapToGrid w:val="0"/>
          <w:szCs w:val="24"/>
        </w:rPr>
        <w:t>.</w:t>
      </w:r>
      <w:r>
        <w:rPr>
          <w:snapToGrid w:val="0"/>
          <w:szCs w:val="24"/>
        </w:rPr>
        <w:tab/>
        <w:t>Breach of duty by seller is an offence</w:t>
      </w:r>
      <w:r>
        <w:tab/>
      </w:r>
      <w:r>
        <w:fldChar w:fldCharType="begin"/>
      </w:r>
      <w:r>
        <w:instrText xml:space="preserve"> PAGEREF _Toc128798293 \h </w:instrText>
      </w:r>
      <w:r>
        <w:fldChar w:fldCharType="separate"/>
      </w:r>
      <w:r>
        <w:t>42</w:t>
      </w:r>
      <w:r>
        <w:fldChar w:fldCharType="end"/>
      </w:r>
    </w:p>
    <w:p>
      <w:pPr>
        <w:pStyle w:val="TOC2"/>
        <w:tabs>
          <w:tab w:val="right" w:leader="dot" w:pos="7086"/>
        </w:tabs>
        <w:rPr>
          <w:b w:val="0"/>
          <w:sz w:val="24"/>
          <w:szCs w:val="24"/>
        </w:rPr>
      </w:pPr>
      <w:r>
        <w:rPr>
          <w:szCs w:val="30"/>
        </w:rPr>
        <w:t>Part X — Miscellaneous and general</w:t>
      </w:r>
    </w:p>
    <w:p>
      <w:pPr>
        <w:pStyle w:val="TOC8"/>
        <w:rPr>
          <w:sz w:val="24"/>
          <w:szCs w:val="24"/>
        </w:rPr>
      </w:pPr>
      <w:r>
        <w:rPr>
          <w:szCs w:val="24"/>
        </w:rPr>
        <w:t>59A</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_Toc128798295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Persons obstructing execution of this Act</w:t>
      </w:r>
      <w:r>
        <w:tab/>
      </w:r>
      <w:r>
        <w:fldChar w:fldCharType="begin"/>
      </w:r>
      <w:r>
        <w:instrText xml:space="preserve"> PAGEREF _Toc128798296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Vicarious liability</w:t>
      </w:r>
      <w:r>
        <w:tab/>
      </w:r>
      <w:r>
        <w:fldChar w:fldCharType="begin"/>
      </w:r>
      <w:r>
        <w:instrText xml:space="preserve"> PAGEREF _Toc128798297 \h </w:instrText>
      </w:r>
      <w:r>
        <w:fldChar w:fldCharType="separate"/>
      </w:r>
      <w:r>
        <w:t>44</w:t>
      </w:r>
      <w:r>
        <w:fldChar w:fldCharType="end"/>
      </w:r>
    </w:p>
    <w:p>
      <w:pPr>
        <w:pStyle w:val="TOC8"/>
        <w:rPr>
          <w:sz w:val="24"/>
          <w:szCs w:val="24"/>
        </w:rPr>
      </w:pPr>
      <w:r>
        <w:rPr>
          <w:szCs w:val="24"/>
        </w:rPr>
        <w:t>62</w:t>
      </w:r>
      <w:r>
        <w:rPr>
          <w:snapToGrid w:val="0"/>
          <w:szCs w:val="24"/>
        </w:rPr>
        <w:t>.</w:t>
      </w:r>
      <w:r>
        <w:rPr>
          <w:snapToGrid w:val="0"/>
          <w:szCs w:val="24"/>
        </w:rPr>
        <w:tab/>
        <w:t>Forfeiture</w:t>
      </w:r>
      <w:r>
        <w:tab/>
      </w:r>
      <w:r>
        <w:fldChar w:fldCharType="begin"/>
      </w:r>
      <w:r>
        <w:instrText xml:space="preserve"> PAGEREF _Toc128798298 \h </w:instrText>
      </w:r>
      <w:r>
        <w:fldChar w:fldCharType="separate"/>
      </w:r>
      <w:r>
        <w:t>45</w:t>
      </w:r>
      <w:r>
        <w:fldChar w:fldCharType="end"/>
      </w:r>
    </w:p>
    <w:p>
      <w:pPr>
        <w:pStyle w:val="TOC8"/>
        <w:rPr>
          <w:sz w:val="24"/>
          <w:szCs w:val="24"/>
        </w:rPr>
      </w:pPr>
      <w:r>
        <w:rPr>
          <w:szCs w:val="24"/>
        </w:rPr>
        <w:t>63</w:t>
      </w:r>
      <w:r>
        <w:rPr>
          <w:snapToGrid w:val="0"/>
          <w:szCs w:val="24"/>
        </w:rPr>
        <w:t>.</w:t>
      </w:r>
      <w:r>
        <w:rPr>
          <w:snapToGrid w:val="0"/>
          <w:szCs w:val="24"/>
        </w:rPr>
        <w:tab/>
        <w:t>Offences and penalties</w:t>
      </w:r>
      <w:r>
        <w:tab/>
      </w:r>
      <w:r>
        <w:fldChar w:fldCharType="begin"/>
      </w:r>
      <w:r>
        <w:instrText xml:space="preserve"> PAGEREF _Toc128798299 \h </w:instrText>
      </w:r>
      <w:r>
        <w:fldChar w:fldCharType="separate"/>
      </w:r>
      <w:r>
        <w:t>46</w:t>
      </w:r>
      <w:r>
        <w:fldChar w:fldCharType="end"/>
      </w:r>
    </w:p>
    <w:p>
      <w:pPr>
        <w:pStyle w:val="TOC8"/>
        <w:rPr>
          <w:sz w:val="24"/>
          <w:szCs w:val="24"/>
        </w:rPr>
      </w:pPr>
      <w:r>
        <w:rPr>
          <w:szCs w:val="24"/>
        </w:rPr>
        <w:t>64</w:t>
      </w:r>
      <w:r>
        <w:rPr>
          <w:snapToGrid w:val="0"/>
          <w:szCs w:val="24"/>
        </w:rPr>
        <w:t>.</w:t>
      </w:r>
      <w:r>
        <w:rPr>
          <w:snapToGrid w:val="0"/>
          <w:szCs w:val="24"/>
        </w:rPr>
        <w:tab/>
        <w:t>Proceedings for offences</w:t>
      </w:r>
      <w:r>
        <w:tab/>
      </w:r>
      <w:r>
        <w:fldChar w:fldCharType="begin"/>
      </w:r>
      <w:r>
        <w:instrText xml:space="preserve"> PAGEREF _Toc128798300 \h </w:instrText>
      </w:r>
      <w:r>
        <w:fldChar w:fldCharType="separate"/>
      </w:r>
      <w:r>
        <w:t>47</w:t>
      </w:r>
      <w:r>
        <w:fldChar w:fldCharType="end"/>
      </w:r>
    </w:p>
    <w:p>
      <w:pPr>
        <w:pStyle w:val="TOC8"/>
        <w:rPr>
          <w:sz w:val="24"/>
          <w:szCs w:val="24"/>
        </w:rPr>
      </w:pPr>
      <w:r>
        <w:rPr>
          <w:szCs w:val="24"/>
        </w:rPr>
        <w:t>65</w:t>
      </w:r>
      <w:r>
        <w:rPr>
          <w:snapToGrid w:val="0"/>
          <w:szCs w:val="24"/>
        </w:rPr>
        <w:t>.</w:t>
      </w:r>
      <w:r>
        <w:rPr>
          <w:snapToGrid w:val="0"/>
          <w:szCs w:val="24"/>
        </w:rPr>
        <w:tab/>
        <w:t>Evidence of qualifications</w:t>
      </w:r>
      <w:r>
        <w:tab/>
      </w:r>
      <w:r>
        <w:fldChar w:fldCharType="begin"/>
      </w:r>
      <w:r>
        <w:instrText xml:space="preserve"> PAGEREF _Toc128798301 \h </w:instrText>
      </w:r>
      <w:r>
        <w:fldChar w:fldCharType="separate"/>
      </w:r>
      <w:r>
        <w:t>47</w:t>
      </w:r>
      <w:r>
        <w:fldChar w:fldCharType="end"/>
      </w:r>
    </w:p>
    <w:p>
      <w:pPr>
        <w:pStyle w:val="TOC8"/>
        <w:rPr>
          <w:sz w:val="24"/>
          <w:szCs w:val="24"/>
        </w:rPr>
      </w:pPr>
      <w:r>
        <w:rPr>
          <w:szCs w:val="24"/>
        </w:rPr>
        <w:t>66</w:t>
      </w:r>
      <w:r>
        <w:rPr>
          <w:snapToGrid w:val="0"/>
          <w:szCs w:val="24"/>
        </w:rPr>
        <w:t>.</w:t>
      </w:r>
      <w:r>
        <w:rPr>
          <w:snapToGrid w:val="0"/>
          <w:szCs w:val="24"/>
        </w:rPr>
        <w:tab/>
        <w:t>Onus of proof</w:t>
      </w:r>
      <w:r>
        <w:tab/>
      </w:r>
      <w:r>
        <w:fldChar w:fldCharType="begin"/>
      </w:r>
      <w:r>
        <w:instrText xml:space="preserve"> PAGEREF _Toc128798302 \h </w:instrText>
      </w:r>
      <w:r>
        <w:fldChar w:fldCharType="separate"/>
      </w:r>
      <w:r>
        <w:t>48</w:t>
      </w:r>
      <w:r>
        <w:fldChar w:fldCharType="end"/>
      </w:r>
    </w:p>
    <w:p>
      <w:pPr>
        <w:pStyle w:val="TOC8"/>
        <w:rPr>
          <w:sz w:val="24"/>
          <w:szCs w:val="24"/>
        </w:rPr>
      </w:pPr>
      <w:r>
        <w:rPr>
          <w:szCs w:val="24"/>
        </w:rPr>
        <w:t>67</w:t>
      </w:r>
      <w:r>
        <w:rPr>
          <w:snapToGrid w:val="0"/>
          <w:szCs w:val="24"/>
        </w:rPr>
        <w:t>.</w:t>
      </w:r>
      <w:r>
        <w:rPr>
          <w:snapToGrid w:val="0"/>
          <w:szCs w:val="24"/>
        </w:rPr>
        <w:tab/>
        <w:t>Protection from liability</w:t>
      </w:r>
      <w:r>
        <w:tab/>
      </w:r>
      <w:r>
        <w:fldChar w:fldCharType="begin"/>
      </w:r>
      <w:r>
        <w:instrText xml:space="preserve"> PAGEREF _Toc128798303 \h </w:instrText>
      </w:r>
      <w:r>
        <w:fldChar w:fldCharType="separate"/>
      </w:r>
      <w:r>
        <w:t>49</w:t>
      </w:r>
      <w:r>
        <w:fldChar w:fldCharType="end"/>
      </w:r>
    </w:p>
    <w:p>
      <w:pPr>
        <w:pStyle w:val="TOC8"/>
        <w:rPr>
          <w:sz w:val="24"/>
          <w:szCs w:val="24"/>
        </w:rPr>
      </w:pPr>
      <w:r>
        <w:rPr>
          <w:szCs w:val="24"/>
        </w:rPr>
        <w:t>68</w:t>
      </w:r>
      <w:r>
        <w:rPr>
          <w:snapToGrid w:val="0"/>
          <w:szCs w:val="24"/>
        </w:rPr>
        <w:t>.</w:t>
      </w:r>
      <w:r>
        <w:rPr>
          <w:snapToGrid w:val="0"/>
          <w:szCs w:val="24"/>
        </w:rPr>
        <w:tab/>
        <w:t>Regulations</w:t>
      </w:r>
      <w:r>
        <w:tab/>
      </w:r>
      <w:r>
        <w:fldChar w:fldCharType="begin"/>
      </w:r>
      <w:r>
        <w:instrText xml:space="preserve"> PAGEREF _Toc128798304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_Toc128798306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_Toc128798307 \h </w:instrText>
      </w:r>
      <w:r>
        <w:fldChar w:fldCharType="separate"/>
      </w:r>
      <w:r>
        <w:t>55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February 2006</w:t>
            </w:r>
          </w:p>
        </w:tc>
      </w:tr>
    </w:tbl>
    <w:p>
      <w:pPr>
        <w:pStyle w:val="WA"/>
      </w:pPr>
      <w:r>
        <w:t>Western Australia</w:t>
      </w:r>
    </w:p>
    <w:p>
      <w:pPr>
        <w:pStyle w:val="NameofActReg"/>
      </w:pPr>
      <w:r>
        <w:t>Veterinary Chemical Control and Animal Feeding Stuffs Act 1976</w:t>
      </w:r>
    </w:p>
    <w:p>
      <w:pPr>
        <w:pStyle w:val="LongTitle"/>
      </w:pPr>
      <w:bookmarkStart w:id="2" w:name="_Toc89767772"/>
      <w:bookmarkStart w:id="3" w:name="_Toc89767832"/>
      <w:bookmarkStart w:id="4" w:name="_Toc89767892"/>
      <w:bookmarkStart w:id="5" w:name="_Toc89767952"/>
      <w:bookmarkStart w:id="6" w:name="_Toc89768013"/>
      <w:bookmarkStart w:id="7" w:name="_Toc90871477"/>
      <w:bookmarkStart w:id="8" w:name="_Toc90872167"/>
      <w:bookmarkStart w:id="9" w:name="_Toc92776559"/>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10" w:name="_Toc92948125"/>
      <w:bookmarkStart w:id="11" w:name="_Toc92948191"/>
      <w:bookmarkStart w:id="12" w:name="_Toc93116842"/>
      <w:bookmarkStart w:id="13" w:name="_Toc93116998"/>
      <w:bookmarkStart w:id="14" w:name="_Toc96755069"/>
      <w:bookmarkStart w:id="15" w:name="_Toc102451561"/>
      <w:bookmarkStart w:id="16" w:name="_Toc103069850"/>
      <w:bookmarkStart w:id="17" w:name="_Toc104784147"/>
      <w:bookmarkStart w:id="18" w:name="_Toc107909499"/>
      <w:bookmarkStart w:id="19" w:name="_Toc121108695"/>
      <w:bookmarkStart w:id="20" w:name="_Toc121108895"/>
      <w:bookmarkStart w:id="21" w:name="_Toc125272089"/>
      <w:bookmarkStart w:id="22" w:name="_Toc128798243"/>
      <w:r>
        <w:rPr>
          <w:rStyle w:val="CharPartNo"/>
        </w:rPr>
        <w:t>Part I</w:t>
      </w:r>
      <w:r>
        <w:rPr>
          <w:rStyle w:val="CharDivNo"/>
        </w:rPr>
        <w:t> </w:t>
      </w:r>
      <w:r>
        <w:t>—</w:t>
      </w:r>
      <w:r>
        <w:rPr>
          <w:rStyle w:val="CharDivText"/>
        </w:rPr>
        <w:t> </w:t>
      </w:r>
      <w:r>
        <w:rPr>
          <w:rStyle w:val="CharPartText"/>
        </w:rPr>
        <w:t>Introductory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35260488"/>
      <w:bookmarkStart w:id="24" w:name="_Toc89767893"/>
      <w:bookmarkStart w:id="25" w:name="_Toc128798244"/>
      <w:r>
        <w:rPr>
          <w:rStyle w:val="CharSectno"/>
        </w:rPr>
        <w:t>1</w:t>
      </w:r>
      <w:r>
        <w:rPr>
          <w:snapToGrid w:val="0"/>
        </w:rPr>
        <w:t>.</w:t>
      </w:r>
      <w:r>
        <w:rPr>
          <w:snapToGrid w:val="0"/>
        </w:rPr>
        <w:tab/>
        <w:t>Short title</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26" w:name="_Toc435260489"/>
      <w:bookmarkStart w:id="27" w:name="_Toc89767894"/>
      <w:bookmarkStart w:id="28" w:name="_Toc128798245"/>
      <w:r>
        <w:rPr>
          <w:rStyle w:val="CharSectno"/>
        </w:rPr>
        <w:t>2</w:t>
      </w:r>
      <w:r>
        <w:rPr>
          <w:snapToGrid w:val="0"/>
        </w:rPr>
        <w:t>.</w:t>
      </w:r>
      <w:r>
        <w:rPr>
          <w:snapToGrid w:val="0"/>
        </w:rPr>
        <w:tab/>
        <w:t>Commencement</w:t>
      </w:r>
      <w:bookmarkEnd w:id="26"/>
      <w:bookmarkEnd w:id="27"/>
      <w:bookmarkEnd w:id="28"/>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29" w:name="_Toc435260490"/>
      <w:bookmarkStart w:id="30" w:name="_Toc89767895"/>
      <w:r>
        <w:t>[</w:t>
      </w:r>
      <w:r>
        <w:rPr>
          <w:b/>
          <w:bCs/>
        </w:rPr>
        <w:t>3.</w:t>
      </w:r>
      <w:r>
        <w:tab/>
      </w:r>
      <w:bookmarkEnd w:id="29"/>
      <w:bookmarkEnd w:id="30"/>
      <w:r>
        <w:t>Omitted under the Reprints Act 1984 s.7(4)(f) and (g).]</w:t>
      </w:r>
    </w:p>
    <w:p>
      <w:pPr>
        <w:pStyle w:val="Ednotesection"/>
      </w:pPr>
      <w:r>
        <w:t>[</w:t>
      </w:r>
      <w:r>
        <w:rPr>
          <w:b/>
        </w:rPr>
        <w:t>4.</w:t>
      </w:r>
      <w:r>
        <w:tab/>
        <w:t xml:space="preserve">Repealed by No. 20 of 1993 s. 4.] </w:t>
      </w:r>
    </w:p>
    <w:p>
      <w:pPr>
        <w:pStyle w:val="Heading5"/>
        <w:rPr>
          <w:snapToGrid w:val="0"/>
        </w:rPr>
      </w:pPr>
      <w:bookmarkStart w:id="31" w:name="_Toc435260491"/>
      <w:bookmarkStart w:id="32" w:name="_Toc89767896"/>
      <w:bookmarkStart w:id="33" w:name="_Toc128798246"/>
      <w:r>
        <w:rPr>
          <w:rStyle w:val="CharSectno"/>
        </w:rPr>
        <w:t>5</w:t>
      </w:r>
      <w:r>
        <w:rPr>
          <w:snapToGrid w:val="0"/>
        </w:rPr>
        <w:t>.</w:t>
      </w:r>
      <w:r>
        <w:rPr>
          <w:snapToGrid w:val="0"/>
        </w:rPr>
        <w:tab/>
        <w:t>Interpretation</w:t>
      </w:r>
      <w:bookmarkEnd w:id="31"/>
      <w:bookmarkEnd w:id="32"/>
      <w:bookmarkEnd w:id="33"/>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t>“</w:t>
      </w:r>
      <w:r>
        <w:rPr>
          <w:rStyle w:val="CharDefText"/>
        </w:rPr>
        <w:t>additive</w:t>
      </w:r>
      <w:r>
        <w:rPr>
          <w:b/>
        </w:rPr>
        <w:t>”</w:t>
      </w:r>
      <w:r>
        <w:t xml:space="preserve"> means a substance or combination of substances added to the basic feed mix for continuous long term administration to stock for a specific purpose;</w:t>
      </w:r>
    </w:p>
    <w:p>
      <w:pPr>
        <w:pStyle w:val="Defstart"/>
      </w:pPr>
      <w:r>
        <w:rPr>
          <w:b/>
        </w:rPr>
        <w:tab/>
        <w:t>“</w:t>
      </w:r>
      <w:r>
        <w:rPr>
          <w:rStyle w:val="CharDefText"/>
        </w:rPr>
        <w:t>adulterant</w:t>
      </w:r>
      <w:r>
        <w:rPr>
          <w:b/>
        </w:rPr>
        <w: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t>“</w:t>
      </w:r>
      <w:r>
        <w:rPr>
          <w:rStyle w:val="CharDefText"/>
        </w:rPr>
        <w:t>advertisement</w:t>
      </w:r>
      <w:r>
        <w:rPr>
          <w:b/>
        </w:rPr>
        <w: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t>“</w:t>
      </w:r>
      <w:r>
        <w:rPr>
          <w:rStyle w:val="CharDefText"/>
        </w:rPr>
        <w:t>Agvet Code of Western Australia</w:t>
      </w:r>
      <w:r>
        <w:rPr>
          <w:b/>
        </w:rPr>
        <w:t>”</w:t>
      </w:r>
      <w:r>
        <w:t xml:space="preserve"> has the same meaning as it has in the </w:t>
      </w:r>
      <w:r>
        <w:rPr>
          <w:i/>
        </w:rPr>
        <w:t>Agricultural and Veterinary Chemicals (Western Australia) Act 1995</w:t>
      </w:r>
      <w:r>
        <w:t>;</w:t>
      </w:r>
    </w:p>
    <w:p>
      <w:pPr>
        <w:pStyle w:val="Defstart"/>
      </w:pPr>
      <w:r>
        <w:rPr>
          <w:b/>
        </w:rPr>
        <w:tab/>
        <w:t>“</w:t>
      </w:r>
      <w:r>
        <w:rPr>
          <w:rStyle w:val="CharDefText"/>
        </w:rPr>
        <w:t>analysis</w:t>
      </w:r>
      <w:r>
        <w:rPr>
          <w:b/>
        </w:rPr>
        <w:t>”</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t>“</w:t>
      </w:r>
      <w:r>
        <w:rPr>
          <w:rStyle w:val="CharDefText"/>
        </w:rPr>
        <w:t>analyst</w:t>
      </w:r>
      <w:r>
        <w:rPr>
          <w:b/>
        </w:rPr>
        <w:t>”</w:t>
      </w:r>
      <w:r>
        <w:t xml:space="preserve"> means a person appointed as an analyst under the provisions of section 46;</w:t>
      </w:r>
    </w:p>
    <w:p>
      <w:pPr>
        <w:pStyle w:val="Defstart"/>
      </w:pPr>
      <w:r>
        <w:rPr>
          <w:b/>
        </w:rPr>
        <w:tab/>
        <w:t>“</w:t>
      </w:r>
      <w:r>
        <w:rPr>
          <w:rStyle w:val="CharDefText"/>
        </w:rPr>
        <w:t>animal</w:t>
      </w:r>
      <w:r>
        <w:rPr>
          <w:b/>
        </w:rPr>
        <w:t>”</w:t>
      </w:r>
      <w:r>
        <w:t xml:space="preserve"> includes birds, bees and fish, whether or not kept in captivity;</w:t>
      </w:r>
    </w:p>
    <w:p>
      <w:pPr>
        <w:pStyle w:val="Defstart"/>
      </w:pPr>
      <w:r>
        <w:rPr>
          <w:b/>
        </w:rPr>
        <w:tab/>
        <w:t>“</w:t>
      </w:r>
      <w:r>
        <w:rPr>
          <w:rStyle w:val="CharDefText"/>
        </w:rPr>
        <w:t>animal feeding stuff</w:t>
      </w:r>
      <w:r>
        <w:rPr>
          <w:b/>
        </w:rPr>
        <w:t>”</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b/>
        </w:rPr>
        <w:t>“</w:t>
      </w:r>
      <w:r>
        <w:rPr>
          <w:rStyle w:val="CharDefText"/>
        </w:rPr>
        <w:t>approved label</w:t>
      </w:r>
      <w:r>
        <w:rPr>
          <w:b/>
        </w:rPr>
        <w:t>”</w:t>
      </w:r>
      <w:r>
        <w:t>, in relation to a registered veterinary chemical product, means a label approved under Part 2 of the Agvet Code of Western Australia for containers for the veterinary chemical product;</w:t>
      </w:r>
    </w:p>
    <w:p>
      <w:pPr>
        <w:pStyle w:val="Defstart"/>
      </w:pPr>
      <w:r>
        <w:rPr>
          <w:b/>
        </w:rPr>
        <w:tab/>
        <w:t>“</w:t>
      </w:r>
      <w:r>
        <w:rPr>
          <w:rStyle w:val="CharDefText"/>
        </w:rPr>
        <w:t>basic feed</w:t>
      </w:r>
      <w:r>
        <w:rPr>
          <w:b/>
        </w:rPr>
        <w:t>”</w:t>
      </w:r>
      <w:r>
        <w:t xml:space="preserve"> means any grain, seeds, hay, meat, or fish used as, or in the preparation of, an animal feeding stuff;</w:t>
      </w:r>
    </w:p>
    <w:p>
      <w:pPr>
        <w:pStyle w:val="Defstart"/>
      </w:pPr>
      <w:r>
        <w:rPr>
          <w:b/>
        </w:rPr>
        <w:tab/>
        <w:t>“</w:t>
      </w:r>
      <w:r>
        <w:rPr>
          <w:rStyle w:val="CharDefText"/>
        </w:rPr>
        <w:t>biological product</w:t>
      </w:r>
      <w:r>
        <w:rPr>
          <w:b/>
        </w:rPr>
        <w:t>”</w:t>
      </w:r>
      <w:r>
        <w:t xml:space="preserve"> means any vaccine, serum or virus whether living or dead, aggressin, or gland extract, and any other product of bacterial or fungal growth;</w:t>
      </w:r>
    </w:p>
    <w:p>
      <w:pPr>
        <w:pStyle w:val="Defstart"/>
      </w:pPr>
      <w:r>
        <w:rPr>
          <w:b/>
        </w:rPr>
        <w:tab/>
        <w:t>“</w:t>
      </w:r>
      <w:r>
        <w:rPr>
          <w:rStyle w:val="CharDefText"/>
        </w:rPr>
        <w:t>by</w:t>
      </w:r>
      <w:r>
        <w:rPr>
          <w:rStyle w:val="CharDefText"/>
        </w:rPr>
        <w:noBreakHyphen/>
        <w:t>product</w:t>
      </w:r>
      <w:r>
        <w:rPr>
          <w:b/>
        </w:rPr>
        <w: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t>“</w:t>
      </w:r>
      <w:r>
        <w:rPr>
          <w:rStyle w:val="CharDefText"/>
        </w:rPr>
        <w:t>carcass</w:t>
      </w:r>
      <w:r>
        <w:rPr>
          <w:b/>
        </w:rPr>
        <w:t>”</w:t>
      </w:r>
      <w:r>
        <w:t>, in relation to any stock, includes skin, hair, wool, offal, viscera, tissue or any portion of the carcass;</w:t>
      </w:r>
    </w:p>
    <w:p>
      <w:pPr>
        <w:pStyle w:val="Defstart"/>
      </w:pPr>
      <w:r>
        <w:rPr>
          <w:b/>
        </w:rPr>
        <w:tab/>
        <w:t>“</w:t>
      </w:r>
      <w:r>
        <w:rPr>
          <w:rStyle w:val="CharDefText"/>
        </w:rPr>
        <w:t>container</w:t>
      </w:r>
      <w:r>
        <w:rPr>
          <w:b/>
        </w:rPr>
        <w:t>”</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t>“</w:t>
      </w:r>
      <w:r>
        <w:rPr>
          <w:rStyle w:val="CharDefText"/>
        </w:rPr>
        <w:t>import</w:t>
      </w:r>
      <w:r>
        <w:rPr>
          <w:b/>
        </w:rPr>
        <w:t>”</w:t>
      </w:r>
      <w:r>
        <w:t xml:space="preserve"> means to bring into the State;</w:t>
      </w:r>
    </w:p>
    <w:p>
      <w:pPr>
        <w:pStyle w:val="Defstart"/>
      </w:pPr>
      <w:r>
        <w:rPr>
          <w:b/>
        </w:rPr>
        <w:tab/>
        <w:t>“</w:t>
      </w:r>
      <w:r>
        <w:rPr>
          <w:rStyle w:val="CharDefText"/>
        </w:rPr>
        <w:t>impurity</w:t>
      </w:r>
      <w:r>
        <w:rPr>
          <w:b/>
        </w:rPr>
        <w:t>”</w:t>
      </w:r>
      <w:r>
        <w:t xml:space="preserve"> in relation to any product means any substance, matter or thing classified as an impurity with respect to that product for the purposes of this Act;</w:t>
      </w:r>
    </w:p>
    <w:p>
      <w:pPr>
        <w:pStyle w:val="Defstart"/>
      </w:pPr>
      <w:r>
        <w:rPr>
          <w:b/>
        </w:rPr>
        <w:tab/>
        <w:t>“</w:t>
      </w:r>
      <w:r>
        <w:rPr>
          <w:rStyle w:val="CharDefText"/>
        </w:rPr>
        <w:t>ingredient</w:t>
      </w:r>
      <w:r>
        <w:rPr>
          <w:b/>
        </w:rPr>
        <w: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t>“</w:t>
      </w:r>
      <w:r>
        <w:rPr>
          <w:rStyle w:val="CharDefText"/>
        </w:rPr>
        <w:t>inspector</w:t>
      </w:r>
      <w:r>
        <w:rPr>
          <w:b/>
        </w:rPr>
        <w:t>”</w:t>
      </w:r>
      <w:r>
        <w:t xml:space="preserve"> means a person appointed as an inspector under the provisions of section 37;</w:t>
      </w:r>
    </w:p>
    <w:p>
      <w:pPr>
        <w:pStyle w:val="Defstart"/>
      </w:pPr>
      <w:r>
        <w:rPr>
          <w:b/>
        </w:rPr>
        <w:tab/>
        <w:t>“</w:t>
      </w:r>
      <w:r>
        <w:rPr>
          <w:rStyle w:val="CharDefText"/>
        </w:rPr>
        <w:t>invoice</w:t>
      </w:r>
      <w:r>
        <w:rPr>
          <w:b/>
        </w:rPr>
        <w:t>”</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t>“</w:t>
      </w:r>
      <w:r>
        <w:rPr>
          <w:rStyle w:val="CharDefText"/>
        </w:rPr>
        <w:t>label</w:t>
      </w:r>
      <w:r>
        <w:rPr>
          <w:b/>
        </w:rPr>
        <w:t>”</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t>“</w:t>
      </w:r>
      <w:r>
        <w:rPr>
          <w:rStyle w:val="CharDefText"/>
        </w:rPr>
        <w:t>manufactured stock food</w:t>
      </w:r>
      <w:r>
        <w:rPr>
          <w:b/>
        </w:rPr>
        <w:t>”</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t>“</w:t>
      </w:r>
      <w:r>
        <w:rPr>
          <w:rStyle w:val="CharDefText"/>
        </w:rPr>
        <w:t>package</w:t>
      </w:r>
      <w:r>
        <w:rPr>
          <w:b/>
        </w:rPr>
        <w:t>”</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t>“</w:t>
      </w:r>
      <w:r>
        <w:rPr>
          <w:rStyle w:val="CharDefText"/>
        </w:rPr>
        <w:t>packaging</w:t>
      </w:r>
      <w:r>
        <w:rPr>
          <w:b/>
        </w:rPr>
        <w:t>”</w:t>
      </w:r>
      <w:r>
        <w:t xml:space="preserve"> includes any exterior cover or wrapping or any bottle, carton, tin, material or other thing in or by which any product is or is intended to be contained;</w:t>
      </w:r>
    </w:p>
    <w:p>
      <w:pPr>
        <w:pStyle w:val="Defstart"/>
      </w:pPr>
      <w:r>
        <w:rPr>
          <w:b/>
        </w:rPr>
        <w:tab/>
        <w:t>“</w:t>
      </w:r>
      <w:r>
        <w:rPr>
          <w:rStyle w:val="CharDefText"/>
        </w:rPr>
        <w:t>pesticide</w:t>
      </w:r>
      <w:r>
        <w:rPr>
          <w:b/>
        </w:rPr>
        <w:t>”</w:t>
      </w:r>
      <w:r>
        <w:t xml:space="preserve"> has the same meaning as “agricultural chemical product” has in the Agvet Code of Western Australia;</w:t>
      </w:r>
    </w:p>
    <w:p>
      <w:pPr>
        <w:pStyle w:val="Defstart"/>
      </w:pPr>
      <w:r>
        <w:rPr>
          <w:b/>
        </w:rPr>
        <w:tab/>
        <w:t>“</w:t>
      </w:r>
      <w:r>
        <w:rPr>
          <w:rStyle w:val="CharDefText"/>
        </w:rPr>
        <w:t>premises</w:t>
      </w:r>
      <w:r>
        <w:rPr>
          <w:b/>
        </w:rPr>
        <w:t>”</w:t>
      </w:r>
      <w:r>
        <w:t xml:space="preserve"> means any place in which animal feeding stuffs are produced, stored or held or in relation to which there are reasonable grounds for believing that it is so used;</w:t>
      </w:r>
    </w:p>
    <w:p>
      <w:pPr>
        <w:pStyle w:val="Defstart"/>
      </w:pPr>
      <w:r>
        <w:rPr>
          <w:b/>
        </w:rPr>
        <w:tab/>
        <w:t>“</w:t>
      </w:r>
      <w:r>
        <w:rPr>
          <w:rStyle w:val="CharDefText"/>
        </w:rPr>
        <w:t>preparation</w:t>
      </w:r>
      <w:r>
        <w:rPr>
          <w:b/>
        </w:rPr>
        <w:t>”</w:t>
      </w:r>
      <w:r>
        <w:t xml:space="preserve"> in relation to any product includes manufacture and any form of treatment, processing, or packing; and </w:t>
      </w:r>
      <w:r>
        <w:rPr>
          <w:b/>
        </w:rPr>
        <w:t>“</w:t>
      </w:r>
      <w:r>
        <w:rPr>
          <w:rStyle w:val="CharDefText"/>
        </w:rPr>
        <w:t>preparation for sale</w:t>
      </w:r>
      <w:r>
        <w:rPr>
          <w:b/>
        </w:rPr>
        <w:t>”</w:t>
      </w:r>
      <w:r>
        <w:t xml:space="preserve"> shall be construed accordingly;</w:t>
      </w:r>
    </w:p>
    <w:p>
      <w:pPr>
        <w:pStyle w:val="Defstart"/>
        <w:keepNext/>
      </w:pPr>
      <w:r>
        <w:rPr>
          <w:b/>
        </w:rPr>
        <w:tab/>
        <w:t>“</w:t>
      </w:r>
      <w:r>
        <w:rPr>
          <w:rStyle w:val="CharDefText"/>
        </w:rPr>
        <w:t>prescribed substance</w:t>
      </w:r>
      <w:r>
        <w:rPr>
          <w:b/>
        </w:rPr>
        <w:t>”</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t>“</w:t>
      </w:r>
      <w:r>
        <w:rPr>
          <w:rStyle w:val="CharDefText"/>
        </w:rPr>
        <w:t>processed food</w:t>
      </w:r>
      <w:r>
        <w:rPr>
          <w:b/>
        </w:rPr>
        <w:t>”</w:t>
      </w:r>
      <w:r>
        <w:t xml:space="preserve"> means a basic feed which has been changed in form by chemical, physical, or mechanical treatment; and includes by</w:t>
      </w:r>
      <w:r>
        <w:noBreakHyphen/>
        <w:t>products;</w:t>
      </w:r>
    </w:p>
    <w:p>
      <w:pPr>
        <w:pStyle w:val="Defstart"/>
      </w:pPr>
      <w:r>
        <w:rPr>
          <w:b/>
        </w:rPr>
        <w:tab/>
        <w:t>“</w:t>
      </w:r>
      <w:r>
        <w:rPr>
          <w:rStyle w:val="CharDefText"/>
        </w:rPr>
        <w:t>product</w:t>
      </w:r>
      <w:r>
        <w:rPr>
          <w:b/>
        </w:rPr>
        <w:t>”</w:t>
      </w:r>
      <w:r>
        <w:t xml:space="preserve"> means a veterinary chemical product or animal feeding stuff to which this Act applies; and includes an ingredient used or intended to be used in the preparation of any product;</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tab/>
      </w:r>
      <w:r>
        <w:rPr>
          <w:b/>
        </w:rPr>
        <w:t>“</w:t>
      </w:r>
      <w:r>
        <w:rPr>
          <w:rStyle w:val="CharDefText"/>
        </w:rPr>
        <w:t>registered veterinary chemical product</w:t>
      </w:r>
      <w:r>
        <w:rPr>
          <w:b/>
        </w:rPr>
        <w:t>”</w:t>
      </w:r>
      <w:r>
        <w:t xml:space="preserve"> means a veterinary chemical product registered under Part 2 of the Agvet Code of Western Australia;</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t>“</w:t>
      </w:r>
      <w:r>
        <w:rPr>
          <w:rStyle w:val="CharDefText"/>
        </w:rPr>
        <w:t>seller</w:t>
      </w:r>
      <w:r>
        <w:rPr>
          <w:b/>
        </w:rPr>
        <w:t>”</w:t>
      </w:r>
      <w:r>
        <w:t xml:space="preserve"> includes any person acting or representing himself to be acting for a seller;</w:t>
      </w:r>
    </w:p>
    <w:p>
      <w:pPr>
        <w:pStyle w:val="Defstart"/>
        <w:keepNext/>
      </w:pPr>
      <w:r>
        <w:rPr>
          <w:b/>
        </w:rPr>
        <w:tab/>
        <w:t>“</w:t>
      </w:r>
      <w:r>
        <w:rPr>
          <w:rStyle w:val="CharDefText"/>
        </w:rPr>
        <w:t>stock</w:t>
      </w:r>
      <w:r>
        <w:rPr>
          <w:b/>
        </w:rPr>
        <w:t>”</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b/>
        </w:rPr>
        <w:t>“</w:t>
      </w:r>
      <w:r>
        <w:rPr>
          <w:rStyle w:val="CharDefText"/>
        </w:rPr>
        <w:t>stock product</w:t>
      </w:r>
      <w:r>
        <w:rPr>
          <w:b/>
        </w:rPr>
        <w: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t>“</w:t>
      </w:r>
      <w:r>
        <w:rPr>
          <w:rStyle w:val="CharDefText"/>
        </w:rPr>
        <w:t>substance</w:t>
      </w:r>
      <w:r>
        <w:rPr>
          <w:b/>
        </w:rPr>
        <w:t>”</w:t>
      </w:r>
      <w:r>
        <w:t xml:space="preserve"> includes a liquid or a gas, and any compound or mixture;</w:t>
      </w:r>
    </w:p>
    <w:p>
      <w:pPr>
        <w:pStyle w:val="Defstart"/>
      </w:pPr>
      <w:r>
        <w:rPr>
          <w:b/>
        </w:rPr>
        <w:tab/>
        <w:t>“</w:t>
      </w:r>
      <w:r>
        <w:rPr>
          <w:rStyle w:val="CharDefText"/>
        </w:rPr>
        <w:t>supplement</w:t>
      </w:r>
      <w:r>
        <w:rPr>
          <w:b/>
        </w:rPr>
        <w: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t>“</w:t>
      </w:r>
      <w:r>
        <w:rPr>
          <w:rStyle w:val="CharDefText"/>
        </w:rPr>
        <w:t>the Director</w:t>
      </w:r>
      <w:r>
        <w:rPr>
          <w:b/>
        </w:rPr>
        <w:t>”</w:t>
      </w:r>
      <w:r>
        <w:t xml:space="preserve"> means the Director</w:t>
      </w:r>
      <w:r>
        <w:noBreakHyphen/>
        <w:t>General of the Department of Agriculture;</w:t>
      </w:r>
    </w:p>
    <w:p>
      <w:pPr>
        <w:pStyle w:val="Defstart"/>
      </w:pPr>
      <w:r>
        <w:rPr>
          <w:b/>
        </w:rPr>
        <w:tab/>
        <w:t>“</w:t>
      </w:r>
      <w:r>
        <w:rPr>
          <w:rStyle w:val="CharDefText"/>
        </w:rPr>
        <w:t>tissue</w:t>
      </w:r>
      <w:r>
        <w:rPr>
          <w:b/>
        </w:rPr>
        <w:t>”</w:t>
      </w:r>
      <w:r>
        <w:t>, in relation to any animal or carcass, includes a reference to blood, secretions, or faecal material obtainable from that animal or carcass;</w:t>
      </w:r>
    </w:p>
    <w:p>
      <w:pPr>
        <w:pStyle w:val="Defstart"/>
      </w:pPr>
      <w:r>
        <w:tab/>
      </w:r>
      <w:r>
        <w:rPr>
          <w:b/>
        </w:rPr>
        <w:t>“</w:t>
      </w:r>
      <w:r>
        <w:rPr>
          <w:rStyle w:val="CharDefText"/>
        </w:rPr>
        <w:t>veterinary chemical product</w:t>
      </w:r>
      <w:r>
        <w:rPr>
          <w:b/>
        </w:rPr>
        <w: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r>
        <w:t>;</w:t>
      </w:r>
    </w:p>
    <w:p>
      <w:pPr>
        <w:pStyle w:val="Defstart"/>
      </w:pPr>
      <w:r>
        <w:rPr>
          <w:b/>
        </w:rPr>
        <w:tab/>
        <w:t>“</w:t>
      </w:r>
      <w:r>
        <w:rPr>
          <w:rStyle w:val="CharDefText"/>
        </w:rPr>
        <w:t>wholesale</w:t>
      </w:r>
      <w:r>
        <w:rPr>
          <w:b/>
        </w:rPr>
        <w:t>”</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w:t>
      </w:r>
    </w:p>
    <w:p>
      <w:pPr>
        <w:pStyle w:val="Heading2"/>
      </w:pPr>
      <w:bookmarkStart w:id="34" w:name="_Toc89767777"/>
      <w:bookmarkStart w:id="35" w:name="_Toc89767837"/>
      <w:bookmarkStart w:id="36" w:name="_Toc89767897"/>
      <w:bookmarkStart w:id="37" w:name="_Toc89767957"/>
      <w:bookmarkStart w:id="38" w:name="_Toc89768018"/>
      <w:bookmarkStart w:id="39" w:name="_Toc90871482"/>
      <w:bookmarkStart w:id="40" w:name="_Toc90872172"/>
      <w:bookmarkStart w:id="41" w:name="_Toc92776564"/>
      <w:bookmarkStart w:id="42" w:name="_Toc92948130"/>
      <w:bookmarkStart w:id="43" w:name="_Toc92948196"/>
      <w:bookmarkStart w:id="44" w:name="_Toc93116847"/>
      <w:bookmarkStart w:id="45" w:name="_Toc93117003"/>
      <w:bookmarkStart w:id="46" w:name="_Toc96755074"/>
      <w:bookmarkStart w:id="47" w:name="_Toc102451566"/>
      <w:bookmarkStart w:id="48" w:name="_Toc103069855"/>
      <w:bookmarkStart w:id="49" w:name="_Toc104784152"/>
      <w:bookmarkStart w:id="50" w:name="_Toc107909504"/>
      <w:bookmarkStart w:id="51" w:name="_Toc121108700"/>
      <w:bookmarkStart w:id="52" w:name="_Toc121108900"/>
      <w:bookmarkStart w:id="53" w:name="_Toc125272093"/>
      <w:bookmarkStart w:id="54" w:name="_Toc128798247"/>
      <w:r>
        <w:rPr>
          <w:rStyle w:val="CharPartNo"/>
        </w:rPr>
        <w:t>Part II</w:t>
      </w:r>
      <w:r>
        <w:rPr>
          <w:rStyle w:val="CharDivNo"/>
        </w:rPr>
        <w:t> </w:t>
      </w:r>
      <w:r>
        <w:t>—</w:t>
      </w:r>
      <w:r>
        <w:rPr>
          <w:rStyle w:val="CharDivText"/>
        </w:rPr>
        <w:t> </w:t>
      </w:r>
      <w:r>
        <w:rPr>
          <w:rStyle w:val="CharPartText"/>
        </w:rPr>
        <w:t>Exemptions, prohibitions and construction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35260492"/>
      <w:bookmarkStart w:id="56" w:name="_Toc89767898"/>
      <w:bookmarkStart w:id="57" w:name="_Toc128798248"/>
      <w:r>
        <w:rPr>
          <w:rStyle w:val="CharSectno"/>
        </w:rPr>
        <w:t>6</w:t>
      </w:r>
      <w:r>
        <w:rPr>
          <w:snapToGrid w:val="0"/>
        </w:rPr>
        <w:t>.</w:t>
      </w:r>
      <w:r>
        <w:rPr>
          <w:snapToGrid w:val="0"/>
        </w:rPr>
        <w:tab/>
        <w:t>Application</w:t>
      </w:r>
      <w:bookmarkEnd w:id="55"/>
      <w:bookmarkEnd w:id="56"/>
      <w:bookmarkEnd w:id="57"/>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repealed]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58" w:name="_Toc435260493"/>
      <w:bookmarkStart w:id="59" w:name="_Toc89767899"/>
      <w:bookmarkStart w:id="60" w:name="_Toc128798249"/>
      <w:r>
        <w:rPr>
          <w:rStyle w:val="CharSectno"/>
        </w:rPr>
        <w:t>7</w:t>
      </w:r>
      <w:r>
        <w:rPr>
          <w:snapToGrid w:val="0"/>
        </w:rPr>
        <w:t>.</w:t>
      </w:r>
      <w:r>
        <w:rPr>
          <w:snapToGrid w:val="0"/>
        </w:rPr>
        <w:tab/>
        <w:t>Exemptions by Order</w:t>
      </w:r>
      <w:bookmarkEnd w:id="58"/>
      <w:bookmarkEnd w:id="59"/>
      <w:bookmarkEnd w:id="60"/>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61" w:name="_Toc435260494"/>
      <w:bookmarkStart w:id="62" w:name="_Toc89767900"/>
      <w:bookmarkStart w:id="63" w:name="_Toc128798250"/>
      <w:r>
        <w:rPr>
          <w:rStyle w:val="CharSectno"/>
        </w:rPr>
        <w:t>8</w:t>
      </w:r>
      <w:r>
        <w:rPr>
          <w:snapToGrid w:val="0"/>
        </w:rPr>
        <w:t>.</w:t>
      </w:r>
      <w:r>
        <w:rPr>
          <w:snapToGrid w:val="0"/>
        </w:rPr>
        <w:tab/>
        <w:t>Prohibition</w:t>
      </w:r>
      <w:bookmarkEnd w:id="61"/>
      <w:bookmarkEnd w:id="62"/>
      <w:bookmarkEnd w:id="63"/>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64" w:name="_Toc435260495"/>
      <w:bookmarkStart w:id="65" w:name="_Toc89767901"/>
      <w:bookmarkStart w:id="66" w:name="_Toc128798251"/>
      <w:r>
        <w:rPr>
          <w:rStyle w:val="CharSectno"/>
        </w:rPr>
        <w:t>9</w:t>
      </w:r>
      <w:r>
        <w:rPr>
          <w:snapToGrid w:val="0"/>
        </w:rPr>
        <w:t>.</w:t>
      </w:r>
      <w:r>
        <w:rPr>
          <w:snapToGrid w:val="0"/>
        </w:rPr>
        <w:tab/>
        <w:t>Act to be construed subject to certain laws</w:t>
      </w:r>
      <w:bookmarkEnd w:id="64"/>
      <w:bookmarkEnd w:id="65"/>
      <w:bookmarkEnd w:id="66"/>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67" w:name="_Toc435260496"/>
      <w:bookmarkStart w:id="68" w:name="_Toc89767902"/>
      <w:bookmarkStart w:id="69" w:name="_Toc128798252"/>
      <w:r>
        <w:rPr>
          <w:rStyle w:val="CharSectno"/>
        </w:rPr>
        <w:t>10</w:t>
      </w:r>
      <w:r>
        <w:rPr>
          <w:snapToGrid w:val="0"/>
        </w:rPr>
        <w:t>.</w:t>
      </w:r>
      <w:r>
        <w:rPr>
          <w:snapToGrid w:val="0"/>
        </w:rPr>
        <w:tab/>
        <w:t>Administration</w:t>
      </w:r>
      <w:bookmarkEnd w:id="67"/>
      <w:bookmarkEnd w:id="68"/>
      <w:bookmarkEnd w:id="69"/>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 section 66 of the </w:t>
      </w:r>
      <w:r>
        <w:rPr>
          <w:i/>
          <w:snapToGrid w:val="0"/>
        </w:rPr>
        <w:t>Financial Administration and Audit Act 1985</w:t>
      </w:r>
      <w:r>
        <w:rPr>
          <w:snapToGrid w:val="0"/>
        </w:rPr>
        <w:t>.</w:t>
      </w:r>
    </w:p>
    <w:p>
      <w:pPr>
        <w:pStyle w:val="Footnotesection"/>
      </w:pPr>
      <w:r>
        <w:tab/>
        <w:t xml:space="preserve">[Section 10 amended by No. 20 of 1993 s. 9; No. 45 of 2005 s. 45.] </w:t>
      </w:r>
    </w:p>
    <w:p>
      <w:pPr>
        <w:pStyle w:val="Heading2"/>
      </w:pPr>
      <w:bookmarkStart w:id="70" w:name="_Toc89767783"/>
      <w:bookmarkStart w:id="71" w:name="_Toc89767843"/>
      <w:bookmarkStart w:id="72" w:name="_Toc89767903"/>
      <w:bookmarkStart w:id="73" w:name="_Toc89767963"/>
      <w:bookmarkStart w:id="74" w:name="_Toc89768024"/>
      <w:bookmarkStart w:id="75" w:name="_Toc90871488"/>
      <w:bookmarkStart w:id="76" w:name="_Toc90872178"/>
      <w:bookmarkStart w:id="77" w:name="_Toc92776570"/>
      <w:bookmarkStart w:id="78" w:name="_Toc92948136"/>
      <w:bookmarkStart w:id="79" w:name="_Toc92948202"/>
      <w:bookmarkStart w:id="80" w:name="_Toc93116853"/>
      <w:bookmarkStart w:id="81" w:name="_Toc93117009"/>
      <w:bookmarkStart w:id="82" w:name="_Toc96755080"/>
      <w:bookmarkStart w:id="83" w:name="_Toc102451572"/>
      <w:bookmarkStart w:id="84" w:name="_Toc103069861"/>
      <w:bookmarkStart w:id="85" w:name="_Toc104784158"/>
      <w:bookmarkStart w:id="86" w:name="_Toc107909510"/>
      <w:bookmarkStart w:id="87" w:name="_Toc121108706"/>
      <w:bookmarkStart w:id="88" w:name="_Toc121108906"/>
      <w:bookmarkStart w:id="89" w:name="_Toc125272099"/>
      <w:bookmarkStart w:id="90" w:name="_Toc128798253"/>
      <w:r>
        <w:rPr>
          <w:rStyle w:val="CharPartNo"/>
        </w:rPr>
        <w:t>Part III</w:t>
      </w:r>
      <w:r>
        <w:rPr>
          <w:rStyle w:val="CharDivNo"/>
        </w:rPr>
        <w:t> </w:t>
      </w:r>
      <w:r>
        <w:t>—</w:t>
      </w:r>
      <w:r>
        <w:rPr>
          <w:rStyle w:val="CharDivText"/>
        </w:rPr>
        <w:t> </w:t>
      </w:r>
      <w:r>
        <w:rPr>
          <w:rStyle w:val="CharPartText"/>
        </w:rPr>
        <w:t>Control of production and sales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spacing w:before="120"/>
      </w:pPr>
      <w:bookmarkStart w:id="91" w:name="_Toc435260497"/>
      <w:bookmarkStart w:id="92" w:name="_Toc89767904"/>
      <w:bookmarkStart w:id="93" w:name="_Toc128798254"/>
      <w:r>
        <w:rPr>
          <w:rStyle w:val="CharSectno"/>
        </w:rPr>
        <w:t>11</w:t>
      </w:r>
      <w:r>
        <w:t>.</w:t>
      </w:r>
      <w:r>
        <w:tab/>
        <w:t>Unhygienic production etc. of animal feeding stuffs</w:t>
      </w:r>
      <w:bookmarkEnd w:id="91"/>
      <w:bookmarkEnd w:id="92"/>
      <w:bookmarkEnd w:id="93"/>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Repealed by No. 9 of 1998 s. 23.] </w:t>
      </w:r>
    </w:p>
    <w:p>
      <w:pPr>
        <w:pStyle w:val="Heading5"/>
        <w:spacing w:before="120"/>
        <w:rPr>
          <w:snapToGrid w:val="0"/>
        </w:rPr>
      </w:pPr>
      <w:bookmarkStart w:id="94" w:name="_Toc435260498"/>
      <w:bookmarkStart w:id="95" w:name="_Toc89767905"/>
      <w:bookmarkStart w:id="96" w:name="_Toc128798255"/>
      <w:r>
        <w:rPr>
          <w:rStyle w:val="CharSectno"/>
        </w:rPr>
        <w:t>13</w:t>
      </w:r>
      <w:r>
        <w:rPr>
          <w:snapToGrid w:val="0"/>
        </w:rPr>
        <w:t>.</w:t>
      </w:r>
      <w:r>
        <w:rPr>
          <w:snapToGrid w:val="0"/>
        </w:rPr>
        <w:tab/>
        <w:t>Prohibition on sale of prohibited products and substances, and use of certain premises</w:t>
      </w:r>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97" w:name="_Toc435260499"/>
      <w:bookmarkStart w:id="98" w:name="_Toc89767906"/>
      <w:bookmarkStart w:id="99" w:name="_Toc128798256"/>
      <w:r>
        <w:rPr>
          <w:rStyle w:val="CharSectno"/>
        </w:rPr>
        <w:t>14</w:t>
      </w:r>
      <w:r>
        <w:t>.</w:t>
      </w:r>
      <w:r>
        <w:tab/>
        <w:t>Sale of sub</w:t>
      </w:r>
      <w:r>
        <w:noBreakHyphen/>
        <w:t>standard animal feeding stuff</w:t>
      </w:r>
      <w:bookmarkEnd w:id="97"/>
      <w:bookmarkEnd w:id="98"/>
      <w:bookmarkEnd w:id="99"/>
    </w:p>
    <w:p>
      <w:pPr>
        <w:pStyle w:val="Subsection"/>
      </w:pPr>
      <w:r>
        <w:tab/>
        <w:t>(1)</w:t>
      </w:r>
      <w:r>
        <w:tab/>
        <w:t xml:space="preserve">In this section — </w:t>
      </w:r>
    </w:p>
    <w:p>
      <w:pPr>
        <w:pStyle w:val="Defstart"/>
      </w:pPr>
      <w:r>
        <w:tab/>
      </w:r>
      <w:r>
        <w:rPr>
          <w:b/>
        </w:rPr>
        <w:t>“</w:t>
      </w:r>
      <w:r>
        <w:rPr>
          <w:rStyle w:val="CharDefText"/>
        </w:rPr>
        <w:t>sub</w:t>
      </w:r>
      <w:r>
        <w:rPr>
          <w:rStyle w:val="CharDefText"/>
        </w:rPr>
        <w:noBreakHyphen/>
        <w:t>standard animal feeding stuff</w:t>
      </w:r>
      <w:r>
        <w:rPr>
          <w:b/>
        </w:rPr>
        <w:t>”</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00" w:name="_Toc92948140"/>
      <w:bookmarkStart w:id="101" w:name="_Toc92948206"/>
      <w:bookmarkStart w:id="102" w:name="_Toc93116857"/>
      <w:bookmarkStart w:id="103" w:name="_Toc93117013"/>
      <w:bookmarkStart w:id="104" w:name="_Toc96755084"/>
      <w:bookmarkStart w:id="105" w:name="_Toc102451576"/>
      <w:bookmarkStart w:id="106" w:name="_Toc103069865"/>
      <w:bookmarkStart w:id="107" w:name="_Toc104784162"/>
      <w:bookmarkStart w:id="108" w:name="_Toc107909514"/>
      <w:bookmarkStart w:id="109" w:name="_Toc121108710"/>
      <w:bookmarkStart w:id="110" w:name="_Toc121108910"/>
      <w:bookmarkStart w:id="111" w:name="_Toc125272103"/>
      <w:bookmarkStart w:id="112" w:name="_Toc128798257"/>
      <w:r>
        <w:rPr>
          <w:rStyle w:val="CharPartNo"/>
        </w:rPr>
        <w:t>Part IV</w:t>
      </w:r>
      <w:r>
        <w:rPr>
          <w:rStyle w:val="CharDivNo"/>
        </w:rPr>
        <w:t> </w:t>
      </w:r>
      <w:r>
        <w:t>—</w:t>
      </w:r>
      <w:r>
        <w:rPr>
          <w:rStyle w:val="CharDivText"/>
        </w:rPr>
        <w:t> </w:t>
      </w:r>
      <w:r>
        <w:rPr>
          <w:rStyle w:val="CharPartText"/>
        </w:rPr>
        <w:t>Control of use of veterinary chemical products</w:t>
      </w:r>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tabs>
          <w:tab w:val="left" w:pos="851"/>
        </w:tabs>
      </w:pPr>
      <w:r>
        <w:tab/>
        <w:t>[Heading inserted by No. 76 of 2004 s. 8.]</w:t>
      </w:r>
    </w:p>
    <w:p>
      <w:pPr>
        <w:pStyle w:val="Heading5"/>
      </w:pPr>
      <w:bookmarkStart w:id="113" w:name="_Toc128798258"/>
      <w:r>
        <w:rPr>
          <w:rStyle w:val="CharSectno"/>
        </w:rPr>
        <w:t>15</w:t>
      </w:r>
      <w:r>
        <w:t>.</w:t>
      </w:r>
      <w:r>
        <w:tab/>
        <w:t>Regulations relating to control of use of veterinary chemical products</w:t>
      </w:r>
      <w:bookmarkEnd w:id="113"/>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14" w:name="_Toc92948142"/>
      <w:bookmarkStart w:id="115" w:name="_Toc92948208"/>
      <w:bookmarkStart w:id="116" w:name="_Toc93116859"/>
      <w:bookmarkStart w:id="117" w:name="_Toc93117015"/>
      <w:bookmarkStart w:id="118" w:name="_Toc96755086"/>
      <w:bookmarkStart w:id="119" w:name="_Toc102451578"/>
      <w:bookmarkStart w:id="120" w:name="_Toc103069867"/>
      <w:bookmarkStart w:id="121" w:name="_Toc104784164"/>
      <w:bookmarkStart w:id="122" w:name="_Toc107909516"/>
      <w:bookmarkStart w:id="123" w:name="_Toc121108712"/>
      <w:bookmarkStart w:id="124" w:name="_Toc121108912"/>
      <w:bookmarkStart w:id="125" w:name="_Toc125272105"/>
      <w:bookmarkStart w:id="126" w:name="_Toc128798259"/>
      <w:r>
        <w:rPr>
          <w:rStyle w:val="CharPartNo"/>
        </w:rPr>
        <w:t>Part V</w:t>
      </w:r>
      <w:r>
        <w:rPr>
          <w:rStyle w:val="CharDivNo"/>
        </w:rPr>
        <w:t> </w:t>
      </w:r>
      <w:r>
        <w:t>—</w:t>
      </w:r>
      <w:r>
        <w:rPr>
          <w:rStyle w:val="CharDivText"/>
        </w:rPr>
        <w:t> </w:t>
      </w:r>
      <w:r>
        <w:rPr>
          <w:rStyle w:val="CharPartText"/>
        </w:rPr>
        <w:t>Regulation of sale of certain stock, stock products and carcasses</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tabs>
          <w:tab w:val="left" w:pos="851"/>
        </w:tabs>
      </w:pPr>
      <w:r>
        <w:tab/>
        <w:t>[Heading inserted by No. 76 of 2004 s. 8.]</w:t>
      </w:r>
    </w:p>
    <w:p>
      <w:pPr>
        <w:pStyle w:val="Heading5"/>
      </w:pPr>
      <w:bookmarkStart w:id="127" w:name="_Toc128798260"/>
      <w:r>
        <w:rPr>
          <w:rStyle w:val="CharSectno"/>
        </w:rPr>
        <w:t>16</w:t>
      </w:r>
      <w:r>
        <w:t>.</w:t>
      </w:r>
      <w:r>
        <w:tab/>
        <w:t>Regulations relating to sale of certain stock, stock products and carcasses</w:t>
      </w:r>
      <w:bookmarkEnd w:id="127"/>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Repealed by No. 9 of 1998 s. 21.]</w:t>
      </w:r>
    </w:p>
    <w:p>
      <w:pPr>
        <w:pStyle w:val="Ednotesection"/>
      </w:pPr>
      <w:r>
        <w:t>[</w:t>
      </w:r>
      <w:r>
        <w:rPr>
          <w:b/>
        </w:rPr>
        <w:t>24</w:t>
      </w:r>
      <w:r>
        <w:rPr>
          <w:b/>
        </w:rPr>
        <w:noBreakHyphen/>
        <w:t>36.</w:t>
      </w:r>
      <w:r>
        <w:t xml:space="preserve">  Repealed by No. 9 of 1998 s. 22.]</w:t>
      </w:r>
    </w:p>
    <w:p>
      <w:pPr>
        <w:pStyle w:val="Heading2"/>
      </w:pPr>
      <w:bookmarkStart w:id="128" w:name="_Toc89767787"/>
      <w:bookmarkStart w:id="129" w:name="_Toc89767847"/>
      <w:bookmarkStart w:id="130" w:name="_Toc89767907"/>
      <w:bookmarkStart w:id="131" w:name="_Toc89767967"/>
      <w:bookmarkStart w:id="132" w:name="_Toc89768028"/>
      <w:bookmarkStart w:id="133" w:name="_Toc90871492"/>
      <w:bookmarkStart w:id="134" w:name="_Toc90872182"/>
      <w:bookmarkStart w:id="135" w:name="_Toc92776574"/>
      <w:bookmarkStart w:id="136" w:name="_Toc92948144"/>
      <w:bookmarkStart w:id="137" w:name="_Toc92948210"/>
      <w:bookmarkStart w:id="138" w:name="_Toc93116861"/>
      <w:bookmarkStart w:id="139" w:name="_Toc93117017"/>
      <w:bookmarkStart w:id="140" w:name="_Toc96755088"/>
      <w:bookmarkStart w:id="141" w:name="_Toc102451580"/>
      <w:bookmarkStart w:id="142" w:name="_Toc103069869"/>
      <w:bookmarkStart w:id="143" w:name="_Toc104784166"/>
      <w:bookmarkStart w:id="144" w:name="_Toc107909518"/>
      <w:bookmarkStart w:id="145" w:name="_Toc121108714"/>
      <w:bookmarkStart w:id="146" w:name="_Toc121108914"/>
      <w:bookmarkStart w:id="147" w:name="_Toc125272107"/>
      <w:bookmarkStart w:id="148" w:name="_Toc128798261"/>
      <w:r>
        <w:rPr>
          <w:rStyle w:val="CharPartNo"/>
        </w:rPr>
        <w:t>Part VA</w:t>
      </w:r>
      <w:r>
        <w:rPr>
          <w:rStyle w:val="CharDivNo"/>
        </w:rPr>
        <w:t> </w:t>
      </w:r>
      <w:r>
        <w:t>—</w:t>
      </w:r>
      <w:r>
        <w:rPr>
          <w:rStyle w:val="CharDivText"/>
        </w:rPr>
        <w:t> </w:t>
      </w:r>
      <w:r>
        <w:rPr>
          <w:rStyle w:val="CharPartText"/>
        </w:rPr>
        <w:t>Regulation of prescribed substances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149" w:name="_Toc128798262"/>
      <w:bookmarkStart w:id="150" w:name="_Toc435260500"/>
      <w:bookmarkStart w:id="151" w:name="_Toc89767908"/>
      <w:r>
        <w:rPr>
          <w:rStyle w:val="CharSectno"/>
        </w:rPr>
        <w:t>36AA</w:t>
      </w:r>
      <w:r>
        <w:t>.</w:t>
      </w:r>
      <w:r>
        <w:tab/>
        <w:t>Definition</w:t>
      </w:r>
      <w:bookmarkEnd w:id="149"/>
    </w:p>
    <w:p>
      <w:pPr>
        <w:pStyle w:val="Subsection"/>
      </w:pPr>
      <w:r>
        <w:tab/>
      </w:r>
      <w:r>
        <w:tab/>
        <w:t xml:space="preserve">In this Part — </w:t>
      </w:r>
    </w:p>
    <w:p>
      <w:pPr>
        <w:pStyle w:val="Defstart"/>
      </w:pPr>
      <w:r>
        <w:tab/>
      </w:r>
      <w:r>
        <w:rPr>
          <w:b/>
        </w:rPr>
        <w:t>“</w:t>
      </w:r>
      <w:r>
        <w:rPr>
          <w:rStyle w:val="CharDefText"/>
        </w:rPr>
        <w:t>treated</w:t>
      </w:r>
      <w:r>
        <w:rPr>
          <w:b/>
        </w:rPr>
        <w:t>”</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152" w:name="_Toc128798263"/>
      <w:r>
        <w:rPr>
          <w:rStyle w:val="CharSectno"/>
        </w:rPr>
        <w:t>36A</w:t>
      </w:r>
      <w:r>
        <w:rPr>
          <w:snapToGrid w:val="0"/>
        </w:rPr>
        <w:t>.</w:t>
      </w:r>
      <w:r>
        <w:rPr>
          <w:snapToGrid w:val="0"/>
        </w:rPr>
        <w:tab/>
        <w:t>Regulations relating to prescribed substances</w:t>
      </w:r>
      <w:bookmarkEnd w:id="150"/>
      <w:bookmarkEnd w:id="151"/>
      <w:bookmarkEnd w:id="152"/>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153" w:name="_Toc435260501"/>
      <w:bookmarkStart w:id="154" w:name="_Toc89767909"/>
      <w:bookmarkStart w:id="155" w:name="_Toc128798264"/>
      <w:r>
        <w:rPr>
          <w:rStyle w:val="CharSectno"/>
        </w:rPr>
        <w:t>36B</w:t>
      </w:r>
      <w:r>
        <w:rPr>
          <w:snapToGrid w:val="0"/>
        </w:rPr>
        <w:t>.</w:t>
      </w:r>
      <w:r>
        <w:rPr>
          <w:snapToGrid w:val="0"/>
        </w:rPr>
        <w:tab/>
        <w:t>Certain agreements void</w:t>
      </w:r>
      <w:bookmarkEnd w:id="153"/>
      <w:bookmarkEnd w:id="154"/>
      <w:bookmarkEnd w:id="155"/>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Repealed by No. 9 of 1998 s. 23.] </w:t>
      </w:r>
    </w:p>
    <w:p>
      <w:pPr>
        <w:pStyle w:val="Heading5"/>
        <w:spacing w:before="120"/>
        <w:rPr>
          <w:snapToGrid w:val="0"/>
        </w:rPr>
      </w:pPr>
      <w:bookmarkStart w:id="156" w:name="_Toc435260502"/>
      <w:bookmarkStart w:id="157" w:name="_Toc89767910"/>
      <w:bookmarkStart w:id="158" w:name="_Toc128798265"/>
      <w:r>
        <w:rPr>
          <w:rStyle w:val="CharSectno"/>
        </w:rPr>
        <w:t>36D</w:t>
      </w:r>
      <w:r>
        <w:rPr>
          <w:snapToGrid w:val="0"/>
        </w:rPr>
        <w:t>.</w:t>
      </w:r>
      <w:r>
        <w:rPr>
          <w:snapToGrid w:val="0"/>
        </w:rPr>
        <w:tab/>
        <w:t>False statements as to prescribed substances</w:t>
      </w:r>
      <w:bookmarkEnd w:id="156"/>
      <w:bookmarkEnd w:id="157"/>
      <w:bookmarkEnd w:id="158"/>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159" w:name="_Toc89767791"/>
      <w:bookmarkStart w:id="160" w:name="_Toc89767851"/>
      <w:bookmarkStart w:id="161" w:name="_Toc89767911"/>
      <w:bookmarkStart w:id="162" w:name="_Toc89767971"/>
      <w:bookmarkStart w:id="163" w:name="_Toc89768032"/>
      <w:bookmarkStart w:id="164" w:name="_Toc90871496"/>
      <w:bookmarkStart w:id="165" w:name="_Toc90872186"/>
      <w:bookmarkStart w:id="166" w:name="_Toc92776578"/>
      <w:bookmarkStart w:id="167" w:name="_Toc92948149"/>
      <w:bookmarkStart w:id="168" w:name="_Toc92948215"/>
      <w:bookmarkStart w:id="169" w:name="_Toc93116866"/>
      <w:bookmarkStart w:id="170" w:name="_Toc93117022"/>
      <w:bookmarkStart w:id="171" w:name="_Toc96755093"/>
      <w:bookmarkStart w:id="172" w:name="_Toc102451585"/>
      <w:bookmarkStart w:id="173" w:name="_Toc103069874"/>
      <w:bookmarkStart w:id="174" w:name="_Toc104784171"/>
      <w:bookmarkStart w:id="175" w:name="_Toc107909523"/>
      <w:bookmarkStart w:id="176" w:name="_Toc121108719"/>
      <w:bookmarkStart w:id="177" w:name="_Toc121108919"/>
      <w:bookmarkStart w:id="178" w:name="_Toc125272112"/>
      <w:bookmarkStart w:id="179" w:name="_Toc128798266"/>
      <w:r>
        <w:rPr>
          <w:rStyle w:val="CharPartNo"/>
        </w:rPr>
        <w:t>Part VI</w:t>
      </w:r>
      <w:r>
        <w:rPr>
          <w:rStyle w:val="CharDivNo"/>
        </w:rPr>
        <w:t> </w:t>
      </w:r>
      <w:r>
        <w:t>—</w:t>
      </w:r>
      <w:r>
        <w:rPr>
          <w:rStyle w:val="CharDivText"/>
        </w:rPr>
        <w:t> </w:t>
      </w:r>
      <w:r>
        <w:rPr>
          <w:rStyle w:val="CharPartText"/>
        </w:rPr>
        <w:t>Inspection, sampling and analysis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435260503"/>
      <w:bookmarkStart w:id="181" w:name="_Toc89767912"/>
      <w:bookmarkStart w:id="182" w:name="_Toc128798267"/>
      <w:r>
        <w:rPr>
          <w:rStyle w:val="CharSectno"/>
        </w:rPr>
        <w:t>37</w:t>
      </w:r>
      <w:r>
        <w:rPr>
          <w:snapToGrid w:val="0"/>
        </w:rPr>
        <w:t>.</w:t>
      </w:r>
      <w:r>
        <w:rPr>
          <w:snapToGrid w:val="0"/>
        </w:rPr>
        <w:tab/>
        <w:t>Appointment of inspectors</w:t>
      </w:r>
      <w:bookmarkEnd w:id="180"/>
      <w:bookmarkEnd w:id="181"/>
      <w:bookmarkEnd w:id="182"/>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183" w:name="_Toc435260504"/>
      <w:bookmarkStart w:id="184" w:name="_Toc89767913"/>
      <w:bookmarkStart w:id="185" w:name="_Toc128798268"/>
      <w:r>
        <w:rPr>
          <w:rStyle w:val="CharSectno"/>
        </w:rPr>
        <w:t>38</w:t>
      </w:r>
      <w:r>
        <w:rPr>
          <w:snapToGrid w:val="0"/>
        </w:rPr>
        <w:t>.</w:t>
      </w:r>
      <w:r>
        <w:rPr>
          <w:snapToGrid w:val="0"/>
        </w:rPr>
        <w:tab/>
        <w:t xml:space="preserve">Powers of entry, </w:t>
      </w:r>
      <w:bookmarkEnd w:id="183"/>
      <w:r>
        <w:rPr>
          <w:snapToGrid w:val="0"/>
        </w:rPr>
        <w:t>search and in relation to movement of stock</w:t>
      </w:r>
      <w:bookmarkEnd w:id="184"/>
      <w:bookmarkEnd w:id="185"/>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186" w:name="_Toc435260505"/>
      <w:bookmarkStart w:id="187" w:name="_Toc89767914"/>
      <w:bookmarkStart w:id="188" w:name="_Toc128798269"/>
      <w:r>
        <w:rPr>
          <w:rStyle w:val="CharSectno"/>
        </w:rPr>
        <w:t>39</w:t>
      </w:r>
      <w:r>
        <w:rPr>
          <w:snapToGrid w:val="0"/>
        </w:rPr>
        <w:t>.</w:t>
      </w:r>
      <w:r>
        <w:rPr>
          <w:snapToGrid w:val="0"/>
        </w:rPr>
        <w:tab/>
        <w:t>Supply of information</w:t>
      </w:r>
      <w:bookmarkEnd w:id="186"/>
      <w:bookmarkEnd w:id="187"/>
      <w:bookmarkEnd w:id="188"/>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189" w:name="_Toc435260506"/>
      <w:bookmarkStart w:id="190" w:name="_Toc89767915"/>
      <w:bookmarkStart w:id="191" w:name="_Toc128798270"/>
      <w:r>
        <w:rPr>
          <w:rStyle w:val="CharSectno"/>
        </w:rPr>
        <w:t>40</w:t>
      </w:r>
      <w:r>
        <w:rPr>
          <w:snapToGrid w:val="0"/>
        </w:rPr>
        <w:t>.</w:t>
      </w:r>
      <w:r>
        <w:rPr>
          <w:snapToGrid w:val="0"/>
        </w:rPr>
        <w:tab/>
        <w:t>Power to seize and detain</w:t>
      </w:r>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192" w:name="_Toc435260507"/>
      <w:bookmarkStart w:id="193" w:name="_Toc89767916"/>
      <w:bookmarkStart w:id="194" w:name="_Toc128798271"/>
      <w:r>
        <w:rPr>
          <w:rStyle w:val="CharSectno"/>
        </w:rPr>
        <w:t>40A</w:t>
      </w:r>
      <w:r>
        <w:rPr>
          <w:snapToGrid w:val="0"/>
        </w:rPr>
        <w:t>.</w:t>
      </w:r>
      <w:r>
        <w:rPr>
          <w:snapToGrid w:val="0"/>
        </w:rPr>
        <w:tab/>
        <w:t>Other powers of an inspector</w:t>
      </w:r>
      <w:bookmarkEnd w:id="192"/>
      <w:bookmarkEnd w:id="193"/>
      <w:bookmarkEnd w:id="194"/>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195" w:name="_Toc435260508"/>
      <w:bookmarkStart w:id="196" w:name="_Toc89767917"/>
      <w:bookmarkStart w:id="197" w:name="_Toc128798272"/>
      <w:r>
        <w:rPr>
          <w:rStyle w:val="CharSectno"/>
        </w:rPr>
        <w:t>40B</w:t>
      </w:r>
      <w:r>
        <w:rPr>
          <w:snapToGrid w:val="0"/>
        </w:rPr>
        <w:t>.</w:t>
      </w:r>
      <w:r>
        <w:rPr>
          <w:snapToGrid w:val="0"/>
        </w:rPr>
        <w:tab/>
        <w:t>Recovery of inspection costs</w:t>
      </w:r>
      <w:bookmarkEnd w:id="195"/>
      <w:bookmarkEnd w:id="196"/>
      <w:bookmarkEnd w:id="197"/>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198" w:name="_Toc435260509"/>
      <w:bookmarkStart w:id="199" w:name="_Toc89767918"/>
      <w:bookmarkStart w:id="200" w:name="_Toc128798273"/>
      <w:r>
        <w:rPr>
          <w:rStyle w:val="CharSectno"/>
        </w:rPr>
        <w:t>41</w:t>
      </w:r>
      <w:r>
        <w:rPr>
          <w:snapToGrid w:val="0"/>
        </w:rPr>
        <w:t>.</w:t>
      </w:r>
      <w:r>
        <w:rPr>
          <w:snapToGrid w:val="0"/>
        </w:rPr>
        <w:tab/>
        <w:t>Powers of sampling</w:t>
      </w:r>
      <w:bookmarkEnd w:id="198"/>
      <w:bookmarkEnd w:id="199"/>
      <w:bookmarkEnd w:id="200"/>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201" w:name="_Toc435260510"/>
      <w:bookmarkStart w:id="202" w:name="_Toc89767919"/>
      <w:bookmarkStart w:id="203" w:name="_Toc128798274"/>
      <w:r>
        <w:rPr>
          <w:rStyle w:val="CharSectno"/>
        </w:rPr>
        <w:t>42</w:t>
      </w:r>
      <w:r>
        <w:rPr>
          <w:snapToGrid w:val="0"/>
        </w:rPr>
        <w:t>.</w:t>
      </w:r>
      <w:r>
        <w:rPr>
          <w:snapToGrid w:val="0"/>
        </w:rPr>
        <w:tab/>
        <w:t>Duty of dealers to provide samples and information when required</w:t>
      </w:r>
      <w:bookmarkEnd w:id="201"/>
      <w:bookmarkEnd w:id="202"/>
      <w:bookmarkEnd w:id="203"/>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204" w:name="_Toc435260511"/>
      <w:bookmarkStart w:id="205" w:name="_Toc89767920"/>
      <w:bookmarkStart w:id="206" w:name="_Toc128798275"/>
      <w:r>
        <w:rPr>
          <w:rStyle w:val="CharSectno"/>
        </w:rPr>
        <w:t>42A</w:t>
      </w:r>
      <w:r>
        <w:rPr>
          <w:snapToGrid w:val="0"/>
        </w:rPr>
        <w:t>.</w:t>
      </w:r>
      <w:r>
        <w:rPr>
          <w:snapToGrid w:val="0"/>
        </w:rPr>
        <w:tab/>
        <w:t>Duty of persons to facilitate the operation of Parts IV, V and VA</w:t>
      </w:r>
      <w:bookmarkEnd w:id="204"/>
      <w:bookmarkEnd w:id="205"/>
      <w:bookmarkEnd w:id="206"/>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207" w:name="_Toc435260512"/>
      <w:bookmarkStart w:id="208" w:name="_Toc89767921"/>
      <w:bookmarkStart w:id="209" w:name="_Toc128798276"/>
      <w:r>
        <w:rPr>
          <w:rStyle w:val="CharSectno"/>
        </w:rPr>
        <w:t>43</w:t>
      </w:r>
      <w:r>
        <w:rPr>
          <w:snapToGrid w:val="0"/>
        </w:rPr>
        <w:t>.</w:t>
      </w:r>
      <w:r>
        <w:rPr>
          <w:snapToGrid w:val="0"/>
        </w:rPr>
        <w:tab/>
        <w:t>Tampering with samples</w:t>
      </w:r>
      <w:bookmarkEnd w:id="207"/>
      <w:bookmarkEnd w:id="208"/>
      <w:bookmarkEnd w:id="209"/>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210" w:name="_Toc435260513"/>
      <w:bookmarkStart w:id="211" w:name="_Toc89767922"/>
      <w:bookmarkStart w:id="212" w:name="_Toc128798277"/>
      <w:r>
        <w:rPr>
          <w:rStyle w:val="CharSectno"/>
        </w:rPr>
        <w:t>44</w:t>
      </w:r>
      <w:r>
        <w:rPr>
          <w:snapToGrid w:val="0"/>
        </w:rPr>
        <w:t>.</w:t>
      </w:r>
      <w:r>
        <w:rPr>
          <w:snapToGrid w:val="0"/>
        </w:rPr>
        <w:tab/>
        <w:t>Use of samples for prosecutions</w:t>
      </w:r>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213" w:name="_Toc435260514"/>
      <w:bookmarkStart w:id="214" w:name="_Toc89767923"/>
      <w:bookmarkStart w:id="215" w:name="_Toc128798278"/>
      <w:r>
        <w:rPr>
          <w:rStyle w:val="CharSectno"/>
        </w:rPr>
        <w:t>45</w:t>
      </w:r>
      <w:r>
        <w:rPr>
          <w:snapToGrid w:val="0"/>
        </w:rPr>
        <w:t>.</w:t>
      </w:r>
      <w:r>
        <w:rPr>
          <w:snapToGrid w:val="0"/>
        </w:rPr>
        <w:tab/>
        <w:t>Production of part retained for comparison</w:t>
      </w:r>
      <w:bookmarkEnd w:id="213"/>
      <w:bookmarkEnd w:id="214"/>
      <w:bookmarkEnd w:id="215"/>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216" w:name="_Toc435260515"/>
      <w:bookmarkStart w:id="217" w:name="_Toc89767924"/>
      <w:bookmarkStart w:id="218" w:name="_Toc128798279"/>
      <w:r>
        <w:rPr>
          <w:rStyle w:val="CharSectno"/>
        </w:rPr>
        <w:t>46</w:t>
      </w:r>
      <w:r>
        <w:rPr>
          <w:snapToGrid w:val="0"/>
        </w:rPr>
        <w:t>.</w:t>
      </w:r>
      <w:r>
        <w:rPr>
          <w:snapToGrid w:val="0"/>
        </w:rPr>
        <w:tab/>
        <w:t>Analysts</w:t>
      </w:r>
      <w:bookmarkEnd w:id="216"/>
      <w:bookmarkEnd w:id="217"/>
      <w:bookmarkEnd w:id="218"/>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219" w:name="_Toc435260516"/>
      <w:bookmarkStart w:id="220" w:name="_Toc89767925"/>
      <w:bookmarkStart w:id="221" w:name="_Toc128798280"/>
      <w:r>
        <w:rPr>
          <w:rStyle w:val="CharSectno"/>
        </w:rPr>
        <w:t>47</w:t>
      </w:r>
      <w:r>
        <w:rPr>
          <w:snapToGrid w:val="0"/>
        </w:rPr>
        <w:t>.</w:t>
      </w:r>
      <w:r>
        <w:rPr>
          <w:snapToGrid w:val="0"/>
        </w:rPr>
        <w:tab/>
        <w:t>Analysis</w:t>
      </w:r>
      <w:bookmarkEnd w:id="219"/>
      <w:bookmarkEnd w:id="220"/>
      <w:bookmarkEnd w:id="221"/>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222" w:name="_Toc435260517"/>
      <w:bookmarkStart w:id="223" w:name="_Toc89767926"/>
      <w:bookmarkStart w:id="224" w:name="_Toc128798281"/>
      <w:r>
        <w:rPr>
          <w:rStyle w:val="CharSectno"/>
        </w:rPr>
        <w:t>48</w:t>
      </w:r>
      <w:r>
        <w:rPr>
          <w:snapToGrid w:val="0"/>
        </w:rPr>
        <w:t>.</w:t>
      </w:r>
      <w:r>
        <w:rPr>
          <w:snapToGrid w:val="0"/>
        </w:rPr>
        <w:tab/>
        <w:t>Results of analysis may be published</w:t>
      </w:r>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225" w:name="_Toc435260518"/>
      <w:bookmarkStart w:id="226" w:name="_Toc89767927"/>
      <w:bookmarkStart w:id="227" w:name="_Toc128798282"/>
      <w:r>
        <w:rPr>
          <w:rStyle w:val="CharSectno"/>
        </w:rPr>
        <w:t>49</w:t>
      </w:r>
      <w:r>
        <w:rPr>
          <w:snapToGrid w:val="0"/>
        </w:rPr>
        <w:t>.</w:t>
      </w:r>
      <w:r>
        <w:rPr>
          <w:snapToGrid w:val="0"/>
        </w:rPr>
        <w:tab/>
        <w:t>Evidence of analysis and relation of sample to bulk</w:t>
      </w:r>
      <w:bookmarkEnd w:id="225"/>
      <w:bookmarkEnd w:id="226"/>
      <w:bookmarkEnd w:id="227"/>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228" w:name="_Toc435260519"/>
      <w:bookmarkStart w:id="229" w:name="_Toc89767928"/>
      <w:bookmarkStart w:id="230" w:name="_Toc128798283"/>
      <w:r>
        <w:rPr>
          <w:rStyle w:val="CharSectno"/>
        </w:rPr>
        <w:t>50</w:t>
      </w:r>
      <w:r>
        <w:rPr>
          <w:snapToGrid w:val="0"/>
        </w:rPr>
        <w:t>.</w:t>
      </w:r>
      <w:r>
        <w:rPr>
          <w:snapToGrid w:val="0"/>
        </w:rPr>
        <w:tab/>
        <w:t>Omissions not to prejudice proceedings</w:t>
      </w:r>
      <w:bookmarkEnd w:id="228"/>
      <w:bookmarkEnd w:id="229"/>
      <w:bookmarkEnd w:id="230"/>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231" w:name="_Toc89767809"/>
      <w:bookmarkStart w:id="232" w:name="_Toc89767869"/>
      <w:bookmarkStart w:id="233" w:name="_Toc89767929"/>
      <w:bookmarkStart w:id="234" w:name="_Toc89767989"/>
      <w:bookmarkStart w:id="235" w:name="_Toc89768050"/>
      <w:bookmarkStart w:id="236" w:name="_Toc90871514"/>
      <w:bookmarkStart w:id="237" w:name="_Toc90872204"/>
      <w:bookmarkStart w:id="238" w:name="_Toc92776596"/>
      <w:bookmarkStart w:id="239" w:name="_Toc92948167"/>
      <w:bookmarkStart w:id="240" w:name="_Toc92948233"/>
      <w:bookmarkStart w:id="241" w:name="_Toc93116884"/>
      <w:bookmarkStart w:id="242" w:name="_Toc93117040"/>
      <w:bookmarkStart w:id="243" w:name="_Toc96755111"/>
      <w:bookmarkStart w:id="244" w:name="_Toc102451603"/>
      <w:bookmarkStart w:id="245" w:name="_Toc103069892"/>
      <w:bookmarkStart w:id="246" w:name="_Toc104784189"/>
      <w:bookmarkStart w:id="247" w:name="_Toc107909541"/>
      <w:bookmarkStart w:id="248" w:name="_Toc121108737"/>
      <w:bookmarkStart w:id="249" w:name="_Toc121108937"/>
      <w:bookmarkStart w:id="250" w:name="_Toc125272130"/>
      <w:bookmarkStart w:id="251" w:name="_Toc128798284"/>
      <w:r>
        <w:rPr>
          <w:rStyle w:val="CharPartNo"/>
        </w:rPr>
        <w:t>Part VII</w:t>
      </w:r>
      <w:r>
        <w:rPr>
          <w:rStyle w:val="CharDivNo"/>
        </w:rPr>
        <w:t> </w:t>
      </w:r>
      <w:r>
        <w:t>—</w:t>
      </w:r>
      <w:r>
        <w:rPr>
          <w:rStyle w:val="CharDivText"/>
        </w:rPr>
        <w:t> </w:t>
      </w:r>
      <w:r>
        <w:rPr>
          <w:rStyle w:val="CharPartText"/>
        </w:rPr>
        <w:t>Packaging, labelling and standards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Ednotesection"/>
      </w:pPr>
      <w:r>
        <w:t>[</w:t>
      </w:r>
      <w:r>
        <w:rPr>
          <w:b/>
        </w:rPr>
        <w:t>51.</w:t>
      </w:r>
      <w:r>
        <w:tab/>
        <w:t xml:space="preserve">Repealed by No. 69 of 1982 s. 5.] </w:t>
      </w:r>
    </w:p>
    <w:p>
      <w:pPr>
        <w:pStyle w:val="Heading5"/>
        <w:rPr>
          <w:snapToGrid w:val="0"/>
        </w:rPr>
      </w:pPr>
      <w:bookmarkStart w:id="252" w:name="_Toc435260520"/>
      <w:bookmarkStart w:id="253" w:name="_Toc89767930"/>
      <w:bookmarkStart w:id="254" w:name="_Toc128798285"/>
      <w:r>
        <w:rPr>
          <w:rStyle w:val="CharSectno"/>
        </w:rPr>
        <w:t>52</w:t>
      </w:r>
      <w:r>
        <w:rPr>
          <w:snapToGrid w:val="0"/>
        </w:rPr>
        <w:t>.</w:t>
      </w:r>
      <w:r>
        <w:rPr>
          <w:snapToGrid w:val="0"/>
        </w:rPr>
        <w:tab/>
        <w:t>Regulations</w:t>
      </w:r>
      <w:bookmarkEnd w:id="252"/>
      <w:bookmarkEnd w:id="253"/>
      <w:bookmarkEnd w:id="254"/>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255" w:name="_Toc435260521"/>
      <w:bookmarkStart w:id="256" w:name="_Toc89767931"/>
      <w:bookmarkStart w:id="257" w:name="_Toc128798286"/>
      <w:r>
        <w:rPr>
          <w:rStyle w:val="CharSectno"/>
        </w:rPr>
        <w:t>53</w:t>
      </w:r>
      <w:r>
        <w:rPr>
          <w:snapToGrid w:val="0"/>
        </w:rPr>
        <w:t>.</w:t>
      </w:r>
      <w:r>
        <w:rPr>
          <w:snapToGrid w:val="0"/>
        </w:rPr>
        <w:tab/>
        <w:t>Offences relating to labelling</w:t>
      </w:r>
      <w:bookmarkEnd w:id="255"/>
      <w:bookmarkEnd w:id="256"/>
      <w:bookmarkEnd w:id="257"/>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258" w:name="_Toc89767812"/>
      <w:bookmarkStart w:id="259" w:name="_Toc89767872"/>
      <w:bookmarkStart w:id="260" w:name="_Toc89767932"/>
      <w:bookmarkStart w:id="261" w:name="_Toc89767992"/>
      <w:bookmarkStart w:id="262" w:name="_Toc89768053"/>
      <w:bookmarkStart w:id="263" w:name="_Toc90871517"/>
      <w:bookmarkStart w:id="264" w:name="_Toc90872207"/>
      <w:bookmarkStart w:id="265" w:name="_Toc92776599"/>
      <w:bookmarkStart w:id="266" w:name="_Toc92948170"/>
      <w:bookmarkStart w:id="267" w:name="_Toc92948236"/>
      <w:bookmarkStart w:id="268" w:name="_Toc93116887"/>
      <w:bookmarkStart w:id="269" w:name="_Toc93117043"/>
      <w:bookmarkStart w:id="270" w:name="_Toc96755114"/>
      <w:bookmarkStart w:id="271" w:name="_Toc102451606"/>
      <w:bookmarkStart w:id="272" w:name="_Toc103069895"/>
      <w:bookmarkStart w:id="273" w:name="_Toc104784192"/>
      <w:bookmarkStart w:id="274" w:name="_Toc107909544"/>
      <w:bookmarkStart w:id="275" w:name="_Toc121108740"/>
      <w:bookmarkStart w:id="276" w:name="_Toc121108940"/>
      <w:bookmarkStart w:id="277" w:name="_Toc125272133"/>
      <w:bookmarkStart w:id="278" w:name="_Toc128798287"/>
      <w:r>
        <w:rPr>
          <w:rStyle w:val="CharPartNo"/>
        </w:rPr>
        <w:t>Part VIII</w:t>
      </w:r>
      <w:r>
        <w:rPr>
          <w:rStyle w:val="CharDivNo"/>
        </w:rPr>
        <w:t> </w:t>
      </w:r>
      <w:r>
        <w:t>—</w:t>
      </w:r>
      <w:r>
        <w:rPr>
          <w:rStyle w:val="CharDivText"/>
        </w:rPr>
        <w:t> </w:t>
      </w:r>
      <w:r>
        <w:rPr>
          <w:rStyle w:val="CharPartText"/>
        </w:rPr>
        <w:t>Advertisements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435260522"/>
      <w:bookmarkStart w:id="280" w:name="_Toc89767933"/>
      <w:bookmarkStart w:id="281" w:name="_Toc128798288"/>
      <w:r>
        <w:rPr>
          <w:rStyle w:val="CharSectno"/>
        </w:rPr>
        <w:t>54</w:t>
      </w:r>
      <w:r>
        <w:rPr>
          <w:snapToGrid w:val="0"/>
        </w:rPr>
        <w:t>.</w:t>
      </w:r>
      <w:r>
        <w:rPr>
          <w:snapToGrid w:val="0"/>
        </w:rPr>
        <w:tab/>
        <w:t>Advertisements</w:t>
      </w:r>
      <w:bookmarkEnd w:id="279"/>
      <w:bookmarkEnd w:id="280"/>
      <w:bookmarkEnd w:id="281"/>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282" w:name="_Toc435260523"/>
      <w:bookmarkStart w:id="283" w:name="_Toc89767934"/>
      <w:bookmarkStart w:id="284" w:name="_Toc128798289"/>
      <w:r>
        <w:rPr>
          <w:rStyle w:val="CharSectno"/>
        </w:rPr>
        <w:t>55</w:t>
      </w:r>
      <w:r>
        <w:rPr>
          <w:snapToGrid w:val="0"/>
        </w:rPr>
        <w:t>.</w:t>
      </w:r>
      <w:r>
        <w:rPr>
          <w:snapToGrid w:val="0"/>
        </w:rPr>
        <w:tab/>
        <w:t>Prohibited statements</w:t>
      </w:r>
      <w:bookmarkEnd w:id="282"/>
      <w:bookmarkEnd w:id="283"/>
      <w:bookmarkEnd w:id="284"/>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285" w:name="_Toc89767815"/>
      <w:bookmarkStart w:id="286" w:name="_Toc89767875"/>
      <w:bookmarkStart w:id="287" w:name="_Toc89767935"/>
      <w:bookmarkStart w:id="288" w:name="_Toc89767995"/>
      <w:bookmarkStart w:id="289" w:name="_Toc89768056"/>
      <w:bookmarkStart w:id="290" w:name="_Toc90871520"/>
      <w:bookmarkStart w:id="291" w:name="_Toc90872210"/>
      <w:bookmarkStart w:id="292" w:name="_Toc92776602"/>
      <w:bookmarkStart w:id="293" w:name="_Toc92948173"/>
      <w:bookmarkStart w:id="294" w:name="_Toc92948239"/>
      <w:bookmarkStart w:id="295" w:name="_Toc93116890"/>
      <w:bookmarkStart w:id="296" w:name="_Toc93117046"/>
      <w:bookmarkStart w:id="297" w:name="_Toc96755117"/>
      <w:bookmarkStart w:id="298" w:name="_Toc102451609"/>
      <w:bookmarkStart w:id="299" w:name="_Toc103069898"/>
      <w:bookmarkStart w:id="300" w:name="_Toc104784195"/>
      <w:bookmarkStart w:id="301" w:name="_Toc107909547"/>
      <w:bookmarkStart w:id="302" w:name="_Toc121108743"/>
      <w:bookmarkStart w:id="303" w:name="_Toc121108943"/>
      <w:bookmarkStart w:id="304" w:name="_Toc125272136"/>
      <w:bookmarkStart w:id="305" w:name="_Toc128798290"/>
      <w:r>
        <w:rPr>
          <w:rStyle w:val="CharPartNo"/>
        </w:rPr>
        <w:t>Part IX</w:t>
      </w:r>
      <w:r>
        <w:rPr>
          <w:rStyle w:val="CharDivNo"/>
        </w:rPr>
        <w:t> </w:t>
      </w:r>
      <w:r>
        <w:t>—</w:t>
      </w:r>
      <w:r>
        <w:rPr>
          <w:rStyle w:val="CharDivText"/>
        </w:rPr>
        <w:t> </w:t>
      </w:r>
      <w:r>
        <w:rPr>
          <w:rStyle w:val="CharPartText"/>
        </w:rPr>
        <w:t>Invoices and warranties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PartText"/>
        </w:rPr>
        <w:t xml:space="preserve"> </w:t>
      </w:r>
    </w:p>
    <w:p>
      <w:pPr>
        <w:pStyle w:val="Ednotesection"/>
      </w:pPr>
      <w:r>
        <w:t>[</w:t>
      </w:r>
      <w:r>
        <w:rPr>
          <w:b/>
        </w:rPr>
        <w:t>56.</w:t>
      </w:r>
      <w:r>
        <w:tab/>
        <w:t xml:space="preserve">Repealed by No. 69 of 1982 s. 8.] </w:t>
      </w:r>
    </w:p>
    <w:p>
      <w:pPr>
        <w:pStyle w:val="Heading5"/>
        <w:rPr>
          <w:snapToGrid w:val="0"/>
        </w:rPr>
      </w:pPr>
      <w:bookmarkStart w:id="306" w:name="_Toc435260524"/>
      <w:bookmarkStart w:id="307" w:name="_Toc89767936"/>
      <w:bookmarkStart w:id="308" w:name="_Toc128798291"/>
      <w:r>
        <w:rPr>
          <w:rStyle w:val="CharSectno"/>
        </w:rPr>
        <w:t>57</w:t>
      </w:r>
      <w:r>
        <w:rPr>
          <w:snapToGrid w:val="0"/>
        </w:rPr>
        <w:t>.</w:t>
      </w:r>
      <w:r>
        <w:rPr>
          <w:snapToGrid w:val="0"/>
        </w:rPr>
        <w:tab/>
        <w:t>Invoices</w:t>
      </w:r>
      <w:bookmarkEnd w:id="306"/>
      <w:bookmarkEnd w:id="307"/>
      <w:bookmarkEnd w:id="308"/>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309" w:name="_Toc435260525"/>
      <w:bookmarkStart w:id="310" w:name="_Toc89767937"/>
      <w:bookmarkStart w:id="311" w:name="_Toc128798292"/>
      <w:r>
        <w:rPr>
          <w:rStyle w:val="CharSectno"/>
        </w:rPr>
        <w:t>58</w:t>
      </w:r>
      <w:r>
        <w:rPr>
          <w:snapToGrid w:val="0"/>
        </w:rPr>
        <w:t>.</w:t>
      </w:r>
      <w:r>
        <w:rPr>
          <w:snapToGrid w:val="0"/>
        </w:rPr>
        <w:tab/>
        <w:t>Warranties</w:t>
      </w:r>
      <w:bookmarkEnd w:id="309"/>
      <w:bookmarkEnd w:id="310"/>
      <w:bookmarkEnd w:id="311"/>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312" w:name="_Toc435260526"/>
      <w:bookmarkStart w:id="313" w:name="_Toc89767938"/>
      <w:bookmarkStart w:id="314" w:name="_Toc128798293"/>
      <w:r>
        <w:rPr>
          <w:rStyle w:val="CharSectno"/>
        </w:rPr>
        <w:t>59</w:t>
      </w:r>
      <w:r>
        <w:rPr>
          <w:snapToGrid w:val="0"/>
        </w:rPr>
        <w:t>.</w:t>
      </w:r>
      <w:r>
        <w:rPr>
          <w:snapToGrid w:val="0"/>
        </w:rPr>
        <w:tab/>
        <w:t>Breach of duty by seller is an offence</w:t>
      </w:r>
      <w:bookmarkEnd w:id="312"/>
      <w:bookmarkEnd w:id="313"/>
      <w:bookmarkEnd w:id="314"/>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315" w:name="_Toc89767819"/>
      <w:bookmarkStart w:id="316" w:name="_Toc89767879"/>
      <w:bookmarkStart w:id="317" w:name="_Toc89767939"/>
      <w:bookmarkStart w:id="318" w:name="_Toc89767999"/>
      <w:bookmarkStart w:id="319" w:name="_Toc89768060"/>
      <w:bookmarkStart w:id="320" w:name="_Toc90871524"/>
      <w:bookmarkStart w:id="321" w:name="_Toc90872214"/>
      <w:bookmarkStart w:id="322" w:name="_Toc92776606"/>
      <w:bookmarkStart w:id="323" w:name="_Toc92948177"/>
      <w:bookmarkStart w:id="324" w:name="_Toc92948243"/>
      <w:bookmarkStart w:id="325" w:name="_Toc93116894"/>
      <w:bookmarkStart w:id="326" w:name="_Toc93117050"/>
      <w:bookmarkStart w:id="327" w:name="_Toc96755121"/>
      <w:bookmarkStart w:id="328" w:name="_Toc102451613"/>
      <w:bookmarkStart w:id="329" w:name="_Toc103069902"/>
      <w:bookmarkStart w:id="330" w:name="_Toc104784199"/>
      <w:bookmarkStart w:id="331" w:name="_Toc107909551"/>
      <w:bookmarkStart w:id="332" w:name="_Toc121108747"/>
      <w:bookmarkStart w:id="333" w:name="_Toc121108947"/>
      <w:bookmarkStart w:id="334" w:name="_Toc125272140"/>
      <w:bookmarkStart w:id="335" w:name="_Toc128798294"/>
      <w:r>
        <w:rPr>
          <w:rStyle w:val="CharPartNo"/>
        </w:rPr>
        <w:t>Part X</w:t>
      </w:r>
      <w:r>
        <w:rPr>
          <w:rStyle w:val="CharDivNo"/>
        </w:rPr>
        <w:t> </w:t>
      </w:r>
      <w:r>
        <w:t>—</w:t>
      </w:r>
      <w:r>
        <w:rPr>
          <w:rStyle w:val="CharDivText"/>
        </w:rPr>
        <w:t> </w:t>
      </w:r>
      <w:r>
        <w:rPr>
          <w:rStyle w:val="CharPartText"/>
        </w:rPr>
        <w:t>Miscellaneous and general</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435260527"/>
      <w:bookmarkStart w:id="337" w:name="_Toc89767940"/>
      <w:bookmarkStart w:id="338" w:name="_Toc128798295"/>
      <w:r>
        <w:rPr>
          <w:rStyle w:val="CharSectno"/>
        </w:rPr>
        <w:t>59A</w:t>
      </w:r>
      <w:r>
        <w:rPr>
          <w:snapToGrid w:val="0"/>
        </w:rPr>
        <w:t>.</w:t>
      </w:r>
      <w:r>
        <w:rPr>
          <w:snapToGrid w:val="0"/>
        </w:rPr>
        <w:tab/>
        <w:t xml:space="preserve">Application of </w:t>
      </w:r>
      <w:r>
        <w:rPr>
          <w:i/>
          <w:snapToGrid w:val="0"/>
        </w:rPr>
        <w:t>Financial Administration and Audit Act 1985</w:t>
      </w:r>
      <w:bookmarkEnd w:id="336"/>
      <w:bookmarkEnd w:id="337"/>
      <w:bookmarkEnd w:id="338"/>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w:t>
      </w:r>
    </w:p>
    <w:p>
      <w:pPr>
        <w:pStyle w:val="Heading5"/>
        <w:rPr>
          <w:snapToGrid w:val="0"/>
        </w:rPr>
      </w:pPr>
      <w:bookmarkStart w:id="339" w:name="_Toc435260528"/>
      <w:bookmarkStart w:id="340" w:name="_Toc89767941"/>
      <w:bookmarkStart w:id="341" w:name="_Toc128798296"/>
      <w:r>
        <w:rPr>
          <w:rStyle w:val="CharSectno"/>
        </w:rPr>
        <w:t>60</w:t>
      </w:r>
      <w:r>
        <w:rPr>
          <w:snapToGrid w:val="0"/>
        </w:rPr>
        <w:t>.</w:t>
      </w:r>
      <w:r>
        <w:rPr>
          <w:snapToGrid w:val="0"/>
        </w:rPr>
        <w:tab/>
        <w:t>Persons obstructing execution of this Act</w:t>
      </w:r>
      <w:bookmarkEnd w:id="339"/>
      <w:bookmarkEnd w:id="340"/>
      <w:bookmarkEnd w:id="341"/>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342" w:name="_Toc435260529"/>
      <w:bookmarkStart w:id="343" w:name="_Toc89767942"/>
      <w:bookmarkStart w:id="344" w:name="_Toc128798297"/>
      <w:r>
        <w:rPr>
          <w:rStyle w:val="CharSectno"/>
        </w:rPr>
        <w:t>61</w:t>
      </w:r>
      <w:r>
        <w:rPr>
          <w:snapToGrid w:val="0"/>
        </w:rPr>
        <w:t>.</w:t>
      </w:r>
      <w:r>
        <w:rPr>
          <w:snapToGrid w:val="0"/>
        </w:rPr>
        <w:tab/>
        <w:t>Vicarious liability</w:t>
      </w:r>
      <w:bookmarkEnd w:id="342"/>
      <w:bookmarkEnd w:id="343"/>
      <w:bookmarkEnd w:id="344"/>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345" w:name="_Toc435260530"/>
      <w:bookmarkStart w:id="346" w:name="_Toc89767943"/>
      <w:bookmarkStart w:id="347" w:name="_Toc128798298"/>
      <w:r>
        <w:rPr>
          <w:rStyle w:val="CharSectno"/>
        </w:rPr>
        <w:t>62</w:t>
      </w:r>
      <w:r>
        <w:rPr>
          <w:snapToGrid w:val="0"/>
        </w:rPr>
        <w:t>.</w:t>
      </w:r>
      <w:r>
        <w:rPr>
          <w:snapToGrid w:val="0"/>
        </w:rPr>
        <w:tab/>
        <w:t>Forfeiture</w:t>
      </w:r>
      <w:bookmarkEnd w:id="345"/>
      <w:bookmarkEnd w:id="346"/>
      <w:bookmarkEnd w:id="347"/>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348" w:name="_Toc435260531"/>
      <w:bookmarkStart w:id="349" w:name="_Toc89767944"/>
      <w:bookmarkStart w:id="350" w:name="_Toc128798299"/>
      <w:r>
        <w:rPr>
          <w:rStyle w:val="CharSectno"/>
        </w:rPr>
        <w:t>63</w:t>
      </w:r>
      <w:r>
        <w:rPr>
          <w:snapToGrid w:val="0"/>
        </w:rPr>
        <w:t>.</w:t>
      </w:r>
      <w:r>
        <w:rPr>
          <w:snapToGrid w:val="0"/>
        </w:rPr>
        <w:tab/>
        <w:t>Offences and penalties</w:t>
      </w:r>
      <w:bookmarkEnd w:id="348"/>
      <w:bookmarkEnd w:id="349"/>
      <w:bookmarkEnd w:id="350"/>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351" w:name="_Toc435260532"/>
      <w:bookmarkStart w:id="352" w:name="_Toc89767945"/>
      <w:bookmarkStart w:id="353" w:name="_Toc128798300"/>
      <w:r>
        <w:rPr>
          <w:rStyle w:val="CharSectno"/>
        </w:rPr>
        <w:t>64</w:t>
      </w:r>
      <w:r>
        <w:rPr>
          <w:snapToGrid w:val="0"/>
        </w:rPr>
        <w:t>.</w:t>
      </w:r>
      <w:r>
        <w:rPr>
          <w:snapToGrid w:val="0"/>
        </w:rPr>
        <w:tab/>
        <w:t>Proceedings for offences</w:t>
      </w:r>
      <w:bookmarkEnd w:id="351"/>
      <w:bookmarkEnd w:id="352"/>
      <w:bookmarkEnd w:id="353"/>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354" w:name="_Toc435260533"/>
      <w:bookmarkStart w:id="355"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356" w:name="_Toc128798301"/>
      <w:r>
        <w:rPr>
          <w:rStyle w:val="CharSectno"/>
        </w:rPr>
        <w:t>65</w:t>
      </w:r>
      <w:r>
        <w:rPr>
          <w:snapToGrid w:val="0"/>
        </w:rPr>
        <w:t>.</w:t>
      </w:r>
      <w:r>
        <w:rPr>
          <w:snapToGrid w:val="0"/>
        </w:rPr>
        <w:tab/>
        <w:t>Evidence of qualifications</w:t>
      </w:r>
      <w:bookmarkEnd w:id="354"/>
      <w:bookmarkEnd w:id="355"/>
      <w:bookmarkEnd w:id="356"/>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w:t>
      </w:r>
    </w:p>
    <w:p>
      <w:pPr>
        <w:pStyle w:val="Heading5"/>
        <w:rPr>
          <w:snapToGrid w:val="0"/>
        </w:rPr>
      </w:pPr>
      <w:bookmarkStart w:id="357" w:name="_Toc435260534"/>
      <w:bookmarkStart w:id="358" w:name="_Toc89767947"/>
      <w:bookmarkStart w:id="359" w:name="_Toc128798302"/>
      <w:r>
        <w:rPr>
          <w:rStyle w:val="CharSectno"/>
        </w:rPr>
        <w:t>66</w:t>
      </w:r>
      <w:r>
        <w:rPr>
          <w:snapToGrid w:val="0"/>
        </w:rPr>
        <w:t>.</w:t>
      </w:r>
      <w:r>
        <w:rPr>
          <w:snapToGrid w:val="0"/>
        </w:rPr>
        <w:tab/>
        <w:t>Onus of proof</w:t>
      </w:r>
      <w:bookmarkEnd w:id="357"/>
      <w:bookmarkEnd w:id="358"/>
      <w:bookmarkEnd w:id="359"/>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360" w:name="_Toc435260535"/>
      <w:bookmarkStart w:id="361" w:name="_Toc89767948"/>
      <w:bookmarkStart w:id="362" w:name="_Toc128798303"/>
      <w:r>
        <w:rPr>
          <w:rStyle w:val="CharSectno"/>
        </w:rPr>
        <w:t>67</w:t>
      </w:r>
      <w:r>
        <w:rPr>
          <w:snapToGrid w:val="0"/>
        </w:rPr>
        <w:t>.</w:t>
      </w:r>
      <w:r>
        <w:rPr>
          <w:snapToGrid w:val="0"/>
        </w:rPr>
        <w:tab/>
        <w:t>Protection from liability</w:t>
      </w:r>
      <w:bookmarkEnd w:id="360"/>
      <w:bookmarkEnd w:id="361"/>
      <w:bookmarkEnd w:id="362"/>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363" w:name="_Toc435260536"/>
      <w:bookmarkStart w:id="364" w:name="_Toc89767949"/>
      <w:bookmarkStart w:id="365" w:name="_Toc128798304"/>
      <w:r>
        <w:rPr>
          <w:rStyle w:val="CharSectno"/>
        </w:rPr>
        <w:t>68</w:t>
      </w:r>
      <w:r>
        <w:rPr>
          <w:snapToGrid w:val="0"/>
        </w:rPr>
        <w:t>.</w:t>
      </w:r>
      <w:r>
        <w:rPr>
          <w:snapToGrid w:val="0"/>
        </w:rPr>
        <w:tab/>
        <w:t>Regulations</w:t>
      </w:r>
      <w:bookmarkEnd w:id="363"/>
      <w:bookmarkEnd w:id="364"/>
      <w:bookmarkEnd w:id="365"/>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366" w:name="_Toc89767831"/>
      <w:bookmarkStart w:id="367" w:name="_Toc89767891"/>
      <w:bookmarkStart w:id="368" w:name="_Toc89767951"/>
      <w:bookmarkStart w:id="369" w:name="_Toc89768011"/>
      <w:bookmarkStart w:id="370" w:name="_Toc89768072"/>
      <w:bookmarkStart w:id="371" w:name="_Toc90871536"/>
      <w:bookmarkStart w:id="372" w:name="_Toc90872226"/>
      <w:bookmarkStart w:id="373" w:name="_Toc92776618"/>
      <w:bookmarkStart w:id="374" w:name="_Toc92948188"/>
      <w:bookmarkStart w:id="375" w:name="_Toc92948254"/>
      <w:bookmarkStart w:id="376" w:name="_Toc93116905"/>
      <w:bookmarkStart w:id="377" w:name="_Toc93117061"/>
      <w:bookmarkStart w:id="378" w:name="_Toc96755132"/>
      <w:bookmarkStart w:id="379" w:name="_Toc102451624"/>
      <w:bookmarkStart w:id="380" w:name="_Toc103069913"/>
      <w:bookmarkStart w:id="381" w:name="_Toc104784210"/>
      <w:bookmarkStart w:id="382" w:name="_Toc107909562"/>
      <w:bookmarkStart w:id="383" w:name="_Toc121108758"/>
      <w:bookmarkStart w:id="384" w:name="_Toc121108958"/>
      <w:bookmarkStart w:id="385" w:name="_Toc125272151"/>
      <w:bookmarkStart w:id="386" w:name="_Toc128798305"/>
      <w:r>
        <w:t>Notes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nSubsection"/>
        <w:rPr>
          <w:snapToGrid w:val="0"/>
        </w:rPr>
      </w:pPr>
      <w:r>
        <w:rPr>
          <w:snapToGrid w:val="0"/>
          <w:vertAlign w:val="superscript"/>
        </w:rPr>
        <w:t>1</w:t>
      </w:r>
      <w:r>
        <w:rPr>
          <w:snapToGrid w:val="0"/>
        </w:rPr>
        <w:tab/>
        <w:t xml:space="preserve">This reprint is a compilation as at 3 February 2006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87" w:name="_Toc128798306"/>
      <w:r>
        <w:rPr>
          <w:snapToGrid w:val="0"/>
        </w:rPr>
        <w:t>Compilation table</w:t>
      </w:r>
      <w:bookmarkEnd w:id="38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388" w:name="_Hlt507390729"/>
      <w:bookmarkEnd w:id="38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389" w:name="_Toc128798307"/>
      <w:r>
        <w:rPr>
          <w:snapToGrid w:val="0"/>
        </w:rPr>
        <w:t>Provisions that have not come into operation</w:t>
      </w:r>
      <w:bookmarkEnd w:id="389"/>
    </w:p>
    <w:tbl>
      <w:tblPr>
        <w:tblW w:w="7081" w:type="dxa"/>
        <w:tblInd w:w="40" w:type="dxa"/>
        <w:tblLayout w:type="fixed"/>
        <w:tblCellMar>
          <w:left w:w="56" w:type="dxa"/>
          <w:right w:w="56" w:type="dxa"/>
        </w:tblCellMar>
        <w:tblLook w:val="0000" w:firstRow="0" w:lastRow="0" w:firstColumn="0" w:lastColumn="0" w:noHBand="0" w:noVBand="0"/>
      </w:tblPr>
      <w:tblGrid>
        <w:gridCol w:w="2264"/>
        <w:gridCol w:w="1133"/>
        <w:gridCol w:w="1134"/>
        <w:gridCol w:w="2550"/>
      </w:tblGrid>
      <w:tr>
        <w:tc>
          <w:tcPr>
            <w:tcW w:w="2264" w:type="dxa"/>
            <w:tcBorders>
              <w:top w:val="single" w:sz="8" w:space="0" w:color="auto"/>
              <w:bottom w:val="single" w:sz="8"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8" w:space="0" w:color="auto"/>
            </w:tcBorders>
          </w:tcPr>
          <w:p>
            <w:pPr>
              <w:pStyle w:val="nTable"/>
              <w:spacing w:after="40"/>
              <w:rPr>
                <w:b/>
                <w:bCs/>
                <w:sz w:val="19"/>
                <w:lang w:val="en-US"/>
              </w:rPr>
            </w:pPr>
            <w:r>
              <w:rPr>
                <w:b/>
                <w:bCs/>
                <w:sz w:val="19"/>
                <w:lang w:val="en-US"/>
              </w:rPr>
              <w:t>Number and year</w:t>
            </w:r>
          </w:p>
        </w:tc>
        <w:tc>
          <w:tcPr>
            <w:tcW w:w="1134" w:type="dxa"/>
            <w:tcBorders>
              <w:top w:val="single" w:sz="8" w:space="0" w:color="auto"/>
              <w:bottom w:val="single" w:sz="8" w:space="0" w:color="auto"/>
            </w:tcBorders>
          </w:tcPr>
          <w:p>
            <w:pPr>
              <w:pStyle w:val="nTable"/>
              <w:spacing w:after="40"/>
              <w:rPr>
                <w:b/>
                <w:bCs/>
                <w:sz w:val="19"/>
                <w:lang w:val="en-US"/>
              </w:rPr>
            </w:pPr>
            <w:r>
              <w:rPr>
                <w:b/>
                <w:bCs/>
                <w:sz w:val="19"/>
                <w:lang w:val="en-US"/>
              </w:rPr>
              <w:t>Assent</w:t>
            </w:r>
          </w:p>
        </w:tc>
        <w:tc>
          <w:tcPr>
            <w:tcW w:w="2550" w:type="dxa"/>
            <w:tcBorders>
              <w:top w:val="single" w:sz="8" w:space="0" w:color="auto"/>
              <w:bottom w:val="single" w:sz="8" w:space="0" w:color="auto"/>
            </w:tcBorders>
          </w:tcPr>
          <w:p>
            <w:pPr>
              <w:pStyle w:val="nTable"/>
              <w:spacing w:after="40"/>
              <w:rPr>
                <w:b/>
                <w:bCs/>
                <w:sz w:val="19"/>
                <w:lang w:val="en-US"/>
              </w:rPr>
            </w:pPr>
            <w:r>
              <w:rPr>
                <w:b/>
                <w:bCs/>
                <w:sz w:val="19"/>
                <w:lang w:val="en-US"/>
              </w:rPr>
              <w:t>Commencement</w:t>
            </w:r>
          </w:p>
        </w:tc>
      </w:tr>
      <w:tr>
        <w:tc>
          <w:tcPr>
            <w:tcW w:w="2264" w:type="dxa"/>
            <w:tcBorders>
              <w:top w:val="single" w:sz="8" w:space="0" w:color="auto"/>
              <w:bottom w:val="single" w:sz="8" w:space="0" w:color="auto"/>
            </w:tcBorders>
          </w:tcPr>
          <w:p>
            <w:pPr>
              <w:pStyle w:val="nTable"/>
              <w:spacing w:after="40"/>
              <w:rPr>
                <w:position w:val="6"/>
                <w:sz w:val="19"/>
                <w:szCs w:val="28"/>
                <w:lang w:val="en-US"/>
              </w:rPr>
            </w:pPr>
            <w:r>
              <w:rPr>
                <w:i/>
                <w:snapToGrid w:val="0"/>
                <w:sz w:val="19"/>
                <w:lang w:val="en-US"/>
              </w:rPr>
              <w:t>Courts Legislation Amendment and Repeal Act 2004</w:t>
            </w:r>
            <w:r>
              <w:rPr>
                <w:snapToGrid w:val="0"/>
                <w:sz w:val="19"/>
                <w:lang w:val="en-US"/>
              </w:rPr>
              <w:t xml:space="preserve"> </w:t>
            </w:r>
            <w:r>
              <w:rPr>
                <w:sz w:val="19"/>
                <w:lang w:val="en-US"/>
              </w:rPr>
              <w:t xml:space="preserve"> s. 142</w:t>
            </w:r>
            <w:r>
              <w:rPr>
                <w:sz w:val="19"/>
                <w:vertAlign w:val="superscript"/>
                <w:lang w:val="en-US"/>
              </w:rPr>
              <w:t> 6</w:t>
            </w:r>
          </w:p>
        </w:tc>
        <w:tc>
          <w:tcPr>
            <w:tcW w:w="1133" w:type="dxa"/>
            <w:tcBorders>
              <w:top w:val="single" w:sz="8" w:space="0" w:color="auto"/>
              <w:bottom w:val="single" w:sz="8" w:space="0" w:color="auto"/>
            </w:tcBorders>
          </w:tcPr>
          <w:p>
            <w:pPr>
              <w:pStyle w:val="nTable"/>
              <w:spacing w:after="40"/>
              <w:rPr>
                <w:sz w:val="19"/>
                <w:lang w:val="en-US"/>
              </w:rPr>
            </w:pPr>
            <w:r>
              <w:rPr>
                <w:sz w:val="19"/>
                <w:lang w:val="en-US"/>
              </w:rPr>
              <w:t>59 of 2004</w:t>
            </w:r>
          </w:p>
        </w:tc>
        <w:tc>
          <w:tcPr>
            <w:tcW w:w="1134" w:type="dxa"/>
            <w:tcBorders>
              <w:top w:val="single" w:sz="8" w:space="0" w:color="auto"/>
              <w:bottom w:val="single" w:sz="8" w:space="0" w:color="auto"/>
            </w:tcBorders>
          </w:tcPr>
          <w:p>
            <w:pPr>
              <w:pStyle w:val="nTable"/>
              <w:spacing w:after="40"/>
              <w:rPr>
                <w:sz w:val="19"/>
                <w:lang w:val="en-US"/>
              </w:rPr>
            </w:pPr>
            <w:r>
              <w:rPr>
                <w:sz w:val="19"/>
                <w:lang w:val="en-US"/>
              </w:rPr>
              <w:t>23 Nov 2004</w:t>
            </w:r>
          </w:p>
        </w:tc>
        <w:tc>
          <w:tcPr>
            <w:tcW w:w="2550" w:type="dxa"/>
            <w:tcBorders>
              <w:top w:val="single" w:sz="8" w:space="0" w:color="auto"/>
              <w:bottom w:val="single" w:sz="8" w:space="0" w:color="auto"/>
            </w:tcBorders>
          </w:tcPr>
          <w:p>
            <w:pPr>
              <w:pStyle w:val="nTable"/>
              <w:spacing w:after="40"/>
              <w:rPr>
                <w:sz w:val="19"/>
                <w:lang w:val="en-US"/>
              </w:rPr>
            </w:pPr>
            <w:r>
              <w:rPr>
                <w:sz w:val="19"/>
              </w:rPr>
              <w:t>To be proclaimed (see s. 2)</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 xml:space="preserve"> “</w:t>
      </w:r>
    </w:p>
    <w:p>
      <w:pPr>
        <w:pStyle w:val="nzHeading5"/>
      </w:pPr>
      <w:bookmarkStart w:id="390" w:name="_Toc88630545"/>
      <w:r>
        <w:rPr>
          <w:rStyle w:val="CharSectno"/>
        </w:rPr>
        <w:t>142</w:t>
      </w:r>
      <w:r>
        <w:t>.</w:t>
      </w:r>
      <w:r>
        <w:tab/>
        <w:t>Other amendments to various Acts</w:t>
      </w:r>
      <w:bookmarkEnd w:id="390"/>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Subsection"/>
        <w:keepNext/>
        <w:rPr>
          <w:snapToGrid w:val="0"/>
        </w:rPr>
      </w:pPr>
      <w:r>
        <w:rPr>
          <w:snapToGrid w:val="0"/>
        </w:rPr>
        <w:tab/>
        <w:t>Schedule 2 cl. 51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391" w:name="_Toc497185940"/>
      <w:bookmarkStart w:id="392" w:name="_Toc88630773"/>
      <w:r>
        <w:t>51.</w:t>
      </w:r>
      <w:r>
        <w:tab/>
      </w:r>
      <w:r>
        <w:rPr>
          <w:i/>
        </w:rPr>
        <w:t>Veterinary Preparations and Animal Feeding Stuffs Act 1976</w:t>
      </w:r>
      <w:bookmarkEnd w:id="391"/>
      <w:bookmarkEnd w:id="392"/>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701"/>
      </w:tblGrid>
      <w:tr>
        <w:trPr>
          <w:cantSplit/>
        </w:trPr>
        <w:tc>
          <w:tcPr>
            <w:tcW w:w="1148" w:type="dxa"/>
          </w:tcPr>
          <w:p>
            <w:pPr>
              <w:pStyle w:val="nzTable"/>
              <w:rPr>
                <w:vertAlign w:val="superscript"/>
              </w:rPr>
            </w:pPr>
            <w:r>
              <w:t>s. 40(3)</w:t>
            </w:r>
            <w:r>
              <w:rPr>
                <w:vertAlign w:val="superscript"/>
              </w:rPr>
              <w:t> 7</w:t>
            </w:r>
          </w:p>
        </w:tc>
        <w:tc>
          <w:tcPr>
            <w:tcW w:w="4701" w:type="dxa"/>
          </w:tcPr>
          <w:p>
            <w:pPr>
              <w:pStyle w:val="nzTable"/>
            </w:pPr>
            <w:r>
              <w:t xml:space="preserve">Delete “a stipendiary magistrate sitting as a court of summary jurisdiction who may make such order in the matter as he thinks just.” and insert instead — </w:t>
            </w:r>
          </w:p>
          <w:p>
            <w:pPr>
              <w:pStyle w:val="nzTable"/>
            </w:pPr>
            <w:r>
              <w:t>“    the Magistrates Court.    ”.</w:t>
            </w:r>
          </w:p>
        </w:tc>
      </w:tr>
    </w:tbl>
    <w:p>
      <w:pPr>
        <w:pStyle w:val="MiscClose"/>
        <w:keepLines w:val="0"/>
        <w:rPr>
          <w:snapToGrid w:val="0"/>
        </w:rPr>
      </w:pPr>
      <w:r>
        <w:rPr>
          <w:snapToGrid w:val="0"/>
        </w:rPr>
        <w:t>”.</w:t>
      </w:r>
    </w:p>
    <w:p>
      <w:pPr>
        <w:pStyle w:val="nSubsection"/>
        <w:rPr>
          <w:vertAlign w:val="superscript"/>
        </w:rPr>
      </w:pPr>
      <w:r>
        <w:rPr>
          <w:snapToGrid w:val="0"/>
          <w:vertAlign w:val="superscript"/>
        </w:rPr>
        <w:t>7</w:t>
      </w:r>
      <w:r>
        <w:rPr>
          <w:snapToGrid w:val="0"/>
        </w:rPr>
        <w:tab/>
        <w:t xml:space="preserve">The amendment to s. 40(3)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1273.</w:t>
      </w:r>
    </w:p>
    <w:p/>
    <w:p>
      <w:pPr>
        <w:sectPr>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Introductory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fldSimple w:instr=" styleref CharPartText ">
            <w:r>
              <w:rPr>
                <w:noProof/>
              </w:rPr>
              <w:t>Introductory provisions</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B2B2EAF0">
      <w:start w:val="1"/>
      <w:numFmt w:val="bullet"/>
      <w:lvlText w:val=""/>
      <w:lvlJc w:val="left"/>
      <w:pPr>
        <w:tabs>
          <w:tab w:val="num" w:pos="720"/>
        </w:tabs>
        <w:ind w:left="720" w:hanging="360"/>
      </w:pPr>
      <w:rPr>
        <w:rFonts w:ascii="Symbol" w:hAnsi="Symbol" w:hint="default"/>
      </w:rPr>
    </w:lvl>
    <w:lvl w:ilvl="1" w:tplc="ACF486E4" w:tentative="1">
      <w:start w:val="1"/>
      <w:numFmt w:val="bullet"/>
      <w:lvlText w:val="o"/>
      <w:lvlJc w:val="left"/>
      <w:pPr>
        <w:tabs>
          <w:tab w:val="num" w:pos="1440"/>
        </w:tabs>
        <w:ind w:left="1440" w:hanging="360"/>
      </w:pPr>
      <w:rPr>
        <w:rFonts w:ascii="Courier New" w:hAnsi="Courier New" w:hint="default"/>
      </w:rPr>
    </w:lvl>
    <w:lvl w:ilvl="2" w:tplc="743449A0" w:tentative="1">
      <w:start w:val="1"/>
      <w:numFmt w:val="bullet"/>
      <w:lvlText w:val=""/>
      <w:lvlJc w:val="left"/>
      <w:pPr>
        <w:tabs>
          <w:tab w:val="num" w:pos="2160"/>
        </w:tabs>
        <w:ind w:left="2160" w:hanging="360"/>
      </w:pPr>
      <w:rPr>
        <w:rFonts w:ascii="Wingdings" w:hAnsi="Wingdings" w:hint="default"/>
      </w:rPr>
    </w:lvl>
    <w:lvl w:ilvl="3" w:tplc="CF081602" w:tentative="1">
      <w:start w:val="1"/>
      <w:numFmt w:val="bullet"/>
      <w:lvlText w:val=""/>
      <w:lvlJc w:val="left"/>
      <w:pPr>
        <w:tabs>
          <w:tab w:val="num" w:pos="2880"/>
        </w:tabs>
        <w:ind w:left="2880" w:hanging="360"/>
      </w:pPr>
      <w:rPr>
        <w:rFonts w:ascii="Symbol" w:hAnsi="Symbol" w:hint="default"/>
      </w:rPr>
    </w:lvl>
    <w:lvl w:ilvl="4" w:tplc="965E3C34" w:tentative="1">
      <w:start w:val="1"/>
      <w:numFmt w:val="bullet"/>
      <w:lvlText w:val="o"/>
      <w:lvlJc w:val="left"/>
      <w:pPr>
        <w:tabs>
          <w:tab w:val="num" w:pos="3600"/>
        </w:tabs>
        <w:ind w:left="3600" w:hanging="360"/>
      </w:pPr>
      <w:rPr>
        <w:rFonts w:ascii="Courier New" w:hAnsi="Courier New" w:hint="default"/>
      </w:rPr>
    </w:lvl>
    <w:lvl w:ilvl="5" w:tplc="FB6C03A0" w:tentative="1">
      <w:start w:val="1"/>
      <w:numFmt w:val="bullet"/>
      <w:lvlText w:val=""/>
      <w:lvlJc w:val="left"/>
      <w:pPr>
        <w:tabs>
          <w:tab w:val="num" w:pos="4320"/>
        </w:tabs>
        <w:ind w:left="4320" w:hanging="360"/>
      </w:pPr>
      <w:rPr>
        <w:rFonts w:ascii="Wingdings" w:hAnsi="Wingdings" w:hint="default"/>
      </w:rPr>
    </w:lvl>
    <w:lvl w:ilvl="6" w:tplc="6576ECA0" w:tentative="1">
      <w:start w:val="1"/>
      <w:numFmt w:val="bullet"/>
      <w:lvlText w:val=""/>
      <w:lvlJc w:val="left"/>
      <w:pPr>
        <w:tabs>
          <w:tab w:val="num" w:pos="5040"/>
        </w:tabs>
        <w:ind w:left="5040" w:hanging="360"/>
      </w:pPr>
      <w:rPr>
        <w:rFonts w:ascii="Symbol" w:hAnsi="Symbol" w:hint="default"/>
      </w:rPr>
    </w:lvl>
    <w:lvl w:ilvl="7" w:tplc="64068E68" w:tentative="1">
      <w:start w:val="1"/>
      <w:numFmt w:val="bullet"/>
      <w:lvlText w:val="o"/>
      <w:lvlJc w:val="left"/>
      <w:pPr>
        <w:tabs>
          <w:tab w:val="num" w:pos="5760"/>
        </w:tabs>
        <w:ind w:left="5760" w:hanging="360"/>
      </w:pPr>
      <w:rPr>
        <w:rFonts w:ascii="Courier New" w:hAnsi="Courier New" w:hint="default"/>
      </w:rPr>
    </w:lvl>
    <w:lvl w:ilvl="8" w:tplc="CD1EB536"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14300</Words>
  <Characters>67210</Characters>
  <Application>Microsoft Office Word</Application>
  <DocSecurity>0</DocSecurity>
  <Lines>1866</Lines>
  <Paragraphs>926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80584</CharactersWithSpaces>
  <SharedDoc>false</SharedDoc>
  <HLinks>
    <vt:vector size="12" baseType="variant">
      <vt:variant>
        <vt:i4>3014716</vt:i4>
      </vt:variant>
      <vt:variant>
        <vt:i4>5744</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1976 - 02-a0-02</dc:title>
  <dc:subject/>
  <dc:creator/>
  <cp:keywords/>
  <dc:description/>
  <cp:lastModifiedBy>svcMRProcess</cp:lastModifiedBy>
  <cp:revision>4</cp:revision>
  <cp:lastPrinted>2006-02-01T01:13:00Z</cp:lastPrinted>
  <dcterms:created xsi:type="dcterms:W3CDTF">2020-02-19T22:11:00Z</dcterms:created>
  <dcterms:modified xsi:type="dcterms:W3CDTF">2020-02-19T22:12:00Z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20060203</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AsAtDate">
    <vt:lpwstr>03 Feb 2006</vt:lpwstr>
  </property>
  <property fmtid="{D5CDD505-2E9C-101B-9397-08002B2CF9AE}" pid="8" name="Suffix">
    <vt:lpwstr>02-a0-02</vt:lpwstr>
  </property>
</Properties>
</file>