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bookmarkStart w:id="0" w:name="UpToHere"/>
      <w:bookmarkStart w:id="1" w:name="_GoBack"/>
      <w:bookmarkEnd w:id="0"/>
      <w:bookmarkEnd w:id="1"/>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Vocational Education and Training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_Toc158087123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_Toc158087124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to Crown</w:t>
      </w:r>
      <w:r>
        <w:tab/>
      </w:r>
      <w:r>
        <w:fldChar w:fldCharType="begin"/>
      </w:r>
      <w:r>
        <w:instrText xml:space="preserve"> PAGEREF _Toc158087125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_Toc158087126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_Toc158087127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Vocational education and training provided by a secondary school or university</w:t>
      </w:r>
      <w:r>
        <w:tab/>
      </w:r>
      <w:r>
        <w:fldChar w:fldCharType="begin"/>
      </w:r>
      <w:r>
        <w:instrText xml:space="preserve"> PAGEREF _Toc158087128 \h </w:instrText>
      </w:r>
      <w:r>
        <w:fldChar w:fldCharType="separate"/>
      </w:r>
      <w:r>
        <w:t>5</w:t>
      </w:r>
      <w:r>
        <w:fldChar w:fldCharType="end"/>
      </w:r>
    </w:p>
    <w:p>
      <w:pPr>
        <w:pStyle w:val="TOC2"/>
        <w:tabs>
          <w:tab w:val="right" w:leader="dot" w:pos="7086"/>
        </w:tabs>
        <w:rPr>
          <w:b w:val="0"/>
          <w:sz w:val="24"/>
          <w:szCs w:val="24"/>
        </w:rPr>
      </w:pPr>
      <w:r>
        <w:rPr>
          <w:szCs w:val="30"/>
        </w:rPr>
        <w:t>Part 2 — Coordination of the State vocational education and training system</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Minister a body corporate</w:t>
      </w:r>
      <w:r>
        <w:tab/>
      </w:r>
      <w:r>
        <w:fldChar w:fldCharType="begin"/>
      </w:r>
      <w:r>
        <w:instrText xml:space="preserve"> PAGEREF _Toc158087131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Functions of the Minister</w:t>
      </w:r>
      <w:r>
        <w:tab/>
      </w:r>
      <w:r>
        <w:fldChar w:fldCharType="begin"/>
      </w:r>
      <w:r>
        <w:instrText xml:space="preserve"> PAGEREF _Toc158087132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Powers of the Minister</w:t>
      </w:r>
      <w:r>
        <w:tab/>
      </w:r>
      <w:r>
        <w:fldChar w:fldCharType="begin"/>
      </w:r>
      <w:r>
        <w:instrText xml:space="preserve"> PAGEREF _Toc158087133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Delegation by Minister</w:t>
      </w:r>
      <w:r>
        <w:tab/>
      </w:r>
      <w:r>
        <w:fldChar w:fldCharType="begin"/>
      </w:r>
      <w:r>
        <w:instrText xml:space="preserve"> PAGEREF _Toc158087134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_Toc158087135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to secondary schools and universities providing vocational education and training</w:t>
      </w:r>
      <w:r>
        <w:tab/>
      </w:r>
      <w:r>
        <w:fldChar w:fldCharType="begin"/>
      </w:r>
      <w:r>
        <w:instrText xml:space="preserve"> PAGEREF _Toc158087136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Minister may issue guidelines</w:t>
      </w:r>
      <w:r>
        <w:tab/>
      </w:r>
      <w:r>
        <w:fldChar w:fldCharType="begin"/>
      </w:r>
      <w:r>
        <w:instrText xml:space="preserve"> PAGEREF _Toc158087137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_Toc158087138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matters</w:t>
      </w:r>
    </w:p>
    <w:p>
      <w:pPr>
        <w:pStyle w:val="TOC8"/>
        <w:rPr>
          <w:sz w:val="24"/>
          <w:szCs w:val="24"/>
        </w:rPr>
      </w:pPr>
      <w:r>
        <w:rPr>
          <w:szCs w:val="24"/>
        </w:rPr>
        <w:t>15</w:t>
      </w:r>
      <w:r>
        <w:rPr>
          <w:snapToGrid w:val="0"/>
          <w:szCs w:val="24"/>
        </w:rPr>
        <w:t>.</w:t>
      </w:r>
      <w:r>
        <w:rPr>
          <w:snapToGrid w:val="0"/>
          <w:szCs w:val="24"/>
        </w:rPr>
        <w:tab/>
        <w:t>Vocational Education and Training Trust</w:t>
      </w:r>
      <w:r>
        <w:rPr>
          <w:szCs w:val="24"/>
        </w:rPr>
        <w:t xml:space="preserve"> Account</w:t>
      </w:r>
      <w:r>
        <w:tab/>
      </w:r>
      <w:r>
        <w:fldChar w:fldCharType="begin"/>
      </w:r>
      <w:r>
        <w:instrText xml:space="preserve"> PAGEREF _Toc158087140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_Toc158087141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Minister may lend money</w:t>
      </w:r>
      <w:r>
        <w:tab/>
      </w:r>
      <w:r>
        <w:fldChar w:fldCharType="begin"/>
      </w:r>
      <w:r>
        <w:instrText xml:space="preserve"> PAGEREF _Toc158087142 \h </w:instrText>
      </w:r>
      <w:r>
        <w:fldChar w:fldCharType="separate"/>
      </w:r>
      <w:r>
        <w:t>13</w:t>
      </w:r>
      <w:r>
        <w:fldChar w:fldCharType="end"/>
      </w:r>
    </w:p>
    <w:p>
      <w:pPr>
        <w:pStyle w:val="TOC8"/>
        <w:rPr>
          <w:sz w:val="24"/>
          <w:szCs w:val="24"/>
        </w:rPr>
      </w:pPr>
      <w:r>
        <w:rPr>
          <w:szCs w:val="24"/>
        </w:rPr>
        <w:t>17A</w:t>
      </w:r>
      <w:r>
        <w:rPr>
          <w:snapToGrid w:val="0"/>
          <w:szCs w:val="24"/>
        </w:rPr>
        <w:t>.</w:t>
      </w:r>
      <w:r>
        <w:rPr>
          <w:snapToGrid w:val="0"/>
          <w:szCs w:val="24"/>
        </w:rPr>
        <w:tab/>
        <w:t>Borrowing by the Minister</w:t>
      </w:r>
      <w:r>
        <w:tab/>
      </w:r>
      <w:r>
        <w:fldChar w:fldCharType="begin"/>
      </w:r>
      <w:r>
        <w:instrText xml:space="preserve"> PAGEREF _Toc158087143 \h </w:instrText>
      </w:r>
      <w:r>
        <w:fldChar w:fldCharType="separate"/>
      </w:r>
      <w:r>
        <w:t>14</w:t>
      </w:r>
      <w:r>
        <w:fldChar w:fldCharType="end"/>
      </w:r>
    </w:p>
    <w:p>
      <w:pPr>
        <w:pStyle w:val="TOC8"/>
        <w:rPr>
          <w:sz w:val="24"/>
          <w:szCs w:val="24"/>
        </w:rPr>
      </w:pPr>
      <w:r>
        <w:rPr>
          <w:szCs w:val="24"/>
        </w:rPr>
        <w:t>17B</w:t>
      </w:r>
      <w:r>
        <w:rPr>
          <w:snapToGrid w:val="0"/>
          <w:szCs w:val="24"/>
        </w:rPr>
        <w:t>.</w:t>
      </w:r>
      <w:r>
        <w:rPr>
          <w:snapToGrid w:val="0"/>
          <w:szCs w:val="24"/>
        </w:rPr>
        <w:tab/>
        <w:t>Moneys to be credited and charged to operating account</w:t>
      </w:r>
      <w:r>
        <w:tab/>
      </w:r>
      <w:r>
        <w:fldChar w:fldCharType="begin"/>
      </w:r>
      <w:r>
        <w:instrText xml:space="preserve"> PAGEREF _Toc158087144 \h </w:instrText>
      </w:r>
      <w:r>
        <w:fldChar w:fldCharType="separate"/>
      </w:r>
      <w:r>
        <w:t>14</w:t>
      </w:r>
      <w:r>
        <w:fldChar w:fldCharType="end"/>
      </w:r>
    </w:p>
    <w:p>
      <w:pPr>
        <w:pStyle w:val="TOC8"/>
        <w:rPr>
          <w:sz w:val="24"/>
          <w:szCs w:val="24"/>
        </w:rPr>
      </w:pPr>
      <w:r>
        <w:rPr>
          <w:szCs w:val="24"/>
        </w:rPr>
        <w:t>17C</w:t>
      </w:r>
      <w:r>
        <w:rPr>
          <w:snapToGrid w:val="0"/>
          <w:szCs w:val="24"/>
        </w:rPr>
        <w:t>.</w:t>
      </w:r>
      <w:r>
        <w:rPr>
          <w:snapToGrid w:val="0"/>
          <w:szCs w:val="24"/>
        </w:rPr>
        <w:tab/>
        <w:t>Guarantee by the Treasurer</w:t>
      </w:r>
      <w:r>
        <w:tab/>
      </w:r>
      <w:r>
        <w:fldChar w:fldCharType="begin"/>
      </w:r>
      <w:r>
        <w:instrText xml:space="preserve"> PAGEREF _Toc158087145 \h </w:instrText>
      </w:r>
      <w:r>
        <w:fldChar w:fldCharType="separate"/>
      </w:r>
      <w:r>
        <w:t>15</w:t>
      </w:r>
      <w:r>
        <w:fldChar w:fldCharType="end"/>
      </w:r>
    </w:p>
    <w:p>
      <w:pPr>
        <w:pStyle w:val="TOC8"/>
        <w:rPr>
          <w:sz w:val="24"/>
          <w:szCs w:val="24"/>
        </w:rPr>
      </w:pPr>
      <w:r>
        <w:rPr>
          <w:szCs w:val="24"/>
        </w:rPr>
        <w:t>17D</w:t>
      </w:r>
      <w:r>
        <w:rPr>
          <w:snapToGrid w:val="0"/>
          <w:szCs w:val="24"/>
        </w:rPr>
        <w:t>.</w:t>
      </w:r>
      <w:r>
        <w:rPr>
          <w:snapToGrid w:val="0"/>
          <w:szCs w:val="24"/>
        </w:rPr>
        <w:tab/>
        <w:t>Payments under guarantee</w:t>
      </w:r>
      <w:r>
        <w:tab/>
      </w:r>
      <w:r>
        <w:fldChar w:fldCharType="begin"/>
      </w:r>
      <w:r>
        <w:instrText xml:space="preserve"> PAGEREF _Toc158087146 \h </w:instrText>
      </w:r>
      <w:r>
        <w:fldChar w:fldCharType="separate"/>
      </w:r>
      <w:r>
        <w:t>15</w:t>
      </w:r>
      <w:r>
        <w:fldChar w:fldCharType="end"/>
      </w:r>
    </w:p>
    <w:p>
      <w:pPr>
        <w:pStyle w:val="TOC2"/>
        <w:tabs>
          <w:tab w:val="right" w:leader="dot" w:pos="7086"/>
        </w:tabs>
        <w:rPr>
          <w:b w:val="0"/>
          <w:sz w:val="24"/>
          <w:szCs w:val="24"/>
        </w:rPr>
      </w:pPr>
      <w:r>
        <w:rPr>
          <w:szCs w:val="30"/>
        </w:rPr>
        <w:t>Part 3 — The State Training Board</w:t>
      </w:r>
    </w:p>
    <w:p>
      <w:pPr>
        <w:pStyle w:val="TOC8"/>
        <w:rPr>
          <w:sz w:val="24"/>
          <w:szCs w:val="24"/>
        </w:rPr>
      </w:pPr>
      <w:r>
        <w:rPr>
          <w:szCs w:val="24"/>
        </w:rPr>
        <w:t>18</w:t>
      </w:r>
      <w:r>
        <w:rPr>
          <w:snapToGrid w:val="0"/>
          <w:szCs w:val="24"/>
        </w:rPr>
        <w:t>.</w:t>
      </w:r>
      <w:r>
        <w:rPr>
          <w:snapToGrid w:val="0"/>
          <w:szCs w:val="24"/>
        </w:rPr>
        <w:tab/>
        <w:t>Establishment of Board</w:t>
      </w:r>
      <w:r>
        <w:tab/>
      </w:r>
      <w:r>
        <w:fldChar w:fldCharType="begin"/>
      </w:r>
      <w:r>
        <w:instrText xml:space="preserve"> PAGEREF _Toc158087148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Constitution of the Board</w:t>
      </w:r>
      <w:r>
        <w:tab/>
      </w:r>
      <w:r>
        <w:fldChar w:fldCharType="begin"/>
      </w:r>
      <w:r>
        <w:instrText xml:space="preserve"> PAGEREF _Toc158087149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Further provisions relating to the Board</w:t>
      </w:r>
      <w:r>
        <w:tab/>
      </w:r>
      <w:r>
        <w:fldChar w:fldCharType="begin"/>
      </w:r>
      <w:r>
        <w:instrText xml:space="preserve"> PAGEREF _Toc158087150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Functions of the Board</w:t>
      </w:r>
      <w:r>
        <w:tab/>
      </w:r>
      <w:r>
        <w:fldChar w:fldCharType="begin"/>
      </w:r>
      <w:r>
        <w:instrText xml:space="preserve"> PAGEREF _Toc158087151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Powers of the Board</w:t>
      </w:r>
      <w:r>
        <w:tab/>
      </w:r>
      <w:r>
        <w:fldChar w:fldCharType="begin"/>
      </w:r>
      <w:r>
        <w:instrText xml:space="preserve"> PAGEREF _Toc158087152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Committees of the Board</w:t>
      </w:r>
      <w:r>
        <w:tab/>
      </w:r>
      <w:r>
        <w:fldChar w:fldCharType="begin"/>
      </w:r>
      <w:r>
        <w:instrText xml:space="preserve"> PAGEREF _Toc158087153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Annual report of Board</w:t>
      </w:r>
      <w:r>
        <w:tab/>
      </w:r>
      <w:r>
        <w:fldChar w:fldCharType="begin"/>
      </w:r>
      <w:r>
        <w:instrText xml:space="preserve"> PAGEREF _Toc158087154 \h </w:instrText>
      </w:r>
      <w:r>
        <w:fldChar w:fldCharType="separate"/>
      </w:r>
      <w:r>
        <w:t>19</w:t>
      </w:r>
      <w:r>
        <w:fldChar w:fldCharType="end"/>
      </w:r>
    </w:p>
    <w:p>
      <w:pPr>
        <w:pStyle w:val="TOC2"/>
        <w:tabs>
          <w:tab w:val="right" w:leader="dot" w:pos="7086"/>
        </w:tabs>
        <w:rPr>
          <w:b w:val="0"/>
          <w:sz w:val="24"/>
          <w:szCs w:val="24"/>
        </w:rPr>
      </w:pPr>
      <w:r>
        <w:rPr>
          <w:szCs w:val="30"/>
        </w:rPr>
        <w:t>Part 4 — The Training Accreditation Council</w:t>
      </w:r>
    </w:p>
    <w:p>
      <w:pPr>
        <w:pStyle w:val="TOC4"/>
        <w:tabs>
          <w:tab w:val="right" w:leader="dot" w:pos="7086"/>
        </w:tabs>
        <w:rPr>
          <w:b w:val="0"/>
          <w:sz w:val="24"/>
          <w:szCs w:val="24"/>
        </w:rPr>
      </w:pPr>
      <w:r>
        <w:rPr>
          <w:szCs w:val="26"/>
        </w:rPr>
        <w:t>Division 1</w:t>
      </w:r>
      <w:r>
        <w:rPr>
          <w:snapToGrid w:val="0"/>
          <w:szCs w:val="26"/>
        </w:rPr>
        <w:t> — </w:t>
      </w:r>
      <w:r>
        <w:rPr>
          <w:szCs w:val="26"/>
        </w:rPr>
        <w:t>Establishment and functions of Council</w:t>
      </w:r>
    </w:p>
    <w:p>
      <w:pPr>
        <w:pStyle w:val="TOC8"/>
        <w:rPr>
          <w:sz w:val="24"/>
          <w:szCs w:val="24"/>
        </w:rPr>
      </w:pPr>
      <w:r>
        <w:rPr>
          <w:szCs w:val="24"/>
        </w:rPr>
        <w:t>25</w:t>
      </w:r>
      <w:r>
        <w:rPr>
          <w:snapToGrid w:val="0"/>
          <w:szCs w:val="24"/>
        </w:rPr>
        <w:t>.</w:t>
      </w:r>
      <w:r>
        <w:rPr>
          <w:snapToGrid w:val="0"/>
          <w:szCs w:val="24"/>
        </w:rPr>
        <w:tab/>
        <w:t>Establishment of Council</w:t>
      </w:r>
      <w:r>
        <w:tab/>
      </w:r>
      <w:r>
        <w:fldChar w:fldCharType="begin"/>
      </w:r>
      <w:r>
        <w:instrText xml:space="preserve"> PAGEREF _Toc158087157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Further provisions relating to Council</w:t>
      </w:r>
      <w:r>
        <w:tab/>
      </w:r>
      <w:r>
        <w:fldChar w:fldCharType="begin"/>
      </w:r>
      <w:r>
        <w:instrText xml:space="preserve"> PAGEREF _Toc158087158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Functions of Council</w:t>
      </w:r>
      <w:r>
        <w:tab/>
      </w:r>
      <w:r>
        <w:fldChar w:fldCharType="begin"/>
      </w:r>
      <w:r>
        <w:instrText xml:space="preserve"> PAGEREF _Toc158087159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Delegation by the Council</w:t>
      </w:r>
      <w:r>
        <w:tab/>
      </w:r>
      <w:r>
        <w:fldChar w:fldCharType="begin"/>
      </w:r>
      <w:r>
        <w:instrText xml:space="preserve"> PAGEREF _Toc158087160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Committees of the Council</w:t>
      </w:r>
      <w:r>
        <w:tab/>
      </w:r>
      <w:r>
        <w:fldChar w:fldCharType="begin"/>
      </w:r>
      <w:r>
        <w:instrText xml:space="preserve"> PAGEREF _Toc158087161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Annual report of Council</w:t>
      </w:r>
      <w:r>
        <w:tab/>
      </w:r>
      <w:r>
        <w:fldChar w:fldCharType="begin"/>
      </w:r>
      <w:r>
        <w:instrText xml:space="preserve"> PAGEREF _Toc158087162 \h </w:instrText>
      </w:r>
      <w:r>
        <w:fldChar w:fldCharType="separate"/>
      </w:r>
      <w:r>
        <w:t>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Appeals against decisions of the Council</w:t>
      </w:r>
    </w:p>
    <w:p>
      <w:pPr>
        <w:pStyle w:val="TOC8"/>
        <w:rPr>
          <w:sz w:val="24"/>
          <w:szCs w:val="24"/>
        </w:rPr>
      </w:pPr>
      <w:r>
        <w:rPr>
          <w:szCs w:val="24"/>
        </w:rPr>
        <w:t>31</w:t>
      </w:r>
      <w:r>
        <w:rPr>
          <w:snapToGrid w:val="0"/>
          <w:szCs w:val="24"/>
        </w:rPr>
        <w:t>.</w:t>
      </w:r>
      <w:r>
        <w:rPr>
          <w:snapToGrid w:val="0"/>
          <w:szCs w:val="24"/>
        </w:rPr>
        <w:tab/>
        <w:t>Appeals against decisions of the Council</w:t>
      </w:r>
      <w:r>
        <w:tab/>
      </w:r>
      <w:r>
        <w:fldChar w:fldCharType="begin"/>
      </w:r>
      <w:r>
        <w:instrText xml:space="preserve"> PAGEREF _Toc158087164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Board to establish review panels</w:t>
      </w:r>
      <w:r>
        <w:tab/>
      </w:r>
      <w:r>
        <w:fldChar w:fldCharType="begin"/>
      </w:r>
      <w:r>
        <w:instrText xml:space="preserve"> PAGEREF _Toc158087165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Reference back to Council</w:t>
      </w:r>
      <w:r>
        <w:tab/>
      </w:r>
      <w:r>
        <w:fldChar w:fldCharType="begin"/>
      </w:r>
      <w:r>
        <w:instrText xml:space="preserve"> PAGEREF _Toc158087166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Determination of appeal</w:t>
      </w:r>
      <w:r>
        <w:tab/>
      </w:r>
      <w:r>
        <w:fldChar w:fldCharType="begin"/>
      </w:r>
      <w:r>
        <w:instrText xml:space="preserve"> PAGEREF _Toc158087167 \h </w:instrText>
      </w:r>
      <w:r>
        <w:fldChar w:fldCharType="separate"/>
      </w:r>
      <w:r>
        <w:t>24</w:t>
      </w:r>
      <w:r>
        <w:fldChar w:fldCharType="end"/>
      </w:r>
    </w:p>
    <w:p>
      <w:pPr>
        <w:pStyle w:val="TOC2"/>
        <w:tabs>
          <w:tab w:val="right" w:leader="dot" w:pos="7086"/>
        </w:tabs>
        <w:rPr>
          <w:b w:val="0"/>
          <w:sz w:val="24"/>
          <w:szCs w:val="24"/>
        </w:rPr>
      </w:pPr>
      <w:r>
        <w:rPr>
          <w:szCs w:val="30"/>
        </w:rPr>
        <w:t>Part 5 — Colleges</w:t>
      </w:r>
    </w:p>
    <w:p>
      <w:pPr>
        <w:pStyle w:val="TOC4"/>
        <w:tabs>
          <w:tab w:val="right" w:leader="dot" w:pos="7086"/>
        </w:tabs>
        <w:rPr>
          <w:b w:val="0"/>
          <w:sz w:val="24"/>
          <w:szCs w:val="24"/>
        </w:rPr>
      </w:pPr>
      <w:r>
        <w:rPr>
          <w:szCs w:val="26"/>
        </w:rPr>
        <w:t>Division 1</w:t>
      </w:r>
      <w:r>
        <w:rPr>
          <w:snapToGrid w:val="0"/>
          <w:szCs w:val="26"/>
        </w:rPr>
        <w:t> — </w:t>
      </w:r>
      <w:r>
        <w:rPr>
          <w:szCs w:val="26"/>
        </w:rPr>
        <w:t>Establishment and functions of colleges</w:t>
      </w:r>
    </w:p>
    <w:p>
      <w:pPr>
        <w:pStyle w:val="TOC8"/>
        <w:rPr>
          <w:sz w:val="24"/>
          <w:szCs w:val="24"/>
        </w:rPr>
      </w:pPr>
      <w:r>
        <w:rPr>
          <w:szCs w:val="24"/>
        </w:rPr>
        <w:t>35</w:t>
      </w:r>
      <w:r>
        <w:rPr>
          <w:snapToGrid w:val="0"/>
          <w:szCs w:val="24"/>
        </w:rPr>
        <w:t>.</w:t>
      </w:r>
      <w:r>
        <w:rPr>
          <w:snapToGrid w:val="0"/>
          <w:szCs w:val="24"/>
        </w:rPr>
        <w:tab/>
        <w:t>Establishment of colleges</w:t>
      </w:r>
      <w:r>
        <w:tab/>
      </w:r>
      <w:r>
        <w:fldChar w:fldCharType="begin"/>
      </w:r>
      <w:r>
        <w:instrText xml:space="preserve"> PAGEREF _Toc158087170 \h </w:instrText>
      </w:r>
      <w:r>
        <w:fldChar w:fldCharType="separate"/>
      </w:r>
      <w:r>
        <w:t>25</w:t>
      </w:r>
      <w:r>
        <w:fldChar w:fldCharType="end"/>
      </w:r>
    </w:p>
    <w:p>
      <w:pPr>
        <w:pStyle w:val="TOC8"/>
        <w:rPr>
          <w:sz w:val="24"/>
          <w:szCs w:val="24"/>
        </w:rPr>
      </w:pPr>
      <w:r>
        <w:rPr>
          <w:szCs w:val="24"/>
        </w:rPr>
        <w:t>36</w:t>
      </w:r>
      <w:r>
        <w:rPr>
          <w:snapToGrid w:val="0"/>
          <w:szCs w:val="24"/>
        </w:rPr>
        <w:t>.</w:t>
      </w:r>
      <w:r>
        <w:rPr>
          <w:snapToGrid w:val="0"/>
          <w:szCs w:val="24"/>
        </w:rPr>
        <w:tab/>
        <w:t>Constitution of colleges</w:t>
      </w:r>
      <w:r>
        <w:tab/>
      </w:r>
      <w:r>
        <w:fldChar w:fldCharType="begin"/>
      </w:r>
      <w:r>
        <w:instrText xml:space="preserve"> PAGEREF _Toc158087171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Functions of a college</w:t>
      </w:r>
      <w:r>
        <w:tab/>
      </w:r>
      <w:r>
        <w:fldChar w:fldCharType="begin"/>
      </w:r>
      <w:r>
        <w:instrText xml:space="preserve"> PAGEREF _Toc158087172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Vacation periods</w:t>
      </w:r>
      <w:r>
        <w:tab/>
      </w:r>
      <w:r>
        <w:fldChar w:fldCharType="begin"/>
      </w:r>
      <w:r>
        <w:instrText xml:space="preserve"> PAGEREF _Toc158087173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Governing councils</w:t>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_Toc158087175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Further provisions relating to governing councils</w:t>
      </w:r>
      <w:r>
        <w:tab/>
      </w:r>
      <w:r>
        <w:fldChar w:fldCharType="begin"/>
      </w:r>
      <w:r>
        <w:instrText xml:space="preserve"> PAGEREF _Toc158087176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Interim governing councils</w:t>
      </w:r>
      <w:r>
        <w:tab/>
      </w:r>
      <w:r>
        <w:fldChar w:fldCharType="begin"/>
      </w:r>
      <w:r>
        <w:instrText xml:space="preserve"> PAGEREF _Toc158087177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Functions of a governing council</w:t>
      </w:r>
      <w:r>
        <w:tab/>
      </w:r>
      <w:r>
        <w:fldChar w:fldCharType="begin"/>
      </w:r>
      <w:r>
        <w:instrText xml:space="preserve"> PAGEREF _Toc158087178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Powers of a governing council</w:t>
      </w:r>
      <w:r>
        <w:tab/>
      </w:r>
      <w:r>
        <w:fldChar w:fldCharType="begin"/>
      </w:r>
      <w:r>
        <w:instrText xml:space="preserve"> PAGEREF _Toc158087179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By</w:t>
      </w:r>
      <w:r>
        <w:rPr>
          <w:snapToGrid w:val="0"/>
          <w:szCs w:val="24"/>
        </w:rPr>
        <w:noBreakHyphen/>
        <w:t>laws</w:t>
      </w:r>
      <w:r>
        <w:tab/>
      </w:r>
      <w:r>
        <w:fldChar w:fldCharType="begin"/>
      </w:r>
      <w:r>
        <w:instrText xml:space="preserve"> PAGEREF _Toc158087180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Delegation by governing council</w:t>
      </w:r>
      <w:r>
        <w:tab/>
      </w:r>
      <w:r>
        <w:fldChar w:fldCharType="begin"/>
      </w:r>
      <w:r>
        <w:instrText xml:space="preserve"> PAGEREF _Toc158087181 \h </w:instrText>
      </w:r>
      <w:r>
        <w:fldChar w:fldCharType="separate"/>
      </w:r>
      <w:r>
        <w:t>31</w:t>
      </w:r>
      <w:r>
        <w:fldChar w:fldCharType="end"/>
      </w:r>
    </w:p>
    <w:p>
      <w:pPr>
        <w:pStyle w:val="TOC8"/>
        <w:rPr>
          <w:sz w:val="24"/>
          <w:szCs w:val="24"/>
        </w:rPr>
      </w:pPr>
      <w:r>
        <w:rPr>
          <w:szCs w:val="24"/>
        </w:rPr>
        <w:t>46</w:t>
      </w:r>
      <w:r>
        <w:rPr>
          <w:snapToGrid w:val="0"/>
          <w:szCs w:val="24"/>
        </w:rPr>
        <w:t>.</w:t>
      </w:r>
      <w:r>
        <w:rPr>
          <w:snapToGrid w:val="0"/>
          <w:szCs w:val="24"/>
        </w:rPr>
        <w:tab/>
        <w:t>Managing director</w:t>
      </w:r>
      <w:r>
        <w:tab/>
      </w:r>
      <w:r>
        <w:fldChar w:fldCharType="begin"/>
      </w:r>
      <w:r>
        <w:instrText xml:space="preserve"> PAGEREF _Toc158087182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College employees</w:t>
      </w:r>
      <w:r>
        <w:tab/>
      </w:r>
      <w:r>
        <w:fldChar w:fldCharType="begin"/>
      </w:r>
      <w:r>
        <w:instrText xml:space="preserve"> PAGEREF _Toc158087183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Financial provisions</w:t>
      </w:r>
    </w:p>
    <w:p>
      <w:pPr>
        <w:pStyle w:val="TOC8"/>
        <w:rPr>
          <w:sz w:val="24"/>
          <w:szCs w:val="24"/>
        </w:rPr>
      </w:pPr>
      <w:r>
        <w:rPr>
          <w:szCs w:val="24"/>
        </w:rPr>
        <w:t>48</w:t>
      </w:r>
      <w:r>
        <w:rPr>
          <w:snapToGrid w:val="0"/>
          <w:szCs w:val="24"/>
        </w:rPr>
        <w:t>.</w:t>
      </w:r>
      <w:r>
        <w:rPr>
          <w:snapToGrid w:val="0"/>
          <w:szCs w:val="24"/>
        </w:rPr>
        <w:tab/>
        <w:t>Funds of a college</w:t>
      </w:r>
      <w:r>
        <w:tab/>
      </w:r>
      <w:r>
        <w:fldChar w:fldCharType="begin"/>
      </w:r>
      <w:r>
        <w:instrText xml:space="preserve"> PAGEREF _Toc158087185 \h </w:instrText>
      </w:r>
      <w:r>
        <w:fldChar w:fldCharType="separate"/>
      </w:r>
      <w:r>
        <w:t>31</w:t>
      </w:r>
      <w:r>
        <w:fldChar w:fldCharType="end"/>
      </w:r>
    </w:p>
    <w:p>
      <w:pPr>
        <w:pStyle w:val="TOC8"/>
        <w:rPr>
          <w:sz w:val="24"/>
          <w:szCs w:val="24"/>
        </w:rPr>
      </w:pPr>
      <w:r>
        <w:rPr>
          <w:szCs w:val="24"/>
        </w:rPr>
        <w:t>49</w:t>
      </w:r>
      <w:r>
        <w:rPr>
          <w:snapToGrid w:val="0"/>
          <w:szCs w:val="24"/>
        </w:rPr>
        <w:t>.</w:t>
      </w:r>
      <w:r>
        <w:rPr>
          <w:snapToGrid w:val="0"/>
          <w:szCs w:val="24"/>
        </w:rPr>
        <w:tab/>
        <w:t>College Trust Accounts</w:t>
      </w:r>
      <w:r>
        <w:tab/>
      </w:r>
      <w:r>
        <w:fldChar w:fldCharType="begin"/>
      </w:r>
      <w:r>
        <w:instrText xml:space="preserve"> PAGEREF _Toc158087186 \h </w:instrText>
      </w:r>
      <w:r>
        <w:fldChar w:fldCharType="separate"/>
      </w:r>
      <w:r>
        <w:t>32</w:t>
      </w:r>
      <w:r>
        <w:fldChar w:fldCharType="end"/>
      </w:r>
    </w:p>
    <w:p>
      <w:pPr>
        <w:pStyle w:val="TOC8"/>
        <w:rPr>
          <w:sz w:val="24"/>
          <w:szCs w:val="24"/>
        </w:rPr>
      </w:pPr>
      <w:r>
        <w:rPr>
          <w:szCs w:val="24"/>
        </w:rPr>
        <w:t>50</w:t>
      </w:r>
      <w:r>
        <w:rPr>
          <w:snapToGrid w:val="0"/>
          <w:szCs w:val="24"/>
        </w:rPr>
        <w:t>.</w:t>
      </w:r>
      <w:r>
        <w:rPr>
          <w:snapToGrid w:val="0"/>
          <w:szCs w:val="24"/>
        </w:rPr>
        <w:tab/>
        <w:t>Use of funds</w:t>
      </w:r>
      <w:r>
        <w:tab/>
      </w:r>
      <w:r>
        <w:fldChar w:fldCharType="begin"/>
      </w:r>
      <w:r>
        <w:instrText xml:space="preserve"> PAGEREF _Toc158087187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Power to borrow</w:t>
      </w:r>
      <w:r>
        <w:tab/>
      </w:r>
      <w:r>
        <w:fldChar w:fldCharType="begin"/>
      </w:r>
      <w:r>
        <w:instrText xml:space="preserve"> PAGEREF _Toc158087188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Power to invest</w:t>
      </w:r>
      <w:r>
        <w:tab/>
      </w:r>
      <w:r>
        <w:fldChar w:fldCharType="begin"/>
      </w:r>
      <w:r>
        <w:instrText xml:space="preserve"> PAGEREF _Toc158087189 \h </w:instrText>
      </w:r>
      <w:r>
        <w:fldChar w:fldCharType="separate"/>
      </w:r>
      <w:r>
        <w:t>33</w:t>
      </w:r>
      <w:r>
        <w:fldChar w:fldCharType="end"/>
      </w:r>
    </w:p>
    <w:p>
      <w:pPr>
        <w:pStyle w:val="TOC8"/>
        <w:rPr>
          <w:sz w:val="24"/>
          <w:szCs w:val="24"/>
        </w:rPr>
      </w:pPr>
      <w:r>
        <w:rPr>
          <w:szCs w:val="24"/>
        </w:rPr>
        <w:t>53</w:t>
      </w:r>
      <w:r>
        <w:rPr>
          <w:snapToGrid w:val="0"/>
          <w:szCs w:val="24"/>
        </w:rPr>
        <w:t>.</w:t>
      </w:r>
      <w:r>
        <w:rPr>
          <w:snapToGrid w:val="0"/>
          <w:szCs w:val="24"/>
        </w:rPr>
        <w:tab/>
        <w:t>Minister may direct transfer of funds</w:t>
      </w:r>
      <w:r>
        <w:tab/>
      </w:r>
      <w:r>
        <w:fldChar w:fldCharType="begin"/>
      </w:r>
      <w:r>
        <w:instrText xml:space="preserve"> PAGEREF _Toc158087190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_Toc158087191 \h </w:instrText>
      </w:r>
      <w:r>
        <w:fldChar w:fldCharType="separate"/>
      </w:r>
      <w:r>
        <w:t>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Failure of governing council to operate efficiently etc.</w:t>
      </w:r>
    </w:p>
    <w:p>
      <w:pPr>
        <w:pStyle w:val="TOC8"/>
        <w:rPr>
          <w:sz w:val="24"/>
          <w:szCs w:val="24"/>
        </w:rPr>
      </w:pPr>
      <w:r>
        <w:rPr>
          <w:szCs w:val="24"/>
        </w:rPr>
        <w:t>55</w:t>
      </w:r>
      <w:r>
        <w:rPr>
          <w:snapToGrid w:val="0"/>
          <w:szCs w:val="24"/>
        </w:rPr>
        <w:t>.</w:t>
      </w:r>
      <w:r>
        <w:rPr>
          <w:snapToGrid w:val="0"/>
          <w:szCs w:val="24"/>
        </w:rPr>
        <w:tab/>
        <w:t>Minister may take action where governing council fails to operate efficiently etc.</w:t>
      </w:r>
      <w:r>
        <w:tab/>
      </w:r>
      <w:r>
        <w:fldChar w:fldCharType="begin"/>
      </w:r>
      <w:r>
        <w:instrText xml:space="preserve"> PAGEREF _Toc158087193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Order assuming functions or appointing administrator</w:t>
      </w:r>
      <w:r>
        <w:tab/>
      </w:r>
      <w:r>
        <w:fldChar w:fldCharType="begin"/>
      </w:r>
      <w:r>
        <w:instrText xml:space="preserve"> PAGEREF _Toc158087194 \h </w:instrText>
      </w:r>
      <w:r>
        <w:fldChar w:fldCharType="separate"/>
      </w:r>
      <w:r>
        <w:t>34</w:t>
      </w:r>
      <w:r>
        <w:fldChar w:fldCharType="end"/>
      </w:r>
    </w:p>
    <w:p>
      <w:pPr>
        <w:pStyle w:val="TOC2"/>
        <w:tabs>
          <w:tab w:val="right" w:leader="dot" w:pos="7086"/>
        </w:tabs>
        <w:rPr>
          <w:b w:val="0"/>
          <w:sz w:val="24"/>
          <w:szCs w:val="24"/>
        </w:rPr>
      </w:pPr>
      <w:r>
        <w:rPr>
          <w:szCs w:val="30"/>
        </w:rPr>
        <w:t>Part 6 — Other vocational education and training institutions</w:t>
      </w:r>
    </w:p>
    <w:p>
      <w:pPr>
        <w:pStyle w:val="TOC8"/>
        <w:rPr>
          <w:sz w:val="24"/>
          <w:szCs w:val="24"/>
        </w:rPr>
      </w:pPr>
      <w:r>
        <w:rPr>
          <w:szCs w:val="24"/>
        </w:rPr>
        <w:t>57</w:t>
      </w:r>
      <w:r>
        <w:rPr>
          <w:snapToGrid w:val="0"/>
          <w:szCs w:val="24"/>
        </w:rPr>
        <w:t>.</w:t>
      </w:r>
      <w:r>
        <w:rPr>
          <w:snapToGrid w:val="0"/>
          <w:szCs w:val="24"/>
        </w:rPr>
        <w:tab/>
        <w:t>Minister may establish other vocational education and training institutions</w:t>
      </w:r>
      <w:r>
        <w:tab/>
      </w:r>
      <w:r>
        <w:fldChar w:fldCharType="begin"/>
      </w:r>
      <w:r>
        <w:instrText xml:space="preserve"> PAGEREF _Toc158087196 \h </w:instrText>
      </w:r>
      <w:r>
        <w:fldChar w:fldCharType="separate"/>
      </w:r>
      <w:r>
        <w:t>36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w:t>
      </w:r>
      <w:r>
        <w:rPr>
          <w:snapToGrid w:val="0"/>
          <w:szCs w:val="24"/>
        </w:rPr>
        <w:tab/>
        <w:t>Remuneration of members of Board, Council etc.</w:t>
      </w:r>
      <w:r>
        <w:tab/>
      </w:r>
      <w:r>
        <w:fldChar w:fldCharType="begin"/>
      </w:r>
      <w:r>
        <w:instrText xml:space="preserve"> PAGEREF _Toc158087198 \h </w:instrText>
      </w:r>
      <w:r>
        <w:fldChar w:fldCharType="separate"/>
      </w:r>
      <w:r>
        <w:t>37</w:t>
      </w:r>
      <w:r>
        <w:fldChar w:fldCharType="end"/>
      </w:r>
    </w:p>
    <w:p>
      <w:pPr>
        <w:pStyle w:val="TOC8"/>
        <w:rPr>
          <w:sz w:val="24"/>
          <w:szCs w:val="24"/>
        </w:rPr>
      </w:pPr>
      <w:r>
        <w:rPr>
          <w:szCs w:val="24"/>
        </w:rPr>
        <w:t>64</w:t>
      </w:r>
      <w:r>
        <w:rPr>
          <w:snapToGrid w:val="0"/>
          <w:szCs w:val="24"/>
        </w:rPr>
        <w:t>.</w:t>
      </w:r>
      <w:r>
        <w:rPr>
          <w:snapToGrid w:val="0"/>
          <w:szCs w:val="24"/>
        </w:rPr>
        <w:tab/>
        <w:t>Protection from liability</w:t>
      </w:r>
      <w:r>
        <w:tab/>
      </w:r>
      <w:r>
        <w:fldChar w:fldCharType="begin"/>
      </w:r>
      <w:r>
        <w:instrText xml:space="preserve"> PAGEREF _Toc158087199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Falsely claiming accreditation or registration</w:t>
      </w:r>
      <w:r>
        <w:tab/>
      </w:r>
      <w:r>
        <w:fldChar w:fldCharType="begin"/>
      </w:r>
      <w:r>
        <w:instrText xml:space="preserve"> PAGEREF _Toc158087200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Further provision relating to closure of college</w:t>
      </w:r>
      <w:r>
        <w:tab/>
      </w:r>
      <w:r>
        <w:fldChar w:fldCharType="begin"/>
      </w:r>
      <w:r>
        <w:instrText xml:space="preserve"> PAGEREF _Toc158087201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Regulations</w:t>
      </w:r>
      <w:r>
        <w:tab/>
      </w:r>
      <w:r>
        <w:fldChar w:fldCharType="begin"/>
      </w:r>
      <w:r>
        <w:instrText xml:space="preserve"> PAGEREF _Toc158087202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Provisions relating to the Commonwealth Act</w:t>
      </w:r>
      <w:r>
        <w:tab/>
      </w:r>
      <w:r>
        <w:fldChar w:fldCharType="begin"/>
      </w:r>
      <w:r>
        <w:instrText xml:space="preserve"> PAGEREF _Toc158087203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Review of Act</w:t>
      </w:r>
      <w:r>
        <w:tab/>
      </w:r>
      <w:r>
        <w:fldChar w:fldCharType="begin"/>
      </w:r>
      <w:r>
        <w:instrText xml:space="preserve"> PAGEREF _Toc158087204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Repeals</w:t>
      </w:r>
      <w:r>
        <w:tab/>
      </w:r>
      <w:r>
        <w:fldChar w:fldCharType="begin"/>
      </w:r>
      <w:r>
        <w:instrText xml:space="preserve"> PAGEREF _Toc158087205 \h </w:instrText>
      </w:r>
      <w:r>
        <w:fldChar w:fldCharType="separate"/>
      </w:r>
      <w:r>
        <w:t>41</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Vacation of office</w:t>
      </w:r>
      <w:r>
        <w:tab/>
      </w:r>
      <w:r>
        <w:fldChar w:fldCharType="begin"/>
      </w:r>
      <w:r>
        <w:instrText xml:space="preserve"> PAGEREF _Toc158087207 \h </w:instrText>
      </w:r>
      <w:r>
        <w:fldChar w:fldCharType="separate"/>
      </w:r>
      <w:r>
        <w:t>42</w:t>
      </w:r>
      <w:r>
        <w:fldChar w:fldCharType="end"/>
      </w:r>
    </w:p>
    <w:p>
      <w:pPr>
        <w:pStyle w:val="TOC8"/>
        <w:rPr>
          <w:sz w:val="24"/>
          <w:szCs w:val="24"/>
        </w:rPr>
      </w:pPr>
      <w:r>
        <w:rPr>
          <w:snapToGrid w:val="0"/>
          <w:szCs w:val="22"/>
        </w:rPr>
        <w:t>2.</w:t>
      </w:r>
      <w:r>
        <w:rPr>
          <w:snapToGrid w:val="0"/>
          <w:szCs w:val="22"/>
        </w:rPr>
        <w:tab/>
        <w:t>Leave of absence</w:t>
      </w:r>
      <w:r>
        <w:tab/>
      </w:r>
      <w:r>
        <w:fldChar w:fldCharType="begin"/>
      </w:r>
      <w:r>
        <w:instrText xml:space="preserve"> PAGEREF _Toc158087208 \h </w:instrText>
      </w:r>
      <w:r>
        <w:fldChar w:fldCharType="separate"/>
      </w:r>
      <w:r>
        <w:t>42</w:t>
      </w:r>
      <w:r>
        <w:fldChar w:fldCharType="end"/>
      </w:r>
    </w:p>
    <w:p>
      <w:pPr>
        <w:pStyle w:val="TOC8"/>
        <w:rPr>
          <w:sz w:val="24"/>
          <w:szCs w:val="24"/>
        </w:rPr>
      </w:pPr>
      <w:r>
        <w:rPr>
          <w:snapToGrid w:val="0"/>
          <w:szCs w:val="22"/>
        </w:rPr>
        <w:t>3.</w:t>
      </w:r>
      <w:r>
        <w:rPr>
          <w:snapToGrid w:val="0"/>
          <w:szCs w:val="22"/>
        </w:rPr>
        <w:tab/>
        <w:t>Meetings</w:t>
      </w:r>
      <w:r>
        <w:tab/>
      </w:r>
      <w:r>
        <w:fldChar w:fldCharType="begin"/>
      </w:r>
      <w:r>
        <w:instrText xml:space="preserve"> PAGEREF _Toc158087209 \h </w:instrText>
      </w:r>
      <w:r>
        <w:fldChar w:fldCharType="separate"/>
      </w:r>
      <w:r>
        <w:t>42</w:t>
      </w:r>
      <w:r>
        <w:fldChar w:fldCharType="end"/>
      </w:r>
    </w:p>
    <w:p>
      <w:pPr>
        <w:pStyle w:val="TOC8"/>
        <w:rPr>
          <w:sz w:val="24"/>
          <w:szCs w:val="24"/>
        </w:rPr>
      </w:pPr>
      <w:r>
        <w:rPr>
          <w:snapToGrid w:val="0"/>
          <w:szCs w:val="22"/>
        </w:rPr>
        <w:t>4.</w:t>
      </w:r>
      <w:r>
        <w:rPr>
          <w:snapToGrid w:val="0"/>
          <w:szCs w:val="22"/>
        </w:rPr>
        <w:tab/>
        <w:t>Disclosure of interests</w:t>
      </w:r>
      <w:r>
        <w:tab/>
      </w:r>
      <w:r>
        <w:fldChar w:fldCharType="begin"/>
      </w:r>
      <w:r>
        <w:instrText xml:space="preserve"> PAGEREF _Toc158087210 \h </w:instrText>
      </w:r>
      <w:r>
        <w:fldChar w:fldCharType="separate"/>
      </w:r>
      <w:r>
        <w:t>43</w:t>
      </w:r>
      <w:r>
        <w:fldChar w:fldCharType="end"/>
      </w:r>
    </w:p>
    <w:p>
      <w:pPr>
        <w:pStyle w:val="TOC8"/>
        <w:rPr>
          <w:sz w:val="24"/>
          <w:szCs w:val="24"/>
        </w:rPr>
      </w:pPr>
      <w:r>
        <w:rPr>
          <w:snapToGrid w:val="0"/>
          <w:szCs w:val="22"/>
        </w:rPr>
        <w:t>5.</w:t>
      </w:r>
      <w:r>
        <w:rPr>
          <w:snapToGrid w:val="0"/>
          <w:szCs w:val="22"/>
        </w:rPr>
        <w:tab/>
        <w:t>Voting by interested members</w:t>
      </w:r>
      <w:r>
        <w:tab/>
      </w:r>
      <w:r>
        <w:fldChar w:fldCharType="begin"/>
      </w:r>
      <w:r>
        <w:instrText xml:space="preserve"> PAGEREF _Toc158087211 \h </w:instrText>
      </w:r>
      <w:r>
        <w:fldChar w:fldCharType="separate"/>
      </w:r>
      <w:r>
        <w:t>43</w:t>
      </w:r>
      <w:r>
        <w:fldChar w:fldCharType="end"/>
      </w:r>
    </w:p>
    <w:p>
      <w:pPr>
        <w:pStyle w:val="TOC8"/>
        <w:rPr>
          <w:sz w:val="24"/>
          <w:szCs w:val="24"/>
        </w:rPr>
      </w:pPr>
      <w:r>
        <w:rPr>
          <w:snapToGrid w:val="0"/>
          <w:szCs w:val="22"/>
        </w:rPr>
        <w:t>6.</w:t>
      </w:r>
      <w:r>
        <w:rPr>
          <w:snapToGrid w:val="0"/>
          <w:szCs w:val="22"/>
        </w:rPr>
        <w:tab/>
        <w:t>Clause 5 may be declared inapplicable</w:t>
      </w:r>
      <w:r>
        <w:tab/>
      </w:r>
      <w:r>
        <w:fldChar w:fldCharType="begin"/>
      </w:r>
      <w:r>
        <w:instrText xml:space="preserve"> PAGEREF _Toc158087212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_Toc158087214 \h </w:instrText>
      </w:r>
      <w:r>
        <w:fldChar w:fldCharType="separate"/>
      </w:r>
      <w:r>
        <w:t>45</w:t>
      </w:r>
      <w:r>
        <w:fldChar w:fldCharType="end"/>
      </w:r>
    </w:p>
    <w:p>
      <w:pPr>
        <w:pStyle w:val="TOC8"/>
        <w:rPr>
          <w:sz w:val="24"/>
        </w:rPr>
      </w:pPr>
      <w:r>
        <w:tab/>
        <w:t>Provisions that have not come into operation</w:t>
      </w:r>
      <w:r>
        <w:tab/>
      </w:r>
      <w:r>
        <w:fldChar w:fldCharType="begin"/>
      </w:r>
      <w:r>
        <w:instrText xml:space="preserve"> PAGEREF _Toc158087215 \h </w:instrText>
      </w:r>
      <w:r>
        <w:fldChar w:fldCharType="separate"/>
      </w:r>
      <w:r>
        <w:t>46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Vocational Education and Training Act 1996</w:t>
      </w:r>
    </w:p>
    <w:p>
      <w:pPr>
        <w:pStyle w:val="LongTitle"/>
        <w:spacing w:before="240"/>
        <w:rPr>
          <w:snapToGrid w:val="0"/>
        </w:rPr>
      </w:pPr>
      <w:r>
        <w:rPr>
          <w:snapToGrid w:val="0"/>
        </w:rPr>
        <w:t xml:space="preserve">An Act to establish a vocational education and training system for the State, to constitute the State Training Board of Western Australia and the Training Accreditation Council, to provide for the establishment of colleges and other vocational education and training institutions, to repeal —  </w:t>
      </w:r>
    </w:p>
    <w:p>
      <w:pPr>
        <w:pStyle w:val="LongTitle"/>
        <w:numPr>
          <w:ilvl w:val="0"/>
          <w:numId w:val="2"/>
        </w:numPr>
        <w:rPr>
          <w:snapToGrid w:val="0"/>
        </w:rPr>
      </w:pPr>
      <w:r>
        <w:rPr>
          <w:snapToGrid w:val="0"/>
        </w:rPr>
        <w:t xml:space="preserve">the </w:t>
      </w:r>
      <w:r>
        <w:rPr>
          <w:i/>
          <w:iCs/>
          <w:snapToGrid w:val="0"/>
        </w:rPr>
        <w:t>Colleges Act 1978</w:t>
      </w:r>
      <w:r>
        <w:rPr>
          <w:snapToGrid w:val="0"/>
        </w:rPr>
        <w:t xml:space="preserve">; </w:t>
      </w:r>
    </w:p>
    <w:p>
      <w:pPr>
        <w:pStyle w:val="LongTitle"/>
        <w:numPr>
          <w:ilvl w:val="0"/>
          <w:numId w:val="2"/>
        </w:numPr>
        <w:rPr>
          <w:snapToGrid w:val="0"/>
        </w:rPr>
      </w:pPr>
      <w:r>
        <w:rPr>
          <w:snapToGrid w:val="0"/>
        </w:rPr>
        <w:t xml:space="preserve">the </w:t>
      </w:r>
      <w:r>
        <w:rPr>
          <w:i/>
          <w:iCs/>
          <w:snapToGrid w:val="0"/>
        </w:rPr>
        <w:t>Industrial Training Act 1975</w:t>
      </w:r>
      <w:r>
        <w:rPr>
          <w:snapToGrid w:val="0"/>
        </w:rPr>
        <w:t>; and</w:t>
      </w:r>
    </w:p>
    <w:p>
      <w:pPr>
        <w:pStyle w:val="LongTitle"/>
        <w:numPr>
          <w:ilvl w:val="0"/>
          <w:numId w:val="2"/>
        </w:numPr>
        <w:rPr>
          <w:snapToGrid w:val="0"/>
        </w:rPr>
      </w:pPr>
      <w:r>
        <w:rPr>
          <w:snapToGrid w:val="0"/>
        </w:rPr>
        <w:t xml:space="preserve">the </w:t>
      </w:r>
      <w:r>
        <w:rPr>
          <w:i/>
          <w:iCs/>
          <w:snapToGrid w:val="0"/>
        </w:rPr>
        <w:t>State Employment and Skills Development Authority Act 1990</w:t>
      </w:r>
      <w:r>
        <w:rPr>
          <w:snapToGrid w:val="0"/>
        </w:rPr>
        <w:t>,</w:t>
      </w:r>
    </w:p>
    <w:p>
      <w:pPr>
        <w:pStyle w:val="LongTitle"/>
        <w:rPr>
          <w:snapToGrid w:val="0"/>
        </w:rPr>
      </w:pPr>
      <w:r>
        <w:rPr>
          <w:snapToGrid w:val="0"/>
        </w:rPr>
        <w:t>to consequentially amend certain other Acts, and for related purposes.</w:t>
      </w:r>
    </w:p>
    <w:p>
      <w:pPr>
        <w:pStyle w:val="Heading2"/>
      </w:pPr>
      <w:bookmarkStart w:id="2" w:name="_Toc156972319"/>
      <w:bookmarkStart w:id="3" w:name="_Toc158087122"/>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503077782"/>
      <w:bookmarkStart w:id="5" w:name="_Toc535632746"/>
      <w:bookmarkStart w:id="6" w:name="_Toc535633914"/>
      <w:bookmarkStart w:id="7" w:name="_Toc15804243"/>
      <w:bookmarkStart w:id="8" w:name="_Toc158087123"/>
      <w:r>
        <w:rPr>
          <w:rStyle w:val="CharSectno"/>
        </w:rPr>
        <w:t>1</w:t>
      </w:r>
      <w:r>
        <w:rPr>
          <w:snapToGrid w:val="0"/>
        </w:rPr>
        <w:t>.</w:t>
      </w:r>
      <w:r>
        <w:rPr>
          <w:snapToGrid w:val="0"/>
        </w:rPr>
        <w:tab/>
        <w:t>Short title</w:t>
      </w:r>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9" w:name="_Toc503077783"/>
      <w:bookmarkStart w:id="10" w:name="_Toc535632747"/>
      <w:bookmarkStart w:id="11" w:name="_Toc535633915"/>
      <w:bookmarkStart w:id="12" w:name="_Toc15804244"/>
      <w:bookmarkStart w:id="13" w:name="_Toc158087124"/>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4" w:name="_Toc503077784"/>
      <w:bookmarkStart w:id="15" w:name="_Toc535632748"/>
      <w:bookmarkStart w:id="16" w:name="_Toc535633916"/>
      <w:bookmarkStart w:id="17" w:name="_Toc15804245"/>
      <w:bookmarkStart w:id="18" w:name="_Toc158087125"/>
      <w:r>
        <w:rPr>
          <w:rStyle w:val="CharSectno"/>
        </w:rPr>
        <w:t>3</w:t>
      </w:r>
      <w:r>
        <w:rPr>
          <w:snapToGrid w:val="0"/>
        </w:rPr>
        <w:t>.</w:t>
      </w:r>
      <w:r>
        <w:rPr>
          <w:snapToGrid w:val="0"/>
        </w:rPr>
        <w:tab/>
        <w:t>Application to Crown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19" w:name="_Toc503077785"/>
      <w:bookmarkStart w:id="20" w:name="_Toc535632749"/>
      <w:bookmarkStart w:id="21" w:name="_Toc535633917"/>
      <w:bookmarkStart w:id="22" w:name="_Toc15804246"/>
      <w:bookmarkStart w:id="23" w:name="_Toc158087126"/>
      <w:r>
        <w:rPr>
          <w:rStyle w:val="CharSectno"/>
        </w:rPr>
        <w:t>4</w:t>
      </w:r>
      <w:r>
        <w:rPr>
          <w:snapToGrid w:val="0"/>
        </w:rPr>
        <w:t>.</w:t>
      </w:r>
      <w:r>
        <w:rPr>
          <w:snapToGrid w:val="0"/>
        </w:rPr>
        <w:tab/>
        <w:t>Objects</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 main objects of this Act are —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rPr>
          <w:snapToGrid w:val="0"/>
        </w:rPr>
      </w:pPr>
      <w:r>
        <w:rPr>
          <w:snapToGrid w:val="0"/>
        </w:rPr>
        <w:tab/>
        <w:t>(b)</w:t>
      </w:r>
      <w:r>
        <w:rPr>
          <w:snapToGrid w:val="0"/>
        </w:rPr>
        <w:tab/>
        <w:t>to provide for the recognition of vocational education and training, training providers, qualifications and skills;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 training; and</w:t>
      </w:r>
    </w:p>
    <w:p>
      <w:pPr>
        <w:pStyle w:val="Indenta"/>
        <w:rPr>
          <w:snapToGrid w:val="0"/>
        </w:rPr>
      </w:pPr>
      <w:r>
        <w:rPr>
          <w:snapToGrid w:val="0"/>
        </w:rPr>
        <w:tab/>
        <w:t>(f)</w:t>
      </w:r>
      <w:r>
        <w:rPr>
          <w:snapToGrid w:val="0"/>
        </w:rPr>
        <w:tab/>
        <w:t>to allow for the operation of an open and competitive training market in this State.</w:t>
      </w:r>
    </w:p>
    <w:p>
      <w:pPr>
        <w:pStyle w:val="Heading5"/>
        <w:rPr>
          <w:snapToGrid w:val="0"/>
        </w:rPr>
      </w:pPr>
      <w:bookmarkStart w:id="24" w:name="_Toc503077786"/>
      <w:bookmarkStart w:id="25" w:name="_Toc535632750"/>
      <w:bookmarkStart w:id="26" w:name="_Toc535633918"/>
      <w:bookmarkStart w:id="27" w:name="_Toc15804247"/>
      <w:bookmarkStart w:id="28" w:name="_Toc158087127"/>
      <w:r>
        <w:rPr>
          <w:rStyle w:val="CharSectno"/>
        </w:rPr>
        <w:t>5</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accredited</w:t>
      </w:r>
      <w:r>
        <w:t xml:space="preserve"> means accredited by the Council;</w:t>
      </w:r>
    </w:p>
    <w:p>
      <w:pPr>
        <w:pStyle w:val="Defstart"/>
      </w:pPr>
      <w:r>
        <w:rPr>
          <w:b/>
        </w:rPr>
        <w:tab/>
      </w:r>
      <w:r>
        <w:rPr>
          <w:rStyle w:val="CharDefText"/>
        </w:rPr>
        <w:t>Board</w:t>
      </w:r>
      <w:r>
        <w:t xml:space="preserve"> means the State Training Board established by section 18;</w:t>
      </w:r>
    </w:p>
    <w:p>
      <w:pPr>
        <w:pStyle w:val="Defstart"/>
      </w:pPr>
      <w:r>
        <w:rPr>
          <w:b/>
        </w:rPr>
        <w:tab/>
      </w:r>
      <w:r>
        <w:rPr>
          <w:rStyle w:val="CharDefText"/>
        </w:rPr>
        <w:t>chief executive</w:t>
      </w:r>
      <w:r>
        <w:t xml:space="preserve"> means the chief executive officer of the department;</w:t>
      </w:r>
    </w:p>
    <w:p>
      <w:pPr>
        <w:pStyle w:val="Defstart"/>
      </w:pPr>
      <w:r>
        <w:rPr>
          <w:b/>
        </w:rPr>
        <w:tab/>
      </w:r>
      <w:r>
        <w:rPr>
          <w:rStyle w:val="CharDefText"/>
        </w:rPr>
        <w:t>college</w:t>
      </w:r>
      <w:r>
        <w:t xml:space="preserve"> means a college established under section 35;</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course</w:t>
      </w:r>
      <w:r>
        <w:t xml:space="preserve"> means a sequence of vocational education and training and includes a part or component of a course;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rPr>
          <w:b/>
        </w:rPr>
        <w:tab/>
      </w:r>
      <w:r>
        <w:rPr>
          <w:rStyle w:val="CharDefText"/>
        </w:rPr>
        <w:t>public training provider</w:t>
      </w:r>
      <w:r>
        <w:t xml:space="preserve"> means a college or other vocational education and training institution;</w:t>
      </w:r>
    </w:p>
    <w:p>
      <w:pPr>
        <w:pStyle w:val="Defstart"/>
      </w:pPr>
      <w:r>
        <w:rPr>
          <w:b/>
        </w:rPr>
        <w:tab/>
      </w:r>
      <w:r>
        <w:rPr>
          <w:rStyle w:val="CharDefText"/>
        </w:rPr>
        <w:t>registered training provider</w:t>
      </w:r>
      <w:r>
        <w:t xml:space="preserve"> means a training provider registered by the Council;</w:t>
      </w:r>
    </w:p>
    <w:p>
      <w:pPr>
        <w:pStyle w:val="Defstart"/>
      </w:pPr>
      <w:r>
        <w:rPr>
          <w:b/>
        </w:rPr>
        <w:tab/>
      </w:r>
      <w:r>
        <w:rPr>
          <w:rStyle w:val="CharDefText"/>
        </w:rPr>
        <w:t>Resource Agreement</w:t>
      </w:r>
      <w:r>
        <w:t xml:space="preserve"> means an agreement between the Minister and a training provider relating to the vocational education and training to be provided by that training provider;</w:t>
      </w:r>
    </w:p>
    <w:p>
      <w:pPr>
        <w:pStyle w:val="Defstart"/>
      </w:pPr>
      <w:r>
        <w:rPr>
          <w:b/>
        </w:rPr>
        <w:tab/>
      </w:r>
      <w:r>
        <w:rPr>
          <w:rStyle w:val="CharDefText"/>
        </w:rPr>
        <w:t>skills training programme</w:t>
      </w:r>
      <w:r>
        <w:t xml:space="preserve"> means a programme of vocational education and training which may include recognition of skills or qualifications previously acquired;</w:t>
      </w:r>
    </w:p>
    <w:p>
      <w:pPr>
        <w:pStyle w:val="Defstart"/>
      </w:pPr>
      <w:r>
        <w:rPr>
          <w:b/>
        </w:rPr>
        <w:tab/>
      </w:r>
      <w:r>
        <w:rPr>
          <w:rStyle w:val="CharDefText"/>
        </w:rPr>
        <w:t>State Training Profile</w:t>
      </w:r>
      <w:r>
        <w:t xml:space="preserve"> means a comprehensive plan for the provision of vocational education and training in the State;</w:t>
      </w:r>
    </w:p>
    <w:p>
      <w:pPr>
        <w:pStyle w:val="Defstart"/>
      </w:pPr>
      <w:r>
        <w:rPr>
          <w:b/>
        </w:rPr>
        <w:tab/>
      </w:r>
      <w:r>
        <w:rPr>
          <w:rStyle w:val="CharDefText"/>
        </w:rPr>
        <w:t>State training system</w:t>
      </w:r>
      <w:r>
        <w:t xml:space="preserve"> means the vocational education and training system operating under this Act;</w:t>
      </w:r>
    </w:p>
    <w:p>
      <w:pPr>
        <w:pStyle w:val="Defstart"/>
      </w:pPr>
      <w:r>
        <w:rPr>
          <w:b/>
        </w:rPr>
        <w:tab/>
      </w:r>
      <w:r>
        <w:rPr>
          <w:rStyle w:val="CharDefText"/>
        </w:rPr>
        <w:t>training provider</w:t>
      </w:r>
      <w:r>
        <w:t xml:space="preserve"> means a person or entity who or which provides vocational education and training and includes a secondary school or university that provides a course, programme or service approved under section 6;</w:t>
      </w:r>
    </w:p>
    <w:p>
      <w:pPr>
        <w:pStyle w:val="Defstart"/>
      </w:pPr>
      <w:r>
        <w:rPr>
          <w:b/>
        </w:rPr>
        <w:tab/>
      </w:r>
      <w:r>
        <w:rPr>
          <w:rStyle w:val="CharDefText"/>
        </w:rPr>
        <w:t>training scheme</w:t>
      </w:r>
      <w:r>
        <w:t xml:space="preserve"> means a training scheme established or recognised under section 58;</w:t>
      </w:r>
    </w:p>
    <w:p>
      <w:pPr>
        <w:pStyle w:val="Defstart"/>
      </w:pPr>
      <w:r>
        <w:rPr>
          <w:b/>
        </w:rPr>
        <w:tab/>
      </w:r>
      <w:r>
        <w:rPr>
          <w:rStyle w:val="CharDefText"/>
        </w:rPr>
        <w:t>vocational education and training</w:t>
      </w:r>
      <w:r>
        <w:t xml:space="preserve"> means post</w:t>
      </w:r>
      <w:r>
        <w:noBreakHyphen/>
        <w:t>compulsory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secondary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Profile may be purchased by the State from either public or private training providers.</w:t>
      </w:r>
    </w:p>
    <w:p>
      <w:pPr>
        <w:pStyle w:val="Heading5"/>
        <w:rPr>
          <w:snapToGrid w:val="0"/>
        </w:rPr>
      </w:pPr>
      <w:bookmarkStart w:id="29" w:name="_Toc503077787"/>
      <w:bookmarkStart w:id="30" w:name="_Toc535632751"/>
      <w:bookmarkStart w:id="31" w:name="_Toc535633919"/>
      <w:bookmarkStart w:id="32" w:name="_Toc15804248"/>
      <w:bookmarkStart w:id="33" w:name="_Toc158087128"/>
      <w:r>
        <w:rPr>
          <w:rStyle w:val="CharSectno"/>
        </w:rPr>
        <w:t>6</w:t>
      </w:r>
      <w:r>
        <w:rPr>
          <w:snapToGrid w:val="0"/>
        </w:rPr>
        <w:t>.</w:t>
      </w:r>
      <w:r>
        <w:rPr>
          <w:snapToGrid w:val="0"/>
        </w:rPr>
        <w:tab/>
        <w:t>Vocational education and training provided by a secondary school or university</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 Minister may for the purposes of this Act, subject to subsection (2), approve a specified course, skills training programme or related service, or class of course, skills training programme or related service, provided by a specified secondary school or university; and any course, programme or service so approved is within the definition of “vocational education and training” in section 5(1).</w:t>
      </w:r>
    </w:p>
    <w:p>
      <w:pPr>
        <w:pStyle w:val="Subsection"/>
        <w:rPr>
          <w:snapToGrid w:val="0"/>
        </w:rPr>
      </w:pPr>
      <w:r>
        <w:rPr>
          <w:snapToGrid w:val="0"/>
        </w:rPr>
        <w:tab/>
        <w:t>(2)</w:t>
      </w:r>
      <w:r>
        <w:rPr>
          <w:snapToGrid w:val="0"/>
        </w:rPr>
        <w:tab/>
        <w:t xml:space="preserve">The power conferred by subsection (1) may only be exercised with the concurrence of the Minister to whom the administration of the </w:t>
      </w:r>
      <w:r>
        <w:rPr>
          <w:i/>
          <w:snapToGrid w:val="0"/>
        </w:rPr>
        <w:t>School Education Act 1999</w:t>
      </w:r>
      <w:r>
        <w:rPr>
          <w:snapToGrid w:val="0"/>
        </w:rPr>
        <w:t xml:space="preserve"> is for the time being committed by the Governor.</w:t>
      </w:r>
    </w:p>
    <w:p>
      <w:pPr>
        <w:pStyle w:val="Footnotesection"/>
      </w:pPr>
      <w:r>
        <w:tab/>
        <w:t>[Section 6 amended by No. 36 of 1999 s. 247.]</w:t>
      </w:r>
    </w:p>
    <w:p>
      <w:pPr>
        <w:pStyle w:val="Heading2"/>
      </w:pPr>
      <w:bookmarkStart w:id="34" w:name="_Toc156972326"/>
      <w:bookmarkStart w:id="35" w:name="_Toc158087129"/>
      <w:r>
        <w:rPr>
          <w:rStyle w:val="CharPartNo"/>
        </w:rPr>
        <w:t>Part 2</w:t>
      </w:r>
      <w:r>
        <w:t> — </w:t>
      </w:r>
      <w:r>
        <w:rPr>
          <w:rStyle w:val="CharPartText"/>
        </w:rPr>
        <w:t>Coordination of the State vocational education and training system</w:t>
      </w:r>
      <w:bookmarkEnd w:id="34"/>
      <w:bookmarkEnd w:id="35"/>
      <w:r>
        <w:rPr>
          <w:rStyle w:val="CharPartText"/>
        </w:rPr>
        <w:t xml:space="preserve"> </w:t>
      </w:r>
    </w:p>
    <w:p>
      <w:pPr>
        <w:pStyle w:val="Heading3"/>
        <w:rPr>
          <w:snapToGrid w:val="0"/>
        </w:rPr>
      </w:pPr>
      <w:bookmarkStart w:id="36" w:name="_Toc156972327"/>
      <w:bookmarkStart w:id="37" w:name="_Toc158087130"/>
      <w:r>
        <w:rPr>
          <w:rStyle w:val="CharDivNo"/>
        </w:rPr>
        <w:t>Division 1</w:t>
      </w:r>
      <w:r>
        <w:rPr>
          <w:snapToGrid w:val="0"/>
        </w:rPr>
        <w:t> — </w:t>
      </w:r>
      <w:r>
        <w:rPr>
          <w:rStyle w:val="CharDivText"/>
        </w:rPr>
        <w:t>The Minister</w:t>
      </w:r>
      <w:bookmarkEnd w:id="36"/>
      <w:bookmarkEnd w:id="37"/>
      <w:r>
        <w:rPr>
          <w:rStyle w:val="CharDivText"/>
        </w:rPr>
        <w:t xml:space="preserve"> </w:t>
      </w:r>
    </w:p>
    <w:p>
      <w:pPr>
        <w:pStyle w:val="Heading5"/>
        <w:rPr>
          <w:snapToGrid w:val="0"/>
        </w:rPr>
      </w:pPr>
      <w:bookmarkStart w:id="38" w:name="_Toc503077788"/>
      <w:bookmarkStart w:id="39" w:name="_Toc535632752"/>
      <w:bookmarkStart w:id="40" w:name="_Toc535633920"/>
      <w:bookmarkStart w:id="41" w:name="_Toc15804249"/>
      <w:bookmarkStart w:id="42" w:name="_Toc158087131"/>
      <w:r>
        <w:rPr>
          <w:rStyle w:val="CharSectno"/>
        </w:rPr>
        <w:t>7</w:t>
      </w:r>
      <w:r>
        <w:rPr>
          <w:snapToGrid w:val="0"/>
        </w:rPr>
        <w:t>.</w:t>
      </w:r>
      <w:r>
        <w:rPr>
          <w:snapToGrid w:val="0"/>
        </w:rPr>
        <w:tab/>
        <w:t>Minister a body corporate</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Minister is, for the purposes of this Act — </w:t>
      </w:r>
    </w:p>
    <w:p>
      <w:pPr>
        <w:pStyle w:val="Indenta"/>
        <w:rPr>
          <w:snapToGrid w:val="0"/>
        </w:rPr>
      </w:pPr>
      <w:r>
        <w:rPr>
          <w:snapToGrid w:val="0"/>
        </w:rPr>
        <w:tab/>
        <w:t>(a)</w:t>
      </w:r>
      <w:r>
        <w:rPr>
          <w:snapToGrid w:val="0"/>
        </w:rPr>
        <w:tab/>
        <w:t>a body corporate with a corporate name and a common seal; and</w:t>
      </w:r>
    </w:p>
    <w:p>
      <w:pPr>
        <w:pStyle w:val="Indenta"/>
        <w:rPr>
          <w:snapToGrid w:val="0"/>
        </w:rPr>
      </w:pPr>
      <w:r>
        <w:rPr>
          <w:snapToGrid w:val="0"/>
        </w:rPr>
        <w:tab/>
        <w:t>(b)</w:t>
      </w:r>
      <w:r>
        <w:rPr>
          <w:snapToGrid w:val="0"/>
        </w:rPr>
        <w:tab/>
        <w:t>capable of taking and defending proceedings in that corporate name.</w:t>
      </w:r>
    </w:p>
    <w:p>
      <w:pPr>
        <w:pStyle w:val="Subsection"/>
        <w:rPr>
          <w:snapToGrid w:val="0"/>
        </w:rPr>
      </w:pPr>
      <w:r>
        <w:rPr>
          <w:snapToGrid w:val="0"/>
        </w:rPr>
        <w:tab/>
        <w:t>(2)</w:t>
      </w:r>
      <w:r>
        <w:rPr>
          <w:snapToGrid w:val="0"/>
        </w:rPr>
        <w:tab/>
        <w:t>The corporate name of the Minister is the “Minister for Training”.</w:t>
      </w:r>
    </w:p>
    <w:p>
      <w:pPr>
        <w:pStyle w:val="Subsection"/>
        <w:rPr>
          <w:snapToGrid w:val="0"/>
        </w:rPr>
      </w:pPr>
      <w:r>
        <w:rPr>
          <w:snapToGrid w:val="0"/>
        </w:rPr>
        <w:tab/>
        <w:t>(3)</w:t>
      </w:r>
      <w:r>
        <w:rPr>
          <w:snapToGrid w:val="0"/>
        </w:rPr>
        <w:tab/>
        <w:t>All courts, judges and persons acting judicially are to take judicial notice of the common seal of the Minister affixed to any document and are to presume that it was duly affixed.</w:t>
      </w:r>
    </w:p>
    <w:p>
      <w:pPr>
        <w:pStyle w:val="Subsection"/>
        <w:rPr>
          <w:snapToGrid w:val="0"/>
        </w:rPr>
      </w:pPr>
      <w:r>
        <w:rPr>
          <w:snapToGrid w:val="0"/>
        </w:rPr>
        <w:tab/>
        <w:t>(4)</w:t>
      </w:r>
      <w:r>
        <w:rPr>
          <w:snapToGrid w:val="0"/>
        </w:rPr>
        <w:tab/>
        <w:t>The body corporate constituted under subsection (1)(a) may, by writing under its common seal, authorise the chief executive, either generally or in respect of a specified matter or specified matters to execute deeds or other instruments on its behalf.</w:t>
      </w:r>
    </w:p>
    <w:p>
      <w:pPr>
        <w:pStyle w:val="Subsection"/>
        <w:rPr>
          <w:snapToGrid w:val="0"/>
        </w:rPr>
      </w:pPr>
      <w:r>
        <w:rPr>
          <w:snapToGrid w:val="0"/>
        </w:rPr>
        <w:tab/>
        <w:t>(5)</w:t>
      </w:r>
      <w:r>
        <w:rPr>
          <w:snapToGrid w:val="0"/>
        </w:rPr>
        <w:tab/>
        <w:t>A deed or other instrument executed by the chief executive on behalf of the body corporate binds the body corporate and has the same effect as if it were under the common seal of the body corporate.</w:t>
      </w:r>
    </w:p>
    <w:p>
      <w:pPr>
        <w:pStyle w:val="Subsection"/>
        <w:rPr>
          <w:snapToGrid w:val="0"/>
        </w:rPr>
      </w:pPr>
      <w:r>
        <w:rPr>
          <w:snapToGrid w:val="0"/>
        </w:rPr>
        <w:tab/>
        <w:t>(6)</w:t>
      </w:r>
      <w:r>
        <w:rPr>
          <w:snapToGrid w:val="0"/>
        </w:rPr>
        <w:tab/>
        <w:t>Nothing in subsection (4) or (5) prevents the body corporate from making or discharging a contract under its common seal.</w:t>
      </w:r>
    </w:p>
    <w:p>
      <w:pPr>
        <w:pStyle w:val="Heading5"/>
        <w:rPr>
          <w:snapToGrid w:val="0"/>
        </w:rPr>
      </w:pPr>
      <w:bookmarkStart w:id="43" w:name="_Toc503077789"/>
      <w:bookmarkStart w:id="44" w:name="_Toc535632753"/>
      <w:bookmarkStart w:id="45" w:name="_Toc535633921"/>
      <w:bookmarkStart w:id="46" w:name="_Toc15804250"/>
      <w:bookmarkStart w:id="47" w:name="_Toc158087132"/>
      <w:r>
        <w:rPr>
          <w:rStyle w:val="CharSectno"/>
        </w:rPr>
        <w:t>8</w:t>
      </w:r>
      <w:r>
        <w:rPr>
          <w:snapToGrid w:val="0"/>
        </w:rPr>
        <w:t>.</w:t>
      </w:r>
      <w:r>
        <w:rPr>
          <w:snapToGrid w:val="0"/>
        </w:rPr>
        <w:tab/>
        <w:t>Functions of the Minister</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functions of the Minister are — </w:t>
      </w:r>
    </w:p>
    <w:p>
      <w:pPr>
        <w:pStyle w:val="Indenta"/>
        <w:rPr>
          <w:snapToGrid w:val="0"/>
        </w:rPr>
      </w:pPr>
      <w:r>
        <w:rPr>
          <w:snapToGrid w:val="0"/>
        </w:rPr>
        <w:tab/>
        <w:t>(a)</w:t>
      </w:r>
      <w:r>
        <w:rPr>
          <w:snapToGrid w:val="0"/>
        </w:rPr>
        <w:tab/>
        <w:t>to control, direct and coordinate the State training system;</w:t>
      </w:r>
    </w:p>
    <w:p>
      <w:pPr>
        <w:pStyle w:val="Indenta"/>
        <w:rPr>
          <w:snapToGrid w:val="0"/>
        </w:rPr>
      </w:pPr>
      <w:r>
        <w:rPr>
          <w:snapToGrid w:val="0"/>
        </w:rPr>
        <w:tab/>
        <w:t>(b)</w:t>
      </w:r>
      <w:r>
        <w:rPr>
          <w:snapToGrid w:val="0"/>
        </w:rPr>
        <w:tab/>
        <w:t>to approve State Training Profiles from time to time;</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 Act; and</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Heading5"/>
        <w:rPr>
          <w:snapToGrid w:val="0"/>
        </w:rPr>
      </w:pPr>
      <w:bookmarkStart w:id="48" w:name="_Toc503077790"/>
      <w:bookmarkStart w:id="49" w:name="_Toc535632754"/>
      <w:bookmarkStart w:id="50" w:name="_Toc535633922"/>
      <w:bookmarkStart w:id="51" w:name="_Toc15804251"/>
      <w:bookmarkStart w:id="52" w:name="_Toc158087133"/>
      <w:r>
        <w:rPr>
          <w:rStyle w:val="CharSectno"/>
        </w:rPr>
        <w:t>9</w:t>
      </w:r>
      <w:r>
        <w:rPr>
          <w:snapToGrid w:val="0"/>
        </w:rPr>
        <w:t>.</w:t>
      </w:r>
      <w:r>
        <w:rPr>
          <w:snapToGrid w:val="0"/>
        </w:rPr>
        <w:tab/>
        <w:t>Powers of the Minister</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 </w:t>
      </w:r>
    </w:p>
    <w:p>
      <w:pPr>
        <w:pStyle w:val="Indenta"/>
        <w:rPr>
          <w:snapToGrid w:val="0"/>
        </w:rPr>
      </w:pPr>
      <w:r>
        <w:rPr>
          <w:snapToGrid w:val="0"/>
        </w:rPr>
        <w:tab/>
        <w:t>(a)</w:t>
      </w:r>
      <w:r>
        <w:rPr>
          <w:snapToGrid w:val="0"/>
        </w:rPr>
        <w:tab/>
        <w:t>authorise and require public training providers to provide education and training in accordance with a State Training Profile;</w:t>
      </w:r>
    </w:p>
    <w:p>
      <w:pPr>
        <w:pStyle w:val="Indenta"/>
        <w:rPr>
          <w:snapToGrid w:val="0"/>
        </w:rPr>
      </w:pPr>
      <w:r>
        <w:rPr>
          <w:snapToGrid w:val="0"/>
        </w:rPr>
        <w:tab/>
        <w:t>(b)</w:t>
      </w:r>
      <w:r>
        <w:rPr>
          <w:snapToGrid w:val="0"/>
        </w:rPr>
        <w:tab/>
        <w:t>determine and coordinate arrangements for —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 xml:space="preserve">acquire, hold, improve, develop and dispose of land and other property of any kind, for and on account of the State, for the purposes of this Act; </w:t>
      </w:r>
    </w:p>
    <w:p>
      <w:pPr>
        <w:pStyle w:val="Indenta"/>
        <w:rPr>
          <w:snapToGrid w:val="0"/>
        </w:rPr>
      </w:pPr>
      <w:r>
        <w:rPr>
          <w:snapToGrid w:val="0"/>
        </w:rPr>
        <w:tab/>
        <w:t>(d)</w:t>
      </w:r>
      <w:r>
        <w:rPr>
          <w:snapToGrid w:val="0"/>
        </w:rPr>
        <w:tab/>
        <w:t>by public notice, invite expressions of interest in, and tenders for, and enter into, contracts to fund or partly fund the provision of courses, skills training programmes and services related to vocational education and training by training providers;</w:t>
      </w:r>
    </w:p>
    <w:p>
      <w:pPr>
        <w:pStyle w:val="Indenta"/>
        <w:rPr>
          <w:snapToGrid w:val="0"/>
        </w:rPr>
      </w:pPr>
      <w:r>
        <w:rPr>
          <w:snapToGrid w:val="0"/>
        </w:rPr>
        <w:tab/>
        <w:t>(e)</w:t>
      </w:r>
      <w:r>
        <w:rPr>
          <w:snapToGrid w:val="0"/>
        </w:rPr>
        <w:tab/>
        <w:t>provide funds, by way of grants and otherwise, and make other resources available to training providers and other persons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knowledge and services and the commercial exploitation of copyright and other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Heading5"/>
        <w:rPr>
          <w:snapToGrid w:val="0"/>
        </w:rPr>
      </w:pPr>
      <w:bookmarkStart w:id="53" w:name="_Toc503077791"/>
      <w:bookmarkStart w:id="54" w:name="_Toc535632755"/>
      <w:bookmarkStart w:id="55" w:name="_Toc535633923"/>
      <w:bookmarkStart w:id="56" w:name="_Toc15804252"/>
      <w:bookmarkStart w:id="57" w:name="_Toc158087134"/>
      <w:r>
        <w:rPr>
          <w:rStyle w:val="CharSectno"/>
        </w:rPr>
        <w:t>10</w:t>
      </w:r>
      <w:r>
        <w:rPr>
          <w:snapToGrid w:val="0"/>
        </w:rPr>
        <w:t>.</w:t>
      </w:r>
      <w:r>
        <w:rPr>
          <w:snapToGrid w:val="0"/>
        </w:rPr>
        <w:tab/>
        <w:t>Delegation by Minister</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 xml:space="preserve">the managing director of a college or a person in charge of any other vocational education and training institution, </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58" w:name="_Toc503077792"/>
      <w:bookmarkStart w:id="59" w:name="_Toc535632756"/>
      <w:bookmarkStart w:id="60" w:name="_Toc535633924"/>
      <w:bookmarkStart w:id="61" w:name="_Toc15804253"/>
      <w:bookmarkStart w:id="62" w:name="_Toc158087135"/>
      <w:r>
        <w:rPr>
          <w:rStyle w:val="CharSectno"/>
        </w:rPr>
        <w:t>11</w:t>
      </w:r>
      <w:r>
        <w:rPr>
          <w:snapToGrid w:val="0"/>
        </w:rPr>
        <w:t>.</w:t>
      </w:r>
      <w:r>
        <w:rPr>
          <w:snapToGrid w:val="0"/>
        </w:rPr>
        <w:tab/>
        <w:t>Minister may give directions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 </w:t>
      </w:r>
    </w:p>
    <w:p>
      <w:pPr>
        <w:pStyle w:val="Indenta"/>
        <w:rPr>
          <w:snapToGrid w:val="0"/>
        </w:rPr>
      </w:pPr>
      <w:r>
        <w:rPr>
          <w:snapToGrid w:val="0"/>
        </w:rPr>
        <w:tab/>
        <w:t>(a)</w:t>
      </w:r>
      <w:r>
        <w:rPr>
          <w:snapToGrid w:val="0"/>
        </w:rPr>
        <w:tab/>
        <w:t>the Board, with respect to the performance of its functions under Division 2 of Part 4; or</w:t>
      </w:r>
    </w:p>
    <w:p>
      <w:pPr>
        <w:pStyle w:val="Indenta"/>
        <w:rPr>
          <w:snapToGrid w:val="0"/>
        </w:rPr>
      </w:pPr>
      <w:r>
        <w:rPr>
          <w:snapToGrid w:val="0"/>
        </w:rPr>
        <w:tab/>
        <w:t>(b)</w:t>
      </w:r>
      <w:r>
        <w:rPr>
          <w:snapToGrid w:val="0"/>
        </w:rPr>
        <w:tab/>
        <w:t>the Council, with respect to the performance of its functions under section 27(1).</w:t>
      </w:r>
    </w:p>
    <w:p>
      <w:pPr>
        <w:pStyle w:val="Subsection"/>
        <w:keepNext/>
        <w:rPr>
          <w:snapToGrid w:val="0"/>
        </w:rPr>
      </w:pPr>
      <w:r>
        <w:rPr>
          <w:snapToGrid w:val="0"/>
        </w:rPr>
        <w:tab/>
        <w:t>(5)</w:t>
      </w:r>
      <w:r>
        <w:rPr>
          <w:snapToGrid w:val="0"/>
        </w:rPr>
        <w:tab/>
        <w:t>The text of any direction given to —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 17.]</w:t>
      </w:r>
    </w:p>
    <w:p>
      <w:pPr>
        <w:pStyle w:val="Heading5"/>
        <w:rPr>
          <w:snapToGrid w:val="0"/>
        </w:rPr>
      </w:pPr>
      <w:bookmarkStart w:id="63" w:name="_Toc503077793"/>
      <w:bookmarkStart w:id="64" w:name="_Toc535632757"/>
      <w:bookmarkStart w:id="65" w:name="_Toc535633925"/>
      <w:bookmarkStart w:id="66" w:name="_Toc15804254"/>
      <w:bookmarkStart w:id="67" w:name="_Toc158087136"/>
      <w:r>
        <w:rPr>
          <w:rStyle w:val="CharSectno"/>
        </w:rPr>
        <w:t>12</w:t>
      </w:r>
      <w:r>
        <w:rPr>
          <w:snapToGrid w:val="0"/>
        </w:rPr>
        <w:t>.</w:t>
      </w:r>
      <w:r>
        <w:rPr>
          <w:snapToGrid w:val="0"/>
        </w:rPr>
        <w:tab/>
        <w:t>Directions to secondary schools and universities providing vocational education and training</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Minister may give directions as to matters coming within subsection (2) to a secondary school or university that — </w:t>
      </w:r>
    </w:p>
    <w:p>
      <w:pPr>
        <w:pStyle w:val="Indenta"/>
        <w:rPr>
          <w:snapToGrid w:val="0"/>
        </w:rPr>
      </w:pPr>
      <w:r>
        <w:rPr>
          <w:snapToGrid w:val="0"/>
        </w:rPr>
        <w:tab/>
        <w:t>(a)</w:t>
      </w:r>
      <w:r>
        <w:rPr>
          <w:snapToGrid w:val="0"/>
        </w:rPr>
        <w:tab/>
        <w:t xml:space="preserve">provides vocational education and training by virtue of an approval under section 6; and </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Heading5"/>
        <w:rPr>
          <w:snapToGrid w:val="0"/>
        </w:rPr>
      </w:pPr>
      <w:bookmarkStart w:id="68" w:name="_Toc503077794"/>
      <w:bookmarkStart w:id="69" w:name="_Toc535632758"/>
      <w:bookmarkStart w:id="70" w:name="_Toc535633926"/>
      <w:bookmarkStart w:id="71" w:name="_Toc15804255"/>
      <w:bookmarkStart w:id="72" w:name="_Toc158087137"/>
      <w:r>
        <w:rPr>
          <w:rStyle w:val="CharSectno"/>
        </w:rPr>
        <w:t>13</w:t>
      </w:r>
      <w:r>
        <w:rPr>
          <w:snapToGrid w:val="0"/>
        </w:rPr>
        <w:t>.</w:t>
      </w:r>
      <w:r>
        <w:rPr>
          <w:snapToGrid w:val="0"/>
        </w:rPr>
        <w:tab/>
        <w:t>Minister may issue guidelines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 </w:t>
      </w:r>
    </w:p>
    <w:p>
      <w:pPr>
        <w:pStyle w:val="Indenta"/>
        <w:rPr>
          <w:snapToGrid w:val="0"/>
        </w:rPr>
      </w:pPr>
      <w:r>
        <w:rPr>
          <w:snapToGrid w:val="0"/>
        </w:rPr>
        <w:tab/>
        <w:t>(a)</w:t>
      </w:r>
      <w:r>
        <w:rPr>
          <w:snapToGrid w:val="0"/>
        </w:rPr>
        <w:tab/>
        <w:t>the Board, with respect to the performance of its functions under Division 2 of Part 4;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Heading5"/>
        <w:rPr>
          <w:snapToGrid w:val="0"/>
        </w:rPr>
      </w:pPr>
      <w:bookmarkStart w:id="73" w:name="_Toc503077795"/>
      <w:bookmarkStart w:id="74" w:name="_Toc535632759"/>
      <w:bookmarkStart w:id="75" w:name="_Toc535633927"/>
      <w:bookmarkStart w:id="76" w:name="_Toc15804256"/>
      <w:bookmarkStart w:id="77" w:name="_Toc158087138"/>
      <w:r>
        <w:rPr>
          <w:rStyle w:val="CharSectno"/>
        </w:rPr>
        <w:t>14</w:t>
      </w:r>
      <w:r>
        <w:rPr>
          <w:snapToGrid w:val="0"/>
        </w:rPr>
        <w:t>.</w:t>
      </w:r>
      <w:r>
        <w:rPr>
          <w:snapToGrid w:val="0"/>
        </w:rPr>
        <w:tab/>
        <w:t>Minister to have access to information</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This section applies to the Board, the Council and colleges. </w:t>
      </w:r>
    </w:p>
    <w:p>
      <w:pPr>
        <w:pStyle w:val="Subsection"/>
        <w:keepNext/>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rPr>
          <w:snapToGrid w:val="0"/>
        </w:rPr>
      </w:pPr>
      <w:bookmarkStart w:id="78" w:name="_Toc156972336"/>
      <w:bookmarkStart w:id="79" w:name="_Toc158087139"/>
      <w:r>
        <w:rPr>
          <w:rStyle w:val="CharDivNo"/>
        </w:rPr>
        <w:t>Division 2</w:t>
      </w:r>
      <w:r>
        <w:rPr>
          <w:snapToGrid w:val="0"/>
        </w:rPr>
        <w:t> — </w:t>
      </w:r>
      <w:r>
        <w:rPr>
          <w:rStyle w:val="CharDivText"/>
        </w:rPr>
        <w:t>Financial matters</w:t>
      </w:r>
      <w:bookmarkEnd w:id="78"/>
      <w:bookmarkEnd w:id="79"/>
      <w:r>
        <w:rPr>
          <w:rStyle w:val="CharDivText"/>
        </w:rPr>
        <w:t xml:space="preserve"> </w:t>
      </w:r>
    </w:p>
    <w:p>
      <w:pPr>
        <w:pStyle w:val="Heading5"/>
        <w:rPr>
          <w:snapToGrid w:val="0"/>
        </w:rPr>
      </w:pPr>
      <w:bookmarkStart w:id="80" w:name="_Toc503077796"/>
      <w:bookmarkStart w:id="81" w:name="_Toc535632760"/>
      <w:bookmarkStart w:id="82" w:name="_Toc535633928"/>
      <w:bookmarkStart w:id="83" w:name="_Toc15804257"/>
      <w:bookmarkStart w:id="84" w:name="_Toc158087140"/>
      <w:r>
        <w:rPr>
          <w:rStyle w:val="CharSectno"/>
        </w:rPr>
        <w:t>15</w:t>
      </w:r>
      <w:r>
        <w:rPr>
          <w:snapToGrid w:val="0"/>
        </w:rPr>
        <w:t>.</w:t>
      </w:r>
      <w:r>
        <w:rPr>
          <w:snapToGrid w:val="0"/>
        </w:rPr>
        <w:tab/>
        <w:t>Vocational Education and Training Trust</w:t>
      </w:r>
      <w:bookmarkEnd w:id="80"/>
      <w:bookmarkEnd w:id="81"/>
      <w:bookmarkEnd w:id="82"/>
      <w:bookmarkEnd w:id="83"/>
      <w:r>
        <w:t xml:space="preserve"> Account</w:t>
      </w:r>
      <w:bookmarkEnd w:id="84"/>
      <w:r>
        <w:rPr>
          <w:snapToGrid w:val="0"/>
        </w:rPr>
        <w:t xml:space="preserve"> </w:t>
      </w:r>
    </w:p>
    <w:p>
      <w:pPr>
        <w:pStyle w:val="Subsection"/>
      </w:pPr>
      <w:r>
        <w:tab/>
        <w:t>(1)</w:t>
      </w:r>
      <w:r>
        <w:tab/>
        <w:t xml:space="preserve">An agency special purpose account called the Vocational Education and Training Trust Account is established under section 16 of the </w:t>
      </w:r>
      <w:r>
        <w:rPr>
          <w:i/>
          <w:iCs/>
        </w:rPr>
        <w:t>Financial Management Act 2006</w:t>
      </w:r>
      <w:r>
        <w:t>, which is to be administered by the chief executive.</w:t>
      </w:r>
    </w:p>
    <w:p>
      <w:pPr>
        <w:pStyle w:val="Subsection"/>
      </w:pPr>
      <w:r>
        <w:tab/>
        <w:t>(2)</w:t>
      </w:r>
      <w:r>
        <w:tab/>
        <w:t>There is to be placed to the credit of the Vocational Education and Training Trust Account —</w:t>
      </w:r>
    </w:p>
    <w:p>
      <w:pPr>
        <w:pStyle w:val="Indenta"/>
      </w:pPr>
      <w:r>
        <w:tab/>
        <w:t>(a)</w:t>
      </w:r>
      <w:r>
        <w:tab/>
        <w:t>the funds generated by the performance of the Minister’s function under section 8(d);</w:t>
      </w:r>
    </w:p>
    <w:p>
      <w:pPr>
        <w:pStyle w:val="Indenta"/>
      </w:pPr>
      <w:r>
        <w:tab/>
        <w:t>(b)</w:t>
      </w:r>
      <w:r>
        <w:tab/>
        <w:t>any funds directed by the Minister under section 53 to be so credited; and</w:t>
      </w:r>
    </w:p>
    <w:p>
      <w:pPr>
        <w:pStyle w:val="Indenta"/>
      </w:pPr>
      <w:r>
        <w:tab/>
        <w:t>(c)</w:t>
      </w:r>
      <w:r>
        <w:tab/>
        <w:t>any interest earned on the funds standing to the credit of the Vocational Education and Training Trust Account.</w:t>
      </w:r>
    </w:p>
    <w:p>
      <w:pPr>
        <w:pStyle w:val="Subsection"/>
        <w:rPr>
          <w:snapToGrid w:val="0"/>
        </w:rPr>
      </w:pPr>
      <w:r>
        <w:rPr>
          <w:snapToGrid w:val="0"/>
        </w:rPr>
        <w:tab/>
        <w:t>(3)</w:t>
      </w:r>
      <w:r>
        <w:rPr>
          <w:snapToGrid w:val="0"/>
        </w:rPr>
        <w:tab/>
        <w:t>There is to be paid out of the Vocational Education and Training Trust</w:t>
      </w:r>
      <w:r>
        <w:t xml:space="preserve"> Account</w:t>
      </w:r>
      <w:r>
        <w:rPr>
          <w:snapToGrid w:val="0"/>
        </w:rPr>
        <w:t xml:space="preserve"> amounts necessary for the performance of the Minister’s functions under section 8.</w:t>
      </w:r>
    </w:p>
    <w:p>
      <w:pPr>
        <w:pStyle w:val="Footnotesection"/>
      </w:pPr>
      <w:r>
        <w:tab/>
        <w:t>[Section 15 amended by No. 24 of 2000 s. 45; No. 77 of 2006 s. 17.]</w:t>
      </w:r>
    </w:p>
    <w:p>
      <w:pPr>
        <w:pStyle w:val="Heading5"/>
        <w:rPr>
          <w:snapToGrid w:val="0"/>
        </w:rPr>
      </w:pPr>
      <w:bookmarkStart w:id="85" w:name="_Toc503077797"/>
      <w:bookmarkStart w:id="86" w:name="_Toc535632761"/>
      <w:bookmarkStart w:id="87" w:name="_Toc535633929"/>
      <w:bookmarkStart w:id="88" w:name="_Toc15804258"/>
      <w:bookmarkStart w:id="89" w:name="_Toc158087141"/>
      <w:r>
        <w:rPr>
          <w:rStyle w:val="CharSectno"/>
        </w:rPr>
        <w:t>16</w:t>
      </w:r>
      <w:r>
        <w:rPr>
          <w:snapToGrid w:val="0"/>
        </w:rPr>
        <w:t>.</w:t>
      </w:r>
      <w:r>
        <w:rPr>
          <w:snapToGrid w:val="0"/>
        </w:rPr>
        <w:tab/>
        <w:t xml:space="preserve">Application of </w:t>
      </w:r>
      <w:bookmarkEnd w:id="85"/>
      <w:bookmarkEnd w:id="86"/>
      <w:bookmarkEnd w:id="87"/>
      <w:bookmarkEnd w:id="88"/>
      <w:r>
        <w:rPr>
          <w:i/>
          <w:iCs/>
        </w:rPr>
        <w:t>Financial Management Act 2006</w:t>
      </w:r>
      <w:r>
        <w:t xml:space="preserve"> and </w:t>
      </w:r>
      <w:r>
        <w:rPr>
          <w:i/>
          <w:iCs/>
        </w:rPr>
        <w:t>Auditor General Act 2006</w:t>
      </w:r>
      <w:bookmarkEnd w:id="89"/>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relation to the Vocational Education and Training Trust</w:t>
      </w:r>
      <w:r>
        <w:t xml:space="preserve"> Account</w:t>
      </w:r>
      <w:r>
        <w:rPr>
          <w:snapToGrid w:val="0"/>
        </w:rPr>
        <w:t>.</w:t>
      </w:r>
    </w:p>
    <w:p>
      <w:pPr>
        <w:pStyle w:val="Subsection"/>
        <w:rPr>
          <w:snapToGrid w:val="0"/>
        </w:rPr>
      </w:pPr>
      <w:r>
        <w:rPr>
          <w:snapToGrid w:val="0"/>
        </w:rPr>
        <w:tab/>
        <w:t>(2)</w:t>
      </w:r>
      <w:r>
        <w:rPr>
          <w:snapToGrid w:val="0"/>
        </w:rPr>
        <w:tab/>
        <w:t>The administration of the Vocational Education and Training Trust</w:t>
      </w:r>
      <w:r>
        <w:t xml:space="preserve"> Account</w:t>
      </w:r>
      <w:r>
        <w:rPr>
          <w:snapToGrid w:val="0"/>
        </w:rPr>
        <w:t xml:space="preserve"> is for the purposes of</w:t>
      </w:r>
      <w:r>
        <w:t xml:space="preserve"> section 52 of the </w:t>
      </w:r>
      <w:r>
        <w:rPr>
          <w:i/>
          <w:iCs/>
        </w:rPr>
        <w:t>Financial Management Act 2006</w:t>
      </w:r>
      <w:r>
        <w:rPr>
          <w:snapToGrid w:val="0"/>
        </w:rPr>
        <w:t xml:space="preserve"> to be regarded as a service of the department.</w:t>
      </w:r>
    </w:p>
    <w:p>
      <w:pPr>
        <w:pStyle w:val="Subsection"/>
      </w:pPr>
      <w:bookmarkStart w:id="90" w:name="_Toc503077798"/>
      <w:bookmarkStart w:id="91" w:name="_Toc535632762"/>
      <w:bookmarkStart w:id="92" w:name="_Toc535633930"/>
      <w:bookmarkStart w:id="93" w:name="_Toc15804259"/>
      <w:r>
        <w:tab/>
        <w:t>(3)</w:t>
      </w:r>
      <w:r>
        <w:tab/>
        <w:t xml:space="preserve">Section 20 of the </w:t>
      </w:r>
      <w:r>
        <w:rPr>
          <w:i/>
          <w:iCs/>
        </w:rPr>
        <w:t>Financial Management Act 2006</w:t>
      </w:r>
      <w:r>
        <w:t xml:space="preserve"> does not apply to the Vocational Education and Training Trust Account.</w:t>
      </w:r>
    </w:p>
    <w:p>
      <w:pPr>
        <w:pStyle w:val="Footnotesection"/>
      </w:pPr>
      <w:r>
        <w:tab/>
        <w:t>[Section 16 amended by No. 77 of 2006 s. 17.]</w:t>
      </w:r>
    </w:p>
    <w:p>
      <w:pPr>
        <w:pStyle w:val="Heading5"/>
        <w:spacing w:before="120"/>
        <w:rPr>
          <w:snapToGrid w:val="0"/>
        </w:rPr>
      </w:pPr>
      <w:bookmarkStart w:id="94" w:name="_Toc158087142"/>
      <w:r>
        <w:rPr>
          <w:rStyle w:val="CharSectno"/>
        </w:rPr>
        <w:t>17</w:t>
      </w:r>
      <w:r>
        <w:rPr>
          <w:snapToGrid w:val="0"/>
        </w:rPr>
        <w:t>.</w:t>
      </w:r>
      <w:r>
        <w:rPr>
          <w:snapToGrid w:val="0"/>
        </w:rPr>
        <w:tab/>
        <w:t>Minister may lend money</w:t>
      </w:r>
      <w:bookmarkEnd w:id="90"/>
      <w:bookmarkEnd w:id="91"/>
      <w:bookmarkEnd w:id="92"/>
      <w:bookmarkEnd w:id="93"/>
      <w:bookmarkEnd w:id="94"/>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 xml:space="preserve">The terms and conditions of any such loan, including the interest to be paid —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95" w:name="_Toc503077799"/>
      <w:bookmarkStart w:id="96" w:name="_Toc535632763"/>
      <w:bookmarkStart w:id="97" w:name="_Toc535633931"/>
      <w:bookmarkStart w:id="98" w:name="_Toc15804260"/>
      <w:bookmarkStart w:id="99" w:name="_Toc158087143"/>
      <w:r>
        <w:rPr>
          <w:rStyle w:val="CharSectno"/>
        </w:rPr>
        <w:t>17A</w:t>
      </w:r>
      <w:r>
        <w:rPr>
          <w:snapToGrid w:val="0"/>
        </w:rPr>
        <w:t>.</w:t>
      </w:r>
      <w:r>
        <w:rPr>
          <w:snapToGrid w:val="0"/>
        </w:rPr>
        <w:tab/>
        <w:t>Borrowing by the Minister</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The Minister may borrow moneys for the purpose of lending under section 17 —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 xml:space="preserve">Any moneys borrowed by the Minister under subsection (1)(b) may be raised —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00" w:name="_Toc503077800"/>
      <w:bookmarkStart w:id="101" w:name="_Toc535632764"/>
      <w:bookmarkStart w:id="102" w:name="_Toc535633932"/>
      <w:bookmarkStart w:id="103" w:name="_Toc15804261"/>
      <w:bookmarkStart w:id="104" w:name="_Toc158087144"/>
      <w:r>
        <w:rPr>
          <w:rStyle w:val="CharSectno"/>
        </w:rPr>
        <w:t>17B</w:t>
      </w:r>
      <w:r>
        <w:rPr>
          <w:snapToGrid w:val="0"/>
        </w:rPr>
        <w:t>.</w:t>
      </w:r>
      <w:r>
        <w:rPr>
          <w:snapToGrid w:val="0"/>
        </w:rPr>
        <w:tab/>
        <w:t>Moneys to be credited and charged to operating account</w:t>
      </w:r>
      <w:bookmarkEnd w:id="100"/>
      <w:bookmarkEnd w:id="101"/>
      <w:bookmarkEnd w:id="102"/>
      <w:bookmarkEnd w:id="103"/>
      <w:bookmarkEnd w:id="104"/>
    </w:p>
    <w:p>
      <w:pPr>
        <w:pStyle w:val="Subsection"/>
        <w:rPr>
          <w:snapToGrid w:val="0"/>
        </w:rPr>
      </w:pPr>
      <w:r>
        <w:rPr>
          <w:snapToGrid w:val="0"/>
        </w:rPr>
        <w:tab/>
        <w:t>(1)</w:t>
      </w:r>
      <w:r>
        <w:rPr>
          <w:snapToGrid w:val="0"/>
        </w:rPr>
        <w:tab/>
        <w:t xml:space="preserve">The following moneys are to be credited to an operating account approved by the Treasurer — </w:t>
      </w:r>
    </w:p>
    <w:p>
      <w:pPr>
        <w:pStyle w:val="Indenta"/>
      </w:pPr>
      <w:r>
        <w:tab/>
        <w:t>(a)</w:t>
      </w:r>
      <w:r>
        <w:tab/>
        <w:t>repayments of moneys loaned under section 17; and</w:t>
      </w:r>
    </w:p>
    <w:p>
      <w:pPr>
        <w:pStyle w:val="Indenta"/>
      </w:pPr>
      <w:r>
        <w:tab/>
        <w:t>(b)</w:t>
      </w:r>
      <w:r>
        <w:tab/>
        <w:t>moneys borrowed under section 17A.</w:t>
      </w:r>
    </w:p>
    <w:p>
      <w:pPr>
        <w:pStyle w:val="Subsection"/>
        <w:rPr>
          <w:snapToGrid w:val="0"/>
        </w:rPr>
      </w:pPr>
      <w:r>
        <w:rPr>
          <w:snapToGrid w:val="0"/>
        </w:rPr>
        <w:tab/>
        <w:t>(2)</w:t>
      </w:r>
      <w:r>
        <w:rPr>
          <w:snapToGrid w:val="0"/>
        </w:rPr>
        <w:tab/>
        <w:t xml:space="preserve">The following moneys are to be charged to the operating account — </w:t>
      </w:r>
    </w:p>
    <w:p>
      <w:pPr>
        <w:pStyle w:val="Indenta"/>
      </w:pPr>
      <w:r>
        <w:tab/>
        <w:t>(a)</w:t>
      </w:r>
      <w:r>
        <w:tab/>
        <w:t>moneys loaned under section 17; and</w:t>
      </w:r>
    </w:p>
    <w:p>
      <w:pPr>
        <w:pStyle w:val="Indenta"/>
      </w:pPr>
      <w:r>
        <w:tab/>
        <w:t>(b)</w:t>
      </w:r>
      <w:r>
        <w:tab/>
        <w:t>repayments of moneys borrowed under section 17A.</w:t>
      </w:r>
    </w:p>
    <w:p>
      <w:pPr>
        <w:pStyle w:val="Subsection"/>
        <w:rPr>
          <w:snapToGrid w:val="0"/>
        </w:rPr>
      </w:pPr>
      <w:r>
        <w:rPr>
          <w:snapToGrid w:val="0"/>
        </w:rPr>
        <w:tab/>
        <w:t>(3)</w:t>
      </w:r>
      <w:r>
        <w:rPr>
          <w:snapToGrid w:val="0"/>
        </w:rPr>
        <w:tab/>
        <w:t xml:space="preserve">In this section — </w:t>
      </w:r>
    </w:p>
    <w:p>
      <w:pPr>
        <w:pStyle w:val="Defstart"/>
      </w:pPr>
      <w:r>
        <w:tab/>
      </w:r>
      <w:r>
        <w:rPr>
          <w:rStyle w:val="CharDefText"/>
        </w:rPr>
        <w:t>operating account</w:t>
      </w:r>
      <w:r>
        <w:t xml:space="preserve"> means</w:t>
      </w:r>
      <w:r>
        <w:rPr>
          <w:rFonts w:eastAsia="Arial Unicode MS"/>
        </w:rPr>
        <w:t xml:space="preserve"> an agency special purpose account established under section </w:t>
      </w:r>
      <w:r>
        <w:t xml:space="preserve">16 of the </w:t>
      </w:r>
      <w:r>
        <w:rPr>
          <w:i/>
          <w:iCs/>
        </w:rPr>
        <w:t>Financial Management Act 2006</w:t>
      </w:r>
      <w:r>
        <w:t xml:space="preserve">. </w:t>
      </w:r>
    </w:p>
    <w:p>
      <w:pPr>
        <w:pStyle w:val="Footnotesection"/>
      </w:pPr>
      <w:r>
        <w:tab/>
        <w:t>[Section 17B inserted by No. 27 of 1998 s. 7; amended by No. 77 of 2006 s. 17.]</w:t>
      </w:r>
    </w:p>
    <w:p>
      <w:pPr>
        <w:pStyle w:val="Heading5"/>
        <w:rPr>
          <w:snapToGrid w:val="0"/>
        </w:rPr>
      </w:pPr>
      <w:bookmarkStart w:id="105" w:name="_Toc503077801"/>
      <w:bookmarkStart w:id="106" w:name="_Toc535632765"/>
      <w:bookmarkStart w:id="107" w:name="_Toc535633933"/>
      <w:bookmarkStart w:id="108" w:name="_Toc15804262"/>
      <w:bookmarkStart w:id="109" w:name="_Toc158087145"/>
      <w:r>
        <w:rPr>
          <w:rStyle w:val="CharSectno"/>
        </w:rPr>
        <w:t>17C</w:t>
      </w:r>
      <w:r>
        <w:rPr>
          <w:snapToGrid w:val="0"/>
        </w:rPr>
        <w:t>.</w:t>
      </w:r>
      <w:r>
        <w:rPr>
          <w:snapToGrid w:val="0"/>
        </w:rPr>
        <w:tab/>
        <w:t>Guarantee by the Treasurer</w:t>
      </w:r>
      <w:bookmarkEnd w:id="105"/>
      <w:bookmarkEnd w:id="106"/>
      <w:bookmarkEnd w:id="107"/>
      <w:bookmarkEnd w:id="108"/>
      <w:bookmarkEnd w:id="109"/>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 xml:space="preserve">Before a guarantee is given —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10" w:name="_Toc503077802"/>
      <w:bookmarkStart w:id="111" w:name="_Toc535632766"/>
      <w:bookmarkStart w:id="112" w:name="_Toc535633934"/>
      <w:bookmarkStart w:id="113" w:name="_Toc15804263"/>
      <w:bookmarkStart w:id="114" w:name="_Toc158087146"/>
      <w:r>
        <w:rPr>
          <w:rStyle w:val="CharSectno"/>
        </w:rPr>
        <w:t>17D</w:t>
      </w:r>
      <w:r>
        <w:rPr>
          <w:snapToGrid w:val="0"/>
        </w:rPr>
        <w:t>.</w:t>
      </w:r>
      <w:r>
        <w:rPr>
          <w:snapToGrid w:val="0"/>
        </w:rPr>
        <w:tab/>
        <w:t>Payments under guarantee</w:t>
      </w:r>
      <w:bookmarkEnd w:id="110"/>
      <w:bookmarkEnd w:id="111"/>
      <w:bookmarkEnd w:id="112"/>
      <w:bookmarkEnd w:id="113"/>
      <w:bookmarkEnd w:id="114"/>
    </w:p>
    <w:p>
      <w:pPr>
        <w:pStyle w:val="Subsection"/>
        <w:rPr>
          <w:snapToGrid w:val="0"/>
        </w:rPr>
      </w:pPr>
      <w:r>
        <w:rPr>
          <w:snapToGrid w:val="0"/>
        </w:rPr>
        <w:tab/>
        <w:t>(1)</w:t>
      </w:r>
      <w:r>
        <w:rPr>
          <w:snapToGrid w:val="0"/>
        </w:rPr>
        <w:tab/>
        <w:t xml:space="preserve">The due payment of moneys under a guarantee given under section 17C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15" w:name="_Toc156972344"/>
      <w:bookmarkStart w:id="116" w:name="_Toc158087147"/>
      <w:r>
        <w:rPr>
          <w:rStyle w:val="CharPartNo"/>
        </w:rPr>
        <w:t>Part 3</w:t>
      </w:r>
      <w:r>
        <w:rPr>
          <w:rStyle w:val="CharDivNo"/>
        </w:rPr>
        <w:t> </w:t>
      </w:r>
      <w:r>
        <w:t>—</w:t>
      </w:r>
      <w:r>
        <w:rPr>
          <w:rStyle w:val="CharDivText"/>
        </w:rPr>
        <w:t> </w:t>
      </w:r>
      <w:r>
        <w:rPr>
          <w:rStyle w:val="CharPartText"/>
        </w:rPr>
        <w:t>The State Training Board</w:t>
      </w:r>
      <w:bookmarkEnd w:id="115"/>
      <w:bookmarkEnd w:id="116"/>
      <w:r>
        <w:rPr>
          <w:rStyle w:val="CharPartText"/>
        </w:rPr>
        <w:t xml:space="preserve"> </w:t>
      </w:r>
    </w:p>
    <w:p>
      <w:pPr>
        <w:pStyle w:val="Heading5"/>
        <w:rPr>
          <w:snapToGrid w:val="0"/>
        </w:rPr>
      </w:pPr>
      <w:bookmarkStart w:id="117" w:name="_Toc503077803"/>
      <w:bookmarkStart w:id="118" w:name="_Toc535632767"/>
      <w:bookmarkStart w:id="119" w:name="_Toc535633935"/>
      <w:bookmarkStart w:id="120" w:name="_Toc15804264"/>
      <w:bookmarkStart w:id="121" w:name="_Toc158087148"/>
      <w:r>
        <w:rPr>
          <w:rStyle w:val="CharSectno"/>
        </w:rPr>
        <w:t>18</w:t>
      </w:r>
      <w:r>
        <w:rPr>
          <w:snapToGrid w:val="0"/>
        </w:rPr>
        <w:t>.</w:t>
      </w:r>
      <w:r>
        <w:rPr>
          <w:snapToGrid w:val="0"/>
        </w:rPr>
        <w:tab/>
        <w:t>Establishment of Board</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22" w:name="_Toc503077804"/>
      <w:bookmarkStart w:id="123" w:name="_Toc535632768"/>
      <w:bookmarkStart w:id="124" w:name="_Toc535633936"/>
      <w:bookmarkStart w:id="125" w:name="_Toc15804265"/>
      <w:bookmarkStart w:id="126" w:name="_Toc158087149"/>
      <w:r>
        <w:rPr>
          <w:rStyle w:val="CharSectno"/>
        </w:rPr>
        <w:t>19</w:t>
      </w:r>
      <w:r>
        <w:rPr>
          <w:snapToGrid w:val="0"/>
        </w:rPr>
        <w:t>.</w:t>
      </w:r>
      <w:r>
        <w:rPr>
          <w:snapToGrid w:val="0"/>
        </w:rPr>
        <w:tab/>
        <w:t>Constitution of the Board</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Board is to consist of — </w:t>
      </w:r>
    </w:p>
    <w:p>
      <w:pPr>
        <w:pStyle w:val="Indenta"/>
        <w:rPr>
          <w:snapToGrid w:val="0"/>
        </w:rPr>
      </w:pPr>
      <w:r>
        <w:rPr>
          <w:snapToGrid w:val="0"/>
        </w:rPr>
        <w:tab/>
        <w:t>(a)</w:t>
      </w:r>
      <w:r>
        <w:rPr>
          <w:snapToGrid w:val="0"/>
        </w:rPr>
        <w:tab/>
        <w:t xml:space="preserve">7 persons appointed by the Minister, of whom one is to be appointed by the Minister to be the chairperson; and </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rPr>
          <w:snapToGrid w:val="0"/>
        </w:rPr>
      </w:pPr>
      <w:r>
        <w:rPr>
          <w:snapToGrid w:val="0"/>
        </w:rPr>
        <w:tab/>
        <w:t>(4)</w:t>
      </w:r>
      <w:r>
        <w:rPr>
          <w:snapToGrid w:val="0"/>
        </w:rPr>
        <w:tab/>
        <w:t>A member is to hold office —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Heading5"/>
        <w:rPr>
          <w:snapToGrid w:val="0"/>
        </w:rPr>
      </w:pPr>
      <w:bookmarkStart w:id="127" w:name="_Toc503077805"/>
      <w:bookmarkStart w:id="128" w:name="_Toc535632769"/>
      <w:bookmarkStart w:id="129" w:name="_Toc535633937"/>
      <w:bookmarkStart w:id="130" w:name="_Toc15804266"/>
      <w:bookmarkStart w:id="131" w:name="_Toc158087150"/>
      <w:r>
        <w:rPr>
          <w:rStyle w:val="CharSectno"/>
        </w:rPr>
        <w:t>20</w:t>
      </w:r>
      <w:r>
        <w:rPr>
          <w:snapToGrid w:val="0"/>
        </w:rPr>
        <w:t>.</w:t>
      </w:r>
      <w:r>
        <w:rPr>
          <w:snapToGrid w:val="0"/>
        </w:rPr>
        <w:tab/>
        <w:t>Further provisions relating to the Board</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32" w:name="_Toc503077806"/>
      <w:bookmarkStart w:id="133" w:name="_Toc535632770"/>
      <w:bookmarkStart w:id="134" w:name="_Toc535633938"/>
      <w:bookmarkStart w:id="135" w:name="_Toc15804267"/>
      <w:bookmarkStart w:id="136" w:name="_Toc158087151"/>
      <w:r>
        <w:rPr>
          <w:rStyle w:val="CharSectno"/>
        </w:rPr>
        <w:t>21</w:t>
      </w:r>
      <w:r>
        <w:rPr>
          <w:snapToGrid w:val="0"/>
        </w:rPr>
        <w:t>.</w:t>
      </w:r>
      <w:r>
        <w:rPr>
          <w:snapToGrid w:val="0"/>
        </w:rPr>
        <w:tab/>
        <w:t>Functions of the Board</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prepare a State Training Profile for the approval of the Minister as and when required by the Minister;</w:t>
      </w:r>
    </w:p>
    <w:p>
      <w:pPr>
        <w:pStyle w:val="Indenta"/>
        <w:rPr>
          <w:snapToGrid w:val="0"/>
        </w:rPr>
      </w:pPr>
      <w:r>
        <w:rPr>
          <w:snapToGrid w:val="0"/>
        </w:rPr>
        <w:tab/>
        <w:t>(b)</w:t>
      </w:r>
      <w:r>
        <w:rPr>
          <w:snapToGrid w:val="0"/>
        </w:rPr>
        <w:tab/>
        <w:t>to recognise various industry training advisory bodies as bodies from which the Board takes advice in relation to the preparation of a State Training Profile;</w:t>
      </w:r>
    </w:p>
    <w:p>
      <w:pPr>
        <w:pStyle w:val="Indenta"/>
        <w:rPr>
          <w:snapToGrid w:val="0"/>
        </w:rPr>
      </w:pPr>
      <w:r>
        <w:rPr>
          <w:snapToGrid w:val="0"/>
        </w:rPr>
        <w:tab/>
        <w:t>(c)</w:t>
      </w:r>
      <w:r>
        <w:rPr>
          <w:snapToGrid w:val="0"/>
        </w:rPr>
        <w:tab/>
        <w:t>to prepare, for consideration by the Minister — </w:t>
      </w:r>
    </w:p>
    <w:p>
      <w:pPr>
        <w:pStyle w:val="Indenti"/>
        <w:rPr>
          <w:snapToGrid w:val="0"/>
        </w:rPr>
      </w:pPr>
      <w:r>
        <w:rPr>
          <w:snapToGrid w:val="0"/>
        </w:rPr>
        <w:tab/>
        <w:t>(i)</w:t>
      </w:r>
      <w:r>
        <w:rPr>
          <w:snapToGrid w:val="0"/>
        </w:rPr>
        <w:tab/>
        <w:t>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i"/>
        <w:rPr>
          <w:snapToGrid w:val="0"/>
        </w:rPr>
      </w:pPr>
      <w:r>
        <w:rPr>
          <w:snapToGrid w:val="0"/>
        </w:rPr>
        <w:tab/>
        <w:t>(ii)</w:t>
      </w:r>
      <w:r>
        <w:rPr>
          <w:snapToGrid w:val="0"/>
        </w:rPr>
        <w:tab/>
        <w:t>policy relating to the accreditation of courses, skills training programmes and qualifications, the registration of training providers and the recognition of skills; and</w:t>
      </w:r>
    </w:p>
    <w:p>
      <w:pPr>
        <w:pStyle w:val="Indenti"/>
        <w:rPr>
          <w:snapToGrid w:val="0"/>
        </w:rPr>
      </w:pPr>
      <w:r>
        <w:rPr>
          <w:snapToGrid w:val="0"/>
        </w:rPr>
        <w:tab/>
        <w:t>(iii)</w:t>
      </w:r>
      <w:r>
        <w:rPr>
          <w:snapToGrid w:val="0"/>
        </w:rPr>
        <w:tab/>
        <w:t>policy relating to the prescribing of vocations for the purposes of training schemes;</w:t>
      </w:r>
    </w:p>
    <w:p>
      <w:pPr>
        <w:pStyle w:val="Indenta"/>
        <w:rPr>
          <w:snapToGrid w:val="0"/>
        </w:rPr>
      </w:pPr>
      <w:r>
        <w:rPr>
          <w:snapToGrid w:val="0"/>
        </w:rPr>
        <w:tab/>
        <w:t>(d)</w:t>
      </w:r>
      <w:r>
        <w:rPr>
          <w:snapToGrid w:val="0"/>
        </w:rPr>
        <w:tab/>
        <w:t>to perform the functions vested in it under Division 2 of Part 4 in relation to appeals against decisions made by the Council; and</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Heading5"/>
        <w:rPr>
          <w:snapToGrid w:val="0"/>
        </w:rPr>
      </w:pPr>
      <w:bookmarkStart w:id="137" w:name="_Toc503077807"/>
      <w:bookmarkStart w:id="138" w:name="_Toc535632771"/>
      <w:bookmarkStart w:id="139" w:name="_Toc535633939"/>
      <w:bookmarkStart w:id="140" w:name="_Toc15804268"/>
      <w:bookmarkStart w:id="141" w:name="_Toc158087152"/>
      <w:r>
        <w:rPr>
          <w:rStyle w:val="CharSectno"/>
        </w:rPr>
        <w:t>22</w:t>
      </w:r>
      <w:r>
        <w:rPr>
          <w:snapToGrid w:val="0"/>
        </w:rPr>
        <w:t>.</w:t>
      </w:r>
      <w:r>
        <w:rPr>
          <w:snapToGrid w:val="0"/>
        </w:rPr>
        <w:tab/>
        <w:t>Powers of the Board</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rPr>
          <w:snapToGrid w:val="0"/>
        </w:rPr>
      </w:pPr>
      <w:bookmarkStart w:id="142" w:name="_Toc503077808"/>
      <w:bookmarkStart w:id="143" w:name="_Toc535632772"/>
      <w:bookmarkStart w:id="144" w:name="_Toc535633940"/>
      <w:bookmarkStart w:id="145" w:name="_Toc15804269"/>
      <w:bookmarkStart w:id="146" w:name="_Toc158087153"/>
      <w:r>
        <w:rPr>
          <w:rStyle w:val="CharSectno"/>
        </w:rPr>
        <w:t>23</w:t>
      </w:r>
      <w:r>
        <w:rPr>
          <w:snapToGrid w:val="0"/>
        </w:rPr>
        <w:t>.</w:t>
      </w:r>
      <w:r>
        <w:rPr>
          <w:snapToGrid w:val="0"/>
        </w:rPr>
        <w:tab/>
        <w:t>Committees of the Board</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Board may establish committees consisting of, or including, persons who are not members of the Board, to assist it in the performance of its functions.</w:t>
      </w:r>
    </w:p>
    <w:p>
      <w:pPr>
        <w:pStyle w:val="Subsection"/>
        <w:rPr>
          <w:snapToGrid w:val="0"/>
        </w:rPr>
      </w:pPr>
      <w:r>
        <w:rPr>
          <w:snapToGrid w:val="0"/>
        </w:rPr>
        <w:tab/>
        <w:t>(2)</w:t>
      </w:r>
      <w:r>
        <w:rPr>
          <w:snapToGrid w:val="0"/>
        </w:rPr>
        <w:tab/>
        <w:t>Subject to the directions of the Board, a committee may determine its own procedures.</w:t>
      </w:r>
    </w:p>
    <w:p>
      <w:pPr>
        <w:pStyle w:val="Heading5"/>
        <w:rPr>
          <w:snapToGrid w:val="0"/>
        </w:rPr>
      </w:pPr>
      <w:bookmarkStart w:id="147" w:name="_Toc503077809"/>
      <w:bookmarkStart w:id="148" w:name="_Toc535632773"/>
      <w:bookmarkStart w:id="149" w:name="_Toc535633941"/>
      <w:bookmarkStart w:id="150" w:name="_Toc15804270"/>
      <w:bookmarkStart w:id="151" w:name="_Toc158087154"/>
      <w:r>
        <w:rPr>
          <w:rStyle w:val="CharSectno"/>
        </w:rPr>
        <w:t>24</w:t>
      </w:r>
      <w:r>
        <w:rPr>
          <w:snapToGrid w:val="0"/>
        </w:rPr>
        <w:t>.</w:t>
      </w:r>
      <w:r>
        <w:rPr>
          <w:snapToGrid w:val="0"/>
        </w:rPr>
        <w:tab/>
        <w:t>Annual report of Board</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152" w:name="_Toc156972352"/>
      <w:bookmarkStart w:id="153" w:name="_Toc158087155"/>
      <w:r>
        <w:rPr>
          <w:rStyle w:val="CharPartNo"/>
        </w:rPr>
        <w:t>Part 4</w:t>
      </w:r>
      <w:r>
        <w:t> — </w:t>
      </w:r>
      <w:r>
        <w:rPr>
          <w:rStyle w:val="CharPartText"/>
        </w:rPr>
        <w:t>The Training Accreditation Council</w:t>
      </w:r>
      <w:bookmarkEnd w:id="152"/>
      <w:bookmarkEnd w:id="153"/>
    </w:p>
    <w:p>
      <w:pPr>
        <w:pStyle w:val="Heading3"/>
        <w:rPr>
          <w:snapToGrid w:val="0"/>
        </w:rPr>
      </w:pPr>
      <w:bookmarkStart w:id="154" w:name="_Toc156972353"/>
      <w:bookmarkStart w:id="155" w:name="_Toc158087156"/>
      <w:r>
        <w:rPr>
          <w:rStyle w:val="CharDivNo"/>
        </w:rPr>
        <w:t>Division 1</w:t>
      </w:r>
      <w:r>
        <w:rPr>
          <w:snapToGrid w:val="0"/>
        </w:rPr>
        <w:t> — </w:t>
      </w:r>
      <w:r>
        <w:rPr>
          <w:rStyle w:val="CharDivText"/>
        </w:rPr>
        <w:t>Establishment and functions of Council</w:t>
      </w:r>
      <w:bookmarkEnd w:id="154"/>
      <w:bookmarkEnd w:id="155"/>
      <w:r>
        <w:rPr>
          <w:rStyle w:val="CharDivText"/>
        </w:rPr>
        <w:t xml:space="preserve"> </w:t>
      </w:r>
    </w:p>
    <w:p>
      <w:pPr>
        <w:pStyle w:val="Heading5"/>
        <w:rPr>
          <w:snapToGrid w:val="0"/>
        </w:rPr>
      </w:pPr>
      <w:bookmarkStart w:id="156" w:name="_Toc503077810"/>
      <w:bookmarkStart w:id="157" w:name="_Toc535632774"/>
      <w:bookmarkStart w:id="158" w:name="_Toc535633942"/>
      <w:bookmarkStart w:id="159" w:name="_Toc15804271"/>
      <w:bookmarkStart w:id="160" w:name="_Toc158087157"/>
      <w:r>
        <w:rPr>
          <w:rStyle w:val="CharSectno"/>
        </w:rPr>
        <w:t>25</w:t>
      </w:r>
      <w:r>
        <w:rPr>
          <w:snapToGrid w:val="0"/>
        </w:rPr>
        <w:t>.</w:t>
      </w:r>
      <w:r>
        <w:rPr>
          <w:snapToGrid w:val="0"/>
        </w:rPr>
        <w:tab/>
        <w:t>Establishment of Council</w:t>
      </w:r>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rPr>
          <w:snapToGrid w:val="0"/>
        </w:rPr>
      </w:pPr>
      <w:r>
        <w:rPr>
          <w:snapToGrid w:val="0"/>
        </w:rPr>
        <w:tab/>
        <w:t>(3)</w:t>
      </w:r>
      <w:r>
        <w:rPr>
          <w:snapToGrid w:val="0"/>
        </w:rPr>
        <w:tab/>
        <w:t>The members are to be appointed for their expertise, qualifications and experience in accreditation, curriculum, training provider registration or skills recognition.</w:t>
      </w:r>
    </w:p>
    <w:p>
      <w:pPr>
        <w:pStyle w:val="Heading5"/>
        <w:rPr>
          <w:snapToGrid w:val="0"/>
        </w:rPr>
      </w:pPr>
      <w:bookmarkStart w:id="161" w:name="_Toc503077811"/>
      <w:bookmarkStart w:id="162" w:name="_Toc535632775"/>
      <w:bookmarkStart w:id="163" w:name="_Toc535633943"/>
      <w:bookmarkStart w:id="164" w:name="_Toc15804272"/>
      <w:bookmarkStart w:id="165" w:name="_Toc158087158"/>
      <w:r>
        <w:rPr>
          <w:rStyle w:val="CharSectno"/>
        </w:rPr>
        <w:t>26</w:t>
      </w:r>
      <w:r>
        <w:rPr>
          <w:snapToGrid w:val="0"/>
        </w:rPr>
        <w:t>.</w:t>
      </w:r>
      <w:r>
        <w:rPr>
          <w:snapToGrid w:val="0"/>
        </w:rPr>
        <w:tab/>
        <w:t>Further provisions relating to Council</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Heading5"/>
        <w:rPr>
          <w:snapToGrid w:val="0"/>
        </w:rPr>
      </w:pPr>
      <w:bookmarkStart w:id="166" w:name="_Toc503077812"/>
      <w:bookmarkStart w:id="167" w:name="_Toc535632776"/>
      <w:bookmarkStart w:id="168" w:name="_Toc535633944"/>
      <w:bookmarkStart w:id="169" w:name="_Toc15804273"/>
      <w:bookmarkStart w:id="170" w:name="_Toc158087159"/>
      <w:r>
        <w:rPr>
          <w:rStyle w:val="CharSectno"/>
        </w:rPr>
        <w:t>27</w:t>
      </w:r>
      <w:r>
        <w:rPr>
          <w:snapToGrid w:val="0"/>
        </w:rPr>
        <w:t>.</w:t>
      </w:r>
      <w:r>
        <w:rPr>
          <w:snapToGrid w:val="0"/>
        </w:rPr>
        <w:tab/>
        <w:t>Functions of Council</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functions of the Council are to — </w:t>
      </w:r>
    </w:p>
    <w:p>
      <w:pPr>
        <w:pStyle w:val="Indenta"/>
        <w:rPr>
          <w:snapToGrid w:val="0"/>
        </w:rPr>
      </w:pPr>
      <w:r>
        <w:rPr>
          <w:snapToGrid w:val="0"/>
        </w:rPr>
        <w:tab/>
        <w:t>(a)</w:t>
      </w:r>
      <w:r>
        <w:rPr>
          <w:snapToGrid w:val="0"/>
        </w:rPr>
        <w:tab/>
        <w:t>register and de</w:t>
      </w:r>
      <w:r>
        <w:rPr>
          <w:snapToGrid w:val="0"/>
        </w:rPr>
        <w:noBreakHyphen/>
        <w:t>register training providers;</w:t>
      </w:r>
    </w:p>
    <w:p>
      <w:pPr>
        <w:pStyle w:val="Indenta"/>
        <w:rPr>
          <w:snapToGrid w:val="0"/>
        </w:rPr>
      </w:pPr>
      <w:r>
        <w:rPr>
          <w:snapToGrid w:val="0"/>
        </w:rPr>
        <w:tab/>
        <w:t>(b)</w:t>
      </w:r>
      <w:r>
        <w:rPr>
          <w:snapToGrid w:val="0"/>
        </w:rPr>
        <w:tab/>
        <w:t>accredit, and vary and cancel the accreditation of, courses and skills training programmes and the qualifications gained from such courses and skills training programmes;</w:t>
      </w:r>
    </w:p>
    <w:p>
      <w:pPr>
        <w:pStyle w:val="Indenta"/>
        <w:rPr>
          <w:snapToGrid w:val="0"/>
        </w:rPr>
      </w:pPr>
      <w:r>
        <w:rPr>
          <w:snapToGrid w:val="0"/>
        </w:rPr>
        <w:tab/>
        <w:t>(c)</w:t>
      </w:r>
      <w:r>
        <w:rPr>
          <w:snapToGrid w:val="0"/>
        </w:rPr>
        <w:tab/>
        <w:t>recognise skills and qualifications obtained by individuals in this State or elsewhere, in industry, the workplace or educational institutions;</w:t>
      </w:r>
    </w:p>
    <w:p>
      <w:pPr>
        <w:pStyle w:val="Indenta"/>
        <w:rPr>
          <w:snapToGrid w:val="0"/>
        </w:rPr>
      </w:pPr>
      <w:r>
        <w:rPr>
          <w:snapToGrid w:val="0"/>
        </w:rPr>
        <w:tab/>
        <w:t>(d)</w:t>
      </w:r>
      <w:r>
        <w:rPr>
          <w:snapToGrid w:val="0"/>
        </w:rPr>
        <w:tab/>
        <w:t>determine the minimum competency to be provided by accredited courses and skills training programmes;</w:t>
      </w:r>
    </w:p>
    <w:p>
      <w:pPr>
        <w:pStyle w:val="Indenta"/>
        <w:rPr>
          <w:snapToGrid w:val="0"/>
        </w:rPr>
      </w:pPr>
      <w:r>
        <w:rPr>
          <w:snapToGrid w:val="0"/>
        </w:rPr>
        <w:tab/>
        <w:t>(e)</w:t>
      </w:r>
      <w:r>
        <w:rPr>
          <w:snapToGrid w:val="0"/>
        </w:rPr>
        <w:tab/>
        <w:t>provide advice to the Board on matters relating to the functions specified in paragraphs (a), (b), (c) and (d); and</w:t>
      </w:r>
    </w:p>
    <w:p>
      <w:pPr>
        <w:pStyle w:val="Indenta"/>
        <w:rPr>
          <w:snapToGrid w:val="0"/>
        </w:rPr>
      </w:pPr>
      <w:r>
        <w:rPr>
          <w:snapToGrid w:val="0"/>
        </w:rPr>
        <w:tab/>
        <w:t>(f)</w:t>
      </w:r>
      <w:r>
        <w:rPr>
          <w:snapToGrid w:val="0"/>
        </w:rPr>
        <w:tab/>
        <w:t>recommend to the Minister the vocations it considers should be prescribed for the purposes of section 59 and advise the Minister on any conditions or requirements which should apply to those vocations.</w:t>
      </w:r>
    </w:p>
    <w:p>
      <w:pPr>
        <w:pStyle w:val="Subsection"/>
        <w:rPr>
          <w:snapToGrid w:val="0"/>
        </w:rPr>
      </w:pPr>
      <w:r>
        <w:rPr>
          <w:snapToGrid w:val="0"/>
        </w:rPr>
        <w:tab/>
        <w:t>(2)</w:t>
      </w:r>
      <w:r>
        <w:rPr>
          <w:snapToGrid w:val="0"/>
        </w:rPr>
        <w:tab/>
        <w:t>The functions of the Council under subsection (1)(a), (b), (c) and (d) may be performed on the application of a training provider or other person or on the initiative of the Council.</w:t>
      </w:r>
    </w:p>
    <w:p>
      <w:pPr>
        <w:pStyle w:val="Subsection"/>
        <w:rPr>
          <w:snapToGrid w:val="0"/>
        </w:rPr>
      </w:pPr>
      <w:r>
        <w:rPr>
          <w:snapToGrid w:val="0"/>
        </w:rPr>
        <w:tab/>
        <w:t>(3)</w:t>
      </w:r>
      <w:r>
        <w:rPr>
          <w:snapToGrid w:val="0"/>
        </w:rPr>
        <w:tab/>
        <w:t>A decision of the Council made in the performance of a function under subsection (1)(a), (b), (c) or (d) takes effect — </w:t>
      </w:r>
    </w:p>
    <w:p>
      <w:pPr>
        <w:pStyle w:val="Indenta"/>
        <w:rPr>
          <w:snapToGrid w:val="0"/>
        </w:rPr>
      </w:pPr>
      <w:r>
        <w:rPr>
          <w:snapToGrid w:val="0"/>
        </w:rPr>
        <w:tab/>
        <w:t>(a)</w:t>
      </w:r>
      <w:r>
        <w:rPr>
          <w:snapToGrid w:val="0"/>
        </w:rPr>
        <w:tab/>
        <w:t>where no appeal is lodged under section 31, when the time for lodging an appeal has passed;</w:t>
      </w:r>
    </w:p>
    <w:p>
      <w:pPr>
        <w:pStyle w:val="Indenta"/>
        <w:rPr>
          <w:snapToGrid w:val="0"/>
        </w:rPr>
      </w:pPr>
      <w:r>
        <w:rPr>
          <w:snapToGrid w:val="0"/>
        </w:rPr>
        <w:tab/>
        <w:t>(b)</w:t>
      </w:r>
      <w:r>
        <w:rPr>
          <w:snapToGrid w:val="0"/>
        </w:rPr>
        <w:tab/>
        <w:t>where an appeal is lodged under section 31, when that appeal is determined under section 34 or is withdrawn; or</w:t>
      </w:r>
    </w:p>
    <w:p>
      <w:pPr>
        <w:pStyle w:val="Indenta"/>
        <w:rPr>
          <w:snapToGrid w:val="0"/>
        </w:rPr>
      </w:pPr>
      <w:r>
        <w:rPr>
          <w:snapToGrid w:val="0"/>
        </w:rPr>
        <w:tab/>
        <w:t>(c)</w:t>
      </w:r>
      <w:r>
        <w:rPr>
          <w:snapToGrid w:val="0"/>
        </w:rPr>
        <w:tab/>
        <w:t>on such later day as may be specified by the Council.</w:t>
      </w:r>
    </w:p>
    <w:p>
      <w:pPr>
        <w:pStyle w:val="Heading5"/>
        <w:rPr>
          <w:snapToGrid w:val="0"/>
        </w:rPr>
      </w:pPr>
      <w:bookmarkStart w:id="171" w:name="_Toc503077813"/>
      <w:bookmarkStart w:id="172" w:name="_Toc535632777"/>
      <w:bookmarkStart w:id="173" w:name="_Toc535633945"/>
      <w:bookmarkStart w:id="174" w:name="_Toc15804274"/>
      <w:bookmarkStart w:id="175" w:name="_Toc158087160"/>
      <w:r>
        <w:rPr>
          <w:rStyle w:val="CharSectno"/>
        </w:rPr>
        <w:t>28</w:t>
      </w:r>
      <w:r>
        <w:rPr>
          <w:snapToGrid w:val="0"/>
        </w:rPr>
        <w:t>.</w:t>
      </w:r>
      <w:r>
        <w:rPr>
          <w:snapToGrid w:val="0"/>
        </w:rPr>
        <w:tab/>
        <w:t>Delegation by the Council</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Council may by resolution delegate to a person, either generally or as otherwise provided in the resolution, any of the Council’s functions under this Act other than this power of delegation.</w:t>
      </w:r>
    </w:p>
    <w:p>
      <w:pPr>
        <w:pStyle w:val="Heading5"/>
        <w:rPr>
          <w:snapToGrid w:val="0"/>
        </w:rPr>
      </w:pPr>
      <w:bookmarkStart w:id="176" w:name="_Toc503077814"/>
      <w:bookmarkStart w:id="177" w:name="_Toc535632778"/>
      <w:bookmarkStart w:id="178" w:name="_Toc535633946"/>
      <w:bookmarkStart w:id="179" w:name="_Toc15804275"/>
      <w:bookmarkStart w:id="180" w:name="_Toc158087161"/>
      <w:r>
        <w:rPr>
          <w:rStyle w:val="CharSectno"/>
        </w:rPr>
        <w:t>29</w:t>
      </w:r>
      <w:r>
        <w:rPr>
          <w:snapToGrid w:val="0"/>
        </w:rPr>
        <w:t>.</w:t>
      </w:r>
      <w:r>
        <w:rPr>
          <w:snapToGrid w:val="0"/>
        </w:rPr>
        <w:tab/>
        <w:t>Committees of the Council</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Council may establish committees, consisting of or including persons who are not members of the Council, to assist it in the performance of its functions.</w:t>
      </w:r>
    </w:p>
    <w:p>
      <w:pPr>
        <w:pStyle w:val="Subsection"/>
        <w:rPr>
          <w:snapToGrid w:val="0"/>
        </w:rPr>
      </w:pPr>
      <w:r>
        <w:rPr>
          <w:snapToGrid w:val="0"/>
        </w:rPr>
        <w:tab/>
        <w:t>(2)</w:t>
      </w:r>
      <w:r>
        <w:rPr>
          <w:snapToGrid w:val="0"/>
        </w:rPr>
        <w:tab/>
        <w:t>Subject to the directions of the Council, a committee may determine its own procedures.</w:t>
      </w:r>
    </w:p>
    <w:p>
      <w:pPr>
        <w:pStyle w:val="Heading5"/>
        <w:rPr>
          <w:snapToGrid w:val="0"/>
        </w:rPr>
      </w:pPr>
      <w:bookmarkStart w:id="181" w:name="_Toc503077815"/>
      <w:bookmarkStart w:id="182" w:name="_Toc535632779"/>
      <w:bookmarkStart w:id="183" w:name="_Toc535633947"/>
      <w:bookmarkStart w:id="184" w:name="_Toc15804276"/>
      <w:bookmarkStart w:id="185" w:name="_Toc158087162"/>
      <w:r>
        <w:rPr>
          <w:rStyle w:val="CharSectno"/>
        </w:rPr>
        <w:t>30</w:t>
      </w:r>
      <w:r>
        <w:rPr>
          <w:snapToGrid w:val="0"/>
        </w:rPr>
        <w:t>.</w:t>
      </w:r>
      <w:r>
        <w:rPr>
          <w:snapToGrid w:val="0"/>
        </w:rPr>
        <w:tab/>
        <w:t>Annual report of Council</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3"/>
        <w:rPr>
          <w:snapToGrid w:val="0"/>
        </w:rPr>
      </w:pPr>
      <w:bookmarkStart w:id="186" w:name="_Toc156972360"/>
      <w:bookmarkStart w:id="187" w:name="_Toc158087163"/>
      <w:r>
        <w:rPr>
          <w:rStyle w:val="CharDivNo"/>
        </w:rPr>
        <w:t>Division 2</w:t>
      </w:r>
      <w:r>
        <w:rPr>
          <w:snapToGrid w:val="0"/>
        </w:rPr>
        <w:t> — </w:t>
      </w:r>
      <w:r>
        <w:rPr>
          <w:rStyle w:val="CharDivText"/>
        </w:rPr>
        <w:t>Appeals against decisions of the Council</w:t>
      </w:r>
      <w:bookmarkEnd w:id="186"/>
      <w:bookmarkEnd w:id="187"/>
      <w:r>
        <w:rPr>
          <w:rStyle w:val="CharDivText"/>
        </w:rPr>
        <w:t xml:space="preserve"> </w:t>
      </w:r>
    </w:p>
    <w:p>
      <w:pPr>
        <w:pStyle w:val="Heading5"/>
        <w:rPr>
          <w:snapToGrid w:val="0"/>
        </w:rPr>
      </w:pPr>
      <w:bookmarkStart w:id="188" w:name="_Toc503077816"/>
      <w:bookmarkStart w:id="189" w:name="_Toc535632780"/>
      <w:bookmarkStart w:id="190" w:name="_Toc535633948"/>
      <w:bookmarkStart w:id="191" w:name="_Toc15804277"/>
      <w:bookmarkStart w:id="192" w:name="_Toc158087164"/>
      <w:r>
        <w:rPr>
          <w:rStyle w:val="CharSectno"/>
        </w:rPr>
        <w:t>31</w:t>
      </w:r>
      <w:r>
        <w:rPr>
          <w:snapToGrid w:val="0"/>
        </w:rPr>
        <w:t>.</w:t>
      </w:r>
      <w:r>
        <w:rPr>
          <w:snapToGrid w:val="0"/>
        </w:rPr>
        <w:tab/>
        <w:t>Appeals against decisions of the Council</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Council made in the performance of a function under section 27(1)(a), (b), (c) or (d) on the application of that person may in writing appeal to the Board against that decision. </w:t>
      </w:r>
    </w:p>
    <w:p>
      <w:pPr>
        <w:pStyle w:val="Subsection"/>
        <w:rPr>
          <w:snapToGrid w:val="0"/>
        </w:rPr>
      </w:pPr>
      <w:r>
        <w:rPr>
          <w:snapToGrid w:val="0"/>
        </w:rPr>
        <w:tab/>
        <w:t>(2)</w:t>
      </w:r>
      <w:r>
        <w:rPr>
          <w:snapToGrid w:val="0"/>
        </w:rPr>
        <w:tab/>
        <w:t>An appeal can only be brought on the ground that, in making the decision appealed against, the Council erred in its application of, or failed to apply criteria or procedures in, guidelines it was required to apply under section 13.</w:t>
      </w:r>
    </w:p>
    <w:p>
      <w:pPr>
        <w:pStyle w:val="Subsection"/>
        <w:rPr>
          <w:snapToGrid w:val="0"/>
        </w:rPr>
      </w:pPr>
      <w:r>
        <w:rPr>
          <w:snapToGrid w:val="0"/>
        </w:rPr>
        <w:tab/>
        <w:t>(3)</w:t>
      </w:r>
      <w:r>
        <w:rPr>
          <w:snapToGrid w:val="0"/>
        </w:rPr>
        <w:tab/>
        <w:t>An appeal against a decision must be brought within 21 days of the day on which the appellant was notified of the decision.</w:t>
      </w:r>
    </w:p>
    <w:p>
      <w:pPr>
        <w:pStyle w:val="Subsection"/>
        <w:rPr>
          <w:snapToGrid w:val="0"/>
        </w:rPr>
      </w:pPr>
      <w:r>
        <w:rPr>
          <w:snapToGrid w:val="0"/>
        </w:rPr>
        <w:tab/>
        <w:t>(4)</w:t>
      </w:r>
      <w:r>
        <w:rPr>
          <w:snapToGrid w:val="0"/>
        </w:rPr>
        <w:tab/>
        <w:t>The Board is to give the Council a copy of an appeal.</w:t>
      </w:r>
    </w:p>
    <w:p>
      <w:pPr>
        <w:pStyle w:val="Heading5"/>
        <w:rPr>
          <w:snapToGrid w:val="0"/>
        </w:rPr>
      </w:pPr>
      <w:bookmarkStart w:id="193" w:name="_Toc503077817"/>
      <w:bookmarkStart w:id="194" w:name="_Toc535632781"/>
      <w:bookmarkStart w:id="195" w:name="_Toc535633949"/>
      <w:bookmarkStart w:id="196" w:name="_Toc15804278"/>
      <w:bookmarkStart w:id="197" w:name="_Toc158087165"/>
      <w:r>
        <w:rPr>
          <w:rStyle w:val="CharSectno"/>
        </w:rPr>
        <w:t>32</w:t>
      </w:r>
      <w:r>
        <w:rPr>
          <w:snapToGrid w:val="0"/>
        </w:rPr>
        <w:t>.</w:t>
      </w:r>
      <w:r>
        <w:rPr>
          <w:snapToGrid w:val="0"/>
        </w:rPr>
        <w:tab/>
        <w:t>Board to establish review panels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To assist it in determining an appeal under section 31 the Board is to establish an independent review panel, of such number of persons as it considers appropriate, appointed for their expertise in the area of the subject matter of the appeal.</w:t>
      </w:r>
    </w:p>
    <w:p>
      <w:pPr>
        <w:pStyle w:val="Subsection"/>
        <w:rPr>
          <w:snapToGrid w:val="0"/>
        </w:rPr>
      </w:pPr>
      <w:r>
        <w:rPr>
          <w:snapToGrid w:val="0"/>
        </w:rPr>
        <w:tab/>
        <w:t>(2)</w:t>
      </w:r>
      <w:r>
        <w:rPr>
          <w:snapToGrid w:val="0"/>
        </w:rPr>
        <w:tab/>
        <w:t>A review panel is to consider the decision appealed against and submit to the Board, within the time the Board allows, a written recommendation on the issues raised by the appeal.</w:t>
      </w:r>
    </w:p>
    <w:p>
      <w:pPr>
        <w:pStyle w:val="Heading5"/>
        <w:rPr>
          <w:snapToGrid w:val="0"/>
        </w:rPr>
      </w:pPr>
      <w:bookmarkStart w:id="198" w:name="_Toc503077818"/>
      <w:bookmarkStart w:id="199" w:name="_Toc535632782"/>
      <w:bookmarkStart w:id="200" w:name="_Toc535633950"/>
      <w:bookmarkStart w:id="201" w:name="_Toc15804279"/>
      <w:bookmarkStart w:id="202" w:name="_Toc158087166"/>
      <w:r>
        <w:rPr>
          <w:rStyle w:val="CharSectno"/>
        </w:rPr>
        <w:t>33</w:t>
      </w:r>
      <w:r>
        <w:rPr>
          <w:snapToGrid w:val="0"/>
        </w:rPr>
        <w:t>.</w:t>
      </w:r>
      <w:r>
        <w:rPr>
          <w:snapToGrid w:val="0"/>
        </w:rPr>
        <w:tab/>
        <w:t>Reference back to Council</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If a review panel recommends that an appeal be allowed the Board is to refer the matter back to the Council for reconsideration and is to give the Council a copy of the panel’s recommendation.</w:t>
      </w:r>
    </w:p>
    <w:p>
      <w:pPr>
        <w:pStyle w:val="Subsection"/>
        <w:rPr>
          <w:snapToGrid w:val="0"/>
        </w:rPr>
      </w:pPr>
      <w:r>
        <w:rPr>
          <w:snapToGrid w:val="0"/>
        </w:rPr>
        <w:tab/>
        <w:t>(2)</w:t>
      </w:r>
      <w:r>
        <w:rPr>
          <w:snapToGrid w:val="0"/>
        </w:rPr>
        <w:tab/>
        <w:t>When a matter is referred back to it under subsection (1), the Council is to advise the Board, within the time that the Board allows, whether it considers its original decision should be confirmed or altered.</w:t>
      </w:r>
    </w:p>
    <w:p>
      <w:pPr>
        <w:pStyle w:val="Heading5"/>
        <w:rPr>
          <w:snapToGrid w:val="0"/>
        </w:rPr>
      </w:pPr>
      <w:bookmarkStart w:id="203" w:name="_Toc503077819"/>
      <w:bookmarkStart w:id="204" w:name="_Toc535632783"/>
      <w:bookmarkStart w:id="205" w:name="_Toc535633951"/>
      <w:bookmarkStart w:id="206" w:name="_Toc15804280"/>
      <w:bookmarkStart w:id="207" w:name="_Toc158087167"/>
      <w:r>
        <w:rPr>
          <w:rStyle w:val="CharSectno"/>
        </w:rPr>
        <w:t>34</w:t>
      </w:r>
      <w:r>
        <w:rPr>
          <w:snapToGrid w:val="0"/>
        </w:rPr>
        <w:t>.</w:t>
      </w:r>
      <w:r>
        <w:rPr>
          <w:snapToGrid w:val="0"/>
        </w:rPr>
        <w:tab/>
        <w:t>Determination of appeal</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If a review panel recommends that an appeal be allowed and the Council considers that its original decision should be altered, the Board is to advise the appellant that the appeal is allowed.</w:t>
      </w:r>
    </w:p>
    <w:p>
      <w:pPr>
        <w:pStyle w:val="Subsection"/>
        <w:rPr>
          <w:snapToGrid w:val="0"/>
        </w:rPr>
      </w:pPr>
      <w:r>
        <w:rPr>
          <w:snapToGrid w:val="0"/>
        </w:rPr>
        <w:tab/>
        <w:t>(2)</w:t>
      </w:r>
      <w:r>
        <w:rPr>
          <w:snapToGrid w:val="0"/>
        </w:rPr>
        <w:tab/>
        <w:t>If a review panel recommends that an appeal be allowed but the Council does not accept this recommendation and confirms its original decision the Board is to decide whether to — </w:t>
      </w:r>
    </w:p>
    <w:p>
      <w:pPr>
        <w:pStyle w:val="Indenta"/>
        <w:rPr>
          <w:snapToGrid w:val="0"/>
        </w:rPr>
      </w:pPr>
      <w:r>
        <w:rPr>
          <w:snapToGrid w:val="0"/>
        </w:rPr>
        <w:tab/>
        <w:t>(a)</w:t>
      </w:r>
      <w:r>
        <w:rPr>
          <w:snapToGrid w:val="0"/>
        </w:rPr>
        <w:tab/>
        <w:t>accept the recommendation of the review panel and allow the appeal; or</w:t>
      </w:r>
    </w:p>
    <w:p>
      <w:pPr>
        <w:pStyle w:val="Indenta"/>
        <w:rPr>
          <w:snapToGrid w:val="0"/>
        </w:rPr>
      </w:pPr>
      <w:r>
        <w:rPr>
          <w:snapToGrid w:val="0"/>
        </w:rPr>
        <w:tab/>
        <w:t>(b)</w:t>
      </w:r>
      <w:r>
        <w:rPr>
          <w:snapToGrid w:val="0"/>
        </w:rPr>
        <w:tab/>
        <w:t xml:space="preserve">accept the original decision of the Council and not allow the appeal. </w:t>
      </w:r>
    </w:p>
    <w:p>
      <w:pPr>
        <w:pStyle w:val="Subsection"/>
        <w:rPr>
          <w:snapToGrid w:val="0"/>
        </w:rPr>
      </w:pPr>
      <w:r>
        <w:rPr>
          <w:snapToGrid w:val="0"/>
        </w:rPr>
        <w:tab/>
        <w:t>(3)</w:t>
      </w:r>
      <w:r>
        <w:rPr>
          <w:snapToGrid w:val="0"/>
        </w:rPr>
        <w:tab/>
        <w:t>The Board is to give the appellant reasons in writing for its decision under subsection (2)(a) or (b).</w:t>
      </w:r>
    </w:p>
    <w:p>
      <w:pPr>
        <w:pStyle w:val="Subsection"/>
        <w:rPr>
          <w:snapToGrid w:val="0"/>
        </w:rPr>
      </w:pPr>
      <w:r>
        <w:rPr>
          <w:snapToGrid w:val="0"/>
        </w:rPr>
        <w:tab/>
        <w:t>(4)</w:t>
      </w:r>
      <w:r>
        <w:rPr>
          <w:snapToGrid w:val="0"/>
        </w:rPr>
        <w:tab/>
        <w:t>If a review panel recommends that an appeal not be allowed the Board is to advise the appellant that the appeal is not allowed and give the appellant a copy of the review panel’s recommendation.</w:t>
      </w:r>
    </w:p>
    <w:p>
      <w:pPr>
        <w:pStyle w:val="Subsection"/>
        <w:rPr>
          <w:snapToGrid w:val="0"/>
        </w:rPr>
      </w:pPr>
      <w:r>
        <w:rPr>
          <w:snapToGrid w:val="0"/>
        </w:rPr>
        <w:tab/>
        <w:t>(5)</w:t>
      </w:r>
      <w:r>
        <w:rPr>
          <w:snapToGrid w:val="0"/>
        </w:rPr>
        <w:tab/>
        <w:t>A decision on an appeal under this section is final.</w:t>
      </w:r>
    </w:p>
    <w:p>
      <w:pPr>
        <w:pStyle w:val="Heading2"/>
      </w:pPr>
      <w:bookmarkStart w:id="208" w:name="_Toc156972365"/>
      <w:bookmarkStart w:id="209" w:name="_Toc158087168"/>
      <w:r>
        <w:rPr>
          <w:rStyle w:val="CharPartNo"/>
        </w:rPr>
        <w:t>Part 5</w:t>
      </w:r>
      <w:r>
        <w:t> — </w:t>
      </w:r>
      <w:r>
        <w:rPr>
          <w:rStyle w:val="CharPartText"/>
        </w:rPr>
        <w:t>Colleges</w:t>
      </w:r>
      <w:bookmarkEnd w:id="208"/>
      <w:bookmarkEnd w:id="209"/>
      <w:r>
        <w:rPr>
          <w:rStyle w:val="CharPartText"/>
        </w:rPr>
        <w:t xml:space="preserve"> </w:t>
      </w:r>
    </w:p>
    <w:p>
      <w:pPr>
        <w:pStyle w:val="Heading3"/>
        <w:rPr>
          <w:snapToGrid w:val="0"/>
        </w:rPr>
      </w:pPr>
      <w:bookmarkStart w:id="210" w:name="_Toc156972366"/>
      <w:bookmarkStart w:id="211" w:name="_Toc158087169"/>
      <w:r>
        <w:rPr>
          <w:rStyle w:val="CharDivNo"/>
        </w:rPr>
        <w:t>Division 1</w:t>
      </w:r>
      <w:r>
        <w:rPr>
          <w:snapToGrid w:val="0"/>
        </w:rPr>
        <w:t> — </w:t>
      </w:r>
      <w:r>
        <w:rPr>
          <w:rStyle w:val="CharDivText"/>
        </w:rPr>
        <w:t>Establishment and functions of colleges</w:t>
      </w:r>
      <w:bookmarkEnd w:id="210"/>
      <w:bookmarkEnd w:id="211"/>
      <w:r>
        <w:rPr>
          <w:rStyle w:val="CharDivText"/>
        </w:rPr>
        <w:t xml:space="preserve"> </w:t>
      </w:r>
    </w:p>
    <w:p>
      <w:pPr>
        <w:pStyle w:val="Heading5"/>
        <w:rPr>
          <w:snapToGrid w:val="0"/>
        </w:rPr>
      </w:pPr>
      <w:bookmarkStart w:id="212" w:name="_Toc503077820"/>
      <w:bookmarkStart w:id="213" w:name="_Toc535632784"/>
      <w:bookmarkStart w:id="214" w:name="_Toc535633952"/>
      <w:bookmarkStart w:id="215" w:name="_Toc15804281"/>
      <w:bookmarkStart w:id="216" w:name="_Toc158087170"/>
      <w:r>
        <w:rPr>
          <w:rStyle w:val="CharSectno"/>
        </w:rPr>
        <w:t>35</w:t>
      </w:r>
      <w:r>
        <w:rPr>
          <w:snapToGrid w:val="0"/>
        </w:rPr>
        <w:t>.</w:t>
      </w:r>
      <w:r>
        <w:rPr>
          <w:snapToGrid w:val="0"/>
        </w:rPr>
        <w:tab/>
        <w:t>Establishment of colleges</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 xml:space="preserve">amalgamate a college or part of a college with another college or close a college; </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17" w:name="_Toc503077821"/>
      <w:bookmarkStart w:id="218" w:name="_Toc535632785"/>
      <w:bookmarkStart w:id="219" w:name="_Toc535633953"/>
      <w:bookmarkStart w:id="220" w:name="_Toc15804282"/>
      <w:bookmarkStart w:id="221" w:name="_Toc158087171"/>
      <w:r>
        <w:rPr>
          <w:rStyle w:val="CharSectno"/>
        </w:rPr>
        <w:t>36</w:t>
      </w:r>
      <w:r>
        <w:rPr>
          <w:snapToGrid w:val="0"/>
        </w:rPr>
        <w:t>.</w:t>
      </w:r>
      <w:r>
        <w:rPr>
          <w:snapToGrid w:val="0"/>
        </w:rPr>
        <w:tab/>
        <w:t>Constitution of colleges</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22" w:name="_Toc503077822"/>
      <w:bookmarkStart w:id="223" w:name="_Toc535632786"/>
      <w:bookmarkStart w:id="224" w:name="_Toc535633954"/>
      <w:bookmarkStart w:id="225" w:name="_Toc15804283"/>
      <w:bookmarkStart w:id="226" w:name="_Toc158087172"/>
      <w:r>
        <w:rPr>
          <w:rStyle w:val="CharSectno"/>
        </w:rPr>
        <w:t>37</w:t>
      </w:r>
      <w:r>
        <w:rPr>
          <w:snapToGrid w:val="0"/>
        </w:rPr>
        <w:t>.</w:t>
      </w:r>
      <w:r>
        <w:rPr>
          <w:snapToGrid w:val="0"/>
        </w:rPr>
        <w:tab/>
        <w:t>Functions of a college</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functions of a college are — </w:t>
      </w:r>
    </w:p>
    <w:p>
      <w:pPr>
        <w:pStyle w:val="Indenta"/>
        <w:rPr>
          <w:snapToGrid w:val="0"/>
        </w:rPr>
      </w:pPr>
      <w:r>
        <w:rPr>
          <w:snapToGrid w:val="0"/>
        </w:rPr>
        <w:tab/>
        <w:t>(a)</w:t>
      </w:r>
      <w:r>
        <w:rPr>
          <w:snapToGrid w:val="0"/>
        </w:rPr>
        <w:tab/>
        <w:t>to provide vocational education and training consistent with a College Training Profile referred to in section 42(2)(a);</w:t>
      </w:r>
    </w:p>
    <w:p>
      <w:pPr>
        <w:pStyle w:val="Indenta"/>
        <w:rPr>
          <w:snapToGrid w:val="0"/>
        </w:rPr>
      </w:pPr>
      <w:r>
        <w:rPr>
          <w:snapToGrid w:val="0"/>
        </w:rPr>
        <w:tab/>
        <w:t>(b)</w:t>
      </w:r>
      <w:r>
        <w:rPr>
          <w:snapToGrid w:val="0"/>
        </w:rPr>
        <w:tab/>
        <w:t>to provide to an employer, a group of employers or any other persons or authorities such fee</w:t>
      </w:r>
      <w:r>
        <w:rPr>
          <w:snapToGrid w:val="0"/>
        </w:rPr>
        <w:noBreakHyphen/>
        <w:t>for</w:t>
      </w:r>
      <w:r>
        <w:rPr>
          <w:snapToGrid w:val="0"/>
        </w:rPr>
        <w:noBreakHyphen/>
        <w:t>service training programmes as are authorised by the Minister;</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rPr>
          <w:snapToGrid w:val="0"/>
        </w:rPr>
      </w:pPr>
      <w:r>
        <w:rPr>
          <w:snapToGrid w:val="0"/>
        </w:rPr>
        <w:tab/>
        <w:t>(e)</w:t>
      </w:r>
      <w:r>
        <w:rPr>
          <w:snapToGrid w:val="0"/>
        </w:rPr>
        <w:tab/>
        <w:t>to provide or arrange for the provision of services to students;</w:t>
      </w:r>
    </w:p>
    <w:p>
      <w:pPr>
        <w:pStyle w:val="Indenta"/>
        <w:rPr>
          <w:snapToGrid w:val="0"/>
        </w:rPr>
      </w:pPr>
      <w:r>
        <w:rPr>
          <w:snapToGrid w:val="0"/>
        </w:rPr>
        <w:tab/>
        <w:t>(f)</w:t>
      </w:r>
      <w:r>
        <w:rPr>
          <w:snapToGrid w:val="0"/>
        </w:rPr>
        <w:tab/>
        <w:t>to participate in initiatives involving the whole of the State training system and to collaborate with other colleges and educational institutions to ensure the greatest effectiveness and economy in expenditure and the most beneficial relationship between the college and other colleges and educational institutions throughout the State;</w:t>
      </w:r>
    </w:p>
    <w:p>
      <w:pPr>
        <w:pStyle w:val="Indenta"/>
        <w:rPr>
          <w:snapToGrid w:val="0"/>
        </w:rPr>
      </w:pPr>
      <w:r>
        <w:rPr>
          <w:snapToGrid w:val="0"/>
        </w:rPr>
        <w:tab/>
        <w:t>(g)</w:t>
      </w:r>
      <w:r>
        <w:rPr>
          <w:snapToGrid w:val="0"/>
        </w:rPr>
        <w:tab/>
        <w:t>to contribute to the general development of the community in the region of the college through such activities, including the provision of adult and community education, as may be authorised by the Minister;</w:t>
      </w:r>
    </w:p>
    <w:p>
      <w:pPr>
        <w:pStyle w:val="Indenta"/>
        <w:rPr>
          <w:snapToGrid w:val="0"/>
        </w:rPr>
      </w:pPr>
      <w:r>
        <w:rPr>
          <w:snapToGrid w:val="0"/>
        </w:rPr>
        <w:tab/>
        <w:t>(h)</w:t>
      </w:r>
      <w:r>
        <w:rPr>
          <w:snapToGrid w:val="0"/>
        </w:rPr>
        <w:tab/>
        <w:t>subject to subsection (2), to provide on behalf of another educational authority such post</w:t>
      </w:r>
      <w:r>
        <w:rPr>
          <w:snapToGrid w:val="0"/>
        </w:rPr>
        <w:noBreakHyphen/>
        <w:t>secondary education as is approved by the Minister; and</w:t>
      </w:r>
    </w:p>
    <w:p>
      <w:pPr>
        <w:pStyle w:val="Indenta"/>
        <w:rPr>
          <w:snapToGrid w:val="0"/>
        </w:rPr>
      </w:pPr>
      <w:r>
        <w:rPr>
          <w:snapToGrid w:val="0"/>
        </w:rPr>
        <w:tab/>
        <w:t>(i)</w:t>
      </w:r>
      <w:r>
        <w:rPr>
          <w:snapToGrid w:val="0"/>
        </w:rPr>
        <w:tab/>
        <w:t>to perform any other function conferred on it by this Act or by the Minister under subsection (4).</w:t>
      </w:r>
    </w:p>
    <w:p>
      <w:pPr>
        <w:pStyle w:val="Subsection"/>
        <w:rPr>
          <w:snapToGrid w:val="0"/>
        </w:rPr>
      </w:pPr>
      <w:r>
        <w:rPr>
          <w:snapToGrid w:val="0"/>
        </w:rPr>
        <w:tab/>
        <w:t>(2)</w:t>
      </w:r>
      <w:r>
        <w:rPr>
          <w:snapToGrid w:val="0"/>
        </w:rPr>
        <w:tab/>
        <w:t>A college is not to use funds referred to in section 48(a) in performing a function referred to in subsection (1)(h).</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 under section 43(2)(f).</w:t>
      </w:r>
    </w:p>
    <w:p>
      <w:pPr>
        <w:pStyle w:val="Subsection"/>
        <w:rPr>
          <w:snapToGrid w:val="0"/>
        </w:rPr>
      </w:pPr>
      <w:r>
        <w:rPr>
          <w:snapToGrid w:val="0"/>
        </w:rPr>
        <w:tab/>
        <w:t>(4)</w:t>
      </w:r>
      <w:r>
        <w:rPr>
          <w:snapToGrid w:val="0"/>
        </w:rPr>
        <w:tab/>
        <w:t xml:space="preserve">The Minister may, from time to time, by order published in the </w:t>
      </w:r>
      <w:r>
        <w:rPr>
          <w:i/>
          <w:snapToGrid w:val="0"/>
        </w:rPr>
        <w:t>Gazette</w:t>
      </w:r>
      <w:r>
        <w:rPr>
          <w:snapToGrid w:val="0"/>
        </w:rPr>
        <w:t>, confer on colleges other functions not inconsistent with this Act.</w:t>
      </w:r>
    </w:p>
    <w:p>
      <w:pPr>
        <w:pStyle w:val="Heading5"/>
        <w:rPr>
          <w:snapToGrid w:val="0"/>
        </w:rPr>
      </w:pPr>
      <w:bookmarkStart w:id="227" w:name="_Toc503077823"/>
      <w:bookmarkStart w:id="228" w:name="_Toc535632787"/>
      <w:bookmarkStart w:id="229" w:name="_Toc535633955"/>
      <w:bookmarkStart w:id="230" w:name="_Toc15804284"/>
      <w:bookmarkStart w:id="231" w:name="_Toc158087173"/>
      <w:r>
        <w:rPr>
          <w:rStyle w:val="CharSectno"/>
        </w:rPr>
        <w:t>38</w:t>
      </w:r>
      <w:r>
        <w:rPr>
          <w:snapToGrid w:val="0"/>
        </w:rPr>
        <w:t>.</w:t>
      </w:r>
      <w:r>
        <w:rPr>
          <w:snapToGrid w:val="0"/>
        </w:rPr>
        <w:tab/>
        <w:t>Vacation periods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rPr>
          <w:snapToGrid w:val="0"/>
        </w:rPr>
      </w:pPr>
      <w:bookmarkStart w:id="232" w:name="_Toc156972371"/>
      <w:bookmarkStart w:id="233" w:name="_Toc158087174"/>
      <w:r>
        <w:rPr>
          <w:rStyle w:val="CharDivNo"/>
        </w:rPr>
        <w:t>Division 2</w:t>
      </w:r>
      <w:r>
        <w:rPr>
          <w:snapToGrid w:val="0"/>
        </w:rPr>
        <w:t> — </w:t>
      </w:r>
      <w:r>
        <w:rPr>
          <w:rStyle w:val="CharDivText"/>
        </w:rPr>
        <w:t>Governing councils</w:t>
      </w:r>
      <w:bookmarkEnd w:id="232"/>
      <w:bookmarkEnd w:id="233"/>
      <w:r>
        <w:rPr>
          <w:rStyle w:val="CharDivText"/>
        </w:rPr>
        <w:t xml:space="preserve"> </w:t>
      </w:r>
    </w:p>
    <w:p>
      <w:pPr>
        <w:pStyle w:val="Heading5"/>
        <w:rPr>
          <w:snapToGrid w:val="0"/>
        </w:rPr>
      </w:pPr>
      <w:bookmarkStart w:id="234" w:name="_Toc503077824"/>
      <w:bookmarkStart w:id="235" w:name="_Toc535632788"/>
      <w:bookmarkStart w:id="236" w:name="_Toc535633956"/>
      <w:bookmarkStart w:id="237" w:name="_Toc15804285"/>
      <w:bookmarkStart w:id="238" w:name="_Toc158087175"/>
      <w:r>
        <w:rPr>
          <w:rStyle w:val="CharSectno"/>
        </w:rPr>
        <w:t>39</w:t>
      </w:r>
      <w:r>
        <w:rPr>
          <w:snapToGrid w:val="0"/>
        </w:rPr>
        <w:t>.</w:t>
      </w:r>
      <w:r>
        <w:rPr>
          <w:snapToGrid w:val="0"/>
        </w:rPr>
        <w:tab/>
        <w:t>Governing council</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A college is to have a governing council. </w:t>
      </w:r>
    </w:p>
    <w:p>
      <w:pPr>
        <w:pStyle w:val="Subsection"/>
        <w:rPr>
          <w:snapToGrid w:val="0"/>
        </w:rPr>
      </w:pPr>
      <w:r>
        <w:rPr>
          <w:snapToGrid w:val="0"/>
        </w:rPr>
        <w:tab/>
        <w:t>(2)</w:t>
      </w:r>
      <w:r>
        <w:rPr>
          <w:snapToGrid w:val="0"/>
        </w:rPr>
        <w:tab/>
        <w:t>The governing council of a college is to consist of — </w:t>
      </w:r>
    </w:p>
    <w:p>
      <w:pPr>
        <w:pStyle w:val="Indenta"/>
        <w:rPr>
          <w:snapToGrid w:val="0"/>
        </w:rPr>
      </w:pPr>
      <w:r>
        <w:rPr>
          <w:snapToGrid w:val="0"/>
        </w:rPr>
        <w:tab/>
        <w:t>(a)</w:t>
      </w:r>
      <w:r>
        <w:rPr>
          <w:snapToGrid w:val="0"/>
        </w:rPr>
        <w:tab/>
        <w:t xml:space="preserve">a chairperson and a deputy chairperson and not less than 6 or more than 10 other members appointed by the Minister; and </w:t>
      </w:r>
    </w:p>
    <w:p>
      <w:pPr>
        <w:pStyle w:val="Indenta"/>
        <w:rPr>
          <w:snapToGrid w:val="0"/>
        </w:rPr>
      </w:pPr>
      <w:r>
        <w:rPr>
          <w:snapToGrid w:val="0"/>
        </w:rPr>
        <w:tab/>
        <w:t>(b)</w:t>
      </w:r>
      <w:r>
        <w:rPr>
          <w:snapToGrid w:val="0"/>
        </w:rPr>
        <w:tab/>
        <w:t>the managing director for the time being of the college.</w:t>
      </w:r>
    </w:p>
    <w:p>
      <w:pPr>
        <w:pStyle w:val="Subsection"/>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239" w:name="_Toc503077825"/>
      <w:bookmarkStart w:id="240" w:name="_Toc535632789"/>
      <w:bookmarkStart w:id="241" w:name="_Toc535633957"/>
      <w:bookmarkStart w:id="242" w:name="_Toc15804286"/>
      <w:bookmarkStart w:id="243" w:name="_Toc158087176"/>
      <w:r>
        <w:rPr>
          <w:rStyle w:val="CharSectno"/>
        </w:rPr>
        <w:t>40</w:t>
      </w:r>
      <w:r>
        <w:rPr>
          <w:snapToGrid w:val="0"/>
        </w:rPr>
        <w:t>.</w:t>
      </w:r>
      <w:r>
        <w:rPr>
          <w:snapToGrid w:val="0"/>
        </w:rPr>
        <w:tab/>
        <w:t>Further provisions relating to governing councils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Schedule 1 has effect with respect to governing councils.</w:t>
      </w:r>
    </w:p>
    <w:p>
      <w:pPr>
        <w:pStyle w:val="Subsection"/>
        <w:rPr>
          <w:snapToGrid w:val="0"/>
        </w:rPr>
      </w:pPr>
      <w:r>
        <w:rPr>
          <w:snapToGrid w:val="0"/>
        </w:rPr>
        <w:tab/>
        <w:t>(2)</w:t>
      </w:r>
      <w:r>
        <w:rPr>
          <w:snapToGrid w:val="0"/>
        </w:rPr>
        <w:tab/>
        <w:t>Subject to this Act, a governing council may determine its own procedures.</w:t>
      </w:r>
    </w:p>
    <w:p>
      <w:pPr>
        <w:pStyle w:val="Heading5"/>
        <w:rPr>
          <w:snapToGrid w:val="0"/>
        </w:rPr>
      </w:pPr>
      <w:bookmarkStart w:id="244" w:name="_Toc503077826"/>
      <w:bookmarkStart w:id="245" w:name="_Toc535632790"/>
      <w:bookmarkStart w:id="246" w:name="_Toc535633958"/>
      <w:bookmarkStart w:id="247" w:name="_Toc15804287"/>
      <w:bookmarkStart w:id="248" w:name="_Toc158087177"/>
      <w:r>
        <w:rPr>
          <w:rStyle w:val="CharSectno"/>
        </w:rPr>
        <w:t>41</w:t>
      </w:r>
      <w:r>
        <w:rPr>
          <w:snapToGrid w:val="0"/>
        </w:rPr>
        <w:t>.</w:t>
      </w:r>
      <w:r>
        <w:rPr>
          <w:snapToGrid w:val="0"/>
        </w:rPr>
        <w:tab/>
        <w:t>Interim governing councils</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249" w:name="_Toc503077827"/>
      <w:bookmarkStart w:id="250" w:name="_Toc535632791"/>
      <w:bookmarkStart w:id="251" w:name="_Toc535633959"/>
      <w:bookmarkStart w:id="252" w:name="_Toc15804288"/>
      <w:bookmarkStart w:id="253" w:name="_Toc158087178"/>
      <w:r>
        <w:rPr>
          <w:rStyle w:val="CharSectno"/>
        </w:rPr>
        <w:t>42</w:t>
      </w:r>
      <w:r>
        <w:rPr>
          <w:snapToGrid w:val="0"/>
        </w:rPr>
        <w:t>.</w:t>
      </w:r>
      <w:r>
        <w:rPr>
          <w:snapToGrid w:val="0"/>
        </w:rPr>
        <w:tab/>
        <w:t>Functions of a governing council</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rPr>
          <w:snapToGrid w:val="0"/>
        </w:rPr>
      </w:pPr>
      <w:r>
        <w:rPr>
          <w:snapToGrid w:val="0"/>
        </w:rPr>
        <w:tab/>
        <w:t>(2)</w:t>
      </w:r>
      <w:r>
        <w:rPr>
          <w:snapToGrid w:val="0"/>
        </w:rPr>
        <w:tab/>
        <w:t>In performing its functions under subsection (1) the governing council is to — </w:t>
      </w:r>
    </w:p>
    <w:p>
      <w:pPr>
        <w:pStyle w:val="Indenta"/>
        <w:rPr>
          <w:snapToGrid w:val="0"/>
        </w:rPr>
      </w:pPr>
      <w:r>
        <w:rPr>
          <w:snapToGrid w:val="0"/>
        </w:rPr>
        <w:tab/>
        <w:t>(a)</w:t>
      </w:r>
      <w:r>
        <w:rPr>
          <w:snapToGrid w:val="0"/>
        </w:rPr>
        <w:tab/>
        <w:t>prepare a College Training Profile for the approval of the Minister as and when required by the Minister;</w:t>
      </w:r>
    </w:p>
    <w:p>
      <w:pPr>
        <w:pStyle w:val="Indenta"/>
        <w:rPr>
          <w:snapToGrid w:val="0"/>
        </w:rPr>
      </w:pPr>
      <w:r>
        <w:rPr>
          <w:snapToGrid w:val="0"/>
        </w:rPr>
        <w:tab/>
        <w:t>(b)</w:t>
      </w:r>
      <w:r>
        <w:rPr>
          <w:snapToGrid w:val="0"/>
        </w:rPr>
        <w:tab/>
        <w:t>develop and implement strategic and management plans for the college;</w:t>
      </w:r>
    </w:p>
    <w:p>
      <w:pPr>
        <w:pStyle w:val="Indenta"/>
        <w:rPr>
          <w:snapToGrid w:val="0"/>
        </w:rPr>
      </w:pPr>
      <w:r>
        <w:rPr>
          <w:snapToGrid w:val="0"/>
        </w:rPr>
        <w:tab/>
        <w:t>(c)</w:t>
      </w:r>
      <w:r>
        <w:rPr>
          <w:snapToGrid w:val="0"/>
        </w:rPr>
        <w:tab/>
        <w:t>ensure the college courses, programmes and services are responsive to, and meet, the needs of students, industry and the community; and</w:t>
      </w:r>
    </w:p>
    <w:p>
      <w:pPr>
        <w:pStyle w:val="Indenta"/>
        <w:rPr>
          <w:snapToGrid w:val="0"/>
        </w:rPr>
      </w:pPr>
      <w:r>
        <w:rPr>
          <w:snapToGrid w:val="0"/>
        </w:rPr>
        <w:tab/>
        <w:t>(d)</w:t>
      </w:r>
      <w:r>
        <w:rPr>
          <w:snapToGrid w:val="0"/>
        </w:rPr>
        <w:tab/>
        <w:t>ensure that the college’s commitments under its Resource Agreement and any other contractual arrangements are met.</w:t>
      </w:r>
    </w:p>
    <w:p>
      <w:pPr>
        <w:pStyle w:val="Subsection"/>
        <w:rPr>
          <w:snapToGrid w:val="0"/>
        </w:rPr>
      </w:pPr>
      <w:r>
        <w:rPr>
          <w:snapToGrid w:val="0"/>
        </w:rPr>
        <w:tab/>
        <w:t>(3)</w:t>
      </w:r>
      <w:r>
        <w:rPr>
          <w:snapToGrid w:val="0"/>
        </w:rPr>
        <w:tab/>
        <w:t>A College Training Profile referred to in subsection (2)(a) is a comprehensive plan which, when approved by the Minister, is the basis for the provision of vocational education and training by the college.</w:t>
      </w:r>
    </w:p>
    <w:p>
      <w:pPr>
        <w:pStyle w:val="Heading5"/>
        <w:rPr>
          <w:snapToGrid w:val="0"/>
        </w:rPr>
      </w:pPr>
      <w:bookmarkStart w:id="254" w:name="_Toc503077828"/>
      <w:bookmarkStart w:id="255" w:name="_Toc535632792"/>
      <w:bookmarkStart w:id="256" w:name="_Toc535633960"/>
      <w:bookmarkStart w:id="257" w:name="_Toc15804289"/>
      <w:bookmarkStart w:id="258" w:name="_Toc158087179"/>
      <w:r>
        <w:rPr>
          <w:rStyle w:val="CharSectno"/>
        </w:rPr>
        <w:t>43</w:t>
      </w:r>
      <w:r>
        <w:rPr>
          <w:snapToGrid w:val="0"/>
        </w:rPr>
        <w:t>.</w:t>
      </w:r>
      <w:r>
        <w:rPr>
          <w:snapToGrid w:val="0"/>
        </w:rPr>
        <w:tab/>
        <w:t>Powers of a governing council</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governing council of a college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a governing council may, on behalf of the college — </w:t>
      </w:r>
    </w:p>
    <w:p>
      <w:pPr>
        <w:pStyle w:val="Indenta"/>
        <w:rPr>
          <w:snapToGrid w:val="0"/>
        </w:rPr>
      </w:pPr>
      <w:r>
        <w:rPr>
          <w:snapToGrid w:val="0"/>
        </w:rPr>
        <w:tab/>
        <w:t>(a)</w:t>
      </w:r>
      <w:r>
        <w:rPr>
          <w:snapToGrid w:val="0"/>
        </w:rPr>
        <w:tab/>
        <w:t>enter into contracts in relation to the provision of the education and training that it is authorised or required by the Minister under this Act to provide;</w:t>
      </w:r>
    </w:p>
    <w:p>
      <w:pPr>
        <w:pStyle w:val="Indenta"/>
        <w:rPr>
          <w:snapToGrid w:val="0"/>
        </w:rPr>
      </w:pPr>
      <w:r>
        <w:rPr>
          <w:snapToGrid w:val="0"/>
        </w:rPr>
        <w:tab/>
        <w:t>(b)</w:t>
      </w:r>
      <w:r>
        <w:rPr>
          <w:snapToGrid w:val="0"/>
        </w:rPr>
        <w:tab/>
        <w:t>confer awards and qualifications;</w:t>
      </w:r>
    </w:p>
    <w:p>
      <w:pPr>
        <w:pStyle w:val="Indenta"/>
        <w:rPr>
          <w:snapToGrid w:val="0"/>
        </w:rPr>
      </w:pPr>
      <w:r>
        <w:rPr>
          <w:snapToGrid w:val="0"/>
        </w:rPr>
        <w:tab/>
        <w:t>(c)</w:t>
      </w:r>
      <w:r>
        <w:rPr>
          <w:snapToGrid w:val="0"/>
        </w:rPr>
        <w:tab/>
        <w:t>with the approval of the Minister, establish and maintain branches of the college at such places in the State as the governing council thinks fit;</w:t>
      </w:r>
    </w:p>
    <w:p>
      <w:pPr>
        <w:pStyle w:val="Indenta"/>
        <w:rPr>
          <w:snapToGrid w:val="0"/>
        </w:rPr>
      </w:pPr>
      <w:r>
        <w:rPr>
          <w:snapToGrid w:val="0"/>
        </w:rPr>
        <w:tab/>
        <w:t>(d)</w:t>
      </w:r>
      <w:r>
        <w:rPr>
          <w:snapToGrid w:val="0"/>
        </w:rPr>
        <w:tab/>
        <w:t>provide housing for staff, and residential accommodation for students, of the college;</w:t>
      </w:r>
    </w:p>
    <w:p>
      <w:pPr>
        <w:pStyle w:val="Indenta"/>
        <w:rPr>
          <w:snapToGrid w:val="0"/>
        </w:rPr>
      </w:pPr>
      <w:r>
        <w:rPr>
          <w:snapToGrid w:val="0"/>
        </w:rPr>
        <w:tab/>
        <w:t>(e)</w:t>
      </w:r>
      <w:r>
        <w:rPr>
          <w:snapToGrid w:val="0"/>
        </w:rPr>
        <w:tab/>
        <w:t>provide, for a fee or otherwise, or enter into contracts to provide, products, consultancy or other services in the course of, or incidental to, the provision by the college of vocational education and training; and</w:t>
      </w:r>
    </w:p>
    <w:p>
      <w:pPr>
        <w:pStyle w:val="Indenta"/>
        <w:rPr>
          <w:snapToGrid w:val="0"/>
        </w:rPr>
      </w:pPr>
      <w:r>
        <w:rPr>
          <w:snapToGrid w:val="0"/>
        </w:rPr>
        <w:tab/>
        <w:t>(f)</w:t>
      </w:r>
      <w:r>
        <w:rPr>
          <w:snapToGrid w:val="0"/>
        </w:rPr>
        <w:tab/>
        <w:t>with the approval of the Minister, on terms and conditions approved by the Treasurer, participate in business arrangements relating to the provision of vocational education and training for the purpose of — </w:t>
      </w:r>
    </w:p>
    <w:p>
      <w:pPr>
        <w:pStyle w:val="Indenti"/>
        <w:rPr>
          <w:snapToGrid w:val="0"/>
        </w:rPr>
      </w:pPr>
      <w:r>
        <w:rPr>
          <w:snapToGrid w:val="0"/>
        </w:rPr>
        <w:tab/>
        <w:t>(i)</w:t>
      </w:r>
      <w:r>
        <w:rPr>
          <w:snapToGrid w:val="0"/>
        </w:rPr>
        <w:tab/>
        <w:t>applied research and development with industry, research organisations, other educational institutions and any other bodies; and</w:t>
      </w:r>
    </w:p>
    <w:p>
      <w:pPr>
        <w:pStyle w:val="Indenti"/>
        <w:rPr>
          <w:snapToGrid w:val="0"/>
        </w:rPr>
      </w:pPr>
      <w:r>
        <w:rPr>
          <w:snapToGrid w:val="0"/>
        </w:rPr>
        <w:tab/>
        <w:t>(ii)</w:t>
      </w:r>
      <w:r>
        <w:rPr>
          <w:snapToGrid w:val="0"/>
        </w:rPr>
        <w:tab/>
        <w:t>assisting the development of industry, commerce and the community in relation to the application, and the knowledge and skills required for the application, of new technology.</w:t>
      </w:r>
    </w:p>
    <w:p>
      <w:pPr>
        <w:pStyle w:val="Subsection"/>
        <w:spacing w:before="120"/>
        <w:rPr>
          <w:snapToGrid w:val="0"/>
        </w:rPr>
      </w:pPr>
      <w:r>
        <w:rPr>
          <w:snapToGrid w:val="0"/>
        </w:rPr>
        <w:tab/>
        <w:t>(3)</w:t>
      </w:r>
      <w:r>
        <w:rPr>
          <w:snapToGrid w:val="0"/>
        </w:rPr>
        <w:tab/>
        <w:t xml:space="preserve">The power conferred by subsection (2)(f) is not subject to, and may be exercised despite, the </w:t>
      </w:r>
      <w:r>
        <w:rPr>
          <w:i/>
          <w:snapToGrid w:val="0"/>
        </w:rPr>
        <w:t>State Supply Commission Act 1991</w:t>
      </w:r>
      <w:r>
        <w:rPr>
          <w:snapToGrid w:val="0"/>
        </w:rPr>
        <w:t>.</w:t>
      </w:r>
    </w:p>
    <w:p>
      <w:pPr>
        <w:pStyle w:val="Subsection"/>
        <w:spacing w:before="120"/>
        <w:rPr>
          <w:snapToGrid w:val="0"/>
        </w:rPr>
      </w:pPr>
      <w:r>
        <w:rPr>
          <w:snapToGrid w:val="0"/>
        </w:rPr>
        <w:tab/>
        <w:t>(4)</w:t>
      </w:r>
      <w:r>
        <w:rPr>
          <w:snapToGrid w:val="0"/>
        </w:rPr>
        <w:tab/>
        <w:t>In subsection (2)(f) — </w:t>
      </w:r>
    </w:p>
    <w:p>
      <w:pPr>
        <w:pStyle w:val="Defstart"/>
      </w:pPr>
      <w:r>
        <w:rPr>
          <w:b/>
        </w:rPr>
        <w:tab/>
      </w:r>
      <w:r>
        <w:rPr>
          <w:rStyle w:val="CharDefText"/>
        </w:rPr>
        <w:t>business arrangement</w:t>
      </w:r>
      <w:r>
        <w:t xml:space="preserve"> and </w:t>
      </w:r>
      <w:r>
        <w:rPr>
          <w:rStyle w:val="CharDefText"/>
        </w:rPr>
        <w:t>participate</w:t>
      </w:r>
      <w:r>
        <w:t xml:space="preserve"> have the meanings given by section 9(4).</w:t>
      </w:r>
    </w:p>
    <w:p>
      <w:pPr>
        <w:pStyle w:val="Subsection"/>
        <w:spacing w:before="120"/>
        <w:rPr>
          <w:snapToGrid w:val="0"/>
        </w:rPr>
      </w:pPr>
      <w:r>
        <w:rPr>
          <w:snapToGrid w:val="0"/>
        </w:rPr>
        <w:tab/>
        <w:t>(5)</w:t>
      </w:r>
      <w:r>
        <w:rPr>
          <w:snapToGrid w:val="0"/>
        </w:rPr>
        <w:tab/>
        <w:t>A governing council may exercise its powers in another State or Territory if that is necessary or convenient for the performance of the functions of the college.</w:t>
      </w:r>
    </w:p>
    <w:p>
      <w:pPr>
        <w:pStyle w:val="Heading5"/>
        <w:spacing w:before="120"/>
        <w:rPr>
          <w:snapToGrid w:val="0"/>
        </w:rPr>
      </w:pPr>
      <w:bookmarkStart w:id="259" w:name="_Toc503077829"/>
      <w:bookmarkStart w:id="260" w:name="_Toc535632793"/>
      <w:bookmarkStart w:id="261" w:name="_Toc535633961"/>
      <w:bookmarkStart w:id="262" w:name="_Toc15804290"/>
      <w:bookmarkStart w:id="263" w:name="_Toc158087180"/>
      <w:r>
        <w:rPr>
          <w:rStyle w:val="CharSectno"/>
        </w:rPr>
        <w:t>44</w:t>
      </w:r>
      <w:r>
        <w:rPr>
          <w:snapToGrid w:val="0"/>
        </w:rPr>
        <w:t>.</w:t>
      </w:r>
      <w:r>
        <w:rPr>
          <w:snapToGrid w:val="0"/>
        </w:rPr>
        <w:tab/>
        <w:t>By</w:t>
      </w:r>
      <w:r>
        <w:rPr>
          <w:snapToGrid w:val="0"/>
        </w:rPr>
        <w:noBreakHyphen/>
        <w:t>laws</w:t>
      </w:r>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r>
      <w:r>
        <w:rPr>
          <w:snapToGrid w:val="0"/>
        </w:rPr>
        <w:tab/>
        <w:t>With the approval of the Minister, a governing council may make by</w:t>
      </w:r>
      <w:r>
        <w:rPr>
          <w:snapToGrid w:val="0"/>
        </w:rPr>
        <w:noBreakHyphen/>
        <w:t>laws —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264" w:name="_Toc503077830"/>
      <w:bookmarkStart w:id="265" w:name="_Toc535632794"/>
      <w:bookmarkStart w:id="266" w:name="_Toc535633962"/>
      <w:bookmarkStart w:id="267" w:name="_Toc15804291"/>
      <w:bookmarkStart w:id="268" w:name="_Toc158087181"/>
      <w:r>
        <w:rPr>
          <w:rStyle w:val="CharSectno"/>
        </w:rPr>
        <w:t>45</w:t>
      </w:r>
      <w:r>
        <w:rPr>
          <w:snapToGrid w:val="0"/>
        </w:rPr>
        <w:t>.</w:t>
      </w:r>
      <w:r>
        <w:rPr>
          <w:snapToGrid w:val="0"/>
        </w:rPr>
        <w:tab/>
        <w:t>Delegation by governing council</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269" w:name="_Toc503077831"/>
      <w:bookmarkStart w:id="270" w:name="_Toc535632795"/>
      <w:bookmarkStart w:id="271" w:name="_Toc535633963"/>
      <w:bookmarkStart w:id="272" w:name="_Toc15804292"/>
      <w:bookmarkStart w:id="273" w:name="_Toc158087182"/>
      <w:r>
        <w:rPr>
          <w:rStyle w:val="CharSectno"/>
        </w:rPr>
        <w:t>46</w:t>
      </w:r>
      <w:r>
        <w:rPr>
          <w:snapToGrid w:val="0"/>
        </w:rPr>
        <w:t>.</w:t>
      </w:r>
      <w:r>
        <w:rPr>
          <w:snapToGrid w:val="0"/>
        </w:rPr>
        <w:tab/>
        <w:t>Managing director</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274" w:name="_Toc503077832"/>
      <w:bookmarkStart w:id="275" w:name="_Toc535632796"/>
      <w:bookmarkStart w:id="276" w:name="_Toc535633964"/>
      <w:bookmarkStart w:id="277" w:name="_Toc15804293"/>
      <w:bookmarkStart w:id="278" w:name="_Toc158087183"/>
      <w:r>
        <w:rPr>
          <w:rStyle w:val="CharSectno"/>
        </w:rPr>
        <w:t>47</w:t>
      </w:r>
      <w:r>
        <w:rPr>
          <w:snapToGrid w:val="0"/>
        </w:rPr>
        <w:t>.</w:t>
      </w:r>
      <w:r>
        <w:rPr>
          <w:snapToGrid w:val="0"/>
        </w:rPr>
        <w:tab/>
        <w:t>College employees</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rPr>
          <w:snapToGrid w:val="0"/>
        </w:rPr>
      </w:pPr>
      <w:bookmarkStart w:id="279" w:name="_Toc156972381"/>
      <w:bookmarkStart w:id="280" w:name="_Toc158087184"/>
      <w:r>
        <w:rPr>
          <w:rStyle w:val="CharDivNo"/>
        </w:rPr>
        <w:t>Division 3</w:t>
      </w:r>
      <w:r>
        <w:rPr>
          <w:snapToGrid w:val="0"/>
        </w:rPr>
        <w:t> — </w:t>
      </w:r>
      <w:r>
        <w:rPr>
          <w:rStyle w:val="CharDivText"/>
        </w:rPr>
        <w:t>Financial provisions</w:t>
      </w:r>
      <w:bookmarkEnd w:id="279"/>
      <w:bookmarkEnd w:id="280"/>
      <w:r>
        <w:rPr>
          <w:rStyle w:val="CharDivText"/>
        </w:rPr>
        <w:t xml:space="preserve"> </w:t>
      </w:r>
    </w:p>
    <w:p>
      <w:pPr>
        <w:pStyle w:val="Heading5"/>
        <w:rPr>
          <w:snapToGrid w:val="0"/>
        </w:rPr>
      </w:pPr>
      <w:bookmarkStart w:id="281" w:name="_Toc503077833"/>
      <w:bookmarkStart w:id="282" w:name="_Toc535632797"/>
      <w:bookmarkStart w:id="283" w:name="_Toc535633965"/>
      <w:bookmarkStart w:id="284" w:name="_Toc15804294"/>
      <w:bookmarkStart w:id="285" w:name="_Toc158087185"/>
      <w:r>
        <w:rPr>
          <w:rStyle w:val="CharSectno"/>
        </w:rPr>
        <w:t>48</w:t>
      </w:r>
      <w:r>
        <w:rPr>
          <w:snapToGrid w:val="0"/>
        </w:rPr>
        <w:t>.</w:t>
      </w:r>
      <w:r>
        <w:rPr>
          <w:snapToGrid w:val="0"/>
        </w:rPr>
        <w:tab/>
        <w:t>Funds of a college</w:t>
      </w:r>
      <w:bookmarkEnd w:id="281"/>
      <w:bookmarkEnd w:id="282"/>
      <w:bookmarkEnd w:id="283"/>
      <w:bookmarkEnd w:id="284"/>
      <w:bookmarkEnd w:id="285"/>
      <w:r>
        <w:rPr>
          <w:snapToGrid w:val="0"/>
        </w:rPr>
        <w:t xml:space="preserve"> </w:t>
      </w:r>
    </w:p>
    <w:p>
      <w:pPr>
        <w:pStyle w:val="Subsection"/>
        <w:keepNext/>
        <w:rPr>
          <w:snapToGrid w:val="0"/>
        </w:rPr>
      </w:pPr>
      <w:r>
        <w:rPr>
          <w:snapToGrid w:val="0"/>
        </w:rPr>
        <w:tab/>
      </w:r>
      <w:r>
        <w:rPr>
          <w:snapToGrid w:val="0"/>
        </w:rPr>
        <w:tab/>
        <w:t>The funds of a college consist of — </w:t>
      </w:r>
    </w:p>
    <w:p>
      <w:pPr>
        <w:pStyle w:val="Indenta"/>
        <w:rPr>
          <w:snapToGrid w:val="0"/>
        </w:rPr>
      </w:pPr>
      <w:r>
        <w:rPr>
          <w:snapToGrid w:val="0"/>
        </w:rPr>
        <w:tab/>
        <w:t>(a)</w:t>
      </w:r>
      <w:r>
        <w:rPr>
          <w:snapToGrid w:val="0"/>
        </w:rPr>
        <w:tab/>
        <w:t>monies provided by the department, and other monies properly receivable by the college for the delivery of courses forming part of a College Training Profile under section 42(3);</w:t>
      </w:r>
    </w:p>
    <w:p>
      <w:pPr>
        <w:pStyle w:val="Indenta"/>
        <w:rPr>
          <w:snapToGrid w:val="0"/>
        </w:rPr>
      </w:pPr>
      <w:r>
        <w:rPr>
          <w:snapToGrid w:val="0"/>
        </w:rPr>
        <w:tab/>
        <w:t>(b)</w:t>
      </w:r>
      <w:r>
        <w:rPr>
          <w:snapToGrid w:val="0"/>
        </w:rPr>
        <w:tab/>
        <w:t>commercial funds being — </w:t>
      </w:r>
    </w:p>
    <w:p>
      <w:pPr>
        <w:pStyle w:val="Indenti"/>
        <w:rPr>
          <w:snapToGrid w:val="0"/>
        </w:rPr>
      </w:pPr>
      <w:r>
        <w:rPr>
          <w:snapToGrid w:val="0"/>
        </w:rPr>
        <w:tab/>
        <w:t>(i)</w:t>
      </w:r>
      <w:r>
        <w:rPr>
          <w:snapToGrid w:val="0"/>
        </w:rPr>
        <w:tab/>
        <w:t>monies received from college fee</w:t>
      </w:r>
      <w:r>
        <w:rPr>
          <w:snapToGrid w:val="0"/>
        </w:rPr>
        <w:noBreakHyphen/>
        <w:t>for</w:t>
      </w:r>
      <w:r>
        <w:rPr>
          <w:snapToGrid w:val="0"/>
        </w:rPr>
        <w:noBreakHyphen/>
        <w:t>service operations;</w:t>
      </w:r>
    </w:p>
    <w:p>
      <w:pPr>
        <w:pStyle w:val="Indenti"/>
        <w:rPr>
          <w:snapToGrid w:val="0"/>
        </w:rPr>
      </w:pPr>
      <w:r>
        <w:rPr>
          <w:snapToGrid w:val="0"/>
        </w:rPr>
        <w:tab/>
        <w:t>(ii)</w:t>
      </w:r>
      <w:r>
        <w:rPr>
          <w:snapToGrid w:val="0"/>
        </w:rPr>
        <w:tab/>
        <w:t>monies received from commercial services including cafeterias and bookshops;</w:t>
      </w:r>
    </w:p>
    <w:p>
      <w:pPr>
        <w:pStyle w:val="Indenti"/>
        <w:rPr>
          <w:snapToGrid w:val="0"/>
        </w:rPr>
      </w:pPr>
      <w:r>
        <w:rPr>
          <w:snapToGrid w:val="0"/>
        </w:rPr>
        <w:tab/>
        <w:t>(iii)</w:t>
      </w:r>
      <w:r>
        <w:rPr>
          <w:snapToGrid w:val="0"/>
        </w:rPr>
        <w:tab/>
        <w:t>monies from other commercial activities conducted by the college;</w:t>
      </w:r>
    </w:p>
    <w:p>
      <w:pPr>
        <w:pStyle w:val="Indenti"/>
        <w:rPr>
          <w:snapToGrid w:val="0"/>
        </w:rPr>
      </w:pPr>
      <w:r>
        <w:rPr>
          <w:snapToGrid w:val="0"/>
        </w:rPr>
        <w:tab/>
        <w:t>(iv)</w:t>
      </w:r>
      <w:r>
        <w:rPr>
          <w:snapToGrid w:val="0"/>
        </w:rPr>
        <w:tab/>
        <w:t>monies received in connection with the exercise of the power conferred by section 9(2)(f) in respect of land, buildings or facilities under the control of the college;</w:t>
      </w:r>
    </w:p>
    <w:p>
      <w:pPr>
        <w:pStyle w:val="Indenti"/>
        <w:rPr>
          <w:snapToGrid w:val="0"/>
        </w:rPr>
      </w:pPr>
      <w:r>
        <w:rPr>
          <w:snapToGrid w:val="0"/>
        </w:rPr>
        <w:tab/>
        <w:t>(v)</w:t>
      </w:r>
      <w:r>
        <w:rPr>
          <w:snapToGrid w:val="0"/>
        </w:rPr>
        <w:tab/>
        <w:t>monies donated by way of gifts, bequests or other voluntary contributions; and</w:t>
      </w:r>
    </w:p>
    <w:p>
      <w:pPr>
        <w:pStyle w:val="Indenti"/>
        <w:rPr>
          <w:snapToGrid w:val="0"/>
        </w:rPr>
      </w:pPr>
      <w:r>
        <w:rPr>
          <w:snapToGrid w:val="0"/>
        </w:rPr>
        <w:tab/>
        <w:t>(vi)</w:t>
      </w:r>
      <w:r>
        <w:rPr>
          <w:snapToGrid w:val="0"/>
        </w:rPr>
        <w:tab/>
        <w:t>any other monies properly receivable for the purposes of the college;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funds borrowed by the college under section 51.</w:t>
      </w:r>
    </w:p>
    <w:p>
      <w:pPr>
        <w:pStyle w:val="Heading5"/>
        <w:spacing w:before="120"/>
        <w:rPr>
          <w:snapToGrid w:val="0"/>
        </w:rPr>
      </w:pPr>
      <w:bookmarkStart w:id="286" w:name="_Toc503077834"/>
      <w:bookmarkStart w:id="287" w:name="_Toc535632798"/>
      <w:bookmarkStart w:id="288" w:name="_Toc535633966"/>
      <w:bookmarkStart w:id="289" w:name="_Toc15804295"/>
      <w:bookmarkStart w:id="290" w:name="_Toc158087186"/>
      <w:r>
        <w:rPr>
          <w:rStyle w:val="CharSectno"/>
        </w:rPr>
        <w:t>49</w:t>
      </w:r>
      <w:r>
        <w:rPr>
          <w:snapToGrid w:val="0"/>
        </w:rPr>
        <w:t>.</w:t>
      </w:r>
      <w:r>
        <w:rPr>
          <w:snapToGrid w:val="0"/>
        </w:rPr>
        <w:tab/>
        <w:t xml:space="preserve">College Trust </w:t>
      </w:r>
      <w:bookmarkEnd w:id="286"/>
      <w:bookmarkEnd w:id="287"/>
      <w:bookmarkEnd w:id="288"/>
      <w:bookmarkEnd w:id="289"/>
      <w:r>
        <w:rPr>
          <w:snapToGrid w:val="0"/>
        </w:rPr>
        <w:t>Accounts</w:t>
      </w:r>
      <w:bookmarkEnd w:id="290"/>
    </w:p>
    <w:p>
      <w:pPr>
        <w:pStyle w:val="Subsection"/>
      </w:pPr>
      <w:r>
        <w:tab/>
        <w:t>(1)</w:t>
      </w:r>
      <w:r>
        <w:tab/>
        <w:t>An account called the (</w:t>
      </w:r>
      <w:r>
        <w:rPr>
          <w:i/>
          <w:iCs/>
        </w:rPr>
        <w:t>name of College</w:t>
      </w:r>
      <w:r>
        <w:t>)</w:t>
      </w:r>
      <w:r>
        <w:rPr>
          <w:i/>
          <w:iCs/>
        </w:rPr>
        <w:t xml:space="preserve"> </w:t>
      </w:r>
      <w:r>
        <w:t xml:space="preserve">Trust Account (referred to in this Division as a </w:t>
      </w:r>
      <w:r>
        <w:rPr>
          <w:b/>
          <w:bCs/>
        </w:rPr>
        <w:t>“college Trust Account”</w:t>
      </w:r>
      <w:r>
        <w:t xml:space="preserve">) </w:t>
      </w:r>
      <w:r>
        <w:rPr>
          <w:bCs/>
        </w:rPr>
        <w:t xml:space="preserve">is to be established for each college — </w:t>
      </w:r>
    </w:p>
    <w:p>
      <w:pPr>
        <w:pStyle w:val="Indenta"/>
      </w:pPr>
      <w:r>
        <w:rPr>
          <w:bCs/>
        </w:rPr>
        <w:tab/>
        <w:t>(a)</w:t>
      </w:r>
      <w:r>
        <w:rPr>
          <w:bCs/>
        </w:rPr>
        <w:tab/>
        <w:t xml:space="preserve">as an agency special purpose account under section 16 </w:t>
      </w:r>
      <w:r>
        <w:t xml:space="preserve">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monies referred to in section 48 are to be credited.</w:t>
      </w:r>
    </w:p>
    <w:p>
      <w:pPr>
        <w:pStyle w:val="Subsection"/>
        <w:spacing w:before="120"/>
        <w:rPr>
          <w:snapToGrid w:val="0"/>
        </w:rPr>
      </w:pPr>
      <w:r>
        <w:rPr>
          <w:snapToGrid w:val="0"/>
        </w:rPr>
        <w:tab/>
        <w:t>(2)</w:t>
      </w:r>
      <w:r>
        <w:rPr>
          <w:snapToGrid w:val="0"/>
        </w:rPr>
        <w:tab/>
        <w:t>There is to be maintained within a college Trust</w:t>
      </w:r>
      <w:r>
        <w:t xml:space="preserve"> Account</w:t>
      </w:r>
      <w:r>
        <w:rPr>
          <w:snapToGrid w:val="0"/>
        </w:rPr>
        <w:t> — </w:t>
      </w:r>
    </w:p>
    <w:p>
      <w:pPr>
        <w:pStyle w:val="Indenta"/>
        <w:rPr>
          <w:snapToGrid w:val="0"/>
        </w:rPr>
      </w:pPr>
      <w:r>
        <w:rPr>
          <w:snapToGrid w:val="0"/>
        </w:rPr>
        <w:tab/>
        <w:t>(a)</w:t>
      </w:r>
      <w:r>
        <w:rPr>
          <w:snapToGrid w:val="0"/>
        </w:rPr>
        <w:tab/>
        <w:t>a general account through which the monies referred to in section 48(a) are to be accounted for; and</w:t>
      </w:r>
    </w:p>
    <w:p>
      <w:pPr>
        <w:pStyle w:val="Indenta"/>
        <w:rPr>
          <w:snapToGrid w:val="0"/>
        </w:rPr>
      </w:pPr>
      <w:r>
        <w:rPr>
          <w:snapToGrid w:val="0"/>
        </w:rPr>
        <w:tab/>
        <w:t>(b)</w:t>
      </w:r>
      <w:r>
        <w:rPr>
          <w:snapToGrid w:val="0"/>
        </w:rPr>
        <w:tab/>
        <w:t>a commercial account through which the monies referred to in section 48(b) and (c) are to be accounted for.</w:t>
      </w:r>
    </w:p>
    <w:p>
      <w:pPr>
        <w:pStyle w:val="Footnotesection"/>
      </w:pPr>
      <w:r>
        <w:tab/>
        <w:t>[Section 49 amended by No. 77 of 2006 s. 17.]</w:t>
      </w:r>
    </w:p>
    <w:p>
      <w:pPr>
        <w:pStyle w:val="Heading5"/>
        <w:rPr>
          <w:snapToGrid w:val="0"/>
        </w:rPr>
      </w:pPr>
      <w:bookmarkStart w:id="291" w:name="_Toc503077835"/>
      <w:bookmarkStart w:id="292" w:name="_Toc535632799"/>
      <w:bookmarkStart w:id="293" w:name="_Toc535633967"/>
      <w:bookmarkStart w:id="294" w:name="_Toc15804296"/>
      <w:bookmarkStart w:id="295" w:name="_Toc158087187"/>
      <w:r>
        <w:rPr>
          <w:rStyle w:val="CharSectno"/>
        </w:rPr>
        <w:t>50</w:t>
      </w:r>
      <w:r>
        <w:rPr>
          <w:snapToGrid w:val="0"/>
        </w:rPr>
        <w:t>.</w:t>
      </w:r>
      <w:r>
        <w:rPr>
          <w:snapToGrid w:val="0"/>
        </w:rPr>
        <w:tab/>
        <w:t>Use of funds</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funds of a college are to be applied for the purposes of this Act.</w:t>
      </w:r>
    </w:p>
    <w:p>
      <w:pPr>
        <w:pStyle w:val="Heading5"/>
        <w:spacing w:before="120"/>
        <w:rPr>
          <w:snapToGrid w:val="0"/>
        </w:rPr>
      </w:pPr>
      <w:bookmarkStart w:id="296" w:name="_Toc503077836"/>
      <w:bookmarkStart w:id="297" w:name="_Toc535632800"/>
      <w:bookmarkStart w:id="298" w:name="_Toc535633968"/>
      <w:bookmarkStart w:id="299" w:name="_Toc15804297"/>
      <w:bookmarkStart w:id="300" w:name="_Toc158087188"/>
      <w:r>
        <w:rPr>
          <w:rStyle w:val="CharSectno"/>
        </w:rPr>
        <w:t>51</w:t>
      </w:r>
      <w:r>
        <w:rPr>
          <w:snapToGrid w:val="0"/>
        </w:rPr>
        <w:t>.</w:t>
      </w:r>
      <w:r>
        <w:rPr>
          <w:snapToGrid w:val="0"/>
        </w:rPr>
        <w:tab/>
        <w:t>Power to borrow</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A college may borrow money on such terms and conditions as the Treasurer approves.</w:t>
      </w:r>
    </w:p>
    <w:p>
      <w:pPr>
        <w:pStyle w:val="Heading5"/>
        <w:spacing w:before="120"/>
        <w:rPr>
          <w:snapToGrid w:val="0"/>
        </w:rPr>
      </w:pPr>
      <w:bookmarkStart w:id="301" w:name="_Toc503077837"/>
      <w:bookmarkStart w:id="302" w:name="_Toc535632801"/>
      <w:bookmarkStart w:id="303" w:name="_Toc535633969"/>
      <w:bookmarkStart w:id="304" w:name="_Toc15804298"/>
      <w:bookmarkStart w:id="305" w:name="_Toc158087189"/>
      <w:r>
        <w:rPr>
          <w:rStyle w:val="CharSectno"/>
        </w:rPr>
        <w:t>52</w:t>
      </w:r>
      <w:r>
        <w:rPr>
          <w:snapToGrid w:val="0"/>
        </w:rPr>
        <w:t>.</w:t>
      </w:r>
      <w:r>
        <w:rPr>
          <w:snapToGrid w:val="0"/>
        </w:rPr>
        <w:tab/>
        <w:t>Power to invest</w:t>
      </w:r>
      <w:bookmarkEnd w:id="301"/>
      <w:bookmarkEnd w:id="302"/>
      <w:bookmarkEnd w:id="303"/>
      <w:bookmarkEnd w:id="304"/>
      <w:bookmarkEnd w:id="305"/>
      <w:r>
        <w:rPr>
          <w:snapToGrid w:val="0"/>
        </w:rPr>
        <w:t xml:space="preserve"> </w:t>
      </w:r>
    </w:p>
    <w:p>
      <w:pPr>
        <w:pStyle w:val="Subsection"/>
      </w:pPr>
      <w:r>
        <w:rPr>
          <w:snapToGrid w:val="0"/>
        </w:rPr>
        <w:tab/>
      </w:r>
      <w:r>
        <w:rPr>
          <w:snapToGrid w:val="0"/>
        </w:rPr>
        <w:tab/>
      </w:r>
      <w:r>
        <w:t xml:space="preserve">If a college Trust Account </w:t>
      </w:r>
      <w:r>
        <w:rPr>
          <w:snapToGrid w:val="0"/>
        </w:rPr>
        <w:t>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50 amended by No. 77 of 2006 s. 17.]</w:t>
      </w:r>
    </w:p>
    <w:p>
      <w:pPr>
        <w:pStyle w:val="Heading5"/>
        <w:spacing w:before="120"/>
        <w:rPr>
          <w:snapToGrid w:val="0"/>
        </w:rPr>
      </w:pPr>
      <w:bookmarkStart w:id="306" w:name="_Toc503077838"/>
      <w:bookmarkStart w:id="307" w:name="_Toc535632802"/>
      <w:bookmarkStart w:id="308" w:name="_Toc535633970"/>
      <w:bookmarkStart w:id="309" w:name="_Toc15804299"/>
      <w:bookmarkStart w:id="310" w:name="_Toc158087190"/>
      <w:r>
        <w:rPr>
          <w:rStyle w:val="CharSectno"/>
        </w:rPr>
        <w:t>53</w:t>
      </w:r>
      <w:r>
        <w:rPr>
          <w:snapToGrid w:val="0"/>
        </w:rPr>
        <w:t>.</w:t>
      </w:r>
      <w:r>
        <w:rPr>
          <w:snapToGrid w:val="0"/>
        </w:rPr>
        <w:tab/>
        <w:t>Minister may direct transfer of funds</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If the Minister is satisfied that there is available in the commercial account of a college Trust</w:t>
      </w:r>
      <w:r>
        <w:t xml:space="preserve"> Account</w:t>
      </w:r>
      <w:r>
        <w:rPr>
          <w:snapToGrid w:val="0"/>
        </w:rPr>
        <w:t xml:space="preserve"> a credit balance in excess of the amount reasonably required for the purposes of that account the Minister may direct that the whole or a part of that excess be credited to another college Trust</w:t>
      </w:r>
      <w:r>
        <w:t xml:space="preserve"> Account</w:t>
      </w:r>
      <w:r>
        <w:rPr>
          <w:snapToGrid w:val="0"/>
        </w:rPr>
        <w:t xml:space="preserve"> or to the Vocational Education and Training Trust</w:t>
      </w:r>
      <w:r>
        <w:t xml:space="preserve"> Account</w:t>
      </w:r>
      <w:r>
        <w:rPr>
          <w:snapToGrid w:val="0"/>
        </w:rPr>
        <w:t xml:space="preserve"> referred to in section 15.</w:t>
      </w:r>
    </w:p>
    <w:p>
      <w:pPr>
        <w:pStyle w:val="Footnotesection"/>
      </w:pPr>
      <w:bookmarkStart w:id="311" w:name="_Toc503077839"/>
      <w:bookmarkStart w:id="312" w:name="_Toc535632803"/>
      <w:bookmarkStart w:id="313" w:name="_Toc535633971"/>
      <w:bookmarkStart w:id="314" w:name="_Toc15804300"/>
      <w:r>
        <w:tab/>
        <w:t>[Section 53 amended by No. 77 of 2006 s. 17.]</w:t>
      </w:r>
    </w:p>
    <w:p>
      <w:pPr>
        <w:pStyle w:val="Heading5"/>
        <w:spacing w:before="120"/>
        <w:rPr>
          <w:snapToGrid w:val="0"/>
        </w:rPr>
      </w:pPr>
      <w:bookmarkStart w:id="315" w:name="_Toc158087191"/>
      <w:r>
        <w:rPr>
          <w:rStyle w:val="CharSectno"/>
        </w:rPr>
        <w:t>54</w:t>
      </w:r>
      <w:r>
        <w:rPr>
          <w:snapToGrid w:val="0"/>
        </w:rPr>
        <w:t>.</w:t>
      </w:r>
      <w:r>
        <w:rPr>
          <w:snapToGrid w:val="0"/>
        </w:rPr>
        <w:tab/>
        <w:t xml:space="preserve">Application of </w:t>
      </w:r>
      <w:bookmarkEnd w:id="311"/>
      <w:bookmarkEnd w:id="312"/>
      <w:bookmarkEnd w:id="313"/>
      <w:bookmarkEnd w:id="314"/>
      <w:r>
        <w:rPr>
          <w:i/>
          <w:iCs/>
        </w:rPr>
        <w:t>Financial Management Act 2006</w:t>
      </w:r>
      <w:r>
        <w:t xml:space="preserve"> and </w:t>
      </w:r>
      <w:r>
        <w:rPr>
          <w:i/>
          <w:iCs/>
        </w:rPr>
        <w:t>Auditor General Act 2006</w:t>
      </w:r>
      <w:bookmarkEnd w:id="315"/>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Subsection"/>
      </w:pPr>
      <w:bookmarkStart w:id="316" w:name="_Toc156972389"/>
      <w:r>
        <w:tab/>
        <w:t>(4)</w:t>
      </w:r>
      <w:r>
        <w:tab/>
        <w:t xml:space="preserve">Section 20 of the </w:t>
      </w:r>
      <w:r>
        <w:rPr>
          <w:i/>
          <w:iCs/>
        </w:rPr>
        <w:t>Financial Management Act 2006</w:t>
      </w:r>
      <w:r>
        <w:t xml:space="preserve"> does not apply to a college Trust Account.</w:t>
      </w:r>
    </w:p>
    <w:p>
      <w:pPr>
        <w:pStyle w:val="Footnotesection"/>
      </w:pPr>
      <w:r>
        <w:tab/>
        <w:t>[Section 54 amended by No. 77 of 2006 s. 17.]</w:t>
      </w:r>
    </w:p>
    <w:p>
      <w:pPr>
        <w:pStyle w:val="Heading3"/>
        <w:rPr>
          <w:snapToGrid w:val="0"/>
        </w:rPr>
      </w:pPr>
      <w:bookmarkStart w:id="317" w:name="_Toc158087192"/>
      <w:r>
        <w:rPr>
          <w:rStyle w:val="CharDivNo"/>
        </w:rPr>
        <w:t>Division 4</w:t>
      </w:r>
      <w:r>
        <w:rPr>
          <w:snapToGrid w:val="0"/>
        </w:rPr>
        <w:t> — </w:t>
      </w:r>
      <w:r>
        <w:rPr>
          <w:rStyle w:val="CharDivText"/>
        </w:rPr>
        <w:t>Failure of governing council to operate efficiently etc.</w:t>
      </w:r>
      <w:bookmarkEnd w:id="316"/>
      <w:bookmarkEnd w:id="317"/>
      <w:r>
        <w:rPr>
          <w:rStyle w:val="CharDivText"/>
        </w:rPr>
        <w:t xml:space="preserve"> </w:t>
      </w:r>
    </w:p>
    <w:p>
      <w:pPr>
        <w:pStyle w:val="Heading5"/>
        <w:rPr>
          <w:snapToGrid w:val="0"/>
        </w:rPr>
      </w:pPr>
      <w:bookmarkStart w:id="318" w:name="_Toc503077840"/>
      <w:bookmarkStart w:id="319" w:name="_Toc535632804"/>
      <w:bookmarkStart w:id="320" w:name="_Toc535633972"/>
      <w:bookmarkStart w:id="321" w:name="_Toc15804301"/>
      <w:bookmarkStart w:id="322" w:name="_Toc158087193"/>
      <w:r>
        <w:rPr>
          <w:rStyle w:val="CharSectno"/>
        </w:rPr>
        <w:t>55</w:t>
      </w:r>
      <w:r>
        <w:rPr>
          <w:snapToGrid w:val="0"/>
        </w:rPr>
        <w:t>.</w:t>
      </w:r>
      <w:r>
        <w:rPr>
          <w:snapToGrid w:val="0"/>
        </w:rPr>
        <w:tab/>
        <w:t>Minister may take action where governing council fails to operate efficiently etc.</w:t>
      </w:r>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Where, in the opinion of the Minister, the governing council of a college has failed, or is failing — </w:t>
      </w:r>
    </w:p>
    <w:p>
      <w:pPr>
        <w:pStyle w:val="Indenta"/>
        <w:rPr>
          <w:snapToGrid w:val="0"/>
        </w:rPr>
      </w:pPr>
      <w:r>
        <w:rPr>
          <w:snapToGrid w:val="0"/>
        </w:rPr>
        <w:tab/>
        <w:t>(a)</w:t>
      </w:r>
      <w:r>
        <w:rPr>
          <w:snapToGrid w:val="0"/>
        </w:rPr>
        <w:tab/>
        <w:t>to operate efficiently or effectively;</w:t>
      </w:r>
    </w:p>
    <w:p>
      <w:pPr>
        <w:pStyle w:val="Indenta"/>
        <w:rPr>
          <w:snapToGrid w:val="0"/>
        </w:rPr>
      </w:pPr>
      <w:r>
        <w:rPr>
          <w:snapToGrid w:val="0"/>
        </w:rPr>
        <w:tab/>
        <w:t>(b)</w:t>
      </w:r>
      <w:r>
        <w:rPr>
          <w:snapToGrid w:val="0"/>
        </w:rPr>
        <w:tab/>
        <w:t>to meet the college’s obligations under a Resource Agreement; or</w:t>
      </w:r>
    </w:p>
    <w:p>
      <w:pPr>
        <w:pStyle w:val="Indenta"/>
        <w:rPr>
          <w:snapToGrid w:val="0"/>
        </w:rPr>
      </w:pPr>
      <w:r>
        <w:rPr>
          <w:snapToGrid w:val="0"/>
        </w:rPr>
        <w:tab/>
        <w:t>(c)</w:t>
      </w:r>
      <w:r>
        <w:rPr>
          <w:snapToGrid w:val="0"/>
        </w:rPr>
        <w:tab/>
        <w:t>otherwise to adequately and properly perform its functions,</w:t>
      </w:r>
    </w:p>
    <w:p>
      <w:pPr>
        <w:pStyle w:val="Subsection"/>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Heading5"/>
        <w:rPr>
          <w:snapToGrid w:val="0"/>
        </w:rPr>
      </w:pPr>
      <w:bookmarkStart w:id="323" w:name="_Toc503077841"/>
      <w:bookmarkStart w:id="324" w:name="_Toc535632805"/>
      <w:bookmarkStart w:id="325" w:name="_Toc535633973"/>
      <w:bookmarkStart w:id="326" w:name="_Toc15804302"/>
      <w:bookmarkStart w:id="327" w:name="_Toc158087194"/>
      <w:r>
        <w:rPr>
          <w:rStyle w:val="CharSectno"/>
        </w:rPr>
        <w:t>56</w:t>
      </w:r>
      <w:r>
        <w:rPr>
          <w:snapToGrid w:val="0"/>
        </w:rPr>
        <w:t>.</w:t>
      </w:r>
      <w:r>
        <w:rPr>
          <w:snapToGrid w:val="0"/>
        </w:rPr>
        <w:tab/>
        <w:t>Order assuming functions or appointing administrator</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2"/>
      </w:pPr>
      <w:bookmarkStart w:id="328" w:name="_Toc156972392"/>
      <w:bookmarkStart w:id="329" w:name="_Toc158087195"/>
      <w:r>
        <w:rPr>
          <w:rStyle w:val="CharPartNo"/>
        </w:rPr>
        <w:t>Part 6</w:t>
      </w:r>
      <w:r>
        <w:rPr>
          <w:rStyle w:val="CharDivNo"/>
        </w:rPr>
        <w:t> </w:t>
      </w:r>
      <w:r>
        <w:t>—</w:t>
      </w:r>
      <w:r>
        <w:rPr>
          <w:rStyle w:val="CharDivText"/>
        </w:rPr>
        <w:t> </w:t>
      </w:r>
      <w:r>
        <w:rPr>
          <w:rStyle w:val="CharPartText"/>
        </w:rPr>
        <w:t>Other vocational education and training institutions</w:t>
      </w:r>
      <w:bookmarkEnd w:id="328"/>
      <w:bookmarkEnd w:id="329"/>
      <w:r>
        <w:rPr>
          <w:rStyle w:val="CharPartText"/>
        </w:rPr>
        <w:t xml:space="preserve"> </w:t>
      </w:r>
    </w:p>
    <w:p>
      <w:pPr>
        <w:pStyle w:val="Heading5"/>
        <w:rPr>
          <w:snapToGrid w:val="0"/>
        </w:rPr>
      </w:pPr>
      <w:bookmarkStart w:id="330" w:name="_Toc503077842"/>
      <w:bookmarkStart w:id="331" w:name="_Toc535632806"/>
      <w:bookmarkStart w:id="332" w:name="_Toc535633974"/>
      <w:bookmarkStart w:id="333" w:name="_Toc15804303"/>
      <w:bookmarkStart w:id="334" w:name="_Toc158087196"/>
      <w:r>
        <w:rPr>
          <w:rStyle w:val="CharSectno"/>
        </w:rPr>
        <w:t>57</w:t>
      </w:r>
      <w:r>
        <w:rPr>
          <w:snapToGrid w:val="0"/>
        </w:rPr>
        <w:t>.</w:t>
      </w:r>
      <w:r>
        <w:rPr>
          <w:snapToGrid w:val="0"/>
        </w:rPr>
        <w:tab/>
        <w:t>Minister may establish other vocational education and training institutions</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Subsection"/>
        <w:rPr>
          <w:snapToGrid w:val="0"/>
        </w:rPr>
      </w:pPr>
      <w:r>
        <w:rPr>
          <w:snapToGrid w:val="0"/>
        </w:rPr>
        <w:tab/>
        <w:t>(3)</w:t>
      </w:r>
      <w:r>
        <w:rPr>
          <w:snapToGrid w:val="0"/>
        </w:rPr>
        <w:tab/>
        <w:t>An order under this section must vest the management and control of an institution in the chief executive, but subject to the exercise of the Minister’s powers under section 14.</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Ednotepart"/>
      </w:pPr>
      <w:r>
        <w:t>[Part 7 has not come into operation</w:t>
      </w:r>
      <w:r>
        <w:rPr>
          <w:vertAlign w:val="superscript"/>
        </w:rPr>
        <w:t> 2</w:t>
      </w:r>
      <w:r>
        <w:t>.]</w:t>
      </w:r>
    </w:p>
    <w:p>
      <w:pPr>
        <w:pStyle w:val="Heading2"/>
      </w:pPr>
      <w:bookmarkStart w:id="335" w:name="_Toc156972394"/>
      <w:bookmarkStart w:id="336" w:name="_Toc158087197"/>
      <w:r>
        <w:rPr>
          <w:rStyle w:val="CharPartNo"/>
        </w:rPr>
        <w:t>Part 8</w:t>
      </w:r>
      <w:r>
        <w:rPr>
          <w:rStyle w:val="CharDivNo"/>
        </w:rPr>
        <w:t> </w:t>
      </w:r>
      <w:r>
        <w:t>—</w:t>
      </w:r>
      <w:r>
        <w:rPr>
          <w:rStyle w:val="CharDivText"/>
        </w:rPr>
        <w:t> </w:t>
      </w:r>
      <w:r>
        <w:rPr>
          <w:rStyle w:val="CharPartText"/>
        </w:rPr>
        <w:t>Miscellaneous</w:t>
      </w:r>
      <w:bookmarkEnd w:id="335"/>
      <w:bookmarkEnd w:id="336"/>
      <w:r>
        <w:rPr>
          <w:rStyle w:val="CharPartText"/>
        </w:rPr>
        <w:t xml:space="preserve"> </w:t>
      </w:r>
    </w:p>
    <w:p>
      <w:pPr>
        <w:pStyle w:val="Heading5"/>
        <w:rPr>
          <w:snapToGrid w:val="0"/>
        </w:rPr>
      </w:pPr>
      <w:bookmarkStart w:id="337" w:name="_Toc503077843"/>
      <w:bookmarkStart w:id="338" w:name="_Toc535632807"/>
      <w:bookmarkStart w:id="339" w:name="_Toc535633975"/>
      <w:bookmarkStart w:id="340" w:name="_Toc15804304"/>
      <w:bookmarkStart w:id="341" w:name="_Toc158087198"/>
      <w:r>
        <w:rPr>
          <w:rStyle w:val="CharSectno"/>
        </w:rPr>
        <w:t>63</w:t>
      </w:r>
      <w:r>
        <w:rPr>
          <w:snapToGrid w:val="0"/>
        </w:rPr>
        <w:t>.</w:t>
      </w:r>
      <w:r>
        <w:rPr>
          <w:snapToGrid w:val="0"/>
        </w:rPr>
        <w:tab/>
        <w:t>Remuneration of members of Board, Council etc.</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 member of — </w:t>
      </w:r>
    </w:p>
    <w:p>
      <w:pPr>
        <w:pStyle w:val="Indenta"/>
        <w:rPr>
          <w:snapToGrid w:val="0"/>
        </w:rPr>
      </w:pPr>
      <w:r>
        <w:rPr>
          <w:snapToGrid w:val="0"/>
        </w:rPr>
        <w:tab/>
        <w:t>(a)</w:t>
      </w:r>
      <w:r>
        <w:rPr>
          <w:snapToGrid w:val="0"/>
        </w:rPr>
        <w:tab/>
        <w:t>the Board and a committee of the Board;</w:t>
      </w:r>
    </w:p>
    <w:p>
      <w:pPr>
        <w:pStyle w:val="Indenta"/>
        <w:rPr>
          <w:snapToGrid w:val="0"/>
        </w:rPr>
      </w:pPr>
      <w:r>
        <w:rPr>
          <w:snapToGrid w:val="0"/>
        </w:rPr>
        <w:tab/>
        <w:t>(b)</w:t>
      </w:r>
      <w:r>
        <w:rPr>
          <w:snapToGrid w:val="0"/>
        </w:rPr>
        <w:tab/>
        <w:t>the Council and a committee of the Council; and</w:t>
      </w:r>
    </w:p>
    <w:p>
      <w:pPr>
        <w:pStyle w:val="Indenta"/>
        <w:rPr>
          <w:snapToGrid w:val="0"/>
        </w:rPr>
      </w:pPr>
      <w:r>
        <w:rPr>
          <w:snapToGrid w:val="0"/>
        </w:rPr>
        <w:tab/>
        <w:t>(c)</w:t>
      </w:r>
      <w:r>
        <w:rPr>
          <w:snapToGrid w:val="0"/>
        </w:rPr>
        <w:tab/>
        <w:t>a review panel appointed under section 32(1),</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Heading5"/>
        <w:rPr>
          <w:snapToGrid w:val="0"/>
        </w:rPr>
      </w:pPr>
      <w:bookmarkStart w:id="342" w:name="_Toc503077844"/>
      <w:bookmarkStart w:id="343" w:name="_Toc535632808"/>
      <w:bookmarkStart w:id="344" w:name="_Toc535633976"/>
      <w:bookmarkStart w:id="345" w:name="_Toc15804305"/>
      <w:bookmarkStart w:id="346" w:name="_Toc158087199"/>
      <w:r>
        <w:rPr>
          <w:rStyle w:val="CharSectno"/>
        </w:rPr>
        <w:t>64</w:t>
      </w:r>
      <w:r>
        <w:rPr>
          <w:snapToGrid w:val="0"/>
        </w:rPr>
        <w:t>.</w:t>
      </w:r>
      <w:r>
        <w:rPr>
          <w:snapToGrid w:val="0"/>
        </w:rPr>
        <w:tab/>
        <w:t>Protection from liability</w:t>
      </w:r>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47" w:name="_Toc503077845"/>
      <w:bookmarkStart w:id="348" w:name="_Toc535632809"/>
      <w:bookmarkStart w:id="349" w:name="_Toc535633977"/>
      <w:bookmarkStart w:id="350" w:name="_Toc15804306"/>
      <w:bookmarkStart w:id="351" w:name="_Toc158087200"/>
      <w:r>
        <w:rPr>
          <w:rStyle w:val="CharSectno"/>
        </w:rPr>
        <w:t>65</w:t>
      </w:r>
      <w:r>
        <w:rPr>
          <w:snapToGrid w:val="0"/>
        </w:rPr>
        <w:t>.</w:t>
      </w:r>
      <w:r>
        <w:rPr>
          <w:snapToGrid w:val="0"/>
        </w:rPr>
        <w:tab/>
        <w:t>Falsely claiming accreditation or registration</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A person must not, in relation to a course or skills training programme, use any name, title, letters or description stating or implying, or that may reasonably be understood to imply, that the course or skills training programme is accredited, unless that course or skills training programme is so accredited.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 person other than a registered training provider is to use a name, title, letters or description stating or implying or that may reasonably be understood to imply that the person is a registered training provider.</w:t>
      </w:r>
    </w:p>
    <w:p>
      <w:pPr>
        <w:pStyle w:val="Penstart"/>
        <w:rPr>
          <w:snapToGrid w:val="0"/>
        </w:rPr>
      </w:pPr>
      <w:r>
        <w:rPr>
          <w:snapToGrid w:val="0"/>
        </w:rPr>
        <w:tab/>
        <w:t>Penalty: $10 000.</w:t>
      </w:r>
    </w:p>
    <w:p>
      <w:pPr>
        <w:pStyle w:val="Heading5"/>
        <w:rPr>
          <w:snapToGrid w:val="0"/>
        </w:rPr>
      </w:pPr>
      <w:bookmarkStart w:id="352" w:name="_Toc503077846"/>
      <w:bookmarkStart w:id="353" w:name="_Toc535632810"/>
      <w:bookmarkStart w:id="354" w:name="_Toc535633978"/>
      <w:bookmarkStart w:id="355" w:name="_Toc15804307"/>
      <w:bookmarkStart w:id="356" w:name="_Toc158087201"/>
      <w:r>
        <w:rPr>
          <w:rStyle w:val="CharSectno"/>
        </w:rPr>
        <w:t>66</w:t>
      </w:r>
      <w:r>
        <w:rPr>
          <w:snapToGrid w:val="0"/>
        </w:rPr>
        <w:t>.</w:t>
      </w:r>
      <w:r>
        <w:rPr>
          <w:snapToGrid w:val="0"/>
        </w:rPr>
        <w:tab/>
        <w:t>Further provision relating to closure of college</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college</w:t>
      </w:r>
      <w:r>
        <w:t xml:space="preserve"> means a college that has been closed by an order under section 35(b) or 56(1)(b);</w:t>
      </w:r>
    </w:p>
    <w:p>
      <w:pPr>
        <w:pStyle w:val="Defstart"/>
      </w:pPr>
      <w:r>
        <w:rPr>
          <w:b/>
        </w:rPr>
        <w:tab/>
      </w:r>
      <w:r>
        <w:rPr>
          <w:rStyle w:val="CharDefText"/>
        </w:rPr>
        <w:t>the closing day</w:t>
      </w:r>
      <w:r>
        <w:t xml:space="preserve"> means the day on which an order under section 35(b) or 56(1)(b) to close a college takes effect.</w:t>
      </w:r>
    </w:p>
    <w:p>
      <w:pPr>
        <w:pStyle w:val="Subsection"/>
        <w:rPr>
          <w:snapToGrid w:val="0"/>
        </w:rPr>
      </w:pPr>
      <w:r>
        <w:rPr>
          <w:snapToGrid w:val="0"/>
        </w:rPr>
        <w:tab/>
        <w:t>(2)</w:t>
      </w:r>
      <w:r>
        <w:rPr>
          <w:snapToGrid w:val="0"/>
        </w:rPr>
        <w:tab/>
        <w:t>On the closing day — </w:t>
      </w:r>
    </w:p>
    <w:p>
      <w:pPr>
        <w:pStyle w:val="Indenta"/>
        <w:rPr>
          <w:snapToGrid w:val="0"/>
        </w:rPr>
      </w:pPr>
      <w:r>
        <w:rPr>
          <w:snapToGrid w:val="0"/>
        </w:rPr>
        <w:tab/>
        <w:t>(a)</w:t>
      </w:r>
      <w:r>
        <w:rPr>
          <w:snapToGrid w:val="0"/>
        </w:rPr>
        <w:tab/>
        <w:t>all assets and rights of the college become assets and rights of the Minister without the need for any transfer;</w:t>
      </w:r>
    </w:p>
    <w:p>
      <w:pPr>
        <w:pStyle w:val="Indenta"/>
        <w:rPr>
          <w:snapToGrid w:val="0"/>
        </w:rPr>
      </w:pPr>
      <w:r>
        <w:rPr>
          <w:snapToGrid w:val="0"/>
        </w:rPr>
        <w:tab/>
        <w:t>(b)</w:t>
      </w:r>
      <w:r>
        <w:rPr>
          <w:snapToGrid w:val="0"/>
        </w:rPr>
        <w:tab/>
        <w:t>all liabilities of the college, including contingent liabilities, become liabilities of the Minister;</w:t>
      </w:r>
    </w:p>
    <w:p>
      <w:pPr>
        <w:pStyle w:val="Indenta"/>
        <w:rPr>
          <w:snapToGrid w:val="0"/>
        </w:rPr>
      </w:pPr>
      <w:r>
        <w:rPr>
          <w:snapToGrid w:val="0"/>
        </w:rPr>
        <w:tab/>
        <w:t>(c)</w:t>
      </w:r>
      <w:r>
        <w:rPr>
          <w:snapToGrid w:val="0"/>
        </w:rPr>
        <w:tab/>
        <w:t>any agreement to which the college is a party (other than one to which the Minister was the other party) has effect as if the Minister was substituted for the college as a party to that agreement;</w:t>
      </w:r>
    </w:p>
    <w:p>
      <w:pPr>
        <w:pStyle w:val="Indenta"/>
        <w:rPr>
          <w:snapToGrid w:val="0"/>
        </w:rPr>
      </w:pPr>
      <w:r>
        <w:rPr>
          <w:snapToGrid w:val="0"/>
        </w:rPr>
        <w:tab/>
        <w:t>(d)</w:t>
      </w:r>
      <w:r>
        <w:rPr>
          <w:snapToGrid w:val="0"/>
        </w:rPr>
        <w:tab/>
        <w:t>all proceedings commenced before the closing day by or against the college are to be taken to be proceedings pending by or against the Minister;</w:t>
      </w:r>
    </w:p>
    <w:p>
      <w:pPr>
        <w:pStyle w:val="Indenta"/>
        <w:rPr>
          <w:snapToGrid w:val="0"/>
        </w:rPr>
      </w:pPr>
      <w:r>
        <w:rPr>
          <w:snapToGrid w:val="0"/>
        </w:rPr>
        <w:tab/>
        <w:t>(e)</w:t>
      </w:r>
      <w:r>
        <w:rPr>
          <w:snapToGrid w:val="0"/>
        </w:rP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rPr>
          <w:snapToGrid w:val="0"/>
        </w:rPr>
      </w:pPr>
      <w:r>
        <w:rPr>
          <w:snapToGrid w:val="0"/>
        </w:rPr>
        <w:tab/>
        <w:t>(f)</w:t>
      </w:r>
      <w:r>
        <w:rPr>
          <w:snapToGrid w:val="0"/>
        </w:rPr>
        <w:tab/>
        <w:t>the Minister becomes the owner of all the college’s registers, documents, books and other records, however compiled, recorded or stored and of any tape, disc or other device or medium relating to such records; and</w:t>
      </w:r>
    </w:p>
    <w:p>
      <w:pPr>
        <w:pStyle w:val="Indenta"/>
        <w:rPr>
          <w:snapToGrid w:val="0"/>
        </w:rPr>
      </w:pPr>
      <w:r>
        <w:rPr>
          <w:snapToGrid w:val="0"/>
        </w:rPr>
        <w:tab/>
        <w:t>(g)</w:t>
      </w:r>
      <w:r>
        <w:rPr>
          <w:snapToGrid w:val="0"/>
        </w:rPr>
        <w:tab/>
        <w:t>the status of a college as a body corporate ceases.</w:t>
      </w:r>
    </w:p>
    <w:p>
      <w:pPr>
        <w:pStyle w:val="Subsection"/>
        <w:rPr>
          <w:snapToGrid w:val="0"/>
        </w:rPr>
      </w:pPr>
      <w:r>
        <w:rPr>
          <w:snapToGrid w:val="0"/>
        </w:rPr>
        <w:tab/>
        <w:t>(3)</w:t>
      </w:r>
      <w:r>
        <w:rPr>
          <w:snapToGrid w:val="0"/>
        </w:rPr>
        <w:tab/>
        <w:t>The Minister is to complete the winding-up of the operations and affairs of the college as soon as practicable after the closing day and for that purpose the Minister has, and may exercise, any powers that are necessary.</w:t>
      </w:r>
    </w:p>
    <w:p>
      <w:pPr>
        <w:pStyle w:val="Subsection"/>
        <w:rPr>
          <w:snapToGrid w:val="0"/>
        </w:rPr>
      </w:pPr>
      <w:r>
        <w:rPr>
          <w:snapToGrid w:val="0"/>
        </w:rPr>
        <w:tab/>
        <w:t>(4)</w:t>
      </w:r>
      <w:r>
        <w:rPr>
          <w:snapToGrid w:val="0"/>
        </w:rPr>
        <w:tab/>
        <w:t>Despite</w:t>
      </w:r>
      <w:r>
        <w:t xml:space="preserve"> section 55 of the </w:t>
      </w:r>
      <w:r>
        <w:rPr>
          <w:i/>
          <w:iCs/>
        </w:rPr>
        <w:t>Financial Management Act 2006</w:t>
      </w:r>
      <w:r>
        <w:rPr>
          <w:snapToGrid w:val="0"/>
        </w:rPr>
        <w:t xml:space="preserve"> an order under section 35 or 56(1) may specify the person who is to be the accountable authority for the purposes of the report required by Part 5 of that Act with respect to the period from 1 January in a year until the completion of the winding up of the operations and affairs of the college under subsection (3), and Part 5 of that Act applies to that person as the accountable authority of the college as if that period were a full financial year.</w:t>
      </w:r>
    </w:p>
    <w:p>
      <w:pPr>
        <w:pStyle w:val="Footnotesection"/>
      </w:pPr>
      <w:bookmarkStart w:id="357" w:name="_Toc503077847"/>
      <w:bookmarkStart w:id="358" w:name="_Toc535632811"/>
      <w:bookmarkStart w:id="359" w:name="_Toc535633979"/>
      <w:bookmarkStart w:id="360" w:name="_Toc15804308"/>
      <w:r>
        <w:tab/>
        <w:t>[Section 66 amended by No. 77 of 2006 s. 17.]</w:t>
      </w:r>
    </w:p>
    <w:p>
      <w:pPr>
        <w:pStyle w:val="Heading5"/>
        <w:rPr>
          <w:snapToGrid w:val="0"/>
        </w:rPr>
      </w:pPr>
      <w:bookmarkStart w:id="361" w:name="_Toc158087202"/>
      <w:r>
        <w:rPr>
          <w:rStyle w:val="CharSectno"/>
        </w:rPr>
        <w:t>67</w:t>
      </w:r>
      <w:r>
        <w:rPr>
          <w:snapToGrid w:val="0"/>
        </w:rPr>
        <w:t>.</w:t>
      </w:r>
      <w:r>
        <w:rPr>
          <w:snapToGrid w:val="0"/>
        </w:rPr>
        <w:tab/>
        <w:t>Regulations</w:t>
      </w:r>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 </w:t>
      </w:r>
    </w:p>
    <w:p>
      <w:pPr>
        <w:pStyle w:val="Indenti"/>
        <w:rPr>
          <w:snapToGrid w:val="0"/>
        </w:rPr>
      </w:pPr>
      <w:r>
        <w:rPr>
          <w:snapToGrid w:val="0"/>
        </w:rPr>
        <w:tab/>
        <w:t>(i)</w:t>
      </w:r>
      <w:r>
        <w:rPr>
          <w:snapToGrid w:val="0"/>
        </w:rPr>
        <w:tab/>
        <w:t xml:space="preserve">the supply of vocational education and training and related services; </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rPr>
          <w:snapToGrid w:val="0"/>
        </w:rPr>
      </w:pPr>
      <w:r>
        <w:rPr>
          <w:snapToGrid w:val="0"/>
        </w:rPr>
        <w:tab/>
        <w:t>(c)</w:t>
      </w:r>
      <w:r>
        <w:rPr>
          <w:snapToGrid w:val="0"/>
        </w:rPr>
        <w:tab/>
        <w:t>amend or supplement, with effect from a time which is not earlier than the commencement of this section, the transitional provisions set out in Schedule 4 for the purpose of providing an effective and efficient transition from — </w:t>
      </w:r>
    </w:p>
    <w:p>
      <w:pPr>
        <w:pStyle w:val="Indenti"/>
        <w:rPr>
          <w:snapToGrid w:val="0"/>
        </w:rPr>
      </w:pPr>
      <w:r>
        <w:rPr>
          <w:snapToGrid w:val="0"/>
        </w:rPr>
        <w:tab/>
        <w:t>(i)</w:t>
      </w:r>
      <w:r>
        <w:rPr>
          <w:snapToGrid w:val="0"/>
        </w:rPr>
        <w:tab/>
        <w:t>the operation of the provisions repealed by section 70 or amended by Schedule 3 to the operation of this Act; or</w:t>
      </w:r>
    </w:p>
    <w:p>
      <w:pPr>
        <w:pStyle w:val="Indenti"/>
        <w:rPr>
          <w:snapToGrid w:val="0"/>
        </w:rPr>
      </w:pPr>
      <w:r>
        <w:rPr>
          <w:snapToGrid w:val="0"/>
        </w:rPr>
        <w:tab/>
        <w:t>(ii)</w:t>
      </w:r>
      <w:r>
        <w:rPr>
          <w:snapToGrid w:val="0"/>
        </w:rPr>
        <w:tab/>
        <w:t>from the employment circumstances of the persons employed under or for the purpose of those provisions to the employment circumstances of those persons under this Act.</w:t>
      </w:r>
    </w:p>
    <w:p>
      <w:pPr>
        <w:pStyle w:val="Heading5"/>
        <w:rPr>
          <w:snapToGrid w:val="0"/>
        </w:rPr>
      </w:pPr>
      <w:bookmarkStart w:id="362" w:name="_Toc503077848"/>
      <w:bookmarkStart w:id="363" w:name="_Toc535632812"/>
      <w:bookmarkStart w:id="364" w:name="_Toc535633980"/>
      <w:bookmarkStart w:id="365" w:name="_Toc15804309"/>
      <w:bookmarkStart w:id="366" w:name="_Toc158087203"/>
      <w:r>
        <w:rPr>
          <w:rStyle w:val="CharSectno"/>
        </w:rPr>
        <w:t>68</w:t>
      </w:r>
      <w:r>
        <w:rPr>
          <w:snapToGrid w:val="0"/>
        </w:rPr>
        <w:t>.</w:t>
      </w:r>
      <w:r>
        <w:rPr>
          <w:snapToGrid w:val="0"/>
        </w:rPr>
        <w:tab/>
        <w:t>Provisions relating to the Commonwealth Act</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The Minister is to nominate the department as the State training agency for the purposes of the </w:t>
      </w:r>
      <w:r>
        <w:rPr>
          <w:i/>
          <w:snapToGrid w:val="0"/>
        </w:rPr>
        <w:t>Australian National Training Authority Act 1992</w:t>
      </w:r>
      <w:r>
        <w:rPr>
          <w:snapToGrid w:val="0"/>
        </w:rPr>
        <w:t xml:space="preserve"> of the Commonwealth (</w:t>
      </w:r>
      <w:r>
        <w:rPr>
          <w:rStyle w:val="CharDefText"/>
        </w:rPr>
        <w:t>the Commonwealth Act</w:t>
      </w:r>
      <w:r>
        <w:rPr>
          <w:snapToGrid w:val="0"/>
        </w:rPr>
        <w:t>).</w:t>
      </w:r>
    </w:p>
    <w:p>
      <w:pPr>
        <w:pStyle w:val="Subsection"/>
        <w:rPr>
          <w:snapToGrid w:val="0"/>
        </w:rPr>
      </w:pPr>
      <w:r>
        <w:rPr>
          <w:snapToGrid w:val="0"/>
        </w:rPr>
        <w:tab/>
        <w:t>(2)</w:t>
      </w:r>
      <w:r>
        <w:rPr>
          <w:snapToGrid w:val="0"/>
        </w:rPr>
        <w:tab/>
        <w:t>A public training provider is not to make any application or representation directly to the Australian National Training Authority established under the Commonwealth Act in respect of the allocation of funding for vocational education and training except with the approval of the chief executive.</w:t>
      </w:r>
    </w:p>
    <w:p>
      <w:pPr>
        <w:pStyle w:val="Heading5"/>
        <w:rPr>
          <w:snapToGrid w:val="0"/>
        </w:rPr>
      </w:pPr>
      <w:bookmarkStart w:id="367" w:name="_Toc503077849"/>
      <w:bookmarkStart w:id="368" w:name="_Toc535632813"/>
      <w:bookmarkStart w:id="369" w:name="_Toc535633981"/>
      <w:bookmarkStart w:id="370" w:name="_Toc15804310"/>
      <w:bookmarkStart w:id="371" w:name="_Toc158087204"/>
      <w:r>
        <w:rPr>
          <w:rStyle w:val="CharSectno"/>
        </w:rPr>
        <w:t>69</w:t>
      </w:r>
      <w:r>
        <w:rPr>
          <w:snapToGrid w:val="0"/>
        </w:rPr>
        <w:t>.</w:t>
      </w:r>
      <w:r>
        <w:rPr>
          <w:snapToGrid w:val="0"/>
        </w:rPr>
        <w:tab/>
        <w:t>Review of Act</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no later than 6 months after the expiration of 3 years from its commencement and in the course of that review the Minister is to consider and have regard to — </w:t>
      </w:r>
    </w:p>
    <w:p>
      <w:pPr>
        <w:pStyle w:val="Indenta"/>
        <w:rPr>
          <w:snapToGrid w:val="0"/>
        </w:rPr>
      </w:pPr>
      <w:r>
        <w:rPr>
          <w:snapToGrid w:val="0"/>
        </w:rPr>
        <w:tab/>
        <w:t>(a)</w:t>
      </w:r>
      <w:r>
        <w:rPr>
          <w:snapToGrid w:val="0"/>
        </w:rPr>
        <w:tab/>
        <w:t>such matters as appear to be relevant to the operation of this Act; and</w:t>
      </w:r>
    </w:p>
    <w:p>
      <w:pPr>
        <w:pStyle w:val="Indenta"/>
        <w:rPr>
          <w:snapToGrid w:val="0"/>
        </w:rPr>
      </w:pPr>
      <w:r>
        <w:rPr>
          <w:snapToGrid w:val="0"/>
        </w:rPr>
        <w:tab/>
        <w:t>(b)</w:t>
      </w:r>
      <w:r>
        <w:rPr>
          <w:snapToGrid w:val="0"/>
        </w:rPr>
        <w:tab/>
        <w:t>the effectiveness of the Board and the Council.</w:t>
      </w:r>
    </w:p>
    <w:p>
      <w:pPr>
        <w:pStyle w:val="Subsection"/>
        <w:rPr>
          <w:snapToGrid w:val="0"/>
        </w:rPr>
      </w:pPr>
      <w:r>
        <w:rPr>
          <w:snapToGrid w:val="0"/>
        </w:rPr>
        <w:tab/>
        <w:t>(2)</w:t>
      </w:r>
      <w:r>
        <w:rPr>
          <w:snapToGrid w:val="0"/>
        </w:rPr>
        <w:tab/>
        <w:t>The Minister is to prepare a report based on the review under subsection (1) and, as soon as practicable after the report is prepared, cause it to be laid before each House of Parliament.</w:t>
      </w:r>
    </w:p>
    <w:p>
      <w:pPr>
        <w:pStyle w:val="Heading5"/>
        <w:rPr>
          <w:snapToGrid w:val="0"/>
        </w:rPr>
      </w:pPr>
      <w:bookmarkStart w:id="372" w:name="_Toc503077850"/>
      <w:bookmarkStart w:id="373" w:name="_Toc535632814"/>
      <w:bookmarkStart w:id="374" w:name="_Toc535633982"/>
      <w:bookmarkStart w:id="375" w:name="_Toc15804311"/>
      <w:bookmarkStart w:id="376" w:name="_Toc158087205"/>
      <w:r>
        <w:rPr>
          <w:rStyle w:val="CharSectno"/>
        </w:rPr>
        <w:t>70</w:t>
      </w:r>
      <w:r>
        <w:rPr>
          <w:snapToGrid w:val="0"/>
        </w:rPr>
        <w:t>.</w:t>
      </w:r>
      <w:r>
        <w:rPr>
          <w:snapToGrid w:val="0"/>
        </w:rPr>
        <w:tab/>
        <w:t>Repeals</w:t>
      </w:r>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The </w:t>
      </w:r>
      <w:r>
        <w:rPr>
          <w:i/>
          <w:snapToGrid w:val="0"/>
        </w:rPr>
        <w:t xml:space="preserve">Colleges Act 1978 </w:t>
      </w:r>
      <w:r>
        <w:rPr>
          <w:snapToGrid w:val="0"/>
        </w:rPr>
        <w:t>is repealed.</w:t>
      </w:r>
    </w:p>
    <w:p>
      <w:pPr>
        <w:pStyle w:val="Subsection"/>
        <w:rPr>
          <w:snapToGrid w:val="0"/>
        </w:rPr>
      </w:pPr>
      <w:r>
        <w:rPr>
          <w:snapToGrid w:val="0"/>
        </w:rPr>
        <w:tab/>
        <w:t>(2)</w:t>
      </w:r>
      <w:r>
        <w:rPr>
          <w:snapToGrid w:val="0"/>
        </w:rPr>
        <w:tab/>
        <w:t xml:space="preserve">The </w:t>
      </w:r>
      <w:r>
        <w:rPr>
          <w:i/>
          <w:snapToGrid w:val="0"/>
        </w:rPr>
        <w:t>State Employment and Skills Development Authority Act 1990</w:t>
      </w:r>
      <w:r>
        <w:rPr>
          <w:snapToGrid w:val="0"/>
        </w:rPr>
        <w:t xml:space="preserve"> is repealed.</w:t>
      </w:r>
    </w:p>
    <w:p>
      <w:pPr>
        <w:pStyle w:val="Ednotesection"/>
        <w:spacing w:before="360"/>
        <w:ind w:left="890" w:hanging="890"/>
        <w:rPr>
          <w:i w:val="0"/>
        </w:rPr>
      </w:pPr>
      <w:r>
        <w:t>[</w:t>
      </w:r>
      <w:r>
        <w:rPr>
          <w:b/>
        </w:rPr>
        <w:t>71-72.</w:t>
      </w:r>
      <w:r>
        <w:tab/>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77" w:name="_Toc535633983"/>
      <w:bookmarkStart w:id="378" w:name="_Toc15804312"/>
      <w:bookmarkStart w:id="379" w:name="_Toc156972403"/>
      <w:bookmarkStart w:id="380" w:name="_Toc158087206"/>
      <w:r>
        <w:rPr>
          <w:rStyle w:val="CharSchNo"/>
        </w:rPr>
        <w:t>Schedule 1</w:t>
      </w:r>
      <w:bookmarkEnd w:id="377"/>
      <w:bookmarkEnd w:id="378"/>
      <w:bookmarkEnd w:id="379"/>
      <w:bookmarkEnd w:id="380"/>
      <w:r>
        <w:rPr>
          <w:rStyle w:val="CharSchText"/>
        </w:rPr>
        <w:t xml:space="preserve"> </w:t>
      </w:r>
    </w:p>
    <w:p>
      <w:pPr>
        <w:pStyle w:val="yShoulderClause"/>
        <w:rPr>
          <w:snapToGrid w:val="0"/>
        </w:rPr>
      </w:pPr>
      <w:r>
        <w:rPr>
          <w:snapToGrid w:val="0"/>
        </w:rPr>
        <w:t>[Sections 20, 26 and 40]</w:t>
      </w:r>
    </w:p>
    <w:p>
      <w:pPr>
        <w:pStyle w:val="yMiscellaneousHeading"/>
        <w:rPr>
          <w:b/>
          <w:bCs/>
          <w:snapToGrid w:val="0"/>
        </w:rPr>
      </w:pPr>
      <w:r>
        <w:rPr>
          <w:b/>
          <w:bCs/>
          <w:snapToGrid w:val="0"/>
        </w:rPr>
        <w:t>Provisions relating to the board, the council and governing councils</w:t>
      </w:r>
    </w:p>
    <w:p>
      <w:pPr>
        <w:pStyle w:val="yHeading5"/>
        <w:outlineLvl w:val="9"/>
        <w:rPr>
          <w:snapToGrid w:val="0"/>
        </w:rPr>
      </w:pPr>
      <w:bookmarkStart w:id="381" w:name="_Toc535632815"/>
      <w:bookmarkStart w:id="382" w:name="_Toc535633984"/>
      <w:bookmarkStart w:id="383" w:name="_Toc15804313"/>
      <w:bookmarkStart w:id="384" w:name="_Toc158087207"/>
      <w:r>
        <w:rPr>
          <w:snapToGrid w:val="0"/>
        </w:rPr>
        <w:t>1.</w:t>
      </w:r>
      <w:r>
        <w:rPr>
          <w:snapToGrid w:val="0"/>
        </w:rPr>
        <w:tab/>
        <w:t>Vacation of office</w:t>
      </w:r>
      <w:bookmarkEnd w:id="381"/>
      <w:bookmarkEnd w:id="382"/>
      <w:bookmarkEnd w:id="383"/>
      <w:bookmarkEnd w:id="384"/>
      <w:r>
        <w:rPr>
          <w:snapToGrid w:val="0"/>
        </w:rPr>
        <w:t xml:space="preserve"> </w:t>
      </w:r>
    </w:p>
    <w:p>
      <w:pPr>
        <w:pStyle w:val="ySubsection"/>
        <w:rPr>
          <w:snapToGrid w:val="0"/>
        </w:rPr>
      </w:pPr>
      <w:r>
        <w:rPr>
          <w:snapToGrid w:val="0"/>
        </w:rPr>
        <w:tab/>
        <w:t>(1)</w:t>
      </w:r>
      <w:r>
        <w:rPr>
          <w:snapToGrid w:val="0"/>
        </w:rPr>
        <w:tab/>
        <w:t>The office of a member becomes vacant if — </w:t>
      </w:r>
    </w:p>
    <w:p>
      <w:pPr>
        <w:pStyle w:val="yIndenta"/>
        <w:rPr>
          <w:snapToGrid w:val="0"/>
        </w:rPr>
      </w:pPr>
      <w:r>
        <w:rPr>
          <w:snapToGrid w:val="0"/>
        </w:rPr>
        <w:tab/>
        <w:t>(a)</w:t>
      </w:r>
      <w:r>
        <w:rPr>
          <w:snapToGrid w:val="0"/>
        </w:rPr>
        <w:tab/>
        <w:t>the term of the member expires;</w:t>
      </w:r>
    </w:p>
    <w:p>
      <w:pPr>
        <w:pStyle w:val="yIndenta"/>
        <w:rPr>
          <w:snapToGrid w:val="0"/>
        </w:rPr>
      </w:pPr>
      <w:r>
        <w:rPr>
          <w:snapToGrid w:val="0"/>
        </w:rPr>
        <w:tab/>
        <w:t>(b)</w:t>
      </w:r>
      <w:r>
        <w:rPr>
          <w:snapToGrid w:val="0"/>
        </w:rPr>
        <w:tab/>
        <w:t>the member resigns by written notice addressed to the Minister;</w:t>
      </w:r>
    </w:p>
    <w:p>
      <w:pPr>
        <w:pStyle w:val="yIndenta"/>
        <w:rPr>
          <w:snapToGrid w:val="0"/>
        </w:rPr>
      </w:pPr>
      <w:r>
        <w:rPr>
          <w:snapToGrid w:val="0"/>
        </w:rPr>
        <w:tab/>
        <w:t>(c)</w:t>
      </w:r>
      <w:r>
        <w:rPr>
          <w:snapToGrid w:val="0"/>
        </w:rPr>
        <w:tab/>
        <w:t>the member is an undischarged bankrupt or a person whose property is subject to an arrangement under the laws relating to bankruptcy;</w:t>
      </w:r>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Heading5"/>
        <w:outlineLvl w:val="9"/>
        <w:rPr>
          <w:snapToGrid w:val="0"/>
        </w:rPr>
      </w:pPr>
      <w:bookmarkStart w:id="385" w:name="_Toc535632816"/>
      <w:bookmarkStart w:id="386" w:name="_Toc535633985"/>
      <w:bookmarkStart w:id="387" w:name="_Toc15804314"/>
      <w:bookmarkStart w:id="388" w:name="_Toc158087208"/>
      <w:r>
        <w:rPr>
          <w:snapToGrid w:val="0"/>
        </w:rPr>
        <w:t>2.</w:t>
      </w:r>
      <w:r>
        <w:rPr>
          <w:snapToGrid w:val="0"/>
        </w:rPr>
        <w:tab/>
        <w:t>Leave of absence</w:t>
      </w:r>
      <w:bookmarkEnd w:id="385"/>
      <w:bookmarkEnd w:id="386"/>
      <w:bookmarkEnd w:id="387"/>
      <w:bookmarkEnd w:id="388"/>
      <w:r>
        <w:rPr>
          <w:snapToGrid w:val="0"/>
        </w:rPr>
        <w:t xml:space="preserve"> </w:t>
      </w:r>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389" w:name="_Toc535632817"/>
      <w:bookmarkStart w:id="390" w:name="_Toc535633986"/>
      <w:bookmarkStart w:id="391" w:name="_Toc15804315"/>
      <w:bookmarkStart w:id="392" w:name="_Toc158087209"/>
      <w:r>
        <w:rPr>
          <w:snapToGrid w:val="0"/>
        </w:rPr>
        <w:t>3.</w:t>
      </w:r>
      <w:r>
        <w:rPr>
          <w:snapToGrid w:val="0"/>
        </w:rPr>
        <w:tab/>
        <w:t>Meetings</w:t>
      </w:r>
      <w:bookmarkEnd w:id="389"/>
      <w:bookmarkEnd w:id="390"/>
      <w:bookmarkEnd w:id="391"/>
      <w:bookmarkEnd w:id="392"/>
      <w:r>
        <w:rPr>
          <w:snapToGrid w:val="0"/>
        </w:rPr>
        <w:t xml:space="preserve"> </w:t>
      </w:r>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Heading5"/>
        <w:outlineLvl w:val="9"/>
        <w:rPr>
          <w:snapToGrid w:val="0"/>
        </w:rPr>
      </w:pPr>
      <w:bookmarkStart w:id="393" w:name="_Toc535632818"/>
      <w:bookmarkStart w:id="394" w:name="_Toc535633987"/>
      <w:bookmarkStart w:id="395" w:name="_Toc15804316"/>
      <w:bookmarkStart w:id="396" w:name="_Toc158087210"/>
      <w:r>
        <w:rPr>
          <w:snapToGrid w:val="0"/>
        </w:rPr>
        <w:t>4.</w:t>
      </w:r>
      <w:r>
        <w:rPr>
          <w:snapToGrid w:val="0"/>
        </w:rPr>
        <w:tab/>
        <w:t>Disclosure of interests</w:t>
      </w:r>
      <w:bookmarkEnd w:id="393"/>
      <w:bookmarkEnd w:id="394"/>
      <w:bookmarkEnd w:id="395"/>
      <w:bookmarkEnd w:id="396"/>
      <w:r>
        <w:rPr>
          <w:snapToGrid w:val="0"/>
        </w:rPr>
        <w:t xml:space="preserve"> </w:t>
      </w:r>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397" w:name="_Toc535632819"/>
      <w:bookmarkStart w:id="398" w:name="_Toc535633988"/>
      <w:bookmarkStart w:id="399" w:name="_Toc15804317"/>
      <w:bookmarkStart w:id="400" w:name="_Toc158087211"/>
      <w:r>
        <w:rPr>
          <w:snapToGrid w:val="0"/>
        </w:rPr>
        <w:t>5.</w:t>
      </w:r>
      <w:r>
        <w:rPr>
          <w:snapToGrid w:val="0"/>
        </w:rPr>
        <w:tab/>
        <w:t>Voting by interested members</w:t>
      </w:r>
      <w:bookmarkEnd w:id="397"/>
      <w:bookmarkEnd w:id="398"/>
      <w:bookmarkEnd w:id="399"/>
      <w:bookmarkEnd w:id="400"/>
      <w:r>
        <w:rPr>
          <w:snapToGrid w:val="0"/>
        </w:rPr>
        <w:t xml:space="preserve"> </w:t>
      </w:r>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on a proposed resolution under clause 6 in respect of the matter, whether relating to that member or a different member;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401" w:name="_Toc535632820"/>
      <w:bookmarkStart w:id="402" w:name="_Toc535633989"/>
      <w:bookmarkStart w:id="403" w:name="_Toc15804318"/>
      <w:bookmarkStart w:id="404" w:name="_Toc158087212"/>
      <w:r>
        <w:rPr>
          <w:snapToGrid w:val="0"/>
        </w:rPr>
        <w:t>6.</w:t>
      </w:r>
      <w:r>
        <w:rPr>
          <w:snapToGrid w:val="0"/>
        </w:rPr>
        <w:tab/>
        <w:t>Clause 5 may be declared inapplicable</w:t>
      </w:r>
      <w:bookmarkEnd w:id="401"/>
      <w:bookmarkEnd w:id="402"/>
      <w:bookmarkEnd w:id="403"/>
      <w:bookmarkEnd w:id="404"/>
      <w:r>
        <w:rPr>
          <w:snapToGrid w:val="0"/>
        </w:rPr>
        <w:t xml:space="preserve"> </w:t>
      </w:r>
    </w:p>
    <w:p>
      <w:pPr>
        <w:pStyle w:val="ySubsection"/>
        <w:rPr>
          <w:snapToGrid w:val="0"/>
        </w:rPr>
      </w:pPr>
      <w:r>
        <w:rPr>
          <w:snapToGrid w:val="0"/>
        </w:rPr>
        <w:tab/>
      </w:r>
      <w:r>
        <w:rPr>
          <w:snapToGrid w:val="0"/>
        </w:rPr>
        <w:tab/>
        <w:t>Clause 5 does not apply if the body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Ednoteschedule"/>
      </w:pPr>
      <w:r>
        <w:t>[Schedule 2 has not come into operation</w:t>
      </w:r>
      <w:r>
        <w:rPr>
          <w:vertAlign w:val="superscript"/>
        </w:rPr>
        <w:t> 2</w:t>
      </w:r>
      <w:r>
        <w:t>.]</w:t>
      </w:r>
    </w:p>
    <w:p>
      <w:pPr>
        <w:pStyle w:val="yEdnoteschedule"/>
      </w:pPr>
      <w:r>
        <w:t>[Schedules 3 and 4 omitted under the Reprints Act 1984 s. 7(4)(e).]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05" w:name="_Toc156972410"/>
      <w:bookmarkStart w:id="406" w:name="_Toc158087213"/>
      <w:r>
        <w:t>Notes</w:t>
      </w:r>
      <w:bookmarkEnd w:id="405"/>
      <w:bookmarkEnd w:id="406"/>
    </w:p>
    <w:p>
      <w:pPr>
        <w:pStyle w:val="nSubsection"/>
        <w:rPr>
          <w:snapToGrid w:val="0"/>
        </w:rPr>
      </w:pPr>
      <w:r>
        <w:rPr>
          <w:snapToGrid w:val="0"/>
          <w:vertAlign w:val="superscript"/>
        </w:rPr>
        <w:t>1</w:t>
      </w:r>
      <w:r>
        <w:rPr>
          <w:snapToGrid w:val="0"/>
        </w:rPr>
        <w:tab/>
        <w:t xml:space="preserve">This is a compilation of the </w:t>
      </w:r>
      <w:r>
        <w:rPr>
          <w:i/>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07" w:name="_Toc535633990"/>
      <w:bookmarkStart w:id="408" w:name="_Toc15804319"/>
      <w:bookmarkStart w:id="409" w:name="_Toc158087214"/>
      <w:r>
        <w:t>Compilation table</w:t>
      </w:r>
      <w:bookmarkEnd w:id="407"/>
      <w:bookmarkEnd w:id="408"/>
      <w:bookmarkEnd w:id="40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Borders>
              <w:top w:val="nil"/>
              <w:bottom w:val="nil"/>
            </w:tcBorders>
          </w:tcPr>
          <w:p>
            <w:pPr>
              <w:pStyle w:val="nTable"/>
              <w:spacing w:before="120"/>
              <w:ind w:right="113"/>
              <w:rPr>
                <w:sz w:val="19"/>
              </w:rPr>
            </w:pPr>
            <w:r>
              <w:rPr>
                <w:i/>
                <w:sz w:val="19"/>
              </w:rPr>
              <w:t>Vocational Education and Training Act 1996</w:t>
            </w:r>
            <w:r>
              <w:rPr>
                <w:snapToGrid w:val="0"/>
                <w:sz w:val="19"/>
                <w:vertAlign w:val="superscript"/>
              </w:rPr>
              <w:t> 1a</w:t>
            </w:r>
          </w:p>
        </w:tc>
        <w:tc>
          <w:tcPr>
            <w:tcW w:w="1134" w:type="dxa"/>
            <w:tcBorders>
              <w:top w:val="nil"/>
              <w:bottom w:val="nil"/>
            </w:tcBorders>
          </w:tcPr>
          <w:p>
            <w:pPr>
              <w:pStyle w:val="nTable"/>
              <w:spacing w:before="120"/>
              <w:rPr>
                <w:sz w:val="19"/>
              </w:rPr>
            </w:pPr>
            <w:r>
              <w:rPr>
                <w:sz w:val="19"/>
              </w:rPr>
              <w:t>42 of 1996</w:t>
            </w:r>
          </w:p>
        </w:tc>
        <w:tc>
          <w:tcPr>
            <w:tcW w:w="1134" w:type="dxa"/>
            <w:tcBorders>
              <w:top w:val="nil"/>
              <w:bottom w:val="nil"/>
            </w:tcBorders>
          </w:tcPr>
          <w:p>
            <w:pPr>
              <w:pStyle w:val="nTable"/>
              <w:spacing w:before="120"/>
              <w:rPr>
                <w:sz w:val="19"/>
              </w:rPr>
            </w:pPr>
            <w:r>
              <w:rPr>
                <w:sz w:val="19"/>
              </w:rPr>
              <w:t>16 Oct 1996</w:t>
            </w:r>
          </w:p>
        </w:tc>
        <w:tc>
          <w:tcPr>
            <w:tcW w:w="2552" w:type="dxa"/>
            <w:tcBorders>
              <w:top w:val="nil"/>
              <w:bottom w:val="nil"/>
            </w:tcBorders>
          </w:tcPr>
          <w:p>
            <w:pPr>
              <w:pStyle w:val="nTable"/>
              <w:spacing w:before="120"/>
              <w:rPr>
                <w:sz w:val="19"/>
              </w:rPr>
            </w:pPr>
            <w:r>
              <w:rPr>
                <w:sz w:val="19"/>
              </w:rPr>
              <w:t xml:space="preserve">Act other than Pt. 7 and Sch. 2: 1 Jan 1997 (see s. 2 and </w:t>
            </w:r>
            <w:r>
              <w:rPr>
                <w:i/>
                <w:sz w:val="19"/>
              </w:rPr>
              <w:t>Gazette</w:t>
            </w:r>
            <w:r>
              <w:rPr>
                <w:sz w:val="19"/>
              </w:rPr>
              <w:t xml:space="preserve"> 12 Nov 1996 p. 6301);</w:t>
            </w:r>
            <w:r>
              <w:rPr>
                <w:sz w:val="19"/>
              </w:rPr>
              <w:br/>
              <w:t>balance to be proclaimed</w:t>
            </w:r>
          </w:p>
        </w:tc>
      </w:tr>
      <w:tr>
        <w:trPr>
          <w:cantSplit/>
        </w:trPr>
        <w:tc>
          <w:tcPr>
            <w:tcW w:w="2268" w:type="dxa"/>
            <w:tcBorders>
              <w:top w:val="nil"/>
              <w:bottom w:val="nil"/>
            </w:tcBorders>
          </w:tcPr>
          <w:p>
            <w:pPr>
              <w:pStyle w:val="nTable"/>
              <w:spacing w:before="12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120"/>
              <w:rPr>
                <w:sz w:val="19"/>
              </w:rPr>
            </w:pPr>
            <w:r>
              <w:rPr>
                <w:sz w:val="19"/>
              </w:rPr>
              <w:t>27 of 1998</w:t>
            </w:r>
          </w:p>
        </w:tc>
        <w:tc>
          <w:tcPr>
            <w:tcW w:w="1134" w:type="dxa"/>
            <w:tcBorders>
              <w:top w:val="nil"/>
              <w:bottom w:val="nil"/>
            </w:tcBorders>
          </w:tcPr>
          <w:p>
            <w:pPr>
              <w:pStyle w:val="nTable"/>
              <w:spacing w:before="120"/>
              <w:rPr>
                <w:sz w:val="19"/>
              </w:rPr>
            </w:pPr>
            <w:r>
              <w:rPr>
                <w:sz w:val="19"/>
              </w:rPr>
              <w:t>30 Jun 1998</w:t>
            </w:r>
          </w:p>
        </w:tc>
        <w:tc>
          <w:tcPr>
            <w:tcW w:w="2552" w:type="dxa"/>
            <w:tcBorders>
              <w:top w:val="nil"/>
              <w:bottom w:val="nil"/>
            </w:tcBorders>
          </w:tcPr>
          <w:p>
            <w:pPr>
              <w:pStyle w:val="nTable"/>
              <w:spacing w:before="120"/>
              <w:rPr>
                <w:sz w:val="19"/>
              </w:rPr>
            </w:pPr>
            <w:r>
              <w:rPr>
                <w:sz w:val="19"/>
              </w:rPr>
              <w:t>30 Jun 1998 (see s. 2)</w:t>
            </w:r>
          </w:p>
        </w:tc>
      </w:tr>
      <w:tr>
        <w:trPr>
          <w:cantSplit/>
        </w:trPr>
        <w:tc>
          <w:tcPr>
            <w:tcW w:w="2268" w:type="dxa"/>
            <w:tcBorders>
              <w:top w:val="nil"/>
              <w:bottom w:val="nil"/>
            </w:tcBorders>
          </w:tcPr>
          <w:p>
            <w:pPr>
              <w:pStyle w:val="nTable"/>
              <w:spacing w:before="12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120"/>
              <w:rPr>
                <w:sz w:val="19"/>
              </w:rPr>
            </w:pPr>
            <w:r>
              <w:rPr>
                <w:sz w:val="19"/>
              </w:rPr>
              <w:t>36 of 1999</w:t>
            </w:r>
          </w:p>
        </w:tc>
        <w:tc>
          <w:tcPr>
            <w:tcW w:w="1134" w:type="dxa"/>
            <w:tcBorders>
              <w:top w:val="nil"/>
              <w:bottom w:val="nil"/>
            </w:tcBorders>
          </w:tcPr>
          <w:p>
            <w:pPr>
              <w:pStyle w:val="nTable"/>
              <w:spacing w:before="120"/>
              <w:rPr>
                <w:sz w:val="19"/>
              </w:rPr>
            </w:pPr>
            <w:r>
              <w:rPr>
                <w:sz w:val="19"/>
              </w:rPr>
              <w:t>2 Nov 1999</w:t>
            </w:r>
          </w:p>
        </w:tc>
        <w:tc>
          <w:tcPr>
            <w:tcW w:w="2552" w:type="dxa"/>
            <w:tcBorders>
              <w:top w:val="nil"/>
              <w:bottom w:val="nil"/>
            </w:tcBorders>
          </w:tcPr>
          <w:p>
            <w:pPr>
              <w:pStyle w:val="nTable"/>
              <w:spacing w:before="12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120"/>
              <w:rPr>
                <w:sz w:val="19"/>
              </w:rPr>
            </w:pPr>
            <w:r>
              <w:rPr>
                <w:i/>
                <w:sz w:val="19"/>
              </w:rPr>
              <w:t xml:space="preserve">Vocational Education and Training Amendment Regulations (No. 2) 1999 </w:t>
            </w:r>
            <w:r>
              <w:rPr>
                <w:sz w:val="19"/>
              </w:rPr>
              <w:t xml:space="preserve">r. 3 (see </w:t>
            </w:r>
            <w:r>
              <w:rPr>
                <w:i/>
                <w:sz w:val="19"/>
              </w:rPr>
              <w:t>Gazette</w:t>
            </w:r>
            <w:r>
              <w:rPr>
                <w:sz w:val="19"/>
              </w:rPr>
              <w:t xml:space="preserve"> 5 Nov 1999 p. 5634)</w:t>
            </w:r>
          </w:p>
        </w:tc>
        <w:tc>
          <w:tcPr>
            <w:tcW w:w="2552" w:type="dxa"/>
            <w:tcBorders>
              <w:top w:val="nil"/>
              <w:bottom w:val="nil"/>
            </w:tcBorders>
          </w:tcPr>
          <w:p>
            <w:pPr>
              <w:pStyle w:val="nTable"/>
              <w:spacing w:before="12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12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120"/>
              <w:rPr>
                <w:sz w:val="19"/>
              </w:rPr>
            </w:pPr>
            <w:r>
              <w:rPr>
                <w:sz w:val="19"/>
              </w:rPr>
              <w:t>24 of 2000</w:t>
            </w:r>
          </w:p>
        </w:tc>
        <w:tc>
          <w:tcPr>
            <w:tcW w:w="1134" w:type="dxa"/>
            <w:tcBorders>
              <w:top w:val="nil"/>
              <w:bottom w:val="nil"/>
            </w:tcBorders>
          </w:tcPr>
          <w:p>
            <w:pPr>
              <w:pStyle w:val="nTable"/>
              <w:spacing w:before="120"/>
              <w:rPr>
                <w:sz w:val="19"/>
              </w:rPr>
            </w:pPr>
            <w:r>
              <w:rPr>
                <w:sz w:val="19"/>
              </w:rPr>
              <w:t>4 Jul 2000</w:t>
            </w:r>
          </w:p>
        </w:tc>
        <w:tc>
          <w:tcPr>
            <w:tcW w:w="2552" w:type="dxa"/>
            <w:tcBorders>
              <w:top w:val="nil"/>
              <w:bottom w:val="nil"/>
            </w:tcBorders>
          </w:tcPr>
          <w:p>
            <w:pPr>
              <w:pStyle w:val="nTable"/>
              <w:spacing w:before="120"/>
              <w:rPr>
                <w:sz w:val="19"/>
              </w:rPr>
            </w:pPr>
            <w:r>
              <w:rPr>
                <w:sz w:val="19"/>
              </w:rPr>
              <w:t>4 Jul 2000 (see s. 2)</w:t>
            </w:r>
          </w:p>
        </w:tc>
      </w:tr>
      <w:tr>
        <w:trPr>
          <w:cantSplit/>
        </w:trPr>
        <w:tc>
          <w:tcPr>
            <w:tcW w:w="7088" w:type="dxa"/>
            <w:gridSpan w:val="4"/>
            <w:tcBorders>
              <w:top w:val="nil"/>
              <w:bottom w:val="nil"/>
            </w:tcBorders>
          </w:tcPr>
          <w:p>
            <w:pPr>
              <w:pStyle w:val="nTable"/>
              <w:spacing w:before="12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68" w:type="dxa"/>
            <w:tcBorders>
              <w:top w:val="nil"/>
              <w:bottom w:val="single" w:sz="4" w:space="0" w:color="auto"/>
            </w:tcBorders>
          </w:tcPr>
          <w:p>
            <w:pPr>
              <w:pStyle w:val="nTable"/>
              <w:spacing w:before="120"/>
              <w:ind w:right="113"/>
              <w:rPr>
                <w:i/>
                <w:sz w:val="19"/>
              </w:rPr>
            </w:pPr>
            <w:r>
              <w:rPr>
                <w:i/>
                <w:sz w:val="19"/>
              </w:rPr>
              <w:t>Financial Legislation Amendment and Repeal Act 2006</w:t>
            </w:r>
            <w:r>
              <w:rPr>
                <w:iCs/>
                <w:sz w:val="19"/>
              </w:rPr>
              <w:t xml:space="preserve"> s. 4, 5(1) and 17</w:t>
            </w:r>
          </w:p>
        </w:tc>
        <w:tc>
          <w:tcPr>
            <w:tcW w:w="1134" w:type="dxa"/>
            <w:tcBorders>
              <w:top w:val="nil"/>
              <w:bottom w:val="single" w:sz="4" w:space="0" w:color="auto"/>
            </w:tcBorders>
          </w:tcPr>
          <w:p>
            <w:pPr>
              <w:pStyle w:val="nTable"/>
              <w:spacing w:before="120"/>
              <w:rPr>
                <w:sz w:val="19"/>
              </w:rPr>
            </w:pPr>
            <w:r>
              <w:rPr>
                <w:sz w:val="19"/>
              </w:rPr>
              <w:t>77 of 2006</w:t>
            </w:r>
          </w:p>
        </w:tc>
        <w:tc>
          <w:tcPr>
            <w:tcW w:w="1134" w:type="dxa"/>
            <w:tcBorders>
              <w:top w:val="nil"/>
              <w:bottom w:val="single" w:sz="4" w:space="0" w:color="auto"/>
            </w:tcBorders>
          </w:tcPr>
          <w:p>
            <w:pPr>
              <w:pStyle w:val="nTable"/>
              <w:spacing w:before="120"/>
              <w:rPr>
                <w:sz w:val="19"/>
              </w:rPr>
            </w:pPr>
            <w:r>
              <w:rPr>
                <w:sz w:val="19"/>
              </w:rPr>
              <w:t>21 Dec 2006</w:t>
            </w:r>
          </w:p>
        </w:tc>
        <w:tc>
          <w:tcPr>
            <w:tcW w:w="2552" w:type="dxa"/>
            <w:tcBorders>
              <w:top w:val="nil"/>
              <w:bottom w:val="single" w:sz="4" w:space="0" w:color="auto"/>
            </w:tcBorders>
          </w:tcPr>
          <w:p>
            <w:pPr>
              <w:pStyle w:val="nTable"/>
              <w:spacing w:before="120"/>
              <w:rPr>
                <w:b/>
                <w:bCs/>
                <w:sz w:val="19"/>
              </w:rPr>
            </w:pPr>
            <w:r>
              <w:rPr>
                <w:sz w:val="19"/>
              </w:rPr>
              <w:t xml:space="preserve">1 Feb 2007 (see s. 2(1) and </w:t>
            </w:r>
            <w:r>
              <w:rPr>
                <w:i/>
                <w:iCs/>
                <w:sz w:val="19"/>
              </w:rPr>
              <w:t>Gazette</w:t>
            </w:r>
            <w:r>
              <w:rPr>
                <w:sz w:val="19"/>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0" w:name="_Toc511102521"/>
      <w:bookmarkStart w:id="411" w:name="_Toc535633991"/>
      <w:bookmarkStart w:id="412" w:name="_Toc15804320"/>
      <w:bookmarkStart w:id="413" w:name="_Toc158087215"/>
      <w:r>
        <w:t>Provisions that have not come into operation</w:t>
      </w:r>
      <w:bookmarkEnd w:id="410"/>
      <w:bookmarkEnd w:id="411"/>
      <w:bookmarkEnd w:id="412"/>
      <w:bookmarkEnd w:id="41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tcBorders>
          </w:tcPr>
          <w:p>
            <w:pPr>
              <w:pStyle w:val="nTable"/>
              <w:keepNext/>
              <w:spacing w:before="60" w:after="60"/>
              <w:rPr>
                <w:b/>
                <w:sz w:val="19"/>
              </w:rPr>
            </w:pPr>
            <w:r>
              <w:rPr>
                <w:b/>
                <w:sz w:val="19"/>
              </w:rPr>
              <w:t>Assent</w:t>
            </w:r>
          </w:p>
        </w:tc>
        <w:tc>
          <w:tcPr>
            <w:tcW w:w="2552" w:type="dxa"/>
            <w:tcBorders>
              <w:top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sz w:val="19"/>
              </w:rPr>
              <w:t xml:space="preserve">Vocational Education and Training Act 1996 </w:t>
            </w:r>
            <w:r>
              <w:rPr>
                <w:snapToGrid w:val="0"/>
                <w:sz w:val="19"/>
              </w:rPr>
              <w:t>Pt. 7 and Sch. 2 </w:t>
            </w:r>
            <w:r>
              <w:rPr>
                <w:snapToGrid w:val="0"/>
                <w:sz w:val="19"/>
                <w:vertAlign w:val="superscript"/>
              </w:rPr>
              <w:t>2</w:t>
            </w:r>
          </w:p>
        </w:tc>
        <w:tc>
          <w:tcPr>
            <w:tcW w:w="1134" w:type="dxa"/>
            <w:tcBorders>
              <w:top w:val="single" w:sz="8" w:space="0" w:color="auto"/>
            </w:tcBorders>
          </w:tcPr>
          <w:p>
            <w:pPr>
              <w:pStyle w:val="nTable"/>
              <w:keepNext/>
              <w:spacing w:before="120"/>
              <w:rPr>
                <w:sz w:val="19"/>
              </w:rPr>
            </w:pPr>
            <w:r>
              <w:rPr>
                <w:sz w:val="19"/>
              </w:rPr>
              <w:t>42 of 1996</w:t>
            </w:r>
            <w:r>
              <w:rPr>
                <w:sz w:val="19"/>
              </w:rPr>
              <w:br/>
              <w:t>(as amended by No. 20 of 2002 s. 184)</w:t>
            </w:r>
          </w:p>
        </w:tc>
        <w:tc>
          <w:tcPr>
            <w:tcW w:w="1134" w:type="dxa"/>
            <w:tcBorders>
              <w:top w:val="single" w:sz="8" w:space="0" w:color="auto"/>
            </w:tcBorders>
          </w:tcPr>
          <w:p>
            <w:pPr>
              <w:pStyle w:val="nTable"/>
              <w:keepNext/>
              <w:spacing w:before="120"/>
              <w:rPr>
                <w:sz w:val="19"/>
              </w:rPr>
            </w:pPr>
            <w:r>
              <w:rPr>
                <w:sz w:val="19"/>
              </w:rPr>
              <w:t>16 Oct 1996</w:t>
            </w:r>
          </w:p>
        </w:tc>
        <w:tc>
          <w:tcPr>
            <w:tcW w:w="2552" w:type="dxa"/>
            <w:tcBorders>
              <w:top w:val="single" w:sz="8" w:space="0" w:color="auto"/>
            </w:tcBorders>
          </w:tcPr>
          <w:p>
            <w:pPr>
              <w:pStyle w:val="nTable"/>
              <w:keepNext/>
              <w:spacing w:before="120"/>
              <w:rPr>
                <w:sz w:val="19"/>
              </w:rPr>
            </w:pPr>
            <w:r>
              <w:rPr>
                <w:sz w:val="19"/>
              </w:rPr>
              <w:t>To be proclaimed (see s. 2)</w:t>
            </w:r>
          </w:p>
        </w:tc>
      </w:tr>
      <w:tr>
        <w:trPr>
          <w:cantSplit/>
        </w:trPr>
        <w:tc>
          <w:tcPr>
            <w:tcW w:w="2268" w:type="dxa"/>
            <w:tcBorders>
              <w:bottom w:val="single" w:sz="8" w:space="0" w:color="auto"/>
            </w:tcBorders>
          </w:tcPr>
          <w:p>
            <w:pPr>
              <w:pStyle w:val="nTable"/>
              <w:spacing w:before="12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bottom w:val="single" w:sz="8" w:space="0" w:color="auto"/>
            </w:tcBorders>
          </w:tcPr>
          <w:p>
            <w:pPr>
              <w:pStyle w:val="nTable"/>
              <w:keepNext/>
              <w:spacing w:before="120"/>
              <w:rPr>
                <w:sz w:val="19"/>
              </w:rPr>
            </w:pPr>
            <w:r>
              <w:rPr>
                <w:sz w:val="19"/>
              </w:rPr>
              <w:t>43 of 2000</w:t>
            </w:r>
          </w:p>
        </w:tc>
        <w:tc>
          <w:tcPr>
            <w:tcW w:w="1134" w:type="dxa"/>
            <w:tcBorders>
              <w:bottom w:val="single" w:sz="8" w:space="0" w:color="auto"/>
            </w:tcBorders>
          </w:tcPr>
          <w:p>
            <w:pPr>
              <w:pStyle w:val="nTable"/>
              <w:keepNext/>
              <w:spacing w:before="120"/>
              <w:rPr>
                <w:sz w:val="19"/>
              </w:rPr>
            </w:pPr>
            <w:r>
              <w:rPr>
                <w:sz w:val="19"/>
              </w:rPr>
              <w:t>2 Nov 2000</w:t>
            </w:r>
          </w:p>
        </w:tc>
        <w:tc>
          <w:tcPr>
            <w:tcW w:w="2552" w:type="dxa"/>
            <w:tcBorders>
              <w:bottom w:val="single" w:sz="8" w:space="0" w:color="auto"/>
            </w:tcBorders>
          </w:tcPr>
          <w:p>
            <w:pPr>
              <w:pStyle w:val="nTable"/>
              <w:keepNext/>
              <w:spacing w:before="120"/>
              <w:rPr>
                <w:sz w:val="19"/>
              </w:rPr>
            </w:pPr>
            <w:r>
              <w:rPr>
                <w:sz w:val="19"/>
              </w:rPr>
              <w:t>To be proclaimed (see s. 2)</w:t>
            </w:r>
          </w:p>
        </w:tc>
      </w:tr>
    </w:tbl>
    <w:p>
      <w:pPr>
        <w:pStyle w:val="nSubsection"/>
      </w:pPr>
      <w:r>
        <w:rPr>
          <w:snapToGrid w:val="0"/>
          <w:vertAlign w:val="superscript"/>
        </w:rPr>
        <w:t>2</w:t>
      </w:r>
      <w:r>
        <w:rPr>
          <w:snapToGrid w:val="0"/>
        </w:rPr>
        <w:tab/>
        <w:t xml:space="preserve">On the date as at which this compilation was prepared, the </w:t>
      </w:r>
      <w:r>
        <w:rPr>
          <w:i/>
          <w:snapToGrid w:val="0"/>
        </w:rPr>
        <w:t xml:space="preserve">Vocational Education and Training Act 1996 </w:t>
      </w:r>
      <w:r>
        <w:rPr>
          <w:snapToGrid w:val="0"/>
        </w:rPr>
        <w:t xml:space="preserve">Pt. 7 and Sch. 2 </w:t>
      </w:r>
      <w:r>
        <w:rPr>
          <w:sz w:val="19"/>
        </w:rPr>
        <w:t xml:space="preserve">(as amended by the </w:t>
      </w:r>
      <w:r>
        <w:rPr>
          <w:i/>
          <w:sz w:val="19"/>
        </w:rPr>
        <w:t xml:space="preserve">Labour Relations Reform Act 2002 </w:t>
      </w:r>
      <w:r>
        <w:rPr>
          <w:sz w:val="19"/>
        </w:rPr>
        <w:t>s. 184)</w:t>
      </w:r>
      <w:r>
        <w:rPr>
          <w:snapToGrid w:val="0"/>
        </w:rPr>
        <w:t xml:space="preserve"> had not come into operation.  They read:</w:t>
      </w:r>
    </w:p>
    <w:p>
      <w:pPr>
        <w:pStyle w:val="MiscOpen"/>
        <w:keepNext w:val="0"/>
        <w:keepLines w:val="0"/>
        <w:widowControl w:val="0"/>
        <w:rPr>
          <w:snapToGrid w:val="0"/>
        </w:rPr>
      </w:pPr>
      <w:r>
        <w:rPr>
          <w:snapToGrid w:val="0"/>
          <w:vertAlign w:val="superscript"/>
        </w:rPr>
        <w:t xml:space="preserve"> </w:t>
      </w:r>
      <w:r>
        <w:rPr>
          <w:snapToGrid w:val="0"/>
        </w:rPr>
        <w:t>“</w:t>
      </w:r>
    </w:p>
    <w:p>
      <w:pPr>
        <w:pStyle w:val="nzHeading2"/>
        <w:keepNext w:val="0"/>
        <w:widowControl w:val="0"/>
      </w:pPr>
      <w:r>
        <w:t>Part 7 — Training schemes</w:t>
      </w:r>
    </w:p>
    <w:p>
      <w:pPr>
        <w:pStyle w:val="nzHeading5"/>
        <w:rPr>
          <w:snapToGrid w:val="0"/>
        </w:rPr>
      </w:pPr>
      <w:r>
        <w:rPr>
          <w:snapToGrid w:val="0"/>
        </w:rPr>
        <w:t>58.</w:t>
      </w:r>
      <w:r>
        <w:rPr>
          <w:snapToGrid w:val="0"/>
        </w:rPr>
        <w:tab/>
        <w:t xml:space="preserve">Minister may establish training schemes </w:t>
      </w:r>
    </w:p>
    <w:p>
      <w:pPr>
        <w:pStyle w:val="nzSubsection"/>
        <w:rPr>
          <w:snapToGrid w:val="0"/>
        </w:rPr>
      </w:pPr>
      <w:r>
        <w:rPr>
          <w:snapToGrid w:val="0"/>
        </w:rPr>
        <w:tab/>
        <w:t>(1)</w:t>
      </w:r>
      <w:r>
        <w:rPr>
          <w:snapToGrid w:val="0"/>
        </w:rPr>
        <w:tab/>
        <w:t>The Minister may establish and implement, or may recognise as a training scheme for the purposes of this Act, any scheme which provides vocational education and training that the Minister thinks would give persons who take part in the scheme improved employment opportunities.</w:t>
      </w:r>
    </w:p>
    <w:p>
      <w:pPr>
        <w:pStyle w:val="nzSubsection"/>
        <w:rPr>
          <w:snapToGrid w:val="0"/>
        </w:rPr>
      </w:pPr>
      <w:r>
        <w:rPr>
          <w:snapToGrid w:val="0"/>
        </w:rPr>
        <w:tab/>
        <w:t>(2)</w:t>
      </w:r>
      <w:r>
        <w:rPr>
          <w:snapToGrid w:val="0"/>
        </w:rPr>
        <w:tab/>
        <w:t>A training scheme — </w:t>
      </w:r>
    </w:p>
    <w:p>
      <w:pPr>
        <w:pStyle w:val="nzIndenta"/>
        <w:rPr>
          <w:snapToGrid w:val="0"/>
        </w:rPr>
      </w:pPr>
      <w:r>
        <w:rPr>
          <w:snapToGrid w:val="0"/>
        </w:rPr>
        <w:tab/>
        <w:t>(a)</w:t>
      </w:r>
      <w:r>
        <w:rPr>
          <w:snapToGrid w:val="0"/>
        </w:rPr>
        <w:tab/>
        <w:t>is to provide for such accredited courses and skills training programmes, whether on</w:t>
      </w:r>
      <w:r>
        <w:rPr>
          <w:snapToGrid w:val="0"/>
        </w:rPr>
        <w:noBreakHyphen/>
        <w:t>the</w:t>
      </w:r>
      <w:r>
        <w:rPr>
          <w:snapToGrid w:val="0"/>
        </w:rPr>
        <w:noBreakHyphen/>
        <w:t>job or off</w:t>
      </w:r>
      <w:r>
        <w:rPr>
          <w:snapToGrid w:val="0"/>
        </w:rPr>
        <w:noBreakHyphen/>
        <w:t>the</w:t>
      </w:r>
      <w:r>
        <w:rPr>
          <w:snapToGrid w:val="0"/>
        </w:rPr>
        <w:noBreakHyphen/>
        <w:t>job or both, as the Minister may determine, in the case of a scheme established, or approve, in the case of a scheme recognised, under this section; and</w:t>
      </w:r>
    </w:p>
    <w:p>
      <w:pPr>
        <w:pStyle w:val="nzIndenta"/>
        <w:rPr>
          <w:snapToGrid w:val="0"/>
        </w:rPr>
      </w:pPr>
      <w:r>
        <w:rPr>
          <w:snapToGrid w:val="0"/>
        </w:rPr>
        <w:tab/>
        <w:t>(b)</w:t>
      </w:r>
      <w:r>
        <w:rPr>
          <w:snapToGrid w:val="0"/>
        </w:rPr>
        <w:tab/>
        <w:t>may take the form of, or include, an apprenticeship.</w:t>
      </w:r>
    </w:p>
    <w:p>
      <w:pPr>
        <w:pStyle w:val="nzSubsection"/>
        <w:rPr>
          <w:snapToGrid w:val="0"/>
        </w:rPr>
      </w:pPr>
      <w:r>
        <w:rPr>
          <w:snapToGrid w:val="0"/>
        </w:rPr>
        <w:tab/>
        <w:t>(3)</w:t>
      </w:r>
      <w:r>
        <w:rPr>
          <w:snapToGrid w:val="0"/>
        </w:rPr>
        <w:tab/>
        <w:t xml:space="preserve">A training scheme may provide for training relevant to a particular occupation or to several occupations. </w:t>
      </w:r>
    </w:p>
    <w:p>
      <w:pPr>
        <w:pStyle w:val="nzSubsection"/>
        <w:rPr>
          <w:snapToGrid w:val="0"/>
        </w:rPr>
      </w:pPr>
      <w:r>
        <w:rPr>
          <w:snapToGrid w:val="0"/>
        </w:rPr>
        <w:tab/>
        <w:t>(4)</w:t>
      </w:r>
      <w:r>
        <w:rPr>
          <w:snapToGrid w:val="0"/>
        </w:rPr>
        <w:tab/>
        <w:t>In this section — </w:t>
      </w:r>
    </w:p>
    <w:p>
      <w:pPr>
        <w:pStyle w:val="nzDefstart"/>
      </w:pPr>
      <w:r>
        <w:rPr>
          <w:b/>
        </w:rPr>
        <w:tab/>
      </w:r>
      <w:r>
        <w:rPr>
          <w:rStyle w:val="CharDefText"/>
        </w:rPr>
        <w:t>apprenticeship</w:t>
      </w:r>
      <w:r>
        <w:t xml:space="preserve"> means a training scheme involving a contract between an employer and an employee under which the employer undertakes to train the employee in a particular trade.</w:t>
      </w:r>
    </w:p>
    <w:p>
      <w:pPr>
        <w:pStyle w:val="nzHeading5"/>
        <w:rPr>
          <w:snapToGrid w:val="0"/>
        </w:rPr>
      </w:pPr>
      <w:r>
        <w:rPr>
          <w:snapToGrid w:val="0"/>
        </w:rPr>
        <w:t xml:space="preserve">59. </w:t>
      </w:r>
      <w:r>
        <w:rPr>
          <w:snapToGrid w:val="0"/>
        </w:rPr>
        <w:tab/>
        <w:t xml:space="preserve">Regulations relating to training schemes </w:t>
      </w:r>
    </w:p>
    <w:p>
      <w:pPr>
        <w:pStyle w:val="nzSubsection"/>
        <w:rPr>
          <w:snapToGrid w:val="0"/>
        </w:rPr>
      </w:pPr>
      <w:r>
        <w:rPr>
          <w:snapToGrid w:val="0"/>
        </w:rPr>
        <w:tab/>
        <w:t>(1)</w:t>
      </w:r>
      <w:r>
        <w:rPr>
          <w:snapToGrid w:val="0"/>
        </w:rPr>
        <w:tab/>
        <w:t>Regulations may provide for any matters necessary for or incidental to the establishment, implementation or recognition of a training scheme and in particular may — </w:t>
      </w:r>
    </w:p>
    <w:p>
      <w:pPr>
        <w:pStyle w:val="nzIndenta"/>
        <w:rPr>
          <w:snapToGrid w:val="0"/>
        </w:rPr>
      </w:pPr>
      <w:r>
        <w:rPr>
          <w:snapToGrid w:val="0"/>
        </w:rPr>
        <w:tab/>
        <w:t>(a)</w:t>
      </w:r>
      <w:r>
        <w:rPr>
          <w:snapToGrid w:val="0"/>
        </w:rPr>
        <w:tab/>
        <w:t>prescribe the vocations in relation to which a training scheme may operate;</w:t>
      </w:r>
    </w:p>
    <w:p>
      <w:pPr>
        <w:pStyle w:val="nzIndenta"/>
        <w:rPr>
          <w:snapToGrid w:val="0"/>
        </w:rPr>
      </w:pPr>
      <w:r>
        <w:rPr>
          <w:snapToGrid w:val="0"/>
        </w:rPr>
        <w:tab/>
        <w:t>(b)</w:t>
      </w:r>
      <w:r>
        <w:rPr>
          <w:snapToGrid w:val="0"/>
        </w:rPr>
        <w:tab/>
        <w:t>prescribe requirements to be met by trainees and employers of trainees including requirements that — </w:t>
      </w:r>
    </w:p>
    <w:p>
      <w:pPr>
        <w:pStyle w:val="nzIndenti"/>
        <w:rPr>
          <w:snapToGrid w:val="0"/>
        </w:rPr>
      </w:pPr>
      <w:r>
        <w:rPr>
          <w:snapToGrid w:val="0"/>
        </w:rPr>
        <w:tab/>
        <w:t>(i)</w:t>
      </w:r>
      <w:r>
        <w:rPr>
          <w:snapToGrid w:val="0"/>
        </w:rPr>
        <w:tab/>
        <w:t>trainees undertake prescribed courses or skills training programmes; and</w:t>
      </w:r>
    </w:p>
    <w:p>
      <w:pPr>
        <w:pStyle w:val="nzIndenti"/>
        <w:rPr>
          <w:snapToGrid w:val="0"/>
        </w:rPr>
      </w:pPr>
      <w:r>
        <w:rPr>
          <w:snapToGrid w:val="0"/>
        </w:rPr>
        <w:tab/>
        <w:t>(ii)</w:t>
      </w:r>
      <w:r>
        <w:rPr>
          <w:snapToGrid w:val="0"/>
        </w:rPr>
        <w:tab/>
        <w:t>employers grant leave of absence from employment without deduction from wages to enable trainees to fulfil prescribed requirements;</w:t>
      </w:r>
    </w:p>
    <w:p>
      <w:pPr>
        <w:pStyle w:val="nzIndenta"/>
        <w:rPr>
          <w:snapToGrid w:val="0"/>
        </w:rPr>
      </w:pPr>
      <w:r>
        <w:rPr>
          <w:snapToGrid w:val="0"/>
        </w:rPr>
        <w:tab/>
        <w:t>(c)</w:t>
      </w:r>
      <w:r>
        <w:rPr>
          <w:snapToGrid w:val="0"/>
        </w:rPr>
        <w:tab/>
        <w:t>prescribe the amount of paid employment to be provided to a trainee;</w:t>
      </w:r>
    </w:p>
    <w:p>
      <w:pPr>
        <w:pStyle w:val="nzIndenta"/>
        <w:rPr>
          <w:snapToGrid w:val="0"/>
        </w:rPr>
      </w:pPr>
      <w:r>
        <w:rPr>
          <w:snapToGrid w:val="0"/>
        </w:rPr>
        <w:tab/>
        <w:t>(d)</w:t>
      </w:r>
      <w:r>
        <w:rPr>
          <w:snapToGrid w:val="0"/>
        </w:rPr>
        <w:tab/>
        <w:t>provide for the transfer of employment of trainees; and</w:t>
      </w:r>
    </w:p>
    <w:p>
      <w:pPr>
        <w:pStyle w:val="nzIndenta"/>
        <w:rPr>
          <w:snapToGrid w:val="0"/>
        </w:rPr>
      </w:pPr>
      <w:r>
        <w:rPr>
          <w:snapToGrid w:val="0"/>
        </w:rPr>
        <w:tab/>
        <w:t>(e)</w:t>
      </w:r>
      <w:r>
        <w:rPr>
          <w:snapToGrid w:val="0"/>
        </w:rPr>
        <w:tab/>
        <w:t>provide for the resolution of disputes arising between an employer and a trainee in relation to any agreement concerning training between that employer and trainee, and in particular, in relation to — </w:t>
      </w:r>
    </w:p>
    <w:p>
      <w:pPr>
        <w:pStyle w:val="nzIndenti"/>
        <w:rPr>
          <w:snapToGrid w:val="0"/>
        </w:rPr>
      </w:pPr>
      <w:r>
        <w:rPr>
          <w:snapToGrid w:val="0"/>
        </w:rPr>
        <w:tab/>
        <w:t>(i)</w:t>
      </w:r>
      <w:r>
        <w:rPr>
          <w:snapToGrid w:val="0"/>
        </w:rPr>
        <w:tab/>
        <w:t>the construction or operation of;</w:t>
      </w:r>
    </w:p>
    <w:p>
      <w:pPr>
        <w:pStyle w:val="nzIndenti"/>
        <w:rPr>
          <w:snapToGrid w:val="0"/>
        </w:rPr>
      </w:pPr>
      <w:r>
        <w:rPr>
          <w:snapToGrid w:val="0"/>
        </w:rPr>
        <w:tab/>
        <w:t>(ii)</w:t>
      </w:r>
      <w:r>
        <w:rPr>
          <w:snapToGrid w:val="0"/>
        </w:rPr>
        <w:tab/>
        <w:t>the rights, duties and liabilities of the employer or trainee under; or</w:t>
      </w:r>
    </w:p>
    <w:p>
      <w:pPr>
        <w:pStyle w:val="nzIndenti"/>
        <w:rPr>
          <w:snapToGrid w:val="0"/>
        </w:rPr>
      </w:pPr>
      <w:r>
        <w:rPr>
          <w:snapToGrid w:val="0"/>
        </w:rPr>
        <w:tab/>
        <w:t>(iii)</w:t>
      </w:r>
      <w:r>
        <w:rPr>
          <w:snapToGrid w:val="0"/>
        </w:rPr>
        <w:tab/>
        <w:t>the termination or threatened termination of,</w:t>
      </w:r>
    </w:p>
    <w:p>
      <w:pPr>
        <w:pStyle w:val="nzIndenta"/>
        <w:rPr>
          <w:snapToGrid w:val="0"/>
        </w:rPr>
      </w:pPr>
      <w:r>
        <w:rPr>
          <w:snapToGrid w:val="0"/>
        </w:rPr>
        <w:tab/>
      </w:r>
      <w:r>
        <w:rPr>
          <w:snapToGrid w:val="0"/>
        </w:rPr>
        <w:tab/>
        <w:t>any such agreement.</w:t>
      </w:r>
    </w:p>
    <w:p>
      <w:pPr>
        <w:pStyle w:val="nzSubsection"/>
        <w:rPr>
          <w:snapToGrid w:val="0"/>
        </w:rPr>
      </w:pPr>
      <w:r>
        <w:rPr>
          <w:snapToGrid w:val="0"/>
        </w:rPr>
        <w:tab/>
        <w:t>(2)</w:t>
      </w:r>
      <w:r>
        <w:rPr>
          <w:snapToGrid w:val="0"/>
        </w:rPr>
        <w:tab/>
        <w:t>In this section — </w:t>
      </w:r>
    </w:p>
    <w:p>
      <w:pPr>
        <w:pStyle w:val="nzDefstart"/>
      </w:pPr>
      <w:r>
        <w:rPr>
          <w:b/>
        </w:rPr>
        <w:tab/>
      </w:r>
      <w:r>
        <w:rPr>
          <w:rStyle w:val="CharDefText"/>
        </w:rPr>
        <w:t>trainee</w:t>
      </w:r>
      <w:r>
        <w:t xml:space="preserve"> means a person receiving vocational education and training under a training scheme.</w:t>
      </w:r>
    </w:p>
    <w:p>
      <w:pPr>
        <w:pStyle w:val="nzHeading5"/>
        <w:rPr>
          <w:snapToGrid w:val="0"/>
        </w:rPr>
      </w:pPr>
      <w:r>
        <w:rPr>
          <w:snapToGrid w:val="0"/>
        </w:rPr>
        <w:t xml:space="preserve">60. </w:t>
      </w:r>
      <w:r>
        <w:rPr>
          <w:snapToGrid w:val="0"/>
        </w:rPr>
        <w:tab/>
        <w:t xml:space="preserve">Inconsistency </w:t>
      </w:r>
    </w:p>
    <w:p>
      <w:pPr>
        <w:pStyle w:val="nzSubsection"/>
        <w:rPr>
          <w:snapToGrid w:val="0"/>
        </w:rPr>
      </w:pPr>
      <w:r>
        <w:rPr>
          <w:snapToGrid w:val="0"/>
        </w:rPr>
        <w:tab/>
      </w:r>
      <w:r>
        <w:rPr>
          <w:snapToGrid w:val="0"/>
        </w:rPr>
        <w:tab/>
        <w:t xml:space="preserve">Where a provision of this Part or of a regulation made under section 59 (1) is inconsistent with a provision of the </w:t>
      </w:r>
      <w:r>
        <w:rPr>
          <w:i/>
          <w:snapToGrid w:val="0"/>
        </w:rPr>
        <w:t>Industrial Relations Act 1979</w:t>
      </w:r>
      <w:r>
        <w:rPr>
          <w:snapToGrid w:val="0"/>
        </w:rPr>
        <w:t xml:space="preserve"> or any order, award or industrial agreement in force under that Act, the former provision prevails.</w:t>
      </w:r>
    </w:p>
    <w:p>
      <w:pPr>
        <w:pStyle w:val="nzHeading5"/>
        <w:rPr>
          <w:snapToGrid w:val="0"/>
        </w:rPr>
      </w:pPr>
      <w:r>
        <w:rPr>
          <w:snapToGrid w:val="0"/>
        </w:rPr>
        <w:t xml:space="preserve">61. </w:t>
      </w:r>
      <w:r>
        <w:rPr>
          <w:snapToGrid w:val="0"/>
        </w:rPr>
        <w:tab/>
        <w:t xml:space="preserve">Repeal </w:t>
      </w:r>
    </w:p>
    <w:p>
      <w:pPr>
        <w:pStyle w:val="nzSubsection"/>
        <w:rPr>
          <w:snapToGrid w:val="0"/>
        </w:rPr>
      </w:pPr>
      <w:r>
        <w:rPr>
          <w:snapToGrid w:val="0"/>
        </w:rPr>
        <w:tab/>
      </w:r>
      <w:r>
        <w:rPr>
          <w:snapToGrid w:val="0"/>
        </w:rPr>
        <w:tab/>
        <w:t xml:space="preserve">The </w:t>
      </w:r>
      <w:r>
        <w:rPr>
          <w:i/>
          <w:snapToGrid w:val="0"/>
        </w:rPr>
        <w:t>Industrial Training Act 1975</w:t>
      </w:r>
      <w:r>
        <w:rPr>
          <w:snapToGrid w:val="0"/>
        </w:rP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MiscClose"/>
        <w:rPr>
          <w:snapToGrid w:val="0"/>
        </w:rPr>
      </w:pPr>
      <w:r>
        <w:rPr>
          <w:snapToGrid w:val="0"/>
        </w:rPr>
        <w:t>”.</w:t>
      </w:r>
    </w:p>
    <w:p>
      <w:pPr>
        <w:pStyle w:val="MiscOpen"/>
        <w:rPr>
          <w:snapToGrid w:val="0"/>
        </w:rPr>
      </w:pPr>
      <w:r>
        <w:rPr>
          <w:snapToGrid w:val="0"/>
        </w:rPr>
        <w:t>“</w:t>
      </w:r>
    </w:p>
    <w:p>
      <w:pPr>
        <w:pStyle w:val="nzHeading2"/>
        <w:widowControl w:val="0"/>
      </w:pPr>
      <w:r>
        <w:t xml:space="preserve">Schedule 2 </w:t>
      </w:r>
    </w:p>
    <w:p>
      <w:pPr>
        <w:keepNext/>
        <w:shd w:val="clear" w:color="808080" w:fill="auto"/>
        <w:jc w:val="right"/>
        <w:rPr>
          <w:snapToGrid w:val="0"/>
          <w:sz w:val="20"/>
        </w:rPr>
      </w:pPr>
      <w:r>
        <w:rPr>
          <w:snapToGrid w:val="0"/>
          <w:sz w:val="2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ab/>
        <w:t>1.</w:t>
      </w:r>
      <w:r>
        <w:rPr>
          <w:snapToGrid w:val="0"/>
        </w:rPr>
        <w:tab/>
      </w:r>
      <w:r>
        <w:rPr>
          <w:i/>
          <w:snapToGrid w:val="0"/>
        </w:rPr>
        <w:t>Industrial Relations Act 1979</w:t>
      </w:r>
      <w:r>
        <w:rPr>
          <w:snapToGrid w:val="0"/>
        </w:rPr>
        <w:t xml:space="preserve"> amended </w:t>
      </w:r>
    </w:p>
    <w:p>
      <w:pPr>
        <w:pStyle w:val="nzSubsection"/>
        <w:keepNext/>
        <w:rPr>
          <w:snapToGrid w:val="0"/>
        </w:rPr>
      </w:pPr>
      <w:r>
        <w:rPr>
          <w:snapToGrid w:val="0"/>
        </w:rPr>
        <w:tab/>
      </w:r>
      <w:r>
        <w:rPr>
          <w:snapToGrid w:val="0"/>
        </w:rPr>
        <w:tab/>
        <w:t xml:space="preserve">The </w:t>
      </w:r>
      <w:r>
        <w:rPr>
          <w:i/>
          <w:snapToGrid w:val="0"/>
        </w:rPr>
        <w:t>Industrial Relations Act 1979</w:t>
      </w:r>
      <w:r>
        <w:rPr>
          <w:snapToGrid w:val="0"/>
        </w:rPr>
        <w:t xml:space="preserve"> is amended in section 7 — </w:t>
      </w:r>
    </w:p>
    <w:p>
      <w:pPr>
        <w:pStyle w:val="nzIndenta"/>
        <w:rPr>
          <w:snapToGrid w:val="0"/>
        </w:rPr>
      </w:pPr>
      <w:r>
        <w:rPr>
          <w:snapToGrid w:val="0"/>
        </w:rPr>
        <w:tab/>
        <w:t>(a)</w:t>
      </w:r>
      <w:r>
        <w:rPr>
          <w:snapToGrid w:val="0"/>
        </w:rPr>
        <w:tab/>
        <w:t xml:space="preserve">in the definition of “apprentice” by deleting “an apprentice under the </w:t>
      </w:r>
      <w:r>
        <w:rPr>
          <w:i/>
          <w:snapToGrid w:val="0"/>
        </w:rPr>
        <w:t>Industrial Training Act 1975</w:t>
      </w:r>
      <w:r>
        <w:rPr>
          <w:snapToGrid w:val="0"/>
        </w:rPr>
        <w:t>” and substituting the following — </w:t>
      </w:r>
    </w:p>
    <w:p>
      <w:pPr>
        <w:pStyle w:val="MiscOpen"/>
        <w:shd w:val="clear" w:color="808080" w:fill="auto"/>
        <w:ind w:left="1418"/>
        <w:rPr>
          <w:snapToGrid w:val="0"/>
          <w:sz w:val="20"/>
        </w:rPr>
      </w:pPr>
      <w:r>
        <w:rPr>
          <w:snapToGrid w:val="0"/>
          <w:sz w:val="20"/>
        </w:rPr>
        <w:t>“</w:t>
      </w:r>
    </w:p>
    <w:p>
      <w:pPr>
        <w:pStyle w:val="nzSubsection"/>
        <w:rPr>
          <w:snapToGrid w:val="0"/>
        </w:rPr>
      </w:pPr>
      <w:r>
        <w:rPr>
          <w:snapToGrid w:val="0"/>
        </w:rPr>
        <w:tab/>
      </w:r>
      <w:r>
        <w:rPr>
          <w:snapToGrid w:val="0"/>
        </w:rPr>
        <w:tab/>
        <w:t xml:space="preserve">a person who has entered an apprenticeship within the meaning of that term in section 58 of the </w:t>
      </w:r>
      <w:r>
        <w:rPr>
          <w:i/>
          <w:snapToGrid w:val="0"/>
        </w:rPr>
        <w:t>Vocational Education and Training Act 1996</w:t>
      </w:r>
      <w:r>
        <w:rPr>
          <w:snapToGrid w:val="0"/>
        </w:rPr>
        <w:t xml:space="preserve"> </w:t>
      </w:r>
    </w:p>
    <w:p>
      <w:pPr>
        <w:pStyle w:val="MiscClose"/>
        <w:ind w:right="567"/>
        <w:rPr>
          <w:snapToGrid w:val="0"/>
        </w:rPr>
      </w:pPr>
      <w:r>
        <w:rPr>
          <w:snapToGrid w:val="0"/>
        </w:rPr>
        <w:t>”;</w:t>
      </w:r>
    </w:p>
    <w:p>
      <w:pPr>
        <w:pStyle w:val="nzIndenta"/>
        <w:ind w:hanging="2183"/>
        <w:rPr>
          <w:i/>
          <w:iCs/>
          <w:snapToGrid w:val="0"/>
        </w:rPr>
      </w:pPr>
      <w:r>
        <w:rPr>
          <w:snapToGrid w:val="0"/>
        </w:rPr>
        <w:tab/>
      </w:r>
      <w:r>
        <w:rPr>
          <w:i/>
          <w:iCs/>
          <w:snapToGrid w:val="0"/>
        </w:rPr>
        <w:t>[(b) and (c)</w:t>
      </w:r>
      <w:r>
        <w:rPr>
          <w:i/>
          <w:iCs/>
          <w:snapToGrid w:val="0"/>
        </w:rPr>
        <w:tab/>
        <w:t>deleted]</w:t>
      </w:r>
    </w:p>
    <w:p>
      <w:pPr>
        <w:pStyle w:val="nzIndenta"/>
        <w:ind w:hanging="2183"/>
        <w:rPr>
          <w:snapToGrid w:val="0"/>
        </w:rPr>
      </w:pPr>
      <w:r>
        <w:rPr>
          <w:snapToGrid w:val="0"/>
        </w:rPr>
        <w:tab/>
        <w:t>(d)</w:t>
      </w:r>
      <w:r>
        <w:rPr>
          <w:snapToGrid w:val="0"/>
        </w:rPr>
        <w:tab/>
        <w:t>in paragraph (f) of the definition of “industrial matter” —</w:t>
      </w:r>
    </w:p>
    <w:p>
      <w:pPr>
        <w:pStyle w:val="nzIndenti"/>
        <w:rPr>
          <w:i/>
          <w:snapToGrid w:val="0"/>
        </w:rPr>
      </w:pPr>
      <w:r>
        <w:rPr>
          <w:snapToGrid w:val="0"/>
        </w:rPr>
        <w:tab/>
      </w:r>
      <w:r>
        <w:rPr>
          <w:i/>
          <w:snapToGrid w:val="0"/>
        </w:rPr>
        <w:t>[(i)</w:t>
      </w:r>
      <w:r>
        <w:rPr>
          <w:i/>
          <w:snapToGrid w:val="0"/>
        </w:rPr>
        <w:tab/>
        <w:t>deleted]</w:t>
      </w:r>
    </w:p>
    <w:p>
      <w:pPr>
        <w:pStyle w:val="nzIndenti"/>
        <w:rPr>
          <w:snapToGrid w:val="0"/>
        </w:rPr>
      </w:pPr>
      <w:r>
        <w:rPr>
          <w:snapToGrid w:val="0"/>
        </w:rPr>
        <w:tab/>
        <w:t>(ii)</w:t>
      </w:r>
      <w:r>
        <w:rPr>
          <w:snapToGrid w:val="0"/>
        </w:rPr>
        <w:tab/>
        <w:t>by deleting “</w:t>
      </w:r>
      <w:r>
        <w:rPr>
          <w:i/>
          <w:snapToGrid w:val="0"/>
        </w:rPr>
        <w:t>Industrial Training Act 1975</w:t>
      </w:r>
      <w:r>
        <w:rPr>
          <w:snapToGrid w:val="0"/>
        </w:rPr>
        <w:t>” and substituting the following — </w:t>
      </w:r>
    </w:p>
    <w:p>
      <w:pPr>
        <w:pStyle w:val="MiscOpen"/>
        <w:ind w:left="1418"/>
        <w:rPr>
          <w:snapToGrid w:val="0"/>
        </w:rPr>
      </w:pPr>
      <w:r>
        <w:rPr>
          <w:snapToGrid w:val="0"/>
        </w:rPr>
        <w:t>“</w:t>
      </w:r>
    </w:p>
    <w:p>
      <w:pPr>
        <w:pStyle w:val="nzIndenta"/>
        <w:rPr>
          <w:snapToGrid w:val="0"/>
        </w:rPr>
      </w:pPr>
      <w:r>
        <w:rPr>
          <w:snapToGrid w:val="0"/>
        </w:rPr>
        <w:tab/>
      </w:r>
      <w:r>
        <w:rPr>
          <w:snapToGrid w:val="0"/>
        </w:rPr>
        <w:tab/>
        <w:t xml:space="preserve">relevant training scheme under the </w:t>
      </w:r>
      <w:r>
        <w:rPr>
          <w:i/>
          <w:snapToGrid w:val="0"/>
        </w:rPr>
        <w:t>Vocational Education and Training Act 1996</w:t>
      </w:r>
      <w:r>
        <w:rPr>
          <w:snapToGrid w:val="0"/>
        </w:rPr>
        <w:t xml:space="preserve"> </w:t>
      </w:r>
    </w:p>
    <w:p>
      <w:pPr>
        <w:pStyle w:val="MiscClose"/>
        <w:ind w:right="567"/>
        <w:rPr>
          <w:snapToGrid w:val="0"/>
        </w:rPr>
      </w:pPr>
      <w:r>
        <w:rPr>
          <w:snapToGrid w:val="0"/>
        </w:rPr>
        <w:t xml:space="preserve">”; </w:t>
      </w:r>
    </w:p>
    <w:p>
      <w:pPr>
        <w:pStyle w:val="nzIndenta"/>
        <w:rPr>
          <w:snapToGrid w:val="0"/>
        </w:rPr>
      </w:pPr>
      <w:r>
        <w:rPr>
          <w:snapToGrid w:val="0"/>
        </w:rPr>
        <w:tab/>
      </w:r>
      <w:r>
        <w:rPr>
          <w:snapToGrid w:val="0"/>
        </w:rPr>
        <w:tab/>
      </w:r>
      <w:r>
        <w:rPr>
          <w:snapToGrid w:val="0"/>
        </w:rPr>
        <w:tab/>
        <w:t>and</w:t>
      </w:r>
    </w:p>
    <w:p>
      <w:pPr>
        <w:pStyle w:val="nzIndenti"/>
        <w:rPr>
          <w:snapToGrid w:val="0"/>
        </w:rPr>
      </w:pPr>
      <w:r>
        <w:rPr>
          <w:snapToGrid w:val="0"/>
        </w:rPr>
        <w:tab/>
        <w:t>(iii)</w:t>
      </w:r>
      <w:r>
        <w:rPr>
          <w:snapToGrid w:val="0"/>
        </w:rPr>
        <w:tab/>
        <w:t>by deleting “any agreement of apprenticeship or training agreement” and substituting the following — </w:t>
      </w:r>
    </w:p>
    <w:p>
      <w:pPr>
        <w:pStyle w:val="MiscOpen"/>
        <w:ind w:left="1418"/>
        <w:rPr>
          <w:snapToGrid w:val="0"/>
        </w:rPr>
      </w:pPr>
      <w:r>
        <w:rPr>
          <w:snapToGrid w:val="0"/>
        </w:rPr>
        <w:t>“</w:t>
      </w:r>
    </w:p>
    <w:p>
      <w:pPr>
        <w:pStyle w:val="nzIndenta"/>
        <w:rPr>
          <w:snapToGrid w:val="0"/>
        </w:rPr>
      </w:pPr>
      <w:r>
        <w:rPr>
          <w:snapToGrid w:val="0"/>
        </w:rPr>
        <w:tab/>
      </w:r>
      <w:r>
        <w:rPr>
          <w:snapToGrid w:val="0"/>
        </w:rPr>
        <w:tab/>
        <w:t>an apprenticeship contract or other agreement forming part of a training scheme under that Act</w:t>
      </w:r>
    </w:p>
    <w:p>
      <w:pPr>
        <w:pStyle w:val="MiscClose"/>
        <w:rPr>
          <w:snapToGrid w:val="0"/>
        </w:rPr>
      </w:pPr>
      <w:r>
        <w:rPr>
          <w:snapToGrid w:val="0"/>
        </w:rPr>
        <w:t>”.</w:t>
      </w:r>
    </w:p>
    <w:p>
      <w:pPr>
        <w:pStyle w:val="nzIndenta"/>
        <w:rPr>
          <w:i/>
          <w:snapToGrid w:val="0"/>
        </w:rPr>
      </w:pPr>
      <w:r>
        <w:rPr>
          <w:snapToGrid w:val="0"/>
        </w:rPr>
        <w:tab/>
      </w:r>
      <w:r>
        <w:rPr>
          <w:i/>
          <w:snapToGrid w:val="0"/>
        </w:rPr>
        <w:t>[(e)</w:t>
      </w:r>
      <w:r>
        <w:rPr>
          <w:i/>
          <w:snapToGrid w:val="0"/>
        </w:rPr>
        <w:tab/>
        <w:t>deleted]</w:t>
      </w:r>
    </w:p>
    <w:p>
      <w:pPr>
        <w:pStyle w:val="nzHeading5"/>
        <w:ind w:left="890" w:hanging="890"/>
        <w:rPr>
          <w:snapToGrid w:val="0"/>
        </w:rPr>
      </w:pPr>
      <w:r>
        <w:rPr>
          <w:snapToGrid w:val="0"/>
        </w:rPr>
        <w:tab/>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r>
      <w:r>
        <w:rPr>
          <w:rStyle w:val="CharDefText"/>
        </w:rPr>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recognised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yFootnotesection"/>
        <w:rPr>
          <w:sz w:val="20"/>
        </w:rPr>
      </w:pPr>
      <w:r>
        <w:rPr>
          <w:sz w:val="20"/>
        </w:rPr>
        <w:tab/>
        <w:t>[Schedule 2 amended by No. 20 of 2002 s. 184.]</w:t>
      </w:r>
    </w:p>
    <w:p>
      <w:pPr>
        <w:pStyle w:val="MiscClose"/>
        <w:rPr>
          <w:snapToGrid w:val="0"/>
        </w:rPr>
      </w:pPr>
      <w:r>
        <w:rPr>
          <w:snapToGrid w:val="0"/>
        </w:rPr>
        <w:t>”.</w:t>
      </w:r>
    </w:p>
    <w:p>
      <w:pPr>
        <w:pStyle w:val="nSubsection"/>
      </w:pPr>
      <w:r>
        <w:rPr>
          <w:vertAlign w:val="superscript"/>
        </w:rPr>
        <w:t>3</w:t>
      </w:r>
      <w:r>
        <w:tab/>
        <w:t xml:space="preserve">The </w:t>
      </w:r>
      <w:r>
        <w:rPr>
          <w:i/>
        </w:rPr>
        <w:t>Acts Amendment (Education Loan Scheme) Act 1998</w:t>
      </w:r>
      <w:r>
        <w:t xml:space="preserve">  Pt. 5 reads as follows:</w:t>
      </w:r>
    </w:p>
    <w:p>
      <w:pPr>
        <w:pStyle w:val="MiscOpen"/>
      </w:pPr>
      <w:r>
        <w:t>“</w:t>
      </w:r>
    </w:p>
    <w:p>
      <w:pPr>
        <w:pStyle w:val="nzHeading2"/>
      </w:pPr>
      <w:r>
        <w:t xml:space="preserve">Part 5 — Transitional </w:t>
      </w:r>
    </w:p>
    <w:p>
      <w:pPr>
        <w:pStyle w:val="nzHeading5"/>
        <w:rPr>
          <w:snapToGrid w:val="0"/>
        </w:rPr>
      </w:pPr>
      <w:bookmarkStart w:id="414" w:name="_Toc419882908"/>
      <w:r>
        <w:rPr>
          <w:snapToGrid w:val="0"/>
        </w:rPr>
        <w:t>9.</w:t>
      </w:r>
      <w:r>
        <w:rPr>
          <w:snapToGrid w:val="0"/>
        </w:rPr>
        <w:tab/>
        <w:t>Existing loans may be varied</w:t>
      </w:r>
      <w:bookmarkEnd w:id="414"/>
      <w:r>
        <w:rPr>
          <w:snapToGrid w:val="0"/>
        </w:rPr>
        <w:t xml:space="preserve"> </w:t>
      </w:r>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415" w:name="_Toc419882909"/>
      <w:r>
        <w:rPr>
          <w:rStyle w:val="CharSectno"/>
        </w:rPr>
        <w:t>10.</w:t>
      </w:r>
      <w:r>
        <w:rPr>
          <w:rStyle w:val="CharSectno"/>
        </w:rPr>
        <w:tab/>
        <w:t>Moneys may be borrowed and paid to Treasurer</w:t>
      </w:r>
      <w:bookmarkEnd w:id="415"/>
      <w:r>
        <w:rPr>
          <w:rStyle w:val="CharSectno"/>
        </w:rPr>
        <w:t xml:space="preserve"> </w:t>
      </w:r>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416" w:name="endcomma"/>
      <w:bookmarkEnd w:id="416"/>
      <w:r>
        <w:rPr>
          <w:rStyle w:val="CharDefText"/>
        </w:rPr>
        <w:t>Vocational Education and Training Minister</w:t>
      </w:r>
      <w:r>
        <w:t xml:space="preserve"> </w:t>
      </w:r>
      <w:bookmarkStart w:id="417" w:name="comma"/>
      <w:bookmarkEnd w:id="417"/>
      <w:r>
        <w:t xml:space="preserve">means the Minister in whom the administration of the </w:t>
      </w:r>
      <w:r>
        <w:rPr>
          <w:i/>
        </w:rPr>
        <w:t>Vocational Education and Training Act 1996</w:t>
      </w:r>
      <w:r>
        <w:t xml:space="preserve"> is for the time being committed by the Governor.</w:t>
      </w:r>
    </w:p>
    <w:p>
      <w:pPr>
        <w:pStyle w:val="MiscClose"/>
      </w:pPr>
      <w:r>
        <w:t xml:space="preserve">”. </w:t>
      </w: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b/>
              <w:sz w:val="19"/>
            </w:rPr>
          </w:pPr>
          <w:r>
            <w:rPr>
              <w:b/>
              <w:sz w:val="19"/>
            </w:rPr>
            <w:fldChar w:fldCharType="begin"/>
          </w:r>
          <w:r>
            <w:rPr>
              <w:b/>
              <w:sz w:val="19"/>
            </w:rPr>
            <w:instrText xml:space="preserve"> styleref CharPartText </w:instrText>
          </w:r>
          <w:r>
            <w:rPr>
              <w:b/>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rPr>
              <w:b/>
              <w:sz w:val="19"/>
            </w:rPr>
          </w:pPr>
          <w:r>
            <w:rPr>
              <w:b/>
              <w:sz w:val="19"/>
            </w:rPr>
            <w:fldChar w:fldCharType="begin"/>
          </w:r>
          <w:r>
            <w:rPr>
              <w:b/>
              <w:sz w:val="19"/>
            </w:rPr>
            <w:instrText xml:space="preserve"> styleref CharPartText </w:instrText>
          </w:r>
          <w:r>
            <w:rPr>
              <w:b/>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7BB5138"/>
    <w:multiLevelType w:val="hybridMultilevel"/>
    <w:tmpl w:val="2BA235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2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31"/>
    <w:docVar w:name="WAFER_20151209165531" w:val="RemoveTrackChanges"/>
    <w:docVar w:name="WAFER_20151209165531_GUID" w:val="7755a48c-28ba-4d17-8bff-3bc881d77d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12155</Words>
  <Characters>60533</Characters>
  <Application>Microsoft Office Word</Application>
  <DocSecurity>0</DocSecurity>
  <Lines>1636</Lines>
  <Paragraphs>969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1996 - 01-c0-07</dc:title>
  <dc:subject/>
  <dc:creator/>
  <cp:keywords/>
  <dc:description/>
  <cp:lastModifiedBy>svcMRProcess</cp:lastModifiedBy>
  <cp:revision>4</cp:revision>
  <cp:lastPrinted>2002-01-21T08:16:00Z</cp:lastPrinted>
  <dcterms:created xsi:type="dcterms:W3CDTF">2018-09-09T07:37:00Z</dcterms:created>
  <dcterms:modified xsi:type="dcterms:W3CDTF">2018-09-09T07:37:00Z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858</vt:i4>
  </property>
  <property fmtid="{D5CDD505-2E9C-101B-9397-08002B2CF9AE}" pid="6" name="AsAtDate">
    <vt:lpwstr>01 Feb 2007</vt:lpwstr>
  </property>
  <property fmtid="{D5CDD505-2E9C-101B-9397-08002B2CF9AE}" pid="7" name="Suffix">
    <vt:lpwstr>01-c0-07</vt:lpwstr>
  </property>
</Properties>
</file>