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_Toc152728237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_Toc152728238 \h </w:instrText>
      </w:r>
      <w:r>
        <w:fldChar w:fldCharType="separate"/>
      </w:r>
      <w:r>
        <w:t>3</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_Toc152728239 \h </w:instrText>
      </w:r>
      <w:r>
        <w:fldChar w:fldCharType="separate"/>
      </w:r>
      <w:r>
        <w:t>3</w:t>
      </w:r>
      <w:r>
        <w:fldChar w:fldCharType="end"/>
      </w:r>
    </w:p>
    <w:p>
      <w:pPr>
        <w:pStyle w:val="TOC8"/>
        <w:rPr>
          <w:sz w:val="24"/>
          <w:szCs w:val="24"/>
        </w:rPr>
      </w:pPr>
      <w:r>
        <w:rPr>
          <w:szCs w:val="24"/>
        </w:rPr>
        <w:t>4.</w:t>
      </w:r>
      <w:r>
        <w:rPr>
          <w:szCs w:val="24"/>
        </w:rPr>
        <w:tab/>
        <w:t>Meaning of “volunteer”</w:t>
      </w:r>
      <w:r>
        <w:tab/>
      </w:r>
      <w:r>
        <w:fldChar w:fldCharType="begin"/>
      </w:r>
      <w:r>
        <w:instrText xml:space="preserve"> PAGEREF _Toc152728240 \h </w:instrText>
      </w:r>
      <w:r>
        <w:fldChar w:fldCharType="separate"/>
      </w:r>
      <w:r>
        <w:t>5</w:t>
      </w:r>
      <w:r>
        <w:fldChar w:fldCharType="end"/>
      </w:r>
    </w:p>
    <w:p>
      <w:pPr>
        <w:pStyle w:val="TOC8"/>
        <w:rPr>
          <w:sz w:val="24"/>
          <w:szCs w:val="24"/>
        </w:rPr>
      </w:pPr>
      <w:r>
        <w:rPr>
          <w:szCs w:val="24"/>
        </w:rPr>
        <w:t>5.</w:t>
      </w:r>
      <w:r>
        <w:rPr>
          <w:szCs w:val="24"/>
        </w:rPr>
        <w:tab/>
        <w:t>Application</w:t>
      </w:r>
      <w:r>
        <w:tab/>
      </w:r>
      <w:r>
        <w:fldChar w:fldCharType="begin"/>
      </w:r>
      <w:r>
        <w:instrText xml:space="preserve"> PAGEREF _Toc152728241 \h </w:instrText>
      </w:r>
      <w:r>
        <w:fldChar w:fldCharType="separate"/>
      </w:r>
      <w:r>
        <w:t>6</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Protection of volunteers from liability</w:t>
      </w:r>
    </w:p>
    <w:p>
      <w:pPr>
        <w:pStyle w:val="TOC8"/>
        <w:rPr>
          <w:sz w:val="24"/>
          <w:szCs w:val="24"/>
        </w:rPr>
      </w:pPr>
      <w:r>
        <w:rPr>
          <w:szCs w:val="24"/>
        </w:rPr>
        <w:t>6.</w:t>
      </w:r>
      <w:r>
        <w:rPr>
          <w:szCs w:val="24"/>
        </w:rPr>
        <w:tab/>
        <w:t>Protection of volunteers from liability</w:t>
      </w:r>
      <w:r>
        <w:tab/>
      </w:r>
      <w:r>
        <w:fldChar w:fldCharType="begin"/>
      </w:r>
      <w:r>
        <w:instrText xml:space="preserve"> PAGEREF _Toc152728243 \h </w:instrText>
      </w:r>
      <w:r>
        <w:fldChar w:fldCharType="separate"/>
      </w:r>
      <w:r>
        <w:t>7</w:t>
      </w:r>
      <w:r>
        <w:fldChar w:fldCharType="end"/>
      </w:r>
    </w:p>
    <w:p>
      <w:pPr>
        <w:pStyle w:val="TOC8"/>
        <w:rPr>
          <w:sz w:val="24"/>
          <w:szCs w:val="24"/>
        </w:rPr>
      </w:pPr>
      <w:r>
        <w:rPr>
          <w:szCs w:val="24"/>
        </w:rPr>
        <w:t>7.</w:t>
      </w:r>
      <w:r>
        <w:rPr>
          <w:szCs w:val="24"/>
        </w:rPr>
        <w:tab/>
        <w:t>Liability of community organisations</w:t>
      </w:r>
      <w:r>
        <w:tab/>
      </w:r>
      <w:r>
        <w:fldChar w:fldCharType="begin"/>
      </w:r>
      <w:r>
        <w:instrText xml:space="preserve"> PAGEREF _Toc152728244 \h </w:instrText>
      </w:r>
      <w:r>
        <w:fldChar w:fldCharType="separate"/>
      </w:r>
      <w:r>
        <w:t>8</w:t>
      </w:r>
      <w:r>
        <w:fldChar w:fldCharType="end"/>
      </w:r>
    </w:p>
    <w:p>
      <w:pPr>
        <w:pStyle w:val="TOC8"/>
        <w:rPr>
          <w:sz w:val="24"/>
          <w:szCs w:val="24"/>
        </w:rPr>
      </w:pPr>
      <w:r>
        <w:rPr>
          <w:szCs w:val="24"/>
        </w:rPr>
        <w:t>8.</w:t>
      </w:r>
      <w:r>
        <w:rPr>
          <w:szCs w:val="24"/>
        </w:rPr>
        <w:tab/>
        <w:t>Certain indemnities etc. have no effect</w:t>
      </w:r>
      <w:r>
        <w:tab/>
      </w:r>
      <w:r>
        <w:fldChar w:fldCharType="begin"/>
      </w:r>
      <w:r>
        <w:instrText xml:space="preserve"> PAGEREF _Toc152728245 \h </w:instrText>
      </w:r>
      <w:r>
        <w:fldChar w:fldCharType="separate"/>
      </w:r>
      <w:r>
        <w:t>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Protection of food donors and grocery product donors from liability</w:t>
      </w:r>
    </w:p>
    <w:p>
      <w:pPr>
        <w:pStyle w:val="TOC8"/>
        <w:rPr>
          <w:sz w:val="24"/>
          <w:szCs w:val="24"/>
        </w:rPr>
      </w:pPr>
      <w:r>
        <w:rPr>
          <w:szCs w:val="24"/>
        </w:rPr>
        <w:t>8A.</w:t>
      </w:r>
      <w:r>
        <w:rPr>
          <w:szCs w:val="24"/>
        </w:rPr>
        <w:tab/>
        <w:t>Protection of food donors and grocery product donors from liability</w:t>
      </w:r>
      <w:r>
        <w:tab/>
      </w:r>
      <w:r>
        <w:fldChar w:fldCharType="begin"/>
      </w:r>
      <w:r>
        <w:instrText xml:space="preserve"> PAGEREF _Toc152728247 \h </w:instrText>
      </w:r>
      <w:r>
        <w:fldChar w:fldCharType="separate"/>
      </w:r>
      <w:r>
        <w:t>10</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Regulations</w:t>
      </w:r>
    </w:p>
    <w:p>
      <w:pPr>
        <w:pStyle w:val="TOC8"/>
        <w:rPr>
          <w:sz w:val="24"/>
          <w:szCs w:val="24"/>
        </w:rPr>
      </w:pPr>
      <w:r>
        <w:rPr>
          <w:szCs w:val="24"/>
        </w:rPr>
        <w:t>9.</w:t>
      </w:r>
      <w:r>
        <w:rPr>
          <w:szCs w:val="24"/>
        </w:rPr>
        <w:tab/>
        <w:t>Regulations</w:t>
      </w:r>
      <w:r>
        <w:tab/>
      </w:r>
      <w:r>
        <w:fldChar w:fldCharType="begin"/>
      </w:r>
      <w:r>
        <w:instrText xml:space="preserve"> PAGEREF _Toc152728249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_Toc152728251 \h </w:instrText>
      </w:r>
      <w:r>
        <w:fldChar w:fldCharType="separate"/>
      </w:r>
      <w:r>
        <w:t>13</w:t>
      </w:r>
      <w:r>
        <w:fldChar w:fldCharType="end"/>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 xml:space="preserve">An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rPr>
          <w:rStyle w:val="CharPartText"/>
        </w:rPr>
      </w:pPr>
      <w:bookmarkStart w:id="1" w:name="_Toc152558713"/>
      <w:bookmarkStart w:id="2" w:name="_Toc152659542"/>
      <w:bookmarkStart w:id="3" w:name="_Toc152661492"/>
      <w:bookmarkStart w:id="4" w:name="_Toc152728236"/>
      <w:bookmarkStart w:id="5" w:name="_Toc471793481"/>
      <w:bookmarkStart w:id="6" w:name="_Toc512746194"/>
      <w:bookmarkStart w:id="7" w:name="_Toc515958175"/>
      <w:bookmarkStart w:id="8" w:name="_Toc24431375"/>
      <w:bookmarkStart w:id="9" w:name="_Toc27888537"/>
      <w:r>
        <w:rPr>
          <w:rStyle w:val="CharPartNo"/>
        </w:rPr>
        <w:lastRenderedPageBreak/>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by No. 53 of 2006 s. 5.]</w:t>
      </w:r>
    </w:p>
    <w:p>
      <w:pPr>
        <w:pStyle w:val="Heading5"/>
        <w:suppressLineNumbers/>
        <w:rPr>
          <w:snapToGrid w:val="0"/>
        </w:rPr>
      </w:pPr>
      <w:bookmarkStart w:id="10" w:name="_Toc152728237"/>
      <w:r>
        <w:rPr>
          <w:rStyle w:val="CharSectno"/>
        </w:rPr>
        <w:t>1</w:t>
      </w:r>
      <w:r>
        <w:rPr>
          <w:snapToGrid w:val="0"/>
        </w:rPr>
        <w:t>.</w:t>
      </w:r>
      <w:r>
        <w:rPr>
          <w:snapToGrid w:val="0"/>
        </w:rPr>
        <w:tab/>
        <w:t>Short title</w:t>
      </w:r>
      <w:bookmarkEnd w:id="5"/>
      <w:bookmarkEnd w:id="6"/>
      <w:bookmarkEnd w:id="7"/>
      <w:bookmarkEnd w:id="8"/>
      <w:bookmarkEnd w:id="9"/>
      <w:bookmarkEnd w:id="10"/>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iCs/>
        </w:rPr>
        <w:t xml:space="preserve"> and Food and Other Donors</w:t>
      </w:r>
      <w:r>
        <w:rPr>
          <w:i/>
          <w:snapToGrid w:val="0"/>
        </w:rPr>
        <w:t xml:space="preserve"> (Protection from Liability) Act 2002</w:t>
      </w:r>
      <w:r>
        <w:rPr>
          <w:iCs/>
          <w:snapToGrid w:val="0"/>
        </w:rPr>
        <w:t xml:space="preserve"> </w:t>
      </w:r>
      <w:r>
        <w:rPr>
          <w:iCs/>
          <w:snapToGrid w:val="0"/>
          <w:vertAlign w:val="superscript"/>
        </w:rPr>
        <w:t>1</w:t>
      </w:r>
      <w:r>
        <w:rPr>
          <w:snapToGrid w:val="0"/>
        </w:rPr>
        <w:t xml:space="preserve">. </w:t>
      </w:r>
    </w:p>
    <w:p>
      <w:pPr>
        <w:pStyle w:val="Footnotesection"/>
      </w:pPr>
      <w:r>
        <w:tab/>
        <w:t>[Section 1 amended by No. 53 of 2006 s. 6.]</w:t>
      </w:r>
    </w:p>
    <w:p>
      <w:pPr>
        <w:pStyle w:val="Heading5"/>
        <w:pageBreakBefore/>
        <w:rPr>
          <w:snapToGrid w:val="0"/>
        </w:rPr>
      </w:pPr>
      <w:bookmarkStart w:id="11" w:name="_Toc471793482"/>
      <w:bookmarkStart w:id="12" w:name="_Toc512746195"/>
      <w:bookmarkStart w:id="13" w:name="_Toc515958176"/>
      <w:bookmarkStart w:id="14" w:name="_Toc24431376"/>
      <w:bookmarkStart w:id="15" w:name="_Toc27888538"/>
      <w:bookmarkStart w:id="16" w:name="_Toc152728238"/>
      <w:r>
        <w:rPr>
          <w:rStyle w:val="CharSectno"/>
        </w:rPr>
        <w:lastRenderedPageBreak/>
        <w:t>2</w:t>
      </w:r>
      <w:r>
        <w:rPr>
          <w:snapToGrid w:val="0"/>
        </w:rPr>
        <w:t>.</w:t>
      </w:r>
      <w:r>
        <w:rPr>
          <w:snapToGrid w:val="0"/>
        </w:rPr>
        <w:tab/>
        <w:t>Commencement</w:t>
      </w:r>
      <w:bookmarkEnd w:id="11"/>
      <w:bookmarkEnd w:id="12"/>
      <w:bookmarkEnd w:id="13"/>
      <w:bookmarkEnd w:id="14"/>
      <w:bookmarkEnd w:id="15"/>
      <w:bookmarkEnd w:id="16"/>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7" w:name="_Toc24431377"/>
      <w:bookmarkStart w:id="18" w:name="_Toc27888539"/>
      <w:bookmarkStart w:id="19" w:name="_Toc152728239"/>
      <w:r>
        <w:rPr>
          <w:rStyle w:val="CharSectno"/>
        </w:rPr>
        <w:t>3</w:t>
      </w:r>
      <w:r>
        <w:t>.</w:t>
      </w:r>
      <w:r>
        <w:tab/>
        <w:t>Interpretation</w:t>
      </w:r>
      <w:bookmarkEnd w:id="17"/>
      <w:bookmarkEnd w:id="18"/>
      <w:bookmarkEnd w:id="19"/>
    </w:p>
    <w:p>
      <w:pPr>
        <w:pStyle w:val="Subsection"/>
      </w:pPr>
      <w:r>
        <w:tab/>
        <w:t>(1)</w:t>
      </w:r>
      <w:r>
        <w:tab/>
        <w:t xml:space="preserve">In this Act, unless the contrary intention appears — </w:t>
      </w:r>
    </w:p>
    <w:p>
      <w:pPr>
        <w:pStyle w:val="Defstart"/>
      </w:pPr>
      <w:r>
        <w:tab/>
      </w:r>
      <w:r>
        <w:rPr>
          <w:b/>
        </w:rPr>
        <w:t>“</w:t>
      </w:r>
      <w:r>
        <w:rPr>
          <w:rStyle w:val="CharDefText"/>
        </w:rPr>
        <w:t>community organisation</w:t>
      </w:r>
      <w:r>
        <w:rPr>
          <w:b/>
        </w:rPr>
        <w:t>”</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r>
      <w:r>
        <w:tab/>
        <w:t>that organises the doing of community work by volunteers;</w:t>
      </w:r>
    </w:p>
    <w:p>
      <w:pPr>
        <w:pStyle w:val="Defstart"/>
      </w:pPr>
      <w:r>
        <w:tab/>
      </w:r>
      <w:r>
        <w:rPr>
          <w:b/>
        </w:rPr>
        <w:t>“</w:t>
      </w:r>
      <w:r>
        <w:rPr>
          <w:rStyle w:val="CharDefText"/>
        </w:rPr>
        <w:t>community work</w:t>
      </w:r>
      <w:r>
        <w:rPr>
          <w:b/>
        </w:rPr>
        <w:t>”</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r>
      <w:r>
        <w:tab/>
        <w:t>but does not include work of a kind that is prescribed by the regulations as work that is not to be regarded as community work for the purposes of this Act;</w:t>
      </w:r>
    </w:p>
    <w:p>
      <w:pPr>
        <w:pStyle w:val="Defstart"/>
      </w:pPr>
      <w:r>
        <w:rPr>
          <w:b/>
        </w:rPr>
        <w:tab/>
        <w:t>“</w:t>
      </w:r>
      <w:r>
        <w:rPr>
          <w:rStyle w:val="CharDefText"/>
        </w:rPr>
        <w:t>food</w:t>
      </w:r>
      <w:r>
        <w:rPr>
          <w:b/>
        </w:rPr>
        <w:t>”</w:t>
      </w:r>
      <w:r>
        <w:rPr>
          <w:bCs/>
        </w:rPr>
        <w:t xml:space="preserve"> has the meaning given to that term in </w:t>
      </w:r>
      <w:r>
        <w:t xml:space="preserve">section 3(1) of the </w:t>
      </w:r>
      <w:r>
        <w:rPr>
          <w:i/>
          <w:iCs/>
        </w:rPr>
        <w:t>Health Act 1911</w:t>
      </w:r>
      <w:r>
        <w:t>;</w:t>
      </w:r>
    </w:p>
    <w:p>
      <w:pPr>
        <w:pStyle w:val="Defstart"/>
      </w:pPr>
      <w:r>
        <w:rPr>
          <w:b/>
        </w:rPr>
        <w:tab/>
        <w:t>“</w:t>
      </w:r>
      <w:r>
        <w:rPr>
          <w:rStyle w:val="CharDefText"/>
        </w:rPr>
        <w:t>grocery product</w:t>
      </w:r>
      <w:r>
        <w:rPr>
          <w:b/>
        </w:rPr>
        <w: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r>
      <w:r>
        <w:tab/>
        <w:t>but does not include food;</w:t>
      </w:r>
    </w:p>
    <w:p>
      <w:pPr>
        <w:pStyle w:val="Defstart"/>
      </w:pPr>
      <w:r>
        <w:tab/>
      </w:r>
      <w:r>
        <w:rPr>
          <w:b/>
        </w:rPr>
        <w:t>“</w:t>
      </w:r>
      <w:r>
        <w:rPr>
          <w:rStyle w:val="CharDefText"/>
        </w:rPr>
        <w:t>organised</w:t>
      </w:r>
      <w:r>
        <w:rPr>
          <w:b/>
        </w:rPr>
        <w:t>”</w:t>
      </w:r>
      <w:r>
        <w:t xml:space="preserve"> includes directed and supervised;</w:t>
      </w:r>
    </w:p>
    <w:p>
      <w:pPr>
        <w:pStyle w:val="Defstart"/>
      </w:pPr>
      <w:r>
        <w:rPr>
          <w:b/>
        </w:rPr>
        <w:tab/>
        <w:t>“</w:t>
      </w:r>
      <w:r>
        <w:rPr>
          <w:rStyle w:val="CharDefText"/>
        </w:rPr>
        <w:t>personal injury</w:t>
      </w:r>
      <w:r>
        <w:rPr>
          <w:b/>
        </w:rPr>
        <w:t>”</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b/>
        </w:rPr>
        <w:t>“</w:t>
      </w:r>
      <w:r>
        <w:rPr>
          <w:rStyle w:val="CharDefText"/>
        </w:rPr>
        <w:t>volunteer</w:t>
      </w:r>
      <w:r>
        <w:rPr>
          <w:b/>
        </w:rPr>
        <w:t>”</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20" w:name="_Toc24431378"/>
      <w:bookmarkStart w:id="21" w:name="_Toc27888540"/>
      <w:r>
        <w:tab/>
        <w:t>[Section 3 amended by No. 53 of 2006 s. 7.]</w:t>
      </w:r>
    </w:p>
    <w:p>
      <w:pPr>
        <w:pStyle w:val="Heading5"/>
      </w:pPr>
      <w:bookmarkStart w:id="22" w:name="_Toc152728240"/>
      <w:r>
        <w:rPr>
          <w:rStyle w:val="CharSectno"/>
        </w:rPr>
        <w:t>4</w:t>
      </w:r>
      <w:r>
        <w:t>.</w:t>
      </w:r>
      <w:r>
        <w:tab/>
        <w:t>Meaning of “volunteer”</w:t>
      </w:r>
      <w:bookmarkEnd w:id="20"/>
      <w:bookmarkEnd w:id="21"/>
      <w:bookmarkEnd w:id="22"/>
    </w:p>
    <w:p>
      <w:pPr>
        <w:pStyle w:val="Subsection"/>
      </w:pPr>
      <w:r>
        <w:tab/>
        <w:t>(1)</w:t>
      </w:r>
      <w:r>
        <w:tab/>
        <w:t xml:space="preserve">In this Act — </w:t>
      </w:r>
    </w:p>
    <w:p>
      <w:pPr>
        <w:pStyle w:val="Defstart"/>
      </w:pPr>
      <w:r>
        <w:tab/>
      </w:r>
      <w:r>
        <w:rPr>
          <w:b/>
        </w:rPr>
        <w:t>“</w:t>
      </w:r>
      <w:r>
        <w:rPr>
          <w:rStyle w:val="CharDefText"/>
        </w:rPr>
        <w:t>volunteer</w:t>
      </w:r>
      <w:r>
        <w:rPr>
          <w:b/>
        </w:rPr>
        <w:t>”</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23" w:name="_Toc24431379"/>
      <w:bookmarkStart w:id="24" w:name="_Toc27888541"/>
      <w:bookmarkStart w:id="25" w:name="_Toc152728241"/>
      <w:r>
        <w:rPr>
          <w:rStyle w:val="CharSectno"/>
        </w:rPr>
        <w:t>5</w:t>
      </w:r>
      <w:r>
        <w:t>.</w:t>
      </w:r>
      <w:r>
        <w:tab/>
        <w:t>Application</w:t>
      </w:r>
      <w:bookmarkEnd w:id="23"/>
      <w:bookmarkEnd w:id="24"/>
      <w:bookmarkEnd w:id="25"/>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iCs/>
        </w:rPr>
        <w:t>Volunteers (Protection from Liability) Amendment Act 2006</w:t>
      </w:r>
      <w:r>
        <w:t xml:space="preserve"> comes into operation.</w:t>
      </w:r>
    </w:p>
    <w:p>
      <w:pPr>
        <w:pStyle w:val="Subsection"/>
      </w:pPr>
      <w:r>
        <w:tab/>
        <w:t>(2)</w:t>
      </w:r>
      <w:r>
        <w:tab/>
        <w:t>This Act does not limit the protection from liability given by another written law.</w:t>
      </w:r>
    </w:p>
    <w:p>
      <w:pPr>
        <w:pStyle w:val="Footnotesection"/>
      </w:pPr>
      <w:bookmarkStart w:id="26" w:name="_Toc24431380"/>
      <w:bookmarkStart w:id="27" w:name="_Toc27888542"/>
      <w:r>
        <w:tab/>
        <w:t>[Section 5 amended by No. 53 of 2006 s. 8.]</w:t>
      </w:r>
    </w:p>
    <w:p>
      <w:pPr>
        <w:pStyle w:val="Heading2"/>
      </w:pPr>
      <w:bookmarkStart w:id="28" w:name="_Toc152558718"/>
      <w:bookmarkStart w:id="29" w:name="_Toc152659547"/>
      <w:bookmarkStart w:id="30" w:name="_Toc152661498"/>
      <w:bookmarkStart w:id="31" w:name="_Toc152728242"/>
      <w:r>
        <w:rPr>
          <w:rStyle w:val="CharPartNo"/>
        </w:rPr>
        <w:t>Part 2</w:t>
      </w:r>
      <w:r>
        <w:rPr>
          <w:b w:val="0"/>
        </w:rPr>
        <w:t> </w:t>
      </w:r>
      <w:r>
        <w:t>—</w:t>
      </w:r>
      <w:r>
        <w:rPr>
          <w:b w:val="0"/>
        </w:rPr>
        <w:t> </w:t>
      </w:r>
      <w:r>
        <w:rPr>
          <w:rStyle w:val="CharPartText"/>
        </w:rPr>
        <w:t>Protection of volunteers from liability</w:t>
      </w:r>
      <w:bookmarkEnd w:id="28"/>
      <w:bookmarkEnd w:id="29"/>
      <w:bookmarkEnd w:id="30"/>
      <w:bookmarkEnd w:id="31"/>
    </w:p>
    <w:p>
      <w:pPr>
        <w:pStyle w:val="Footnoteheading"/>
      </w:pPr>
      <w:r>
        <w:tab/>
        <w:t>[Heading inserted by No. 53 of 2006 s. 9.]</w:t>
      </w:r>
    </w:p>
    <w:p>
      <w:pPr>
        <w:pStyle w:val="Heading5"/>
      </w:pPr>
      <w:bookmarkStart w:id="32" w:name="_Toc152728243"/>
      <w:r>
        <w:rPr>
          <w:rStyle w:val="CharSectno"/>
        </w:rPr>
        <w:t>6</w:t>
      </w:r>
      <w:r>
        <w:t>.</w:t>
      </w:r>
      <w:r>
        <w:tab/>
        <w:t>Protection of volunteers from liability</w:t>
      </w:r>
      <w:bookmarkEnd w:id="26"/>
      <w:bookmarkEnd w:id="27"/>
      <w:bookmarkEnd w:id="32"/>
    </w:p>
    <w:p>
      <w:pPr>
        <w:pStyle w:val="Subsection"/>
      </w:pPr>
      <w:r>
        <w:tab/>
      </w:r>
      <w:bookmarkStart w:id="33" w:name="_Hlt7248406"/>
      <w:bookmarkEnd w:id="33"/>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b/>
        </w:rPr>
        <w:t>“</w:t>
      </w:r>
      <w:r>
        <w:rPr>
          <w:rStyle w:val="CharDefText"/>
        </w:rPr>
        <w:t>drugs</w:t>
      </w:r>
      <w:r>
        <w:rPr>
          <w:b/>
        </w:rPr>
        <w:t>”</w:t>
      </w:r>
      <w:r>
        <w:t xml:space="preserve"> means drugs that are taken voluntarily otherwise than for therapeutic purposes;</w:t>
      </w:r>
    </w:p>
    <w:p>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Heading5"/>
      </w:pPr>
      <w:bookmarkStart w:id="34" w:name="_Toc24431381"/>
      <w:bookmarkStart w:id="35" w:name="_Toc27888543"/>
      <w:bookmarkStart w:id="36" w:name="_Toc152728244"/>
      <w:r>
        <w:rPr>
          <w:rStyle w:val="CharSectno"/>
        </w:rPr>
        <w:t>7</w:t>
      </w:r>
      <w:r>
        <w:t>.</w:t>
      </w:r>
      <w:r>
        <w:tab/>
        <w:t>Liability of community organisations</w:t>
      </w:r>
      <w:bookmarkEnd w:id="34"/>
      <w:bookmarkEnd w:id="35"/>
      <w:bookmarkEnd w:id="36"/>
    </w:p>
    <w:p>
      <w:pPr>
        <w:pStyle w:val="Subsection"/>
      </w:pPr>
      <w:r>
        <w:tab/>
      </w:r>
      <w:bookmarkStart w:id="37" w:name="_Hlt7248421"/>
      <w:bookmarkEnd w:id="37"/>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b/>
        </w:rPr>
        <w:t>“</w:t>
      </w:r>
      <w:r>
        <w:rPr>
          <w:rStyle w:val="CharDefText"/>
        </w:rPr>
        <w:t>State agency</w:t>
      </w:r>
      <w:r>
        <w:rPr>
          <w:b/>
        </w:rPr>
        <w:t>”</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38" w:name="_Toc24431382"/>
      <w:bookmarkStart w:id="39" w:name="_Toc27888544"/>
      <w:bookmarkStart w:id="40" w:name="_Toc152728245"/>
      <w:r>
        <w:rPr>
          <w:rStyle w:val="CharSectno"/>
        </w:rPr>
        <w:t>8</w:t>
      </w:r>
      <w:r>
        <w:t>.</w:t>
      </w:r>
      <w:r>
        <w:tab/>
        <w:t>Certain indemnities etc. have no effect</w:t>
      </w:r>
      <w:bookmarkEnd w:id="38"/>
      <w:bookmarkEnd w:id="39"/>
      <w:bookmarkEnd w:id="40"/>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41" w:name="_Toc152558720"/>
      <w:bookmarkStart w:id="42" w:name="_Toc152659549"/>
      <w:bookmarkStart w:id="43" w:name="_Toc152661502"/>
      <w:bookmarkStart w:id="44" w:name="_Toc152728246"/>
      <w:bookmarkStart w:id="45" w:name="_Toc24431383"/>
      <w:bookmarkStart w:id="46" w:name="_Toc27888545"/>
      <w:r>
        <w:rPr>
          <w:rStyle w:val="CharPartNo"/>
        </w:rPr>
        <w:t>Part 3</w:t>
      </w:r>
      <w:r>
        <w:rPr>
          <w:b w:val="0"/>
        </w:rPr>
        <w:t> </w:t>
      </w:r>
      <w:r>
        <w:t>—</w:t>
      </w:r>
      <w:r>
        <w:rPr>
          <w:b w:val="0"/>
        </w:rPr>
        <w:t> </w:t>
      </w:r>
      <w:r>
        <w:rPr>
          <w:rStyle w:val="CharPartText"/>
        </w:rPr>
        <w:t>Protection of food donors and grocery product donors from liability</w:t>
      </w:r>
      <w:bookmarkEnd w:id="41"/>
      <w:bookmarkEnd w:id="42"/>
      <w:bookmarkEnd w:id="43"/>
      <w:bookmarkEnd w:id="44"/>
    </w:p>
    <w:p>
      <w:pPr>
        <w:pStyle w:val="Footnoteheading"/>
      </w:pPr>
      <w:bookmarkStart w:id="47" w:name="_Toc152558721"/>
      <w:bookmarkStart w:id="48" w:name="_Toc152659550"/>
      <w:r>
        <w:tab/>
        <w:t>[Heading inserted by No. 53 of 2006 s. 10.]</w:t>
      </w:r>
    </w:p>
    <w:p>
      <w:pPr>
        <w:pStyle w:val="Heading5"/>
      </w:pPr>
      <w:bookmarkStart w:id="49" w:name="_Toc152728247"/>
      <w:r>
        <w:rPr>
          <w:rStyle w:val="CharSectno"/>
        </w:rPr>
        <w:t>8A</w:t>
      </w:r>
      <w:r>
        <w:t>.</w:t>
      </w:r>
      <w:r>
        <w:tab/>
        <w:t>Protection of food donors and grocery product donors from liability</w:t>
      </w:r>
      <w:bookmarkEnd w:id="47"/>
      <w:bookmarkEnd w:id="48"/>
      <w:bookmarkEnd w:id="49"/>
    </w:p>
    <w:p>
      <w:pPr>
        <w:pStyle w:val="Subsection"/>
      </w:pPr>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t>“</w:t>
      </w:r>
      <w:r>
        <w:rPr>
          <w:rStyle w:val="CharDefText"/>
        </w:rPr>
        <w:t>person who donates food or a grocery product</w:t>
      </w:r>
      <w:r>
        <w:rPr>
          <w:b/>
        </w:rPr>
        <w: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50" w:name="_Toc152558723"/>
      <w:bookmarkStart w:id="51" w:name="_Toc152659552"/>
      <w:bookmarkStart w:id="52" w:name="_Toc152661504"/>
      <w:bookmarkStart w:id="53" w:name="_Toc152728248"/>
      <w:r>
        <w:rPr>
          <w:rStyle w:val="CharPartNo"/>
        </w:rPr>
        <w:t>Part 4</w:t>
      </w:r>
      <w:r>
        <w:rPr>
          <w:b w:val="0"/>
        </w:rPr>
        <w:t> </w:t>
      </w:r>
      <w:r>
        <w:t>—</w:t>
      </w:r>
      <w:r>
        <w:rPr>
          <w:b w:val="0"/>
        </w:rPr>
        <w:t> </w:t>
      </w:r>
      <w:r>
        <w:rPr>
          <w:rStyle w:val="CharPartText"/>
        </w:rPr>
        <w:t>Regulations</w:t>
      </w:r>
      <w:bookmarkEnd w:id="50"/>
      <w:bookmarkEnd w:id="51"/>
      <w:bookmarkEnd w:id="52"/>
      <w:bookmarkEnd w:id="53"/>
    </w:p>
    <w:p>
      <w:pPr>
        <w:pStyle w:val="Footnoteheading"/>
      </w:pPr>
      <w:r>
        <w:tab/>
        <w:t>[Heading inserted by No. 53 of 2006 s. 11.]</w:t>
      </w:r>
    </w:p>
    <w:p>
      <w:pPr>
        <w:pStyle w:val="Heading5"/>
      </w:pPr>
      <w:bookmarkStart w:id="54" w:name="_Toc152728249"/>
      <w:r>
        <w:rPr>
          <w:rStyle w:val="CharSectno"/>
        </w:rPr>
        <w:t>9</w:t>
      </w:r>
      <w:r>
        <w:t>.</w:t>
      </w:r>
      <w:r>
        <w:tab/>
        <w:t>Regulations</w:t>
      </w:r>
      <w:bookmarkEnd w:id="45"/>
      <w:bookmarkEnd w:id="46"/>
      <w:bookmarkEnd w:id="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5" w:name="_Toc149968341"/>
      <w:bookmarkStart w:id="56" w:name="_Toc149968363"/>
      <w:bookmarkStart w:id="57" w:name="_Toc149968804"/>
      <w:bookmarkStart w:id="58" w:name="_Toc149979808"/>
      <w:bookmarkStart w:id="59" w:name="_Toc152661506"/>
      <w:bookmarkStart w:id="60" w:name="_Toc152728250"/>
      <w:r>
        <w:t>Notes</w:t>
      </w:r>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snapToGrid w:val="0"/>
        </w:rPr>
        <w:t>Volunteers and Food and Other Donors (Protection from Liability) Act 2002</w:t>
      </w:r>
      <w:r>
        <w:rPr>
          <w:snapToGrid w:val="0"/>
        </w:rPr>
        <w:t xml:space="preserve"> and includes the amendments made by the other written laws referred to in the following table.</w:t>
      </w:r>
    </w:p>
    <w:p>
      <w:pPr>
        <w:pStyle w:val="nHeading3"/>
        <w:rPr>
          <w:snapToGrid w:val="0"/>
        </w:rPr>
      </w:pPr>
      <w:bookmarkStart w:id="61" w:name="_Toc152728251"/>
      <w:r>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napToGrid w:val="0"/>
                <w:sz w:val="19"/>
              </w:rPr>
              <w:t xml:space="preserve">Volunteers (Protection from Liability) Act 2002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32 of 2002</w:t>
            </w:r>
          </w:p>
        </w:tc>
        <w:tc>
          <w:tcPr>
            <w:tcW w:w="1134" w:type="dxa"/>
            <w:tcBorders>
              <w:top w:val="single" w:sz="8" w:space="0" w:color="auto"/>
            </w:tcBorders>
          </w:tcPr>
          <w:p>
            <w:pPr>
              <w:pStyle w:val="nTable"/>
              <w:spacing w:after="40"/>
              <w:rPr>
                <w:sz w:val="19"/>
              </w:rPr>
            </w:pPr>
            <w:r>
              <w:rPr>
                <w:sz w:val="19"/>
              </w:rPr>
              <w:t>14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xml:space="preserve"> 17 Dec 2002 p. 5905)</w:t>
            </w:r>
          </w:p>
        </w:tc>
      </w:tr>
      <w:t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3</w:t>
            </w:r>
            <w:r>
              <w:rPr>
                <w:iCs/>
                <w:snapToGrid w:val="0"/>
                <w:sz w:val="19"/>
              </w:rPr>
              <w:noBreakHyphen/>
              <w:t>11</w:t>
            </w:r>
          </w:p>
        </w:tc>
        <w:tc>
          <w:tcPr>
            <w:tcW w:w="1134" w:type="dxa"/>
            <w:tcBorders>
              <w:bottom w:val="single" w:sz="8" w:space="0" w:color="auto"/>
            </w:tcBorders>
          </w:tcPr>
          <w:p>
            <w:pPr>
              <w:pStyle w:val="nTable"/>
              <w:keepNext/>
              <w:spacing w:after="40"/>
              <w:rPr>
                <w:sz w:val="19"/>
              </w:rPr>
            </w:pPr>
            <w:r>
              <w:rPr>
                <w:sz w:val="19"/>
              </w:rPr>
              <w:t>53 of 2006</w:t>
            </w:r>
          </w:p>
        </w:tc>
        <w:tc>
          <w:tcPr>
            <w:tcW w:w="1134" w:type="dxa"/>
            <w:tcBorders>
              <w:bottom w:val="single" w:sz="8" w:space="0" w:color="auto"/>
            </w:tcBorders>
          </w:tcPr>
          <w:p>
            <w:pPr>
              <w:pStyle w:val="nTable"/>
              <w:keepNext/>
              <w:spacing w:after="40"/>
              <w:rPr>
                <w:sz w:val="19"/>
              </w:rPr>
            </w:pPr>
            <w:r>
              <w:rPr>
                <w:sz w:val="19"/>
              </w:rPr>
              <w:t>26 Oct 2006</w:t>
            </w:r>
          </w:p>
        </w:tc>
        <w:tc>
          <w:tcPr>
            <w:tcW w:w="2552" w:type="dxa"/>
            <w:tcBorders>
              <w:bottom w:val="single" w:sz="8" w:space="0" w:color="auto"/>
            </w:tcBorders>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bl>
    <w:p>
      <w:pPr>
        <w:pStyle w:val="nSubsection"/>
        <w:rPr>
          <w:iCs/>
        </w:rPr>
      </w:pPr>
      <w:r>
        <w:rPr>
          <w:vertAlign w:val="superscript"/>
        </w:rPr>
        <w:t>2</w:t>
      </w:r>
      <w:r>
        <w:tab/>
        <w:t xml:space="preserve">Now known as </w:t>
      </w:r>
      <w:r>
        <w:rPr>
          <w:i/>
          <w:snapToGrid w:val="0"/>
        </w:rPr>
        <w:t>Volunteers</w:t>
      </w:r>
      <w:r>
        <w:rPr>
          <w:i/>
          <w:iCs/>
        </w:rPr>
        <w:t xml:space="preserve"> and Food and Other Donors</w:t>
      </w:r>
      <w:r>
        <w:rPr>
          <w:i/>
          <w:snapToGrid w:val="0"/>
        </w:rPr>
        <w:t xml:space="preserve"> (Protection from Liability) Act 2002</w:t>
      </w:r>
      <w:r>
        <w:rPr>
          <w:iCs/>
          <w:snapToGrid w:val="0"/>
        </w:rPr>
        <w:t>; short title changed (see note under s. 1).</w:t>
      </w:r>
    </w:p>
    <w:p>
      <w:bookmarkStart w:id="62" w:name="UpToHere"/>
      <w:bookmarkEnd w:id="6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and Food and Other Donors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24"/>
    <w:docVar w:name="WAFER_20151209165724" w:val="RemoveTrackChanges"/>
    <w:docVar w:name="WAFER_20151209165724_GUID" w:val="195e8b56-58be-4a9e-8be0-2b9a90585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2134</Words>
  <Characters>10480</Characters>
  <Application>Microsoft Office Word</Application>
  <DocSecurity>0</DocSecurity>
  <Lines>317</Lines>
  <Paragraphs>203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12411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2002 - 00-c0-03</dc:title>
  <dc:subject/>
  <dc:creator/>
  <cp:keywords/>
  <dc:description/>
  <cp:lastModifiedBy>svcMRProcess</cp:lastModifiedBy>
  <cp:revision>4</cp:revision>
  <cp:lastPrinted>2002-12-17T03:40:00Z</cp:lastPrinted>
  <dcterms:created xsi:type="dcterms:W3CDTF">2015-12-11T06:38:00Z</dcterms:created>
  <dcterms:modified xsi:type="dcterms:W3CDTF">2015-12-11T06:38:00Z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20061202</vt:lpwstr>
  </property>
  <property fmtid="{D5CDD505-2E9C-101B-9397-08002B2CF9AE}" pid="4" name="DocumentType">
    <vt:lpwstr>Act</vt:lpwstr>
  </property>
  <property fmtid="{D5CDD505-2E9C-101B-9397-08002B2CF9AE}" pid="5" name="OwlsUID">
    <vt:i4>4339</vt:i4>
  </property>
  <property fmtid="{D5CDD505-2E9C-101B-9397-08002B2CF9AE}" pid="6" name="Formerly">
    <vt:lpwstr>Volunteers (Protection from Liability) Act 2002</vt:lpwstr>
  </property>
  <property fmtid="{D5CDD505-2E9C-101B-9397-08002B2CF9AE}" pid="7" name="AsAtDate">
    <vt:lpwstr>02 Dec 2006</vt:lpwstr>
  </property>
  <property fmtid="{D5CDD505-2E9C-101B-9397-08002B2CF9AE}" pid="8" name="Suffix">
    <vt:lpwstr>00-c0-03</vt:lpwstr>
  </property>
</Properties>
</file>