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First Home Owner Grant Act 2000</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First Home Owner Grant Act 2000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_Toc334698841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_Toc334698842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_Toc334698843 \h </w:instrText>
      </w:r>
      <w:r>
        <w:fldChar w:fldCharType="separate"/>
      </w:r>
      <w:r>
        <w:t>2</w:t>
      </w:r>
      <w:r>
        <w:fldChar w:fldCharType="end"/>
      </w:r>
    </w:p>
    <w:p>
      <w:pPr>
        <w:pStyle w:val="TOC8"/>
        <w:rPr>
          <w:sz w:val="24"/>
          <w:szCs w:val="24"/>
          <w:lang w:val="en-US"/>
        </w:rPr>
      </w:pPr>
      <w:r>
        <w:t>4.</w:t>
      </w:r>
      <w:r>
        <w:tab/>
        <w:t>Term used: home</w:t>
      </w:r>
      <w:r>
        <w:tab/>
      </w:r>
      <w:r>
        <w:fldChar w:fldCharType="begin"/>
      </w:r>
      <w:r>
        <w:instrText xml:space="preserve"> PAGEREF _Toc334698844 \h </w:instrText>
      </w:r>
      <w:r>
        <w:fldChar w:fldCharType="separate"/>
      </w:r>
      <w:r>
        <w:t>6</w:t>
      </w:r>
      <w:r>
        <w:fldChar w:fldCharType="end"/>
      </w:r>
    </w:p>
    <w:p>
      <w:pPr>
        <w:pStyle w:val="TOC8"/>
        <w:rPr>
          <w:sz w:val="24"/>
          <w:szCs w:val="24"/>
          <w:lang w:val="en-US"/>
        </w:rPr>
      </w:pPr>
      <w:r>
        <w:t>5.</w:t>
      </w:r>
      <w:r>
        <w:tab/>
        <w:t>Terms used: owner, home owner</w:t>
      </w:r>
      <w:r>
        <w:tab/>
      </w:r>
      <w:r>
        <w:fldChar w:fldCharType="begin"/>
      </w:r>
      <w:r>
        <w:instrText xml:space="preserve"> PAGEREF _Toc334698845 \h </w:instrText>
      </w:r>
      <w:r>
        <w:fldChar w:fldCharType="separate"/>
      </w:r>
      <w:r>
        <w:t>6</w:t>
      </w:r>
      <w:r>
        <w:fldChar w:fldCharType="end"/>
      </w:r>
    </w:p>
    <w:p>
      <w:pPr>
        <w:pStyle w:val="TOC8"/>
        <w:rPr>
          <w:sz w:val="24"/>
          <w:szCs w:val="24"/>
          <w:lang w:val="en-US"/>
        </w:rPr>
      </w:pPr>
      <w:r>
        <w:t>6.</w:t>
      </w:r>
      <w:r>
        <w:tab/>
        <w:t>Term used: relevant interest</w:t>
      </w:r>
      <w:r>
        <w:tab/>
      </w:r>
      <w:r>
        <w:fldChar w:fldCharType="begin"/>
      </w:r>
      <w:r>
        <w:instrText xml:space="preserve"> PAGEREF _Toc334698846 \h </w:instrText>
      </w:r>
      <w:r>
        <w:fldChar w:fldCharType="separate"/>
      </w:r>
      <w:r>
        <w:t>6</w:t>
      </w:r>
      <w:r>
        <w:fldChar w:fldCharType="end"/>
      </w:r>
    </w:p>
    <w:p>
      <w:pPr>
        <w:pStyle w:val="TOC8"/>
        <w:rPr>
          <w:sz w:val="24"/>
          <w:szCs w:val="24"/>
          <w:lang w:val="en-US"/>
        </w:rPr>
      </w:pPr>
      <w:r>
        <w:t>7.</w:t>
      </w:r>
      <w:r>
        <w:tab/>
        <w:t>Term used: spouse</w:t>
      </w:r>
      <w:r>
        <w:tab/>
      </w:r>
      <w:r>
        <w:fldChar w:fldCharType="begin"/>
      </w:r>
      <w:r>
        <w:instrText xml:space="preserve"> PAGEREF _Toc334698847 \h </w:instrText>
      </w:r>
      <w:r>
        <w:fldChar w:fldCharType="separate"/>
      </w:r>
      <w:r>
        <w:t>8</w:t>
      </w:r>
      <w:r>
        <w:fldChar w:fldCharType="end"/>
      </w:r>
    </w:p>
    <w:p>
      <w:pPr>
        <w:pStyle w:val="TOC8"/>
        <w:rPr>
          <w:sz w:val="24"/>
          <w:szCs w:val="24"/>
          <w:lang w:val="en-US"/>
        </w:rPr>
      </w:pPr>
      <w:r>
        <w:t>7A.</w:t>
      </w:r>
      <w:r>
        <w:tab/>
        <w:t>Term used: Australian citizen</w:t>
      </w:r>
      <w:r>
        <w:tab/>
      </w:r>
      <w:r>
        <w:fldChar w:fldCharType="begin"/>
      </w:r>
      <w:r>
        <w:instrText xml:space="preserve"> PAGEREF _Toc334698848 \h </w:instrText>
      </w:r>
      <w:r>
        <w:fldChar w:fldCharType="separate"/>
      </w:r>
      <w:r>
        <w:t>8</w:t>
      </w:r>
      <w:r>
        <w:fldChar w:fldCharType="end"/>
      </w:r>
    </w:p>
    <w:p>
      <w:pPr>
        <w:pStyle w:val="TOC8"/>
        <w:rPr>
          <w:sz w:val="24"/>
          <w:szCs w:val="24"/>
          <w:lang w:val="en-US"/>
        </w:rPr>
      </w:pPr>
      <w:r>
        <w:t>7B.</w:t>
      </w:r>
      <w:r>
        <w:tab/>
        <w:t>Term used: permanent resident</w:t>
      </w:r>
      <w:r>
        <w:tab/>
      </w:r>
      <w:r>
        <w:fldChar w:fldCharType="begin"/>
      </w:r>
      <w:r>
        <w:instrText xml:space="preserve"> PAGEREF _Toc334698849 \h </w:instrText>
      </w:r>
      <w:r>
        <w:fldChar w:fldCharType="separate"/>
      </w:r>
      <w:r>
        <w:t>9</w:t>
      </w:r>
      <w:r>
        <w:fldChar w:fldCharType="end"/>
      </w:r>
    </w:p>
    <w:p>
      <w:pPr>
        <w:pStyle w:val="TOC2"/>
        <w:tabs>
          <w:tab w:val="right" w:leader="dot" w:pos="7086"/>
        </w:tabs>
        <w:rPr>
          <w:b w:val="0"/>
          <w:sz w:val="24"/>
          <w:szCs w:val="24"/>
          <w:lang w:val="en-US"/>
        </w:rPr>
      </w:pPr>
      <w:r>
        <w:t>Part 2 — First home owner grant</w:t>
      </w:r>
    </w:p>
    <w:p>
      <w:pPr>
        <w:pStyle w:val="TOC4"/>
        <w:tabs>
          <w:tab w:val="right" w:leader="dot" w:pos="7086"/>
        </w:tabs>
        <w:rPr>
          <w:b w:val="0"/>
          <w:sz w:val="24"/>
          <w:szCs w:val="24"/>
          <w:lang w:val="en-US"/>
        </w:rPr>
      </w:pPr>
      <w:r>
        <w:t>Division 1 — Entitlement to grant</w:t>
      </w:r>
    </w:p>
    <w:p>
      <w:pPr>
        <w:pStyle w:val="TOC8"/>
        <w:rPr>
          <w:sz w:val="24"/>
          <w:szCs w:val="24"/>
          <w:lang w:val="en-US"/>
        </w:rPr>
      </w:pPr>
      <w:r>
        <w:t>8.</w:t>
      </w:r>
      <w:r>
        <w:tab/>
        <w:t>Entitlement to grant</w:t>
      </w:r>
      <w:r>
        <w:tab/>
      </w:r>
      <w:r>
        <w:fldChar w:fldCharType="begin"/>
      </w:r>
      <w:r>
        <w:instrText xml:space="preserve"> PAGEREF _Toc334698852 \h </w:instrText>
      </w:r>
      <w:r>
        <w:fldChar w:fldCharType="separate"/>
      </w:r>
      <w:r>
        <w:t>10</w:t>
      </w:r>
      <w:r>
        <w:fldChar w:fldCharType="end"/>
      </w:r>
    </w:p>
    <w:p>
      <w:pPr>
        <w:pStyle w:val="TOC4"/>
        <w:tabs>
          <w:tab w:val="right" w:leader="dot" w:pos="7086"/>
        </w:tabs>
        <w:rPr>
          <w:b w:val="0"/>
          <w:sz w:val="24"/>
          <w:szCs w:val="24"/>
          <w:lang w:val="en-US"/>
        </w:rPr>
      </w:pPr>
      <w:r>
        <w:t>Division 2</w:t>
      </w:r>
      <w:r>
        <w:rPr>
          <w:snapToGrid w:val="0"/>
        </w:rPr>
        <w:t xml:space="preserve"> — </w:t>
      </w:r>
      <w:r>
        <w:t>Eligibility criteria (applicants)</w:t>
      </w:r>
    </w:p>
    <w:p>
      <w:pPr>
        <w:pStyle w:val="TOC8"/>
        <w:rPr>
          <w:sz w:val="24"/>
          <w:szCs w:val="24"/>
          <w:lang w:val="en-US"/>
        </w:rPr>
      </w:pPr>
      <w:r>
        <w:t>9</w:t>
      </w:r>
      <w:r>
        <w:rPr>
          <w:snapToGrid w:val="0"/>
        </w:rPr>
        <w:t>.</w:t>
      </w:r>
      <w:r>
        <w:rPr>
          <w:snapToGrid w:val="0"/>
        </w:rPr>
        <w:tab/>
        <w:t>Criterion 1 — applicant to be a natural person</w:t>
      </w:r>
      <w:r>
        <w:tab/>
      </w:r>
      <w:r>
        <w:fldChar w:fldCharType="begin"/>
      </w:r>
      <w:r>
        <w:instrText xml:space="preserve"> PAGEREF _Toc334698854 \h </w:instrText>
      </w:r>
      <w:r>
        <w:fldChar w:fldCharType="separate"/>
      </w:r>
      <w:r>
        <w:t>10</w:t>
      </w:r>
      <w:r>
        <w:fldChar w:fldCharType="end"/>
      </w:r>
    </w:p>
    <w:p>
      <w:pPr>
        <w:pStyle w:val="TOC8"/>
        <w:rPr>
          <w:sz w:val="24"/>
          <w:szCs w:val="24"/>
          <w:lang w:val="en-US"/>
        </w:rPr>
      </w:pPr>
      <w:r>
        <w:t>9A.</w:t>
      </w:r>
      <w:r>
        <w:tab/>
        <w:t>Criterion 1A — applicant to be at least 18 years of age</w:t>
      </w:r>
      <w:r>
        <w:tab/>
      </w:r>
      <w:r>
        <w:fldChar w:fldCharType="begin"/>
      </w:r>
      <w:r>
        <w:instrText xml:space="preserve"> PAGEREF _Toc334698855 \h </w:instrText>
      </w:r>
      <w:r>
        <w:fldChar w:fldCharType="separate"/>
      </w:r>
      <w:r>
        <w:t>10</w:t>
      </w:r>
      <w:r>
        <w:fldChar w:fldCharType="end"/>
      </w:r>
    </w:p>
    <w:p>
      <w:pPr>
        <w:pStyle w:val="TOC8"/>
        <w:rPr>
          <w:sz w:val="24"/>
          <w:szCs w:val="24"/>
          <w:lang w:val="en-US"/>
        </w:rPr>
      </w:pPr>
      <w:r>
        <w:t>10.</w:t>
      </w:r>
      <w:r>
        <w:tab/>
        <w:t>Criterion 2 — applicant to be Australian citizen or permanent resident</w:t>
      </w:r>
      <w:r>
        <w:tab/>
      </w:r>
      <w:r>
        <w:fldChar w:fldCharType="begin"/>
      </w:r>
      <w:r>
        <w:instrText xml:space="preserve"> PAGEREF _Toc334698856 \h </w:instrText>
      </w:r>
      <w:r>
        <w:fldChar w:fldCharType="separate"/>
      </w:r>
      <w:r>
        <w:t>11</w:t>
      </w:r>
      <w:r>
        <w:fldChar w:fldCharType="end"/>
      </w:r>
    </w:p>
    <w:p>
      <w:pPr>
        <w:pStyle w:val="TOC8"/>
        <w:rPr>
          <w:sz w:val="24"/>
          <w:szCs w:val="24"/>
          <w:lang w:val="en-US"/>
        </w:rPr>
      </w:pPr>
      <w:r>
        <w:t>11.</w:t>
      </w:r>
      <w:r>
        <w:tab/>
        <w:t>Criterion 3 — except in certain circumstances, applicant or applicant’s spouse or de facto partner must not have received another grant</w:t>
      </w:r>
      <w:r>
        <w:tab/>
      </w:r>
      <w:r>
        <w:fldChar w:fldCharType="begin"/>
      </w:r>
      <w:r>
        <w:instrText xml:space="preserve"> PAGEREF _Toc334698857 \h </w:instrText>
      </w:r>
      <w:r>
        <w:fldChar w:fldCharType="separate"/>
      </w:r>
      <w:r>
        <w:t>11</w:t>
      </w:r>
      <w:r>
        <w:fldChar w:fldCharType="end"/>
      </w:r>
    </w:p>
    <w:p>
      <w:pPr>
        <w:pStyle w:val="TOC8"/>
        <w:rPr>
          <w:sz w:val="24"/>
          <w:szCs w:val="24"/>
          <w:lang w:val="en-US"/>
        </w:rPr>
      </w:pPr>
      <w:r>
        <w:t>12.</w:t>
      </w:r>
      <w:r>
        <w:tab/>
        <w:t>Criterion 4 — applicant or applicant’s spouse or de facto partner must not have had relevant interest in residential property</w:t>
      </w:r>
      <w:r>
        <w:tab/>
      </w:r>
      <w:r>
        <w:fldChar w:fldCharType="begin"/>
      </w:r>
      <w:r>
        <w:instrText xml:space="preserve"> PAGEREF _Toc334698858 \h </w:instrText>
      </w:r>
      <w:r>
        <w:fldChar w:fldCharType="separate"/>
      </w:r>
      <w:r>
        <w:t>12</w:t>
      </w:r>
      <w:r>
        <w:fldChar w:fldCharType="end"/>
      </w:r>
    </w:p>
    <w:p>
      <w:pPr>
        <w:pStyle w:val="TOC8"/>
        <w:rPr>
          <w:sz w:val="24"/>
          <w:szCs w:val="24"/>
          <w:lang w:val="en-US"/>
        </w:rPr>
      </w:pPr>
      <w:r>
        <w:t>13.</w:t>
      </w:r>
      <w:r>
        <w:tab/>
        <w:t>Criterion 5 — residence requirements</w:t>
      </w:r>
      <w:r>
        <w:tab/>
      </w:r>
      <w:r>
        <w:fldChar w:fldCharType="begin"/>
      </w:r>
      <w:r>
        <w:instrText xml:space="preserve"> PAGEREF _Toc334698859 \h </w:instrText>
      </w:r>
      <w:r>
        <w:fldChar w:fldCharType="separate"/>
      </w:r>
      <w:r>
        <w:t>13</w:t>
      </w:r>
      <w:r>
        <w:fldChar w:fldCharType="end"/>
      </w:r>
    </w:p>
    <w:p>
      <w:pPr>
        <w:pStyle w:val="TOC8"/>
        <w:rPr>
          <w:sz w:val="24"/>
          <w:szCs w:val="24"/>
          <w:lang w:val="en-US"/>
        </w:rPr>
      </w:pPr>
      <w:r>
        <w:t>13A.</w:t>
      </w:r>
      <w:r>
        <w:tab/>
        <w:t>Criterion 6 — applicant must not have been convicted of an offence under this Act</w:t>
      </w:r>
      <w:r>
        <w:tab/>
      </w:r>
      <w:r>
        <w:fldChar w:fldCharType="begin"/>
      </w:r>
      <w:r>
        <w:instrText xml:space="preserve"> PAGEREF _Toc334698860 \h </w:instrText>
      </w:r>
      <w:r>
        <w:fldChar w:fldCharType="separate"/>
      </w:r>
      <w:r>
        <w:t>15</w:t>
      </w:r>
      <w:r>
        <w:fldChar w:fldCharType="end"/>
      </w:r>
    </w:p>
    <w:p>
      <w:pPr>
        <w:pStyle w:val="TOC4"/>
        <w:tabs>
          <w:tab w:val="right" w:leader="dot" w:pos="7086"/>
        </w:tabs>
        <w:rPr>
          <w:b w:val="0"/>
          <w:sz w:val="24"/>
          <w:szCs w:val="24"/>
          <w:lang w:val="en-US"/>
        </w:rPr>
      </w:pPr>
      <w:r>
        <w:rPr>
          <w:lang w:val="fr-FR"/>
        </w:rPr>
        <w:t>Division 3 — Eligible transactions</w:t>
      </w:r>
    </w:p>
    <w:p>
      <w:pPr>
        <w:pStyle w:val="TOC6"/>
        <w:tabs>
          <w:tab w:val="right" w:leader="dot" w:pos="7086"/>
        </w:tabs>
        <w:rPr>
          <w:b w:val="0"/>
          <w:sz w:val="24"/>
          <w:szCs w:val="24"/>
          <w:lang w:val="en-US"/>
        </w:rPr>
      </w:pPr>
      <w:r>
        <w:rPr>
          <w:lang w:val="fr-FR"/>
        </w:rPr>
        <w:t>Subdivision 1 — Eligible transactions</w:t>
      </w:r>
    </w:p>
    <w:p>
      <w:pPr>
        <w:pStyle w:val="TOC8"/>
        <w:rPr>
          <w:sz w:val="24"/>
          <w:szCs w:val="24"/>
          <w:lang w:val="en-US"/>
        </w:rPr>
      </w:pPr>
      <w:r>
        <w:t>14.</w:t>
      </w:r>
      <w:r>
        <w:tab/>
        <w:t>Eligible transaction</w:t>
      </w:r>
      <w:r>
        <w:tab/>
      </w:r>
      <w:r>
        <w:fldChar w:fldCharType="begin"/>
      </w:r>
      <w:r>
        <w:instrText xml:space="preserve"> PAGEREF _Toc334698863 \h </w:instrText>
      </w:r>
      <w:r>
        <w:fldChar w:fldCharType="separate"/>
      </w:r>
      <w:r>
        <w:t>15</w:t>
      </w:r>
      <w:r>
        <w:fldChar w:fldCharType="end"/>
      </w:r>
    </w:p>
    <w:p>
      <w:pPr>
        <w:pStyle w:val="TOC8"/>
        <w:rPr>
          <w:sz w:val="24"/>
          <w:szCs w:val="24"/>
          <w:lang w:val="en-US"/>
        </w:rPr>
      </w:pPr>
      <w:r>
        <w:t>14AA.</w:t>
      </w:r>
      <w:r>
        <w:tab/>
        <w:t>Commencement and completion of transaction</w:t>
      </w:r>
      <w:r>
        <w:tab/>
      </w:r>
      <w:r>
        <w:fldChar w:fldCharType="begin"/>
      </w:r>
      <w:r>
        <w:instrText xml:space="preserve"> PAGEREF _Toc334698864 \h </w:instrText>
      </w:r>
      <w:r>
        <w:fldChar w:fldCharType="separate"/>
      </w:r>
      <w:r>
        <w:t>16</w:t>
      </w:r>
      <w:r>
        <w:fldChar w:fldCharType="end"/>
      </w:r>
    </w:p>
    <w:p>
      <w:pPr>
        <w:pStyle w:val="TOC8"/>
        <w:rPr>
          <w:sz w:val="24"/>
          <w:szCs w:val="24"/>
          <w:lang w:val="en-US"/>
        </w:rPr>
      </w:pPr>
      <w:r>
        <w:t>14AB.</w:t>
      </w:r>
      <w:r>
        <w:tab/>
        <w:t>Term used: consideration</w:t>
      </w:r>
      <w:r>
        <w:tab/>
      </w:r>
      <w:r>
        <w:fldChar w:fldCharType="begin"/>
      </w:r>
      <w:r>
        <w:instrText xml:space="preserve"> PAGEREF _Toc334698865 \h </w:instrText>
      </w:r>
      <w:r>
        <w:fldChar w:fldCharType="separate"/>
      </w:r>
      <w:r>
        <w:t>17</w:t>
      </w:r>
      <w:r>
        <w:fldChar w:fldCharType="end"/>
      </w:r>
    </w:p>
    <w:p>
      <w:pPr>
        <w:pStyle w:val="TOC8"/>
        <w:rPr>
          <w:sz w:val="24"/>
          <w:szCs w:val="24"/>
          <w:lang w:val="en-US"/>
        </w:rPr>
      </w:pPr>
      <w:r>
        <w:t>14AC.</w:t>
      </w:r>
      <w:r>
        <w:tab/>
        <w:t>Term used: total value</w:t>
      </w:r>
      <w:r>
        <w:tab/>
      </w:r>
      <w:r>
        <w:fldChar w:fldCharType="begin"/>
      </w:r>
      <w:r>
        <w:instrText xml:space="preserve"> PAGEREF _Toc334698866 \h </w:instrText>
      </w:r>
      <w:r>
        <w:fldChar w:fldCharType="separate"/>
      </w:r>
      <w:r>
        <w:t>18</w:t>
      </w:r>
      <w:r>
        <w:fldChar w:fldCharType="end"/>
      </w:r>
    </w:p>
    <w:p>
      <w:pPr>
        <w:pStyle w:val="TOC8"/>
        <w:rPr>
          <w:sz w:val="24"/>
          <w:szCs w:val="24"/>
          <w:lang w:val="en-US"/>
        </w:rPr>
      </w:pPr>
      <w:r>
        <w:t>14AD.</w:t>
      </w:r>
      <w:r>
        <w:tab/>
        <w:t>Term used: cap amount</w:t>
      </w:r>
      <w:r>
        <w:tab/>
      </w:r>
      <w:r>
        <w:fldChar w:fldCharType="begin"/>
      </w:r>
      <w:r>
        <w:instrText xml:space="preserve"> PAGEREF _Toc334698867 \h </w:instrText>
      </w:r>
      <w:r>
        <w:fldChar w:fldCharType="separate"/>
      </w:r>
      <w:r>
        <w:t>19</w:t>
      </w:r>
      <w:r>
        <w:fldChar w:fldCharType="end"/>
      </w:r>
    </w:p>
    <w:p>
      <w:pPr>
        <w:pStyle w:val="TOC8"/>
        <w:rPr>
          <w:sz w:val="24"/>
          <w:szCs w:val="24"/>
          <w:lang w:val="en-US"/>
        </w:rPr>
      </w:pPr>
      <w:r>
        <w:t>14AE.</w:t>
      </w:r>
      <w:r>
        <w:tab/>
        <w:t>Term used: unencumbered value</w:t>
      </w:r>
      <w:r>
        <w:tab/>
      </w:r>
      <w:r>
        <w:fldChar w:fldCharType="begin"/>
      </w:r>
      <w:r>
        <w:instrText xml:space="preserve"> PAGEREF _Toc334698868 \h </w:instrText>
      </w:r>
      <w:r>
        <w:fldChar w:fldCharType="separate"/>
      </w:r>
      <w:r>
        <w:t>19</w:t>
      </w:r>
      <w:r>
        <w:fldChar w:fldCharType="end"/>
      </w:r>
    </w:p>
    <w:p>
      <w:pPr>
        <w:pStyle w:val="TOC6"/>
        <w:tabs>
          <w:tab w:val="right" w:leader="dot" w:pos="7086"/>
        </w:tabs>
        <w:rPr>
          <w:b w:val="0"/>
          <w:sz w:val="24"/>
          <w:szCs w:val="24"/>
          <w:lang w:val="en-US"/>
        </w:rPr>
      </w:pPr>
      <w:r>
        <w:t>Subdivision 2 — Special eligible transactions</w:t>
      </w:r>
    </w:p>
    <w:p>
      <w:pPr>
        <w:pStyle w:val="TOC8"/>
        <w:rPr>
          <w:sz w:val="24"/>
          <w:szCs w:val="24"/>
          <w:lang w:val="en-US"/>
        </w:rPr>
      </w:pPr>
      <w:r>
        <w:t>14A.</w:t>
      </w:r>
      <w:r>
        <w:tab/>
        <w:t>Terms used</w:t>
      </w:r>
      <w:r>
        <w:tab/>
      </w:r>
      <w:r>
        <w:fldChar w:fldCharType="begin"/>
      </w:r>
      <w:r>
        <w:instrText xml:space="preserve"> PAGEREF _Toc334698870 \h </w:instrText>
      </w:r>
      <w:r>
        <w:fldChar w:fldCharType="separate"/>
      </w:r>
      <w:r>
        <w:t>20</w:t>
      </w:r>
      <w:r>
        <w:fldChar w:fldCharType="end"/>
      </w:r>
    </w:p>
    <w:p>
      <w:pPr>
        <w:pStyle w:val="TOC8"/>
        <w:rPr>
          <w:sz w:val="24"/>
          <w:szCs w:val="24"/>
          <w:lang w:val="en-US"/>
        </w:rPr>
      </w:pPr>
      <w:r>
        <w:t>14B.</w:t>
      </w:r>
      <w:r>
        <w:tab/>
        <w:t>Special eligible transactions</w:t>
      </w:r>
      <w:r>
        <w:tab/>
      </w:r>
      <w:r>
        <w:fldChar w:fldCharType="begin"/>
      </w:r>
      <w:r>
        <w:instrText xml:space="preserve"> PAGEREF _Toc334698871 \h </w:instrText>
      </w:r>
      <w:r>
        <w:fldChar w:fldCharType="separate"/>
      </w:r>
      <w:r>
        <w:t>21</w:t>
      </w:r>
      <w:r>
        <w:fldChar w:fldCharType="end"/>
      </w:r>
    </w:p>
    <w:p>
      <w:pPr>
        <w:pStyle w:val="TOC4"/>
        <w:tabs>
          <w:tab w:val="right" w:leader="dot" w:pos="7086"/>
        </w:tabs>
        <w:rPr>
          <w:b w:val="0"/>
          <w:sz w:val="24"/>
          <w:szCs w:val="24"/>
          <w:lang w:val="en-US"/>
        </w:rPr>
      </w:pPr>
      <w:r>
        <w:t>Division 4 — Application for the grant</w:t>
      </w:r>
    </w:p>
    <w:p>
      <w:pPr>
        <w:pStyle w:val="TOC8"/>
        <w:rPr>
          <w:sz w:val="24"/>
          <w:szCs w:val="24"/>
          <w:lang w:val="en-US"/>
        </w:rPr>
      </w:pPr>
      <w:r>
        <w:t>15.</w:t>
      </w:r>
      <w:r>
        <w:tab/>
        <w:t>Application for grant</w:t>
      </w:r>
      <w:r>
        <w:tab/>
      </w:r>
      <w:r>
        <w:fldChar w:fldCharType="begin"/>
      </w:r>
      <w:r>
        <w:instrText xml:space="preserve"> PAGEREF _Toc334698873 \h </w:instrText>
      </w:r>
      <w:r>
        <w:fldChar w:fldCharType="separate"/>
      </w:r>
      <w:r>
        <w:t>26</w:t>
      </w:r>
      <w:r>
        <w:fldChar w:fldCharType="end"/>
      </w:r>
    </w:p>
    <w:p>
      <w:pPr>
        <w:pStyle w:val="TOC8"/>
        <w:rPr>
          <w:sz w:val="24"/>
          <w:szCs w:val="24"/>
          <w:lang w:val="en-US"/>
        </w:rPr>
      </w:pPr>
      <w:r>
        <w:t>16.</w:t>
      </w:r>
      <w:r>
        <w:tab/>
        <w:t>Interested persons</w:t>
      </w:r>
      <w:r>
        <w:tab/>
      </w:r>
      <w:r>
        <w:fldChar w:fldCharType="begin"/>
      </w:r>
      <w:r>
        <w:instrText xml:space="preserve"> PAGEREF _Toc334698874 \h </w:instrText>
      </w:r>
      <w:r>
        <w:fldChar w:fldCharType="separate"/>
      </w:r>
      <w:r>
        <w:t>27</w:t>
      </w:r>
      <w:r>
        <w:fldChar w:fldCharType="end"/>
      </w:r>
    </w:p>
    <w:p>
      <w:pPr>
        <w:pStyle w:val="TOC8"/>
        <w:rPr>
          <w:sz w:val="24"/>
          <w:szCs w:val="24"/>
          <w:lang w:val="en-US"/>
        </w:rPr>
      </w:pPr>
      <w:r>
        <w:t>17.</w:t>
      </w:r>
      <w:r>
        <w:tab/>
        <w:t>Application on behalf of person under legal disability</w:t>
      </w:r>
      <w:r>
        <w:tab/>
      </w:r>
      <w:r>
        <w:fldChar w:fldCharType="begin"/>
      </w:r>
      <w:r>
        <w:instrText xml:space="preserve"> PAGEREF _Toc334698875 \h </w:instrText>
      </w:r>
      <w:r>
        <w:fldChar w:fldCharType="separate"/>
      </w:r>
      <w:r>
        <w:t>27</w:t>
      </w:r>
      <w:r>
        <w:fldChar w:fldCharType="end"/>
      </w:r>
    </w:p>
    <w:p>
      <w:pPr>
        <w:pStyle w:val="TOC4"/>
        <w:tabs>
          <w:tab w:val="right" w:leader="dot" w:pos="7086"/>
        </w:tabs>
        <w:rPr>
          <w:b w:val="0"/>
          <w:sz w:val="24"/>
          <w:szCs w:val="24"/>
          <w:lang w:val="en-US"/>
        </w:rPr>
      </w:pPr>
      <w:r>
        <w:t>Division 5 — Decision on application</w:t>
      </w:r>
    </w:p>
    <w:p>
      <w:pPr>
        <w:pStyle w:val="TOC8"/>
        <w:rPr>
          <w:sz w:val="24"/>
          <w:szCs w:val="24"/>
          <w:lang w:val="en-US"/>
        </w:rPr>
      </w:pPr>
      <w:r>
        <w:t>18.</w:t>
      </w:r>
      <w:r>
        <w:tab/>
        <w:t>Commissioner to authorise payment of grant</w:t>
      </w:r>
      <w:r>
        <w:tab/>
      </w:r>
      <w:r>
        <w:fldChar w:fldCharType="begin"/>
      </w:r>
      <w:r>
        <w:instrText xml:space="preserve"> PAGEREF _Toc334698877 \h </w:instrText>
      </w:r>
      <w:r>
        <w:fldChar w:fldCharType="separate"/>
      </w:r>
      <w:r>
        <w:t>27</w:t>
      </w:r>
      <w:r>
        <w:fldChar w:fldCharType="end"/>
      </w:r>
    </w:p>
    <w:p>
      <w:pPr>
        <w:pStyle w:val="TOC8"/>
        <w:rPr>
          <w:sz w:val="24"/>
          <w:szCs w:val="24"/>
          <w:lang w:val="en-US"/>
        </w:rPr>
      </w:pPr>
      <w:r>
        <w:t>19.</w:t>
      </w:r>
      <w:r>
        <w:tab/>
        <w:t>Amount of grant</w:t>
      </w:r>
      <w:r>
        <w:tab/>
      </w:r>
      <w:r>
        <w:fldChar w:fldCharType="begin"/>
      </w:r>
      <w:r>
        <w:instrText xml:space="preserve"> PAGEREF _Toc334698878 \h </w:instrText>
      </w:r>
      <w:r>
        <w:fldChar w:fldCharType="separate"/>
      </w:r>
      <w:r>
        <w:t>29</w:t>
      </w:r>
      <w:r>
        <w:fldChar w:fldCharType="end"/>
      </w:r>
    </w:p>
    <w:p>
      <w:pPr>
        <w:pStyle w:val="TOC8"/>
        <w:rPr>
          <w:sz w:val="24"/>
          <w:szCs w:val="24"/>
          <w:lang w:val="en-US"/>
        </w:rPr>
      </w:pPr>
      <w:r>
        <w:t>20.</w:t>
      </w:r>
      <w:r>
        <w:tab/>
        <w:t>Payment of grant</w:t>
      </w:r>
      <w:r>
        <w:tab/>
      </w:r>
      <w:r>
        <w:fldChar w:fldCharType="begin"/>
      </w:r>
      <w:r>
        <w:instrText xml:space="preserve"> PAGEREF _Toc334698879 \h </w:instrText>
      </w:r>
      <w:r>
        <w:fldChar w:fldCharType="separate"/>
      </w:r>
      <w:r>
        <w:t>30</w:t>
      </w:r>
      <w:r>
        <w:fldChar w:fldCharType="end"/>
      </w:r>
    </w:p>
    <w:p>
      <w:pPr>
        <w:pStyle w:val="TOC8"/>
        <w:rPr>
          <w:sz w:val="24"/>
          <w:szCs w:val="24"/>
          <w:lang w:val="en-US"/>
        </w:rPr>
      </w:pPr>
      <w:r>
        <w:t>21.</w:t>
      </w:r>
      <w:r>
        <w:tab/>
        <w:t>Payment in anticipation of compliance with residence requirement</w:t>
      </w:r>
      <w:r>
        <w:tab/>
      </w:r>
      <w:r>
        <w:fldChar w:fldCharType="begin"/>
      </w:r>
      <w:r>
        <w:instrText xml:space="preserve"> PAGEREF _Toc334698880 \h </w:instrText>
      </w:r>
      <w:r>
        <w:fldChar w:fldCharType="separate"/>
      </w:r>
      <w:r>
        <w:t>30</w:t>
      </w:r>
      <w:r>
        <w:fldChar w:fldCharType="end"/>
      </w:r>
    </w:p>
    <w:p>
      <w:pPr>
        <w:pStyle w:val="TOC8"/>
        <w:rPr>
          <w:sz w:val="24"/>
          <w:szCs w:val="24"/>
          <w:lang w:val="en-US"/>
        </w:rPr>
      </w:pPr>
      <w:r>
        <w:t>22.</w:t>
      </w:r>
      <w:r>
        <w:tab/>
        <w:t>Commissioner may impose conditions</w:t>
      </w:r>
      <w:r>
        <w:tab/>
      </w:r>
      <w:r>
        <w:fldChar w:fldCharType="begin"/>
      </w:r>
      <w:r>
        <w:instrText xml:space="preserve"> PAGEREF _Toc334698881 \h </w:instrText>
      </w:r>
      <w:r>
        <w:fldChar w:fldCharType="separate"/>
      </w:r>
      <w:r>
        <w:t>32</w:t>
      </w:r>
      <w:r>
        <w:fldChar w:fldCharType="end"/>
      </w:r>
    </w:p>
    <w:p>
      <w:pPr>
        <w:pStyle w:val="TOC8"/>
        <w:rPr>
          <w:sz w:val="24"/>
          <w:szCs w:val="24"/>
          <w:lang w:val="en-US"/>
        </w:rPr>
      </w:pPr>
      <w:r>
        <w:t>23.</w:t>
      </w:r>
      <w:r>
        <w:tab/>
        <w:t>Death of applicant</w:t>
      </w:r>
      <w:r>
        <w:tab/>
      </w:r>
      <w:r>
        <w:fldChar w:fldCharType="begin"/>
      </w:r>
      <w:r>
        <w:instrText xml:space="preserve"> PAGEREF _Toc334698882 \h </w:instrText>
      </w:r>
      <w:r>
        <w:fldChar w:fldCharType="separate"/>
      </w:r>
      <w:r>
        <w:t>32</w:t>
      </w:r>
      <w:r>
        <w:fldChar w:fldCharType="end"/>
      </w:r>
    </w:p>
    <w:p>
      <w:pPr>
        <w:pStyle w:val="TOC8"/>
        <w:rPr>
          <w:sz w:val="24"/>
          <w:szCs w:val="24"/>
          <w:lang w:val="en-US"/>
        </w:rPr>
      </w:pPr>
      <w:r>
        <w:t>24</w:t>
      </w:r>
      <w:r>
        <w:rPr>
          <w:snapToGrid w:val="0"/>
        </w:rPr>
        <w:t>.</w:t>
      </w:r>
      <w:r>
        <w:rPr>
          <w:snapToGrid w:val="0"/>
        </w:rPr>
        <w:tab/>
        <w:t>Power to correct decision</w:t>
      </w:r>
      <w:r>
        <w:tab/>
      </w:r>
      <w:r>
        <w:fldChar w:fldCharType="begin"/>
      </w:r>
      <w:r>
        <w:instrText xml:space="preserve"> PAGEREF _Toc334698883 \h </w:instrText>
      </w:r>
      <w:r>
        <w:fldChar w:fldCharType="separate"/>
      </w:r>
      <w:r>
        <w:t>33</w:t>
      </w:r>
      <w:r>
        <w:fldChar w:fldCharType="end"/>
      </w:r>
    </w:p>
    <w:p>
      <w:pPr>
        <w:pStyle w:val="TOC8"/>
        <w:rPr>
          <w:sz w:val="24"/>
          <w:szCs w:val="24"/>
          <w:lang w:val="en-US"/>
        </w:rPr>
      </w:pPr>
      <w:r>
        <w:t>25</w:t>
      </w:r>
      <w:r>
        <w:rPr>
          <w:snapToGrid w:val="0"/>
        </w:rPr>
        <w:t>.</w:t>
      </w:r>
      <w:r>
        <w:rPr>
          <w:snapToGrid w:val="0"/>
        </w:rPr>
        <w:tab/>
        <w:t>Notice of decision</w:t>
      </w:r>
      <w:r>
        <w:tab/>
      </w:r>
      <w:r>
        <w:fldChar w:fldCharType="begin"/>
      </w:r>
      <w:r>
        <w:instrText xml:space="preserve"> PAGEREF _Toc334698884 \h </w:instrText>
      </w:r>
      <w:r>
        <w:fldChar w:fldCharType="separate"/>
      </w:r>
      <w:r>
        <w:t>34</w:t>
      </w:r>
      <w:r>
        <w:fldChar w:fldCharType="end"/>
      </w:r>
    </w:p>
    <w:p>
      <w:pPr>
        <w:pStyle w:val="TOC4"/>
        <w:tabs>
          <w:tab w:val="right" w:leader="dot" w:pos="7086"/>
        </w:tabs>
        <w:rPr>
          <w:b w:val="0"/>
          <w:sz w:val="24"/>
          <w:szCs w:val="24"/>
          <w:lang w:val="en-US"/>
        </w:rPr>
      </w:pPr>
      <w:r>
        <w:t>Division 6 — Objections and review</w:t>
      </w:r>
    </w:p>
    <w:p>
      <w:pPr>
        <w:pStyle w:val="TOC6"/>
        <w:tabs>
          <w:tab w:val="right" w:leader="dot" w:pos="7086"/>
        </w:tabs>
        <w:rPr>
          <w:b w:val="0"/>
          <w:sz w:val="24"/>
          <w:szCs w:val="24"/>
          <w:lang w:val="en-US"/>
        </w:rPr>
      </w:pPr>
      <w:r>
        <w:t>Subdivision 1 — Definitions</w:t>
      </w:r>
    </w:p>
    <w:p>
      <w:pPr>
        <w:pStyle w:val="TOC8"/>
        <w:rPr>
          <w:sz w:val="24"/>
          <w:szCs w:val="24"/>
          <w:lang w:val="en-US"/>
        </w:rPr>
      </w:pPr>
      <w:r>
        <w:t>26.</w:t>
      </w:r>
      <w:r>
        <w:tab/>
        <w:t>Terms used</w:t>
      </w:r>
      <w:r>
        <w:tab/>
      </w:r>
      <w:r>
        <w:fldChar w:fldCharType="begin"/>
      </w:r>
      <w:r>
        <w:instrText xml:space="preserve"> PAGEREF _Toc334698887 \h </w:instrText>
      </w:r>
      <w:r>
        <w:fldChar w:fldCharType="separate"/>
      </w:r>
      <w:r>
        <w:t>34</w:t>
      </w:r>
      <w:r>
        <w:fldChar w:fldCharType="end"/>
      </w:r>
    </w:p>
    <w:p>
      <w:pPr>
        <w:pStyle w:val="TOC6"/>
        <w:tabs>
          <w:tab w:val="right" w:leader="dot" w:pos="7086"/>
        </w:tabs>
        <w:rPr>
          <w:b w:val="0"/>
          <w:sz w:val="24"/>
          <w:szCs w:val="24"/>
          <w:lang w:val="en-US"/>
        </w:rPr>
      </w:pPr>
      <w:r>
        <w:t>Subdivision 2 — Objections</w:t>
      </w:r>
    </w:p>
    <w:p>
      <w:pPr>
        <w:pStyle w:val="TOC8"/>
        <w:rPr>
          <w:sz w:val="24"/>
          <w:szCs w:val="24"/>
          <w:lang w:val="en-US"/>
        </w:rPr>
      </w:pPr>
      <w:r>
        <w:t>27.</w:t>
      </w:r>
      <w:r>
        <w:tab/>
        <w:t>Right to object and procedure for making objections</w:t>
      </w:r>
      <w:r>
        <w:tab/>
      </w:r>
      <w:r>
        <w:fldChar w:fldCharType="begin"/>
      </w:r>
      <w:r>
        <w:instrText xml:space="preserve"> PAGEREF _Toc334698889 \h </w:instrText>
      </w:r>
      <w:r>
        <w:fldChar w:fldCharType="separate"/>
      </w:r>
      <w:r>
        <w:t>35</w:t>
      </w:r>
      <w:r>
        <w:fldChar w:fldCharType="end"/>
      </w:r>
    </w:p>
    <w:p>
      <w:pPr>
        <w:pStyle w:val="TOC8"/>
        <w:rPr>
          <w:sz w:val="24"/>
          <w:szCs w:val="24"/>
          <w:lang w:val="en-US"/>
        </w:rPr>
      </w:pPr>
      <w:r>
        <w:t>28.</w:t>
      </w:r>
      <w:r>
        <w:tab/>
        <w:t>Time for lodging objection</w:t>
      </w:r>
      <w:r>
        <w:tab/>
      </w:r>
      <w:r>
        <w:fldChar w:fldCharType="begin"/>
      </w:r>
      <w:r>
        <w:instrText xml:space="preserve"> PAGEREF _Toc334698890 \h </w:instrText>
      </w:r>
      <w:r>
        <w:fldChar w:fldCharType="separate"/>
      </w:r>
      <w:r>
        <w:t>35</w:t>
      </w:r>
      <w:r>
        <w:fldChar w:fldCharType="end"/>
      </w:r>
    </w:p>
    <w:p>
      <w:pPr>
        <w:pStyle w:val="TOC8"/>
        <w:rPr>
          <w:sz w:val="24"/>
          <w:szCs w:val="24"/>
          <w:lang w:val="en-US"/>
        </w:rPr>
      </w:pPr>
      <w:r>
        <w:t>29</w:t>
      </w:r>
      <w:r>
        <w:rPr>
          <w:snapToGrid w:val="0"/>
        </w:rPr>
        <w:t>.</w:t>
      </w:r>
      <w:r>
        <w:rPr>
          <w:snapToGrid w:val="0"/>
        </w:rPr>
        <w:tab/>
        <w:t>Consideration of objection</w:t>
      </w:r>
      <w:r>
        <w:tab/>
      </w:r>
      <w:r>
        <w:fldChar w:fldCharType="begin"/>
      </w:r>
      <w:r>
        <w:instrText xml:space="preserve"> PAGEREF _Toc334698891 \h </w:instrText>
      </w:r>
      <w:r>
        <w:fldChar w:fldCharType="separate"/>
      </w:r>
      <w:r>
        <w:t>36</w:t>
      </w:r>
      <w:r>
        <w:fldChar w:fldCharType="end"/>
      </w:r>
    </w:p>
    <w:p>
      <w:pPr>
        <w:pStyle w:val="TOC8"/>
        <w:rPr>
          <w:sz w:val="24"/>
          <w:szCs w:val="24"/>
          <w:lang w:val="en-US"/>
        </w:rPr>
      </w:pPr>
      <w:r>
        <w:t>30</w:t>
      </w:r>
      <w:r>
        <w:rPr>
          <w:snapToGrid w:val="0"/>
        </w:rPr>
        <w:t>.</w:t>
      </w:r>
      <w:r>
        <w:rPr>
          <w:snapToGrid w:val="0"/>
        </w:rPr>
        <w:tab/>
        <w:t>Decision on objection</w:t>
      </w:r>
      <w:r>
        <w:tab/>
      </w:r>
      <w:r>
        <w:fldChar w:fldCharType="begin"/>
      </w:r>
      <w:r>
        <w:instrText xml:space="preserve"> PAGEREF _Toc334698892 \h </w:instrText>
      </w:r>
      <w:r>
        <w:fldChar w:fldCharType="separate"/>
      </w:r>
      <w:r>
        <w:t>36</w:t>
      </w:r>
      <w:r>
        <w:fldChar w:fldCharType="end"/>
      </w:r>
    </w:p>
    <w:p>
      <w:pPr>
        <w:pStyle w:val="TOC6"/>
        <w:tabs>
          <w:tab w:val="right" w:leader="dot" w:pos="7086"/>
        </w:tabs>
        <w:rPr>
          <w:b w:val="0"/>
          <w:sz w:val="24"/>
          <w:szCs w:val="24"/>
          <w:lang w:val="en-US"/>
        </w:rPr>
      </w:pPr>
      <w:r>
        <w:rPr>
          <w:snapToGrid w:val="0"/>
        </w:rPr>
        <w:t xml:space="preserve">Subdivision 3 — </w:t>
      </w:r>
      <w:r>
        <w:t>Review</w:t>
      </w:r>
    </w:p>
    <w:p>
      <w:pPr>
        <w:pStyle w:val="TOC8"/>
        <w:rPr>
          <w:sz w:val="24"/>
          <w:szCs w:val="24"/>
          <w:lang w:val="en-US"/>
        </w:rPr>
      </w:pPr>
      <w:r>
        <w:t>31.</w:t>
      </w:r>
      <w:r>
        <w:tab/>
        <w:t>Right of review</w:t>
      </w:r>
      <w:r>
        <w:tab/>
      </w:r>
      <w:r>
        <w:fldChar w:fldCharType="begin"/>
      </w:r>
      <w:r>
        <w:instrText xml:space="preserve"> PAGEREF _Toc334698894 \h </w:instrText>
      </w:r>
      <w:r>
        <w:fldChar w:fldCharType="separate"/>
      </w:r>
      <w:r>
        <w:t>38</w:t>
      </w:r>
      <w:r>
        <w:fldChar w:fldCharType="end"/>
      </w:r>
    </w:p>
    <w:p>
      <w:pPr>
        <w:pStyle w:val="TOC8"/>
        <w:rPr>
          <w:sz w:val="24"/>
          <w:szCs w:val="24"/>
          <w:lang w:val="en-US"/>
        </w:rPr>
      </w:pPr>
      <w:r>
        <w:t>32.</w:t>
      </w:r>
      <w:r>
        <w:tab/>
        <w:t>Payment following determination of review</w:t>
      </w:r>
      <w:r>
        <w:tab/>
      </w:r>
      <w:r>
        <w:fldChar w:fldCharType="begin"/>
      </w:r>
      <w:r>
        <w:instrText xml:space="preserve"> PAGEREF _Toc334698895 \h </w:instrText>
      </w:r>
      <w:r>
        <w:fldChar w:fldCharType="separate"/>
      </w:r>
      <w:r>
        <w:t>38</w:t>
      </w:r>
      <w:r>
        <w:fldChar w:fldCharType="end"/>
      </w:r>
    </w:p>
    <w:p>
      <w:pPr>
        <w:pStyle w:val="TOC2"/>
        <w:tabs>
          <w:tab w:val="right" w:leader="dot" w:pos="7086"/>
        </w:tabs>
        <w:rPr>
          <w:b w:val="0"/>
          <w:sz w:val="24"/>
          <w:szCs w:val="24"/>
          <w:lang w:val="en-US"/>
        </w:rPr>
      </w:pPr>
      <w:r>
        <w:t>Part 3 — Administration</w:t>
      </w:r>
    </w:p>
    <w:p>
      <w:pPr>
        <w:pStyle w:val="TOC4"/>
        <w:tabs>
          <w:tab w:val="right" w:leader="dot" w:pos="7086"/>
        </w:tabs>
        <w:rPr>
          <w:b w:val="0"/>
          <w:sz w:val="24"/>
          <w:szCs w:val="24"/>
          <w:lang w:val="en-US"/>
        </w:rPr>
      </w:pPr>
      <w:r>
        <w:t>Division 1 — Administration generally</w:t>
      </w:r>
    </w:p>
    <w:p>
      <w:pPr>
        <w:pStyle w:val="TOC8"/>
        <w:rPr>
          <w:sz w:val="24"/>
          <w:szCs w:val="24"/>
          <w:lang w:val="en-US"/>
        </w:rPr>
      </w:pPr>
      <w:r>
        <w:t>34.</w:t>
      </w:r>
      <w:r>
        <w:tab/>
        <w:t>Administration of Act</w:t>
      </w:r>
      <w:r>
        <w:tab/>
      </w:r>
      <w:r>
        <w:fldChar w:fldCharType="begin"/>
      </w:r>
      <w:r>
        <w:instrText xml:space="preserve"> PAGEREF _Toc334698898 \h </w:instrText>
      </w:r>
      <w:r>
        <w:fldChar w:fldCharType="separate"/>
      </w:r>
      <w:r>
        <w:t>40</w:t>
      </w:r>
      <w:r>
        <w:fldChar w:fldCharType="end"/>
      </w:r>
    </w:p>
    <w:p>
      <w:pPr>
        <w:pStyle w:val="TOC8"/>
        <w:rPr>
          <w:sz w:val="24"/>
          <w:szCs w:val="24"/>
          <w:lang w:val="en-US"/>
        </w:rPr>
      </w:pPr>
      <w:r>
        <w:t>35.</w:t>
      </w:r>
      <w:r>
        <w:tab/>
        <w:t>Delegation</w:t>
      </w:r>
      <w:r>
        <w:tab/>
      </w:r>
      <w:r>
        <w:fldChar w:fldCharType="begin"/>
      </w:r>
      <w:r>
        <w:instrText xml:space="preserve"> PAGEREF _Toc334698899 \h </w:instrText>
      </w:r>
      <w:r>
        <w:fldChar w:fldCharType="separate"/>
      </w:r>
      <w:r>
        <w:t>40</w:t>
      </w:r>
      <w:r>
        <w:fldChar w:fldCharType="end"/>
      </w:r>
    </w:p>
    <w:p>
      <w:pPr>
        <w:pStyle w:val="TOC8"/>
        <w:rPr>
          <w:sz w:val="24"/>
          <w:szCs w:val="24"/>
          <w:lang w:val="en-US"/>
        </w:rPr>
      </w:pPr>
      <w:r>
        <w:t>36.</w:t>
      </w:r>
      <w:r>
        <w:tab/>
        <w:t>Authorised investigators</w:t>
      </w:r>
      <w:r>
        <w:tab/>
      </w:r>
      <w:r>
        <w:fldChar w:fldCharType="begin"/>
      </w:r>
      <w:r>
        <w:instrText xml:space="preserve"> PAGEREF _Toc334698900 \h </w:instrText>
      </w:r>
      <w:r>
        <w:fldChar w:fldCharType="separate"/>
      </w:r>
      <w:r>
        <w:t>41</w:t>
      </w:r>
      <w:r>
        <w:fldChar w:fldCharType="end"/>
      </w:r>
    </w:p>
    <w:p>
      <w:pPr>
        <w:pStyle w:val="TOC8"/>
        <w:rPr>
          <w:sz w:val="24"/>
          <w:szCs w:val="24"/>
          <w:lang w:val="en-US"/>
        </w:rPr>
      </w:pPr>
      <w:r>
        <w:t>37.</w:t>
      </w:r>
      <w:r>
        <w:tab/>
        <w:t>Administration agreements</w:t>
      </w:r>
      <w:r>
        <w:tab/>
      </w:r>
      <w:r>
        <w:fldChar w:fldCharType="begin"/>
      </w:r>
      <w:r>
        <w:instrText xml:space="preserve"> PAGEREF _Toc334698901 \h </w:instrText>
      </w:r>
      <w:r>
        <w:fldChar w:fldCharType="separate"/>
      </w:r>
      <w:r>
        <w:t>41</w:t>
      </w:r>
      <w:r>
        <w:fldChar w:fldCharType="end"/>
      </w:r>
    </w:p>
    <w:p>
      <w:pPr>
        <w:pStyle w:val="TOC4"/>
        <w:tabs>
          <w:tab w:val="right" w:leader="dot" w:pos="7086"/>
        </w:tabs>
        <w:rPr>
          <w:b w:val="0"/>
          <w:sz w:val="24"/>
          <w:szCs w:val="24"/>
          <w:lang w:val="en-US"/>
        </w:rPr>
      </w:pPr>
      <w:r>
        <w:t>Division 2 — Investigations</w:t>
      </w:r>
    </w:p>
    <w:p>
      <w:pPr>
        <w:pStyle w:val="TOC8"/>
        <w:rPr>
          <w:sz w:val="24"/>
          <w:szCs w:val="24"/>
          <w:lang w:val="en-US"/>
        </w:rPr>
      </w:pPr>
      <w:r>
        <w:t>38.</w:t>
      </w:r>
      <w:r>
        <w:tab/>
        <w:t>Investigations</w:t>
      </w:r>
      <w:r>
        <w:tab/>
      </w:r>
      <w:r>
        <w:fldChar w:fldCharType="begin"/>
      </w:r>
      <w:r>
        <w:instrText xml:space="preserve"> PAGEREF _Toc334698903 \h </w:instrText>
      </w:r>
      <w:r>
        <w:fldChar w:fldCharType="separate"/>
      </w:r>
      <w:r>
        <w:t>42</w:t>
      </w:r>
      <w:r>
        <w:fldChar w:fldCharType="end"/>
      </w:r>
    </w:p>
    <w:p>
      <w:pPr>
        <w:pStyle w:val="TOC8"/>
        <w:rPr>
          <w:sz w:val="24"/>
          <w:szCs w:val="24"/>
          <w:lang w:val="en-US"/>
        </w:rPr>
      </w:pPr>
      <w:r>
        <w:t>39</w:t>
      </w:r>
      <w:r>
        <w:rPr>
          <w:snapToGrid w:val="0"/>
        </w:rPr>
        <w:t>.</w:t>
      </w:r>
      <w:r>
        <w:rPr>
          <w:snapToGrid w:val="0"/>
        </w:rPr>
        <w:tab/>
        <w:t>Cross</w:t>
      </w:r>
      <w:r>
        <w:rPr>
          <w:snapToGrid w:val="0"/>
        </w:rPr>
        <w:noBreakHyphen/>
        <w:t>border investigations</w:t>
      </w:r>
      <w:r>
        <w:tab/>
      </w:r>
      <w:r>
        <w:fldChar w:fldCharType="begin"/>
      </w:r>
      <w:r>
        <w:instrText xml:space="preserve"> PAGEREF _Toc334698904 \h </w:instrText>
      </w:r>
      <w:r>
        <w:fldChar w:fldCharType="separate"/>
      </w:r>
      <w:r>
        <w:t>42</w:t>
      </w:r>
      <w:r>
        <w:fldChar w:fldCharType="end"/>
      </w:r>
    </w:p>
    <w:p>
      <w:pPr>
        <w:pStyle w:val="TOC8"/>
        <w:rPr>
          <w:sz w:val="24"/>
          <w:szCs w:val="24"/>
          <w:lang w:val="en-US"/>
        </w:rPr>
      </w:pPr>
      <w:r>
        <w:t>40</w:t>
      </w:r>
      <w:r>
        <w:rPr>
          <w:snapToGrid w:val="0"/>
        </w:rPr>
        <w:t>.</w:t>
      </w:r>
      <w:r>
        <w:rPr>
          <w:snapToGrid w:val="0"/>
        </w:rPr>
        <w:tab/>
        <w:t>Power of investigation</w:t>
      </w:r>
      <w:r>
        <w:tab/>
      </w:r>
      <w:r>
        <w:fldChar w:fldCharType="begin"/>
      </w:r>
      <w:r>
        <w:instrText xml:space="preserve"> PAGEREF _Toc334698905 \h </w:instrText>
      </w:r>
      <w:r>
        <w:fldChar w:fldCharType="separate"/>
      </w:r>
      <w:r>
        <w:t>43</w:t>
      </w:r>
      <w:r>
        <w:fldChar w:fldCharType="end"/>
      </w:r>
    </w:p>
    <w:p>
      <w:pPr>
        <w:pStyle w:val="TOC8"/>
        <w:rPr>
          <w:sz w:val="24"/>
          <w:szCs w:val="24"/>
          <w:lang w:val="en-US"/>
        </w:rPr>
      </w:pPr>
      <w:r>
        <w:t>41A.</w:t>
      </w:r>
      <w:r>
        <w:tab/>
        <w:t>Power to have valuation made</w:t>
      </w:r>
      <w:r>
        <w:tab/>
      </w:r>
      <w:r>
        <w:fldChar w:fldCharType="begin"/>
      </w:r>
      <w:r>
        <w:instrText xml:space="preserve"> PAGEREF _Toc334698906 \h </w:instrText>
      </w:r>
      <w:r>
        <w:fldChar w:fldCharType="separate"/>
      </w:r>
      <w:r>
        <w:t>43</w:t>
      </w:r>
      <w:r>
        <w:fldChar w:fldCharType="end"/>
      </w:r>
    </w:p>
    <w:p>
      <w:pPr>
        <w:pStyle w:val="TOC8"/>
        <w:rPr>
          <w:sz w:val="24"/>
          <w:szCs w:val="24"/>
          <w:lang w:val="en-US"/>
        </w:rPr>
      </w:pPr>
      <w:r>
        <w:t>41.</w:t>
      </w:r>
      <w:r>
        <w:tab/>
        <w:t>Power to require person to attend for examination</w:t>
      </w:r>
      <w:r>
        <w:tab/>
      </w:r>
      <w:r>
        <w:fldChar w:fldCharType="begin"/>
      </w:r>
      <w:r>
        <w:instrText xml:space="preserve"> PAGEREF _Toc334698907 \h </w:instrText>
      </w:r>
      <w:r>
        <w:fldChar w:fldCharType="separate"/>
      </w:r>
      <w:r>
        <w:t>44</w:t>
      </w:r>
      <w:r>
        <w:fldChar w:fldCharType="end"/>
      </w:r>
    </w:p>
    <w:p>
      <w:pPr>
        <w:pStyle w:val="TOC8"/>
        <w:rPr>
          <w:sz w:val="24"/>
          <w:szCs w:val="24"/>
          <w:lang w:val="en-US"/>
        </w:rPr>
      </w:pPr>
      <w:r>
        <w:t>42.</w:t>
      </w:r>
      <w:r>
        <w:tab/>
        <w:t>Entry of premises</w:t>
      </w:r>
      <w:r>
        <w:tab/>
      </w:r>
      <w:r>
        <w:fldChar w:fldCharType="begin"/>
      </w:r>
      <w:r>
        <w:instrText xml:space="preserve"> PAGEREF _Toc334698908 \h </w:instrText>
      </w:r>
      <w:r>
        <w:fldChar w:fldCharType="separate"/>
      </w:r>
      <w:r>
        <w:t>45</w:t>
      </w:r>
      <w:r>
        <w:fldChar w:fldCharType="end"/>
      </w:r>
    </w:p>
    <w:p>
      <w:pPr>
        <w:pStyle w:val="TOC8"/>
        <w:rPr>
          <w:sz w:val="24"/>
          <w:szCs w:val="24"/>
          <w:lang w:val="en-US"/>
        </w:rPr>
      </w:pPr>
      <w:r>
        <w:t>43.</w:t>
      </w:r>
      <w:r>
        <w:tab/>
        <w:t>Powers of authorised investigator on entry of premises</w:t>
      </w:r>
      <w:r>
        <w:tab/>
      </w:r>
      <w:r>
        <w:fldChar w:fldCharType="begin"/>
      </w:r>
      <w:r>
        <w:instrText xml:space="preserve"> PAGEREF _Toc334698909 \h </w:instrText>
      </w:r>
      <w:r>
        <w:fldChar w:fldCharType="separate"/>
      </w:r>
      <w:r>
        <w:t>46</w:t>
      </w:r>
      <w:r>
        <w:fldChar w:fldCharType="end"/>
      </w:r>
    </w:p>
    <w:p>
      <w:pPr>
        <w:pStyle w:val="TOC8"/>
        <w:rPr>
          <w:sz w:val="24"/>
          <w:szCs w:val="24"/>
          <w:lang w:val="en-US"/>
        </w:rPr>
      </w:pPr>
      <w:r>
        <w:t>44.</w:t>
      </w:r>
      <w:r>
        <w:tab/>
        <w:t>Warrants</w:t>
      </w:r>
      <w:r>
        <w:tab/>
      </w:r>
      <w:r>
        <w:fldChar w:fldCharType="begin"/>
      </w:r>
      <w:r>
        <w:instrText xml:space="preserve"> PAGEREF _Toc334698910 \h </w:instrText>
      </w:r>
      <w:r>
        <w:fldChar w:fldCharType="separate"/>
      </w:r>
      <w:r>
        <w:t>48</w:t>
      </w:r>
      <w:r>
        <w:fldChar w:fldCharType="end"/>
      </w:r>
    </w:p>
    <w:p>
      <w:pPr>
        <w:pStyle w:val="TOC8"/>
        <w:rPr>
          <w:sz w:val="24"/>
          <w:szCs w:val="24"/>
          <w:lang w:val="en-US"/>
        </w:rPr>
      </w:pPr>
      <w:r>
        <w:t>45.</w:t>
      </w:r>
      <w:r>
        <w:tab/>
        <w:t>Use of force</w:t>
      </w:r>
      <w:r>
        <w:tab/>
      </w:r>
      <w:r>
        <w:fldChar w:fldCharType="begin"/>
      </w:r>
      <w:r>
        <w:instrText xml:space="preserve"> PAGEREF _Toc334698911 \h </w:instrText>
      </w:r>
      <w:r>
        <w:fldChar w:fldCharType="separate"/>
      </w:r>
      <w:r>
        <w:t>49</w:t>
      </w:r>
      <w:r>
        <w:fldChar w:fldCharType="end"/>
      </w:r>
    </w:p>
    <w:p>
      <w:pPr>
        <w:pStyle w:val="TOC8"/>
        <w:rPr>
          <w:sz w:val="24"/>
          <w:szCs w:val="24"/>
          <w:lang w:val="en-US"/>
        </w:rPr>
      </w:pPr>
      <w:r>
        <w:t>46.</w:t>
      </w:r>
      <w:r>
        <w:tab/>
        <w:t>Self incrimination</w:t>
      </w:r>
      <w:r>
        <w:tab/>
      </w:r>
      <w:r>
        <w:fldChar w:fldCharType="begin"/>
      </w:r>
      <w:r>
        <w:instrText xml:space="preserve"> PAGEREF _Toc334698912 \h </w:instrText>
      </w:r>
      <w:r>
        <w:fldChar w:fldCharType="separate"/>
      </w:r>
      <w:r>
        <w:t>49</w:t>
      </w:r>
      <w:r>
        <w:fldChar w:fldCharType="end"/>
      </w:r>
    </w:p>
    <w:p>
      <w:pPr>
        <w:pStyle w:val="TOC2"/>
        <w:tabs>
          <w:tab w:val="right" w:leader="dot" w:pos="7086"/>
        </w:tabs>
        <w:rPr>
          <w:b w:val="0"/>
          <w:sz w:val="24"/>
          <w:szCs w:val="24"/>
          <w:lang w:val="en-US"/>
        </w:rPr>
      </w:pPr>
      <w:r>
        <w:t>Part 4 — Miscellaneous</w:t>
      </w:r>
    </w:p>
    <w:p>
      <w:pPr>
        <w:pStyle w:val="TOC4"/>
        <w:tabs>
          <w:tab w:val="right" w:leader="dot" w:pos="7086"/>
        </w:tabs>
        <w:rPr>
          <w:b w:val="0"/>
          <w:sz w:val="24"/>
          <w:szCs w:val="24"/>
          <w:lang w:val="en-US"/>
        </w:rPr>
      </w:pPr>
      <w:r>
        <w:t>Division 1 — Offences</w:t>
      </w:r>
    </w:p>
    <w:p>
      <w:pPr>
        <w:pStyle w:val="TOC8"/>
        <w:rPr>
          <w:sz w:val="24"/>
          <w:szCs w:val="24"/>
          <w:lang w:val="en-US"/>
        </w:rPr>
      </w:pPr>
      <w:r>
        <w:t>47.</w:t>
      </w:r>
      <w:r>
        <w:tab/>
        <w:t>False or misleading information and documents</w:t>
      </w:r>
      <w:r>
        <w:tab/>
      </w:r>
      <w:r>
        <w:fldChar w:fldCharType="begin"/>
      </w:r>
      <w:r>
        <w:instrText xml:space="preserve"> PAGEREF _Toc334698915 \h </w:instrText>
      </w:r>
      <w:r>
        <w:fldChar w:fldCharType="separate"/>
      </w:r>
      <w:r>
        <w:t>51</w:t>
      </w:r>
      <w:r>
        <w:fldChar w:fldCharType="end"/>
      </w:r>
    </w:p>
    <w:p>
      <w:pPr>
        <w:pStyle w:val="TOC8"/>
        <w:rPr>
          <w:sz w:val="24"/>
          <w:szCs w:val="24"/>
          <w:lang w:val="en-US"/>
        </w:rPr>
      </w:pPr>
      <w:r>
        <w:t>48.</w:t>
      </w:r>
      <w:r>
        <w:tab/>
        <w:t>Obstructing or misleading Commissioner or authorised investigator</w:t>
      </w:r>
      <w:r>
        <w:tab/>
      </w:r>
      <w:r>
        <w:fldChar w:fldCharType="begin"/>
      </w:r>
      <w:r>
        <w:instrText xml:space="preserve"> PAGEREF _Toc334698916 \h </w:instrText>
      </w:r>
      <w:r>
        <w:fldChar w:fldCharType="separate"/>
      </w:r>
      <w:r>
        <w:t>52</w:t>
      </w:r>
      <w:r>
        <w:fldChar w:fldCharType="end"/>
      </w:r>
    </w:p>
    <w:p>
      <w:pPr>
        <w:pStyle w:val="TOC4"/>
        <w:tabs>
          <w:tab w:val="right" w:leader="dot" w:pos="7086"/>
        </w:tabs>
        <w:rPr>
          <w:b w:val="0"/>
          <w:sz w:val="24"/>
          <w:szCs w:val="24"/>
          <w:lang w:val="en-US"/>
        </w:rPr>
      </w:pPr>
      <w:r>
        <w:t>Division 2 — Evidentiary provisions</w:t>
      </w:r>
    </w:p>
    <w:p>
      <w:pPr>
        <w:pStyle w:val="TOC8"/>
        <w:rPr>
          <w:sz w:val="24"/>
          <w:szCs w:val="24"/>
          <w:lang w:val="en-US"/>
        </w:rPr>
      </w:pPr>
      <w:r>
        <w:t>49.</w:t>
      </w:r>
      <w:r>
        <w:tab/>
        <w:t>Evidence</w:t>
      </w:r>
      <w:r>
        <w:tab/>
      </w:r>
      <w:r>
        <w:fldChar w:fldCharType="begin"/>
      </w:r>
      <w:r>
        <w:instrText xml:space="preserve"> PAGEREF _Toc334698918 \h </w:instrText>
      </w:r>
      <w:r>
        <w:fldChar w:fldCharType="separate"/>
      </w:r>
      <w:r>
        <w:t>52</w:t>
      </w:r>
      <w:r>
        <w:fldChar w:fldCharType="end"/>
      </w:r>
    </w:p>
    <w:p>
      <w:pPr>
        <w:pStyle w:val="TOC8"/>
        <w:rPr>
          <w:sz w:val="24"/>
          <w:szCs w:val="24"/>
          <w:lang w:val="en-US"/>
        </w:rPr>
      </w:pPr>
      <w:r>
        <w:t>50.</w:t>
      </w:r>
      <w:r>
        <w:tab/>
        <w:t>Presumption of regularity</w:t>
      </w:r>
      <w:r>
        <w:tab/>
      </w:r>
      <w:r>
        <w:fldChar w:fldCharType="begin"/>
      </w:r>
      <w:r>
        <w:instrText xml:space="preserve"> PAGEREF _Toc334698919 \h </w:instrText>
      </w:r>
      <w:r>
        <w:fldChar w:fldCharType="separate"/>
      </w:r>
      <w:r>
        <w:t>52</w:t>
      </w:r>
      <w:r>
        <w:fldChar w:fldCharType="end"/>
      </w:r>
    </w:p>
    <w:p>
      <w:pPr>
        <w:pStyle w:val="TOC4"/>
        <w:tabs>
          <w:tab w:val="right" w:leader="dot" w:pos="7086"/>
        </w:tabs>
        <w:rPr>
          <w:b w:val="0"/>
          <w:sz w:val="24"/>
          <w:szCs w:val="24"/>
          <w:lang w:val="en-US"/>
        </w:rPr>
      </w:pPr>
      <w:r>
        <w:t>Division 3 — Repayments and penalties</w:t>
      </w:r>
    </w:p>
    <w:p>
      <w:pPr>
        <w:pStyle w:val="TOC8"/>
        <w:rPr>
          <w:sz w:val="24"/>
          <w:szCs w:val="24"/>
          <w:lang w:val="en-US"/>
        </w:rPr>
      </w:pPr>
      <w:r>
        <w:t>51.</w:t>
      </w:r>
      <w:r>
        <w:tab/>
        <w:t>Commissioner may require repayment and impose penalty</w:t>
      </w:r>
      <w:r>
        <w:tab/>
      </w:r>
      <w:r>
        <w:fldChar w:fldCharType="begin"/>
      </w:r>
      <w:r>
        <w:instrText xml:space="preserve"> PAGEREF _Toc334698921 \h </w:instrText>
      </w:r>
      <w:r>
        <w:fldChar w:fldCharType="separate"/>
      </w:r>
      <w:r>
        <w:t>53</w:t>
      </w:r>
      <w:r>
        <w:fldChar w:fldCharType="end"/>
      </w:r>
    </w:p>
    <w:p>
      <w:pPr>
        <w:pStyle w:val="TOC8"/>
        <w:rPr>
          <w:sz w:val="24"/>
          <w:szCs w:val="24"/>
          <w:lang w:val="en-US"/>
        </w:rPr>
      </w:pPr>
      <w:r>
        <w:t>52.</w:t>
      </w:r>
      <w:r>
        <w:tab/>
        <w:t>Arrangements for instalments and extensions of time</w:t>
      </w:r>
      <w:r>
        <w:tab/>
      </w:r>
      <w:r>
        <w:fldChar w:fldCharType="begin"/>
      </w:r>
      <w:r>
        <w:instrText xml:space="preserve"> PAGEREF _Toc334698922 \h </w:instrText>
      </w:r>
      <w:r>
        <w:fldChar w:fldCharType="separate"/>
      </w:r>
      <w:r>
        <w:t>54</w:t>
      </w:r>
      <w:r>
        <w:fldChar w:fldCharType="end"/>
      </w:r>
    </w:p>
    <w:p>
      <w:pPr>
        <w:pStyle w:val="TOC8"/>
        <w:rPr>
          <w:sz w:val="24"/>
          <w:szCs w:val="24"/>
          <w:lang w:val="en-US"/>
        </w:rPr>
      </w:pPr>
      <w:r>
        <w:t>53.</w:t>
      </w:r>
      <w:r>
        <w:tab/>
        <w:t>Recovery of certain amounts</w:t>
      </w:r>
      <w:r>
        <w:tab/>
      </w:r>
      <w:r>
        <w:fldChar w:fldCharType="begin"/>
      </w:r>
      <w:r>
        <w:instrText xml:space="preserve"> PAGEREF _Toc334698923 \h </w:instrText>
      </w:r>
      <w:r>
        <w:fldChar w:fldCharType="separate"/>
      </w:r>
      <w:r>
        <w:t>55</w:t>
      </w:r>
      <w:r>
        <w:fldChar w:fldCharType="end"/>
      </w:r>
    </w:p>
    <w:p>
      <w:pPr>
        <w:pStyle w:val="TOC8"/>
        <w:rPr>
          <w:sz w:val="24"/>
          <w:szCs w:val="24"/>
          <w:lang w:val="en-US"/>
        </w:rPr>
      </w:pPr>
      <w:r>
        <w:t>54A.</w:t>
      </w:r>
      <w:r>
        <w:tab/>
        <w:t>Recovery from garnishee</w:t>
      </w:r>
      <w:r>
        <w:tab/>
      </w:r>
      <w:r>
        <w:fldChar w:fldCharType="begin"/>
      </w:r>
      <w:r>
        <w:instrText xml:space="preserve"> PAGEREF _Toc334698924 \h </w:instrText>
      </w:r>
      <w:r>
        <w:fldChar w:fldCharType="separate"/>
      </w:r>
      <w:r>
        <w:t>56</w:t>
      </w:r>
      <w:r>
        <w:fldChar w:fldCharType="end"/>
      </w:r>
    </w:p>
    <w:p>
      <w:pPr>
        <w:pStyle w:val="TOC8"/>
        <w:rPr>
          <w:sz w:val="24"/>
          <w:szCs w:val="24"/>
          <w:lang w:val="en-US"/>
        </w:rPr>
      </w:pPr>
      <w:r>
        <w:t>54.</w:t>
      </w:r>
      <w:r>
        <w:tab/>
        <w:t>Writing off liability</w:t>
      </w:r>
      <w:r>
        <w:tab/>
      </w:r>
      <w:r>
        <w:fldChar w:fldCharType="begin"/>
      </w:r>
      <w:r>
        <w:instrText xml:space="preserve"> PAGEREF _Toc334698925 \h </w:instrText>
      </w:r>
      <w:r>
        <w:fldChar w:fldCharType="separate"/>
      </w:r>
      <w:r>
        <w:t>57</w:t>
      </w:r>
      <w:r>
        <w:fldChar w:fldCharType="end"/>
      </w:r>
    </w:p>
    <w:p>
      <w:pPr>
        <w:pStyle w:val="TOC4"/>
        <w:tabs>
          <w:tab w:val="right" w:leader="dot" w:pos="7086"/>
        </w:tabs>
        <w:rPr>
          <w:b w:val="0"/>
          <w:sz w:val="24"/>
          <w:szCs w:val="24"/>
          <w:lang w:val="en-US"/>
        </w:rPr>
      </w:pPr>
      <w:r>
        <w:t>Division 4 — Charge on interest in home</w:t>
      </w:r>
    </w:p>
    <w:p>
      <w:pPr>
        <w:pStyle w:val="TOC8"/>
        <w:rPr>
          <w:sz w:val="24"/>
          <w:szCs w:val="24"/>
          <w:lang w:val="en-US"/>
        </w:rPr>
      </w:pPr>
      <w:r>
        <w:t>55.</w:t>
      </w:r>
      <w:r>
        <w:tab/>
        <w:t>Lodgement of memorial and creation of charge</w:t>
      </w:r>
      <w:r>
        <w:tab/>
      </w:r>
      <w:r>
        <w:fldChar w:fldCharType="begin"/>
      </w:r>
      <w:r>
        <w:instrText xml:space="preserve"> PAGEREF _Toc334698927 \h </w:instrText>
      </w:r>
      <w:r>
        <w:fldChar w:fldCharType="separate"/>
      </w:r>
      <w:r>
        <w:t>58</w:t>
      </w:r>
      <w:r>
        <w:fldChar w:fldCharType="end"/>
      </w:r>
    </w:p>
    <w:p>
      <w:pPr>
        <w:pStyle w:val="TOC8"/>
        <w:rPr>
          <w:sz w:val="24"/>
          <w:szCs w:val="24"/>
          <w:lang w:val="en-US"/>
        </w:rPr>
      </w:pPr>
      <w:r>
        <w:t>56.</w:t>
      </w:r>
      <w:r>
        <w:tab/>
        <w:t>Priority of charge</w:t>
      </w:r>
      <w:r>
        <w:tab/>
      </w:r>
      <w:r>
        <w:fldChar w:fldCharType="begin"/>
      </w:r>
      <w:r>
        <w:instrText xml:space="preserve"> PAGEREF _Toc334698928 \h </w:instrText>
      </w:r>
      <w:r>
        <w:fldChar w:fldCharType="separate"/>
      </w:r>
      <w:r>
        <w:t>59</w:t>
      </w:r>
      <w:r>
        <w:fldChar w:fldCharType="end"/>
      </w:r>
    </w:p>
    <w:p>
      <w:pPr>
        <w:pStyle w:val="TOC8"/>
        <w:rPr>
          <w:sz w:val="24"/>
          <w:szCs w:val="24"/>
          <w:lang w:val="en-US"/>
        </w:rPr>
      </w:pPr>
      <w:r>
        <w:t>57.</w:t>
      </w:r>
      <w:r>
        <w:tab/>
        <w:t>Release of relevant interest from charge</w:t>
      </w:r>
      <w:r>
        <w:tab/>
      </w:r>
      <w:r>
        <w:fldChar w:fldCharType="begin"/>
      </w:r>
      <w:r>
        <w:instrText xml:space="preserve"> PAGEREF _Toc334698929 \h </w:instrText>
      </w:r>
      <w:r>
        <w:fldChar w:fldCharType="separate"/>
      </w:r>
      <w:r>
        <w:t>60</w:t>
      </w:r>
      <w:r>
        <w:fldChar w:fldCharType="end"/>
      </w:r>
    </w:p>
    <w:p>
      <w:pPr>
        <w:pStyle w:val="TOC8"/>
        <w:rPr>
          <w:sz w:val="24"/>
          <w:szCs w:val="24"/>
          <w:lang w:val="en-US"/>
        </w:rPr>
      </w:pPr>
      <w:r>
        <w:t>58.</w:t>
      </w:r>
      <w:r>
        <w:tab/>
        <w:t>Order for sale of relevant interest</w:t>
      </w:r>
      <w:r>
        <w:tab/>
      </w:r>
      <w:r>
        <w:fldChar w:fldCharType="begin"/>
      </w:r>
      <w:r>
        <w:instrText xml:space="preserve"> PAGEREF _Toc334698930 \h </w:instrText>
      </w:r>
      <w:r>
        <w:fldChar w:fldCharType="separate"/>
      </w:r>
      <w:r>
        <w:t>60</w:t>
      </w:r>
      <w:r>
        <w:fldChar w:fldCharType="end"/>
      </w:r>
    </w:p>
    <w:p>
      <w:pPr>
        <w:pStyle w:val="TOC8"/>
        <w:rPr>
          <w:sz w:val="24"/>
          <w:szCs w:val="24"/>
          <w:lang w:val="en-US"/>
        </w:rPr>
      </w:pPr>
      <w:r>
        <w:t>59.</w:t>
      </w:r>
      <w:r>
        <w:tab/>
        <w:t>Charge not to limit other means of enforcing payment</w:t>
      </w:r>
      <w:r>
        <w:tab/>
      </w:r>
      <w:r>
        <w:fldChar w:fldCharType="begin"/>
      </w:r>
      <w:r>
        <w:instrText xml:space="preserve"> PAGEREF _Toc334698931 \h </w:instrText>
      </w:r>
      <w:r>
        <w:fldChar w:fldCharType="separate"/>
      </w:r>
      <w:r>
        <w:t>62</w:t>
      </w:r>
      <w:r>
        <w:fldChar w:fldCharType="end"/>
      </w:r>
    </w:p>
    <w:p>
      <w:pPr>
        <w:pStyle w:val="TOC8"/>
        <w:rPr>
          <w:sz w:val="24"/>
          <w:szCs w:val="24"/>
          <w:lang w:val="en-US"/>
        </w:rPr>
      </w:pPr>
      <w:r>
        <w:t>60.</w:t>
      </w:r>
      <w:r>
        <w:tab/>
        <w:t>Commissioner may require fees to be reimbursed</w:t>
      </w:r>
      <w:r>
        <w:tab/>
      </w:r>
      <w:r>
        <w:fldChar w:fldCharType="begin"/>
      </w:r>
      <w:r>
        <w:instrText xml:space="preserve"> PAGEREF _Toc334698932 \h </w:instrText>
      </w:r>
      <w:r>
        <w:fldChar w:fldCharType="separate"/>
      </w:r>
      <w:r>
        <w:t>62</w:t>
      </w:r>
      <w:r>
        <w:fldChar w:fldCharType="end"/>
      </w:r>
    </w:p>
    <w:p>
      <w:pPr>
        <w:pStyle w:val="TOC4"/>
        <w:tabs>
          <w:tab w:val="right" w:leader="dot" w:pos="7086"/>
        </w:tabs>
        <w:rPr>
          <w:b w:val="0"/>
          <w:sz w:val="24"/>
          <w:szCs w:val="24"/>
          <w:lang w:val="en-US"/>
        </w:rPr>
      </w:pPr>
      <w:r>
        <w:t>Division 5 — Service of documents</w:t>
      </w:r>
    </w:p>
    <w:p>
      <w:pPr>
        <w:pStyle w:val="TOC8"/>
        <w:rPr>
          <w:sz w:val="24"/>
          <w:szCs w:val="24"/>
          <w:lang w:val="en-US"/>
        </w:rPr>
      </w:pPr>
      <w:r>
        <w:t>61.</w:t>
      </w:r>
      <w:r>
        <w:tab/>
        <w:t>Service on joint applicants or agent or representative</w:t>
      </w:r>
      <w:r>
        <w:tab/>
      </w:r>
      <w:r>
        <w:fldChar w:fldCharType="begin"/>
      </w:r>
      <w:r>
        <w:instrText xml:space="preserve"> PAGEREF _Toc334698934 \h </w:instrText>
      </w:r>
      <w:r>
        <w:fldChar w:fldCharType="separate"/>
      </w:r>
      <w:r>
        <w:t>62</w:t>
      </w:r>
      <w:r>
        <w:fldChar w:fldCharType="end"/>
      </w:r>
    </w:p>
    <w:p>
      <w:pPr>
        <w:pStyle w:val="TOC8"/>
        <w:rPr>
          <w:sz w:val="24"/>
          <w:szCs w:val="24"/>
          <w:lang w:val="en-US"/>
        </w:rPr>
      </w:pPr>
      <w:r>
        <w:t>62.</w:t>
      </w:r>
      <w:r>
        <w:tab/>
        <w:t>Method of service by Commissioner</w:t>
      </w:r>
      <w:r>
        <w:tab/>
      </w:r>
      <w:r>
        <w:fldChar w:fldCharType="begin"/>
      </w:r>
      <w:r>
        <w:instrText xml:space="preserve"> PAGEREF _Toc334698935 \h </w:instrText>
      </w:r>
      <w:r>
        <w:fldChar w:fldCharType="separate"/>
      </w:r>
      <w:r>
        <w:t>63</w:t>
      </w:r>
      <w:r>
        <w:fldChar w:fldCharType="end"/>
      </w:r>
    </w:p>
    <w:p>
      <w:pPr>
        <w:pStyle w:val="TOC8"/>
        <w:rPr>
          <w:sz w:val="24"/>
          <w:szCs w:val="24"/>
          <w:lang w:val="en-US"/>
        </w:rPr>
      </w:pPr>
      <w:r>
        <w:t>63.</w:t>
      </w:r>
      <w:r>
        <w:tab/>
        <w:t>Service of court process</w:t>
      </w:r>
      <w:r>
        <w:tab/>
      </w:r>
      <w:r>
        <w:fldChar w:fldCharType="begin"/>
      </w:r>
      <w:r>
        <w:instrText xml:space="preserve"> PAGEREF _Toc334698936 \h </w:instrText>
      </w:r>
      <w:r>
        <w:fldChar w:fldCharType="separate"/>
      </w:r>
      <w:r>
        <w:t>64</w:t>
      </w:r>
      <w:r>
        <w:fldChar w:fldCharType="end"/>
      </w:r>
    </w:p>
    <w:p>
      <w:pPr>
        <w:pStyle w:val="TOC8"/>
        <w:rPr>
          <w:sz w:val="24"/>
          <w:szCs w:val="24"/>
          <w:lang w:val="en-US"/>
        </w:rPr>
      </w:pPr>
      <w:r>
        <w:t>64.</w:t>
      </w:r>
      <w:r>
        <w:tab/>
        <w:t>Other enactments not limited</w:t>
      </w:r>
      <w:r>
        <w:tab/>
      </w:r>
      <w:r>
        <w:fldChar w:fldCharType="begin"/>
      </w:r>
      <w:r>
        <w:instrText xml:space="preserve"> PAGEREF _Toc334698937 \h </w:instrText>
      </w:r>
      <w:r>
        <w:fldChar w:fldCharType="separate"/>
      </w:r>
      <w:r>
        <w:t>64</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65.</w:t>
      </w:r>
      <w:r>
        <w:tab/>
        <w:t>Confidentiality</w:t>
      </w:r>
      <w:r>
        <w:tab/>
      </w:r>
      <w:r>
        <w:fldChar w:fldCharType="begin"/>
      </w:r>
      <w:r>
        <w:instrText xml:space="preserve"> PAGEREF _Toc334698939 \h </w:instrText>
      </w:r>
      <w:r>
        <w:fldChar w:fldCharType="separate"/>
      </w:r>
      <w:r>
        <w:t>64</w:t>
      </w:r>
      <w:r>
        <w:fldChar w:fldCharType="end"/>
      </w:r>
    </w:p>
    <w:p>
      <w:pPr>
        <w:pStyle w:val="TOC8"/>
        <w:rPr>
          <w:sz w:val="24"/>
          <w:szCs w:val="24"/>
          <w:lang w:val="en-US"/>
        </w:rPr>
      </w:pPr>
      <w:r>
        <w:t>66.</w:t>
      </w:r>
      <w:r>
        <w:tab/>
        <w:t>Time for commencing prosecutions</w:t>
      </w:r>
      <w:r>
        <w:tab/>
      </w:r>
      <w:r>
        <w:fldChar w:fldCharType="begin"/>
      </w:r>
      <w:r>
        <w:instrText xml:space="preserve"> PAGEREF _Toc334698940 \h </w:instrText>
      </w:r>
      <w:r>
        <w:fldChar w:fldCharType="separate"/>
      </w:r>
      <w:r>
        <w:t>67</w:t>
      </w:r>
      <w:r>
        <w:fldChar w:fldCharType="end"/>
      </w:r>
    </w:p>
    <w:p>
      <w:pPr>
        <w:pStyle w:val="TOC8"/>
        <w:rPr>
          <w:sz w:val="24"/>
          <w:szCs w:val="24"/>
          <w:lang w:val="en-US"/>
        </w:rPr>
      </w:pPr>
      <w:r>
        <w:t>67.</w:t>
      </w:r>
      <w:r>
        <w:tab/>
        <w:t>Protection from liability for wrongdoing</w:t>
      </w:r>
      <w:r>
        <w:tab/>
      </w:r>
      <w:r>
        <w:fldChar w:fldCharType="begin"/>
      </w:r>
      <w:r>
        <w:instrText xml:space="preserve"> PAGEREF _Toc334698941 \h </w:instrText>
      </w:r>
      <w:r>
        <w:fldChar w:fldCharType="separate"/>
      </w:r>
      <w:r>
        <w:t>67</w:t>
      </w:r>
      <w:r>
        <w:fldChar w:fldCharType="end"/>
      </w:r>
    </w:p>
    <w:p>
      <w:pPr>
        <w:pStyle w:val="TOC8"/>
        <w:rPr>
          <w:sz w:val="24"/>
          <w:szCs w:val="24"/>
          <w:lang w:val="en-US"/>
        </w:rPr>
      </w:pPr>
      <w:r>
        <w:t>68.</w:t>
      </w:r>
      <w:r>
        <w:tab/>
        <w:t xml:space="preserve">Appropriation of </w:t>
      </w:r>
      <w:r>
        <w:rPr>
          <w:snapToGrid w:val="0"/>
        </w:rPr>
        <w:t>Consolidated Account</w:t>
      </w:r>
      <w:r>
        <w:tab/>
      </w:r>
      <w:r>
        <w:fldChar w:fldCharType="begin"/>
      </w:r>
      <w:r>
        <w:instrText xml:space="preserve"> PAGEREF _Toc334698942 \h </w:instrText>
      </w:r>
      <w:r>
        <w:fldChar w:fldCharType="separate"/>
      </w:r>
      <w:r>
        <w:t>67</w:t>
      </w:r>
      <w:r>
        <w:fldChar w:fldCharType="end"/>
      </w:r>
    </w:p>
    <w:p>
      <w:pPr>
        <w:pStyle w:val="TOC8"/>
        <w:rPr>
          <w:sz w:val="24"/>
          <w:szCs w:val="24"/>
          <w:lang w:val="en-US"/>
        </w:rPr>
      </w:pPr>
      <w:r>
        <w:t>69.</w:t>
      </w:r>
      <w:r>
        <w:tab/>
        <w:t>Regulations</w:t>
      </w:r>
      <w:r>
        <w:tab/>
      </w:r>
      <w:r>
        <w:fldChar w:fldCharType="begin"/>
      </w:r>
      <w:r>
        <w:instrText xml:space="preserve"> PAGEREF _Toc334698943 \h </w:instrText>
      </w:r>
      <w:r>
        <w:fldChar w:fldCharType="separate"/>
      </w:r>
      <w:r>
        <w:t>67</w:t>
      </w:r>
      <w:r>
        <w:fldChar w:fldCharType="end"/>
      </w:r>
    </w:p>
    <w:p>
      <w:pPr>
        <w:pStyle w:val="TOC8"/>
        <w:rPr>
          <w:sz w:val="24"/>
          <w:szCs w:val="24"/>
          <w:lang w:val="en-US"/>
        </w:rPr>
      </w:pPr>
      <w:r>
        <w:t>70.</w:t>
      </w:r>
      <w:r>
        <w:tab/>
        <w:t>Review of Act</w:t>
      </w:r>
      <w:r>
        <w:tab/>
      </w:r>
      <w:r>
        <w:fldChar w:fldCharType="begin"/>
      </w:r>
      <w:r>
        <w:instrText xml:space="preserve"> PAGEREF _Toc334698944 \h </w:instrText>
      </w:r>
      <w:r>
        <w:fldChar w:fldCharType="separate"/>
      </w:r>
      <w:r>
        <w:t>68</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_Toc334698946 \h </w:instrText>
      </w:r>
      <w:r>
        <w:fldChar w:fldCharType="separate"/>
      </w:r>
      <w:r>
        <w:t>69</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920" w:after="1400"/>
      </w:pPr>
      <w:r>
        <w:t>First Home Owner Grant Act 2000</w:t>
      </w:r>
    </w:p>
    <w:p>
      <w:pPr>
        <w:pStyle w:val="LongTitle"/>
        <w:suppressLineNumbers/>
      </w:pPr>
      <w:r>
        <w:rPr>
          <w:snapToGrid w:val="0"/>
        </w:rPr>
        <w:t>An Act to encourage and assist home ownership by establishing a scheme for the payment of grants to first home owners</w:t>
      </w:r>
      <w:r>
        <w:t>.</w:t>
      </w:r>
    </w:p>
    <w:p>
      <w:pPr>
        <w:pStyle w:val="Heading2"/>
      </w:pPr>
      <w:bookmarkStart w:id="1" w:name="_Toc88880120"/>
      <w:bookmarkStart w:id="2" w:name="_Toc89519569"/>
      <w:bookmarkStart w:id="3" w:name="_Toc90883418"/>
      <w:bookmarkStart w:id="4" w:name="_Toc92523215"/>
      <w:bookmarkStart w:id="5" w:name="_Toc101164304"/>
      <w:bookmarkStart w:id="6" w:name="_Toc101235840"/>
      <w:bookmarkStart w:id="7" w:name="_Toc103655053"/>
      <w:bookmarkStart w:id="8" w:name="_Toc122255563"/>
      <w:bookmarkStart w:id="9" w:name="_Toc122255664"/>
      <w:bookmarkStart w:id="10" w:name="_Toc157854286"/>
      <w:bookmarkStart w:id="11" w:name="_Toc196800951"/>
      <w:bookmarkStart w:id="12" w:name="_Toc202511396"/>
      <w:bookmarkStart w:id="13" w:name="_Toc246329254"/>
      <w:bookmarkStart w:id="14" w:name="_Toc246394322"/>
      <w:bookmarkStart w:id="15" w:name="_Toc246394423"/>
      <w:bookmarkStart w:id="16" w:name="_Toc249330891"/>
      <w:bookmarkStart w:id="17" w:name="_Toc259703332"/>
      <w:bookmarkStart w:id="18" w:name="_Toc260389785"/>
      <w:bookmarkStart w:id="19" w:name="_Toc262207903"/>
      <w:bookmarkStart w:id="20" w:name="_Toc263759997"/>
      <w:bookmarkStart w:id="21" w:name="_Toc263855240"/>
      <w:bookmarkStart w:id="22" w:name="_Toc266091849"/>
      <w:bookmarkStart w:id="23" w:name="_Toc267576894"/>
      <w:bookmarkStart w:id="24" w:name="_Toc268525991"/>
      <w:bookmarkStart w:id="25" w:name="_Toc334698624"/>
      <w:bookmarkStart w:id="26" w:name="_Toc334698732"/>
      <w:bookmarkStart w:id="27" w:name="_Toc33469884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8" w:name="_Toc476650044"/>
      <w:bookmarkStart w:id="29" w:name="_Toc476727820"/>
      <w:bookmarkStart w:id="30" w:name="_Toc477076755"/>
      <w:bookmarkStart w:id="31" w:name="_Toc479399626"/>
      <w:bookmarkStart w:id="32" w:name="_Toc35401810"/>
      <w:bookmarkStart w:id="33" w:name="_Toc103655054"/>
      <w:bookmarkStart w:id="34" w:name="_Toc334698841"/>
      <w:r>
        <w:rPr>
          <w:rStyle w:val="CharSectno"/>
        </w:rPr>
        <w:t>1</w:t>
      </w:r>
      <w:r>
        <w:rPr>
          <w:snapToGrid w:val="0"/>
        </w:rPr>
        <w:t>.</w:t>
      </w:r>
      <w:r>
        <w:rPr>
          <w:snapToGrid w:val="0"/>
        </w:rPr>
        <w:tab/>
        <w:t>Short title</w:t>
      </w:r>
      <w:bookmarkEnd w:id="28"/>
      <w:bookmarkEnd w:id="29"/>
      <w:bookmarkEnd w:id="30"/>
      <w:bookmarkEnd w:id="31"/>
      <w:bookmarkEnd w:id="32"/>
      <w:bookmarkEnd w:id="33"/>
      <w:bookmarkEnd w:id="34"/>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35" w:name="_Toc476650045"/>
      <w:bookmarkStart w:id="36" w:name="_Toc476727821"/>
      <w:bookmarkStart w:id="37" w:name="_Toc477076756"/>
      <w:bookmarkStart w:id="38" w:name="_Toc479399627"/>
      <w:bookmarkStart w:id="39" w:name="_Toc35401811"/>
      <w:bookmarkStart w:id="40" w:name="_Toc103655055"/>
      <w:bookmarkStart w:id="41" w:name="_Toc334698842"/>
      <w:r>
        <w:rPr>
          <w:rStyle w:val="CharSectno"/>
        </w:rPr>
        <w:t>2</w:t>
      </w:r>
      <w:r>
        <w:rPr>
          <w:snapToGrid w:val="0"/>
        </w:rPr>
        <w:t>.</w:t>
      </w:r>
      <w:r>
        <w:rPr>
          <w:snapToGrid w:val="0"/>
        </w:rPr>
        <w:tab/>
        <w:t>Commencement</w:t>
      </w:r>
      <w:bookmarkEnd w:id="35"/>
      <w:bookmarkEnd w:id="36"/>
      <w:bookmarkEnd w:id="37"/>
      <w:bookmarkEnd w:id="38"/>
      <w:bookmarkEnd w:id="39"/>
      <w:bookmarkEnd w:id="40"/>
      <w:bookmarkEnd w:id="41"/>
    </w:p>
    <w:p>
      <w:pPr>
        <w:pStyle w:val="Subsection"/>
      </w:pPr>
      <w:r>
        <w:tab/>
      </w:r>
      <w:r>
        <w:tab/>
        <w:t>This Act comes into operation on 1 July 2000.</w:t>
      </w:r>
    </w:p>
    <w:p>
      <w:pPr>
        <w:pStyle w:val="Heading5"/>
      </w:pPr>
      <w:bookmarkStart w:id="42" w:name="_Toc476650046"/>
      <w:bookmarkStart w:id="43" w:name="_Toc476727822"/>
      <w:bookmarkStart w:id="44" w:name="_Toc477076757"/>
      <w:bookmarkStart w:id="45" w:name="_Toc479399628"/>
      <w:bookmarkStart w:id="46" w:name="_Toc35401812"/>
      <w:bookmarkStart w:id="47" w:name="_Toc103655056"/>
      <w:bookmarkStart w:id="48" w:name="_Toc334698843"/>
      <w:r>
        <w:rPr>
          <w:rStyle w:val="CharSectno"/>
        </w:rPr>
        <w:t>3</w:t>
      </w:r>
      <w:r>
        <w:t>.</w:t>
      </w:r>
      <w:r>
        <w:tab/>
      </w:r>
      <w:bookmarkEnd w:id="42"/>
      <w:bookmarkEnd w:id="43"/>
      <w:bookmarkEnd w:id="44"/>
      <w:bookmarkEnd w:id="45"/>
      <w:bookmarkEnd w:id="46"/>
      <w:bookmarkEnd w:id="47"/>
      <w:r>
        <w:t>Terms used</w:t>
      </w:r>
      <w:bookmarkEnd w:id="48"/>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w:t>
      </w:r>
      <w:bookmarkStart w:id="49" w:name="_Hlt477341150"/>
      <w:r>
        <w:t>36</w:t>
      </w:r>
      <w:bookmarkEnd w:id="49"/>
      <w:r>
        <w:t>;</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rStyle w:val="CharDefText"/>
        </w:rPr>
        <w:tab/>
        <w:t>corresponding Commissioner</w:t>
      </w:r>
      <w:r>
        <w:t>, in relation to a corresponding law, means the person responsible for administering the corresponding law;</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w:t>
      </w:r>
      <w:bookmarkStart w:id="50" w:name="_Hlt478286875"/>
      <w:r>
        <w:t>2</w:t>
      </w:r>
      <w:bookmarkEnd w:id="50"/>
      <w:r>
        <w:t xml:space="preserve"> Division </w:t>
      </w:r>
      <w:bookmarkStart w:id="51" w:name="_Hlt478286927"/>
      <w:r>
        <w:t>2</w:t>
      </w:r>
      <w:bookmarkEnd w:id="51"/>
      <w:r>
        <w:t xml:space="preserve"> for determining whether an applicant for a first home owner grant is eligible for the grant;</w:t>
      </w:r>
    </w:p>
    <w:p>
      <w:pPr>
        <w:pStyle w:val="Defstart"/>
      </w:pPr>
      <w:r>
        <w:tab/>
      </w:r>
      <w:r>
        <w:rPr>
          <w:rStyle w:val="CharDefText"/>
        </w:rPr>
        <w:t>eligible transaction</w:t>
      </w:r>
      <w:r>
        <w:t xml:space="preserve"> has the meaning given by section 14(1);</w:t>
      </w:r>
    </w:p>
    <w:p>
      <w:pPr>
        <w:pStyle w:val="Defstart"/>
      </w:pPr>
      <w:r>
        <w:tab/>
      </w:r>
      <w:r>
        <w:rPr>
          <w:rStyle w:val="CharDefText"/>
        </w:rPr>
        <w:t>first home owner grant</w:t>
      </w:r>
      <w:r>
        <w:t xml:space="preserve"> means a grant authorised under section </w:t>
      </w:r>
      <w:bookmarkStart w:id="52" w:name="_Hlt477344219"/>
      <w:r>
        <w:t>18</w:t>
      </w:r>
      <w:bookmarkEnd w:id="52"/>
      <w:r>
        <w:t>;</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w:t>
      </w:r>
    </w:p>
    <w:p>
      <w:pPr>
        <w:pStyle w:val="Defpara"/>
      </w:pPr>
      <w:r>
        <w:tab/>
        <w:t>(b)</w:t>
      </w:r>
      <w:r>
        <w:tab/>
        <w:t>whether an objection to a decision made under this Act or a corresponding law should be upheld;</w:t>
      </w:r>
    </w:p>
    <w:p>
      <w:pPr>
        <w:pStyle w:val="Defpara"/>
      </w:pPr>
      <w:r>
        <w:tab/>
        <w:t>(c)</w:t>
      </w:r>
      <w:r>
        <w:tab/>
        <w:t>whether an applicant to whom, or for whose benefit, a first home owner grant has been paid under this Act or a corresponding law was eligible for the grant;</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w:t>
      </w:r>
      <w:smartTag w:uri="urn:schemas-microsoft-com:office:smarttags" w:element="place">
        <w:smartTag w:uri="urn:schemas-microsoft-com:office:smarttags" w:element="country-region">
          <w:r>
            <w:t>Australia</w:t>
          </w:r>
        </w:smartTag>
      </w:smartTag>
      <w:r>
        <w:t xml:space="preserve">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 No. 27 of 2009 s. 8 and 15; No. 17 of 2010 s. 18.]</w:t>
      </w:r>
    </w:p>
    <w:p>
      <w:pPr>
        <w:pStyle w:val="Heading5"/>
      </w:pPr>
      <w:bookmarkStart w:id="53" w:name="_Toc476650047"/>
      <w:bookmarkStart w:id="54" w:name="_Toc476727823"/>
      <w:bookmarkStart w:id="55" w:name="_Toc477076758"/>
      <w:bookmarkStart w:id="56" w:name="_Toc479399629"/>
      <w:bookmarkStart w:id="57" w:name="_Toc35401813"/>
      <w:bookmarkStart w:id="58" w:name="_Toc103655057"/>
      <w:bookmarkStart w:id="59" w:name="_Toc334698844"/>
      <w:r>
        <w:rPr>
          <w:rStyle w:val="CharSectno"/>
        </w:rPr>
        <w:t>4</w:t>
      </w:r>
      <w:r>
        <w:t>.</w:t>
      </w:r>
      <w:r>
        <w:tab/>
      </w:r>
      <w:bookmarkEnd w:id="53"/>
      <w:bookmarkEnd w:id="54"/>
      <w:bookmarkEnd w:id="55"/>
      <w:bookmarkEnd w:id="56"/>
      <w:bookmarkEnd w:id="57"/>
      <w:bookmarkEnd w:id="58"/>
      <w:r>
        <w:t>Term used: home</w:t>
      </w:r>
      <w:bookmarkEnd w:id="59"/>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60" w:name="_Toc476650048"/>
      <w:bookmarkStart w:id="61" w:name="_Toc476727824"/>
      <w:bookmarkStart w:id="62" w:name="_Toc477076759"/>
      <w:bookmarkStart w:id="63" w:name="_Toc479399630"/>
      <w:bookmarkStart w:id="64" w:name="_Toc35401814"/>
      <w:bookmarkStart w:id="65" w:name="_Toc103655058"/>
      <w:bookmarkStart w:id="66" w:name="_Toc334698845"/>
      <w:r>
        <w:rPr>
          <w:rStyle w:val="CharSectno"/>
        </w:rPr>
        <w:t>5</w:t>
      </w:r>
      <w:r>
        <w:t>.</w:t>
      </w:r>
      <w:r>
        <w:tab/>
        <w:t>Terms used: owner, home owner</w:t>
      </w:r>
      <w:bookmarkEnd w:id="60"/>
      <w:bookmarkEnd w:id="61"/>
      <w:bookmarkEnd w:id="62"/>
      <w:bookmarkEnd w:id="63"/>
      <w:bookmarkEnd w:id="64"/>
      <w:bookmarkEnd w:id="65"/>
      <w:bookmarkEnd w:id="66"/>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67" w:name="_Toc476650049"/>
      <w:bookmarkStart w:id="68" w:name="_Toc476727825"/>
      <w:bookmarkStart w:id="69" w:name="_Toc477076760"/>
      <w:bookmarkStart w:id="70" w:name="_Toc479399631"/>
      <w:bookmarkStart w:id="71" w:name="_Toc35401815"/>
      <w:bookmarkStart w:id="72" w:name="_Toc103655059"/>
      <w:bookmarkStart w:id="73" w:name="_Toc334698846"/>
      <w:r>
        <w:rPr>
          <w:rStyle w:val="CharSectno"/>
        </w:rPr>
        <w:t>6</w:t>
      </w:r>
      <w:r>
        <w:t>.</w:t>
      </w:r>
      <w:r>
        <w:tab/>
        <w:t>Term used: relevant interest</w:t>
      </w:r>
      <w:bookmarkEnd w:id="67"/>
      <w:bookmarkEnd w:id="68"/>
      <w:bookmarkEnd w:id="69"/>
      <w:bookmarkEnd w:id="70"/>
      <w:bookmarkEnd w:id="71"/>
      <w:bookmarkEnd w:id="72"/>
      <w:bookmarkEnd w:id="73"/>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p>
    <w:p>
      <w:pPr>
        <w:pStyle w:val="Indenta"/>
        <w:rPr>
          <w:snapToGrid w:val="0"/>
        </w:rPr>
      </w:pPr>
      <w:r>
        <w:rPr>
          <w:snapToGrid w:val="0"/>
        </w:rPr>
        <w:tab/>
        <w:t>(b)</w:t>
      </w:r>
      <w:r>
        <w:rPr>
          <w:snapToGrid w:val="0"/>
        </w:rPr>
        <w:tab/>
        <w:t>a life estate, approved by the Commissioner, in the land;</w:t>
      </w:r>
    </w:p>
    <w:p>
      <w:pPr>
        <w:pStyle w:val="Indenta"/>
        <w:rPr>
          <w:snapToGrid w:val="0"/>
        </w:rPr>
      </w:pPr>
      <w:r>
        <w:rPr>
          <w:snapToGrid w:val="0"/>
        </w:rPr>
        <w:tab/>
        <w:t>(c)</w:t>
      </w:r>
      <w:r>
        <w:rPr>
          <w:snapToGrid w:val="0"/>
        </w:rPr>
        <w:tab/>
        <w:t>a lease in perpetuity of the land granted by the Commonwealth or the State;</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Indenta"/>
        <w:rPr>
          <w:snapToGrid w:val="0"/>
        </w:rPr>
      </w:pPr>
      <w:r>
        <w:tab/>
        <w:t>(a)</w:t>
      </w:r>
      <w:r>
        <w:tab/>
        <w:t>a</w:t>
      </w:r>
      <w:r>
        <w:rPr>
          <w:snapToGrid w:val="0"/>
        </w:rPr>
        <w:t>n interest is not a relevant interest at a particular time unless the holder of the interest has, or will have within 12 months after that time (or a longer time approved by the Commissioner), a right to immediate occupation of the land;</w:t>
      </w:r>
    </w:p>
    <w:p>
      <w:pPr>
        <w:pStyle w:val="Indenta"/>
        <w:rPr>
          <w:snapToGrid w:val="0"/>
        </w:rPr>
      </w:pPr>
      <w:r>
        <w:rPr>
          <w:snapToGrid w:val="0"/>
        </w:rPr>
        <w:tab/>
        <w:t>(b)</w:t>
      </w:r>
      <w:r>
        <w:rPr>
          <w:snapToGrid w:val="0"/>
        </w:rPr>
        <w:tab/>
        <w:t>an interest held by a person is not a relevant interest if the person holds it subject to a trust; and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4.]</w:t>
      </w:r>
    </w:p>
    <w:p>
      <w:pPr>
        <w:pStyle w:val="Heading5"/>
      </w:pPr>
      <w:bookmarkStart w:id="74" w:name="_Toc476650050"/>
      <w:bookmarkStart w:id="75" w:name="_Toc476727826"/>
      <w:bookmarkStart w:id="76" w:name="_Toc477076761"/>
      <w:bookmarkStart w:id="77" w:name="_Toc479399632"/>
      <w:bookmarkStart w:id="78" w:name="_Toc35401816"/>
      <w:bookmarkStart w:id="79" w:name="_Toc103655060"/>
      <w:bookmarkStart w:id="80" w:name="_Toc334698847"/>
      <w:r>
        <w:rPr>
          <w:rStyle w:val="CharSectno"/>
        </w:rPr>
        <w:t>7</w:t>
      </w:r>
      <w:r>
        <w:t>.</w:t>
      </w:r>
      <w:r>
        <w:tab/>
        <w:t>Term used: spouse</w:t>
      </w:r>
      <w:bookmarkEnd w:id="74"/>
      <w:bookmarkEnd w:id="75"/>
      <w:bookmarkEnd w:id="76"/>
      <w:bookmarkEnd w:id="77"/>
      <w:bookmarkEnd w:id="78"/>
      <w:bookmarkEnd w:id="79"/>
      <w:bookmarkEnd w:id="80"/>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bookmarkStart w:id="81" w:name="_Toc35401817"/>
      <w:r>
        <w:tab/>
        <w:t>[Section 7 amended by No. 61 of 2000 s. 4; No. 28 of 2003 s. 62; No. 27 of 2009 s. 15.]</w:t>
      </w:r>
    </w:p>
    <w:p>
      <w:pPr>
        <w:pStyle w:val="Heading5"/>
      </w:pPr>
      <w:bookmarkStart w:id="82" w:name="_Toc103655061"/>
      <w:bookmarkStart w:id="83" w:name="_Toc334698848"/>
      <w:r>
        <w:rPr>
          <w:rStyle w:val="CharSectno"/>
        </w:rPr>
        <w:t>7A</w:t>
      </w:r>
      <w:r>
        <w:t>.</w:t>
      </w:r>
      <w:r>
        <w:tab/>
        <w:t>Term used: Australian citizen</w:t>
      </w:r>
      <w:bookmarkEnd w:id="81"/>
      <w:bookmarkEnd w:id="82"/>
      <w:bookmarkEnd w:id="83"/>
    </w:p>
    <w:p>
      <w:pPr>
        <w:pStyle w:val="Subsection"/>
      </w:pPr>
      <w:r>
        <w:tab/>
      </w:r>
      <w:r>
        <w:tab/>
        <w:t xml:space="preserve">A person is an </w:t>
      </w:r>
      <w:r>
        <w:rPr>
          <w:rStyle w:val="CharDefText"/>
        </w:rPr>
        <w:t>Australian citizen</w:t>
      </w:r>
      <w:r>
        <w:t xml:space="preserve"> for the purposes of an application for a first home owner grant if, on the commencement date of the transaction to which the application relates, the person is an Australian citizen under the </w:t>
      </w:r>
      <w:r>
        <w:rPr>
          <w:i/>
        </w:rPr>
        <w:t>Australian Citizenship Act 1948</w:t>
      </w:r>
      <w:r>
        <w:t xml:space="preserve"> of the Commonwealth.</w:t>
      </w:r>
    </w:p>
    <w:p>
      <w:pPr>
        <w:pStyle w:val="Footnotesection"/>
      </w:pPr>
      <w:r>
        <w:tab/>
        <w:t>[Section 7A inserted by No. 61 of 2000 s. 7(2); amended by No. 27 of 2009 s. 15.]</w:t>
      </w:r>
    </w:p>
    <w:p>
      <w:pPr>
        <w:pStyle w:val="Heading5"/>
      </w:pPr>
      <w:bookmarkStart w:id="84" w:name="_Toc35401818"/>
      <w:bookmarkStart w:id="85" w:name="_Toc103655062"/>
      <w:bookmarkStart w:id="86" w:name="_Toc334698849"/>
      <w:r>
        <w:rPr>
          <w:rStyle w:val="CharSectno"/>
        </w:rPr>
        <w:t>7B</w:t>
      </w:r>
      <w:r>
        <w:t>.</w:t>
      </w:r>
      <w:r>
        <w:tab/>
        <w:t>Term used: permanent resident</w:t>
      </w:r>
      <w:bookmarkEnd w:id="84"/>
      <w:bookmarkEnd w:id="85"/>
      <w:bookmarkEnd w:id="86"/>
    </w:p>
    <w:p>
      <w:pPr>
        <w:pStyle w:val="Subsection"/>
      </w:pPr>
      <w:r>
        <w:tab/>
      </w:r>
      <w:r>
        <w:tab/>
        <w:t xml:space="preserve">A person is a </w:t>
      </w:r>
      <w:r>
        <w:rPr>
          <w:rStyle w:val="CharDefText"/>
        </w:rPr>
        <w:t>permanent resident</w:t>
      </w:r>
      <w:r>
        <w:t xml:space="preserve"> for the purposes of an application for a first home owner grant if, on the commencement date of the transaction to which the application relates —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w:t>
      </w:r>
      <w:smartTag w:uri="urn:schemas-microsoft-com:office:smarttags" w:element="place">
        <w:smartTag w:uri="urn:schemas-microsoft-com:office:smarttags" w:element="country-region">
          <w:r>
            <w:t>New Zealand</w:t>
          </w:r>
        </w:smartTag>
      </w:smartTag>
      <w:r>
        <w:t xml:space="preserve">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 xml:space="preserve">the person has satisfied the Commissioner that he or she intends to reside permanently in </w:t>
      </w:r>
      <w:smartTag w:uri="urn:schemas-microsoft-com:office:smarttags" w:element="place">
        <w:smartTag w:uri="urn:schemas-microsoft-com:office:smarttags" w:element="country-region">
          <w:r>
            <w:t>Australia</w:t>
          </w:r>
        </w:smartTag>
      </w:smartTag>
      <w:r>
        <w:t>.</w:t>
      </w:r>
    </w:p>
    <w:p>
      <w:pPr>
        <w:pStyle w:val="Footnotesection"/>
      </w:pPr>
      <w:r>
        <w:tab/>
        <w:t>[Section 7B inserted by No. 61 of 2000 s. 8(2); amended by No. 27 of 2009 s. 15.]</w:t>
      </w:r>
    </w:p>
    <w:p>
      <w:pPr>
        <w:pStyle w:val="Heading2"/>
      </w:pPr>
      <w:bookmarkStart w:id="87" w:name="_Toc88880130"/>
      <w:bookmarkStart w:id="88" w:name="_Toc89519579"/>
      <w:bookmarkStart w:id="89" w:name="_Toc90883428"/>
      <w:bookmarkStart w:id="90" w:name="_Toc92523225"/>
      <w:bookmarkStart w:id="91" w:name="_Toc101164314"/>
      <w:bookmarkStart w:id="92" w:name="_Toc101235850"/>
      <w:bookmarkStart w:id="93" w:name="_Toc103655063"/>
      <w:bookmarkStart w:id="94" w:name="_Toc122255573"/>
      <w:bookmarkStart w:id="95" w:name="_Toc122255674"/>
      <w:bookmarkStart w:id="96" w:name="_Toc157854296"/>
      <w:bookmarkStart w:id="97" w:name="_Toc196800961"/>
      <w:bookmarkStart w:id="98" w:name="_Toc202511406"/>
      <w:bookmarkStart w:id="99" w:name="_Toc246329264"/>
      <w:bookmarkStart w:id="100" w:name="_Toc246394332"/>
      <w:bookmarkStart w:id="101" w:name="_Toc246394433"/>
      <w:bookmarkStart w:id="102" w:name="_Toc249330901"/>
      <w:bookmarkStart w:id="103" w:name="_Toc259703342"/>
      <w:bookmarkStart w:id="104" w:name="_Toc260389795"/>
      <w:bookmarkStart w:id="105" w:name="_Toc262207913"/>
      <w:bookmarkStart w:id="106" w:name="_Toc263760007"/>
      <w:bookmarkStart w:id="107" w:name="_Toc263855250"/>
      <w:bookmarkStart w:id="108" w:name="_Toc266091859"/>
      <w:bookmarkStart w:id="109" w:name="_Toc267576904"/>
      <w:bookmarkStart w:id="110" w:name="_Toc268526001"/>
      <w:bookmarkStart w:id="111" w:name="_Toc334698634"/>
      <w:bookmarkStart w:id="112" w:name="_Toc334698742"/>
      <w:bookmarkStart w:id="113" w:name="_Toc334698850"/>
      <w:r>
        <w:rPr>
          <w:rStyle w:val="CharPartNo"/>
        </w:rPr>
        <w:t>Part 2</w:t>
      </w:r>
      <w:r>
        <w:t xml:space="preserve"> — </w:t>
      </w:r>
      <w:r>
        <w:rPr>
          <w:rStyle w:val="CharPartText"/>
        </w:rPr>
        <w:t>First home owner grant</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3"/>
        <w:spacing w:before="200"/>
      </w:pPr>
      <w:bookmarkStart w:id="114" w:name="_Toc88880131"/>
      <w:bookmarkStart w:id="115" w:name="_Toc89519580"/>
      <w:bookmarkStart w:id="116" w:name="_Toc90883429"/>
      <w:bookmarkStart w:id="117" w:name="_Toc92523226"/>
      <w:bookmarkStart w:id="118" w:name="_Toc101164315"/>
      <w:bookmarkStart w:id="119" w:name="_Toc101235851"/>
      <w:bookmarkStart w:id="120" w:name="_Toc103655064"/>
      <w:bookmarkStart w:id="121" w:name="_Toc122255574"/>
      <w:bookmarkStart w:id="122" w:name="_Toc122255675"/>
      <w:bookmarkStart w:id="123" w:name="_Toc157854297"/>
      <w:bookmarkStart w:id="124" w:name="_Toc196800962"/>
      <w:bookmarkStart w:id="125" w:name="_Toc202511407"/>
      <w:bookmarkStart w:id="126" w:name="_Toc246329265"/>
      <w:bookmarkStart w:id="127" w:name="_Toc246394333"/>
      <w:bookmarkStart w:id="128" w:name="_Toc246394434"/>
      <w:bookmarkStart w:id="129" w:name="_Toc249330902"/>
      <w:bookmarkStart w:id="130" w:name="_Toc259703343"/>
      <w:bookmarkStart w:id="131" w:name="_Toc260389796"/>
      <w:bookmarkStart w:id="132" w:name="_Toc262207914"/>
      <w:bookmarkStart w:id="133" w:name="_Toc263760008"/>
      <w:bookmarkStart w:id="134" w:name="_Toc263855251"/>
      <w:bookmarkStart w:id="135" w:name="_Toc266091860"/>
      <w:bookmarkStart w:id="136" w:name="_Toc267576905"/>
      <w:bookmarkStart w:id="137" w:name="_Toc268526002"/>
      <w:bookmarkStart w:id="138" w:name="_Toc334698635"/>
      <w:bookmarkStart w:id="139" w:name="_Toc334698743"/>
      <w:bookmarkStart w:id="140" w:name="_Toc334698851"/>
      <w:r>
        <w:rPr>
          <w:rStyle w:val="CharDivNo"/>
        </w:rPr>
        <w:t>Division 1</w:t>
      </w:r>
      <w:r>
        <w:t xml:space="preserve"> — </w:t>
      </w:r>
      <w:r>
        <w:rPr>
          <w:rStyle w:val="CharDivText"/>
        </w:rPr>
        <w:t>Entitlement to grant</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spacing w:before="180"/>
      </w:pPr>
      <w:bookmarkStart w:id="141" w:name="_Toc479399633"/>
      <w:bookmarkStart w:id="142" w:name="_Toc35401819"/>
      <w:bookmarkStart w:id="143" w:name="_Toc103655065"/>
      <w:bookmarkStart w:id="144" w:name="_Toc334698852"/>
      <w:r>
        <w:rPr>
          <w:rStyle w:val="CharSectno"/>
        </w:rPr>
        <w:t>8</w:t>
      </w:r>
      <w:r>
        <w:t>.</w:t>
      </w:r>
      <w:r>
        <w:tab/>
        <w:t>Entitlement to grant</w:t>
      </w:r>
      <w:bookmarkEnd w:id="141"/>
      <w:bookmarkEnd w:id="142"/>
      <w:bookmarkEnd w:id="143"/>
      <w:bookmarkEnd w:id="144"/>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by No. 52 of 2004 s. 5.]</w:t>
      </w:r>
    </w:p>
    <w:p>
      <w:pPr>
        <w:pStyle w:val="Heading3"/>
      </w:pPr>
      <w:bookmarkStart w:id="145" w:name="_Toc88880133"/>
      <w:bookmarkStart w:id="146" w:name="_Toc89519582"/>
      <w:bookmarkStart w:id="147" w:name="_Toc90883431"/>
      <w:bookmarkStart w:id="148" w:name="_Toc92523228"/>
      <w:bookmarkStart w:id="149" w:name="_Toc101164317"/>
      <w:bookmarkStart w:id="150" w:name="_Toc101235853"/>
      <w:bookmarkStart w:id="151" w:name="_Toc103655066"/>
      <w:bookmarkStart w:id="152" w:name="_Toc122255576"/>
      <w:bookmarkStart w:id="153" w:name="_Toc122255677"/>
      <w:bookmarkStart w:id="154" w:name="_Toc157854299"/>
      <w:bookmarkStart w:id="155" w:name="_Toc196800964"/>
      <w:bookmarkStart w:id="156" w:name="_Toc202511409"/>
      <w:bookmarkStart w:id="157" w:name="_Toc246329267"/>
      <w:bookmarkStart w:id="158" w:name="_Toc246394335"/>
      <w:bookmarkStart w:id="159" w:name="_Toc246394436"/>
      <w:bookmarkStart w:id="160" w:name="_Toc249330904"/>
      <w:bookmarkStart w:id="161" w:name="_Toc259703345"/>
      <w:bookmarkStart w:id="162" w:name="_Toc260389798"/>
      <w:bookmarkStart w:id="163" w:name="_Toc262207916"/>
      <w:bookmarkStart w:id="164" w:name="_Toc263760010"/>
      <w:bookmarkStart w:id="165" w:name="_Toc263855253"/>
      <w:bookmarkStart w:id="166" w:name="_Toc266091862"/>
      <w:bookmarkStart w:id="167" w:name="_Toc267576907"/>
      <w:bookmarkStart w:id="168" w:name="_Toc268526004"/>
      <w:bookmarkStart w:id="169" w:name="_Toc334698637"/>
      <w:bookmarkStart w:id="170" w:name="_Toc334698745"/>
      <w:bookmarkStart w:id="171" w:name="_Toc334698853"/>
      <w:r>
        <w:rPr>
          <w:rStyle w:val="CharDivNo"/>
        </w:rPr>
        <w:t>Division 2</w:t>
      </w:r>
      <w:r>
        <w:rPr>
          <w:snapToGrid w:val="0"/>
        </w:rPr>
        <w:t xml:space="preserve"> — </w:t>
      </w:r>
      <w:r>
        <w:rPr>
          <w:rStyle w:val="CharDivText"/>
        </w:rPr>
        <w:t>Eligibility criteria (applicants)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spacing w:before="180"/>
      </w:pPr>
      <w:bookmarkStart w:id="172" w:name="_Toc476650052"/>
      <w:bookmarkStart w:id="173" w:name="_Toc476727828"/>
      <w:bookmarkStart w:id="174" w:name="_Toc477076763"/>
      <w:bookmarkStart w:id="175" w:name="_Toc479399634"/>
      <w:bookmarkStart w:id="176" w:name="_Toc35401820"/>
      <w:bookmarkStart w:id="177" w:name="_Toc103655067"/>
      <w:bookmarkStart w:id="178" w:name="_Toc334698854"/>
      <w:r>
        <w:rPr>
          <w:rStyle w:val="CharSectno"/>
        </w:rPr>
        <w:t>9</w:t>
      </w:r>
      <w:r>
        <w:rPr>
          <w:snapToGrid w:val="0"/>
        </w:rPr>
        <w:t>.</w:t>
      </w:r>
      <w:r>
        <w:rPr>
          <w:snapToGrid w:val="0"/>
        </w:rPr>
        <w:tab/>
        <w:t>Criterion 1 — applicant to be a natural person</w:t>
      </w:r>
      <w:bookmarkEnd w:id="172"/>
      <w:bookmarkEnd w:id="173"/>
      <w:bookmarkEnd w:id="174"/>
      <w:bookmarkEnd w:id="175"/>
      <w:bookmarkEnd w:id="176"/>
      <w:bookmarkEnd w:id="177"/>
      <w:bookmarkEnd w:id="178"/>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179" w:name="_Toc103655068"/>
      <w:bookmarkStart w:id="180" w:name="_Toc334698855"/>
      <w:bookmarkStart w:id="181" w:name="_Toc476650053"/>
      <w:bookmarkStart w:id="182" w:name="_Toc476727829"/>
      <w:bookmarkStart w:id="183" w:name="_Toc477076764"/>
      <w:bookmarkStart w:id="184" w:name="_Toc479399635"/>
      <w:bookmarkStart w:id="185" w:name="_Toc35401821"/>
      <w:r>
        <w:rPr>
          <w:rStyle w:val="CharSectno"/>
        </w:rPr>
        <w:t>9A</w:t>
      </w:r>
      <w:r>
        <w:t>.</w:t>
      </w:r>
      <w:r>
        <w:tab/>
        <w:t>Criterion 1A — applicant to be at least 18 years of age</w:t>
      </w:r>
      <w:bookmarkEnd w:id="179"/>
      <w:bookmarkEnd w:id="180"/>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186" w:name="_Toc103655069"/>
      <w:bookmarkStart w:id="187" w:name="_Toc334698856"/>
      <w:r>
        <w:rPr>
          <w:rStyle w:val="CharSectno"/>
        </w:rPr>
        <w:t>10</w:t>
      </w:r>
      <w:r>
        <w:t>.</w:t>
      </w:r>
      <w:r>
        <w:tab/>
        <w:t>Criterion 2 — applicant to be Australian citizen or permanent resident</w:t>
      </w:r>
      <w:bookmarkEnd w:id="181"/>
      <w:bookmarkEnd w:id="182"/>
      <w:bookmarkEnd w:id="183"/>
      <w:bookmarkEnd w:id="184"/>
      <w:bookmarkEnd w:id="185"/>
      <w:bookmarkEnd w:id="186"/>
      <w:bookmarkEnd w:id="187"/>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188" w:name="_Toc103655070"/>
      <w:bookmarkStart w:id="189" w:name="_Toc334698857"/>
      <w:bookmarkStart w:id="190" w:name="_Toc476727831"/>
      <w:bookmarkStart w:id="191" w:name="_Toc477076766"/>
      <w:bookmarkStart w:id="192" w:name="_Toc479399637"/>
      <w:bookmarkStart w:id="193" w:name="_Toc35401823"/>
      <w:r>
        <w:rPr>
          <w:rStyle w:val="CharSectno"/>
        </w:rPr>
        <w:t>11</w:t>
      </w:r>
      <w:r>
        <w:t>.</w:t>
      </w:r>
      <w:r>
        <w:tab/>
        <w:t>Criterion 3 — except in certain circumstances, applicant or applicant’s spouse or de facto partner must not have received another grant</w:t>
      </w:r>
      <w:bookmarkEnd w:id="188"/>
      <w:bookmarkEnd w:id="189"/>
    </w:p>
    <w:p>
      <w:pPr>
        <w:pStyle w:val="Subsection"/>
      </w:pPr>
      <w:r>
        <w:tab/>
        <w:t>(1)</w:t>
      </w:r>
      <w:r>
        <w:tab/>
        <w:t>Subject to subsection (2), an applicant (</w:t>
      </w:r>
      <w:r>
        <w:rPr>
          <w:rStyle w:val="CharDefText"/>
        </w:rPr>
        <w:t>the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rPr>
        <w:t>the 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194" w:name="_Toc103655071"/>
      <w:bookmarkStart w:id="195" w:name="_Toc334698858"/>
      <w:r>
        <w:rPr>
          <w:rStyle w:val="CharSectno"/>
        </w:rPr>
        <w:t>12</w:t>
      </w:r>
      <w:r>
        <w:t>.</w:t>
      </w:r>
      <w:r>
        <w:tab/>
        <w:t>Criterion 4 — applicant or applicant’s spouse or de facto partner must not have had relevant interest in residential property</w:t>
      </w:r>
      <w:bookmarkEnd w:id="190"/>
      <w:bookmarkEnd w:id="191"/>
      <w:bookmarkEnd w:id="192"/>
      <w:bookmarkEnd w:id="193"/>
      <w:bookmarkEnd w:id="194"/>
      <w:bookmarkEnd w:id="195"/>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a relevant interest in residential property in the State;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 No. 27 of 2009 s. 15.]</w:t>
      </w:r>
    </w:p>
    <w:p>
      <w:pPr>
        <w:pStyle w:val="Heading5"/>
      </w:pPr>
      <w:bookmarkStart w:id="196" w:name="_Toc103655072"/>
      <w:bookmarkStart w:id="197" w:name="_Toc334698859"/>
      <w:r>
        <w:rPr>
          <w:rStyle w:val="CharSectno"/>
        </w:rPr>
        <w:t>13</w:t>
      </w:r>
      <w:r>
        <w:t>.</w:t>
      </w:r>
      <w:r>
        <w:tab/>
        <w:t>Criterion 5 — residence requirements</w:t>
      </w:r>
      <w:bookmarkEnd w:id="196"/>
      <w:bookmarkEnd w:id="197"/>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tab/>
        <w:t>(9)</w:t>
      </w:r>
      <w:r>
        <w:tab/>
        <w:t>If the Commissioner exercises a power under subsection (6), the applicant is taken always to have been exempt from the residence requirements.</w:t>
      </w:r>
    </w:p>
    <w:p>
      <w:pPr>
        <w:pStyle w:val="Footnotesection"/>
      </w:pPr>
      <w:r>
        <w:tab/>
        <w:t>[Section 13 inserted by No. 52 of 2004 s. 9; amended by No. 29 of 2012 s. 10.]</w:t>
      </w:r>
    </w:p>
    <w:p>
      <w:pPr>
        <w:pStyle w:val="Heading5"/>
      </w:pPr>
      <w:bookmarkStart w:id="198" w:name="_Toc103655073"/>
      <w:bookmarkStart w:id="199" w:name="_Toc334698860"/>
      <w:r>
        <w:rPr>
          <w:rStyle w:val="CharSectno"/>
        </w:rPr>
        <w:t>13A</w:t>
      </w:r>
      <w:r>
        <w:t>.</w:t>
      </w:r>
      <w:r>
        <w:tab/>
        <w:t>Criterion 6 — applicant must not have been convicted of an offence under this Act</w:t>
      </w:r>
      <w:bookmarkEnd w:id="198"/>
      <w:bookmarkEnd w:id="199"/>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3"/>
        <w:rPr>
          <w:lang w:val="fr-FR"/>
        </w:rPr>
      </w:pPr>
      <w:bookmarkStart w:id="200" w:name="_Toc88880143"/>
      <w:bookmarkStart w:id="201" w:name="_Toc89519590"/>
      <w:bookmarkStart w:id="202" w:name="_Toc90883439"/>
      <w:bookmarkStart w:id="203" w:name="_Toc92523236"/>
      <w:bookmarkStart w:id="204" w:name="_Toc101164325"/>
      <w:bookmarkStart w:id="205" w:name="_Toc101235861"/>
      <w:bookmarkStart w:id="206" w:name="_Toc103655074"/>
      <w:bookmarkStart w:id="207" w:name="_Toc122255584"/>
      <w:bookmarkStart w:id="208" w:name="_Toc122255685"/>
      <w:bookmarkStart w:id="209" w:name="_Toc157854307"/>
      <w:bookmarkStart w:id="210" w:name="_Toc196800972"/>
      <w:bookmarkStart w:id="211" w:name="_Toc202511417"/>
      <w:bookmarkStart w:id="212" w:name="_Toc246329275"/>
      <w:bookmarkStart w:id="213" w:name="_Toc246394343"/>
      <w:bookmarkStart w:id="214" w:name="_Toc246394444"/>
      <w:bookmarkStart w:id="215" w:name="_Toc249330912"/>
      <w:bookmarkStart w:id="216" w:name="_Toc259703353"/>
      <w:bookmarkStart w:id="217" w:name="_Toc260389806"/>
      <w:bookmarkStart w:id="218" w:name="_Toc262207924"/>
      <w:bookmarkStart w:id="219" w:name="_Toc263760018"/>
      <w:bookmarkStart w:id="220" w:name="_Toc263855261"/>
      <w:bookmarkStart w:id="221" w:name="_Toc266091870"/>
      <w:bookmarkStart w:id="222" w:name="_Toc267576915"/>
      <w:bookmarkStart w:id="223" w:name="_Toc268526012"/>
      <w:bookmarkStart w:id="224" w:name="_Toc334698645"/>
      <w:bookmarkStart w:id="225" w:name="_Toc334698753"/>
      <w:bookmarkStart w:id="226" w:name="_Toc334698861"/>
      <w:r>
        <w:rPr>
          <w:rStyle w:val="CharDivNo"/>
          <w:lang w:val="fr-FR"/>
        </w:rPr>
        <w:t>Division 3</w:t>
      </w:r>
      <w:r>
        <w:rPr>
          <w:lang w:val="fr-FR"/>
        </w:rPr>
        <w:t xml:space="preserve"> — </w:t>
      </w:r>
      <w:r>
        <w:rPr>
          <w:rStyle w:val="CharDivText"/>
          <w:lang w:val="fr-FR"/>
        </w:rPr>
        <w:t>Eligible transactions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4"/>
        <w:rPr>
          <w:lang w:val="fr-FR"/>
        </w:rPr>
      </w:pPr>
      <w:bookmarkStart w:id="227" w:name="_Toc88880144"/>
      <w:bookmarkStart w:id="228" w:name="_Toc89519591"/>
      <w:bookmarkStart w:id="229" w:name="_Toc90883440"/>
      <w:bookmarkStart w:id="230" w:name="_Toc92523237"/>
      <w:bookmarkStart w:id="231" w:name="_Toc101164326"/>
      <w:bookmarkStart w:id="232" w:name="_Toc101235862"/>
      <w:bookmarkStart w:id="233" w:name="_Toc103655075"/>
      <w:bookmarkStart w:id="234" w:name="_Toc122255585"/>
      <w:bookmarkStart w:id="235" w:name="_Toc122255686"/>
      <w:bookmarkStart w:id="236" w:name="_Toc157854308"/>
      <w:bookmarkStart w:id="237" w:name="_Toc196800973"/>
      <w:bookmarkStart w:id="238" w:name="_Toc202511418"/>
      <w:bookmarkStart w:id="239" w:name="_Toc246329276"/>
      <w:bookmarkStart w:id="240" w:name="_Toc246394344"/>
      <w:bookmarkStart w:id="241" w:name="_Toc246394445"/>
      <w:bookmarkStart w:id="242" w:name="_Toc249330913"/>
      <w:bookmarkStart w:id="243" w:name="_Toc259703354"/>
      <w:bookmarkStart w:id="244" w:name="_Toc260389807"/>
      <w:bookmarkStart w:id="245" w:name="_Toc262207925"/>
      <w:bookmarkStart w:id="246" w:name="_Toc263760019"/>
      <w:bookmarkStart w:id="247" w:name="_Toc263855262"/>
      <w:bookmarkStart w:id="248" w:name="_Toc266091871"/>
      <w:bookmarkStart w:id="249" w:name="_Toc267576916"/>
      <w:bookmarkStart w:id="250" w:name="_Toc268526013"/>
      <w:bookmarkStart w:id="251" w:name="_Toc334698646"/>
      <w:bookmarkStart w:id="252" w:name="_Toc334698754"/>
      <w:bookmarkStart w:id="253" w:name="_Toc334698862"/>
      <w:r>
        <w:rPr>
          <w:lang w:val="fr-FR"/>
        </w:rPr>
        <w:t>Subdivision 1 — Eligible transactions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pPr>
      <w:r>
        <w:rPr>
          <w:lang w:val="fr-FR"/>
        </w:rPr>
        <w:tab/>
      </w:r>
      <w:r>
        <w:t>[Heading inserted by No. 14 of 2001 s. 4.]</w:t>
      </w:r>
    </w:p>
    <w:p>
      <w:pPr>
        <w:pStyle w:val="Heading5"/>
      </w:pPr>
      <w:bookmarkStart w:id="254" w:name="_Toc476727833"/>
      <w:bookmarkStart w:id="255" w:name="_Toc477076768"/>
      <w:bookmarkStart w:id="256" w:name="_Toc479399639"/>
      <w:bookmarkStart w:id="257" w:name="_Toc35401825"/>
      <w:bookmarkStart w:id="258" w:name="_Toc103655076"/>
      <w:bookmarkStart w:id="259" w:name="_Toc334698863"/>
      <w:r>
        <w:rPr>
          <w:rStyle w:val="CharSectno"/>
        </w:rPr>
        <w:t>14</w:t>
      </w:r>
      <w:r>
        <w:t>.</w:t>
      </w:r>
      <w:r>
        <w:tab/>
        <w:t>Eligible transaction</w:t>
      </w:r>
      <w:bookmarkEnd w:id="254"/>
      <w:bookmarkEnd w:id="255"/>
      <w:bookmarkEnd w:id="256"/>
      <w:bookmarkEnd w:id="257"/>
      <w:bookmarkEnd w:id="258"/>
      <w:bookmarkEnd w:id="259"/>
    </w:p>
    <w:p>
      <w:pPr>
        <w:pStyle w:val="Subsection"/>
        <w:rPr>
          <w:rStyle w:val="CharDefText"/>
          <w:b w:val="0"/>
          <w:bCs/>
          <w:i w:val="0"/>
          <w:iCs/>
        </w:rPr>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bookmarkStart w:id="260" w:name="_Toc88880146"/>
      <w:bookmarkStart w:id="261" w:name="_Toc89519593"/>
      <w:bookmarkStart w:id="262" w:name="_Toc90883442"/>
      <w:bookmarkStart w:id="263" w:name="_Toc92523239"/>
      <w:bookmarkStart w:id="264" w:name="_Toc101164328"/>
      <w:bookmarkStart w:id="265" w:name="_Toc101235864"/>
      <w:bookmarkStart w:id="266" w:name="_Toc103655077"/>
      <w:bookmarkStart w:id="267" w:name="_Toc122255587"/>
      <w:bookmarkStart w:id="268" w:name="_Toc122255688"/>
      <w:bookmarkStart w:id="269" w:name="_Toc157854310"/>
      <w:bookmarkStart w:id="270" w:name="_Toc196800975"/>
      <w:bookmarkStart w:id="271" w:name="_Toc202511420"/>
      <w:bookmarkStart w:id="272" w:name="_Toc246329278"/>
      <w:bookmarkStart w:id="273" w:name="_Toc246394346"/>
      <w:bookmarkStart w:id="274" w:name="_Toc246394447"/>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by No. 27 of 2009 s. 9.]</w:t>
      </w:r>
    </w:p>
    <w:p>
      <w:pPr>
        <w:pStyle w:val="Heading5"/>
      </w:pPr>
      <w:bookmarkStart w:id="275" w:name="_Toc334698864"/>
      <w:r>
        <w:rPr>
          <w:rStyle w:val="CharSectno"/>
        </w:rPr>
        <w:t>14AA</w:t>
      </w:r>
      <w:r>
        <w:t>.</w:t>
      </w:r>
      <w:r>
        <w:tab/>
        <w:t>Commencement and completion of transaction</w:t>
      </w:r>
      <w:bookmarkEnd w:id="275"/>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rPr>
          <w:snapToGrid w:val="0"/>
        </w:rPr>
      </w:pPr>
      <w:r>
        <w:tab/>
        <w:t>(a)</w:t>
      </w:r>
      <w:r>
        <w:tab/>
      </w:r>
      <w:r>
        <w:rPr>
          <w:snapToGrid w:val="0"/>
        </w:rPr>
        <w:t xml:space="preserve">in the case of a contract for the purchase of a home — </w:t>
      </w:r>
    </w:p>
    <w:p>
      <w:pPr>
        <w:pStyle w:val="Indenti"/>
        <w:rPr>
          <w:snapToGrid w:val="0"/>
        </w:rPr>
      </w:pPr>
      <w:r>
        <w:rPr>
          <w:snapToGrid w:val="0"/>
        </w:rPr>
        <w:tab/>
        <w:t>(i)</w:t>
      </w:r>
      <w:r>
        <w:rPr>
          <w:snapToGrid w:val="0"/>
        </w:rPr>
        <w:tab/>
        <w:t>the purchaser becomes entitled to possession of the home under the contract; and</w:t>
      </w:r>
    </w:p>
    <w:p>
      <w:pPr>
        <w:pStyle w:val="Indenti"/>
        <w:rPr>
          <w:snapToGrid w:val="0"/>
        </w:rPr>
      </w:pPr>
      <w:r>
        <w:rPr>
          <w:snapToGrid w:val="0"/>
        </w:rPr>
        <w:tab/>
        <w:t>(ii)</w:t>
      </w:r>
      <w:r>
        <w:rPr>
          <w:snapToGrid w:val="0"/>
        </w:rPr>
        <w:tab/>
        <w:t>if the purchaser is to obtain a registered title to the land on which the home is situated — the necessary steps to obtain registration of the purchaser’s title have been taken;</w:t>
      </w:r>
    </w:p>
    <w:p>
      <w:pPr>
        <w:pStyle w:val="Indenta"/>
      </w:pPr>
      <w:r>
        <w:tab/>
      </w:r>
      <w:r>
        <w:tab/>
        <w:t>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by No. 27 of 2009 s. 10.]</w:t>
      </w:r>
    </w:p>
    <w:p>
      <w:pPr>
        <w:pStyle w:val="Heading5"/>
      </w:pPr>
      <w:bookmarkStart w:id="276" w:name="_Toc334698865"/>
      <w:r>
        <w:rPr>
          <w:rStyle w:val="CharSectno"/>
        </w:rPr>
        <w:t>14AB</w:t>
      </w:r>
      <w:r>
        <w:t>.</w:t>
      </w:r>
      <w:r>
        <w:tab/>
        <w:t>Term used: consideration</w:t>
      </w:r>
      <w:bookmarkEnd w:id="276"/>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by No. 27 of 2009 s. 10.]</w:t>
      </w:r>
    </w:p>
    <w:p>
      <w:pPr>
        <w:pStyle w:val="Heading5"/>
      </w:pPr>
      <w:bookmarkStart w:id="277" w:name="_Toc334698866"/>
      <w:r>
        <w:rPr>
          <w:rStyle w:val="CharSectno"/>
        </w:rPr>
        <w:t>14AC</w:t>
      </w:r>
      <w:r>
        <w:t>.</w:t>
      </w:r>
      <w:r>
        <w:tab/>
        <w:t>Term used: total value</w:t>
      </w:r>
      <w:bookmarkEnd w:id="277"/>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by No. 27 of 2009 s. 10.]</w:t>
      </w:r>
    </w:p>
    <w:p>
      <w:pPr>
        <w:pStyle w:val="Heading5"/>
      </w:pPr>
      <w:bookmarkStart w:id="278" w:name="_Toc334698867"/>
      <w:r>
        <w:rPr>
          <w:rStyle w:val="CharSectno"/>
        </w:rPr>
        <w:t>14AD</w:t>
      </w:r>
      <w:r>
        <w:t>.</w:t>
      </w:r>
      <w:r>
        <w:tab/>
        <w:t>Term used: cap amount</w:t>
      </w:r>
      <w:bookmarkEnd w:id="278"/>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by No. 27 of 2009 s. 10.]</w:t>
      </w:r>
    </w:p>
    <w:p>
      <w:pPr>
        <w:pStyle w:val="Heading5"/>
      </w:pPr>
      <w:bookmarkStart w:id="279" w:name="_Toc334698868"/>
      <w:r>
        <w:rPr>
          <w:rStyle w:val="CharSectno"/>
        </w:rPr>
        <w:t>14AE</w:t>
      </w:r>
      <w:r>
        <w:t>.</w:t>
      </w:r>
      <w:r>
        <w:tab/>
        <w:t>Term used: unencumbered value</w:t>
      </w:r>
      <w:bookmarkEnd w:id="279"/>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by No. 27 of 2009 s. 10.]</w:t>
      </w:r>
    </w:p>
    <w:p>
      <w:pPr>
        <w:pStyle w:val="Heading4"/>
        <w:keepLines/>
      </w:pPr>
      <w:bookmarkStart w:id="280" w:name="_Toc249330920"/>
      <w:bookmarkStart w:id="281" w:name="_Toc259703361"/>
      <w:bookmarkStart w:id="282" w:name="_Toc260389814"/>
      <w:bookmarkStart w:id="283" w:name="_Toc262207932"/>
      <w:bookmarkStart w:id="284" w:name="_Toc263760026"/>
      <w:bookmarkStart w:id="285" w:name="_Toc263855269"/>
      <w:bookmarkStart w:id="286" w:name="_Toc266091878"/>
      <w:bookmarkStart w:id="287" w:name="_Toc267576923"/>
      <w:bookmarkStart w:id="288" w:name="_Toc268526020"/>
      <w:bookmarkStart w:id="289" w:name="_Toc334698653"/>
      <w:bookmarkStart w:id="290" w:name="_Toc334698761"/>
      <w:bookmarkStart w:id="291" w:name="_Toc334698869"/>
      <w:r>
        <w:t>Subdivision 2 — Special eligible transactions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80"/>
      <w:bookmarkEnd w:id="281"/>
      <w:bookmarkEnd w:id="282"/>
      <w:bookmarkEnd w:id="283"/>
      <w:bookmarkEnd w:id="284"/>
      <w:bookmarkEnd w:id="285"/>
      <w:bookmarkEnd w:id="286"/>
      <w:bookmarkEnd w:id="287"/>
      <w:bookmarkEnd w:id="288"/>
      <w:bookmarkEnd w:id="289"/>
      <w:bookmarkEnd w:id="290"/>
      <w:bookmarkEnd w:id="291"/>
    </w:p>
    <w:p>
      <w:pPr>
        <w:pStyle w:val="Footnoteheading"/>
        <w:keepNext/>
        <w:keepLines/>
      </w:pPr>
      <w:r>
        <w:tab/>
        <w:t>[Heading inserted by No. 14 of 2001 s. 5.]</w:t>
      </w:r>
    </w:p>
    <w:p>
      <w:pPr>
        <w:pStyle w:val="Heading5"/>
      </w:pPr>
      <w:bookmarkStart w:id="292" w:name="_Toc245793440"/>
      <w:bookmarkStart w:id="293" w:name="_Toc246319948"/>
      <w:bookmarkStart w:id="294" w:name="_Toc334698870"/>
      <w:bookmarkStart w:id="295" w:name="_Toc35401827"/>
      <w:bookmarkStart w:id="296" w:name="_Toc103655079"/>
      <w:r>
        <w:rPr>
          <w:rStyle w:val="CharSectno"/>
        </w:rPr>
        <w:t>14A</w:t>
      </w:r>
      <w:r>
        <w:t>.</w:t>
      </w:r>
      <w:r>
        <w:tab/>
        <w:t>Terms used</w:t>
      </w:r>
      <w:bookmarkEnd w:id="292"/>
      <w:bookmarkEnd w:id="293"/>
      <w:bookmarkEnd w:id="294"/>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Indent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w:t>
      </w:r>
    </w:p>
    <w:p>
      <w:pPr>
        <w:pStyle w:val="Defstart"/>
      </w:pPr>
      <w:r>
        <w:tab/>
      </w:r>
      <w:r>
        <w:rPr>
          <w:rStyle w:val="CharDefText"/>
        </w:rPr>
        <w:t>special eligible transaction</w:t>
      </w:r>
      <w:r>
        <w:t xml:space="preserve"> means an eligible transaction of a class referred to in section 14B;</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Footnotesection"/>
      </w:pPr>
      <w:r>
        <w:tab/>
        <w:t>[Section 14A inserted by No. 27 of 2009 s. 4.]</w:t>
      </w:r>
    </w:p>
    <w:p>
      <w:pPr>
        <w:pStyle w:val="Heading5"/>
        <w:spacing w:before="200"/>
      </w:pPr>
      <w:bookmarkStart w:id="297" w:name="_Toc334698871"/>
      <w:r>
        <w:rPr>
          <w:rStyle w:val="CharSectno"/>
        </w:rPr>
        <w:t>14B</w:t>
      </w:r>
      <w:r>
        <w:t>.</w:t>
      </w:r>
      <w:r>
        <w:tab/>
        <w:t>Special eligible transactions</w:t>
      </w:r>
      <w:bookmarkEnd w:id="295"/>
      <w:bookmarkEnd w:id="296"/>
      <w:bookmarkEnd w:id="297"/>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w:t>
      </w:r>
      <w:r>
        <w:rPr>
          <w:rStyle w:val="CharDefText"/>
        </w:rPr>
        <w:t xml:space="preserve"> eligible </w:t>
      </w:r>
      <w:r>
        <w:rPr>
          <w:b/>
          <w:bCs/>
          <w:i/>
          <w:iCs/>
        </w:rPr>
        <w:t>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The Commissioner may extend the period within which building work is to begin under subsection (3)(b)(i) or (4B)(b)(i) or be completed under subsection (3)(b)(ii), (3)(c), (4B)(b)(ii), (4B)(c) or (6)(a) if the Commissioner is satisfied that the delay is caused by circumstances beyond the control of the parties.</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a contract for the purchase of a new home or a substantially renovated home on a proposed lot on a proposed plan of subdivision of land (including a proposed strata plan or survey</w:t>
      </w:r>
      <w:r>
        <w:noBreakHyphen/>
        <w:t xml:space="preserve">strata plan within the meaning of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before 14 October 2008, in respect of a class 4, class 5, class 6 or class 7 eligible transaction.</w:t>
      </w:r>
    </w:p>
    <w:p>
      <w:pPr>
        <w:pStyle w:val="Footnotesection"/>
      </w:pPr>
      <w:r>
        <w:tab/>
        <w:t>[Section 14B inserted by No. 14 of 2001 s. 5; amended by No. 13 of 2003 s. 5; No. 27 of 2009 s. 5.]</w:t>
      </w:r>
    </w:p>
    <w:p>
      <w:pPr>
        <w:pStyle w:val="Heading3"/>
      </w:pPr>
      <w:bookmarkStart w:id="298" w:name="_Toc88880149"/>
      <w:bookmarkStart w:id="299" w:name="_Toc89519596"/>
      <w:bookmarkStart w:id="300" w:name="_Toc90883445"/>
      <w:bookmarkStart w:id="301" w:name="_Toc92523242"/>
      <w:bookmarkStart w:id="302" w:name="_Toc101164331"/>
      <w:bookmarkStart w:id="303" w:name="_Toc101235867"/>
      <w:bookmarkStart w:id="304" w:name="_Toc103655080"/>
      <w:bookmarkStart w:id="305" w:name="_Toc122255590"/>
      <w:bookmarkStart w:id="306" w:name="_Toc122255691"/>
      <w:bookmarkStart w:id="307" w:name="_Toc157854313"/>
      <w:bookmarkStart w:id="308" w:name="_Toc196800978"/>
      <w:bookmarkStart w:id="309" w:name="_Toc202511423"/>
      <w:bookmarkStart w:id="310" w:name="_Toc246329282"/>
      <w:bookmarkStart w:id="311" w:name="_Toc246394349"/>
      <w:bookmarkStart w:id="312" w:name="_Toc246394450"/>
      <w:bookmarkStart w:id="313" w:name="_Toc249330923"/>
      <w:bookmarkStart w:id="314" w:name="_Toc259703364"/>
      <w:bookmarkStart w:id="315" w:name="_Toc260389817"/>
      <w:bookmarkStart w:id="316" w:name="_Toc262207935"/>
      <w:bookmarkStart w:id="317" w:name="_Toc263760029"/>
      <w:bookmarkStart w:id="318" w:name="_Toc263855272"/>
      <w:bookmarkStart w:id="319" w:name="_Toc266091881"/>
      <w:bookmarkStart w:id="320" w:name="_Toc267576926"/>
      <w:bookmarkStart w:id="321" w:name="_Toc268526023"/>
      <w:bookmarkStart w:id="322" w:name="_Toc334698656"/>
      <w:bookmarkStart w:id="323" w:name="_Toc334698764"/>
      <w:bookmarkStart w:id="324" w:name="_Toc334698872"/>
      <w:r>
        <w:rPr>
          <w:rStyle w:val="CharDivNo"/>
        </w:rPr>
        <w:t>Division 4</w:t>
      </w:r>
      <w:r>
        <w:t xml:space="preserve"> — </w:t>
      </w:r>
      <w:r>
        <w:rPr>
          <w:rStyle w:val="CharDivText"/>
        </w:rPr>
        <w:t>Application for the grant</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pPr>
      <w:bookmarkStart w:id="325" w:name="_Toc476727834"/>
      <w:bookmarkStart w:id="326" w:name="_Toc477076769"/>
      <w:bookmarkStart w:id="327" w:name="_Toc479399640"/>
      <w:bookmarkStart w:id="328" w:name="_Toc35401828"/>
      <w:bookmarkStart w:id="329" w:name="_Toc103655081"/>
      <w:bookmarkStart w:id="330" w:name="_Toc334698873"/>
      <w:r>
        <w:rPr>
          <w:rStyle w:val="CharSectno"/>
        </w:rPr>
        <w:t>15</w:t>
      </w:r>
      <w:r>
        <w:t>.</w:t>
      </w:r>
      <w:r>
        <w:tab/>
        <w:t>Application for grant</w:t>
      </w:r>
      <w:bookmarkEnd w:id="325"/>
      <w:bookmarkEnd w:id="326"/>
      <w:bookmarkEnd w:id="327"/>
      <w:bookmarkEnd w:id="328"/>
      <w:bookmarkEnd w:id="329"/>
      <w:bookmarkEnd w:id="330"/>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by No. 27 of 2009 s. 15.]</w:t>
      </w:r>
    </w:p>
    <w:p>
      <w:pPr>
        <w:pStyle w:val="Heading5"/>
      </w:pPr>
      <w:bookmarkStart w:id="331" w:name="_Toc476727835"/>
      <w:bookmarkStart w:id="332" w:name="_Toc477076770"/>
      <w:bookmarkStart w:id="333" w:name="_Toc479399641"/>
      <w:bookmarkStart w:id="334" w:name="_Toc35401829"/>
      <w:bookmarkStart w:id="335" w:name="_Toc103655082"/>
      <w:bookmarkStart w:id="336" w:name="_Toc334698874"/>
      <w:r>
        <w:rPr>
          <w:rStyle w:val="CharSectno"/>
        </w:rPr>
        <w:t>16</w:t>
      </w:r>
      <w:r>
        <w:t>.</w:t>
      </w:r>
      <w:r>
        <w:tab/>
        <w:t>Interested persons</w:t>
      </w:r>
      <w:bookmarkEnd w:id="331"/>
      <w:bookmarkEnd w:id="332"/>
      <w:bookmarkEnd w:id="333"/>
      <w:bookmarkEnd w:id="334"/>
      <w:bookmarkEnd w:id="335"/>
      <w:bookmarkEnd w:id="336"/>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by No. 27 of 2009 s. 15.]</w:t>
      </w:r>
    </w:p>
    <w:p>
      <w:pPr>
        <w:pStyle w:val="Heading5"/>
      </w:pPr>
      <w:bookmarkStart w:id="337" w:name="_Toc476727836"/>
      <w:bookmarkStart w:id="338" w:name="_Toc477076771"/>
      <w:bookmarkStart w:id="339" w:name="_Toc479399642"/>
      <w:bookmarkStart w:id="340" w:name="_Toc35401830"/>
      <w:bookmarkStart w:id="341" w:name="_Toc103655083"/>
      <w:bookmarkStart w:id="342" w:name="_Toc334698875"/>
      <w:r>
        <w:rPr>
          <w:rStyle w:val="CharSectno"/>
        </w:rPr>
        <w:t>17</w:t>
      </w:r>
      <w:r>
        <w:t>.</w:t>
      </w:r>
      <w:r>
        <w:tab/>
        <w:t>Application on behalf of person under legal disability</w:t>
      </w:r>
      <w:bookmarkEnd w:id="337"/>
      <w:bookmarkEnd w:id="338"/>
      <w:bookmarkEnd w:id="339"/>
      <w:bookmarkEnd w:id="340"/>
      <w:bookmarkEnd w:id="341"/>
      <w:bookmarkEnd w:id="342"/>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343" w:name="_Toc88880153"/>
      <w:bookmarkStart w:id="344" w:name="_Toc89519600"/>
      <w:bookmarkStart w:id="345" w:name="_Toc90883449"/>
      <w:bookmarkStart w:id="346" w:name="_Toc92523246"/>
      <w:bookmarkStart w:id="347" w:name="_Toc101164335"/>
      <w:bookmarkStart w:id="348" w:name="_Toc101235871"/>
      <w:bookmarkStart w:id="349" w:name="_Toc103655084"/>
      <w:bookmarkStart w:id="350" w:name="_Toc122255594"/>
      <w:bookmarkStart w:id="351" w:name="_Toc122255695"/>
      <w:bookmarkStart w:id="352" w:name="_Toc157854317"/>
      <w:bookmarkStart w:id="353" w:name="_Toc196800982"/>
      <w:bookmarkStart w:id="354" w:name="_Toc202511427"/>
      <w:bookmarkStart w:id="355" w:name="_Toc246329286"/>
      <w:bookmarkStart w:id="356" w:name="_Toc246394353"/>
      <w:bookmarkStart w:id="357" w:name="_Toc246394454"/>
      <w:bookmarkStart w:id="358" w:name="_Toc249330927"/>
      <w:bookmarkStart w:id="359" w:name="_Toc259703368"/>
      <w:bookmarkStart w:id="360" w:name="_Toc260389821"/>
      <w:bookmarkStart w:id="361" w:name="_Toc262207939"/>
      <w:bookmarkStart w:id="362" w:name="_Toc263760033"/>
      <w:bookmarkStart w:id="363" w:name="_Toc263855276"/>
      <w:bookmarkStart w:id="364" w:name="_Toc266091885"/>
      <w:bookmarkStart w:id="365" w:name="_Toc267576930"/>
      <w:bookmarkStart w:id="366" w:name="_Toc268526027"/>
      <w:bookmarkStart w:id="367" w:name="_Toc334698660"/>
      <w:bookmarkStart w:id="368" w:name="_Toc334698768"/>
      <w:bookmarkStart w:id="369" w:name="_Toc334698876"/>
      <w:r>
        <w:rPr>
          <w:rStyle w:val="CharDivNo"/>
        </w:rPr>
        <w:t>Division 5</w:t>
      </w:r>
      <w:r>
        <w:t xml:space="preserve"> — </w:t>
      </w:r>
      <w:r>
        <w:rPr>
          <w:rStyle w:val="CharDivText"/>
        </w:rPr>
        <w:t>Decision on application</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0" w:name="_Toc476727837"/>
      <w:bookmarkStart w:id="371" w:name="_Toc477076772"/>
      <w:bookmarkStart w:id="372" w:name="_Toc479399643"/>
      <w:bookmarkStart w:id="373" w:name="_Toc35401831"/>
      <w:bookmarkStart w:id="374" w:name="_Toc103655085"/>
      <w:bookmarkStart w:id="375" w:name="_Toc334698877"/>
      <w:r>
        <w:rPr>
          <w:rStyle w:val="CharSectno"/>
        </w:rPr>
        <w:t>18</w:t>
      </w:r>
      <w:r>
        <w:t>.</w:t>
      </w:r>
      <w:r>
        <w:tab/>
        <w:t>Commissioner to authorise payment of grant</w:t>
      </w:r>
      <w:bookmarkEnd w:id="370"/>
      <w:bookmarkEnd w:id="371"/>
      <w:bookmarkEnd w:id="372"/>
      <w:bookmarkEnd w:id="373"/>
      <w:bookmarkEnd w:id="374"/>
      <w:bookmarkEnd w:id="375"/>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bookmarkStart w:id="376" w:name="_Toc476727838"/>
      <w:bookmarkStart w:id="377" w:name="_Toc477076773"/>
      <w:bookmarkStart w:id="378" w:name="_Toc479399644"/>
      <w:bookmarkStart w:id="379" w:name="_Toc35401832"/>
      <w:bookmarkStart w:id="380" w:name="_Toc103655086"/>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by No. 27 of 2009 s. 11.]</w:t>
      </w:r>
    </w:p>
    <w:p>
      <w:pPr>
        <w:pStyle w:val="Heading5"/>
        <w:spacing w:before="180"/>
      </w:pPr>
      <w:bookmarkStart w:id="381" w:name="_Toc334698878"/>
      <w:r>
        <w:rPr>
          <w:rStyle w:val="CharSectno"/>
        </w:rPr>
        <w:t>19</w:t>
      </w:r>
      <w:r>
        <w:t>.</w:t>
      </w:r>
      <w:r>
        <w:tab/>
        <w:t>Amount of grant</w:t>
      </w:r>
      <w:bookmarkEnd w:id="376"/>
      <w:bookmarkEnd w:id="377"/>
      <w:bookmarkEnd w:id="378"/>
      <w:bookmarkEnd w:id="379"/>
      <w:bookmarkEnd w:id="380"/>
      <w:bookmarkEnd w:id="381"/>
    </w:p>
    <w:p>
      <w:pPr>
        <w:pStyle w:val="Subsection"/>
      </w:pPr>
      <w:r>
        <w:tab/>
        <w:t>(1)</w:t>
      </w:r>
      <w:r>
        <w:tab/>
        <w:t xml:space="preserve">The amount of a first home owner grant is the lesser of the following — </w:t>
      </w:r>
    </w:p>
    <w:p>
      <w:pPr>
        <w:pStyle w:val="Indenta"/>
      </w:pPr>
      <w:r>
        <w:tab/>
        <w:t>(a)</w:t>
      </w:r>
      <w:r>
        <w:tab/>
        <w:t>the consideration for the transaction;</w:t>
      </w:r>
    </w:p>
    <w:p>
      <w:pPr>
        <w:pStyle w:val="Indenta"/>
      </w:pPr>
      <w:r>
        <w:tab/>
        <w:t>(b)</w:t>
      </w:r>
      <w:r>
        <w:tab/>
        <w:t>$7 000.</w:t>
      </w:r>
    </w:p>
    <w:p>
      <w:pPr>
        <w:pStyle w:val="Subsection"/>
      </w:pPr>
      <w:r>
        <w:tab/>
        <w:t>(2)</w:t>
      </w:r>
      <w:r>
        <w:tab/>
        <w:t xml:space="preserve">Despite subsection (1),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Indenta"/>
      </w:pPr>
      <w:r>
        <w:tab/>
        <w:t>(e)</w:t>
      </w:r>
      <w:r>
        <w:tab/>
        <w:t>in the case of a class 6 eligible transaction within the meaning of section 14B — $10 500; or</w:t>
      </w:r>
    </w:p>
    <w:p>
      <w:pPr>
        <w:pStyle w:val="Indenta"/>
      </w:pPr>
      <w:r>
        <w:tab/>
        <w:t>(f)</w:t>
      </w:r>
      <w:r>
        <w:tab/>
        <w:t>in the case of a class 7 eligible transaction within the meaning of section 14B — $14 000.</w:t>
      </w:r>
    </w:p>
    <w:p>
      <w:pPr>
        <w:pStyle w:val="Footnotesection"/>
      </w:pPr>
      <w:r>
        <w:tab/>
        <w:t>[Section 19 amended by No. 14 of 2001 s. 6; No. 13 of 2003 s. 6; No. 27 of 2009 s. 6 and 15.]</w:t>
      </w:r>
    </w:p>
    <w:p>
      <w:pPr>
        <w:pStyle w:val="Heading5"/>
        <w:spacing w:before="180"/>
      </w:pPr>
      <w:bookmarkStart w:id="382" w:name="_Toc476727839"/>
      <w:bookmarkStart w:id="383" w:name="_Toc477076774"/>
      <w:bookmarkStart w:id="384" w:name="_Toc479399645"/>
      <w:bookmarkStart w:id="385" w:name="_Toc35401833"/>
      <w:bookmarkStart w:id="386" w:name="_Toc103655087"/>
      <w:bookmarkStart w:id="387" w:name="_Toc334698879"/>
      <w:r>
        <w:rPr>
          <w:rStyle w:val="CharSectno"/>
        </w:rPr>
        <w:t>20</w:t>
      </w:r>
      <w:r>
        <w:t>.</w:t>
      </w:r>
      <w:r>
        <w:tab/>
        <w:t>Payment of grant</w:t>
      </w:r>
      <w:bookmarkEnd w:id="382"/>
      <w:bookmarkEnd w:id="383"/>
      <w:bookmarkEnd w:id="384"/>
      <w:bookmarkEnd w:id="385"/>
      <w:bookmarkEnd w:id="386"/>
      <w:bookmarkEnd w:id="387"/>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388" w:name="_Toc476727840"/>
      <w:bookmarkStart w:id="389" w:name="_Toc477076775"/>
      <w:bookmarkStart w:id="390" w:name="_Toc479399646"/>
      <w:bookmarkStart w:id="391" w:name="_Toc35401834"/>
      <w:bookmarkStart w:id="392" w:name="_Toc103655088"/>
      <w:bookmarkStart w:id="393" w:name="_Toc334698880"/>
      <w:r>
        <w:rPr>
          <w:rStyle w:val="CharSectno"/>
        </w:rPr>
        <w:t>21</w:t>
      </w:r>
      <w:r>
        <w:t>.</w:t>
      </w:r>
      <w:r>
        <w:tab/>
        <w:t>Payment in anticipation of compliance with residence requirement</w:t>
      </w:r>
      <w:bookmarkEnd w:id="388"/>
      <w:bookmarkEnd w:id="389"/>
      <w:bookmarkEnd w:id="390"/>
      <w:bookmarkEnd w:id="391"/>
      <w:bookmarkEnd w:id="392"/>
      <w:bookmarkEnd w:id="393"/>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bookmarkStart w:id="394" w:name="_Toc479399647"/>
      <w:bookmarkStart w:id="395" w:name="_Toc35401835"/>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396" w:name="_Toc103655089"/>
      <w:bookmarkStart w:id="397" w:name="_Toc334698881"/>
      <w:r>
        <w:rPr>
          <w:rStyle w:val="CharSectno"/>
        </w:rPr>
        <w:t>22</w:t>
      </w:r>
      <w:r>
        <w:t>.</w:t>
      </w:r>
      <w:r>
        <w:tab/>
        <w:t>Commissioner may impose conditions</w:t>
      </w:r>
      <w:bookmarkEnd w:id="394"/>
      <w:bookmarkEnd w:id="395"/>
      <w:bookmarkEnd w:id="396"/>
      <w:bookmarkEnd w:id="397"/>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amount of the grant within a period stated in the condition.</w:t>
      </w:r>
    </w:p>
    <w:p>
      <w:pPr>
        <w:pStyle w:val="Subsection"/>
      </w:pPr>
      <w:r>
        <w:tab/>
        <w:t>(3)</w:t>
      </w:r>
      <w:r>
        <w:tab/>
        <w:t>In the case of a joint application, each joint applicant is individually liable to comply with subsection (</w:t>
      </w:r>
      <w:bookmarkStart w:id="398" w:name="_Hlt476728030"/>
      <w:r>
        <w:t>2)</w:t>
      </w:r>
      <w:bookmarkEnd w:id="398"/>
      <w:r>
        <w:t>(a)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Heading5"/>
      </w:pPr>
      <w:bookmarkStart w:id="399" w:name="_Toc477076777"/>
      <w:bookmarkStart w:id="400" w:name="_Toc479399648"/>
      <w:bookmarkStart w:id="401" w:name="_Toc35401836"/>
      <w:bookmarkStart w:id="402" w:name="_Toc103655090"/>
      <w:bookmarkStart w:id="403" w:name="_Toc334698882"/>
      <w:r>
        <w:rPr>
          <w:rStyle w:val="CharSectno"/>
        </w:rPr>
        <w:t>23</w:t>
      </w:r>
      <w:r>
        <w:t>.</w:t>
      </w:r>
      <w:r>
        <w:tab/>
        <w:t>Death of applicant</w:t>
      </w:r>
      <w:bookmarkEnd w:id="399"/>
      <w:bookmarkEnd w:id="400"/>
      <w:bookmarkEnd w:id="401"/>
      <w:bookmarkEnd w:id="402"/>
      <w:bookmarkEnd w:id="403"/>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bookmarkStart w:id="404" w:name="_Toc477076778"/>
      <w:bookmarkStart w:id="405" w:name="_Toc479399649"/>
      <w:bookmarkStart w:id="406" w:name="_Toc35401837"/>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407" w:name="_Toc103655091"/>
      <w:bookmarkStart w:id="408" w:name="_Toc334698883"/>
      <w:r>
        <w:rPr>
          <w:rStyle w:val="CharSectno"/>
        </w:rPr>
        <w:t>24</w:t>
      </w:r>
      <w:r>
        <w:rPr>
          <w:snapToGrid w:val="0"/>
        </w:rPr>
        <w:t>.</w:t>
      </w:r>
      <w:r>
        <w:rPr>
          <w:snapToGrid w:val="0"/>
        </w:rPr>
        <w:tab/>
        <w:t>Power to correct decision</w:t>
      </w:r>
      <w:bookmarkEnd w:id="404"/>
      <w:bookmarkEnd w:id="405"/>
      <w:bookmarkEnd w:id="406"/>
      <w:bookmarkEnd w:id="407"/>
      <w:bookmarkEnd w:id="408"/>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409" w:name="_Toc477076779"/>
      <w:bookmarkStart w:id="410" w:name="_Toc479399650"/>
      <w:bookmarkStart w:id="411" w:name="_Toc35401838"/>
      <w:bookmarkStart w:id="412" w:name="_Toc103655092"/>
      <w:bookmarkStart w:id="413" w:name="_Toc334698884"/>
      <w:r>
        <w:rPr>
          <w:rStyle w:val="CharSectno"/>
        </w:rPr>
        <w:t>25</w:t>
      </w:r>
      <w:r>
        <w:rPr>
          <w:snapToGrid w:val="0"/>
        </w:rPr>
        <w:t>.</w:t>
      </w:r>
      <w:r>
        <w:rPr>
          <w:snapToGrid w:val="0"/>
        </w:rPr>
        <w:tab/>
        <w:t>Notice of decision</w:t>
      </w:r>
      <w:bookmarkEnd w:id="409"/>
      <w:bookmarkEnd w:id="410"/>
      <w:bookmarkEnd w:id="411"/>
      <w:bookmarkEnd w:id="412"/>
      <w:bookmarkEnd w:id="413"/>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414" w:name="_Toc88880162"/>
      <w:bookmarkStart w:id="415" w:name="_Toc89519609"/>
      <w:bookmarkStart w:id="416" w:name="_Toc90883458"/>
      <w:bookmarkStart w:id="417" w:name="_Toc92523255"/>
      <w:bookmarkStart w:id="418" w:name="_Toc101164344"/>
      <w:bookmarkStart w:id="419" w:name="_Toc101235880"/>
      <w:bookmarkStart w:id="420" w:name="_Toc103655093"/>
      <w:bookmarkStart w:id="421" w:name="_Toc122255603"/>
      <w:bookmarkStart w:id="422" w:name="_Toc122255704"/>
      <w:bookmarkStart w:id="423" w:name="_Toc157854326"/>
      <w:bookmarkStart w:id="424" w:name="_Toc196800991"/>
      <w:bookmarkStart w:id="425" w:name="_Toc202511436"/>
      <w:bookmarkStart w:id="426" w:name="_Toc246329295"/>
      <w:bookmarkStart w:id="427" w:name="_Toc246394362"/>
      <w:bookmarkStart w:id="428" w:name="_Toc246394463"/>
      <w:bookmarkStart w:id="429" w:name="_Toc249330936"/>
      <w:bookmarkStart w:id="430" w:name="_Toc259703377"/>
      <w:bookmarkStart w:id="431" w:name="_Toc260389830"/>
      <w:bookmarkStart w:id="432" w:name="_Toc262207948"/>
      <w:bookmarkStart w:id="433" w:name="_Toc263760042"/>
      <w:bookmarkStart w:id="434" w:name="_Toc263855285"/>
      <w:bookmarkStart w:id="435" w:name="_Toc266091894"/>
      <w:bookmarkStart w:id="436" w:name="_Toc267576939"/>
      <w:bookmarkStart w:id="437" w:name="_Toc268526036"/>
      <w:bookmarkStart w:id="438" w:name="_Toc334698669"/>
      <w:bookmarkStart w:id="439" w:name="_Toc334698777"/>
      <w:bookmarkStart w:id="440" w:name="_Toc334698885"/>
      <w:r>
        <w:rPr>
          <w:rStyle w:val="CharDivNo"/>
        </w:rPr>
        <w:t>Division 6</w:t>
      </w:r>
      <w:r>
        <w:t xml:space="preserve"> — </w:t>
      </w:r>
      <w:r>
        <w:rPr>
          <w:rStyle w:val="CharDivText"/>
        </w:rPr>
        <w:t xml:space="preserve">Objections and </w:t>
      </w:r>
      <w:bookmarkEnd w:id="414"/>
      <w:bookmarkEnd w:id="415"/>
      <w:r>
        <w:rPr>
          <w:rStyle w:val="CharDivText"/>
        </w:rPr>
        <w:t>review</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Footnoteheading"/>
      </w:pPr>
      <w:r>
        <w:tab/>
        <w:t>[Heading amended by No. 55 of 2004 s. 374.]</w:t>
      </w:r>
    </w:p>
    <w:p>
      <w:pPr>
        <w:pStyle w:val="Heading4"/>
      </w:pPr>
      <w:bookmarkStart w:id="441" w:name="_Toc88880163"/>
      <w:bookmarkStart w:id="442" w:name="_Toc89519610"/>
      <w:bookmarkStart w:id="443" w:name="_Toc90883459"/>
      <w:bookmarkStart w:id="444" w:name="_Toc92523256"/>
      <w:bookmarkStart w:id="445" w:name="_Toc101164345"/>
      <w:bookmarkStart w:id="446" w:name="_Toc101235881"/>
      <w:bookmarkStart w:id="447" w:name="_Toc103655094"/>
      <w:bookmarkStart w:id="448" w:name="_Toc122255604"/>
      <w:bookmarkStart w:id="449" w:name="_Toc122255705"/>
      <w:bookmarkStart w:id="450" w:name="_Toc157854327"/>
      <w:bookmarkStart w:id="451" w:name="_Toc196800992"/>
      <w:bookmarkStart w:id="452" w:name="_Toc202511437"/>
      <w:bookmarkStart w:id="453" w:name="_Toc246329296"/>
      <w:bookmarkStart w:id="454" w:name="_Toc246394363"/>
      <w:bookmarkStart w:id="455" w:name="_Toc246394464"/>
      <w:bookmarkStart w:id="456" w:name="_Toc249330937"/>
      <w:bookmarkStart w:id="457" w:name="_Toc259703378"/>
      <w:bookmarkStart w:id="458" w:name="_Toc260389831"/>
      <w:bookmarkStart w:id="459" w:name="_Toc262207949"/>
      <w:bookmarkStart w:id="460" w:name="_Toc263760043"/>
      <w:bookmarkStart w:id="461" w:name="_Toc263855286"/>
      <w:bookmarkStart w:id="462" w:name="_Toc266091895"/>
      <w:bookmarkStart w:id="463" w:name="_Toc267576940"/>
      <w:bookmarkStart w:id="464" w:name="_Toc268526037"/>
      <w:bookmarkStart w:id="465" w:name="_Toc334698670"/>
      <w:bookmarkStart w:id="466" w:name="_Toc334698778"/>
      <w:bookmarkStart w:id="467" w:name="_Toc334698886"/>
      <w:r>
        <w:t>Subdivision 1 — Definitions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pPr>
      <w:bookmarkStart w:id="468" w:name="_Toc477076780"/>
      <w:bookmarkStart w:id="469" w:name="_Toc479399651"/>
      <w:bookmarkStart w:id="470" w:name="_Toc35401839"/>
      <w:bookmarkStart w:id="471" w:name="_Toc103655095"/>
      <w:bookmarkStart w:id="472" w:name="_Toc334698887"/>
      <w:r>
        <w:rPr>
          <w:rStyle w:val="CharSectno"/>
        </w:rPr>
        <w:t>26</w:t>
      </w:r>
      <w:r>
        <w:t>.</w:t>
      </w:r>
      <w:r>
        <w:tab/>
      </w:r>
      <w:bookmarkEnd w:id="468"/>
      <w:bookmarkEnd w:id="469"/>
      <w:bookmarkEnd w:id="470"/>
      <w:bookmarkEnd w:id="471"/>
      <w:r>
        <w:t>Terms used</w:t>
      </w:r>
      <w:bookmarkEnd w:id="472"/>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Indenta"/>
      </w:pPr>
      <w:r>
        <w:tab/>
        <w:t>(c)</w:t>
      </w:r>
      <w:r>
        <w:tab/>
        <w:t>a requirement to repay an amount paid on an application because of a failure to comply with a condition referred to in section 18(3) or 21(2); and</w:t>
      </w:r>
    </w:p>
    <w:p>
      <w:pPr>
        <w:pStyle w:val="Indenta"/>
      </w:pPr>
      <w:r>
        <w:tab/>
        <w:t>(d)</w:t>
      </w:r>
      <w:r>
        <w:tab/>
        <w:t>an imposition of a penalty under section 18(5), 21(5) or 51(2) or (3);</w:t>
      </w:r>
    </w:p>
    <w:p>
      <w:pPr>
        <w:pStyle w:val="Defstart"/>
      </w:pPr>
      <w:r>
        <w:tab/>
      </w:r>
      <w:r>
        <w:rPr>
          <w:rStyle w:val="CharDefText"/>
        </w:rPr>
        <w:t>objector</w:t>
      </w:r>
      <w:r>
        <w:t xml:space="preserve"> means a person who makes an objection under section </w:t>
      </w:r>
      <w:bookmarkStart w:id="473" w:name="_Hlt478898308"/>
      <w:r>
        <w:t>27</w:t>
      </w:r>
      <w:bookmarkEnd w:id="473"/>
      <w:r>
        <w:t>.</w:t>
      </w:r>
    </w:p>
    <w:p>
      <w:pPr>
        <w:pStyle w:val="Footnotesection"/>
      </w:pPr>
      <w:r>
        <w:tab/>
        <w:t>[Section 26 amended by No. 13 of 2003 s. 8; No. 27 of 2009 s. 12 and 16.]</w:t>
      </w:r>
    </w:p>
    <w:p>
      <w:pPr>
        <w:pStyle w:val="Heading4"/>
      </w:pPr>
      <w:bookmarkStart w:id="474" w:name="_Toc88880165"/>
      <w:bookmarkStart w:id="475" w:name="_Toc89519612"/>
      <w:bookmarkStart w:id="476" w:name="_Toc90883461"/>
      <w:bookmarkStart w:id="477" w:name="_Toc92523258"/>
      <w:bookmarkStart w:id="478" w:name="_Toc101164347"/>
      <w:bookmarkStart w:id="479" w:name="_Toc101235883"/>
      <w:bookmarkStart w:id="480" w:name="_Toc103655096"/>
      <w:bookmarkStart w:id="481" w:name="_Toc122255606"/>
      <w:bookmarkStart w:id="482" w:name="_Toc122255707"/>
      <w:bookmarkStart w:id="483" w:name="_Toc157854329"/>
      <w:bookmarkStart w:id="484" w:name="_Toc196800994"/>
      <w:bookmarkStart w:id="485" w:name="_Toc202511439"/>
      <w:bookmarkStart w:id="486" w:name="_Toc246329298"/>
      <w:bookmarkStart w:id="487" w:name="_Toc246394365"/>
      <w:bookmarkStart w:id="488" w:name="_Toc246394466"/>
      <w:bookmarkStart w:id="489" w:name="_Toc249330939"/>
      <w:bookmarkStart w:id="490" w:name="_Toc259703380"/>
      <w:bookmarkStart w:id="491" w:name="_Toc260389833"/>
      <w:bookmarkStart w:id="492" w:name="_Toc262207951"/>
      <w:bookmarkStart w:id="493" w:name="_Toc263760045"/>
      <w:bookmarkStart w:id="494" w:name="_Toc263855288"/>
      <w:bookmarkStart w:id="495" w:name="_Toc266091897"/>
      <w:bookmarkStart w:id="496" w:name="_Toc267576942"/>
      <w:bookmarkStart w:id="497" w:name="_Toc268526039"/>
      <w:bookmarkStart w:id="498" w:name="_Toc334698672"/>
      <w:bookmarkStart w:id="499" w:name="_Toc334698780"/>
      <w:bookmarkStart w:id="500" w:name="_Toc334698888"/>
      <w:r>
        <w:t>Subdivision 2 — Objections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spacing w:before="180"/>
      </w:pPr>
      <w:bookmarkStart w:id="501" w:name="_Toc477076781"/>
      <w:bookmarkStart w:id="502" w:name="_Toc479399652"/>
      <w:bookmarkStart w:id="503" w:name="_Toc35401840"/>
      <w:bookmarkStart w:id="504" w:name="_Toc103655097"/>
      <w:bookmarkStart w:id="505" w:name="_Toc334698889"/>
      <w:r>
        <w:rPr>
          <w:rStyle w:val="CharSectno"/>
        </w:rPr>
        <w:t>27</w:t>
      </w:r>
      <w:r>
        <w:t>.</w:t>
      </w:r>
      <w:r>
        <w:tab/>
        <w:t>Right to object and procedure for making objections</w:t>
      </w:r>
      <w:bookmarkEnd w:id="501"/>
      <w:bookmarkEnd w:id="502"/>
      <w:bookmarkEnd w:id="503"/>
      <w:bookmarkEnd w:id="504"/>
      <w:bookmarkEnd w:id="505"/>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506" w:name="_Toc477076782"/>
      <w:bookmarkStart w:id="507" w:name="_Toc479399653"/>
      <w:bookmarkStart w:id="508" w:name="_Toc35401841"/>
      <w:bookmarkStart w:id="509" w:name="_Toc103655098"/>
      <w:bookmarkStart w:id="510" w:name="_Toc334698890"/>
      <w:r>
        <w:rPr>
          <w:rStyle w:val="CharSectno"/>
        </w:rPr>
        <w:t>28</w:t>
      </w:r>
      <w:r>
        <w:t>.</w:t>
      </w:r>
      <w:r>
        <w:tab/>
        <w:t>Time for lodging objection</w:t>
      </w:r>
      <w:bookmarkEnd w:id="506"/>
      <w:bookmarkEnd w:id="507"/>
      <w:bookmarkEnd w:id="508"/>
      <w:bookmarkEnd w:id="509"/>
      <w:bookmarkEnd w:id="510"/>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Subsection"/>
      </w:pPr>
      <w:r>
        <w:rPr>
          <w:snapToGrid w:val="0"/>
        </w:rPr>
        <w:tab/>
        <w:t>(2)</w:t>
      </w:r>
      <w:r>
        <w:rPr>
          <w:snapToGrid w:val="0"/>
        </w:rPr>
        <w:tab/>
      </w:r>
      <w:r>
        <w:t>However, the Commissioner may, on application by the objector, extend the time for lodging an objection.</w:t>
      </w:r>
    </w:p>
    <w:p>
      <w:pPr>
        <w:pStyle w:val="Subsection"/>
      </w:pPr>
      <w:r>
        <w:rPr>
          <w:snapToGrid w:val="0"/>
        </w:rPr>
        <w:tab/>
        <w:t>(3)</w:t>
      </w:r>
      <w:r>
        <w:rPr>
          <w:snapToGrid w:val="0"/>
        </w:rPr>
        <w:tab/>
      </w:r>
      <w:r>
        <w:t>An application for an extension of time is to set out fully and in detail the grounds on which the objector asks for an extension of time.</w:t>
      </w:r>
    </w:p>
    <w:p>
      <w:pPr>
        <w:pStyle w:val="Footnotesection"/>
      </w:pPr>
      <w:r>
        <w:tab/>
        <w:t>[Section 28 amended by No. 27 of 2009 s. 7.]</w:t>
      </w:r>
    </w:p>
    <w:p>
      <w:pPr>
        <w:pStyle w:val="Heading5"/>
      </w:pPr>
      <w:bookmarkStart w:id="511" w:name="_Toc477076783"/>
      <w:bookmarkStart w:id="512" w:name="_Toc479399654"/>
      <w:bookmarkStart w:id="513" w:name="_Toc35401842"/>
      <w:bookmarkStart w:id="514" w:name="_Toc103655099"/>
      <w:bookmarkStart w:id="515" w:name="_Toc334698891"/>
      <w:r>
        <w:rPr>
          <w:rStyle w:val="CharSectno"/>
        </w:rPr>
        <w:t>29</w:t>
      </w:r>
      <w:r>
        <w:rPr>
          <w:snapToGrid w:val="0"/>
        </w:rPr>
        <w:t>.</w:t>
      </w:r>
      <w:r>
        <w:rPr>
          <w:snapToGrid w:val="0"/>
        </w:rPr>
        <w:tab/>
        <w:t>Consideration of objection</w:t>
      </w:r>
      <w:bookmarkEnd w:id="511"/>
      <w:bookmarkEnd w:id="512"/>
      <w:bookmarkEnd w:id="513"/>
      <w:bookmarkEnd w:id="514"/>
      <w:bookmarkEnd w:id="515"/>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spacing w:before="180"/>
      </w:pPr>
      <w:bookmarkStart w:id="516" w:name="_Toc477076784"/>
      <w:bookmarkStart w:id="517" w:name="_Toc479399655"/>
      <w:bookmarkStart w:id="518" w:name="_Toc35401843"/>
      <w:bookmarkStart w:id="519" w:name="_Toc103655100"/>
      <w:bookmarkStart w:id="520" w:name="_Toc334698892"/>
      <w:r>
        <w:rPr>
          <w:rStyle w:val="CharSectno"/>
        </w:rPr>
        <w:t>30</w:t>
      </w:r>
      <w:r>
        <w:rPr>
          <w:snapToGrid w:val="0"/>
        </w:rPr>
        <w:t>.</w:t>
      </w:r>
      <w:r>
        <w:rPr>
          <w:snapToGrid w:val="0"/>
        </w:rPr>
        <w:tab/>
        <w:t>Decision on objection</w:t>
      </w:r>
      <w:bookmarkEnd w:id="516"/>
      <w:bookmarkEnd w:id="517"/>
      <w:bookmarkEnd w:id="518"/>
      <w:bookmarkEnd w:id="519"/>
      <w:bookmarkEnd w:id="520"/>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bookmarkStart w:id="521" w:name="_Toc88880170"/>
      <w:bookmarkStart w:id="522" w:name="_Toc89519617"/>
      <w:bookmarkStart w:id="523" w:name="_Toc90883466"/>
      <w:bookmarkStart w:id="524" w:name="_Toc92523263"/>
      <w:bookmarkStart w:id="525" w:name="_Toc101164352"/>
      <w:bookmarkStart w:id="526" w:name="_Toc101235888"/>
      <w:bookmarkStart w:id="527" w:name="_Toc103655101"/>
      <w:bookmarkStart w:id="528" w:name="_Toc122255611"/>
      <w:bookmarkStart w:id="529" w:name="_Toc122255712"/>
      <w:bookmarkStart w:id="530" w:name="_Toc157854334"/>
      <w:bookmarkStart w:id="531" w:name="_Toc196800999"/>
      <w:bookmarkStart w:id="532" w:name="_Toc202511444"/>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by No. 27 of 2009 s. 17.]</w:t>
      </w:r>
    </w:p>
    <w:p>
      <w:pPr>
        <w:pStyle w:val="Heading4"/>
        <w:spacing w:before="200"/>
      </w:pPr>
      <w:bookmarkStart w:id="533" w:name="_Toc246329303"/>
      <w:bookmarkStart w:id="534" w:name="_Toc246394370"/>
      <w:bookmarkStart w:id="535" w:name="_Toc246394471"/>
      <w:bookmarkStart w:id="536" w:name="_Toc249330944"/>
      <w:bookmarkStart w:id="537" w:name="_Toc259703385"/>
      <w:bookmarkStart w:id="538" w:name="_Toc260389838"/>
      <w:bookmarkStart w:id="539" w:name="_Toc262207956"/>
      <w:bookmarkStart w:id="540" w:name="_Toc263760050"/>
      <w:bookmarkStart w:id="541" w:name="_Toc263855293"/>
      <w:bookmarkStart w:id="542" w:name="_Toc266091902"/>
      <w:bookmarkStart w:id="543" w:name="_Toc267576947"/>
      <w:bookmarkStart w:id="544" w:name="_Toc268526044"/>
      <w:bookmarkStart w:id="545" w:name="_Toc334698677"/>
      <w:bookmarkStart w:id="546" w:name="_Toc334698785"/>
      <w:bookmarkStart w:id="547" w:name="_Toc334698893"/>
      <w:r>
        <w:rPr>
          <w:snapToGrid w:val="0"/>
        </w:rPr>
        <w:t xml:space="preserve">Subdivision 3 — </w:t>
      </w:r>
      <w:bookmarkEnd w:id="521"/>
      <w:bookmarkEnd w:id="522"/>
      <w:r>
        <w:t>Review</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Footnoteheading"/>
        <w:spacing w:before="100"/>
      </w:pPr>
      <w:r>
        <w:tab/>
        <w:t>[Heading amended by No. 55 of 2004 s. 375.]</w:t>
      </w:r>
    </w:p>
    <w:p>
      <w:pPr>
        <w:pStyle w:val="Heading5"/>
      </w:pPr>
      <w:bookmarkStart w:id="548" w:name="_Toc103655102"/>
      <w:bookmarkStart w:id="549" w:name="_Toc334698894"/>
      <w:r>
        <w:rPr>
          <w:rStyle w:val="CharSectno"/>
        </w:rPr>
        <w:t>31</w:t>
      </w:r>
      <w:r>
        <w:t>.</w:t>
      </w:r>
      <w:r>
        <w:tab/>
        <w:t>Right of review</w:t>
      </w:r>
      <w:bookmarkEnd w:id="548"/>
      <w:bookmarkEnd w:id="549"/>
    </w:p>
    <w:p>
      <w:pPr>
        <w:pStyle w:val="Subsection"/>
      </w:pPr>
      <w:r>
        <w:tab/>
        <w:t>(1)</w:t>
      </w:r>
      <w:r>
        <w:tab/>
        <w:t>An objector who is dissatisfied with the Commissioner’s decision on the objection may apply to the State Administrative Tribunal for a review of the decision.</w:t>
      </w:r>
    </w:p>
    <w:p>
      <w:pPr>
        <w:pStyle w:val="Subsection"/>
      </w:pPr>
      <w:r>
        <w:tab/>
        <w:t>(2)</w:t>
      </w:r>
      <w:r>
        <w:tab/>
        <w:t>An application for review is to be made within 60 days after the date on which notice of the decision on the objection is given to the objector.</w:t>
      </w:r>
    </w:p>
    <w:p>
      <w:pPr>
        <w:pStyle w:val="Footnotesection"/>
      </w:pPr>
      <w:r>
        <w:tab/>
        <w:t>[Section 31 amended by No. 55 of 2004 s. 376.]</w:t>
      </w:r>
    </w:p>
    <w:p>
      <w:pPr>
        <w:pStyle w:val="Heading5"/>
      </w:pPr>
      <w:bookmarkStart w:id="550" w:name="_Toc245793463"/>
      <w:bookmarkStart w:id="551" w:name="_Toc246319971"/>
      <w:bookmarkStart w:id="552" w:name="_Toc334698895"/>
      <w:r>
        <w:rPr>
          <w:rStyle w:val="CharSectno"/>
        </w:rPr>
        <w:t>32</w:t>
      </w:r>
      <w:r>
        <w:t>.</w:t>
      </w:r>
      <w:r>
        <w:tab/>
        <w:t>Payment following determination of review</w:t>
      </w:r>
      <w:bookmarkEnd w:id="550"/>
      <w:bookmarkEnd w:id="551"/>
      <w:bookmarkEnd w:id="552"/>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by No. 27 of 2009 s. 18.]</w:t>
      </w:r>
    </w:p>
    <w:p>
      <w:pPr>
        <w:pStyle w:val="Footnoteheading"/>
      </w:pPr>
      <w:r>
        <w:tab/>
        <w:t>[Heading deleted by No. 55 of 2004 s. 378.]</w:t>
      </w:r>
    </w:p>
    <w:p>
      <w:pPr>
        <w:pStyle w:val="Ednotesection"/>
      </w:pPr>
      <w:r>
        <w:t>[</w:t>
      </w:r>
      <w:r>
        <w:rPr>
          <w:b/>
        </w:rPr>
        <w:t>33.</w:t>
      </w:r>
      <w:r>
        <w:tab/>
        <w:t>Deleted by No. 55 of 2004 s. 379.]</w:t>
      </w:r>
    </w:p>
    <w:p>
      <w:pPr>
        <w:pStyle w:val="Heading2"/>
      </w:pPr>
      <w:bookmarkStart w:id="553" w:name="_Toc88880175"/>
      <w:bookmarkStart w:id="554" w:name="_Toc89519622"/>
      <w:bookmarkStart w:id="555" w:name="_Toc90883471"/>
      <w:bookmarkStart w:id="556" w:name="_Toc92523266"/>
      <w:bookmarkStart w:id="557" w:name="_Toc101164355"/>
      <w:bookmarkStart w:id="558" w:name="_Toc101235891"/>
      <w:bookmarkStart w:id="559" w:name="_Toc103655104"/>
      <w:bookmarkStart w:id="560" w:name="_Toc122255614"/>
      <w:bookmarkStart w:id="561" w:name="_Toc122255715"/>
      <w:bookmarkStart w:id="562" w:name="_Toc157854337"/>
      <w:bookmarkStart w:id="563" w:name="_Toc196801002"/>
      <w:bookmarkStart w:id="564" w:name="_Toc202511447"/>
      <w:bookmarkStart w:id="565" w:name="_Toc246329308"/>
      <w:bookmarkStart w:id="566" w:name="_Toc246394373"/>
      <w:bookmarkStart w:id="567" w:name="_Toc246394474"/>
      <w:bookmarkStart w:id="568" w:name="_Toc249330947"/>
      <w:bookmarkStart w:id="569" w:name="_Toc259703388"/>
      <w:bookmarkStart w:id="570" w:name="_Toc260389841"/>
      <w:bookmarkStart w:id="571" w:name="_Toc262207959"/>
      <w:bookmarkStart w:id="572" w:name="_Toc263760053"/>
      <w:bookmarkStart w:id="573" w:name="_Toc263855296"/>
      <w:bookmarkStart w:id="574" w:name="_Toc266091905"/>
      <w:bookmarkStart w:id="575" w:name="_Toc267576950"/>
      <w:bookmarkStart w:id="576" w:name="_Toc268526047"/>
      <w:bookmarkStart w:id="577" w:name="_Toc334698680"/>
      <w:bookmarkStart w:id="578" w:name="_Toc334698788"/>
      <w:bookmarkStart w:id="579" w:name="_Toc334698896"/>
      <w:r>
        <w:rPr>
          <w:rStyle w:val="CharPartNo"/>
        </w:rPr>
        <w:t>Part 3</w:t>
      </w:r>
      <w:r>
        <w:t xml:space="preserve"> — </w:t>
      </w:r>
      <w:r>
        <w:rPr>
          <w:rStyle w:val="CharPartText"/>
        </w:rPr>
        <w:t>Administration</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3"/>
      </w:pPr>
      <w:bookmarkStart w:id="580" w:name="_Toc88880176"/>
      <w:bookmarkStart w:id="581" w:name="_Toc89519623"/>
      <w:bookmarkStart w:id="582" w:name="_Toc90883472"/>
      <w:bookmarkStart w:id="583" w:name="_Toc92523267"/>
      <w:bookmarkStart w:id="584" w:name="_Toc101164356"/>
      <w:bookmarkStart w:id="585" w:name="_Toc101235892"/>
      <w:bookmarkStart w:id="586" w:name="_Toc103655105"/>
      <w:bookmarkStart w:id="587" w:name="_Toc122255615"/>
      <w:bookmarkStart w:id="588" w:name="_Toc122255716"/>
      <w:bookmarkStart w:id="589" w:name="_Toc157854338"/>
      <w:bookmarkStart w:id="590" w:name="_Toc196801003"/>
      <w:bookmarkStart w:id="591" w:name="_Toc202511448"/>
      <w:bookmarkStart w:id="592" w:name="_Toc246329309"/>
      <w:bookmarkStart w:id="593" w:name="_Toc246394374"/>
      <w:bookmarkStart w:id="594" w:name="_Toc246394475"/>
      <w:bookmarkStart w:id="595" w:name="_Toc249330948"/>
      <w:bookmarkStart w:id="596" w:name="_Toc259703389"/>
      <w:bookmarkStart w:id="597" w:name="_Toc260389842"/>
      <w:bookmarkStart w:id="598" w:name="_Toc262207960"/>
      <w:bookmarkStart w:id="599" w:name="_Toc263760054"/>
      <w:bookmarkStart w:id="600" w:name="_Toc263855297"/>
      <w:bookmarkStart w:id="601" w:name="_Toc266091906"/>
      <w:bookmarkStart w:id="602" w:name="_Toc267576951"/>
      <w:bookmarkStart w:id="603" w:name="_Toc268526048"/>
      <w:bookmarkStart w:id="604" w:name="_Toc334698681"/>
      <w:bookmarkStart w:id="605" w:name="_Toc334698789"/>
      <w:bookmarkStart w:id="606" w:name="_Toc334698897"/>
      <w:r>
        <w:rPr>
          <w:rStyle w:val="CharDivNo"/>
        </w:rPr>
        <w:t>Division 1</w:t>
      </w:r>
      <w:r>
        <w:t xml:space="preserve"> — </w:t>
      </w:r>
      <w:r>
        <w:rPr>
          <w:rStyle w:val="CharDivText"/>
        </w:rPr>
        <w:t>Administration generally</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spacing w:before="180"/>
      </w:pPr>
      <w:bookmarkStart w:id="607" w:name="_Toc334698898"/>
      <w:bookmarkStart w:id="608" w:name="_Toc479399660"/>
      <w:bookmarkStart w:id="609" w:name="_Toc35401848"/>
      <w:bookmarkStart w:id="610" w:name="_Toc103655107"/>
      <w:r>
        <w:rPr>
          <w:rStyle w:val="CharSectno"/>
        </w:rPr>
        <w:t>34</w:t>
      </w:r>
      <w:r>
        <w:t>.</w:t>
      </w:r>
      <w:r>
        <w:tab/>
        <w:t>Administration of Act</w:t>
      </w:r>
      <w:bookmarkEnd w:id="607"/>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by No. 31 of 2008 s. 33.]</w:t>
      </w:r>
    </w:p>
    <w:p>
      <w:pPr>
        <w:pStyle w:val="Heading5"/>
        <w:spacing w:before="180"/>
      </w:pPr>
      <w:bookmarkStart w:id="611" w:name="_Toc334698899"/>
      <w:r>
        <w:rPr>
          <w:rStyle w:val="CharSectno"/>
        </w:rPr>
        <w:t>35</w:t>
      </w:r>
      <w:r>
        <w:t>.</w:t>
      </w:r>
      <w:r>
        <w:tab/>
        <w:t>Delegation</w:t>
      </w:r>
      <w:bookmarkEnd w:id="608"/>
      <w:bookmarkEnd w:id="609"/>
      <w:bookmarkEnd w:id="610"/>
      <w:bookmarkEnd w:id="611"/>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w:t>
      </w:r>
      <w:bookmarkStart w:id="612" w:name="_Hlt477944963"/>
      <w:r>
        <w:t>37</w:t>
      </w:r>
      <w:bookmarkEnd w:id="612"/>
      <w:r>
        <w:t xml:space="preserve"> limits the ability of the Commissioner to act through the Commissioner’s officers and agents in the normal course of business.</w:t>
      </w:r>
    </w:p>
    <w:p>
      <w:pPr>
        <w:pStyle w:val="Heading5"/>
      </w:pPr>
      <w:bookmarkStart w:id="613" w:name="_Toc479399661"/>
      <w:bookmarkStart w:id="614" w:name="_Toc35401849"/>
      <w:bookmarkStart w:id="615" w:name="_Toc103655108"/>
      <w:bookmarkStart w:id="616" w:name="_Toc334698900"/>
      <w:r>
        <w:rPr>
          <w:rStyle w:val="CharSectno"/>
        </w:rPr>
        <w:t>36</w:t>
      </w:r>
      <w:r>
        <w:t>.</w:t>
      </w:r>
      <w:r>
        <w:tab/>
        <w:t>Authorised investigators</w:t>
      </w:r>
      <w:bookmarkEnd w:id="613"/>
      <w:bookmarkEnd w:id="614"/>
      <w:bookmarkEnd w:id="615"/>
      <w:bookmarkEnd w:id="616"/>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617" w:name="_Toc479399662"/>
      <w:bookmarkStart w:id="618" w:name="_Toc35401850"/>
      <w:bookmarkStart w:id="619" w:name="_Toc103655109"/>
      <w:bookmarkStart w:id="620" w:name="_Toc334698901"/>
      <w:r>
        <w:rPr>
          <w:rStyle w:val="CharSectno"/>
        </w:rPr>
        <w:t>37</w:t>
      </w:r>
      <w:r>
        <w:t>.</w:t>
      </w:r>
      <w:r>
        <w:tab/>
        <w:t>Administration agreements</w:t>
      </w:r>
      <w:bookmarkEnd w:id="617"/>
      <w:bookmarkEnd w:id="618"/>
      <w:bookmarkEnd w:id="619"/>
      <w:bookmarkEnd w:id="620"/>
    </w:p>
    <w:p>
      <w:pPr>
        <w:pStyle w:val="Subsection"/>
      </w:pPr>
      <w:r>
        <w:tab/>
        <w:t>(1)</w:t>
      </w:r>
      <w:r>
        <w:tab/>
        <w:t>Without limiting section </w:t>
      </w:r>
      <w:bookmarkStart w:id="621" w:name="_Hlt477944233"/>
      <w:r>
        <w:t>35</w:t>
      </w:r>
      <w:bookmarkEnd w:id="621"/>
      <w:r>
        <w:t xml:space="preserve">,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622" w:name="_Toc88880181"/>
      <w:bookmarkStart w:id="623" w:name="_Toc89519628"/>
      <w:bookmarkStart w:id="624" w:name="_Toc90883477"/>
      <w:bookmarkStart w:id="625" w:name="_Toc92523272"/>
      <w:bookmarkStart w:id="626" w:name="_Toc101164361"/>
      <w:bookmarkStart w:id="627" w:name="_Toc101235897"/>
      <w:bookmarkStart w:id="628" w:name="_Toc103655110"/>
      <w:bookmarkStart w:id="629" w:name="_Toc122255620"/>
      <w:bookmarkStart w:id="630" w:name="_Toc122255721"/>
      <w:bookmarkStart w:id="631" w:name="_Toc157854343"/>
      <w:bookmarkStart w:id="632" w:name="_Toc196801008"/>
      <w:bookmarkStart w:id="633" w:name="_Toc202511453"/>
      <w:bookmarkStart w:id="634" w:name="_Toc246329314"/>
      <w:bookmarkStart w:id="635" w:name="_Toc246394379"/>
      <w:bookmarkStart w:id="636" w:name="_Toc246394480"/>
      <w:bookmarkStart w:id="637" w:name="_Toc249330953"/>
      <w:bookmarkStart w:id="638" w:name="_Toc259703394"/>
      <w:bookmarkStart w:id="639" w:name="_Toc260389847"/>
      <w:bookmarkStart w:id="640" w:name="_Toc262207965"/>
      <w:bookmarkStart w:id="641" w:name="_Toc263760059"/>
      <w:bookmarkStart w:id="642" w:name="_Toc263855302"/>
      <w:bookmarkStart w:id="643" w:name="_Toc266091911"/>
      <w:bookmarkStart w:id="644" w:name="_Toc267576956"/>
      <w:bookmarkStart w:id="645" w:name="_Toc268526053"/>
      <w:bookmarkStart w:id="646" w:name="_Toc334698686"/>
      <w:bookmarkStart w:id="647" w:name="_Toc334698794"/>
      <w:bookmarkStart w:id="648" w:name="_Toc334698902"/>
      <w:r>
        <w:rPr>
          <w:rStyle w:val="CharDivNo"/>
        </w:rPr>
        <w:t>Division 2</w:t>
      </w:r>
      <w:r>
        <w:t xml:space="preserve"> — </w:t>
      </w:r>
      <w:r>
        <w:rPr>
          <w:rStyle w:val="CharDivText"/>
        </w:rPr>
        <w:t>Investigations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5"/>
      </w:pPr>
      <w:bookmarkStart w:id="649" w:name="_Toc479399663"/>
      <w:bookmarkStart w:id="650" w:name="_Toc35401851"/>
      <w:bookmarkStart w:id="651" w:name="_Toc103655111"/>
      <w:bookmarkStart w:id="652" w:name="_Toc334698903"/>
      <w:r>
        <w:rPr>
          <w:rStyle w:val="CharSectno"/>
        </w:rPr>
        <w:t>38</w:t>
      </w:r>
      <w:r>
        <w:t>.</w:t>
      </w:r>
      <w:r>
        <w:tab/>
        <w:t>Investigations</w:t>
      </w:r>
      <w:bookmarkEnd w:id="649"/>
      <w:bookmarkEnd w:id="650"/>
      <w:bookmarkEnd w:id="651"/>
      <w:bookmarkEnd w:id="652"/>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p>
    <w:p>
      <w:pPr>
        <w:pStyle w:val="Indenta"/>
        <w:rPr>
          <w:snapToGrid w:val="0"/>
        </w:rPr>
      </w:pPr>
      <w:r>
        <w:rPr>
          <w:snapToGrid w:val="0"/>
        </w:rPr>
        <w:tab/>
        <w:t>(b)</w:t>
      </w:r>
      <w:r>
        <w:rPr>
          <w:snapToGrid w:val="0"/>
        </w:rPr>
        <w:tab/>
        <w:t>whether an objection to a decision made under this Act or a corresponding law should be upheld;</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653" w:name="_Toc479399664"/>
      <w:bookmarkStart w:id="654" w:name="_Toc35401852"/>
      <w:bookmarkStart w:id="655" w:name="_Toc103655112"/>
      <w:bookmarkStart w:id="656" w:name="_Toc334698904"/>
      <w:r>
        <w:rPr>
          <w:rStyle w:val="CharSectno"/>
        </w:rPr>
        <w:t>39</w:t>
      </w:r>
      <w:r>
        <w:rPr>
          <w:snapToGrid w:val="0"/>
        </w:rPr>
        <w:t>.</w:t>
      </w:r>
      <w:r>
        <w:rPr>
          <w:snapToGrid w:val="0"/>
        </w:rPr>
        <w:tab/>
        <w:t>Cross</w:t>
      </w:r>
      <w:r>
        <w:rPr>
          <w:snapToGrid w:val="0"/>
        </w:rPr>
        <w:noBreakHyphen/>
        <w:t>border investigations</w:t>
      </w:r>
      <w:bookmarkEnd w:id="653"/>
      <w:bookmarkEnd w:id="654"/>
      <w:bookmarkEnd w:id="655"/>
      <w:bookmarkEnd w:id="656"/>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657" w:name="_Toc479399665"/>
      <w:bookmarkStart w:id="658" w:name="_Toc35401853"/>
      <w:bookmarkStart w:id="659" w:name="_Toc103655113"/>
      <w:bookmarkStart w:id="660" w:name="_Toc334698905"/>
      <w:r>
        <w:rPr>
          <w:rStyle w:val="CharSectno"/>
        </w:rPr>
        <w:t>40</w:t>
      </w:r>
      <w:r>
        <w:rPr>
          <w:snapToGrid w:val="0"/>
        </w:rPr>
        <w:t>.</w:t>
      </w:r>
      <w:r>
        <w:rPr>
          <w:snapToGrid w:val="0"/>
        </w:rPr>
        <w:tab/>
        <w:t>Power of investigation</w:t>
      </w:r>
      <w:bookmarkEnd w:id="657"/>
      <w:bookmarkEnd w:id="658"/>
      <w:bookmarkEnd w:id="659"/>
      <w:bookmarkEnd w:id="660"/>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661" w:name="_Toc334698906"/>
      <w:bookmarkStart w:id="662" w:name="_Toc479399666"/>
      <w:bookmarkStart w:id="663" w:name="_Toc35401854"/>
      <w:bookmarkStart w:id="664" w:name="_Toc103655114"/>
      <w:r>
        <w:rPr>
          <w:rStyle w:val="CharSectno"/>
        </w:rPr>
        <w:t>41A.</w:t>
      </w:r>
      <w:r>
        <w:rPr>
          <w:rStyle w:val="CharSectno"/>
        </w:rPr>
        <w:tab/>
        <w:t>P</w:t>
      </w:r>
      <w:r>
        <w:t>ower to have valuation made</w:t>
      </w:r>
      <w:bookmarkEnd w:id="661"/>
    </w:p>
    <w:p>
      <w:pPr>
        <w:pStyle w:val="Subsection"/>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by No. 27 of 2009 s. 13.]</w:t>
      </w:r>
    </w:p>
    <w:p>
      <w:pPr>
        <w:pStyle w:val="Heading5"/>
      </w:pPr>
      <w:bookmarkStart w:id="665" w:name="_Toc334698907"/>
      <w:r>
        <w:rPr>
          <w:rStyle w:val="CharSectno"/>
        </w:rPr>
        <w:t>41</w:t>
      </w:r>
      <w:r>
        <w:t>.</w:t>
      </w:r>
      <w:r>
        <w:tab/>
        <w:t>Power to require person to attend for examination</w:t>
      </w:r>
      <w:bookmarkEnd w:id="662"/>
      <w:bookmarkEnd w:id="663"/>
      <w:bookmarkEnd w:id="664"/>
      <w:bookmarkEnd w:id="665"/>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666" w:name="_Toc479399667"/>
      <w:bookmarkStart w:id="667" w:name="_Toc35401855"/>
      <w:bookmarkStart w:id="668" w:name="_Toc103655115"/>
      <w:bookmarkStart w:id="669" w:name="_Toc334698908"/>
      <w:r>
        <w:rPr>
          <w:rStyle w:val="CharSectno"/>
        </w:rPr>
        <w:t>42</w:t>
      </w:r>
      <w:r>
        <w:t>.</w:t>
      </w:r>
      <w:r>
        <w:tab/>
        <w:t>Entry of premises</w:t>
      </w:r>
      <w:bookmarkEnd w:id="666"/>
      <w:bookmarkEnd w:id="667"/>
      <w:bookmarkEnd w:id="668"/>
      <w:bookmarkEnd w:id="669"/>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670" w:name="_Toc479399668"/>
      <w:bookmarkStart w:id="671" w:name="_Toc35401856"/>
      <w:bookmarkStart w:id="672" w:name="_Toc103655116"/>
      <w:bookmarkStart w:id="673" w:name="_Toc334698909"/>
      <w:r>
        <w:rPr>
          <w:rStyle w:val="CharSectno"/>
        </w:rPr>
        <w:t>43</w:t>
      </w:r>
      <w:r>
        <w:t>.</w:t>
      </w:r>
      <w:r>
        <w:tab/>
        <w:t>Powers of authorised investigator on entry of premises</w:t>
      </w:r>
      <w:bookmarkEnd w:id="670"/>
      <w:bookmarkEnd w:id="671"/>
      <w:bookmarkEnd w:id="672"/>
      <w:bookmarkEnd w:id="673"/>
    </w:p>
    <w:p>
      <w:pPr>
        <w:pStyle w:val="Subsection"/>
        <w:keepNext/>
      </w:pPr>
      <w:r>
        <w:tab/>
        <w:t>(1)</w:t>
      </w:r>
      <w:r>
        <w:tab/>
        <w:t>An authorised investigator wh</w:t>
      </w:r>
      <w:bookmarkStart w:id="674" w:name="_Hlt477236643"/>
      <w:r>
        <w:t>o enters premises under section 42</w:t>
      </w:r>
      <w:bookmarkEnd w:id="674"/>
      <w:r>
        <w:t xml:space="preserve">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authorised investigator relevant to the investigation; </w:t>
      </w:r>
    </w:p>
    <w:p>
      <w:pPr>
        <w:pStyle w:val="Indenti"/>
      </w:pPr>
      <w:r>
        <w:tab/>
        <w:t>(iii)</w:t>
      </w:r>
      <w:r>
        <w:tab/>
        <w:t xml:space="preserve">to produce relevant material in the person’s possession or control; </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675" w:name="_Toc479399669"/>
      <w:bookmarkStart w:id="676" w:name="_Toc35401857"/>
      <w:bookmarkStart w:id="677" w:name="_Toc103655117"/>
      <w:bookmarkStart w:id="678" w:name="_Toc334698910"/>
      <w:r>
        <w:rPr>
          <w:rStyle w:val="CharSectno"/>
        </w:rPr>
        <w:t>44</w:t>
      </w:r>
      <w:r>
        <w:t>.</w:t>
      </w:r>
      <w:r>
        <w:tab/>
        <w:t>Warrants</w:t>
      </w:r>
      <w:bookmarkEnd w:id="675"/>
      <w:bookmarkEnd w:id="676"/>
      <w:bookmarkEnd w:id="677"/>
      <w:bookmarkEnd w:id="678"/>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bookmarkStart w:id="679" w:name="_Toc479399670"/>
      <w:bookmarkStart w:id="680" w:name="_Toc35401858"/>
      <w:r>
        <w:tab/>
        <w:t>[Section 44 amended by No. 84 of 2004 s. 80.]</w:t>
      </w:r>
    </w:p>
    <w:p>
      <w:pPr>
        <w:pStyle w:val="Heading5"/>
      </w:pPr>
      <w:bookmarkStart w:id="681" w:name="_Toc103655118"/>
      <w:bookmarkStart w:id="682" w:name="_Toc334698911"/>
      <w:r>
        <w:rPr>
          <w:rStyle w:val="CharSectno"/>
        </w:rPr>
        <w:t>45</w:t>
      </w:r>
      <w:r>
        <w:t>.</w:t>
      </w:r>
      <w:r>
        <w:tab/>
        <w:t>Use of force</w:t>
      </w:r>
      <w:bookmarkEnd w:id="679"/>
      <w:bookmarkEnd w:id="680"/>
      <w:bookmarkEnd w:id="681"/>
      <w:bookmarkEnd w:id="682"/>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683" w:name="_Toc479399671"/>
      <w:bookmarkStart w:id="684" w:name="_Toc35401859"/>
      <w:bookmarkStart w:id="685" w:name="_Toc103655119"/>
      <w:bookmarkStart w:id="686" w:name="_Toc334698912"/>
      <w:r>
        <w:rPr>
          <w:rStyle w:val="CharSectno"/>
        </w:rPr>
        <w:t>46</w:t>
      </w:r>
      <w:r>
        <w:t>.</w:t>
      </w:r>
      <w:r>
        <w:tab/>
        <w:t>Self incrimination</w:t>
      </w:r>
      <w:bookmarkEnd w:id="683"/>
      <w:bookmarkEnd w:id="684"/>
      <w:bookmarkEnd w:id="685"/>
      <w:bookmarkEnd w:id="686"/>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687" w:name="_Toc88880191"/>
      <w:bookmarkStart w:id="688" w:name="_Toc89519638"/>
      <w:bookmarkStart w:id="689" w:name="_Toc90883487"/>
      <w:bookmarkStart w:id="690" w:name="_Toc92523282"/>
      <w:bookmarkStart w:id="691" w:name="_Toc101164371"/>
      <w:bookmarkStart w:id="692" w:name="_Toc101235907"/>
      <w:bookmarkStart w:id="693" w:name="_Toc103655120"/>
      <w:bookmarkStart w:id="694" w:name="_Toc122255630"/>
      <w:bookmarkStart w:id="695" w:name="_Toc122255731"/>
      <w:bookmarkStart w:id="696" w:name="_Toc157854353"/>
      <w:bookmarkStart w:id="697" w:name="_Toc196801018"/>
      <w:bookmarkStart w:id="698" w:name="_Toc202511463"/>
      <w:bookmarkStart w:id="699" w:name="_Toc246329324"/>
      <w:bookmarkStart w:id="700" w:name="_Toc246394389"/>
      <w:bookmarkStart w:id="701" w:name="_Toc246394490"/>
      <w:bookmarkStart w:id="702" w:name="_Toc249330964"/>
      <w:bookmarkStart w:id="703" w:name="_Toc259703405"/>
      <w:bookmarkStart w:id="704" w:name="_Toc260389858"/>
      <w:bookmarkStart w:id="705" w:name="_Toc262207976"/>
      <w:bookmarkStart w:id="706" w:name="_Toc263760070"/>
      <w:bookmarkStart w:id="707" w:name="_Toc263855313"/>
      <w:bookmarkStart w:id="708" w:name="_Toc266091922"/>
      <w:bookmarkStart w:id="709" w:name="_Toc267576967"/>
      <w:bookmarkStart w:id="710" w:name="_Toc268526064"/>
      <w:bookmarkStart w:id="711" w:name="_Toc334698697"/>
      <w:bookmarkStart w:id="712" w:name="_Toc334698805"/>
      <w:bookmarkStart w:id="713" w:name="_Toc334698913"/>
      <w:r>
        <w:rPr>
          <w:rStyle w:val="CharPartNo"/>
        </w:rPr>
        <w:t>Part 4</w:t>
      </w:r>
      <w:r>
        <w:t xml:space="preserve"> — </w:t>
      </w:r>
      <w:r>
        <w:rPr>
          <w:rStyle w:val="CharPartText"/>
        </w:rPr>
        <w:t>Miscellaneous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Heading3"/>
      </w:pPr>
      <w:bookmarkStart w:id="714" w:name="_Toc88880192"/>
      <w:bookmarkStart w:id="715" w:name="_Toc89519639"/>
      <w:bookmarkStart w:id="716" w:name="_Toc90883488"/>
      <w:bookmarkStart w:id="717" w:name="_Toc92523283"/>
      <w:bookmarkStart w:id="718" w:name="_Toc101164372"/>
      <w:bookmarkStart w:id="719" w:name="_Toc101235908"/>
      <w:bookmarkStart w:id="720" w:name="_Toc103655121"/>
      <w:bookmarkStart w:id="721" w:name="_Toc122255631"/>
      <w:bookmarkStart w:id="722" w:name="_Toc122255732"/>
      <w:bookmarkStart w:id="723" w:name="_Toc157854354"/>
      <w:bookmarkStart w:id="724" w:name="_Toc196801019"/>
      <w:bookmarkStart w:id="725" w:name="_Toc202511464"/>
      <w:bookmarkStart w:id="726" w:name="_Toc246329325"/>
      <w:bookmarkStart w:id="727" w:name="_Toc246394390"/>
      <w:bookmarkStart w:id="728" w:name="_Toc246394491"/>
      <w:bookmarkStart w:id="729" w:name="_Toc249330965"/>
      <w:bookmarkStart w:id="730" w:name="_Toc259703406"/>
      <w:bookmarkStart w:id="731" w:name="_Toc260389859"/>
      <w:bookmarkStart w:id="732" w:name="_Toc262207977"/>
      <w:bookmarkStart w:id="733" w:name="_Toc263760071"/>
      <w:bookmarkStart w:id="734" w:name="_Toc263855314"/>
      <w:bookmarkStart w:id="735" w:name="_Toc266091923"/>
      <w:bookmarkStart w:id="736" w:name="_Toc267576968"/>
      <w:bookmarkStart w:id="737" w:name="_Toc268526065"/>
      <w:bookmarkStart w:id="738" w:name="_Toc334698698"/>
      <w:bookmarkStart w:id="739" w:name="_Toc334698806"/>
      <w:bookmarkStart w:id="740" w:name="_Toc334698914"/>
      <w:r>
        <w:rPr>
          <w:rStyle w:val="CharDivNo"/>
        </w:rPr>
        <w:t>Division 1</w:t>
      </w:r>
      <w:r>
        <w:t xml:space="preserve"> — </w:t>
      </w:r>
      <w:r>
        <w:rPr>
          <w:rStyle w:val="CharDivText"/>
        </w:rPr>
        <w:t>Offences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spacing w:before="180"/>
      </w:pPr>
      <w:bookmarkStart w:id="741" w:name="_Toc479399672"/>
      <w:bookmarkStart w:id="742" w:name="_Toc35401860"/>
      <w:bookmarkStart w:id="743" w:name="_Toc103655122"/>
      <w:bookmarkStart w:id="744" w:name="_Toc334698915"/>
      <w:r>
        <w:rPr>
          <w:rStyle w:val="CharSectno"/>
        </w:rPr>
        <w:t>47</w:t>
      </w:r>
      <w:r>
        <w:t>.</w:t>
      </w:r>
      <w:r>
        <w:tab/>
        <w:t>False or misleading information and documents</w:t>
      </w:r>
      <w:bookmarkEnd w:id="741"/>
      <w:bookmarkEnd w:id="742"/>
      <w:bookmarkEnd w:id="743"/>
      <w:bookmarkEnd w:id="744"/>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bookmarkStart w:id="745" w:name="_Toc479399673"/>
      <w:bookmarkStart w:id="746" w:name="_Toc35401861"/>
      <w:r>
        <w:tab/>
        <w:t>[Section 47 amended by No. 52 of 2004 s. 13.]</w:t>
      </w:r>
    </w:p>
    <w:p>
      <w:pPr>
        <w:pStyle w:val="Heading5"/>
      </w:pPr>
      <w:bookmarkStart w:id="747" w:name="_Toc103655123"/>
      <w:bookmarkStart w:id="748" w:name="_Toc334698916"/>
      <w:r>
        <w:rPr>
          <w:rStyle w:val="CharSectno"/>
        </w:rPr>
        <w:t>48</w:t>
      </w:r>
      <w:r>
        <w:t>.</w:t>
      </w:r>
      <w:r>
        <w:tab/>
        <w:t>Obstructing or misleading Commissioner or authorised investigator</w:t>
      </w:r>
      <w:bookmarkEnd w:id="745"/>
      <w:bookmarkEnd w:id="746"/>
      <w:bookmarkEnd w:id="747"/>
      <w:bookmarkEnd w:id="748"/>
    </w:p>
    <w:p>
      <w:pPr>
        <w:pStyle w:val="Subsection"/>
        <w:rPr>
          <w:lang w:val="en-GB"/>
        </w:rPr>
      </w:pPr>
      <w:r>
        <w:tab/>
        <w:t>(1)</w:t>
      </w:r>
      <w:r>
        <w:tab/>
      </w:r>
      <w:r>
        <w:rPr>
          <w:lang w:val="en-GB"/>
        </w:rPr>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749" w:name="_Toc88880195"/>
      <w:bookmarkStart w:id="750" w:name="_Toc89519642"/>
      <w:bookmarkStart w:id="751" w:name="_Toc90883491"/>
      <w:bookmarkStart w:id="752" w:name="_Toc92523286"/>
      <w:bookmarkStart w:id="753" w:name="_Toc101164375"/>
      <w:bookmarkStart w:id="754" w:name="_Toc101235911"/>
      <w:bookmarkStart w:id="755" w:name="_Toc103655124"/>
      <w:bookmarkStart w:id="756" w:name="_Toc122255634"/>
      <w:bookmarkStart w:id="757" w:name="_Toc122255735"/>
      <w:bookmarkStart w:id="758" w:name="_Toc157854357"/>
      <w:bookmarkStart w:id="759" w:name="_Toc196801022"/>
      <w:bookmarkStart w:id="760" w:name="_Toc202511467"/>
      <w:bookmarkStart w:id="761" w:name="_Toc246329328"/>
      <w:bookmarkStart w:id="762" w:name="_Toc246394393"/>
      <w:bookmarkStart w:id="763" w:name="_Toc246394494"/>
      <w:bookmarkStart w:id="764" w:name="_Toc249330968"/>
      <w:bookmarkStart w:id="765" w:name="_Toc259703409"/>
      <w:bookmarkStart w:id="766" w:name="_Toc260389862"/>
      <w:bookmarkStart w:id="767" w:name="_Toc262207980"/>
      <w:bookmarkStart w:id="768" w:name="_Toc263760074"/>
      <w:bookmarkStart w:id="769" w:name="_Toc263855317"/>
      <w:bookmarkStart w:id="770" w:name="_Toc266091926"/>
      <w:bookmarkStart w:id="771" w:name="_Toc267576971"/>
      <w:bookmarkStart w:id="772" w:name="_Toc268526068"/>
      <w:bookmarkStart w:id="773" w:name="_Toc334698701"/>
      <w:bookmarkStart w:id="774" w:name="_Toc334698809"/>
      <w:bookmarkStart w:id="775" w:name="_Toc334698917"/>
      <w:r>
        <w:rPr>
          <w:rStyle w:val="CharDivNo"/>
        </w:rPr>
        <w:t>Division 2</w:t>
      </w:r>
      <w:r>
        <w:t xml:space="preserve"> — </w:t>
      </w:r>
      <w:r>
        <w:rPr>
          <w:rStyle w:val="CharDivText"/>
        </w:rPr>
        <w:t>Evidentiary provisions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5"/>
      </w:pPr>
      <w:bookmarkStart w:id="776" w:name="_Toc479399674"/>
      <w:bookmarkStart w:id="777" w:name="_Toc35401862"/>
      <w:bookmarkStart w:id="778" w:name="_Toc103655125"/>
      <w:bookmarkStart w:id="779" w:name="_Toc334698918"/>
      <w:r>
        <w:rPr>
          <w:rStyle w:val="CharSectno"/>
        </w:rPr>
        <w:t>49</w:t>
      </w:r>
      <w:r>
        <w:t>.</w:t>
      </w:r>
      <w:r>
        <w:tab/>
        <w:t>Evidence</w:t>
      </w:r>
      <w:bookmarkEnd w:id="776"/>
      <w:bookmarkEnd w:id="777"/>
      <w:bookmarkEnd w:id="778"/>
      <w:bookmarkEnd w:id="779"/>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780" w:name="_Toc479399675"/>
      <w:bookmarkStart w:id="781" w:name="_Toc35401863"/>
      <w:bookmarkStart w:id="782" w:name="_Toc103655126"/>
      <w:bookmarkStart w:id="783" w:name="_Toc334698919"/>
      <w:r>
        <w:rPr>
          <w:rStyle w:val="CharSectno"/>
        </w:rPr>
        <w:t>50</w:t>
      </w:r>
      <w:r>
        <w:t>.</w:t>
      </w:r>
      <w:r>
        <w:tab/>
        <w:t>Presumption of regularity</w:t>
      </w:r>
      <w:bookmarkEnd w:id="780"/>
      <w:bookmarkEnd w:id="781"/>
      <w:bookmarkEnd w:id="782"/>
      <w:bookmarkEnd w:id="783"/>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784" w:name="_Toc88880198"/>
      <w:bookmarkStart w:id="785" w:name="_Toc89519645"/>
      <w:bookmarkStart w:id="786" w:name="_Toc90883494"/>
      <w:bookmarkStart w:id="787" w:name="_Toc92523289"/>
      <w:bookmarkStart w:id="788" w:name="_Toc101164378"/>
      <w:bookmarkStart w:id="789" w:name="_Toc101235914"/>
      <w:bookmarkStart w:id="790" w:name="_Toc103655127"/>
      <w:bookmarkStart w:id="791" w:name="_Toc122255637"/>
      <w:bookmarkStart w:id="792" w:name="_Toc122255738"/>
      <w:bookmarkStart w:id="793" w:name="_Toc157854360"/>
      <w:bookmarkStart w:id="794" w:name="_Toc196801025"/>
      <w:bookmarkStart w:id="795" w:name="_Toc202511470"/>
      <w:bookmarkStart w:id="796" w:name="_Toc246329331"/>
      <w:bookmarkStart w:id="797" w:name="_Toc246394396"/>
      <w:bookmarkStart w:id="798" w:name="_Toc246394497"/>
      <w:bookmarkStart w:id="799" w:name="_Toc249330971"/>
      <w:bookmarkStart w:id="800" w:name="_Toc259703412"/>
      <w:bookmarkStart w:id="801" w:name="_Toc260389865"/>
      <w:bookmarkStart w:id="802" w:name="_Toc262207983"/>
      <w:bookmarkStart w:id="803" w:name="_Toc263760077"/>
      <w:bookmarkStart w:id="804" w:name="_Toc263855320"/>
      <w:bookmarkStart w:id="805" w:name="_Toc266091929"/>
      <w:bookmarkStart w:id="806" w:name="_Toc267576974"/>
      <w:bookmarkStart w:id="807" w:name="_Toc268526071"/>
      <w:bookmarkStart w:id="808" w:name="_Toc334698704"/>
      <w:bookmarkStart w:id="809" w:name="_Toc334698812"/>
      <w:bookmarkStart w:id="810" w:name="_Toc334698920"/>
      <w:r>
        <w:rPr>
          <w:rStyle w:val="CharDivNo"/>
        </w:rPr>
        <w:t>Division 3</w:t>
      </w:r>
      <w:r>
        <w:t xml:space="preserve"> — </w:t>
      </w:r>
      <w:r>
        <w:rPr>
          <w:rStyle w:val="CharDivText"/>
        </w:rPr>
        <w:t>Repayments and penalties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Heading5"/>
      </w:pPr>
      <w:bookmarkStart w:id="811" w:name="_Toc479399676"/>
      <w:bookmarkStart w:id="812" w:name="_Toc35401864"/>
      <w:bookmarkStart w:id="813" w:name="_Toc103655128"/>
      <w:bookmarkStart w:id="814" w:name="_Toc334698921"/>
      <w:r>
        <w:rPr>
          <w:rStyle w:val="CharSectno"/>
        </w:rPr>
        <w:t>51</w:t>
      </w:r>
      <w:r>
        <w:t>.</w:t>
      </w:r>
      <w:r>
        <w:tab/>
        <w:t>Commissioner may require repayment and impose penalty</w:t>
      </w:r>
      <w:bookmarkEnd w:id="811"/>
      <w:bookmarkEnd w:id="812"/>
      <w:bookmarkEnd w:id="813"/>
      <w:bookmarkEnd w:id="814"/>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Heading5"/>
      </w:pPr>
      <w:bookmarkStart w:id="815" w:name="_Toc479399677"/>
      <w:bookmarkStart w:id="816" w:name="_Toc35401865"/>
      <w:bookmarkStart w:id="817" w:name="_Toc103655129"/>
      <w:bookmarkStart w:id="818" w:name="_Toc334698922"/>
      <w:r>
        <w:rPr>
          <w:rStyle w:val="CharSectno"/>
        </w:rPr>
        <w:t>52</w:t>
      </w:r>
      <w:r>
        <w:t>.</w:t>
      </w:r>
      <w:r>
        <w:tab/>
        <w:t>Arrangements for instalments and extensions of time</w:t>
      </w:r>
      <w:bookmarkEnd w:id="815"/>
      <w:bookmarkEnd w:id="816"/>
      <w:bookmarkEnd w:id="817"/>
      <w:bookmarkEnd w:id="818"/>
    </w:p>
    <w:p>
      <w:pPr>
        <w:pStyle w:val="Subsection"/>
      </w:pPr>
      <w:r>
        <w:tab/>
        <w:t>(1)</w:t>
      </w:r>
      <w:r>
        <w:tab/>
        <w:t xml:space="preserve">The Commissioner may approve (with or without amendment) a written arrangement — </w:t>
      </w:r>
    </w:p>
    <w:p>
      <w:pPr>
        <w:pStyle w:val="Indenta"/>
      </w:pPr>
      <w:r>
        <w:tab/>
        <w:t>(a)</w:t>
      </w:r>
      <w:r>
        <w:tab/>
        <w:t xml:space="preserve">extending the period for paying a repayment required, or a penalty imposed, under section 18, 21 or 51 (a </w:t>
      </w:r>
      <w:r>
        <w:rPr>
          <w:rStyle w:val="CharDefText"/>
        </w:rPr>
        <w:t>required repayment</w:t>
      </w:r>
      <w:r>
        <w: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 No. 27 of 2009 s. 14.]</w:t>
      </w:r>
    </w:p>
    <w:p>
      <w:pPr>
        <w:pStyle w:val="Heading5"/>
      </w:pPr>
      <w:bookmarkStart w:id="819" w:name="_Toc479399678"/>
      <w:bookmarkStart w:id="820" w:name="_Toc35401866"/>
      <w:bookmarkStart w:id="821" w:name="_Toc103655130"/>
      <w:bookmarkStart w:id="822" w:name="_Toc334698923"/>
      <w:r>
        <w:rPr>
          <w:rStyle w:val="CharSectno"/>
        </w:rPr>
        <w:t>53</w:t>
      </w:r>
      <w:r>
        <w:t>.</w:t>
      </w:r>
      <w:r>
        <w:tab/>
        <w:t>Recovery of certain amounts</w:t>
      </w:r>
      <w:bookmarkEnd w:id="819"/>
      <w:bookmarkEnd w:id="820"/>
      <w:bookmarkEnd w:id="821"/>
      <w:bookmarkEnd w:id="822"/>
    </w:p>
    <w:p>
      <w:pPr>
        <w:pStyle w:val="Subsection"/>
      </w:pPr>
      <w:r>
        <w:tab/>
        <w:t>(1)</w:t>
      </w:r>
      <w:r>
        <w:tab/>
        <w:t xml:space="preserve">This section applies to —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 and</w:t>
      </w:r>
    </w:p>
    <w:p>
      <w:pPr>
        <w:pStyle w:val="Indenta"/>
      </w:pPr>
      <w:r>
        <w:tab/>
        <w:t>(d)</w:t>
      </w:r>
      <w:r>
        <w:tab/>
        <w:t>an amount that is required to be paid under section 60.</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Heading5"/>
      </w:pPr>
      <w:bookmarkStart w:id="823" w:name="_Toc334542143"/>
      <w:bookmarkStart w:id="824" w:name="_Toc334542209"/>
      <w:bookmarkStart w:id="825" w:name="_Toc334698924"/>
      <w:bookmarkStart w:id="826" w:name="_Toc479399679"/>
      <w:bookmarkStart w:id="827" w:name="_Toc35401867"/>
      <w:bookmarkStart w:id="828" w:name="_Toc103655131"/>
      <w:r>
        <w:rPr>
          <w:rStyle w:val="CharSectno"/>
        </w:rPr>
        <w:t>54A</w:t>
      </w:r>
      <w:r>
        <w:t>.</w:t>
      </w:r>
      <w:r>
        <w:tab/>
        <w:t>Recovery from garnishee</w:t>
      </w:r>
      <w:bookmarkEnd w:id="823"/>
      <w:bookmarkEnd w:id="824"/>
      <w:bookmarkEnd w:id="825"/>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tab/>
        <w:t>(c)</w:t>
      </w:r>
      <w:r>
        <w:tab/>
        <w:t>has authority to pay money to a liable person.</w:t>
      </w:r>
    </w:p>
    <w:p>
      <w:pPr>
        <w:pStyle w:val="Subsection"/>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by No. 29 of 2012 s. 11.]</w:t>
      </w:r>
    </w:p>
    <w:p>
      <w:pPr>
        <w:pStyle w:val="Heading5"/>
      </w:pPr>
      <w:bookmarkStart w:id="829" w:name="_Toc334698925"/>
      <w:r>
        <w:rPr>
          <w:rStyle w:val="CharSectno"/>
        </w:rPr>
        <w:t>54</w:t>
      </w:r>
      <w:r>
        <w:t>.</w:t>
      </w:r>
      <w:r>
        <w:tab/>
        <w:t>Writing off liability</w:t>
      </w:r>
      <w:bookmarkEnd w:id="826"/>
      <w:bookmarkEnd w:id="827"/>
      <w:bookmarkEnd w:id="828"/>
      <w:bookmarkEnd w:id="829"/>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by No. 77 of 2006 Sch. 1 cl. 67.]</w:t>
      </w:r>
    </w:p>
    <w:p>
      <w:pPr>
        <w:pStyle w:val="Heading3"/>
      </w:pPr>
      <w:bookmarkStart w:id="830" w:name="_Toc88880203"/>
      <w:bookmarkStart w:id="831" w:name="_Toc89519650"/>
      <w:bookmarkStart w:id="832" w:name="_Toc90883499"/>
      <w:bookmarkStart w:id="833" w:name="_Toc92523294"/>
      <w:bookmarkStart w:id="834" w:name="_Toc101164383"/>
      <w:bookmarkStart w:id="835" w:name="_Toc101235919"/>
      <w:bookmarkStart w:id="836" w:name="_Toc103655132"/>
      <w:bookmarkStart w:id="837" w:name="_Toc122255642"/>
      <w:bookmarkStart w:id="838" w:name="_Toc122255743"/>
      <w:bookmarkStart w:id="839" w:name="_Toc157854365"/>
      <w:bookmarkStart w:id="840" w:name="_Toc196801030"/>
      <w:bookmarkStart w:id="841" w:name="_Toc202511475"/>
      <w:bookmarkStart w:id="842" w:name="_Toc246329336"/>
      <w:bookmarkStart w:id="843" w:name="_Toc246394401"/>
      <w:bookmarkStart w:id="844" w:name="_Toc246394502"/>
      <w:bookmarkStart w:id="845" w:name="_Toc249330976"/>
      <w:bookmarkStart w:id="846" w:name="_Toc259703417"/>
      <w:bookmarkStart w:id="847" w:name="_Toc260389870"/>
      <w:bookmarkStart w:id="848" w:name="_Toc262207988"/>
      <w:bookmarkStart w:id="849" w:name="_Toc263760082"/>
      <w:bookmarkStart w:id="850" w:name="_Toc263855325"/>
      <w:bookmarkStart w:id="851" w:name="_Toc266091934"/>
      <w:bookmarkStart w:id="852" w:name="_Toc267576979"/>
      <w:bookmarkStart w:id="853" w:name="_Toc268526076"/>
      <w:bookmarkStart w:id="854" w:name="_Toc334698710"/>
      <w:bookmarkStart w:id="855" w:name="_Toc334698818"/>
      <w:bookmarkStart w:id="856" w:name="_Toc334698926"/>
      <w:r>
        <w:rPr>
          <w:rStyle w:val="CharDivNo"/>
        </w:rPr>
        <w:t>Division 4</w:t>
      </w:r>
      <w:r>
        <w:t xml:space="preserve"> — </w:t>
      </w:r>
      <w:r>
        <w:rPr>
          <w:rStyle w:val="CharDivText"/>
        </w:rPr>
        <w:t>Charge on interest in home</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Heading5"/>
      </w:pPr>
      <w:bookmarkStart w:id="857" w:name="_Toc479399680"/>
      <w:bookmarkStart w:id="858" w:name="_Toc35401868"/>
      <w:bookmarkStart w:id="859" w:name="_Toc103655133"/>
      <w:bookmarkStart w:id="860" w:name="_Toc334698927"/>
      <w:r>
        <w:rPr>
          <w:rStyle w:val="CharSectno"/>
        </w:rPr>
        <w:t>55</w:t>
      </w:r>
      <w:r>
        <w:t>.</w:t>
      </w:r>
      <w:r>
        <w:tab/>
        <w:t>Lodgement of memorial and creation of charge</w:t>
      </w:r>
      <w:bookmarkEnd w:id="857"/>
      <w:bookmarkEnd w:id="858"/>
      <w:bookmarkEnd w:id="859"/>
      <w:bookmarkEnd w:id="860"/>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by No. 27 of 2009 s. 19.]</w:t>
      </w:r>
    </w:p>
    <w:p>
      <w:pPr>
        <w:pStyle w:val="Heading5"/>
      </w:pPr>
      <w:bookmarkStart w:id="861" w:name="_Toc479399681"/>
      <w:bookmarkStart w:id="862" w:name="_Toc35401869"/>
      <w:bookmarkStart w:id="863" w:name="_Toc103655134"/>
      <w:bookmarkStart w:id="864" w:name="_Toc334698928"/>
      <w:r>
        <w:rPr>
          <w:rStyle w:val="CharSectno"/>
        </w:rPr>
        <w:t>56</w:t>
      </w:r>
      <w:r>
        <w:t>.</w:t>
      </w:r>
      <w:r>
        <w:tab/>
        <w:t>Priority of charge</w:t>
      </w:r>
      <w:bookmarkEnd w:id="861"/>
      <w:bookmarkEnd w:id="862"/>
      <w:bookmarkEnd w:id="863"/>
      <w:bookmarkEnd w:id="864"/>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865" w:name="_Toc479399682"/>
      <w:bookmarkStart w:id="866" w:name="_Toc35401870"/>
      <w:bookmarkStart w:id="867" w:name="_Toc103655135"/>
      <w:bookmarkStart w:id="868" w:name="_Toc334698929"/>
      <w:r>
        <w:rPr>
          <w:rStyle w:val="CharSectno"/>
        </w:rPr>
        <w:t>57</w:t>
      </w:r>
      <w:r>
        <w:t>.</w:t>
      </w:r>
      <w:r>
        <w:tab/>
        <w:t>Release of relevant interest from charge</w:t>
      </w:r>
      <w:bookmarkEnd w:id="865"/>
      <w:bookmarkEnd w:id="866"/>
      <w:bookmarkEnd w:id="867"/>
      <w:bookmarkEnd w:id="868"/>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869" w:name="_Toc479399683"/>
      <w:bookmarkStart w:id="870" w:name="_Toc35401871"/>
      <w:bookmarkStart w:id="871" w:name="_Toc103655136"/>
      <w:bookmarkStart w:id="872" w:name="_Toc334698930"/>
      <w:r>
        <w:rPr>
          <w:rStyle w:val="CharSectno"/>
        </w:rPr>
        <w:t>58</w:t>
      </w:r>
      <w:r>
        <w:t>.</w:t>
      </w:r>
      <w:r>
        <w:tab/>
        <w:t>Order for sale of relevant interest</w:t>
      </w:r>
      <w:bookmarkEnd w:id="869"/>
      <w:bookmarkEnd w:id="870"/>
      <w:bookmarkEnd w:id="871"/>
      <w:bookmarkEnd w:id="872"/>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relevant interest;</w:t>
      </w:r>
    </w:p>
    <w:p>
      <w:pPr>
        <w:pStyle w:val="Indenta"/>
      </w:pPr>
      <w:r>
        <w:tab/>
        <w:t>(c)</w:t>
      </w:r>
      <w:r>
        <w:tab/>
        <w:t>authorising the Registrar to register a transfer to a purchaser without requiring the duplicate (if any) of the certificate of title or any other document;</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873" w:name="_Toc479399684"/>
      <w:bookmarkStart w:id="874" w:name="_Toc35401872"/>
      <w:bookmarkStart w:id="875" w:name="_Toc103655137"/>
      <w:bookmarkStart w:id="876" w:name="_Toc334698931"/>
      <w:r>
        <w:rPr>
          <w:rStyle w:val="CharSectno"/>
        </w:rPr>
        <w:t>59</w:t>
      </w:r>
      <w:r>
        <w:t>.</w:t>
      </w:r>
      <w:r>
        <w:tab/>
        <w:t>Charge not to limit other means of enforcing payment</w:t>
      </w:r>
      <w:bookmarkEnd w:id="873"/>
      <w:bookmarkEnd w:id="874"/>
      <w:bookmarkEnd w:id="875"/>
      <w:bookmarkEnd w:id="876"/>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877" w:name="_Toc479399685"/>
      <w:bookmarkStart w:id="878" w:name="_Toc35401873"/>
      <w:bookmarkStart w:id="879" w:name="_Toc103655138"/>
      <w:bookmarkStart w:id="880" w:name="_Toc334698932"/>
      <w:r>
        <w:rPr>
          <w:rStyle w:val="CharSectno"/>
        </w:rPr>
        <w:t>60</w:t>
      </w:r>
      <w:r>
        <w:t>.</w:t>
      </w:r>
      <w:r>
        <w:tab/>
        <w:t>Commissioner may require fees to be reimbursed</w:t>
      </w:r>
      <w:bookmarkEnd w:id="877"/>
      <w:bookmarkEnd w:id="878"/>
      <w:bookmarkEnd w:id="879"/>
      <w:bookmarkEnd w:id="880"/>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881" w:name="_Toc88880210"/>
      <w:bookmarkStart w:id="882" w:name="_Toc89519657"/>
      <w:bookmarkStart w:id="883" w:name="_Toc90883506"/>
      <w:bookmarkStart w:id="884" w:name="_Toc92523301"/>
      <w:bookmarkStart w:id="885" w:name="_Toc101164390"/>
      <w:bookmarkStart w:id="886" w:name="_Toc101235926"/>
      <w:bookmarkStart w:id="887" w:name="_Toc103655139"/>
      <w:bookmarkStart w:id="888" w:name="_Toc122255649"/>
      <w:bookmarkStart w:id="889" w:name="_Toc122255750"/>
      <w:bookmarkStart w:id="890" w:name="_Toc157854372"/>
      <w:bookmarkStart w:id="891" w:name="_Toc196801037"/>
      <w:bookmarkStart w:id="892" w:name="_Toc202511482"/>
      <w:bookmarkStart w:id="893" w:name="_Toc246329343"/>
      <w:bookmarkStart w:id="894" w:name="_Toc246394408"/>
      <w:bookmarkStart w:id="895" w:name="_Toc246394509"/>
      <w:bookmarkStart w:id="896" w:name="_Toc249330983"/>
      <w:bookmarkStart w:id="897" w:name="_Toc259703424"/>
      <w:bookmarkStart w:id="898" w:name="_Toc260389877"/>
      <w:bookmarkStart w:id="899" w:name="_Toc262207995"/>
      <w:bookmarkStart w:id="900" w:name="_Toc263760089"/>
      <w:bookmarkStart w:id="901" w:name="_Toc263855332"/>
      <w:bookmarkStart w:id="902" w:name="_Toc266091941"/>
      <w:bookmarkStart w:id="903" w:name="_Toc267576986"/>
      <w:bookmarkStart w:id="904" w:name="_Toc268526083"/>
      <w:bookmarkStart w:id="905" w:name="_Toc334698717"/>
      <w:bookmarkStart w:id="906" w:name="_Toc334698825"/>
      <w:bookmarkStart w:id="907" w:name="_Toc334698933"/>
      <w:r>
        <w:rPr>
          <w:rStyle w:val="CharDivNo"/>
        </w:rPr>
        <w:t>Division 5</w:t>
      </w:r>
      <w:r>
        <w:t xml:space="preserve"> — </w:t>
      </w:r>
      <w:r>
        <w:rPr>
          <w:rStyle w:val="CharDivText"/>
        </w:rPr>
        <w:t>Service of documents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Heading5"/>
      </w:pPr>
      <w:bookmarkStart w:id="908" w:name="_Toc479399686"/>
      <w:bookmarkStart w:id="909" w:name="_Toc35401874"/>
      <w:bookmarkStart w:id="910" w:name="_Toc103655140"/>
      <w:bookmarkStart w:id="911" w:name="_Toc334698934"/>
      <w:r>
        <w:rPr>
          <w:rStyle w:val="CharSectno"/>
        </w:rPr>
        <w:t>61</w:t>
      </w:r>
      <w:r>
        <w:t>.</w:t>
      </w:r>
      <w:r>
        <w:tab/>
        <w:t>Service on joint applicants or agent or representative</w:t>
      </w:r>
      <w:bookmarkEnd w:id="908"/>
      <w:bookmarkEnd w:id="909"/>
      <w:bookmarkEnd w:id="910"/>
      <w:bookmarkEnd w:id="911"/>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912" w:name="_Toc465565650"/>
      <w:bookmarkStart w:id="913" w:name="_Toc479399687"/>
      <w:bookmarkStart w:id="914" w:name="_Toc35401875"/>
      <w:bookmarkStart w:id="915" w:name="_Toc103655141"/>
      <w:bookmarkStart w:id="916" w:name="_Toc334698935"/>
      <w:r>
        <w:rPr>
          <w:rStyle w:val="CharSectno"/>
        </w:rPr>
        <w:t>62</w:t>
      </w:r>
      <w:r>
        <w:t>.</w:t>
      </w:r>
      <w:r>
        <w:tab/>
        <w:t>Method of service by Commissioner</w:t>
      </w:r>
      <w:bookmarkEnd w:id="912"/>
      <w:bookmarkEnd w:id="913"/>
      <w:bookmarkEnd w:id="914"/>
      <w:bookmarkEnd w:id="915"/>
      <w:bookmarkEnd w:id="916"/>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p>
    <w:p>
      <w:pPr>
        <w:pStyle w:val="Indenta"/>
      </w:pPr>
      <w:r>
        <w:tab/>
        <w:t>(b)</w:t>
      </w:r>
      <w:r>
        <w:tab/>
        <w:t>left for the person at the person’s place of residence or business;</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p>
    <w:p>
      <w:pPr>
        <w:pStyle w:val="Indenta"/>
      </w:pPr>
      <w:r>
        <w:tab/>
        <w:t>(d)</w:t>
      </w:r>
      <w:r>
        <w:tab/>
        <w:t>left for collection by the person, or that person’s agent, in a collection box maintained at the Commissioner’s office;</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the business day following the day on which the document is sent to, or left for, the person to whom it is addressed, subject to the exceptions in subsection (4).</w:t>
      </w:r>
    </w:p>
    <w:p>
      <w:pPr>
        <w:pStyle w:val="Subsection"/>
      </w:pPr>
      <w:r>
        <w:tab/>
        <w:t>(4)</w:t>
      </w:r>
      <w:r>
        <w:tab/>
        <w:t xml:space="preserve">If — </w:t>
      </w:r>
    </w:p>
    <w:p>
      <w:pPr>
        <w:pStyle w:val="Indenta"/>
      </w:pPr>
      <w:r>
        <w:tab/>
        <w:t>(a)</w:t>
      </w:r>
      <w:r>
        <w:tab/>
        <w:t>the notice or document is sent by post to an address within Australia but outside the State — a further 4 business days are to be allowed;</w:t>
      </w:r>
    </w:p>
    <w:p>
      <w:pPr>
        <w:pStyle w:val="Indenta"/>
      </w:pPr>
      <w:r>
        <w:tab/>
        <w:t>(b)</w:t>
      </w:r>
      <w:r>
        <w:tab/>
        <w:t xml:space="preserve">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917" w:name="_Toc465565651"/>
      <w:bookmarkStart w:id="918" w:name="_Toc479399688"/>
      <w:bookmarkStart w:id="919" w:name="_Toc35401876"/>
      <w:bookmarkStart w:id="920" w:name="_Toc103655142"/>
      <w:bookmarkStart w:id="921" w:name="_Toc334698936"/>
      <w:r>
        <w:rPr>
          <w:rStyle w:val="CharSectno"/>
        </w:rPr>
        <w:t>63</w:t>
      </w:r>
      <w:r>
        <w:t>.</w:t>
      </w:r>
      <w:r>
        <w:tab/>
        <w:t>Service of court process</w:t>
      </w:r>
      <w:bookmarkEnd w:id="917"/>
      <w:bookmarkEnd w:id="918"/>
      <w:bookmarkEnd w:id="919"/>
      <w:bookmarkEnd w:id="920"/>
      <w:bookmarkEnd w:id="921"/>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 xml:space="preserve">if sent by prepaid post to the last known address (within or outside </w:t>
      </w:r>
      <w:smartTag w:uri="urn:schemas-microsoft-com:office:smarttags" w:element="place">
        <w:smartTag w:uri="urn:schemas-microsoft-com:office:smarttags" w:element="country-region">
          <w:r>
            <w:t>Australia</w:t>
          </w:r>
        </w:smartTag>
      </w:smartTag>
      <w:r>
        <w:t>) of the person to be served; or</w:t>
      </w:r>
    </w:p>
    <w:p>
      <w:pPr>
        <w:pStyle w:val="Indenta"/>
      </w:pPr>
      <w:r>
        <w:tab/>
        <w:t>(b)</w:t>
      </w:r>
      <w:r>
        <w:tab/>
        <w:t>if notice of the document is given in accordance with the court’s directions.</w:t>
      </w:r>
    </w:p>
    <w:p>
      <w:pPr>
        <w:pStyle w:val="Heading5"/>
      </w:pPr>
      <w:bookmarkStart w:id="922" w:name="_Toc465565652"/>
      <w:bookmarkStart w:id="923" w:name="_Toc479399689"/>
      <w:bookmarkStart w:id="924" w:name="_Toc35401877"/>
      <w:bookmarkStart w:id="925" w:name="_Toc103655143"/>
      <w:bookmarkStart w:id="926" w:name="_Toc334698937"/>
      <w:r>
        <w:rPr>
          <w:rStyle w:val="CharSectno"/>
        </w:rPr>
        <w:t>64</w:t>
      </w:r>
      <w:r>
        <w:t>.</w:t>
      </w:r>
      <w:r>
        <w:tab/>
      </w:r>
      <w:bookmarkEnd w:id="922"/>
      <w:r>
        <w:t>Other enactments not limited</w:t>
      </w:r>
      <w:bookmarkEnd w:id="923"/>
      <w:bookmarkEnd w:id="924"/>
      <w:bookmarkEnd w:id="925"/>
      <w:bookmarkEnd w:id="926"/>
    </w:p>
    <w:p>
      <w:pPr>
        <w:pStyle w:val="Subsection"/>
      </w:pPr>
      <w:r>
        <w:tab/>
      </w:r>
      <w:r>
        <w:tab/>
        <w:t>This Division does not limit any other enactment that provides for the service of documents.</w:t>
      </w:r>
    </w:p>
    <w:p>
      <w:pPr>
        <w:pStyle w:val="Heading3"/>
      </w:pPr>
      <w:bookmarkStart w:id="927" w:name="_Toc88880215"/>
      <w:bookmarkStart w:id="928" w:name="_Toc89519662"/>
      <w:bookmarkStart w:id="929" w:name="_Toc90883511"/>
      <w:bookmarkStart w:id="930" w:name="_Toc92523306"/>
      <w:bookmarkStart w:id="931" w:name="_Toc101164395"/>
      <w:bookmarkStart w:id="932" w:name="_Toc101235931"/>
      <w:bookmarkStart w:id="933" w:name="_Toc103655144"/>
      <w:bookmarkStart w:id="934" w:name="_Toc122255654"/>
      <w:bookmarkStart w:id="935" w:name="_Toc122255755"/>
      <w:bookmarkStart w:id="936" w:name="_Toc157854377"/>
      <w:bookmarkStart w:id="937" w:name="_Toc196801042"/>
      <w:bookmarkStart w:id="938" w:name="_Toc202511487"/>
      <w:bookmarkStart w:id="939" w:name="_Toc246329348"/>
      <w:bookmarkStart w:id="940" w:name="_Toc246394413"/>
      <w:bookmarkStart w:id="941" w:name="_Toc246394514"/>
      <w:bookmarkStart w:id="942" w:name="_Toc249330988"/>
      <w:bookmarkStart w:id="943" w:name="_Toc259703429"/>
      <w:bookmarkStart w:id="944" w:name="_Toc260389882"/>
      <w:bookmarkStart w:id="945" w:name="_Toc262208000"/>
      <w:bookmarkStart w:id="946" w:name="_Toc263760094"/>
      <w:bookmarkStart w:id="947" w:name="_Toc263855337"/>
      <w:bookmarkStart w:id="948" w:name="_Toc266091946"/>
      <w:bookmarkStart w:id="949" w:name="_Toc267576991"/>
      <w:bookmarkStart w:id="950" w:name="_Toc268526088"/>
      <w:bookmarkStart w:id="951" w:name="_Toc334698722"/>
      <w:bookmarkStart w:id="952" w:name="_Toc334698830"/>
      <w:bookmarkStart w:id="953" w:name="_Toc334698938"/>
      <w:r>
        <w:rPr>
          <w:rStyle w:val="CharDivNo"/>
        </w:rPr>
        <w:t>Division 6</w:t>
      </w:r>
      <w:r>
        <w:t xml:space="preserve"> — </w:t>
      </w:r>
      <w:r>
        <w:rPr>
          <w:rStyle w:val="CharDivText"/>
        </w:rPr>
        <w:t>General</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pPr>
      <w:bookmarkStart w:id="954" w:name="_Toc479399690"/>
      <w:bookmarkStart w:id="955" w:name="_Toc35401878"/>
      <w:bookmarkStart w:id="956" w:name="_Toc103655145"/>
      <w:bookmarkStart w:id="957" w:name="_Toc334698939"/>
      <w:r>
        <w:rPr>
          <w:rStyle w:val="CharSectno"/>
        </w:rPr>
        <w:t>65</w:t>
      </w:r>
      <w:r>
        <w:t>.</w:t>
      </w:r>
      <w:r>
        <w:tab/>
        <w:t>Confidentiality</w:t>
      </w:r>
      <w:bookmarkEnd w:id="954"/>
      <w:bookmarkEnd w:id="955"/>
      <w:bookmarkEnd w:id="956"/>
      <w:bookmarkEnd w:id="957"/>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t>(b)</w:t>
      </w:r>
      <w:r>
        <w:tab/>
        <w:t>with the written consent of the person to whom the information relates; or</w:t>
      </w:r>
    </w:p>
    <w:p>
      <w:pPr>
        <w:pStyle w:val="Indenta"/>
        <w:keepNext/>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p>
    <w:p>
      <w:pPr>
        <w:pStyle w:val="Indenti"/>
      </w:pPr>
      <w:r>
        <w:tab/>
        <w:t>(ii)</w:t>
      </w:r>
      <w:r>
        <w:tab/>
        <w:t>an officer of the police force of a State or the Commonwealth;</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pPr>
      <w:r>
        <w:tab/>
      </w:r>
      <w:r>
        <w:rPr>
          <w:rStyle w:val="CharDefText"/>
        </w:rPr>
        <w:t>State</w:t>
      </w:r>
      <w:r>
        <w:t xml:space="preserve"> includes Territory.</w:t>
      </w:r>
    </w:p>
    <w:p>
      <w:pPr>
        <w:pStyle w:val="Footnotesection"/>
      </w:pPr>
      <w:r>
        <w:tab/>
        <w:t>[Section 65 amended by No. 28 of 2003 s. 65; No. 52 of 2004 s. 14; No. 17 of 2010 s. 19.]</w:t>
      </w:r>
    </w:p>
    <w:p>
      <w:pPr>
        <w:pStyle w:val="Heading5"/>
      </w:pPr>
      <w:bookmarkStart w:id="958" w:name="_Toc479399691"/>
      <w:bookmarkStart w:id="959" w:name="_Toc35401879"/>
      <w:bookmarkStart w:id="960" w:name="_Toc103655146"/>
      <w:bookmarkStart w:id="961" w:name="_Toc334698940"/>
      <w:r>
        <w:rPr>
          <w:rStyle w:val="CharSectno"/>
        </w:rPr>
        <w:t>66</w:t>
      </w:r>
      <w:r>
        <w:t>.</w:t>
      </w:r>
      <w:r>
        <w:tab/>
        <w:t>Time for commencing prosecutions</w:t>
      </w:r>
      <w:bookmarkEnd w:id="958"/>
      <w:bookmarkEnd w:id="959"/>
      <w:bookmarkEnd w:id="960"/>
      <w:bookmarkEnd w:id="961"/>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962" w:name="_Toc479399692"/>
      <w:bookmarkStart w:id="963" w:name="_Toc35401880"/>
      <w:bookmarkStart w:id="964" w:name="_Toc103655147"/>
      <w:bookmarkStart w:id="965" w:name="_Toc334698941"/>
      <w:r>
        <w:rPr>
          <w:rStyle w:val="CharSectno"/>
        </w:rPr>
        <w:t>67</w:t>
      </w:r>
      <w:r>
        <w:t>.</w:t>
      </w:r>
      <w:r>
        <w:tab/>
        <w:t>Protection from liability for wrongdoing</w:t>
      </w:r>
      <w:bookmarkEnd w:id="962"/>
      <w:bookmarkEnd w:id="963"/>
      <w:bookmarkEnd w:id="964"/>
      <w:bookmarkEnd w:id="96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966" w:name="_Toc479399693"/>
      <w:bookmarkStart w:id="967" w:name="_Toc35401881"/>
      <w:bookmarkStart w:id="968" w:name="_Toc103655148"/>
      <w:bookmarkStart w:id="969" w:name="_Toc334698942"/>
      <w:r>
        <w:rPr>
          <w:rStyle w:val="CharSectno"/>
        </w:rPr>
        <w:t>68</w:t>
      </w:r>
      <w:r>
        <w:t>.</w:t>
      </w:r>
      <w:r>
        <w:tab/>
        <w:t xml:space="preserve">Appropriation of </w:t>
      </w:r>
      <w:bookmarkEnd w:id="966"/>
      <w:bookmarkEnd w:id="967"/>
      <w:bookmarkEnd w:id="968"/>
      <w:r>
        <w:rPr>
          <w:snapToGrid w:val="0"/>
        </w:rPr>
        <w:t>Consolidated Account</w:t>
      </w:r>
      <w:bookmarkEnd w:id="969"/>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by No. 77 of 2006 s. 4 and 5(1).]</w:t>
      </w:r>
    </w:p>
    <w:p>
      <w:pPr>
        <w:pStyle w:val="Heading5"/>
      </w:pPr>
      <w:bookmarkStart w:id="970" w:name="_Toc479399694"/>
      <w:bookmarkStart w:id="971" w:name="_Toc35401882"/>
      <w:bookmarkStart w:id="972" w:name="_Toc103655149"/>
      <w:bookmarkStart w:id="973" w:name="_Toc334698943"/>
      <w:r>
        <w:rPr>
          <w:rStyle w:val="CharSectno"/>
        </w:rPr>
        <w:t>69</w:t>
      </w:r>
      <w:r>
        <w:t>.</w:t>
      </w:r>
      <w:r>
        <w:tab/>
        <w:t>Regulations</w:t>
      </w:r>
      <w:bookmarkEnd w:id="970"/>
      <w:bookmarkEnd w:id="971"/>
      <w:bookmarkEnd w:id="972"/>
      <w:bookmarkEnd w:id="97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Heading5"/>
      </w:pPr>
      <w:bookmarkStart w:id="974" w:name="_Toc479399695"/>
      <w:bookmarkStart w:id="975" w:name="_Toc35401883"/>
      <w:bookmarkStart w:id="976" w:name="_Toc103655150"/>
      <w:bookmarkStart w:id="977" w:name="_Toc334698944"/>
      <w:r>
        <w:rPr>
          <w:rStyle w:val="CharSectno"/>
        </w:rPr>
        <w:t>70</w:t>
      </w:r>
      <w:r>
        <w:t>.</w:t>
      </w:r>
      <w:r>
        <w:tab/>
        <w:t>Review of Act</w:t>
      </w:r>
      <w:bookmarkEnd w:id="974"/>
      <w:bookmarkEnd w:id="975"/>
      <w:bookmarkEnd w:id="976"/>
      <w:bookmarkEnd w:id="977"/>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CentredBaseLine"/>
        <w:jc w:val="center"/>
      </w:pPr>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978" w:name="_Toc88880222"/>
      <w:bookmarkStart w:id="979" w:name="_Toc89519669"/>
      <w:bookmarkStart w:id="980" w:name="_Toc90883518"/>
      <w:bookmarkStart w:id="981" w:name="_Toc92523313"/>
      <w:bookmarkStart w:id="982" w:name="_Toc101164402"/>
      <w:bookmarkStart w:id="983" w:name="_Toc101235938"/>
      <w:bookmarkStart w:id="984" w:name="_Toc103655151"/>
      <w:bookmarkStart w:id="985" w:name="_Toc122255661"/>
      <w:bookmarkStart w:id="986" w:name="_Toc122255762"/>
      <w:bookmarkStart w:id="987" w:name="_Toc157854384"/>
      <w:bookmarkStart w:id="988" w:name="_Toc196801049"/>
      <w:bookmarkStart w:id="989" w:name="_Toc202511494"/>
      <w:bookmarkStart w:id="990" w:name="_Toc246329355"/>
      <w:bookmarkStart w:id="991" w:name="_Toc246394420"/>
      <w:bookmarkStart w:id="992" w:name="_Toc246394521"/>
      <w:bookmarkStart w:id="993" w:name="_Toc249330995"/>
      <w:bookmarkStart w:id="994" w:name="_Toc259703436"/>
      <w:bookmarkStart w:id="995" w:name="_Toc260389889"/>
      <w:bookmarkStart w:id="996" w:name="_Toc262208007"/>
      <w:bookmarkStart w:id="997" w:name="_Toc263760101"/>
      <w:bookmarkStart w:id="998" w:name="_Toc263855344"/>
      <w:bookmarkStart w:id="999" w:name="_Toc266091953"/>
      <w:bookmarkStart w:id="1000" w:name="_Toc267576998"/>
      <w:bookmarkStart w:id="1001" w:name="_Toc268526095"/>
      <w:bookmarkStart w:id="1002" w:name="_Toc334698729"/>
      <w:bookmarkStart w:id="1003" w:name="_Toc334698837"/>
      <w:bookmarkStart w:id="1004" w:name="_Toc334698945"/>
      <w:r>
        <w:t>Notes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nSubsection"/>
        <w:rPr>
          <w:snapToGrid w:val="0"/>
        </w:rPr>
      </w:pPr>
      <w:r>
        <w:rPr>
          <w:snapToGrid w:val="0"/>
          <w:vertAlign w:val="superscript"/>
        </w:rPr>
        <w:t>1</w:t>
      </w:r>
      <w:r>
        <w:rPr>
          <w:snapToGrid w:val="0"/>
        </w:rPr>
        <w:tab/>
        <w:t xml:space="preserve">This is a compilation of the </w:t>
      </w:r>
      <w:r>
        <w:rPr>
          <w:i/>
          <w:sz w:val="19"/>
        </w:rPr>
        <w:t xml:space="preserve">First Home Owner Grant Act 2000 </w:t>
      </w:r>
      <w:r>
        <w:rPr>
          <w:snapToGrid w:val="0"/>
        </w:rPr>
        <w:t>and includes the amendments made by the other written laws referred to in the following table </w:t>
      </w:r>
      <w:r>
        <w:rPr>
          <w:snapToGrid w:val="0"/>
          <w:vertAlign w:val="superscript"/>
        </w:rPr>
        <w:t>6</w:t>
      </w:r>
      <w:r>
        <w:rPr>
          <w:snapToGrid w:val="0"/>
        </w:rPr>
        <w:t>.  The table also contains information about any reprint.</w:t>
      </w:r>
    </w:p>
    <w:p>
      <w:pPr>
        <w:pStyle w:val="nHeading3"/>
      </w:pPr>
      <w:bookmarkStart w:id="1005" w:name="_Toc103655152"/>
      <w:bookmarkStart w:id="1006" w:name="_Toc334698946"/>
      <w:r>
        <w:t>Compilation table</w:t>
      </w:r>
      <w:bookmarkEnd w:id="1005"/>
      <w:bookmarkEnd w:id="1006"/>
    </w:p>
    <w:tbl>
      <w:tblPr>
        <w:tblW w:w="7087" w:type="dxa"/>
        <w:tblInd w:w="28" w:type="dxa"/>
        <w:tblLayout w:type="fixed"/>
        <w:tblCellMar>
          <w:left w:w="56" w:type="dxa"/>
          <w:right w:w="56" w:type="dxa"/>
        </w:tblCellMar>
        <w:tblLook w:val="0000" w:firstRow="0" w:lastRow="0" w:firstColumn="0" w:lastColumn="0" w:noHBand="0" w:noVBand="0"/>
      </w:tblPr>
      <w:tblGrid>
        <w:gridCol w:w="2308"/>
        <w:gridCol w:w="1200"/>
        <w:gridCol w:w="1200"/>
        <w:gridCol w:w="2379"/>
      </w:tblGrid>
      <w:tr>
        <w:trPr>
          <w:tblHeader/>
        </w:trPr>
        <w:tc>
          <w:tcPr>
            <w:tcW w:w="2308" w:type="dxa"/>
            <w:tcBorders>
              <w:top w:val="single" w:sz="8" w:space="0" w:color="auto"/>
              <w:bottom w:val="single" w:sz="8" w:space="0" w:color="auto"/>
            </w:tcBorders>
          </w:tcPr>
          <w:p>
            <w:pPr>
              <w:pStyle w:val="nTable"/>
              <w:spacing w:after="40"/>
              <w:rPr>
                <w:b/>
                <w:sz w:val="19"/>
              </w:rPr>
            </w:pPr>
            <w:r>
              <w:rPr>
                <w:b/>
                <w:sz w:val="19"/>
              </w:rPr>
              <w:t>Short title</w:t>
            </w:r>
          </w:p>
        </w:tc>
        <w:tc>
          <w:tcPr>
            <w:tcW w:w="1200" w:type="dxa"/>
            <w:tcBorders>
              <w:top w:val="single" w:sz="8" w:space="0" w:color="auto"/>
              <w:bottom w:val="single" w:sz="8" w:space="0" w:color="auto"/>
            </w:tcBorders>
          </w:tcPr>
          <w:p>
            <w:pPr>
              <w:pStyle w:val="nTable"/>
              <w:spacing w:after="40"/>
              <w:rPr>
                <w:b/>
                <w:sz w:val="19"/>
              </w:rPr>
            </w:pPr>
            <w:r>
              <w:rPr>
                <w:b/>
                <w:sz w:val="19"/>
              </w:rPr>
              <w:t>Number</w:t>
            </w:r>
            <w:r>
              <w:rPr>
                <w:b/>
                <w:sz w:val="19"/>
              </w:rPr>
              <w:br/>
              <w:t>and year</w:t>
            </w:r>
          </w:p>
        </w:tc>
        <w:tc>
          <w:tcPr>
            <w:tcW w:w="1200" w:type="dxa"/>
            <w:tcBorders>
              <w:top w:val="single" w:sz="8" w:space="0" w:color="auto"/>
              <w:bottom w:val="single" w:sz="8" w:space="0" w:color="auto"/>
            </w:tcBorders>
          </w:tcPr>
          <w:p>
            <w:pPr>
              <w:pStyle w:val="nTable"/>
              <w:spacing w:after="40"/>
              <w:rPr>
                <w:b/>
                <w:sz w:val="19"/>
              </w:rPr>
            </w:pPr>
            <w:r>
              <w:rPr>
                <w:b/>
                <w:sz w:val="19"/>
              </w:rPr>
              <w:t>Assent</w:t>
            </w:r>
          </w:p>
        </w:tc>
        <w:tc>
          <w:tcPr>
            <w:tcW w:w="2379" w:type="dxa"/>
            <w:tcBorders>
              <w:top w:val="single" w:sz="8" w:space="0" w:color="auto"/>
              <w:bottom w:val="single" w:sz="8" w:space="0" w:color="auto"/>
            </w:tcBorders>
          </w:tcPr>
          <w:p>
            <w:pPr>
              <w:pStyle w:val="nTable"/>
              <w:spacing w:after="40"/>
              <w:rPr>
                <w:b/>
                <w:sz w:val="19"/>
              </w:rPr>
            </w:pPr>
            <w:r>
              <w:rPr>
                <w:b/>
                <w:sz w:val="19"/>
              </w:rPr>
              <w:t>Commencement</w:t>
            </w:r>
          </w:p>
        </w:tc>
      </w:tr>
      <w:tr>
        <w:tc>
          <w:tcPr>
            <w:tcW w:w="2308" w:type="dxa"/>
            <w:tcBorders>
              <w:top w:val="single" w:sz="8" w:space="0" w:color="auto"/>
            </w:tcBorders>
          </w:tcPr>
          <w:p>
            <w:pPr>
              <w:pStyle w:val="nTable"/>
              <w:spacing w:after="40"/>
              <w:rPr>
                <w:i/>
                <w:sz w:val="19"/>
              </w:rPr>
            </w:pPr>
            <w:r>
              <w:rPr>
                <w:i/>
                <w:sz w:val="19"/>
              </w:rPr>
              <w:t xml:space="preserve">First Home Owner Grant Act 2000 </w:t>
            </w:r>
          </w:p>
        </w:tc>
        <w:tc>
          <w:tcPr>
            <w:tcW w:w="1200" w:type="dxa"/>
            <w:tcBorders>
              <w:top w:val="single" w:sz="8" w:space="0" w:color="auto"/>
            </w:tcBorders>
          </w:tcPr>
          <w:p>
            <w:pPr>
              <w:pStyle w:val="nTable"/>
              <w:spacing w:after="40"/>
              <w:rPr>
                <w:sz w:val="19"/>
              </w:rPr>
            </w:pPr>
            <w:r>
              <w:rPr>
                <w:sz w:val="19"/>
              </w:rPr>
              <w:t xml:space="preserve">16 of 2000 </w:t>
            </w:r>
          </w:p>
        </w:tc>
        <w:tc>
          <w:tcPr>
            <w:tcW w:w="1200" w:type="dxa"/>
            <w:tcBorders>
              <w:top w:val="single" w:sz="8" w:space="0" w:color="auto"/>
            </w:tcBorders>
          </w:tcPr>
          <w:p>
            <w:pPr>
              <w:pStyle w:val="nTable"/>
              <w:spacing w:after="40"/>
              <w:rPr>
                <w:sz w:val="19"/>
              </w:rPr>
            </w:pPr>
            <w:r>
              <w:rPr>
                <w:sz w:val="19"/>
              </w:rPr>
              <w:t xml:space="preserve">9 Jun 2000 </w:t>
            </w:r>
          </w:p>
        </w:tc>
        <w:tc>
          <w:tcPr>
            <w:tcW w:w="2379" w:type="dxa"/>
            <w:tcBorders>
              <w:top w:val="single" w:sz="8" w:space="0" w:color="auto"/>
            </w:tcBorders>
          </w:tcPr>
          <w:p>
            <w:pPr>
              <w:pStyle w:val="nTable"/>
              <w:spacing w:after="40"/>
              <w:rPr>
                <w:sz w:val="19"/>
              </w:rPr>
            </w:pPr>
            <w:r>
              <w:rPr>
                <w:sz w:val="19"/>
              </w:rPr>
              <w:t>1 Jul 2000 (see s. 2)</w:t>
            </w:r>
          </w:p>
        </w:tc>
      </w:tr>
      <w:tr>
        <w:tc>
          <w:tcPr>
            <w:tcW w:w="2308" w:type="dxa"/>
          </w:tcPr>
          <w:p>
            <w:pPr>
              <w:pStyle w:val="nTable"/>
              <w:spacing w:after="40"/>
              <w:rPr>
                <w:i/>
                <w:sz w:val="19"/>
              </w:rPr>
            </w:pPr>
            <w:r>
              <w:rPr>
                <w:i/>
                <w:sz w:val="19"/>
              </w:rPr>
              <w:t>First Home Owner Grant Amendment Act 2000</w:t>
            </w:r>
          </w:p>
        </w:tc>
        <w:tc>
          <w:tcPr>
            <w:tcW w:w="1200" w:type="dxa"/>
          </w:tcPr>
          <w:p>
            <w:pPr>
              <w:pStyle w:val="nTable"/>
              <w:spacing w:after="40"/>
              <w:rPr>
                <w:sz w:val="19"/>
              </w:rPr>
            </w:pPr>
            <w:r>
              <w:rPr>
                <w:sz w:val="19"/>
              </w:rPr>
              <w:t>61 of 2000</w:t>
            </w:r>
          </w:p>
        </w:tc>
        <w:tc>
          <w:tcPr>
            <w:tcW w:w="1200" w:type="dxa"/>
          </w:tcPr>
          <w:p>
            <w:pPr>
              <w:pStyle w:val="nTable"/>
              <w:spacing w:after="40"/>
              <w:rPr>
                <w:sz w:val="19"/>
              </w:rPr>
            </w:pPr>
            <w:r>
              <w:rPr>
                <w:sz w:val="19"/>
              </w:rPr>
              <w:t>7 Dec 2000</w:t>
            </w:r>
          </w:p>
        </w:tc>
        <w:tc>
          <w:tcPr>
            <w:tcW w:w="2379" w:type="dxa"/>
          </w:tcPr>
          <w:p>
            <w:pPr>
              <w:pStyle w:val="nTable"/>
              <w:spacing w:after="40"/>
              <w:rPr>
                <w:sz w:val="19"/>
              </w:rPr>
            </w:pPr>
            <w:r>
              <w:rPr>
                <w:sz w:val="19"/>
              </w:rPr>
              <w:t>s. 8: 1 Jul 2000 (see s. 2(2));</w:t>
            </w:r>
            <w:r>
              <w:rPr>
                <w:sz w:val="19"/>
              </w:rPr>
              <w:br/>
              <w:t>Act other than s. 8: 7 Dec 2000 (see s. 2(1))</w:t>
            </w:r>
          </w:p>
        </w:tc>
      </w:tr>
      <w:tr>
        <w:tc>
          <w:tcPr>
            <w:tcW w:w="2308" w:type="dxa"/>
          </w:tcPr>
          <w:p>
            <w:pPr>
              <w:pStyle w:val="nTable"/>
              <w:spacing w:after="40"/>
              <w:rPr>
                <w:i/>
                <w:sz w:val="19"/>
              </w:rPr>
            </w:pPr>
            <w:r>
              <w:rPr>
                <w:i/>
                <w:sz w:val="19"/>
              </w:rPr>
              <w:t>First Home Owner Grant Amendment Act 2001</w:t>
            </w:r>
            <w:r>
              <w:rPr>
                <w:sz w:val="19"/>
              </w:rPr>
              <w:t xml:space="preserve"> </w:t>
            </w:r>
            <w:r>
              <w:rPr>
                <w:sz w:val="19"/>
                <w:vertAlign w:val="superscript"/>
              </w:rPr>
              <w:t>2</w:t>
            </w:r>
          </w:p>
        </w:tc>
        <w:tc>
          <w:tcPr>
            <w:tcW w:w="1200" w:type="dxa"/>
          </w:tcPr>
          <w:p>
            <w:pPr>
              <w:pStyle w:val="nTable"/>
              <w:spacing w:after="40"/>
              <w:rPr>
                <w:sz w:val="19"/>
              </w:rPr>
            </w:pPr>
            <w:r>
              <w:rPr>
                <w:sz w:val="19"/>
              </w:rPr>
              <w:t>14 of 2001</w:t>
            </w:r>
          </w:p>
        </w:tc>
        <w:tc>
          <w:tcPr>
            <w:tcW w:w="1200" w:type="dxa"/>
          </w:tcPr>
          <w:p>
            <w:pPr>
              <w:pStyle w:val="nTable"/>
              <w:spacing w:after="40"/>
              <w:rPr>
                <w:sz w:val="19"/>
              </w:rPr>
            </w:pPr>
            <w:r>
              <w:rPr>
                <w:sz w:val="19"/>
              </w:rPr>
              <w:t>14 Aug 2001</w:t>
            </w:r>
          </w:p>
        </w:tc>
        <w:tc>
          <w:tcPr>
            <w:tcW w:w="2379" w:type="dxa"/>
          </w:tcPr>
          <w:p>
            <w:pPr>
              <w:pStyle w:val="nTable"/>
              <w:spacing w:after="40"/>
              <w:rPr>
                <w:sz w:val="19"/>
              </w:rPr>
            </w:pPr>
            <w:r>
              <w:rPr>
                <w:sz w:val="19"/>
              </w:rPr>
              <w:t>9 Mar 2001 (see s. 2)</w:t>
            </w:r>
          </w:p>
        </w:tc>
      </w:tr>
      <w:tr>
        <w:tc>
          <w:tcPr>
            <w:tcW w:w="2308" w:type="dxa"/>
          </w:tcPr>
          <w:p>
            <w:pPr>
              <w:pStyle w:val="nTable"/>
              <w:spacing w:after="40"/>
              <w:rPr>
                <w:sz w:val="19"/>
              </w:rPr>
            </w:pPr>
            <w:r>
              <w:rPr>
                <w:i/>
                <w:sz w:val="19"/>
              </w:rPr>
              <w:t>First Home Owner Grant Amendment Act 2003</w:t>
            </w:r>
            <w:r>
              <w:rPr>
                <w:sz w:val="19"/>
              </w:rPr>
              <w:t xml:space="preserve"> </w:t>
            </w:r>
            <w:r>
              <w:rPr>
                <w:sz w:val="19"/>
                <w:vertAlign w:val="superscript"/>
              </w:rPr>
              <w:t>3</w:t>
            </w:r>
          </w:p>
        </w:tc>
        <w:tc>
          <w:tcPr>
            <w:tcW w:w="1200" w:type="dxa"/>
          </w:tcPr>
          <w:p>
            <w:pPr>
              <w:pStyle w:val="nTable"/>
              <w:spacing w:after="40"/>
              <w:rPr>
                <w:sz w:val="19"/>
              </w:rPr>
            </w:pPr>
            <w:r>
              <w:rPr>
                <w:sz w:val="19"/>
              </w:rPr>
              <w:t>13 of 2003</w:t>
            </w:r>
          </w:p>
        </w:tc>
        <w:tc>
          <w:tcPr>
            <w:tcW w:w="1200" w:type="dxa"/>
          </w:tcPr>
          <w:p>
            <w:pPr>
              <w:pStyle w:val="nTable"/>
              <w:spacing w:after="40"/>
              <w:rPr>
                <w:sz w:val="19"/>
              </w:rPr>
            </w:pPr>
            <w:r>
              <w:rPr>
                <w:sz w:val="19"/>
              </w:rPr>
              <w:t>17 Apr 2003</w:t>
            </w:r>
          </w:p>
        </w:tc>
        <w:tc>
          <w:tcPr>
            <w:tcW w:w="2379" w:type="dxa"/>
          </w:tcPr>
          <w:p>
            <w:pPr>
              <w:pStyle w:val="nTable"/>
              <w:spacing w:after="40"/>
              <w:rPr>
                <w:sz w:val="19"/>
              </w:rPr>
            </w:pPr>
            <w:r>
              <w:rPr>
                <w:sz w:val="19"/>
              </w:rPr>
              <w:t>s. 5(5): 9 Mar 2001 (see s. 2(3));</w:t>
            </w:r>
            <w:r>
              <w:rPr>
                <w:sz w:val="19"/>
              </w:rPr>
              <w:br/>
              <w:t>s. 5 (except s. 5(5)) and 6: 9 Oct 2001 (see s. 2(2));</w:t>
            </w:r>
            <w:r>
              <w:rPr>
                <w:sz w:val="19"/>
              </w:rPr>
              <w:br/>
              <w:t>Act other than s. 5 and 6: 17 Apr 2003 (see s. 2(1))</w:t>
            </w:r>
          </w:p>
        </w:tc>
      </w:tr>
      <w:tr>
        <w:tc>
          <w:tcPr>
            <w:tcW w:w="2308" w:type="dxa"/>
          </w:tcPr>
          <w:p>
            <w:pPr>
              <w:pStyle w:val="nTable"/>
              <w:spacing w:after="40"/>
              <w:rPr>
                <w:sz w:val="19"/>
              </w:rPr>
            </w:pPr>
            <w:r>
              <w:rPr>
                <w:i/>
                <w:sz w:val="19"/>
              </w:rPr>
              <w:t>Acts Amendment (Equality of Status) Act 2003</w:t>
            </w:r>
            <w:r>
              <w:rPr>
                <w:sz w:val="19"/>
              </w:rPr>
              <w:t xml:space="preserve"> Pt. 22</w:t>
            </w:r>
          </w:p>
        </w:tc>
        <w:tc>
          <w:tcPr>
            <w:tcW w:w="1200" w:type="dxa"/>
          </w:tcPr>
          <w:p>
            <w:pPr>
              <w:pStyle w:val="nTable"/>
              <w:spacing w:after="40"/>
              <w:rPr>
                <w:sz w:val="19"/>
              </w:rPr>
            </w:pPr>
            <w:r>
              <w:rPr>
                <w:sz w:val="19"/>
              </w:rPr>
              <w:t>28 of 2003</w:t>
            </w:r>
          </w:p>
        </w:tc>
        <w:tc>
          <w:tcPr>
            <w:tcW w:w="1200" w:type="dxa"/>
          </w:tcPr>
          <w:p>
            <w:pPr>
              <w:pStyle w:val="nTable"/>
              <w:spacing w:after="40"/>
              <w:rPr>
                <w:sz w:val="19"/>
              </w:rPr>
            </w:pPr>
            <w:r>
              <w:rPr>
                <w:sz w:val="19"/>
              </w:rPr>
              <w:t>22 May 2003</w:t>
            </w:r>
          </w:p>
        </w:tc>
        <w:tc>
          <w:tcPr>
            <w:tcW w:w="237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308" w:type="dxa"/>
          </w:tcPr>
          <w:p>
            <w:pPr>
              <w:pStyle w:val="nTable"/>
              <w:spacing w:after="40"/>
              <w:rPr>
                <w:sz w:val="19"/>
              </w:rPr>
            </w:pPr>
            <w:r>
              <w:rPr>
                <w:i/>
                <w:sz w:val="19"/>
              </w:rPr>
              <w:t>First Home Owner Grant Amendment Act 2004</w:t>
            </w:r>
            <w:r>
              <w:rPr>
                <w:sz w:val="19"/>
              </w:rPr>
              <w:t> </w:t>
            </w:r>
            <w:r>
              <w:rPr>
                <w:sz w:val="19"/>
                <w:vertAlign w:val="superscript"/>
              </w:rPr>
              <w:t>4</w:t>
            </w:r>
          </w:p>
        </w:tc>
        <w:tc>
          <w:tcPr>
            <w:tcW w:w="1200" w:type="dxa"/>
          </w:tcPr>
          <w:p>
            <w:pPr>
              <w:pStyle w:val="nTable"/>
              <w:spacing w:after="40"/>
              <w:rPr>
                <w:sz w:val="19"/>
              </w:rPr>
            </w:pPr>
            <w:r>
              <w:rPr>
                <w:sz w:val="19"/>
              </w:rPr>
              <w:t>52 of 2004</w:t>
            </w:r>
          </w:p>
        </w:tc>
        <w:tc>
          <w:tcPr>
            <w:tcW w:w="1200" w:type="dxa"/>
          </w:tcPr>
          <w:p>
            <w:pPr>
              <w:pStyle w:val="nTable"/>
              <w:spacing w:after="40"/>
              <w:rPr>
                <w:sz w:val="19"/>
              </w:rPr>
            </w:pPr>
            <w:r>
              <w:rPr>
                <w:sz w:val="19"/>
              </w:rPr>
              <w:t>18 Nov 2004</w:t>
            </w:r>
          </w:p>
        </w:tc>
        <w:tc>
          <w:tcPr>
            <w:tcW w:w="2379" w:type="dxa"/>
          </w:tcPr>
          <w:p>
            <w:pPr>
              <w:pStyle w:val="nTable"/>
              <w:spacing w:after="40"/>
              <w:rPr>
                <w:sz w:val="19"/>
              </w:rPr>
            </w:pPr>
            <w:r>
              <w:rPr>
                <w:sz w:val="19"/>
              </w:rPr>
              <w:t>Pt. 2 and 3: 1 Jul 2004 (see s. 2(2));</w:t>
            </w:r>
            <w:r>
              <w:rPr>
                <w:sz w:val="19"/>
              </w:rPr>
              <w:br/>
              <w:t>Pt. 1: 18 Nov 2004 (see s. 2(1))</w:t>
            </w:r>
          </w:p>
        </w:tc>
      </w:tr>
      <w:tr>
        <w:tc>
          <w:tcPr>
            <w:tcW w:w="2308" w:type="dxa"/>
          </w:tcPr>
          <w:p>
            <w:pPr>
              <w:pStyle w:val="nTable"/>
              <w:spacing w:after="40"/>
              <w:rPr>
                <w:i/>
                <w:sz w:val="19"/>
              </w:rPr>
            </w:pPr>
            <w:r>
              <w:rPr>
                <w:i/>
                <w:sz w:val="19"/>
              </w:rPr>
              <w:t>State Administrative Tribunal (Conferral of Jurisdiction) Amendment and Repeal Act 2004</w:t>
            </w:r>
            <w:r>
              <w:rPr>
                <w:sz w:val="19"/>
              </w:rPr>
              <w:t xml:space="preserve"> Pt. 2 Div. 50</w:t>
            </w:r>
            <w:r>
              <w:rPr>
                <w:sz w:val="19"/>
                <w:vertAlign w:val="superscript"/>
              </w:rPr>
              <w:t> 5</w:t>
            </w:r>
          </w:p>
        </w:tc>
        <w:tc>
          <w:tcPr>
            <w:tcW w:w="1200" w:type="dxa"/>
          </w:tcPr>
          <w:p>
            <w:pPr>
              <w:pStyle w:val="nTable"/>
              <w:spacing w:after="40"/>
              <w:rPr>
                <w:sz w:val="19"/>
              </w:rPr>
            </w:pPr>
            <w:r>
              <w:rPr>
                <w:sz w:val="19"/>
              </w:rPr>
              <w:t>55 of 2004</w:t>
            </w:r>
          </w:p>
        </w:tc>
        <w:tc>
          <w:tcPr>
            <w:tcW w:w="1200" w:type="dxa"/>
          </w:tcPr>
          <w:p>
            <w:pPr>
              <w:pStyle w:val="nTable"/>
              <w:spacing w:after="40"/>
              <w:rPr>
                <w:sz w:val="19"/>
              </w:rPr>
            </w:pPr>
            <w:r>
              <w:rPr>
                <w:sz w:val="19"/>
              </w:rPr>
              <w:t>24 Nov 2004</w:t>
            </w:r>
          </w:p>
        </w:tc>
        <w:tc>
          <w:tcPr>
            <w:tcW w:w="2379"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30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200" w:type="dxa"/>
          </w:tcPr>
          <w:p>
            <w:pPr>
              <w:pStyle w:val="nTable"/>
              <w:spacing w:after="40"/>
              <w:rPr>
                <w:sz w:val="19"/>
              </w:rPr>
            </w:pPr>
            <w:r>
              <w:rPr>
                <w:snapToGrid w:val="0"/>
                <w:sz w:val="19"/>
                <w:lang w:val="en-US"/>
              </w:rPr>
              <w:t>84 of 2004</w:t>
            </w:r>
          </w:p>
        </w:tc>
        <w:tc>
          <w:tcPr>
            <w:tcW w:w="1200" w:type="dxa"/>
          </w:tcPr>
          <w:p>
            <w:pPr>
              <w:pStyle w:val="nTable"/>
              <w:spacing w:after="40"/>
              <w:rPr>
                <w:sz w:val="19"/>
              </w:rPr>
            </w:pPr>
            <w:r>
              <w:rPr>
                <w:sz w:val="19"/>
              </w:rPr>
              <w:t>16 Dec 2004</w:t>
            </w:r>
          </w:p>
        </w:tc>
        <w:tc>
          <w:tcPr>
            <w:tcW w:w="2379"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iCs/>
                <w:sz w:val="19"/>
              </w:rPr>
            </w:pPr>
            <w:r>
              <w:rPr>
                <w:b/>
                <w:bCs/>
                <w:sz w:val="19"/>
              </w:rPr>
              <w:t xml:space="preserve">Reprint 1: The </w:t>
            </w:r>
            <w:r>
              <w:rPr>
                <w:b/>
                <w:bCs/>
                <w:i/>
                <w:sz w:val="19"/>
              </w:rPr>
              <w:t>First Home Owner Grant Act 2000</w:t>
            </w:r>
            <w:r>
              <w:rPr>
                <w:b/>
                <w:bCs/>
                <w:iCs/>
                <w:sz w:val="19"/>
              </w:rPr>
              <w:t xml:space="preserve"> as at 3 Jun 2005</w:t>
            </w:r>
            <w:r>
              <w:rPr>
                <w:iCs/>
                <w:sz w:val="19"/>
              </w:rPr>
              <w:t xml:space="preserve"> </w:t>
            </w:r>
            <w:r>
              <w:rPr>
                <w:iCs/>
                <w:sz w:val="19"/>
              </w:rPr>
              <w:br/>
              <w:t>(includes amendments listed above)</w:t>
            </w:r>
          </w:p>
        </w:tc>
      </w:tr>
      <w:tr>
        <w:trPr>
          <w:cantSplit/>
        </w:trPr>
        <w:tc>
          <w:tcPr>
            <w:tcW w:w="2308" w:type="dxa"/>
          </w:tcPr>
          <w:p>
            <w:pPr>
              <w:pStyle w:val="nTable"/>
              <w:keepNext/>
              <w:keepLines/>
              <w:spacing w:after="40"/>
              <w:rPr>
                <w:sz w:val="19"/>
              </w:rPr>
            </w:pPr>
            <w:r>
              <w:rPr>
                <w:i/>
                <w:iCs/>
                <w:sz w:val="19"/>
              </w:rPr>
              <w:t>First Home Owner Grant Amendment Act 2005</w:t>
            </w:r>
            <w:r>
              <w:rPr>
                <w:sz w:val="19"/>
              </w:rPr>
              <w:t xml:space="preserve"> </w:t>
            </w:r>
            <w:r>
              <w:rPr>
                <w:sz w:val="19"/>
                <w:vertAlign w:val="superscript"/>
              </w:rPr>
              <w:t>7</w:t>
            </w:r>
          </w:p>
        </w:tc>
        <w:tc>
          <w:tcPr>
            <w:tcW w:w="1200" w:type="dxa"/>
          </w:tcPr>
          <w:p>
            <w:pPr>
              <w:pStyle w:val="nTable"/>
              <w:keepNext/>
              <w:keepLines/>
              <w:spacing w:after="40"/>
              <w:rPr>
                <w:sz w:val="19"/>
              </w:rPr>
            </w:pPr>
            <w:r>
              <w:rPr>
                <w:sz w:val="19"/>
              </w:rPr>
              <w:t>26 of 2005</w:t>
            </w:r>
          </w:p>
        </w:tc>
        <w:tc>
          <w:tcPr>
            <w:tcW w:w="1200" w:type="dxa"/>
          </w:tcPr>
          <w:p>
            <w:pPr>
              <w:pStyle w:val="nTable"/>
              <w:keepNext/>
              <w:keepLines/>
              <w:spacing w:after="40"/>
              <w:rPr>
                <w:sz w:val="19"/>
              </w:rPr>
            </w:pPr>
            <w:r>
              <w:rPr>
                <w:sz w:val="19"/>
              </w:rPr>
              <w:t>12 Dec 2005</w:t>
            </w:r>
          </w:p>
        </w:tc>
        <w:tc>
          <w:tcPr>
            <w:tcW w:w="2379" w:type="dxa"/>
          </w:tcPr>
          <w:p>
            <w:pPr>
              <w:pStyle w:val="nTable"/>
              <w:keepNext/>
              <w:keepLines/>
              <w:spacing w:after="40"/>
              <w:rPr>
                <w:sz w:val="19"/>
              </w:rPr>
            </w:pPr>
            <w:r>
              <w:rPr>
                <w:sz w:val="19"/>
              </w:rPr>
              <w:t>s. 4: 1 Jul 2000 (see s. 2(2));</w:t>
            </w:r>
            <w:r>
              <w:rPr>
                <w:sz w:val="19"/>
              </w:rPr>
              <w:br/>
              <w:t>Act other than s. 4: 12 Dec 2005 (see s. 2(1))</w:t>
            </w:r>
          </w:p>
        </w:tc>
      </w:tr>
      <w:tr>
        <w:trPr>
          <w:cantSplit/>
        </w:trPr>
        <w:tc>
          <w:tcPr>
            <w:tcW w:w="2308" w:type="dxa"/>
          </w:tcPr>
          <w:p>
            <w:pPr>
              <w:pStyle w:val="nTable"/>
              <w:spacing w:after="40"/>
              <w:rPr>
                <w:i/>
                <w:iCs/>
                <w:sz w:val="19"/>
              </w:rPr>
            </w:pPr>
            <w:r>
              <w:rPr>
                <w:i/>
                <w:snapToGrid w:val="0"/>
                <w:sz w:val="19"/>
                <w:lang w:val="en-US"/>
              </w:rPr>
              <w:t xml:space="preserve">Financial Legislation Amendment and Repeal Act 2006 </w:t>
            </w:r>
            <w:r>
              <w:rPr>
                <w:iCs/>
                <w:snapToGrid w:val="0"/>
                <w:sz w:val="19"/>
                <w:lang w:val="en-US"/>
              </w:rPr>
              <w:t>s. 4, 5(1) and Sch. 1 cl. 67</w:t>
            </w:r>
          </w:p>
        </w:tc>
        <w:tc>
          <w:tcPr>
            <w:tcW w:w="1200" w:type="dxa"/>
          </w:tcPr>
          <w:p>
            <w:pPr>
              <w:pStyle w:val="nTable"/>
              <w:spacing w:after="40"/>
              <w:rPr>
                <w:sz w:val="19"/>
              </w:rPr>
            </w:pPr>
            <w:r>
              <w:rPr>
                <w:snapToGrid w:val="0"/>
                <w:sz w:val="19"/>
                <w:lang w:val="en-US"/>
              </w:rPr>
              <w:t xml:space="preserve">77 of 2006 </w:t>
            </w:r>
          </w:p>
        </w:tc>
        <w:tc>
          <w:tcPr>
            <w:tcW w:w="1200" w:type="dxa"/>
          </w:tcPr>
          <w:p>
            <w:pPr>
              <w:pStyle w:val="nTable"/>
              <w:spacing w:after="40"/>
              <w:rPr>
                <w:sz w:val="19"/>
              </w:rPr>
            </w:pPr>
            <w:r>
              <w:rPr>
                <w:snapToGrid w:val="0"/>
                <w:sz w:val="19"/>
                <w:lang w:val="en-US"/>
              </w:rPr>
              <w:t>21 Dec 2006</w:t>
            </w:r>
          </w:p>
        </w:tc>
        <w:tc>
          <w:tcPr>
            <w:tcW w:w="2379"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308"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33</w:t>
            </w:r>
          </w:p>
        </w:tc>
        <w:tc>
          <w:tcPr>
            <w:tcW w:w="1200" w:type="dxa"/>
          </w:tcPr>
          <w:p>
            <w:pPr>
              <w:pStyle w:val="nTable"/>
              <w:spacing w:after="40"/>
              <w:rPr>
                <w:snapToGrid w:val="0"/>
                <w:sz w:val="19"/>
                <w:lang w:val="en-US"/>
              </w:rPr>
            </w:pPr>
            <w:r>
              <w:rPr>
                <w:snapToGrid w:val="0"/>
                <w:sz w:val="19"/>
                <w:lang w:val="en-US"/>
              </w:rPr>
              <w:t>31 of 2008</w:t>
            </w:r>
          </w:p>
        </w:tc>
        <w:tc>
          <w:tcPr>
            <w:tcW w:w="1200" w:type="dxa"/>
          </w:tcPr>
          <w:p>
            <w:pPr>
              <w:pStyle w:val="nTable"/>
              <w:spacing w:after="40"/>
              <w:rPr>
                <w:snapToGrid w:val="0"/>
                <w:sz w:val="19"/>
                <w:lang w:val="en-US"/>
              </w:rPr>
            </w:pPr>
            <w:r>
              <w:rPr>
                <w:snapToGrid w:val="0"/>
                <w:sz w:val="19"/>
                <w:lang w:val="en-US"/>
              </w:rPr>
              <w:t>27 Jun 2008</w:t>
            </w:r>
          </w:p>
        </w:tc>
        <w:tc>
          <w:tcPr>
            <w:tcW w:w="2379" w:type="dxa"/>
          </w:tcPr>
          <w:p>
            <w:pPr>
              <w:pStyle w:val="nTable"/>
              <w:spacing w:after="40"/>
              <w:rPr>
                <w:snapToGrid w:val="0"/>
                <w:sz w:val="19"/>
                <w:lang w:val="en-US"/>
              </w:rPr>
            </w:pPr>
            <w:r>
              <w:rPr>
                <w:snapToGrid w:val="0"/>
                <w:sz w:val="19"/>
                <w:lang w:val="en-US"/>
              </w:rPr>
              <w:t>28 Jun 2008 (see s. 2(b))</w:t>
            </w:r>
          </w:p>
        </w:tc>
      </w:tr>
      <w:tr>
        <w:trPr>
          <w:cantSplit/>
        </w:trPr>
        <w:tc>
          <w:tcPr>
            <w:tcW w:w="2308" w:type="dxa"/>
          </w:tcPr>
          <w:p>
            <w:pPr>
              <w:pStyle w:val="nTable"/>
              <w:spacing w:after="40"/>
              <w:rPr>
                <w:i/>
                <w:snapToGrid w:val="0"/>
                <w:sz w:val="19"/>
                <w:lang w:val="en-US"/>
              </w:rPr>
            </w:pPr>
            <w:r>
              <w:rPr>
                <w:i/>
                <w:snapToGrid w:val="0"/>
                <w:sz w:val="19"/>
                <w:lang w:val="en-US"/>
              </w:rPr>
              <w:t>First Home Owner Grant Amendment Act 2009</w:t>
            </w:r>
          </w:p>
        </w:tc>
        <w:tc>
          <w:tcPr>
            <w:tcW w:w="1200" w:type="dxa"/>
          </w:tcPr>
          <w:p>
            <w:pPr>
              <w:pStyle w:val="nTable"/>
              <w:spacing w:after="40"/>
              <w:rPr>
                <w:snapToGrid w:val="0"/>
                <w:sz w:val="19"/>
                <w:lang w:val="en-US"/>
              </w:rPr>
            </w:pPr>
            <w:r>
              <w:rPr>
                <w:snapToGrid w:val="0"/>
                <w:sz w:val="19"/>
                <w:lang w:val="en-US"/>
              </w:rPr>
              <w:t>27 of 2009</w:t>
            </w:r>
          </w:p>
        </w:tc>
        <w:tc>
          <w:tcPr>
            <w:tcW w:w="1200" w:type="dxa"/>
          </w:tcPr>
          <w:p>
            <w:pPr>
              <w:pStyle w:val="nTable"/>
              <w:spacing w:after="40"/>
              <w:rPr>
                <w:snapToGrid w:val="0"/>
                <w:sz w:val="19"/>
                <w:lang w:val="en-US"/>
              </w:rPr>
            </w:pPr>
            <w:r>
              <w:rPr>
                <w:sz w:val="19"/>
              </w:rPr>
              <w:t>17 Nov 2009</w:t>
            </w:r>
          </w:p>
        </w:tc>
        <w:tc>
          <w:tcPr>
            <w:tcW w:w="2379" w:type="dxa"/>
          </w:tcPr>
          <w:p>
            <w:pPr>
              <w:pStyle w:val="nTable"/>
              <w:spacing w:after="40"/>
              <w:rPr>
                <w:snapToGrid w:val="0"/>
                <w:sz w:val="19"/>
                <w:lang w:val="en-US"/>
              </w:rPr>
            </w:pPr>
            <w:r>
              <w:rPr>
                <w:snapToGrid w:val="0"/>
                <w:sz w:val="19"/>
                <w:lang w:val="en-US"/>
              </w:rPr>
              <w:t>s. 3 and Pt. 2: 14 Oct 2008 (see s. 2(b));</w:t>
            </w:r>
            <w:r>
              <w:rPr>
                <w:snapToGrid w:val="0"/>
                <w:sz w:val="19"/>
                <w:lang w:val="en-US"/>
              </w:rPr>
              <w:br/>
              <w:t>s. 1 and 2: 17 Nov 2009 (see s. 2(a));</w:t>
            </w:r>
            <w:r>
              <w:rPr>
                <w:snapToGrid w:val="0"/>
                <w:sz w:val="19"/>
                <w:lang w:val="en-US"/>
              </w:rPr>
              <w:br/>
              <w:t>Pt. 4: 18 Nov 2009 (see s. 2(d));</w:t>
            </w:r>
            <w:r>
              <w:rPr>
                <w:snapToGrid w:val="0"/>
                <w:sz w:val="19"/>
                <w:lang w:val="en-US"/>
              </w:rPr>
              <w:br/>
              <w:t xml:space="preserve">Pt. 3: 1 Jan 2010 (see s. 2(c) and </w:t>
            </w:r>
            <w:r>
              <w:rPr>
                <w:i/>
                <w:iCs/>
                <w:snapToGrid w:val="0"/>
                <w:sz w:val="19"/>
                <w:lang w:val="en-US"/>
              </w:rPr>
              <w:t>Gazette</w:t>
            </w:r>
            <w:r>
              <w:rPr>
                <w:snapToGrid w:val="0"/>
                <w:sz w:val="19"/>
                <w:lang w:val="en-US"/>
              </w:rPr>
              <w:t xml:space="preserve"> 22 Dec 2009 p. 5253)</w:t>
            </w:r>
          </w:p>
        </w:tc>
      </w:tr>
      <w:tr>
        <w:trPr>
          <w:cantSplit/>
        </w:trPr>
        <w:tc>
          <w:tcPr>
            <w:tcW w:w="2308" w:type="dxa"/>
          </w:tcPr>
          <w:p>
            <w:pPr>
              <w:pStyle w:val="nTable"/>
              <w:spacing w:after="40"/>
              <w:rPr>
                <w:i/>
                <w:snapToGrid w:val="0"/>
                <w:sz w:val="19"/>
                <w:lang w:val="en-US"/>
              </w:rPr>
            </w:pPr>
            <w:r>
              <w:rPr>
                <w:i/>
                <w:snapToGrid w:val="0"/>
                <w:sz w:val="19"/>
                <w:lang w:val="en-US"/>
              </w:rPr>
              <w:t>Revenue Laws Amendment and Repeal Act 2010</w:t>
            </w:r>
            <w:r>
              <w:rPr>
                <w:iCs/>
                <w:snapToGrid w:val="0"/>
                <w:sz w:val="19"/>
                <w:lang w:val="en-US"/>
              </w:rPr>
              <w:t xml:space="preserve"> Pt. 3</w:t>
            </w:r>
          </w:p>
        </w:tc>
        <w:tc>
          <w:tcPr>
            <w:tcW w:w="1200" w:type="dxa"/>
          </w:tcPr>
          <w:p>
            <w:pPr>
              <w:pStyle w:val="nTable"/>
              <w:spacing w:after="40"/>
              <w:rPr>
                <w:snapToGrid w:val="0"/>
                <w:sz w:val="19"/>
                <w:lang w:val="en-US"/>
              </w:rPr>
            </w:pPr>
            <w:r>
              <w:rPr>
                <w:snapToGrid w:val="0"/>
                <w:sz w:val="19"/>
                <w:lang w:val="en-US"/>
              </w:rPr>
              <w:t>17 of 2010</w:t>
            </w:r>
          </w:p>
        </w:tc>
        <w:tc>
          <w:tcPr>
            <w:tcW w:w="1200" w:type="dxa"/>
          </w:tcPr>
          <w:p>
            <w:pPr>
              <w:pStyle w:val="nTable"/>
              <w:spacing w:after="40"/>
              <w:rPr>
                <w:sz w:val="19"/>
              </w:rPr>
            </w:pPr>
            <w:r>
              <w:rPr>
                <w:sz w:val="19"/>
              </w:rPr>
              <w:t>25 Jun 2010</w:t>
            </w:r>
          </w:p>
        </w:tc>
        <w:tc>
          <w:tcPr>
            <w:tcW w:w="2379" w:type="dxa"/>
          </w:tcPr>
          <w:p>
            <w:pPr>
              <w:pStyle w:val="nTable"/>
              <w:spacing w:after="40"/>
              <w:rPr>
                <w:snapToGrid w:val="0"/>
                <w:sz w:val="19"/>
                <w:lang w:val="en-US"/>
              </w:rPr>
            </w:pPr>
            <w:r>
              <w:rPr>
                <w:snapToGrid w:val="0"/>
                <w:sz w:val="19"/>
                <w:lang w:val="en-US"/>
              </w:rPr>
              <w:t>26 Jun 2010 (see s. 2(b))</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First Home Owner Grant Act 2000</w:t>
            </w:r>
            <w:r>
              <w:rPr>
                <w:b/>
                <w:bCs/>
                <w:iCs/>
                <w:sz w:val="19"/>
              </w:rPr>
              <w:t xml:space="preserve"> as at 9 Jul 2010</w:t>
            </w:r>
            <w:r>
              <w:rPr>
                <w:b/>
                <w:bCs/>
                <w:iCs/>
                <w:sz w:val="19"/>
              </w:rPr>
              <w:br/>
            </w:r>
            <w:r>
              <w:rPr>
                <w:iCs/>
                <w:sz w:val="19"/>
              </w:rPr>
              <w:t>(includes amendments listed above)</w:t>
            </w:r>
          </w:p>
        </w:tc>
      </w:tr>
      <w:tr>
        <w:trPr>
          <w:cantSplit/>
        </w:trPr>
        <w:tc>
          <w:tcPr>
            <w:tcW w:w="2308" w:type="dxa"/>
            <w:tcBorders>
              <w:bottom w:val="single" w:sz="4" w:space="0" w:color="auto"/>
            </w:tcBorders>
          </w:tcPr>
          <w:p>
            <w:pPr>
              <w:pStyle w:val="nTable"/>
              <w:spacing w:after="40"/>
              <w:rPr>
                <w:i/>
                <w:snapToGrid w:val="0"/>
                <w:sz w:val="19"/>
                <w:lang w:val="en-US"/>
              </w:rPr>
            </w:pPr>
            <w:r>
              <w:rPr>
                <w:i/>
                <w:snapToGrid w:val="0"/>
                <w:sz w:val="19"/>
                <w:lang w:val="en-US"/>
              </w:rPr>
              <w:t>Revenue Laws Amendment Act 2012</w:t>
            </w:r>
            <w:r>
              <w:rPr>
                <w:iCs/>
                <w:snapToGrid w:val="0"/>
                <w:sz w:val="19"/>
                <w:lang w:val="en-US"/>
              </w:rPr>
              <w:t xml:space="preserve"> Pt. 3</w:t>
            </w:r>
          </w:p>
        </w:tc>
        <w:tc>
          <w:tcPr>
            <w:tcW w:w="1200" w:type="dxa"/>
            <w:tcBorders>
              <w:bottom w:val="single" w:sz="4" w:space="0" w:color="auto"/>
            </w:tcBorders>
          </w:tcPr>
          <w:p>
            <w:pPr>
              <w:pStyle w:val="nTable"/>
              <w:spacing w:after="40"/>
              <w:rPr>
                <w:snapToGrid w:val="0"/>
                <w:sz w:val="19"/>
                <w:lang w:val="en-US"/>
              </w:rPr>
            </w:pPr>
            <w:r>
              <w:rPr>
                <w:snapToGrid w:val="0"/>
                <w:sz w:val="19"/>
                <w:lang w:val="en-US"/>
              </w:rPr>
              <w:t>29 of 2012</w:t>
            </w:r>
          </w:p>
        </w:tc>
        <w:tc>
          <w:tcPr>
            <w:tcW w:w="1200" w:type="dxa"/>
            <w:tcBorders>
              <w:bottom w:val="single" w:sz="4" w:space="0" w:color="auto"/>
            </w:tcBorders>
          </w:tcPr>
          <w:p>
            <w:pPr>
              <w:pStyle w:val="nTable"/>
              <w:spacing w:after="40"/>
              <w:rPr>
                <w:sz w:val="19"/>
              </w:rPr>
            </w:pPr>
            <w:r>
              <w:rPr>
                <w:sz w:val="19"/>
              </w:rPr>
              <w:t>3 Sep 2012</w:t>
            </w:r>
          </w:p>
        </w:tc>
        <w:tc>
          <w:tcPr>
            <w:tcW w:w="2379" w:type="dxa"/>
            <w:tcBorders>
              <w:bottom w:val="single" w:sz="4" w:space="0" w:color="auto"/>
            </w:tcBorders>
          </w:tcPr>
          <w:p>
            <w:pPr>
              <w:pStyle w:val="nTable"/>
              <w:spacing w:after="40"/>
              <w:rPr>
                <w:snapToGrid w:val="0"/>
                <w:sz w:val="19"/>
                <w:lang w:val="en-US"/>
              </w:rPr>
            </w:pPr>
            <w:r>
              <w:rPr>
                <w:snapToGrid w:val="0"/>
                <w:sz w:val="19"/>
                <w:lang w:val="en-US"/>
              </w:rPr>
              <w:t>4 Sep 2012 (see s. 2(e))</w:t>
            </w:r>
          </w:p>
        </w:tc>
      </w:tr>
    </w:tbl>
    <w:p>
      <w:pPr>
        <w:pStyle w:val="nSubsection"/>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Subsection"/>
      </w:pPr>
      <w:r>
        <w:rPr>
          <w:vertAlign w:val="superscript"/>
        </w:rPr>
        <w:t>3</w:t>
      </w:r>
      <w:r>
        <w:tab/>
        <w:t xml:space="preserve">The </w:t>
      </w:r>
      <w:r>
        <w:rPr>
          <w:i/>
        </w:rPr>
        <w:t>First Home Owner Grant Amendment Act 2003</w:t>
      </w:r>
      <w:r>
        <w:t xml:space="preserve"> s. 10 is a savings provision of no further effect.</w:t>
      </w:r>
    </w:p>
    <w:p>
      <w:pPr>
        <w:pStyle w:val="nSubsection"/>
      </w:pPr>
      <w:r>
        <w:rPr>
          <w:vertAlign w:val="superscript"/>
        </w:rPr>
        <w:t>4</w:t>
      </w:r>
      <w:r>
        <w:tab/>
        <w:t xml:space="preserve">The </w:t>
      </w:r>
      <w:r>
        <w:rPr>
          <w:i/>
        </w:rPr>
        <w:t>First Home Owner Grant Amendment Act 2004</w:t>
      </w:r>
      <w:r>
        <w:t xml:space="preserve"> Pt. 3 is a transitional provision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The </w:t>
      </w:r>
      <w:r>
        <w:rPr>
          <w:i/>
          <w:snapToGrid w:val="0"/>
          <w:lang w:val="en-US"/>
        </w:rPr>
        <w:t>Courts Legislation Amendment and Repeal Act 2004</w:t>
      </w:r>
      <w:r>
        <w:rPr>
          <w:snapToGrid w:val="0"/>
          <w:lang w:val="en-US"/>
        </w:rPr>
        <w:t xml:space="preserve"> Sch. 2 cl. 20</w:t>
      </w:r>
      <w:r>
        <w:rPr>
          <w:snapToGrid w:val="0"/>
        </w:rPr>
        <w:t xml:space="preserve"> was deleted by the </w:t>
      </w:r>
      <w:r>
        <w:rPr>
          <w:i/>
          <w:iCs/>
          <w:snapToGrid w:val="0"/>
        </w:rPr>
        <w:t>Criminal Law and Evidence Amendment Act 2008</w:t>
      </w:r>
      <w:r>
        <w:rPr>
          <w:snapToGrid w:val="0"/>
        </w:rPr>
        <w:t xml:space="preserve"> s. 77(13).</w:t>
      </w:r>
    </w:p>
    <w:p>
      <w:pPr>
        <w:pStyle w:val="nSubsection"/>
        <w:keepNext/>
      </w:pPr>
      <w:r>
        <w:rPr>
          <w:vertAlign w:val="superscript"/>
        </w:rPr>
        <w:t>7</w:t>
      </w:r>
      <w:r>
        <w:tab/>
        <w:t xml:space="preserve">The </w:t>
      </w:r>
      <w:r>
        <w:rPr>
          <w:i/>
          <w:iCs/>
        </w:rPr>
        <w:t>First Home Owner Grant Amendment Act 2005</w:t>
      </w:r>
      <w:r>
        <w:t xml:space="preserve"> Pt. 3 reads as follows:</w:t>
      </w:r>
    </w:p>
    <w:p>
      <w:pPr>
        <w:pStyle w:val="BlankOpen"/>
      </w:pPr>
    </w:p>
    <w:p>
      <w:pPr>
        <w:pStyle w:val="nzHeading2"/>
      </w:pPr>
      <w:bookmarkStart w:id="1007" w:name="_Toc101931255"/>
      <w:bookmarkStart w:id="1008" w:name="_Toc101931273"/>
      <w:bookmarkStart w:id="1009" w:name="_Toc101931285"/>
      <w:bookmarkStart w:id="1010" w:name="_Toc101936278"/>
      <w:bookmarkStart w:id="1011" w:name="_Toc101938047"/>
      <w:bookmarkStart w:id="1012" w:name="_Toc101953003"/>
      <w:bookmarkStart w:id="1013" w:name="_Toc102799184"/>
      <w:bookmarkStart w:id="1014" w:name="_Toc102801771"/>
      <w:bookmarkStart w:id="1015" w:name="_Toc102884595"/>
      <w:bookmarkStart w:id="1016" w:name="_Toc105401272"/>
      <w:bookmarkStart w:id="1017" w:name="_Toc105404558"/>
      <w:bookmarkStart w:id="1018" w:name="_Toc105557594"/>
      <w:bookmarkStart w:id="1019" w:name="_Toc105565343"/>
      <w:bookmarkStart w:id="1020" w:name="_Toc105576533"/>
      <w:bookmarkStart w:id="1021" w:name="_Toc106004080"/>
      <w:bookmarkStart w:id="1022" w:name="_Toc107115538"/>
      <w:bookmarkStart w:id="1023" w:name="_Toc107117439"/>
      <w:bookmarkStart w:id="1024" w:name="_Toc107134556"/>
      <w:bookmarkStart w:id="1025" w:name="_Toc122254449"/>
      <w:r>
        <w:rPr>
          <w:rStyle w:val="CharPartNo"/>
        </w:rPr>
        <w:t>Part 3</w:t>
      </w:r>
      <w:r>
        <w:t> — </w:t>
      </w:r>
      <w:r>
        <w:rPr>
          <w:rStyle w:val="CharPartText"/>
        </w:rPr>
        <w:t>Transitional provisions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nzHeading3"/>
      </w:pPr>
      <w:bookmarkStart w:id="1026" w:name="_Toc105565344"/>
      <w:bookmarkStart w:id="1027" w:name="_Toc105576534"/>
      <w:bookmarkStart w:id="1028" w:name="_Toc106004081"/>
      <w:bookmarkStart w:id="1029" w:name="_Toc107115539"/>
      <w:bookmarkStart w:id="1030" w:name="_Toc107117440"/>
      <w:bookmarkStart w:id="1031" w:name="_Toc107134557"/>
      <w:bookmarkStart w:id="1032" w:name="_Toc122254450"/>
      <w:bookmarkStart w:id="1033" w:name="_Toc101868191"/>
      <w:bookmarkStart w:id="1034" w:name="_Toc101868334"/>
      <w:bookmarkStart w:id="1035" w:name="_Toc101931256"/>
      <w:bookmarkStart w:id="1036" w:name="_Toc101931274"/>
      <w:bookmarkStart w:id="1037" w:name="_Toc101931286"/>
      <w:bookmarkStart w:id="1038" w:name="_Toc101936279"/>
      <w:bookmarkStart w:id="1039" w:name="_Toc101938048"/>
      <w:bookmarkStart w:id="1040" w:name="_Toc101953004"/>
      <w:bookmarkStart w:id="1041" w:name="_Toc102799185"/>
      <w:bookmarkStart w:id="1042" w:name="_Toc102801772"/>
      <w:bookmarkStart w:id="1043" w:name="_Toc102884596"/>
      <w:bookmarkStart w:id="1044" w:name="_Toc105401273"/>
      <w:bookmarkStart w:id="1045" w:name="_Toc105404559"/>
      <w:bookmarkStart w:id="1046" w:name="_Toc105557595"/>
      <w:r>
        <w:rPr>
          <w:rStyle w:val="CharDivNo"/>
        </w:rPr>
        <w:t>Division 1</w:t>
      </w:r>
      <w:r>
        <w:t> — </w:t>
      </w:r>
      <w:r>
        <w:rPr>
          <w:rStyle w:val="CharDivText"/>
        </w:rPr>
        <w:t>First home owner grant</w:t>
      </w:r>
      <w:bookmarkEnd w:id="1026"/>
      <w:bookmarkEnd w:id="1027"/>
      <w:bookmarkEnd w:id="1028"/>
      <w:bookmarkEnd w:id="1029"/>
      <w:bookmarkEnd w:id="1030"/>
      <w:bookmarkEnd w:id="1031"/>
      <w:bookmarkEnd w:id="1032"/>
    </w:p>
    <w:p>
      <w:pPr>
        <w:pStyle w:val="nzHeading5"/>
      </w:pPr>
      <w:bookmarkStart w:id="1047" w:name="_Toc107134558"/>
      <w:bookmarkStart w:id="1048" w:name="_Toc122254451"/>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r>
        <w:rPr>
          <w:rStyle w:val="CharSectno"/>
        </w:rPr>
        <w:t>5</w:t>
      </w:r>
      <w:r>
        <w:t>.</w:t>
      </w:r>
      <w:r>
        <w:tab/>
        <w:t>Terms used in this Division</w:t>
      </w:r>
      <w:bookmarkEnd w:id="1047"/>
      <w:bookmarkEnd w:id="1048"/>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bookmarkStart w:id="1049" w:name="_Toc107134559"/>
      <w:bookmarkStart w:id="1050" w:name="_Toc122254452"/>
      <w:r>
        <w:rPr>
          <w:rStyle w:val="CharSectno"/>
        </w:rPr>
        <w:t>6</w:t>
      </w:r>
      <w:r>
        <w:t>.</w:t>
      </w:r>
      <w:r>
        <w:tab/>
        <w:t>Application of amendments to FHOG Act section 12</w:t>
      </w:r>
      <w:bookmarkEnd w:id="1049"/>
      <w:bookmarkEnd w:id="1050"/>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bookmarkStart w:id="1051" w:name="_Toc107134560"/>
      <w:bookmarkStart w:id="1052" w:name="_Toc122254453"/>
      <w:r>
        <w:rPr>
          <w:rStyle w:val="CharSectno"/>
        </w:rPr>
        <w:t>7</w:t>
      </w:r>
      <w:r>
        <w:t>.</w:t>
      </w:r>
      <w:r>
        <w:tab/>
        <w:t>Application of amendments to FHOG Act section 15</w:t>
      </w:r>
      <w:bookmarkEnd w:id="1051"/>
      <w:bookmarkEnd w:id="1052"/>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bookmarkStart w:id="1053" w:name="_Toc107134561"/>
      <w:bookmarkStart w:id="1054" w:name="_Toc122254454"/>
      <w:r>
        <w:rPr>
          <w:rStyle w:val="CharSectno"/>
        </w:rPr>
        <w:t>8</w:t>
      </w:r>
      <w:r>
        <w:t>.</w:t>
      </w:r>
      <w:r>
        <w:tab/>
        <w:t>Application of amendments to existing first home owner grants</w:t>
      </w:r>
      <w:bookmarkEnd w:id="1053"/>
      <w:bookmarkEnd w:id="1054"/>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bookmarkStart w:id="1055" w:name="_Toc105565349"/>
      <w:bookmarkStart w:id="1056" w:name="_Toc105576539"/>
      <w:bookmarkStart w:id="1057" w:name="_Toc106004086"/>
      <w:bookmarkStart w:id="1058" w:name="_Toc107115544"/>
      <w:bookmarkStart w:id="1059" w:name="_Toc107117445"/>
      <w:bookmarkStart w:id="1060" w:name="_Toc107134562"/>
      <w:bookmarkStart w:id="1061" w:name="_Toc122254455"/>
      <w:bookmarkStart w:id="1062" w:name="_Toc101931259"/>
      <w:bookmarkStart w:id="1063" w:name="_Toc101931277"/>
      <w:bookmarkStart w:id="1064" w:name="_Toc101931289"/>
      <w:bookmarkStart w:id="1065" w:name="_Toc101936282"/>
      <w:bookmarkStart w:id="1066" w:name="_Toc101938051"/>
      <w:bookmarkStart w:id="1067" w:name="_Toc101953009"/>
      <w:bookmarkStart w:id="1068" w:name="_Toc102799190"/>
      <w:bookmarkStart w:id="1069" w:name="_Toc102801777"/>
      <w:bookmarkStart w:id="1070" w:name="_Toc102884601"/>
      <w:bookmarkStart w:id="1071" w:name="_Toc105401278"/>
      <w:bookmarkStart w:id="1072" w:name="_Toc105404564"/>
      <w:bookmarkStart w:id="1073" w:name="_Toc105557600"/>
      <w:r>
        <w:rPr>
          <w:rStyle w:val="CharDivNo"/>
        </w:rPr>
        <w:t>Division 2</w:t>
      </w:r>
      <w:r>
        <w:t> — </w:t>
      </w:r>
      <w:r>
        <w:rPr>
          <w:rStyle w:val="CharDivText"/>
        </w:rPr>
        <w:t>Stamp duty</w:t>
      </w:r>
      <w:bookmarkEnd w:id="1055"/>
      <w:bookmarkEnd w:id="1056"/>
      <w:bookmarkEnd w:id="1057"/>
      <w:bookmarkEnd w:id="1058"/>
      <w:bookmarkEnd w:id="1059"/>
      <w:bookmarkEnd w:id="1060"/>
      <w:bookmarkEnd w:id="1061"/>
    </w:p>
    <w:p>
      <w:pPr>
        <w:pStyle w:val="nzHeading5"/>
      </w:pPr>
      <w:bookmarkStart w:id="1074" w:name="_Toc107134563"/>
      <w:bookmarkStart w:id="1075" w:name="_Toc122254456"/>
      <w:bookmarkEnd w:id="1062"/>
      <w:bookmarkEnd w:id="1063"/>
      <w:bookmarkEnd w:id="1064"/>
      <w:bookmarkEnd w:id="1065"/>
      <w:bookmarkEnd w:id="1066"/>
      <w:bookmarkEnd w:id="1067"/>
      <w:bookmarkEnd w:id="1068"/>
      <w:bookmarkEnd w:id="1069"/>
      <w:bookmarkEnd w:id="1070"/>
      <w:bookmarkEnd w:id="1071"/>
      <w:bookmarkEnd w:id="1072"/>
      <w:bookmarkEnd w:id="1073"/>
      <w:r>
        <w:rPr>
          <w:rStyle w:val="CharSectno"/>
        </w:rPr>
        <w:t>9</w:t>
      </w:r>
      <w:r>
        <w:t>.</w:t>
      </w:r>
      <w:r>
        <w:tab/>
        <w:t>Terms used in this Division</w:t>
      </w:r>
      <w:bookmarkEnd w:id="1074"/>
      <w:bookmarkEnd w:id="1075"/>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bookmarkStart w:id="1076" w:name="_Toc107134564"/>
      <w:bookmarkStart w:id="1077" w:name="_Toc122254457"/>
      <w:r>
        <w:rPr>
          <w:rStyle w:val="CharSectno"/>
        </w:rPr>
        <w:t>10</w:t>
      </w:r>
      <w:r>
        <w:t>.</w:t>
      </w:r>
      <w:r>
        <w:tab/>
        <w:t xml:space="preserve">Assessment of duty under </w:t>
      </w:r>
      <w:r>
        <w:rPr>
          <w:i/>
          <w:iCs/>
        </w:rPr>
        <w:t xml:space="preserve">Stamp Act 1921 </w:t>
      </w:r>
      <w:r>
        <w:t>section 75AG for transfers relating to certain first home owners</w:t>
      </w:r>
      <w:bookmarkEnd w:id="1076"/>
      <w:bookmarkEnd w:id="1077"/>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
      <w:pPr>
        <w:pStyle w:val="nHeading2"/>
        <w:rPr>
          <w:sz w:val="28"/>
        </w:rPr>
      </w:pPr>
      <w:bookmarkStart w:id="1078" w:name="_Toc262208009"/>
      <w:bookmarkStart w:id="1079" w:name="_Toc263760103"/>
      <w:bookmarkStart w:id="1080" w:name="_Toc263855346"/>
      <w:bookmarkStart w:id="1081" w:name="_Toc266091955"/>
      <w:bookmarkStart w:id="1082" w:name="_Toc267577000"/>
      <w:bookmarkStart w:id="1083" w:name="_Toc268526097"/>
      <w:bookmarkStart w:id="1084" w:name="_Toc334698731"/>
      <w:bookmarkStart w:id="1085" w:name="_Toc334698839"/>
      <w:bookmarkStart w:id="1086" w:name="_Toc334698947"/>
      <w:r>
        <w:rPr>
          <w:sz w:val="28"/>
        </w:rPr>
        <w:t>Defined Terms</w:t>
      </w:r>
      <w:bookmarkEnd w:id="1078"/>
      <w:bookmarkEnd w:id="1079"/>
      <w:bookmarkEnd w:id="1080"/>
      <w:bookmarkEnd w:id="1081"/>
      <w:bookmarkEnd w:id="1082"/>
      <w:bookmarkEnd w:id="1083"/>
      <w:bookmarkEnd w:id="1084"/>
      <w:bookmarkEnd w:id="1085"/>
      <w:bookmarkEnd w:id="10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87" w:name="DefinedTerms"/>
      <w:bookmarkEnd w:id="1087"/>
      <w:r>
        <w:t>administration agreement</w:t>
      </w:r>
      <w:r>
        <w:tab/>
        <w:t>37(1)</w:t>
      </w:r>
    </w:p>
    <w:p>
      <w:pPr>
        <w:pStyle w:val="DefinedTerms"/>
      </w:pPr>
      <w:r>
        <w:t>applicant,</w:t>
      </w:r>
      <w:r>
        <w:tab/>
        <w:t>41A(1)</w:t>
      </w:r>
    </w:p>
    <w:p>
      <w:pPr>
        <w:pStyle w:val="DefinedTerms"/>
      </w:pPr>
      <w:r>
        <w:t>application</w:t>
      </w:r>
      <w:r>
        <w:tab/>
        <w:t>3(1)</w:t>
      </w:r>
    </w:p>
    <w:p>
      <w:pPr>
        <w:pStyle w:val="DefinedTerms"/>
      </w:pPr>
      <w:r>
        <w:t>approved</w:t>
      </w:r>
      <w:r>
        <w:tab/>
        <w:t>30(1A), 32(1)</w:t>
      </w:r>
    </w:p>
    <w:p>
      <w:pPr>
        <w:pStyle w:val="DefinedTerms"/>
      </w:pPr>
      <w:r>
        <w:t>Australian citizen</w:t>
      </w:r>
      <w:r>
        <w:tab/>
        <w:t>3(1), 7A</w:t>
      </w:r>
    </w:p>
    <w:p>
      <w:pPr>
        <w:pStyle w:val="DefinedTerms"/>
      </w:pPr>
      <w:r>
        <w:t>authorised investigator</w:t>
      </w:r>
      <w:r>
        <w:tab/>
        <w:t>3(1), 48(3)</w:t>
      </w:r>
    </w:p>
    <w:p>
      <w:pPr>
        <w:pStyle w:val="DefinedTerms"/>
      </w:pPr>
      <w:r>
        <w:t>building</w:t>
      </w:r>
      <w:r>
        <w:tab/>
        <w:t>3(1)</w:t>
      </w:r>
    </w:p>
    <w:p>
      <w:pPr>
        <w:pStyle w:val="DefinedTerms"/>
      </w:pPr>
      <w:r>
        <w:t>cap amount</w:t>
      </w:r>
      <w:r>
        <w:tab/>
        <w:t>3(1), 14AD</w:t>
      </w:r>
    </w:p>
    <w:p>
      <w:pPr>
        <w:pStyle w:val="DefinedTerms"/>
      </w:pPr>
      <w:r>
        <w:t>class 1 eligible transaction</w:t>
      </w:r>
      <w:r>
        <w:tab/>
        <w:t>14B(1)</w:t>
      </w:r>
    </w:p>
    <w:p>
      <w:pPr>
        <w:pStyle w:val="DefinedTerms"/>
      </w:pPr>
      <w:r>
        <w:t>class 2 eligible transaction</w:t>
      </w:r>
      <w:r>
        <w:tab/>
        <w:t>14B(1a)</w:t>
      </w:r>
    </w:p>
    <w:p>
      <w:pPr>
        <w:pStyle w:val="DefinedTerms"/>
      </w:pPr>
      <w:r>
        <w:t>class 3 eligible transaction</w:t>
      </w:r>
      <w:r>
        <w:tab/>
        <w:t>14B(1b)</w:t>
      </w:r>
    </w:p>
    <w:p>
      <w:pPr>
        <w:pStyle w:val="DefinedTerms"/>
      </w:pPr>
      <w:r>
        <w:t>class 4 eligible transaction</w:t>
      </w:r>
      <w:r>
        <w:tab/>
        <w:t>14B(2)</w:t>
      </w:r>
    </w:p>
    <w:p>
      <w:pPr>
        <w:pStyle w:val="DefinedTerms"/>
      </w:pPr>
      <w:r>
        <w:t>class 5 eligible transaction</w:t>
      </w:r>
      <w:r>
        <w:tab/>
        <w:t>14B(3)</w:t>
      </w:r>
    </w:p>
    <w:p>
      <w:pPr>
        <w:pStyle w:val="DefinedTerms"/>
      </w:pPr>
      <w:r>
        <w:t>class 6 eligible transaction</w:t>
      </w:r>
      <w:r>
        <w:tab/>
        <w:t>14B(4A)</w:t>
      </w:r>
    </w:p>
    <w:p>
      <w:pPr>
        <w:pStyle w:val="DefinedTerms"/>
      </w:pPr>
      <w:r>
        <w:t>class 7 eligible transaction</w:t>
      </w:r>
      <w:r>
        <w:tab/>
        <w:t>14B(4B)</w:t>
      </w:r>
    </w:p>
    <w:p>
      <w:pPr>
        <w:pStyle w:val="DefinedTerms"/>
      </w:pPr>
      <w:r>
        <w:t>commencement date</w:t>
      </w:r>
      <w:r>
        <w:tab/>
        <w:t>3(1), 14AA(1)</w:t>
      </w:r>
    </w:p>
    <w:p>
      <w:pPr>
        <w:pStyle w:val="DefinedTerms"/>
      </w:pPr>
      <w:r>
        <w:t>Commissioner</w:t>
      </w:r>
      <w:r>
        <w:tab/>
        <w:t>3(1)</w:t>
      </w:r>
    </w:p>
    <w:p>
      <w:pPr>
        <w:pStyle w:val="DefinedTerms"/>
      </w:pPr>
      <w:r>
        <w:t>completed</w:t>
      </w:r>
      <w:r>
        <w:tab/>
        <w:t>3(1), 14AA(2)</w:t>
      </w:r>
    </w:p>
    <w:p>
      <w:pPr>
        <w:pStyle w:val="DefinedTerms"/>
      </w:pPr>
      <w:r>
        <w:t>comprehensive home building contract</w:t>
      </w:r>
      <w:r>
        <w:tab/>
        <w:t>3(1)</w:t>
      </w:r>
    </w:p>
    <w:p>
      <w:pPr>
        <w:pStyle w:val="DefinedTerms"/>
      </w:pPr>
      <w:r>
        <w:t>confidential information</w:t>
      </w:r>
      <w:r>
        <w:tab/>
        <w:t>65(7)</w:t>
      </w:r>
    </w:p>
    <w:p>
      <w:pPr>
        <w:pStyle w:val="DefinedTerms"/>
      </w:pPr>
      <w:r>
        <w:t>consideration</w:t>
      </w:r>
      <w:r>
        <w:tab/>
        <w:t>3(1), 14AB</w:t>
      </w:r>
    </w:p>
    <w:p>
      <w:pPr>
        <w:pStyle w:val="DefinedTerms"/>
      </w:pPr>
      <w:r>
        <w:t>corresponding Commissioner</w:t>
      </w:r>
      <w:r>
        <w:tab/>
        <w:t>3(1)</w:t>
      </w:r>
    </w:p>
    <w:p>
      <w:pPr>
        <w:pStyle w:val="DefinedTerms"/>
      </w:pPr>
      <w:r>
        <w:t>corresponding law</w:t>
      </w:r>
      <w:r>
        <w:tab/>
        <w:t>3(1)</w:t>
      </w:r>
    </w:p>
    <w:p>
      <w:pPr>
        <w:pStyle w:val="DefinedTerms"/>
      </w:pPr>
      <w:r>
        <w:t>cut</w:t>
      </w:r>
      <w:r>
        <w:noBreakHyphen/>
        <w:t>off date</w:t>
      </w:r>
      <w:r>
        <w:tab/>
        <w:t>14A</w:t>
      </w:r>
    </w:p>
    <w:p>
      <w:pPr>
        <w:pStyle w:val="DefinedTerms"/>
      </w:pPr>
      <w:r>
        <w:t>de facto partner</w:t>
      </w:r>
      <w:r>
        <w:tab/>
        <w:t>3(1)</w:t>
      </w:r>
    </w:p>
    <w:p>
      <w:pPr>
        <w:pStyle w:val="DefinedTerms"/>
      </w:pPr>
      <w:r>
        <w:t>decision on the application</w:t>
      </w:r>
      <w:r>
        <w:tab/>
        <w:t>26</w:t>
      </w:r>
    </w:p>
    <w:p>
      <w:pPr>
        <w:pStyle w:val="DefinedTerms"/>
      </w:pPr>
      <w:r>
        <w:t>document</w:t>
      </w:r>
      <w:r>
        <w:tab/>
        <w:t>47(3)</w:t>
      </w:r>
    </w:p>
    <w:p>
      <w:pPr>
        <w:pStyle w:val="DefinedTerms"/>
      </w:pPr>
      <w:r>
        <w:t>eligibility criteria</w:t>
      </w:r>
      <w:r>
        <w:tab/>
        <w:t>3(1)</w:t>
      </w:r>
    </w:p>
    <w:p>
      <w:pPr>
        <w:pStyle w:val="DefinedTerms"/>
      </w:pPr>
      <w:r>
        <w:t>eligible transaction</w:t>
      </w:r>
      <w:r>
        <w:tab/>
        <w:t>3(1), 14(1)</w:t>
      </w:r>
    </w:p>
    <w:p>
      <w:pPr>
        <w:pStyle w:val="DefinedTerms"/>
      </w:pPr>
      <w:r>
        <w:t>established home</w:t>
      </w:r>
      <w:r>
        <w:tab/>
        <w:t>14A</w:t>
      </w:r>
    </w:p>
    <w:p>
      <w:pPr>
        <w:pStyle w:val="DefinedTerms"/>
      </w:pPr>
      <w:r>
        <w:t>first home owner grant</w:t>
      </w:r>
      <w:r>
        <w:tab/>
        <w:t>3(1)</w:t>
      </w:r>
    </w:p>
    <w:p>
      <w:pPr>
        <w:pStyle w:val="DefinedTerms"/>
      </w:pPr>
      <w:r>
        <w:t>first home owner grant scheme</w:t>
      </w:r>
      <w:r>
        <w:tab/>
        <w:t>3(1)</w:t>
      </w:r>
    </w:p>
    <w:p>
      <w:pPr>
        <w:pStyle w:val="DefinedTerms"/>
      </w:pPr>
      <w:r>
        <w:t>garnishee</w:t>
      </w:r>
      <w:r>
        <w:tab/>
        <w:t>54A(2)</w:t>
      </w:r>
    </w:p>
    <w:p>
      <w:pPr>
        <w:pStyle w:val="DefinedTerms"/>
      </w:pPr>
      <w:r>
        <w:t>guardian</w:t>
      </w:r>
      <w:r>
        <w:tab/>
        <w:t>3(1)</w:t>
      </w:r>
    </w:p>
    <w:p>
      <w:pPr>
        <w:pStyle w:val="DefinedTerms"/>
      </w:pPr>
      <w:r>
        <w:t>home</w:t>
      </w:r>
      <w:r>
        <w:tab/>
        <w:t>3(1), 4</w:t>
      </w:r>
    </w:p>
    <w:p>
      <w:pPr>
        <w:pStyle w:val="DefinedTerms"/>
      </w:pPr>
      <w:r>
        <w:t>home owner</w:t>
      </w:r>
      <w:r>
        <w:tab/>
        <w:t>5</w:t>
      </w:r>
    </w:p>
    <w:p>
      <w:pPr>
        <w:pStyle w:val="DefinedTerms"/>
      </w:pPr>
      <w:r>
        <w:t>identity card</w:t>
      </w:r>
      <w:r>
        <w:tab/>
        <w:t>3(1)</w:t>
      </w:r>
    </w:p>
    <w:p>
      <w:pPr>
        <w:pStyle w:val="DefinedTerms"/>
      </w:pPr>
      <w:r>
        <w:t>interested person</w:t>
      </w:r>
      <w:r>
        <w:tab/>
        <w:t>16(3)</w:t>
      </w:r>
    </w:p>
    <w:p>
      <w:pPr>
        <w:pStyle w:val="DefinedTerms"/>
      </w:pPr>
      <w:r>
        <w:t>liable person</w:t>
      </w:r>
      <w:r>
        <w:tab/>
        <w:t>54A(1)</w:t>
      </w:r>
    </w:p>
    <w:p>
      <w:pPr>
        <w:pStyle w:val="DefinedTerms"/>
      </w:pPr>
      <w:r>
        <w:t>licensed valuer</w:t>
      </w:r>
      <w:r>
        <w:tab/>
        <w:t>41A(1)</w:t>
      </w:r>
    </w:p>
    <w:p>
      <w:pPr>
        <w:pStyle w:val="DefinedTerms"/>
      </w:pPr>
      <w:r>
        <w:t>new home</w:t>
      </w:r>
      <w:r>
        <w:tab/>
        <w:t>14A</w:t>
      </w:r>
    </w:p>
    <w:p>
      <w:pPr>
        <w:pStyle w:val="DefinedTerms"/>
      </w:pPr>
      <w:r>
        <w:t>non</w:t>
      </w:r>
      <w:r>
        <w:noBreakHyphen/>
        <w:t>conforming interest</w:t>
      </w:r>
      <w:r>
        <w:tab/>
        <w:t>6(3)</w:t>
      </w:r>
    </w:p>
    <w:p>
      <w:pPr>
        <w:pStyle w:val="DefinedTerms"/>
      </w:pPr>
      <w:r>
        <w:t>objector</w:t>
      </w:r>
      <w:r>
        <w:tab/>
        <w:t>26</w:t>
      </w:r>
    </w:p>
    <w:p>
      <w:pPr>
        <w:pStyle w:val="DefinedTerms"/>
      </w:pPr>
      <w:r>
        <w:t>option to purchase</w:t>
      </w:r>
      <w:r>
        <w:tab/>
        <w:t>3(1)</w:t>
      </w:r>
    </w:p>
    <w:p>
      <w:pPr>
        <w:pStyle w:val="DefinedTerms"/>
      </w:pPr>
      <w:r>
        <w:t>outstanding amount</w:t>
      </w:r>
      <w:r>
        <w:tab/>
        <w:t>58(1)(a)(i)</w:t>
      </w:r>
    </w:p>
    <w:p>
      <w:pPr>
        <w:pStyle w:val="DefinedTerms"/>
      </w:pPr>
      <w:r>
        <w:t>owner</w:t>
      </w:r>
      <w:r>
        <w:tab/>
        <w:t>3(1), 5</w:t>
      </w:r>
    </w:p>
    <w:p>
      <w:pPr>
        <w:pStyle w:val="DefinedTerms"/>
      </w:pPr>
      <w:r>
        <w:t>owner builder</w:t>
      </w:r>
      <w:r>
        <w:tab/>
        <w:t>3(1)</w:t>
      </w:r>
    </w:p>
    <w:p>
      <w:pPr>
        <w:pStyle w:val="DefinedTerms"/>
      </w:pPr>
      <w:r>
        <w:t>permanent resident</w:t>
      </w:r>
      <w:r>
        <w:tab/>
        <w:t>3(1), 7B</w:t>
      </w:r>
    </w:p>
    <w:p>
      <w:pPr>
        <w:pStyle w:val="DefinedTerms"/>
      </w:pPr>
      <w:r>
        <w:t>premises</w:t>
      </w:r>
      <w:r>
        <w:tab/>
        <w:t>3(1)</w:t>
      </w:r>
    </w:p>
    <w:p>
      <w:pPr>
        <w:pStyle w:val="DefinedTerms"/>
      </w:pPr>
      <w:r>
        <w:t>property</w:t>
      </w:r>
      <w:r>
        <w:tab/>
        <w:t>3(1)</w:t>
      </w:r>
    </w:p>
    <w:p>
      <w:pPr>
        <w:pStyle w:val="DefinedTerms"/>
      </w:pPr>
      <w:r>
        <w:t>registered</w:t>
      </w:r>
      <w:r>
        <w:tab/>
        <w:t>55(6)</w:t>
      </w:r>
    </w:p>
    <w:p>
      <w:pPr>
        <w:pStyle w:val="DefinedTerms"/>
      </w:pPr>
      <w:r>
        <w:t>Registrar</w:t>
      </w:r>
      <w:r>
        <w:tab/>
        <w:t>3(1)</w:t>
      </w:r>
    </w:p>
    <w:p>
      <w:pPr>
        <w:pStyle w:val="DefinedTerms"/>
      </w:pPr>
      <w:r>
        <w:t>relevant amount</w:t>
      </w:r>
      <w:r>
        <w:tab/>
        <w:t>19(3)</w:t>
      </w:r>
    </w:p>
    <w:p>
      <w:pPr>
        <w:pStyle w:val="DefinedTerms"/>
      </w:pPr>
      <w:r>
        <w:t>relevant date</w:t>
      </w:r>
      <w:r>
        <w:tab/>
        <w:t>14A</w:t>
      </w:r>
    </w:p>
    <w:p>
      <w:pPr>
        <w:pStyle w:val="DefinedTerms"/>
      </w:pPr>
      <w:r>
        <w:t>relevant day</w:t>
      </w:r>
      <w:r>
        <w:tab/>
        <w:t>21(3)</w:t>
      </w:r>
    </w:p>
    <w:p>
      <w:pPr>
        <w:pStyle w:val="DefinedTerms"/>
      </w:pPr>
      <w:r>
        <w:t>relevant interest</w:t>
      </w:r>
      <w:r>
        <w:tab/>
        <w:t>3(1), 6(1)</w:t>
      </w:r>
    </w:p>
    <w:p>
      <w:pPr>
        <w:pStyle w:val="DefinedTerms"/>
      </w:pPr>
      <w:r>
        <w:t>relevant material</w:t>
      </w:r>
      <w:r>
        <w:tab/>
        <w:t>3(1)</w:t>
      </w:r>
    </w:p>
    <w:p>
      <w:pPr>
        <w:pStyle w:val="DefinedTerms"/>
      </w:pPr>
      <w:r>
        <w:t>repayment arrangement</w:t>
      </w:r>
      <w:r>
        <w:tab/>
        <w:t>3(1)</w:t>
      </w:r>
    </w:p>
    <w:p>
      <w:pPr>
        <w:pStyle w:val="DefinedTerms"/>
      </w:pPr>
      <w:r>
        <w:t>required repayment</w:t>
      </w:r>
      <w:r>
        <w:tab/>
        <w:t>52(1)(a)</w:t>
      </w:r>
    </w:p>
    <w:p>
      <w:pPr>
        <w:pStyle w:val="DefinedTerms"/>
      </w:pPr>
      <w:r>
        <w:t>required residence period</w:t>
      </w:r>
      <w:r>
        <w:tab/>
        <w:t>3(1), 13(2)</w:t>
      </w:r>
    </w:p>
    <w:p>
      <w:pPr>
        <w:pStyle w:val="DefinedTerms"/>
      </w:pPr>
      <w:r>
        <w:t>residence requirements</w:t>
      </w:r>
      <w:r>
        <w:tab/>
        <w:t>3(1)</w:t>
      </w:r>
    </w:p>
    <w:p>
      <w:pPr>
        <w:pStyle w:val="DefinedTerms"/>
      </w:pPr>
      <w:r>
        <w:t>residential property</w:t>
      </w:r>
      <w:r>
        <w:tab/>
        <w:t>3(1), 3(2)</w:t>
      </w:r>
    </w:p>
    <w:p>
      <w:pPr>
        <w:pStyle w:val="DefinedTerms"/>
      </w:pPr>
      <w:r>
        <w:t>special eligible transaction</w:t>
      </w:r>
      <w:r>
        <w:tab/>
        <w:t>14A</w:t>
      </w:r>
    </w:p>
    <w:p>
      <w:pPr>
        <w:pStyle w:val="DefinedTerms"/>
      </w:pPr>
      <w:r>
        <w:t>spouse</w:t>
      </w:r>
      <w:r>
        <w:tab/>
        <w:t>3(1), 7(1)</w:t>
      </w:r>
    </w:p>
    <w:p>
      <w:pPr>
        <w:pStyle w:val="DefinedTerms"/>
      </w:pPr>
      <w:r>
        <w:t>State</w:t>
      </w:r>
      <w:r>
        <w:tab/>
        <w:t>65(7)</w:t>
      </w:r>
    </w:p>
    <w:p>
      <w:pPr>
        <w:pStyle w:val="DefinedTerms"/>
      </w:pPr>
      <w:r>
        <w:t>substantially renovated home</w:t>
      </w:r>
      <w:r>
        <w:tab/>
        <w:t>14A</w:t>
      </w:r>
    </w:p>
    <w:p>
      <w:pPr>
        <w:pStyle w:val="DefinedTerms"/>
      </w:pPr>
      <w:r>
        <w:t>take</w:t>
      </w:r>
      <w:r>
        <w:noBreakHyphen/>
        <w:t>up period</w:t>
      </w:r>
      <w:r>
        <w:tab/>
        <w:t>3(1), 13(5)</w:t>
      </w:r>
    </w:p>
    <w:p>
      <w:pPr>
        <w:pStyle w:val="DefinedTerms"/>
      </w:pPr>
      <w:r>
        <w:t>taxation law</w:t>
      </w:r>
      <w:r>
        <w:tab/>
        <w:t>3(1)</w:t>
      </w:r>
    </w:p>
    <w:p>
      <w:pPr>
        <w:pStyle w:val="DefinedTerms"/>
      </w:pPr>
      <w:r>
        <w:t>the applicant</w:t>
      </w:r>
      <w:r>
        <w:tab/>
        <w:t>11(1)(b)</w:t>
      </w:r>
    </w:p>
    <w:p>
      <w:pPr>
        <w:pStyle w:val="DefinedTerms"/>
      </w:pPr>
      <w:r>
        <w:t>the home</w:t>
      </w:r>
      <w:r>
        <w:tab/>
        <w:t>3(1)</w:t>
      </w:r>
    </w:p>
    <w:p>
      <w:pPr>
        <w:pStyle w:val="DefinedTerms"/>
      </w:pPr>
      <w:r>
        <w:t>the other grant</w:t>
      </w:r>
      <w:r>
        <w:tab/>
        <w:t>11(1)(b)</w:t>
      </w:r>
    </w:p>
    <w:p>
      <w:pPr>
        <w:pStyle w:val="DefinedTerms"/>
      </w:pPr>
      <w:r>
        <w:t>total value</w:t>
      </w:r>
      <w:r>
        <w:tab/>
        <w:t>3(1), 14AC(1)</w:t>
      </w:r>
    </w:p>
    <w:p>
      <w:pPr>
        <w:pStyle w:val="DefinedTerms"/>
      </w:pPr>
      <w:r>
        <w:t>transaction</w:t>
      </w:r>
      <w:r>
        <w:tab/>
        <w:t>3(1)</w:t>
      </w:r>
    </w:p>
    <w:p>
      <w:pPr>
        <w:pStyle w:val="DefinedTerms"/>
      </w:pPr>
      <w:r>
        <w:t>unencumbered value</w:t>
      </w:r>
      <w:r>
        <w:tab/>
        <w:t>3(1), 14AE(1)</w:t>
      </w:r>
    </w:p>
    <w:p>
      <w:pPr>
        <w:pStyle w:val="DefinedTerms"/>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First Home Owner Grant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First Home Owner Grant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B6F4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8040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5081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D07A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9254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F66E7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909D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383A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10B508"/>
    <w:lvl w:ilvl="0">
      <w:start w:val="1"/>
      <w:numFmt w:val="decimal"/>
      <w:pStyle w:val="ListNumber"/>
      <w:lvlText w:val="%1."/>
      <w:lvlJc w:val="left"/>
      <w:pPr>
        <w:tabs>
          <w:tab w:val="num" w:pos="360"/>
        </w:tabs>
        <w:ind w:left="360" w:hanging="360"/>
      </w:pPr>
    </w:lvl>
  </w:abstractNum>
  <w:abstractNum w:abstractNumId="9">
    <w:nsid w:val="FFFFFF89"/>
    <w:multiLevelType w:val="singleLevel"/>
    <w:tmpl w:val="562E8A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BD44C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A34C31B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1142"/>
    <w:docVar w:name="WAFER_20151210141142" w:val="RemoveTrackChanges"/>
    <w:docVar w:name="WAFER_20151210141142_GUID" w:val="7502942e-1247-40b6-80f2-ee36f6c3bd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18905</Words>
  <Characters>90744</Characters>
  <Application>Microsoft Office Word</Application>
  <DocSecurity>0</DocSecurity>
  <Lines>2520</Lines>
  <Paragraphs>1502</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108147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2000 - 02-b0-02</dc:title>
  <dc:subject/>
  <dc:creator/>
  <cp:keywords/>
  <dc:description/>
  <cp:lastModifiedBy>svcMRProcess</cp:lastModifiedBy>
  <cp:revision>4</cp:revision>
  <cp:lastPrinted>2010-07-23T02:03:00Z</cp:lastPrinted>
  <dcterms:created xsi:type="dcterms:W3CDTF">2018-08-29T06:17:00Z</dcterms:created>
  <dcterms:modified xsi:type="dcterms:W3CDTF">2018-08-29T06:17:00Z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CommencementDate">
    <vt:lpwstr>20120904</vt:lpwstr>
  </property>
  <property fmtid="{D5CDD505-2E9C-101B-9397-08002B2CF9AE}" pid="4" name="DocumentType">
    <vt:lpwstr>Act</vt:lpwstr>
  </property>
  <property fmtid="{D5CDD505-2E9C-101B-9397-08002B2CF9AE}" pid="5" name="OwlsUID">
    <vt:i4>2000</vt:i4>
  </property>
  <property fmtid="{D5CDD505-2E9C-101B-9397-08002B2CF9AE}" pid="6" name="AsAtDate">
    <vt:lpwstr>04 Sep 2012</vt:lpwstr>
  </property>
  <property fmtid="{D5CDD505-2E9C-101B-9397-08002B2CF9AE}" pid="7" name="Suffix">
    <vt:lpwstr>02-b0-02</vt:lpwstr>
  </property>
  <property fmtid="{D5CDD505-2E9C-101B-9397-08002B2CF9AE}" pid="8" name="ReprintNo">
    <vt:lpwstr>2</vt:lpwstr>
  </property>
</Properties>
</file>