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Water Agencies (Powers) Act 1984</w:t>
      </w:r>
    </w:p>
    <w:p>
      <w:pPr>
        <w:pStyle w:val="NameofActRegPage1"/>
        <w:spacing w:before="1980" w:after="4200"/>
        <w:ind w:left="482"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(Charges) By-laws 1987</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_Toc84427924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_Toc84427925 \h </w:instrText>
      </w:r>
      <w:r>
        <w:fldChar w:fldCharType="separate"/>
      </w:r>
      <w:r>
        <w:t>1</w:t>
      </w:r>
      <w:r>
        <w:fldChar w:fldCharType="end"/>
      </w:r>
    </w:p>
    <w:p>
      <w:pPr>
        <w:pStyle w:val="TOC2"/>
        <w:tabs>
          <w:tab w:val="right" w:leader="dot" w:pos="7087"/>
        </w:tabs>
        <w:rPr>
          <w:rFonts w:asciiTheme="minorHAnsi" w:eastAsiaTheme="minorEastAsia" w:hAnsiTheme="minorHAnsi" w:cstheme="minorBidi"/>
          <w:b w:val="0"/>
          <w:sz w:val="22"/>
          <w:szCs w:val="22"/>
        </w:rPr>
      </w:pPr>
      <w:r>
        <w:t>Part 1 — General</w:t>
      </w:r>
    </w:p>
    <w:p>
      <w:pPr>
        <w:pStyle w:val="TOC8"/>
        <w:rPr>
          <w:rFonts w:asciiTheme="minorHAnsi" w:eastAsiaTheme="minorEastAsia" w:hAnsiTheme="minorHAnsi" w:cstheme="minorBidi"/>
          <w:szCs w:val="22"/>
        </w:rPr>
      </w:pPr>
      <w:r>
        <w:t>3</w:t>
      </w:r>
      <w:r>
        <w:rPr>
          <w:snapToGrid w:val="0"/>
        </w:rPr>
        <w:t>.</w:t>
      </w:r>
      <w:r>
        <w:rPr>
          <w:snapToGrid w:val="0"/>
        </w:rPr>
        <w:tab/>
        <w:t>Proportionate charges for part of year</w:t>
      </w:r>
      <w:r>
        <w:tab/>
      </w:r>
      <w:r>
        <w:fldChar w:fldCharType="begin"/>
      </w:r>
      <w:r>
        <w:instrText xml:space="preserve"> PAGEREF _Toc84427927 \h </w:instrText>
      </w:r>
      <w:r>
        <w:fldChar w:fldCharType="separate"/>
      </w:r>
      <w:r>
        <w:t>9</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Minimum charge prior to revaluation</w:t>
      </w:r>
      <w:r>
        <w:tab/>
      </w:r>
      <w:r>
        <w:fldChar w:fldCharType="begin"/>
      </w:r>
      <w:r>
        <w:instrText xml:space="preserve"> PAGEREF _Toc84427928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 land</w:t>
      </w:r>
      <w:r>
        <w:tab/>
      </w:r>
      <w:r>
        <w:fldChar w:fldCharType="begin"/>
      </w:r>
      <w:r>
        <w:instrText xml:space="preserve"> PAGEREF _Toc84427929 \h </w:instrText>
      </w:r>
      <w:r>
        <w:fldChar w:fldCharType="separate"/>
      </w:r>
      <w:r>
        <w:t>10</w:t>
      </w:r>
      <w:r>
        <w:fldChar w:fldCharType="end"/>
      </w:r>
    </w:p>
    <w:p>
      <w:pPr>
        <w:pStyle w:val="TOC8"/>
        <w:rPr>
          <w:rFonts w:asciiTheme="minorHAnsi" w:eastAsiaTheme="minorEastAsia" w:hAnsiTheme="minorHAnsi" w:cstheme="minorBidi"/>
          <w:szCs w:val="22"/>
        </w:rPr>
      </w:pPr>
      <w:r>
        <w:t>5A.</w:t>
      </w:r>
      <w:r>
        <w:tab/>
        <w:t>Exempt land, amount of exemption calculated</w:t>
      </w:r>
      <w:r>
        <w:tab/>
      </w:r>
      <w:r>
        <w:fldChar w:fldCharType="begin"/>
      </w:r>
      <w:r>
        <w:instrText xml:space="preserve"> PAGEREF _Toc84427930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Separately assessable residential land</w:t>
      </w:r>
      <w:r>
        <w:tab/>
      </w:r>
      <w:r>
        <w:fldChar w:fldCharType="begin"/>
      </w:r>
      <w:r>
        <w:instrText xml:space="preserve"> PAGEREF _Toc84427931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Estimation upon meter malfunction or of non</w:t>
      </w:r>
      <w:r>
        <w:rPr>
          <w:snapToGrid w:val="0"/>
        </w:rPr>
        <w:noBreakHyphen/>
        <w:t>metered quantity</w:t>
      </w:r>
      <w:r>
        <w:tab/>
      </w:r>
      <w:r>
        <w:fldChar w:fldCharType="begin"/>
      </w:r>
      <w:r>
        <w:instrText xml:space="preserve"> PAGEREF _Toc84427932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Manner of payment of charges other than quantity and single capital infrastructure charges</w:t>
      </w:r>
      <w:r>
        <w:tab/>
      </w:r>
      <w:r>
        <w:fldChar w:fldCharType="begin"/>
      </w:r>
      <w:r>
        <w:instrText xml:space="preserve"> PAGEREF _Toc84427933 \h </w:instrText>
      </w:r>
      <w:r>
        <w:fldChar w:fldCharType="separate"/>
      </w:r>
      <w:r>
        <w:t>15</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Manner of payment of quantity charges</w:t>
      </w:r>
      <w:r>
        <w:tab/>
      </w:r>
      <w:r>
        <w:fldChar w:fldCharType="begin"/>
      </w:r>
      <w:r>
        <w:instrText xml:space="preserve"> PAGEREF _Toc84427934 \h </w:instrText>
      </w:r>
      <w:r>
        <w:fldChar w:fldCharType="separate"/>
      </w:r>
      <w:r>
        <w:t>17</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Manner of payment of single capital infrastructure charges</w:t>
      </w:r>
      <w:r>
        <w:tab/>
      </w:r>
      <w:r>
        <w:fldChar w:fldCharType="begin"/>
      </w:r>
      <w:r>
        <w:instrText xml:space="preserve"> PAGEREF _Toc84427935 \h </w:instrText>
      </w:r>
      <w:r>
        <w:fldChar w:fldCharType="separate"/>
      </w:r>
      <w:r>
        <w:t>17</w:t>
      </w:r>
      <w:r>
        <w:fldChar w:fldCharType="end"/>
      </w:r>
    </w:p>
    <w:p>
      <w:pPr>
        <w:pStyle w:val="TOC8"/>
        <w:rPr>
          <w:rFonts w:asciiTheme="minorHAnsi" w:eastAsiaTheme="minorEastAsia" w:hAnsiTheme="minorHAnsi" w:cstheme="minorBidi"/>
          <w:szCs w:val="22"/>
        </w:rPr>
      </w:pPr>
      <w:r>
        <w:t>8.</w:t>
      </w:r>
      <w:r>
        <w:tab/>
        <w:t>Special arrangements</w:t>
      </w:r>
      <w:r>
        <w:tab/>
      </w:r>
      <w:r>
        <w:fldChar w:fldCharType="begin"/>
      </w:r>
      <w:r>
        <w:instrText xml:space="preserve"> PAGEREF _Toc84427936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Concessional charges for retirement village residents</w:t>
      </w:r>
      <w:r>
        <w:tab/>
      </w:r>
      <w:r>
        <w:fldChar w:fldCharType="begin"/>
      </w:r>
      <w:r>
        <w:instrText xml:space="preserve"> PAGEREF _Toc84427937 \h </w:instrText>
      </w:r>
      <w:r>
        <w:fldChar w:fldCharType="separate"/>
      </w:r>
      <w:r>
        <w:t>18</w:t>
      </w:r>
      <w:r>
        <w:fldChar w:fldCharType="end"/>
      </w:r>
    </w:p>
    <w:p>
      <w:pPr>
        <w:pStyle w:val="TOC8"/>
        <w:rPr>
          <w:rFonts w:asciiTheme="minorHAnsi" w:eastAsiaTheme="minorEastAsia" w:hAnsiTheme="minorHAnsi" w:cstheme="minorBidi"/>
          <w:szCs w:val="22"/>
        </w:rPr>
      </w:pPr>
      <w:r>
        <w:t>8B.</w:t>
      </w:r>
      <w:r>
        <w:tab/>
        <w:t>Government trading organisation and non</w:t>
      </w:r>
      <w:r>
        <w:noBreakHyphen/>
        <w:t>commercial Government property</w:t>
      </w:r>
      <w:r>
        <w:tab/>
      </w:r>
      <w:r>
        <w:fldChar w:fldCharType="begin"/>
      </w:r>
      <w:r>
        <w:instrText xml:space="preserve"> PAGEREF _Toc84427938 \h </w:instrText>
      </w:r>
      <w:r>
        <w:fldChar w:fldCharType="separate"/>
      </w:r>
      <w:r>
        <w:t>19</w:t>
      </w:r>
      <w:r>
        <w:fldChar w:fldCharType="end"/>
      </w:r>
    </w:p>
    <w:p>
      <w:pPr>
        <w:pStyle w:val="TOC8"/>
        <w:rPr>
          <w:rFonts w:asciiTheme="minorHAnsi" w:eastAsiaTheme="minorEastAsia" w:hAnsiTheme="minorHAnsi" w:cstheme="minorBidi"/>
          <w:szCs w:val="22"/>
        </w:rPr>
      </w:pPr>
      <w:r>
        <w:t>8BA</w:t>
      </w:r>
      <w:r>
        <w:rPr>
          <w:snapToGrid w:val="0"/>
        </w:rPr>
        <w:t>.</w:t>
      </w:r>
      <w:r>
        <w:rPr>
          <w:snapToGrid w:val="0"/>
        </w:rPr>
        <w:tab/>
        <w:t>Annual charges to Government trading organisations that supply water to lessees or ships</w:t>
      </w:r>
      <w:r>
        <w:tab/>
      </w:r>
      <w:r>
        <w:fldChar w:fldCharType="begin"/>
      </w:r>
      <w:r>
        <w:instrText xml:space="preserve"> PAGEREF _Toc84427939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Interest on overdue amounts</w:t>
      </w:r>
      <w:r>
        <w:tab/>
      </w:r>
      <w:r>
        <w:fldChar w:fldCharType="begin"/>
      </w:r>
      <w:r>
        <w:instrText xml:space="preserve"> PAGEREF _Toc84427940 \h </w:instrText>
      </w:r>
      <w:r>
        <w:fldChar w:fldCharType="separate"/>
      </w:r>
      <w:r>
        <w:t>21</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Amounts rounded</w:t>
      </w:r>
      <w:r>
        <w:tab/>
      </w:r>
      <w:r>
        <w:fldChar w:fldCharType="begin"/>
      </w:r>
      <w:r>
        <w:instrText xml:space="preserve"> PAGEREF _Toc84427941 \h </w:instrText>
      </w:r>
      <w:r>
        <w:fldChar w:fldCharType="separate"/>
      </w:r>
      <w:r>
        <w:t>22</w:t>
      </w:r>
      <w:r>
        <w:fldChar w:fldCharType="end"/>
      </w:r>
    </w:p>
    <w:p>
      <w:pPr>
        <w:pStyle w:val="TOC8"/>
        <w:rPr>
          <w:rFonts w:asciiTheme="minorHAnsi" w:eastAsiaTheme="minorEastAsia" w:hAnsiTheme="minorHAnsi" w:cstheme="minorBidi"/>
          <w:szCs w:val="22"/>
        </w:rPr>
      </w:pPr>
      <w:r>
        <w:t>9B.</w:t>
      </w:r>
      <w:r>
        <w:tab/>
        <w:t>Calculations, including maxima, for various GRV based charges</w:t>
      </w:r>
      <w:r>
        <w:tab/>
      </w:r>
      <w:r>
        <w:fldChar w:fldCharType="begin"/>
      </w:r>
      <w:r>
        <w:instrText xml:space="preserve"> PAGEREF _Toc84427942 \h </w:instrText>
      </w:r>
      <w:r>
        <w:fldChar w:fldCharType="separate"/>
      </w:r>
      <w:r>
        <w:t>22</w:t>
      </w:r>
      <w:r>
        <w:fldChar w:fldCharType="end"/>
      </w:r>
    </w:p>
    <w:p>
      <w:pPr>
        <w:pStyle w:val="TOC2"/>
        <w:tabs>
          <w:tab w:val="right" w:leader="dot" w:pos="7087"/>
        </w:tabs>
        <w:rPr>
          <w:rFonts w:asciiTheme="minorHAnsi" w:eastAsiaTheme="minorEastAsia" w:hAnsiTheme="minorHAnsi" w:cstheme="minorBidi"/>
          <w:b w:val="0"/>
          <w:sz w:val="22"/>
          <w:szCs w:val="22"/>
        </w:rPr>
      </w:pPr>
      <w:r>
        <w:lastRenderedPageBreak/>
        <w:t>Part 2 — Water supply</w:t>
      </w:r>
    </w:p>
    <w:p>
      <w:pPr>
        <w:pStyle w:val="TOC4"/>
        <w:tabs>
          <w:tab w:val="right" w:leader="dot" w:pos="7087"/>
        </w:tabs>
        <w:rPr>
          <w:rFonts w:asciiTheme="minorHAnsi" w:eastAsiaTheme="minorEastAsia" w:hAnsiTheme="minorHAnsi" w:cstheme="minorBidi"/>
          <w:b w:val="0"/>
          <w:szCs w:val="22"/>
        </w:rPr>
      </w:pPr>
      <w:r>
        <w:rPr>
          <w:spacing w:val="-4"/>
        </w:rPr>
        <w:t>Division 1</w:t>
      </w:r>
      <w:r>
        <w:rPr>
          <w:snapToGrid w:val="0"/>
          <w:spacing w:val="-4"/>
        </w:rPr>
        <w:t> — </w:t>
      </w:r>
      <w:r>
        <w:rPr>
          <w:spacing w:val="-4"/>
        </w:rPr>
        <w:t xml:space="preserve">Water supply other than under </w:t>
      </w:r>
      <w:r>
        <w:rPr>
          <w:i/>
          <w:spacing w:val="-4"/>
        </w:rPr>
        <w:t>Rights in Water and Irrigation Act 1914</w:t>
      </w:r>
    </w:p>
    <w:p>
      <w:pPr>
        <w:pStyle w:val="TOC8"/>
        <w:rPr>
          <w:rFonts w:asciiTheme="minorHAnsi" w:eastAsiaTheme="minorEastAsia" w:hAnsiTheme="minorHAnsi" w:cstheme="minorBidi"/>
          <w:szCs w:val="22"/>
        </w:rPr>
      </w:pPr>
      <w:r>
        <w:t>10</w:t>
      </w:r>
      <w:r>
        <w:rPr>
          <w:snapToGrid w:val="0"/>
        </w:rPr>
        <w:t>.</w:t>
      </w:r>
      <w:r>
        <w:rPr>
          <w:snapToGrid w:val="0"/>
        </w:rPr>
        <w:tab/>
        <w:t>Certain matters to be disregarded</w:t>
      </w:r>
      <w:r>
        <w:tab/>
      </w:r>
      <w:r>
        <w:fldChar w:fldCharType="begin"/>
      </w:r>
      <w:r>
        <w:instrText xml:space="preserve"> PAGEREF _Toc84427945 \h </w:instrText>
      </w:r>
      <w:r>
        <w:fldChar w:fldCharType="separate"/>
      </w:r>
      <w:r>
        <w:t>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Land subject to water supply charges under this Division</w:t>
      </w:r>
      <w:r>
        <w:tab/>
      </w:r>
      <w:r>
        <w:fldChar w:fldCharType="begin"/>
      </w:r>
      <w:r>
        <w:instrText xml:space="preserve"> PAGEREF _Toc84427946 \h </w:instrText>
      </w:r>
      <w:r>
        <w:fldChar w:fldCharType="separate"/>
      </w:r>
      <w:r>
        <w:t>24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Exempt land</w:t>
      </w:r>
      <w:r>
        <w:tab/>
      </w:r>
      <w:r>
        <w:fldChar w:fldCharType="begin"/>
      </w:r>
      <w:r>
        <w:instrText xml:space="preserve"> PAGEREF _Toc84427947 \h </w:instrText>
      </w:r>
      <w:r>
        <w:fldChar w:fldCharType="separate"/>
      </w:r>
      <w:r>
        <w:t>24</w:t>
      </w:r>
      <w:r>
        <w:fldChar w:fldCharType="end"/>
      </w:r>
    </w:p>
    <w:p>
      <w:pPr>
        <w:pStyle w:val="TOC8"/>
        <w:rPr>
          <w:rFonts w:asciiTheme="minorHAnsi" w:eastAsiaTheme="minorEastAsia" w:hAnsiTheme="minorHAnsi" w:cstheme="minorBidi"/>
          <w:szCs w:val="22"/>
        </w:rPr>
      </w:pPr>
      <w:r>
        <w:t>13.</w:t>
      </w:r>
      <w:r>
        <w:tab/>
        <w:t>Classification of land</w:t>
      </w:r>
      <w:r>
        <w:tab/>
      </w:r>
      <w:r>
        <w:fldChar w:fldCharType="begin"/>
      </w:r>
      <w:r>
        <w:instrText xml:space="preserve"> PAGEREF _Toc84427948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Indexation of certain valuations</w:t>
      </w:r>
      <w:r>
        <w:tab/>
      </w:r>
      <w:r>
        <w:fldChar w:fldCharType="begin"/>
      </w:r>
      <w:r>
        <w:instrText xml:space="preserve"> PAGEREF _Toc84427949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Discrete residential units</w:t>
      </w:r>
      <w:r>
        <w:tab/>
      </w:r>
      <w:r>
        <w:fldChar w:fldCharType="begin"/>
      </w:r>
      <w:r>
        <w:instrText xml:space="preserve"> PAGEREF _Toc84427950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Quantity charges for the supply of water</w:t>
      </w:r>
      <w:r>
        <w:tab/>
      </w:r>
      <w:r>
        <w:fldChar w:fldCharType="begin"/>
      </w:r>
      <w:r>
        <w:instrText xml:space="preserve"> PAGEREF _Toc84427951 \h </w:instrText>
      </w:r>
      <w:r>
        <w:fldChar w:fldCharType="separate"/>
      </w:r>
      <w:r>
        <w:t>29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Caravan parks</w:t>
      </w:r>
      <w:r>
        <w:tab/>
      </w:r>
      <w:r>
        <w:fldChar w:fldCharType="begin"/>
      </w:r>
      <w:r>
        <w:instrText xml:space="preserve"> PAGEREF _Toc84427952 \h </w:instrText>
      </w:r>
      <w:r>
        <w:fldChar w:fldCharType="separate"/>
      </w:r>
      <w:r>
        <w:t>29</w:t>
      </w:r>
      <w:r>
        <w:fldChar w:fldCharType="end"/>
      </w:r>
    </w:p>
    <w:p>
      <w:pPr>
        <w:pStyle w:val="TOC8"/>
        <w:rPr>
          <w:rFonts w:asciiTheme="minorHAnsi" w:eastAsiaTheme="minorEastAsia" w:hAnsiTheme="minorHAnsi" w:cstheme="minorBidi"/>
          <w:szCs w:val="22"/>
        </w:rPr>
      </w:pPr>
      <w:r>
        <w:t>17B.</w:t>
      </w:r>
      <w:r>
        <w:tab/>
      </w:r>
      <w:r>
        <w:rPr>
          <w:snapToGrid w:val="0"/>
        </w:rPr>
        <w:t>Metropolitan non</w:t>
      </w:r>
      <w:r>
        <w:rPr>
          <w:snapToGrid w:val="0"/>
        </w:rPr>
        <w:noBreakHyphen/>
        <w:t xml:space="preserve">residential </w:t>
      </w:r>
      <w:r>
        <w:t>or commercial residential</w:t>
      </w:r>
      <w:r>
        <w:rPr>
          <w:snapToGrid w:val="0"/>
        </w:rPr>
        <w:t xml:space="preserve"> property water supply charges</w:t>
      </w:r>
      <w:r>
        <w:tab/>
      </w:r>
      <w:r>
        <w:fldChar w:fldCharType="begin"/>
      </w:r>
      <w:r>
        <w:instrText xml:space="preserve"> PAGEREF _Toc84427953 \h </w:instrText>
      </w:r>
      <w:r>
        <w:fldChar w:fldCharType="separate"/>
      </w:r>
      <w:r>
        <w:t>31</w:t>
      </w:r>
      <w:r>
        <w:fldChar w:fldCharType="end"/>
      </w:r>
    </w:p>
    <w:p>
      <w:pPr>
        <w:pStyle w:val="TOC8"/>
        <w:rPr>
          <w:rFonts w:asciiTheme="minorHAnsi" w:eastAsiaTheme="minorEastAsia" w:hAnsiTheme="minorHAnsi" w:cstheme="minorBidi"/>
          <w:szCs w:val="22"/>
        </w:rPr>
      </w:pPr>
      <w:r>
        <w:t>17C.</w:t>
      </w:r>
      <w:r>
        <w:tab/>
        <w:t>Non</w:t>
      </w:r>
      <w:r>
        <w:noBreakHyphen/>
        <w:t>metropolitan, non</w:t>
      </w:r>
      <w:r>
        <w:noBreakHyphen/>
        <w:t>strata titled, Commercial or Industrial property water supply charges</w:t>
      </w:r>
      <w:r>
        <w:tab/>
      </w:r>
      <w:r>
        <w:fldChar w:fldCharType="begin"/>
      </w:r>
      <w:r>
        <w:instrText xml:space="preserve"> PAGEREF _Toc84427954 \h </w:instrText>
      </w:r>
      <w:r>
        <w:fldChar w:fldCharType="separate"/>
      </w:r>
      <w:r>
        <w:t>32</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t>Various non</w:t>
      </w:r>
      <w:r>
        <w:rPr>
          <w:snapToGrid w:val="0"/>
        </w:rPr>
        <w:noBreakHyphen/>
        <w:t>metropolitan water supply charges and classifications</w:t>
      </w:r>
      <w:r>
        <w:tab/>
      </w:r>
      <w:r>
        <w:fldChar w:fldCharType="begin"/>
      </w:r>
      <w:r>
        <w:instrText xml:space="preserve"> PAGEREF _Toc84427955 \h </w:instrText>
      </w:r>
      <w:r>
        <w:fldChar w:fldCharType="separate"/>
      </w:r>
      <w:r>
        <w:t>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Concessional non</w:t>
      </w:r>
      <w:r>
        <w:rPr>
          <w:snapToGrid w:val="0"/>
        </w:rPr>
        <w:noBreakHyphen/>
        <w:t>metropolitan quantity charge</w:t>
      </w:r>
      <w:r>
        <w:tab/>
      </w:r>
      <w:r>
        <w:fldChar w:fldCharType="begin"/>
      </w:r>
      <w:r>
        <w:instrText xml:space="preserve"> PAGEREF _Toc84427956 \h </w:instrText>
      </w:r>
      <w:r>
        <w:fldChar w:fldCharType="separate"/>
      </w:r>
      <w:r>
        <w:t>33</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Concessional metropolitan quantity charge</w:t>
      </w:r>
      <w:r>
        <w:tab/>
      </w:r>
      <w:r>
        <w:fldChar w:fldCharType="begin"/>
      </w:r>
      <w:r>
        <w:instrText xml:space="preserve"> PAGEREF _Toc84427957 \h </w:instrText>
      </w:r>
      <w:r>
        <w:fldChar w:fldCharType="separate"/>
      </w:r>
      <w:r>
        <w:t>35</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Residential multi</w:t>
      </w:r>
      <w:r>
        <w:rPr>
          <w:snapToGrid w:val="0"/>
        </w:rPr>
        <w:noBreakHyphen/>
        <w:t>unit properties — rebates for eligible pensioners</w:t>
      </w:r>
      <w:r>
        <w:tab/>
      </w:r>
      <w:r>
        <w:fldChar w:fldCharType="begin"/>
      </w:r>
      <w:r>
        <w:instrText xml:space="preserve"> PAGEREF _Toc84427958 \h </w:instrText>
      </w:r>
      <w:r>
        <w:fldChar w:fldCharType="separate"/>
      </w:r>
      <w:r>
        <w:t>36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Capital infrastructure charges</w:t>
      </w:r>
      <w:r>
        <w:tab/>
      </w:r>
      <w:r>
        <w:fldChar w:fldCharType="begin"/>
      </w:r>
      <w:r>
        <w:instrText xml:space="preserve"> PAGEREF _Toc84427959 \h </w:instrText>
      </w:r>
      <w:r>
        <w:fldChar w:fldCharType="separate"/>
      </w:r>
      <w:r>
        <w:t>38</w:t>
      </w:r>
      <w:r>
        <w:fldChar w:fldCharType="end"/>
      </w:r>
    </w:p>
    <w:p>
      <w:pPr>
        <w:pStyle w:val="TOC4"/>
        <w:tabs>
          <w:tab w:val="right" w:leader="dot" w:pos="7087"/>
        </w:tabs>
        <w:rPr>
          <w:rFonts w:asciiTheme="minorHAnsi" w:eastAsiaTheme="minorEastAsia" w:hAnsiTheme="minorHAnsi" w:cstheme="minorBidi"/>
          <w:b w:val="0"/>
          <w:szCs w:val="22"/>
        </w:rPr>
      </w:pPr>
      <w:r>
        <w:t>Division 2</w:t>
      </w:r>
      <w:r>
        <w:rPr>
          <w:snapToGrid w:val="0"/>
        </w:rPr>
        <w:t> — </w:t>
      </w:r>
      <w:r>
        <w:t xml:space="preserve">Water supply under </w:t>
      </w:r>
      <w:r>
        <w:rPr>
          <w:i/>
        </w:rPr>
        <w:t>Rights in Water and Irrigation Act 1914</w:t>
      </w:r>
      <w:r>
        <w:t xml:space="preserve"> other than for irrigation</w:t>
      </w:r>
    </w:p>
    <w:p>
      <w:pPr>
        <w:pStyle w:val="TOC8"/>
        <w:rPr>
          <w:rFonts w:asciiTheme="minorHAnsi" w:eastAsiaTheme="minorEastAsia" w:hAnsiTheme="minorHAnsi" w:cstheme="minorBidi"/>
          <w:szCs w:val="22"/>
        </w:rPr>
      </w:pPr>
      <w:r>
        <w:t>20</w:t>
      </w:r>
      <w:r>
        <w:rPr>
          <w:snapToGrid w:val="0"/>
        </w:rPr>
        <w:t>.</w:t>
      </w:r>
      <w:r>
        <w:rPr>
          <w:snapToGrid w:val="0"/>
        </w:rPr>
        <w:tab/>
        <w:t>Land subject to water supply charges under this Division</w:t>
      </w:r>
      <w:r>
        <w:tab/>
      </w:r>
      <w:r>
        <w:fldChar w:fldCharType="begin"/>
      </w:r>
      <w:r>
        <w:instrText xml:space="preserve"> PAGEREF _Toc84427961 \h </w:instrText>
      </w:r>
      <w:r>
        <w:fldChar w:fldCharType="separate"/>
      </w:r>
      <w:r>
        <w:t>39</w:t>
      </w:r>
      <w:r>
        <w:fldChar w:fldCharType="end"/>
      </w:r>
    </w:p>
    <w:p>
      <w:pPr>
        <w:pStyle w:val="TOC2"/>
        <w:tabs>
          <w:tab w:val="right" w:leader="dot" w:pos="7087"/>
        </w:tabs>
        <w:rPr>
          <w:rFonts w:asciiTheme="minorHAnsi" w:eastAsiaTheme="minorEastAsia" w:hAnsiTheme="minorHAnsi" w:cstheme="minorBidi"/>
          <w:b w:val="0"/>
          <w:sz w:val="22"/>
          <w:szCs w:val="22"/>
        </w:rPr>
      </w:pPr>
      <w:r>
        <w:t>Part 3 — Sewerage</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_Toc84427963 \h </w:instrText>
      </w:r>
      <w:r>
        <w:fldChar w:fldCharType="separate"/>
      </w:r>
      <w:r>
        <w:t>41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Land subject to sewerage charges</w:t>
      </w:r>
      <w:r>
        <w:tab/>
      </w:r>
      <w:r>
        <w:fldChar w:fldCharType="begin"/>
      </w:r>
      <w:r>
        <w:instrText xml:space="preserve"> PAGEREF _Toc84427964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 land</w:t>
      </w:r>
      <w:r>
        <w:tab/>
      </w:r>
      <w:r>
        <w:fldChar w:fldCharType="begin"/>
      </w:r>
      <w:r>
        <w:instrText xml:space="preserve"> PAGEREF _Toc84427965 \h </w:instrText>
      </w:r>
      <w:r>
        <w:fldChar w:fldCharType="separate"/>
      </w:r>
      <w:r>
        <w:t>42</w:t>
      </w:r>
      <w:r>
        <w:fldChar w:fldCharType="end"/>
      </w:r>
    </w:p>
    <w:p>
      <w:pPr>
        <w:pStyle w:val="TOC8"/>
        <w:rPr>
          <w:rFonts w:asciiTheme="minorHAnsi" w:eastAsiaTheme="minorEastAsia" w:hAnsiTheme="minorHAnsi" w:cstheme="minorBidi"/>
          <w:szCs w:val="22"/>
        </w:rPr>
      </w:pPr>
      <w:r>
        <w:t>23.</w:t>
      </w:r>
      <w:r>
        <w:tab/>
        <w:t>Classification of land</w:t>
      </w:r>
      <w:r>
        <w:tab/>
      </w:r>
      <w:r>
        <w:fldChar w:fldCharType="begin"/>
      </w:r>
      <w:r>
        <w:instrText xml:space="preserve"> PAGEREF _Toc84427966 \h </w:instrText>
      </w:r>
      <w:r>
        <w:fldChar w:fldCharType="separate"/>
      </w:r>
      <w:r>
        <w:t>42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Indexation of certain valuations</w:t>
      </w:r>
      <w:r>
        <w:tab/>
      </w:r>
      <w:r>
        <w:fldChar w:fldCharType="begin"/>
      </w:r>
      <w:r>
        <w:instrText xml:space="preserve"> PAGEREF _Toc84427967 \h </w:instrText>
      </w:r>
      <w:r>
        <w:fldChar w:fldCharType="separate"/>
      </w:r>
      <w:r>
        <w:t>43</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Metered metropolitan non</w:t>
      </w:r>
      <w:r>
        <w:rPr>
          <w:snapToGrid w:val="0"/>
        </w:rPr>
        <w:noBreakHyphen/>
        <w:t>residential property sewerage charges</w:t>
      </w:r>
      <w:r>
        <w:tab/>
      </w:r>
      <w:r>
        <w:fldChar w:fldCharType="begin"/>
      </w:r>
      <w:r>
        <w:instrText xml:space="preserve"> PAGEREF _Toc84427968 \h </w:instrText>
      </w:r>
      <w:r>
        <w:fldChar w:fldCharType="separate"/>
      </w:r>
      <w:r>
        <w:t>44</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r>
        <w:tab/>
      </w:r>
      <w:r>
        <w:fldChar w:fldCharType="begin"/>
      </w:r>
      <w:r>
        <w:instrText xml:space="preserve"> PAGEREF _Toc84427969 \h </w:instrText>
      </w:r>
      <w:r>
        <w:fldChar w:fldCharType="separate"/>
      </w:r>
      <w:r>
        <w:t>46</w:t>
      </w:r>
      <w:r>
        <w:fldChar w:fldCharType="end"/>
      </w:r>
    </w:p>
    <w:p>
      <w:pPr>
        <w:pStyle w:val="TOC8"/>
        <w:rPr>
          <w:rFonts w:asciiTheme="minorHAnsi" w:eastAsiaTheme="minorEastAsia" w:hAnsiTheme="minorHAnsi" w:cstheme="minorBidi"/>
          <w:szCs w:val="22"/>
        </w:rPr>
      </w:pPr>
      <w:r>
        <w:lastRenderedPageBreak/>
        <w:t>25C</w:t>
      </w:r>
      <w:r>
        <w:rPr>
          <w:snapToGrid w:val="0"/>
        </w:rPr>
        <w:t>.</w:t>
      </w:r>
      <w:r>
        <w:rPr>
          <w:snapToGrid w:val="0"/>
        </w:rPr>
        <w:tab/>
        <w:t>Charging for shared sewerage fixtures on metropolitan non</w:t>
      </w:r>
      <w:r>
        <w:rPr>
          <w:snapToGrid w:val="0"/>
        </w:rPr>
        <w:noBreakHyphen/>
        <w:t>residential property</w:t>
      </w:r>
      <w:r>
        <w:tab/>
      </w:r>
      <w:r>
        <w:fldChar w:fldCharType="begin"/>
      </w:r>
      <w:r>
        <w:instrText xml:space="preserve"> PAGEREF _Toc84427970 \h </w:instrText>
      </w:r>
      <w:r>
        <w:fldChar w:fldCharType="separate"/>
      </w:r>
      <w:r>
        <w:t>47</w:t>
      </w:r>
      <w:r>
        <w:fldChar w:fldCharType="end"/>
      </w:r>
    </w:p>
    <w:p>
      <w:pPr>
        <w:pStyle w:val="TOC8"/>
        <w:rPr>
          <w:rFonts w:asciiTheme="minorHAnsi" w:eastAsiaTheme="minorEastAsia" w:hAnsiTheme="minorHAnsi" w:cstheme="minorBidi"/>
          <w:szCs w:val="22"/>
        </w:rPr>
      </w:pPr>
      <w:r>
        <w:t>26.</w:t>
      </w:r>
      <w:r>
        <w:tab/>
      </w:r>
      <w:r>
        <w:rPr>
          <w:snapToGrid w:val="0"/>
        </w:rPr>
        <w:t xml:space="preserve">Metered country </w:t>
      </w:r>
      <w:r>
        <w:t>non</w:t>
      </w:r>
      <w:r>
        <w:noBreakHyphen/>
        <w:t>residential or commercial residential</w:t>
      </w:r>
      <w:r>
        <w:rPr>
          <w:snapToGrid w:val="0"/>
        </w:rPr>
        <w:t xml:space="preserve"> property sewerage charges</w:t>
      </w:r>
      <w:r>
        <w:tab/>
      </w:r>
      <w:r>
        <w:fldChar w:fldCharType="begin"/>
      </w:r>
      <w:r>
        <w:instrText xml:space="preserve"> PAGEREF _Toc84427971 \h </w:instrText>
      </w:r>
      <w:r>
        <w:fldChar w:fldCharType="separate"/>
      </w:r>
      <w:r>
        <w:t>47</w:t>
      </w:r>
      <w:r>
        <w:fldChar w:fldCharType="end"/>
      </w:r>
    </w:p>
    <w:p>
      <w:pPr>
        <w:pStyle w:val="TOC8"/>
        <w:rPr>
          <w:rFonts w:asciiTheme="minorHAnsi" w:eastAsiaTheme="minorEastAsia" w:hAnsiTheme="minorHAnsi" w:cstheme="minorBidi"/>
          <w:szCs w:val="22"/>
        </w:rPr>
      </w:pPr>
      <w:r>
        <w:t>26A.</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r>
        <w:tab/>
      </w:r>
      <w:r>
        <w:fldChar w:fldCharType="begin"/>
      </w:r>
      <w:r>
        <w:instrText xml:space="preserve"> PAGEREF _Toc84427972 \h </w:instrText>
      </w:r>
      <w:r>
        <w:fldChar w:fldCharType="separate"/>
      </w:r>
      <w:r>
        <w:t>49</w:t>
      </w:r>
      <w:r>
        <w:fldChar w:fldCharType="end"/>
      </w:r>
    </w:p>
    <w:p>
      <w:pPr>
        <w:pStyle w:val="TOC8"/>
        <w:rPr>
          <w:rFonts w:asciiTheme="minorHAnsi" w:eastAsiaTheme="minorEastAsia" w:hAnsiTheme="minorHAnsi" w:cstheme="minorBidi"/>
          <w:szCs w:val="22"/>
        </w:rPr>
      </w:pPr>
      <w:r>
        <w:t>26B.</w:t>
      </w:r>
      <w:r>
        <w:tab/>
        <w:t xml:space="preserve">Charging for shared sewerage fixtures on </w:t>
      </w:r>
      <w:r>
        <w:rPr>
          <w:snapToGrid w:val="0"/>
        </w:rPr>
        <w:t xml:space="preserve">country </w:t>
      </w:r>
      <w:r>
        <w:t>non</w:t>
      </w:r>
      <w:r>
        <w:noBreakHyphen/>
        <w:t>residential or commercial residential property</w:t>
      </w:r>
      <w:r>
        <w:tab/>
      </w:r>
      <w:r>
        <w:fldChar w:fldCharType="begin"/>
      </w:r>
      <w:r>
        <w:instrText xml:space="preserve"> PAGEREF _Toc84427973 \h </w:instrText>
      </w:r>
      <w:r>
        <w:fldChar w:fldCharType="separate"/>
      </w:r>
      <w:r>
        <w:t>50</w:t>
      </w:r>
      <w:r>
        <w:fldChar w:fldCharType="end"/>
      </w:r>
    </w:p>
    <w:p>
      <w:pPr>
        <w:pStyle w:val="TOC2"/>
        <w:tabs>
          <w:tab w:val="right" w:leader="dot" w:pos="7087"/>
        </w:tabs>
        <w:rPr>
          <w:rFonts w:asciiTheme="minorHAnsi" w:eastAsiaTheme="minorEastAsia" w:hAnsiTheme="minorHAnsi" w:cstheme="minorBidi"/>
          <w:b w:val="0"/>
          <w:sz w:val="22"/>
          <w:szCs w:val="22"/>
        </w:rPr>
      </w:pPr>
      <w:r>
        <w:t>Part 4 — Drainage</w:t>
      </w:r>
    </w:p>
    <w:p>
      <w:pPr>
        <w:pStyle w:val="TOC8"/>
        <w:rPr>
          <w:rFonts w:asciiTheme="minorHAnsi" w:eastAsiaTheme="minorEastAsia" w:hAnsiTheme="minorHAnsi" w:cstheme="minorBidi"/>
          <w:szCs w:val="22"/>
        </w:rPr>
      </w:pPr>
      <w:r>
        <w:t>27</w:t>
      </w:r>
      <w:r>
        <w:rPr>
          <w:snapToGrid w:val="0"/>
        </w:rPr>
        <w:t>.</w:t>
      </w:r>
      <w:r>
        <w:rPr>
          <w:snapToGrid w:val="0"/>
        </w:rPr>
        <w:tab/>
        <w:t>Land subject to drainage charges</w:t>
      </w:r>
      <w:r>
        <w:tab/>
      </w:r>
      <w:r>
        <w:fldChar w:fldCharType="begin"/>
      </w:r>
      <w:r>
        <w:instrText xml:space="preserve"> PAGEREF _Toc84427975 \h </w:instrText>
      </w:r>
      <w:r>
        <w:fldChar w:fldCharType="separate"/>
      </w:r>
      <w:r>
        <w:t>51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Exempt land</w:t>
      </w:r>
      <w:r>
        <w:tab/>
      </w:r>
      <w:r>
        <w:fldChar w:fldCharType="begin"/>
      </w:r>
      <w:r>
        <w:instrText xml:space="preserve"> PAGEREF _Toc84427976 \h </w:instrText>
      </w:r>
      <w:r>
        <w:fldChar w:fldCharType="separate"/>
      </w:r>
      <w:r>
        <w:t>51</w:t>
      </w:r>
      <w:r>
        <w:fldChar w:fldCharType="end"/>
      </w:r>
    </w:p>
    <w:p>
      <w:pPr>
        <w:pStyle w:val="TOC8"/>
        <w:rPr>
          <w:rFonts w:asciiTheme="minorHAnsi" w:eastAsiaTheme="minorEastAsia" w:hAnsiTheme="minorHAnsi" w:cstheme="minorBidi"/>
          <w:szCs w:val="22"/>
        </w:rPr>
      </w:pPr>
      <w:r>
        <w:t>29.</w:t>
      </w:r>
      <w:r>
        <w:tab/>
        <w:t>Classification of land</w:t>
      </w:r>
      <w:r>
        <w:tab/>
      </w:r>
      <w:r>
        <w:fldChar w:fldCharType="begin"/>
      </w:r>
      <w:r>
        <w:instrText xml:space="preserve"> PAGEREF _Toc84427977 \h </w:instrText>
      </w:r>
      <w:r>
        <w:fldChar w:fldCharType="separate"/>
      </w:r>
      <w:r>
        <w:t>52</w:t>
      </w:r>
      <w:r>
        <w:fldChar w:fldCharType="end"/>
      </w:r>
    </w:p>
    <w:p>
      <w:pPr>
        <w:pStyle w:val="TOC2"/>
        <w:tabs>
          <w:tab w:val="right" w:leader="dot" w:pos="7087"/>
        </w:tabs>
        <w:rPr>
          <w:rFonts w:asciiTheme="minorHAnsi" w:eastAsiaTheme="minorEastAsia" w:hAnsiTheme="minorHAnsi" w:cstheme="minorBidi"/>
          <w:b w:val="0"/>
          <w:sz w:val="22"/>
          <w:szCs w:val="22"/>
        </w:rPr>
      </w:pPr>
      <w:r>
        <w:t>Part 5 — Irrigation</w:t>
      </w:r>
    </w:p>
    <w:p>
      <w:pPr>
        <w:pStyle w:val="TOC8"/>
        <w:rPr>
          <w:rFonts w:asciiTheme="minorHAnsi" w:eastAsiaTheme="minorEastAsia" w:hAnsiTheme="minorHAnsi" w:cstheme="minorBidi"/>
          <w:szCs w:val="22"/>
        </w:rPr>
      </w:pPr>
      <w:r>
        <w:t>31</w:t>
      </w:r>
      <w:r>
        <w:rPr>
          <w:snapToGrid w:val="0"/>
        </w:rPr>
        <w:t>.</w:t>
      </w:r>
      <w:r>
        <w:rPr>
          <w:snapToGrid w:val="0"/>
        </w:rPr>
        <w:tab/>
        <w:t>Land subject to irrigation charges</w:t>
      </w:r>
      <w:r>
        <w:tab/>
      </w:r>
      <w:r>
        <w:fldChar w:fldCharType="begin"/>
      </w:r>
      <w:r>
        <w:instrText xml:space="preserve"> PAGEREF _Toc84427979 \h </w:instrText>
      </w:r>
      <w:r>
        <w:fldChar w:fldCharType="separate"/>
      </w:r>
      <w:r>
        <w:t>53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Exempt land</w:t>
      </w:r>
      <w:r>
        <w:tab/>
      </w:r>
      <w:r>
        <w:fldChar w:fldCharType="begin"/>
      </w:r>
      <w:r>
        <w:instrText xml:space="preserve"> PAGEREF _Toc84427980 \h </w:instrText>
      </w:r>
      <w:r>
        <w:fldChar w:fldCharType="separate"/>
      </w:r>
      <w:r>
        <w:t>53</w:t>
      </w:r>
      <w:r>
        <w:fldChar w:fldCharType="end"/>
      </w:r>
    </w:p>
    <w:p>
      <w:pPr>
        <w:pStyle w:val="TOC8"/>
        <w:rPr>
          <w:rFonts w:asciiTheme="minorHAnsi" w:eastAsiaTheme="minorEastAsia" w:hAnsiTheme="minorHAnsi" w:cstheme="minorBidi"/>
          <w:szCs w:val="22"/>
        </w:rPr>
      </w:pPr>
      <w:r>
        <w:t>33.</w:t>
      </w:r>
      <w:r>
        <w:tab/>
        <w:t>Charge options for land in Carnarvon Irrigation District</w:t>
      </w:r>
      <w:r>
        <w:tab/>
      </w:r>
      <w:r>
        <w:fldChar w:fldCharType="begin"/>
      </w:r>
      <w:r>
        <w:instrText xml:space="preserve"> PAGEREF _Toc84427981 \h </w:instrText>
      </w:r>
      <w:r>
        <w:fldChar w:fldCharType="separate"/>
      </w:r>
      <w:r>
        <w:t>53</w:t>
      </w:r>
      <w:r>
        <w:fldChar w:fldCharType="end"/>
      </w:r>
    </w:p>
    <w:p>
      <w:pPr>
        <w:pStyle w:val="TOC2"/>
        <w:tabs>
          <w:tab w:val="right" w:leader="dot" w:pos="7087"/>
        </w:tabs>
        <w:rPr>
          <w:rFonts w:asciiTheme="minorHAnsi" w:eastAsiaTheme="minorEastAsia" w:hAnsiTheme="minorHAnsi" w:cstheme="minorBidi"/>
          <w:b w:val="0"/>
          <w:sz w:val="22"/>
          <w:szCs w:val="22"/>
        </w:rPr>
      </w:pPr>
      <w:r>
        <w:t xml:space="preserve">Schedule 1 — Charges for water supply other than under the </w:t>
      </w:r>
      <w:r>
        <w:rPr>
          <w:i/>
        </w:rPr>
        <w:t>Rights in Water and Irrigation Act 1914</w:t>
      </w:r>
      <w:r>
        <w:t xml:space="preserve"> for 2012/2013</w:t>
      </w:r>
    </w:p>
    <w:p>
      <w:pPr>
        <w:pStyle w:val="TOC4"/>
        <w:tabs>
          <w:tab w:val="right" w:leader="dot" w:pos="7087"/>
        </w:tabs>
        <w:rPr>
          <w:rFonts w:asciiTheme="minorHAnsi" w:eastAsiaTheme="minorEastAsia" w:hAnsiTheme="minorHAnsi" w:cstheme="minorBidi"/>
          <w:b w:val="0"/>
          <w:szCs w:val="22"/>
        </w:rPr>
      </w:pPr>
      <w:r>
        <w:t>Division 1</w:t>
      </w:r>
      <w:r>
        <w:rPr>
          <w:b w:val="0"/>
        </w:rPr>
        <w:t> — </w:t>
      </w:r>
      <w:r>
        <w:t>Fixed charges</w:t>
      </w:r>
    </w:p>
    <w:p>
      <w:pPr>
        <w:pStyle w:val="TOC8"/>
        <w:rPr>
          <w:rFonts w:asciiTheme="minorHAnsi" w:eastAsiaTheme="minorEastAsia" w:hAnsiTheme="minorHAnsi" w:cstheme="minorBidi"/>
          <w:szCs w:val="22"/>
        </w:rPr>
      </w:pPr>
      <w:r>
        <w:t>7.</w:t>
      </w:r>
      <w:r>
        <w:tab/>
        <w:t>Community residential</w:t>
      </w:r>
      <w:r>
        <w:tab/>
      </w:r>
      <w:r>
        <w:fldChar w:fldCharType="begin"/>
      </w:r>
      <w:r>
        <w:instrText xml:space="preserve"> PAGEREF _Toc84427984 \h </w:instrText>
      </w:r>
      <w:r>
        <w:fldChar w:fldCharType="separate"/>
      </w:r>
      <w:r>
        <w:t>57</w:t>
      </w:r>
      <w:r>
        <w:fldChar w:fldCharType="end"/>
      </w:r>
    </w:p>
    <w:p>
      <w:pPr>
        <w:pStyle w:val="TOC4"/>
        <w:tabs>
          <w:tab w:val="right" w:leader="dot" w:pos="7087"/>
        </w:tabs>
        <w:rPr>
          <w:rFonts w:asciiTheme="minorHAnsi" w:eastAsiaTheme="minorEastAsia" w:hAnsiTheme="minorHAnsi" w:cstheme="minorBidi"/>
          <w:b w:val="0"/>
          <w:szCs w:val="22"/>
        </w:rPr>
      </w:pPr>
      <w:r>
        <w:t>Division 2</w:t>
      </w:r>
      <w:r>
        <w:rPr>
          <w:b w:val="0"/>
        </w:rPr>
        <w:t> — </w:t>
      </w:r>
      <w:r>
        <w:t>Quantity charges</w:t>
      </w:r>
    </w:p>
    <w:p>
      <w:pPr>
        <w:pStyle w:val="TOC4"/>
        <w:tabs>
          <w:tab w:val="right" w:leader="dot" w:pos="7087"/>
        </w:tabs>
        <w:rPr>
          <w:rFonts w:asciiTheme="minorHAnsi" w:eastAsiaTheme="minorEastAsia" w:hAnsiTheme="minorHAnsi" w:cstheme="minorBidi"/>
          <w:b w:val="0"/>
          <w:szCs w:val="22"/>
        </w:rPr>
      </w:pPr>
      <w:r>
        <w:t>Division 3</w:t>
      </w:r>
      <w:r>
        <w:rPr>
          <w:b w:val="0"/>
        </w:rPr>
        <w:t> — </w:t>
      </w:r>
      <w:r>
        <w:t>Formula for the purposes of by</w:t>
      </w:r>
      <w:r>
        <w:noBreakHyphen/>
        <w:t>law 17(3)</w:t>
      </w:r>
    </w:p>
    <w:p>
      <w:pPr>
        <w:pStyle w:val="TOC8"/>
        <w:rPr>
          <w:rFonts w:asciiTheme="minorHAnsi" w:eastAsiaTheme="minorEastAsia" w:hAnsiTheme="minorHAnsi" w:cstheme="minorBidi"/>
          <w:szCs w:val="22"/>
        </w:rPr>
      </w:pPr>
      <w:r>
        <w:t>35.</w:t>
      </w:r>
      <w:r>
        <w:tab/>
        <w:t>Formula for the purposes of by</w:t>
      </w:r>
      <w:r>
        <w:noBreakHyphen/>
        <w:t>law 17(3)</w:t>
      </w:r>
      <w:r>
        <w:tab/>
      </w:r>
      <w:r>
        <w:fldChar w:fldCharType="begin"/>
      </w:r>
      <w:r>
        <w:instrText xml:space="preserve"> PAGEREF _Toc84427987 \h </w:instrText>
      </w:r>
      <w:r>
        <w:fldChar w:fldCharType="separate"/>
      </w:r>
      <w:r>
        <w:t>75</w:t>
      </w:r>
      <w:r>
        <w:fldChar w:fldCharType="end"/>
      </w:r>
    </w:p>
    <w:p>
      <w:pPr>
        <w:pStyle w:val="TOC4"/>
        <w:tabs>
          <w:tab w:val="right" w:leader="dot" w:pos="7087"/>
        </w:tabs>
        <w:rPr>
          <w:rFonts w:asciiTheme="minorHAnsi" w:eastAsiaTheme="minorEastAsia" w:hAnsiTheme="minorHAnsi" w:cstheme="minorBidi"/>
          <w:b w:val="0"/>
          <w:szCs w:val="22"/>
        </w:rPr>
      </w:pPr>
      <w:r>
        <w:t>Division 4</w:t>
      </w:r>
      <w:r>
        <w:rPr>
          <w:b w:val="0"/>
        </w:rPr>
        <w:t> — </w:t>
      </w:r>
      <w:r>
        <w:t>Capital infrastructure charges determined under by</w:t>
      </w:r>
      <w:r>
        <w:noBreakHyphen/>
        <w:t>law 19A</w:t>
      </w:r>
    </w:p>
    <w:p>
      <w:pPr>
        <w:pStyle w:val="TOC8"/>
        <w:rPr>
          <w:rFonts w:asciiTheme="minorHAnsi" w:eastAsiaTheme="minorEastAsia" w:hAnsiTheme="minorHAnsi" w:cstheme="minorBidi"/>
          <w:szCs w:val="22"/>
        </w:rPr>
      </w:pPr>
      <w:r>
        <w:t>36.</w:t>
      </w:r>
      <w:r>
        <w:tab/>
        <w:t>Capital infrastructure charges determined under by</w:t>
      </w:r>
      <w:r>
        <w:noBreakHyphen/>
        <w:t>law 19A</w:t>
      </w:r>
      <w:r>
        <w:tab/>
      </w:r>
      <w:r>
        <w:fldChar w:fldCharType="begin"/>
      </w:r>
      <w:r>
        <w:instrText xml:space="preserve"> PAGEREF _Toc84427989 \h </w:instrText>
      </w:r>
      <w:r>
        <w:fldChar w:fldCharType="separate"/>
      </w:r>
      <w:r>
        <w:t>76</w:t>
      </w:r>
      <w:r>
        <w:fldChar w:fldCharType="end"/>
      </w:r>
    </w:p>
    <w:p>
      <w:pPr>
        <w:pStyle w:val="TOC2"/>
        <w:keepLines/>
        <w:tabs>
          <w:tab w:val="right" w:leader="dot" w:pos="7087"/>
        </w:tabs>
        <w:rPr>
          <w:rFonts w:asciiTheme="minorHAnsi" w:eastAsiaTheme="minorEastAsia" w:hAnsiTheme="minorHAnsi" w:cstheme="minorBidi"/>
          <w:b w:val="0"/>
          <w:sz w:val="22"/>
          <w:szCs w:val="22"/>
        </w:rPr>
      </w:pPr>
      <w:r>
        <w:lastRenderedPageBreak/>
        <w:t xml:space="preserve">Schedule 2 — Charges for water supply under the </w:t>
      </w:r>
      <w:r>
        <w:rPr>
          <w:i/>
        </w:rPr>
        <w:t>Rights in Water and Irrigation Act 1914</w:t>
      </w:r>
      <w:r>
        <w:t xml:space="preserve"> for 2012/2013</w:t>
      </w:r>
    </w:p>
    <w:p>
      <w:pPr>
        <w:pStyle w:val="TOC4"/>
        <w:tabs>
          <w:tab w:val="right" w:leader="dot" w:pos="7087"/>
        </w:tabs>
        <w:rPr>
          <w:rFonts w:asciiTheme="minorHAnsi" w:eastAsiaTheme="minorEastAsia" w:hAnsiTheme="minorHAnsi" w:cstheme="minorBidi"/>
          <w:b w:val="0"/>
          <w:szCs w:val="22"/>
        </w:rPr>
      </w:pPr>
      <w:r>
        <w:t>Division 1 — Fixed charges</w:t>
      </w:r>
    </w:p>
    <w:p>
      <w:pPr>
        <w:pStyle w:val="TOC4"/>
        <w:tabs>
          <w:tab w:val="right" w:leader="dot" w:pos="7087"/>
        </w:tabs>
        <w:rPr>
          <w:rFonts w:asciiTheme="minorHAnsi" w:eastAsiaTheme="minorEastAsia" w:hAnsiTheme="minorHAnsi" w:cstheme="minorBidi"/>
          <w:b w:val="0"/>
          <w:szCs w:val="22"/>
        </w:rPr>
      </w:pPr>
      <w:r>
        <w:t>Division 2 — Variable charges and charges by way of a rate</w:t>
      </w:r>
    </w:p>
    <w:p>
      <w:pPr>
        <w:pStyle w:val="TOC2"/>
        <w:tabs>
          <w:tab w:val="right" w:leader="dot" w:pos="7087"/>
        </w:tabs>
        <w:rPr>
          <w:rFonts w:asciiTheme="minorHAnsi" w:eastAsiaTheme="minorEastAsia" w:hAnsiTheme="minorHAnsi" w:cstheme="minorBidi"/>
          <w:b w:val="0"/>
          <w:sz w:val="22"/>
          <w:szCs w:val="22"/>
        </w:rPr>
      </w:pPr>
      <w:r>
        <w:t>Schedule 3 — Charges for sewerage for 2012/2013</w:t>
      </w:r>
    </w:p>
    <w:p>
      <w:pPr>
        <w:pStyle w:val="TOC4"/>
        <w:tabs>
          <w:tab w:val="right" w:leader="dot" w:pos="7087"/>
        </w:tabs>
        <w:rPr>
          <w:rFonts w:asciiTheme="minorHAnsi" w:eastAsiaTheme="minorEastAsia" w:hAnsiTheme="minorHAnsi" w:cstheme="minorBidi"/>
          <w:b w:val="0"/>
          <w:szCs w:val="22"/>
        </w:rPr>
      </w:pPr>
      <w:r>
        <w:t>Division 1 — Fixed charges</w:t>
      </w:r>
    </w:p>
    <w:p>
      <w:pPr>
        <w:pStyle w:val="TOC4"/>
        <w:tabs>
          <w:tab w:val="right" w:leader="dot" w:pos="7087"/>
        </w:tabs>
        <w:rPr>
          <w:rFonts w:asciiTheme="minorHAnsi" w:eastAsiaTheme="minorEastAsia" w:hAnsiTheme="minorHAnsi" w:cstheme="minorBidi"/>
          <w:b w:val="0"/>
          <w:szCs w:val="22"/>
        </w:rPr>
      </w:pPr>
      <w:r>
        <w:t>Division 2 — Variable charges and charges by way of a rate</w:t>
      </w:r>
    </w:p>
    <w:p>
      <w:pPr>
        <w:pStyle w:val="TOC4"/>
        <w:keepNext w:val="0"/>
        <w:tabs>
          <w:tab w:val="right" w:leader="dot" w:pos="7087"/>
        </w:tabs>
        <w:rPr>
          <w:rFonts w:asciiTheme="minorHAnsi" w:eastAsiaTheme="minorEastAsia" w:hAnsiTheme="minorHAnsi" w:cstheme="minorBidi"/>
          <w:b w:val="0"/>
          <w:szCs w:val="22"/>
        </w:rPr>
      </w:pPr>
      <w:r>
        <w:t>Division 3 — Variable charges</w:t>
      </w:r>
    </w:p>
    <w:p>
      <w:pPr>
        <w:pStyle w:val="TOC4"/>
        <w:keepNext w:val="0"/>
        <w:tabs>
          <w:tab w:val="right" w:leader="dot" w:pos="7087"/>
        </w:tabs>
        <w:rPr>
          <w:rFonts w:asciiTheme="minorHAnsi" w:eastAsiaTheme="minorEastAsia" w:hAnsiTheme="minorHAnsi" w:cstheme="minorBidi"/>
          <w:b w:val="0"/>
          <w:szCs w:val="22"/>
        </w:rPr>
      </w:pPr>
      <w:r>
        <w:t>Division 4</w:t>
      </w:r>
      <w:r>
        <w:rPr>
          <w:b w:val="0"/>
        </w:rPr>
        <w:t> </w:t>
      </w:r>
      <w:r>
        <w:t>— Metropolitan combined charges</w:t>
      </w:r>
    </w:p>
    <w:p>
      <w:pPr>
        <w:pStyle w:val="TOC8"/>
        <w:rPr>
          <w:rFonts w:asciiTheme="minorHAnsi" w:eastAsiaTheme="minorEastAsia" w:hAnsiTheme="minorHAnsi" w:cstheme="minorBidi"/>
          <w:szCs w:val="22"/>
        </w:rPr>
      </w:pPr>
      <w:r>
        <w:t>13.</w:t>
      </w:r>
      <w:r>
        <w:tab/>
        <w:t>Metropolitan non</w:t>
      </w:r>
      <w:r>
        <w:noBreakHyphen/>
        <w:t>residential (other than vacant land)</w:t>
      </w:r>
      <w:r>
        <w:tab/>
      </w:r>
      <w:r>
        <w:fldChar w:fldCharType="begin"/>
      </w:r>
      <w:r>
        <w:instrText xml:space="preserve"> PAGEREF _Toc84427998 \h </w:instrText>
      </w:r>
      <w:r>
        <w:fldChar w:fldCharType="separate"/>
      </w:r>
      <w:r>
        <w:t>92</w:t>
      </w:r>
      <w:r>
        <w:fldChar w:fldCharType="end"/>
      </w:r>
    </w:p>
    <w:p>
      <w:pPr>
        <w:pStyle w:val="TOC8"/>
        <w:rPr>
          <w:rFonts w:asciiTheme="minorHAnsi" w:eastAsiaTheme="minorEastAsia" w:hAnsiTheme="minorHAnsi" w:cstheme="minorBidi"/>
          <w:szCs w:val="22"/>
        </w:rPr>
      </w:pPr>
      <w:r>
        <w:t>14.</w:t>
      </w:r>
      <w:r>
        <w:tab/>
        <w:t>Metropolitan Government trading organisation and non</w:t>
      </w:r>
      <w:r>
        <w:noBreakHyphen/>
        <w:t>commercial Government property</w:t>
      </w:r>
      <w:r>
        <w:tab/>
      </w:r>
      <w:r>
        <w:fldChar w:fldCharType="begin"/>
      </w:r>
      <w:r>
        <w:instrText xml:space="preserve"> PAGEREF _Toc84427999 \h </w:instrText>
      </w:r>
      <w:r>
        <w:fldChar w:fldCharType="separate"/>
      </w:r>
      <w:r>
        <w:t>93</w:t>
      </w:r>
      <w:r>
        <w:fldChar w:fldCharType="end"/>
      </w:r>
    </w:p>
    <w:p>
      <w:pPr>
        <w:pStyle w:val="TOC8"/>
        <w:rPr>
          <w:rFonts w:asciiTheme="minorHAnsi" w:eastAsiaTheme="minorEastAsia" w:hAnsiTheme="minorHAnsi" w:cstheme="minorBidi"/>
          <w:szCs w:val="22"/>
        </w:rPr>
      </w:pPr>
      <w:r>
        <w:t>15.</w:t>
      </w:r>
      <w:r>
        <w:tab/>
        <w:t>Metropolitan non strata</w:t>
      </w:r>
      <w:r>
        <w:noBreakHyphen/>
        <w:t>titled caravan park with long</w:t>
      </w:r>
      <w:r>
        <w:noBreakHyphen/>
        <w:t>term residential caravan bays</w:t>
      </w:r>
      <w:r>
        <w:tab/>
      </w:r>
      <w:r>
        <w:fldChar w:fldCharType="begin"/>
      </w:r>
      <w:r>
        <w:instrText xml:space="preserve"> PAGEREF _Toc84428000 \h </w:instrText>
      </w:r>
      <w:r>
        <w:fldChar w:fldCharType="separate"/>
      </w:r>
      <w:r>
        <w:t>94</w:t>
      </w:r>
      <w:r>
        <w:fldChar w:fldCharType="end"/>
      </w:r>
    </w:p>
    <w:p>
      <w:pPr>
        <w:pStyle w:val="TOC8"/>
        <w:rPr>
          <w:rFonts w:asciiTheme="minorHAnsi" w:eastAsiaTheme="minorEastAsia" w:hAnsiTheme="minorHAnsi" w:cstheme="minorBidi"/>
          <w:szCs w:val="22"/>
        </w:rPr>
      </w:pPr>
      <w:r>
        <w:t>16.</w:t>
      </w:r>
      <w:r>
        <w:tab/>
        <w:t>Metropolitan nursing home</w:t>
      </w:r>
      <w:r>
        <w:tab/>
      </w:r>
      <w:r>
        <w:fldChar w:fldCharType="begin"/>
      </w:r>
      <w:r>
        <w:instrText xml:space="preserve"> PAGEREF _Toc84428001 \h </w:instrText>
      </w:r>
      <w:r>
        <w:fldChar w:fldCharType="separate"/>
      </w:r>
      <w:r>
        <w:t>95</w:t>
      </w:r>
      <w:r>
        <w:fldChar w:fldCharType="end"/>
      </w:r>
    </w:p>
    <w:p>
      <w:pPr>
        <w:pStyle w:val="TOC8"/>
        <w:rPr>
          <w:rFonts w:asciiTheme="minorHAnsi" w:eastAsiaTheme="minorEastAsia" w:hAnsiTheme="minorHAnsi" w:cstheme="minorBidi"/>
          <w:szCs w:val="22"/>
        </w:rPr>
      </w:pPr>
      <w:r>
        <w:t>17.</w:t>
      </w:r>
      <w:r>
        <w:tab/>
        <w:t>Certain metropolitan strata</w:t>
      </w:r>
      <w:r>
        <w:noBreakHyphen/>
        <w:t>titled units</w:t>
      </w:r>
      <w:r>
        <w:tab/>
      </w:r>
      <w:r>
        <w:fldChar w:fldCharType="begin"/>
      </w:r>
      <w:r>
        <w:instrText xml:space="preserve"> PAGEREF _Toc84428002 \h </w:instrText>
      </w:r>
      <w:r>
        <w:fldChar w:fldCharType="separate"/>
      </w:r>
      <w:r>
        <w:t>96</w:t>
      </w:r>
      <w:r>
        <w:fldChar w:fldCharType="end"/>
      </w:r>
    </w:p>
    <w:p>
      <w:pPr>
        <w:pStyle w:val="TOC4"/>
        <w:tabs>
          <w:tab w:val="right" w:leader="dot" w:pos="7087"/>
        </w:tabs>
        <w:rPr>
          <w:rFonts w:asciiTheme="minorHAnsi" w:eastAsiaTheme="minorEastAsia" w:hAnsiTheme="minorHAnsi" w:cstheme="minorBidi"/>
          <w:b w:val="0"/>
          <w:szCs w:val="22"/>
        </w:rPr>
      </w:pPr>
      <w:r>
        <w:t>Division 5</w:t>
      </w:r>
      <w:r>
        <w:rPr>
          <w:b w:val="0"/>
        </w:rPr>
        <w:t> — </w:t>
      </w:r>
      <w:r>
        <w:t>Computation of combined metropolitan charges</w:t>
      </w:r>
    </w:p>
    <w:p>
      <w:pPr>
        <w:pStyle w:val="TOC8"/>
        <w:rPr>
          <w:rFonts w:asciiTheme="minorHAnsi" w:eastAsiaTheme="minorEastAsia" w:hAnsiTheme="minorHAnsi" w:cstheme="minorBidi"/>
          <w:szCs w:val="22"/>
        </w:rPr>
      </w:pPr>
      <w:r>
        <w:t>18.</w:t>
      </w:r>
      <w:r>
        <w:tab/>
        <w:t>Formula for annual charge</w:t>
      </w:r>
      <w:r>
        <w:tab/>
      </w:r>
      <w:r>
        <w:fldChar w:fldCharType="begin"/>
      </w:r>
      <w:r>
        <w:instrText xml:space="preserve"> PAGEREF _Toc84428004 \h </w:instrText>
      </w:r>
      <w:r>
        <w:fldChar w:fldCharType="separate"/>
      </w:r>
      <w:r>
        <w:t>96</w:t>
      </w:r>
      <w:r>
        <w:fldChar w:fldCharType="end"/>
      </w:r>
    </w:p>
    <w:p>
      <w:pPr>
        <w:pStyle w:val="TOC8"/>
        <w:rPr>
          <w:rFonts w:asciiTheme="minorHAnsi" w:eastAsiaTheme="minorEastAsia" w:hAnsiTheme="minorHAnsi" w:cstheme="minorBidi"/>
          <w:szCs w:val="22"/>
        </w:rPr>
      </w:pPr>
      <w:r>
        <w:t>19.</w:t>
      </w:r>
      <w:r>
        <w:tab/>
        <w:t>Formula for quantity charge</w:t>
      </w:r>
      <w:r>
        <w:tab/>
      </w:r>
      <w:r>
        <w:fldChar w:fldCharType="begin"/>
      </w:r>
      <w:r>
        <w:instrText xml:space="preserve"> PAGEREF _Toc84428005 \h </w:instrText>
      </w:r>
      <w:r>
        <w:fldChar w:fldCharType="separate"/>
      </w:r>
      <w:r>
        <w:t>97</w:t>
      </w:r>
      <w:r>
        <w:fldChar w:fldCharType="end"/>
      </w:r>
    </w:p>
    <w:p>
      <w:pPr>
        <w:pStyle w:val="TOC8"/>
        <w:rPr>
          <w:rFonts w:asciiTheme="minorHAnsi" w:eastAsiaTheme="minorEastAsia" w:hAnsiTheme="minorHAnsi" w:cstheme="minorBidi"/>
          <w:szCs w:val="22"/>
        </w:rPr>
      </w:pPr>
      <w:r>
        <w:t>20.</w:t>
      </w:r>
      <w:r>
        <w:tab/>
        <w:t>Discharge allowance</w:t>
      </w:r>
      <w:r>
        <w:tab/>
      </w:r>
      <w:r>
        <w:fldChar w:fldCharType="begin"/>
      </w:r>
      <w:r>
        <w:instrText xml:space="preserve"> PAGEREF _Toc84428006 \h </w:instrText>
      </w:r>
      <w:r>
        <w:fldChar w:fldCharType="separate"/>
      </w:r>
      <w:r>
        <w:t>98</w:t>
      </w:r>
      <w:r>
        <w:fldChar w:fldCharType="end"/>
      </w:r>
    </w:p>
    <w:p>
      <w:pPr>
        <w:pStyle w:val="TOC4"/>
        <w:keepNext w:val="0"/>
        <w:tabs>
          <w:tab w:val="right" w:leader="dot" w:pos="7087"/>
        </w:tabs>
        <w:rPr>
          <w:rFonts w:asciiTheme="minorHAnsi" w:eastAsiaTheme="minorEastAsia" w:hAnsiTheme="minorHAnsi" w:cstheme="minorBidi"/>
          <w:b w:val="0"/>
          <w:szCs w:val="22"/>
        </w:rPr>
      </w:pPr>
      <w:r>
        <w:t>Division 6 — Service charges for industrial waste</w:t>
      </w:r>
    </w:p>
    <w:p>
      <w:pPr>
        <w:pStyle w:val="TOC4"/>
        <w:keepNext w:val="0"/>
        <w:tabs>
          <w:tab w:val="right" w:leader="dot" w:pos="7087"/>
        </w:tabs>
        <w:rPr>
          <w:rFonts w:asciiTheme="minorHAnsi" w:eastAsiaTheme="minorEastAsia" w:hAnsiTheme="minorHAnsi" w:cstheme="minorBidi"/>
          <w:b w:val="0"/>
          <w:szCs w:val="22"/>
        </w:rPr>
      </w:pPr>
      <w:r>
        <w:t>Division 7</w:t>
      </w:r>
      <w:r>
        <w:rPr>
          <w:b w:val="0"/>
        </w:rPr>
        <w:t> — </w:t>
      </w:r>
      <w:r>
        <w:t>Combined charges for country</w:t>
      </w:r>
    </w:p>
    <w:p>
      <w:pPr>
        <w:pStyle w:val="TOC4"/>
        <w:keepNext w:val="0"/>
        <w:tabs>
          <w:tab w:val="right" w:leader="dot" w:pos="7087"/>
        </w:tabs>
        <w:rPr>
          <w:rFonts w:asciiTheme="minorHAnsi" w:eastAsiaTheme="minorEastAsia" w:hAnsiTheme="minorHAnsi" w:cstheme="minorBidi"/>
          <w:b w:val="0"/>
          <w:szCs w:val="22"/>
        </w:rPr>
      </w:pPr>
      <w:r>
        <w:t>Division 8 — Computation of combined charges for country</w:t>
      </w:r>
    </w:p>
    <w:p>
      <w:pPr>
        <w:pStyle w:val="TOC2"/>
        <w:tabs>
          <w:tab w:val="right" w:leader="dot" w:pos="7087"/>
        </w:tabs>
        <w:rPr>
          <w:rFonts w:asciiTheme="minorHAnsi" w:eastAsiaTheme="minorEastAsia" w:hAnsiTheme="minorHAnsi" w:cstheme="minorBidi"/>
          <w:b w:val="0"/>
          <w:sz w:val="22"/>
          <w:szCs w:val="22"/>
        </w:rPr>
      </w:pPr>
      <w:r>
        <w:lastRenderedPageBreak/>
        <w:t>Schedule 4 — Charges for drainage for 2012/2013</w:t>
      </w:r>
    </w:p>
    <w:p>
      <w:pPr>
        <w:pStyle w:val="TOC4"/>
        <w:tabs>
          <w:tab w:val="right" w:leader="dot" w:pos="7087"/>
        </w:tabs>
        <w:rPr>
          <w:rFonts w:asciiTheme="minorHAnsi" w:eastAsiaTheme="minorEastAsia" w:hAnsiTheme="minorHAnsi" w:cstheme="minorBidi"/>
          <w:b w:val="0"/>
          <w:szCs w:val="22"/>
        </w:rPr>
      </w:pPr>
      <w:r>
        <w:t>Division 1 — Fixed charges</w:t>
      </w:r>
    </w:p>
    <w:p>
      <w:pPr>
        <w:pStyle w:val="TOC4"/>
        <w:tabs>
          <w:tab w:val="right" w:leader="dot" w:pos="7087"/>
        </w:tabs>
        <w:rPr>
          <w:rFonts w:asciiTheme="minorHAnsi" w:eastAsiaTheme="minorEastAsia" w:hAnsiTheme="minorHAnsi" w:cstheme="minorBidi"/>
          <w:b w:val="0"/>
          <w:szCs w:val="22"/>
        </w:rPr>
      </w:pPr>
      <w:r>
        <w:t>Division 2 — Charges by way of rate</w:t>
      </w:r>
    </w:p>
    <w:p>
      <w:pPr>
        <w:pStyle w:val="TOC2"/>
        <w:tabs>
          <w:tab w:val="right" w:leader="dot" w:pos="7087"/>
        </w:tabs>
        <w:rPr>
          <w:rFonts w:asciiTheme="minorHAnsi" w:eastAsiaTheme="minorEastAsia" w:hAnsiTheme="minorHAnsi" w:cstheme="minorBidi"/>
          <w:b w:val="0"/>
          <w:sz w:val="22"/>
          <w:szCs w:val="22"/>
        </w:rPr>
      </w:pPr>
      <w:r>
        <w:t>Schedule 5 — Charges for irrigation for 2012/2013</w:t>
      </w:r>
    </w:p>
    <w:p>
      <w:pPr>
        <w:pStyle w:val="TOC2"/>
        <w:tabs>
          <w:tab w:val="right" w:leader="dot" w:pos="7087"/>
        </w:tabs>
        <w:rPr>
          <w:rFonts w:asciiTheme="minorHAnsi" w:eastAsiaTheme="minorEastAsia" w:hAnsiTheme="minorHAnsi" w:cstheme="minorBidi"/>
          <w:b w:val="0"/>
          <w:sz w:val="22"/>
          <w:szCs w:val="22"/>
        </w:rPr>
      </w:pPr>
      <w:r>
        <w:t>Schedule 6 — Formula for calculating AGRV</w:t>
      </w:r>
    </w:p>
    <w:p>
      <w:pPr>
        <w:pStyle w:val="TOC8"/>
        <w:rPr>
          <w:rFonts w:asciiTheme="minorHAnsi" w:eastAsiaTheme="minorEastAsia" w:hAnsiTheme="minorHAnsi" w:cstheme="minorBidi"/>
          <w:szCs w:val="22"/>
        </w:rPr>
      </w:pPr>
      <w:r>
        <w:t>1.</w:t>
      </w:r>
      <w:r>
        <w:tab/>
        <w:t>Term used: relevant general valuation</w:t>
      </w:r>
      <w:r>
        <w:tab/>
      </w:r>
      <w:r>
        <w:fldChar w:fldCharType="begin"/>
      </w:r>
      <w:r>
        <w:instrText xml:space="preserve"> PAGEREF _Toc84428015 \h </w:instrText>
      </w:r>
      <w:r>
        <w:fldChar w:fldCharType="separate"/>
      </w:r>
      <w:r>
        <w:t>111</w:t>
      </w:r>
      <w:r>
        <w:fldChar w:fldCharType="end"/>
      </w:r>
    </w:p>
    <w:p>
      <w:pPr>
        <w:pStyle w:val="TOC8"/>
        <w:rPr>
          <w:rFonts w:asciiTheme="minorHAnsi" w:eastAsiaTheme="minorEastAsia" w:hAnsiTheme="minorHAnsi" w:cstheme="minorBidi"/>
          <w:szCs w:val="22"/>
        </w:rPr>
      </w:pPr>
      <w:r>
        <w:t>2.</w:t>
      </w:r>
      <w:r>
        <w:tab/>
        <w:t>Formula for calculating AGRV</w:t>
      </w:r>
      <w:r>
        <w:tab/>
      </w:r>
      <w:r>
        <w:fldChar w:fldCharType="begin"/>
      </w:r>
      <w:r>
        <w:instrText xml:space="preserve"> PAGEREF _Toc84428016 \h </w:instrText>
      </w:r>
      <w:r>
        <w:fldChar w:fldCharType="separate"/>
      </w:r>
      <w:r>
        <w:t>111</w:t>
      </w:r>
      <w:r>
        <w:fldChar w:fldCharType="end"/>
      </w:r>
    </w:p>
    <w:p>
      <w:pPr>
        <w:pStyle w:val="TOC2"/>
        <w:tabs>
          <w:tab w:val="right" w:leader="dot" w:pos="7087"/>
        </w:tabs>
        <w:rPr>
          <w:rFonts w:asciiTheme="minorHAnsi" w:eastAsiaTheme="minorEastAsia" w:hAnsiTheme="minorHAnsi" w:cstheme="minorBidi"/>
          <w:b w:val="0"/>
          <w:sz w:val="22"/>
          <w:szCs w:val="22"/>
        </w:rPr>
      </w:pPr>
      <w:r>
        <w:t>Schedule 7 — Discounts and additional charges</w:t>
      </w:r>
    </w:p>
    <w:p>
      <w:pPr>
        <w:pStyle w:val="TOC2"/>
        <w:tabs>
          <w:tab w:val="right" w:leader="dot" w:pos="7087"/>
        </w:tabs>
        <w:rPr>
          <w:rFonts w:asciiTheme="minorHAnsi" w:eastAsiaTheme="minorEastAsia" w:hAnsiTheme="minorHAnsi" w:cstheme="minorBidi"/>
          <w:b w:val="0"/>
          <w:sz w:val="22"/>
          <w:szCs w:val="22"/>
        </w:rPr>
      </w:pPr>
      <w:r>
        <w:t>Schedule 8 — Water supply charges for Government trading organisations and non</w:t>
      </w:r>
      <w:r>
        <w:noBreakHyphen/>
        <w:t>commercial Government property</w:t>
      </w:r>
    </w:p>
    <w:p>
      <w:pPr>
        <w:pStyle w:val="TOC2"/>
        <w:tabs>
          <w:tab w:val="right" w:leader="dot" w:pos="7087"/>
        </w:tabs>
        <w:rPr>
          <w:rFonts w:asciiTheme="minorHAnsi" w:eastAsiaTheme="minorEastAsia" w:hAnsiTheme="minorHAnsi" w:cstheme="minorBidi"/>
          <w:b w:val="0"/>
          <w:sz w:val="22"/>
          <w:szCs w:val="22"/>
        </w:rPr>
      </w:pPr>
      <w:r>
        <w:t>Schedule 9 — Classification of towns/areas for the purpose of determining quantity charges in the previous year</w:t>
      </w:r>
    </w:p>
    <w:p>
      <w:pPr>
        <w:pStyle w:val="TOC2"/>
        <w:tabs>
          <w:tab w:val="right" w:leader="dot" w:pos="7087"/>
        </w:tabs>
        <w:rPr>
          <w:rFonts w:asciiTheme="minorHAnsi" w:eastAsiaTheme="minorEastAsia" w:hAnsiTheme="minorHAnsi" w:cstheme="minorBidi"/>
          <w:b w:val="0"/>
          <w:sz w:val="22"/>
          <w:szCs w:val="22"/>
        </w:rPr>
      </w:pPr>
      <w:r>
        <w:t>Schedule 10 — Classification of towns/areas for the purpose of determining quantity charges in the current year</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_Toc84428022 \h </w:instrText>
      </w:r>
      <w:r>
        <w:fldChar w:fldCharType="separate"/>
      </w:r>
      <w:r>
        <w:t>135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_Toc84428023 \h </w:instrText>
      </w:r>
      <w:r>
        <w:fldChar w:fldCharType="separate"/>
      </w:r>
      <w:r>
        <w:t>141</w:t>
      </w:r>
      <w:r>
        <w:fldChar w:fldCharType="end"/>
      </w:r>
    </w:p>
    <w:p>
      <w:pPr>
        <w:pStyle w:val="TOC2"/>
        <w:tabs>
          <w:tab w:val="right" w:leader="dot" w:pos="7087"/>
        </w:tabs>
        <w:rPr>
          <w:rFonts w:asciiTheme="minorHAnsi" w:eastAsiaTheme="minorEastAsia" w:hAnsiTheme="minorHAnsi" w:cstheme="minorBidi"/>
          <w:b w:val="0"/>
          <w:sz w:val="22"/>
          <w:szCs w:val="22"/>
        </w:rPr>
      </w:pPr>
      <w:r>
        <w:lastRenderedPageBreak/>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1" w:name="_Toc84427924"/>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2" w:name="_Toc84427925"/>
      <w:r>
        <w:rPr>
          <w:rStyle w:val="CharSectno"/>
        </w:rPr>
        <w:t>2</w:t>
      </w:r>
      <w:r>
        <w:rPr>
          <w:snapToGrid w:val="0"/>
        </w:rPr>
        <w:t>.</w:t>
      </w:r>
      <w:r>
        <w:rPr>
          <w:snapToGrid w:val="0"/>
        </w:rPr>
        <w:tab/>
        <w:t>Terms used</w:t>
      </w:r>
      <w:bookmarkEnd w:id="2"/>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aged home</w:t>
      </w:r>
      <w:r>
        <w:t xml:space="preserve"> means an institution that, in the opinion of the Corporation — </w:t>
      </w:r>
    </w:p>
    <w:p>
      <w:pPr>
        <w:pStyle w:val="Defpara"/>
      </w:pPr>
      <w:r>
        <w:tab/>
        <w:t>(a)</w:t>
      </w:r>
      <w:r>
        <w:tab/>
        <w:t>provides accommodation for aged persons; and</w:t>
      </w:r>
    </w:p>
    <w:p>
      <w:pPr>
        <w:pStyle w:val="Defpara"/>
      </w:pPr>
      <w:r>
        <w:tab/>
        <w:t>(b)</w:t>
      </w:r>
      <w:r>
        <w:tab/>
        <w:t>is not operated for the purpose of profit or gain;</w:t>
      </w:r>
    </w:p>
    <w:p>
      <w:pPr>
        <w:pStyle w:val="Defstart"/>
      </w:pPr>
      <w:r>
        <w:rPr>
          <w:b/>
        </w:rPr>
        <w:tab/>
      </w:r>
      <w:r>
        <w:rPr>
          <w:rStyle w:val="CharDefText"/>
        </w:rPr>
        <w:t>caravan bay</w:t>
      </w:r>
      <w:r>
        <w:t xml:space="preserve"> means </w:t>
      </w:r>
      <w:r>
        <w:rPr>
          <w:rStyle w:val="CharDefText"/>
        </w:rPr>
        <w:t>site</w:t>
      </w:r>
      <w:r>
        <w:t xml:space="preserve"> as that word is defined in the </w:t>
      </w:r>
      <w:r>
        <w:rPr>
          <w:i/>
        </w:rPr>
        <w:t>Caravan Parks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rPr>
          <w:b/>
        </w:rPr>
        <w:tab/>
      </w:r>
      <w:r>
        <w:rPr>
          <w:rStyle w:val="CharDefText"/>
        </w:rPr>
        <w:t>country sewerage area</w:t>
      </w:r>
      <w:r>
        <w:t xml:space="preserve"> means a sewerage area constituted under the </w:t>
      </w:r>
      <w:r>
        <w:rPr>
          <w:i/>
        </w:rPr>
        <w:t>Country Towns Sewerage Act 1948</w:t>
      </w:r>
      <w:r>
        <w:t>;</w:t>
      </w:r>
    </w:p>
    <w:p>
      <w:pPr>
        <w:pStyle w:val="Defstart"/>
      </w:pPr>
      <w:r>
        <w:rPr>
          <w:b/>
        </w:rPr>
        <w:tab/>
      </w:r>
      <w:r>
        <w:rPr>
          <w:rStyle w:val="CharDefText"/>
        </w:rPr>
        <w:t>current year</w:t>
      </w:r>
      <w:r>
        <w:t xml:space="preserve"> means the current financial year;</w:t>
      </w:r>
    </w:p>
    <w:p>
      <w:pPr>
        <w:pStyle w:val="Defstart"/>
        <w:keepNext/>
      </w:pPr>
      <w:r>
        <w:rPr>
          <w:b/>
        </w:rPr>
        <w:lastRenderedPageBreak/>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lastRenderedPageBreak/>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lastRenderedPageBreak/>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pPr>
      <w:r>
        <w:tab/>
        <w:t>(a)</w:t>
      </w:r>
      <w:r>
        <w:tab/>
        <w:t xml:space="preserve">GoldCorp Australia — constituted under the </w:t>
      </w:r>
      <w:r>
        <w:rPr>
          <w:i/>
        </w:rPr>
        <w:t>Gold Corporation Act 1987</w:t>
      </w:r>
      <w:r>
        <w:t>;</w:t>
      </w:r>
    </w:p>
    <w:p>
      <w:pPr>
        <w:pStyle w:val="Defsubpara"/>
      </w:pPr>
      <w:r>
        <w:tab/>
        <w:t>(b)</w:t>
      </w:r>
      <w:r>
        <w:tab/>
        <w:t xml:space="preserve">Gold Corporation — constituted under the </w:t>
      </w:r>
      <w:r>
        <w:rPr>
          <w:i/>
        </w:rPr>
        <w:t>Gold Corporation Act 1987</w:t>
      </w:r>
      <w:r>
        <w:t>; and</w:t>
      </w:r>
    </w:p>
    <w:p>
      <w:pPr>
        <w:pStyle w:val="Defsubpara"/>
      </w:pPr>
      <w:r>
        <w:tab/>
        <w:t>(c)</w:t>
      </w:r>
      <w:r>
        <w:tab/>
        <w:t xml:space="preserve">the Perth Branch of the Royal Mint — established by proclamation under the </w:t>
      </w:r>
      <w:r>
        <w:rPr>
          <w:i/>
        </w:rPr>
        <w:t>Coinage Act 1870</w:t>
      </w:r>
      <w: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r>
        <w:rPr>
          <w:rStyle w:val="CharDefText"/>
        </w:rPr>
        <w:t>GRV</w:t>
      </w:r>
      <w:r>
        <w:t>, in relation to land, means the gross rental value of the land;</w:t>
      </w:r>
    </w:p>
    <w:p>
      <w:pPr>
        <w:pStyle w:val="Defstart"/>
        <w:keepNext/>
      </w:pPr>
      <w:r>
        <w:rPr>
          <w:b/>
        </w:rPr>
        <w:lastRenderedPageBreak/>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r>
      <w:r>
        <w:rPr>
          <w:rStyle w:val="CharDefText"/>
        </w:rPr>
        <w:t>metropolitan area</w:t>
      </w:r>
      <w:r>
        <w:t xml:space="preserve"> means Metropolitan Water, Sewerage, and Drainage Area constituted under the </w:t>
      </w:r>
      <w:r>
        <w:rPr>
          <w:i/>
        </w:rPr>
        <w:t>Metropolitan Water Supply, Sewerage, and Drainage Act 1909</w:t>
      </w:r>
      <w:r>
        <w:t>;</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lastRenderedPageBreak/>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keepNext/>
      </w:pPr>
      <w:r>
        <w:rPr>
          <w:b/>
        </w:rPr>
        <w:tab/>
      </w:r>
      <w:r>
        <w:rPr>
          <w:rStyle w:val="CharDefText"/>
        </w:rPr>
        <w:t>quantity charge</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rPr>
          <w:b/>
        </w:rPr>
        <w:tab/>
      </w:r>
      <w:r>
        <w:rPr>
          <w:rStyle w:val="CharDefText"/>
        </w:rPr>
        <w:t>UV</w:t>
      </w:r>
      <w:r>
        <w:t>, in relation to land, means the unimproved value of the land;</w:t>
      </w:r>
    </w:p>
    <w:p>
      <w:pPr>
        <w:pStyle w:val="Defstart"/>
      </w:pPr>
      <w:r>
        <w:rPr>
          <w:b/>
        </w:rPr>
        <w:tab/>
      </w:r>
      <w:r>
        <w:rPr>
          <w:rStyle w:val="CharDefText"/>
        </w:rPr>
        <w:t>water supply</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r>
      <w:r>
        <w:rPr>
          <w:rStyle w:val="CharDefText"/>
        </w:rPr>
        <w:t>year</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lastRenderedPageBreak/>
        <w:tab/>
        <w:t>(b)</w:t>
      </w:r>
      <w:r>
        <w:tab/>
        <w:t>in relation to a quantity charge —</w:t>
      </w:r>
    </w:p>
    <w:p>
      <w:pPr>
        <w:pStyle w:val="Defsubpara"/>
        <w:keepLines w:val="0"/>
      </w:pPr>
      <w:r>
        <w:tab/>
        <w:t>(i)</w:t>
      </w:r>
      <w:r>
        <w:tab/>
        <w:t xml:space="preserve">that relates to water supplied under the </w:t>
      </w:r>
      <w:r>
        <w:rPr>
          <w:i/>
        </w:rPr>
        <w:t>Country Areas Water Supply Act 1947</w:t>
      </w:r>
      <w: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pPr>
      <w:r>
        <w:tab/>
        <w:t>(ii)</w:t>
      </w:r>
      <w:r>
        <w:tab/>
        <w:t xml:space="preserve">that relates to water supplied under the </w:t>
      </w:r>
      <w:r>
        <w:rPr>
          <w:i/>
        </w:rPr>
        <w:t>Metropolitan Water Supply, Sewerage, and Drainage Act 1909</w:t>
      </w:r>
      <w:r>
        <w:t xml:space="preserve"> or the </w:t>
      </w:r>
      <w:r>
        <w:rPr>
          <w:i/>
        </w:rPr>
        <w:t>Metropolitan Water Authority Act 1982</w:t>
      </w:r>
      <w: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pacing w:val="-2"/>
        </w:rPr>
      </w:pPr>
      <w:r>
        <w:tab/>
        <w:t>(iii)</w:t>
      </w:r>
      <w:r>
        <w:tab/>
      </w:r>
      <w:r>
        <w:rPr>
          <w:spacing w:val="-2"/>
        </w:rPr>
        <w:t xml:space="preserve">that relates to industrial waste discharged under the </w:t>
      </w:r>
      <w:r>
        <w:rPr>
          <w:i/>
          <w:spacing w:val="-2"/>
        </w:rPr>
        <w:t>Metropolitan Water Supply, Sewerage, and Drainage Act 1909</w:t>
      </w:r>
      <w:r>
        <w:rPr>
          <w:spacing w:val="-2"/>
        </w:rPr>
        <w:t xml:space="preserve"> or the </w:t>
      </w:r>
      <w:r>
        <w:rPr>
          <w:i/>
          <w:spacing w:val="-2"/>
        </w:rPr>
        <w:t>Country Towns Sewerage Act 1948</w:t>
      </w:r>
      <w:r>
        <w:rPr>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pPr>
      <w:r>
        <w:tab/>
        <w:t>(iv)</w:t>
      </w:r>
      <w: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lastRenderedPageBreak/>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 20 Jun 2012 p. 2695</w:t>
      </w:r>
      <w:r>
        <w:noBreakHyphen/>
        <w:t>6.]</w:t>
      </w:r>
    </w:p>
    <w:p>
      <w:pPr>
        <w:pStyle w:val="Heading2"/>
      </w:pPr>
      <w:bookmarkStart w:id="3" w:name="_Toc84427926"/>
      <w:r>
        <w:rPr>
          <w:rStyle w:val="CharPartNo"/>
        </w:rPr>
        <w:lastRenderedPageBreak/>
        <w:t>Part 1</w:t>
      </w:r>
      <w:r>
        <w:rPr>
          <w:rStyle w:val="CharDivNo"/>
        </w:rPr>
        <w:t> </w:t>
      </w:r>
      <w:r>
        <w:t>—</w:t>
      </w:r>
      <w:r>
        <w:rPr>
          <w:rStyle w:val="CharDivText"/>
        </w:rPr>
        <w:t> </w:t>
      </w:r>
      <w:r>
        <w:rPr>
          <w:rStyle w:val="CharPartText"/>
        </w:rPr>
        <w:t>General</w:t>
      </w:r>
      <w:bookmarkEnd w:id="3"/>
    </w:p>
    <w:p>
      <w:pPr>
        <w:pStyle w:val="Heading5"/>
        <w:rPr>
          <w:snapToGrid w:val="0"/>
        </w:rPr>
      </w:pPr>
      <w:bookmarkStart w:id="4" w:name="_Toc84427927"/>
      <w:r>
        <w:rPr>
          <w:rStyle w:val="CharSectno"/>
        </w:rPr>
        <w:t>3</w:t>
      </w:r>
      <w:r>
        <w:rPr>
          <w:snapToGrid w:val="0"/>
        </w:rPr>
        <w:t>.</w:t>
      </w:r>
      <w:r>
        <w:rPr>
          <w:snapToGrid w:val="0"/>
        </w:rPr>
        <w:tab/>
        <w:t>Proportionate charges for part of year</w:t>
      </w:r>
      <w:bookmarkEnd w:id="4"/>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5" w:name="_Toc84427928"/>
      <w:r>
        <w:rPr>
          <w:rStyle w:val="CharSectno"/>
        </w:rPr>
        <w:lastRenderedPageBreak/>
        <w:t>3A</w:t>
      </w:r>
      <w:r>
        <w:rPr>
          <w:snapToGrid w:val="0"/>
        </w:rPr>
        <w:t>.</w:t>
      </w:r>
      <w:r>
        <w:rPr>
          <w:snapToGrid w:val="0"/>
        </w:rPr>
        <w:tab/>
        <w:t>Minimum charge prior to revaluation</w:t>
      </w:r>
      <w:bookmarkEnd w:id="5"/>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6" w:name="_Toc84427929"/>
      <w:r>
        <w:rPr>
          <w:rStyle w:val="CharSectno"/>
        </w:rPr>
        <w:t>4</w:t>
      </w:r>
      <w:r>
        <w:rPr>
          <w:snapToGrid w:val="0"/>
        </w:rPr>
        <w:t>.</w:t>
      </w:r>
      <w:r>
        <w:rPr>
          <w:snapToGrid w:val="0"/>
        </w:rPr>
        <w:tab/>
        <w:t>Exempt land</w:t>
      </w:r>
      <w:bookmarkEnd w:id="6"/>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lastRenderedPageBreak/>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THeadingNAm"/>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TableNAm"/>
              <w:ind w:left="568" w:hanging="568"/>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880" w:type="dxa"/>
          </w:tcPr>
          <w:p>
            <w:pPr>
              <w:pStyle w:val="TableNAm"/>
              <w:ind w:left="568" w:hanging="568"/>
              <w:rPr>
                <w:snapToGrid w:val="0"/>
              </w:rPr>
            </w:pPr>
            <w:r>
              <w:rPr>
                <w:snapToGrid w:val="0"/>
              </w:rPr>
              <w:lastRenderedPageBreak/>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ind w:left="568" w:hanging="568"/>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11</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lastRenderedPageBreak/>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pPr>
      <w:bookmarkStart w:id="7" w:name="_Toc84427930"/>
      <w:r>
        <w:rPr>
          <w:rStyle w:val="CharSectno"/>
        </w:rPr>
        <w:t>5A</w:t>
      </w:r>
      <w:r>
        <w:t>.</w:t>
      </w:r>
      <w:r>
        <w:tab/>
        <w:t>Exempt land, amount of exemption calculated</w:t>
      </w:r>
      <w:bookmarkEnd w:id="7"/>
    </w:p>
    <w:p>
      <w:pPr>
        <w:pStyle w:val="Subsection"/>
      </w:pPr>
      <w:r>
        <w:tab/>
        <w:t>(1)</w:t>
      </w:r>
      <w:r>
        <w:tab/>
        <w:t>In this by</w:t>
      </w:r>
      <w:r>
        <w:noBreakHyphen/>
        <w:t xml:space="preserve">law — </w:t>
      </w:r>
    </w:p>
    <w:p>
      <w:pPr>
        <w:pStyle w:val="Defstart"/>
      </w:pPr>
      <w:r>
        <w:tab/>
      </w:r>
      <w:r>
        <w:rPr>
          <w:rStyle w:val="CharDefText"/>
        </w:rPr>
        <w:t>exempt land</w:t>
      </w:r>
      <w:r>
        <w:t xml:space="preserve"> means land — </w:t>
      </w:r>
    </w:p>
    <w:p>
      <w:pPr>
        <w:pStyle w:val="Defpara"/>
      </w:pPr>
      <w:r>
        <w:tab/>
        <w:t>(a)</w:t>
      </w:r>
      <w:r>
        <w:tab/>
        <w:t>which is exempt from a charge for a water service; or</w:t>
      </w:r>
    </w:p>
    <w:p>
      <w:pPr>
        <w:pStyle w:val="Defpara"/>
      </w:pPr>
      <w:r>
        <w:tab/>
        <w:t>(b)</w:t>
      </w:r>
      <w:r>
        <w:tab/>
        <w:t>for which a discount is prescribed for a water service.</w:t>
      </w:r>
    </w:p>
    <w:p>
      <w:pPr>
        <w:pStyle w:val="Subsection"/>
      </w:pPr>
      <w:r>
        <w:tab/>
        <w:t>(2)</w:t>
      </w:r>
      <w:r>
        <w:tab/>
        <w:t>The Corporation may provide a person with an account in respect of exempt land showing the charge that would have been payable for a water service if the exemption or discount did not apply.</w:t>
      </w:r>
    </w:p>
    <w:p>
      <w:pPr>
        <w:pStyle w:val="Subsection"/>
      </w:pPr>
      <w:r>
        <w:lastRenderedPageBreak/>
        <w:tab/>
        <w:t>(3)</w:t>
      </w:r>
      <w:r>
        <w:tab/>
        <w:t xml:space="preserve">For the purposes of the definition of </w:t>
      </w:r>
      <w:r>
        <w:rPr>
          <w:b/>
          <w:i/>
        </w:rPr>
        <w:t>exempt land</w:t>
      </w:r>
      <w:r>
        <w:t xml:space="preserve"> paragraph (a) in this by</w:t>
      </w:r>
      <w:r>
        <w:noBreakHyphen/>
        <w:t>law, the amount of the exemption is to be calculated by reference to the quantity of water or wastewater concerned or the gross rental value, unimproved value or area of the land in respect of which the water service is provided.</w:t>
      </w:r>
    </w:p>
    <w:p>
      <w:pPr>
        <w:pStyle w:val="Footnotesection"/>
      </w:pPr>
      <w:r>
        <w:tab/>
        <w:t>[By-law 5A inserted in Gazette 20 Jun 2012 p. 2696-7.]</w:t>
      </w:r>
    </w:p>
    <w:p>
      <w:pPr>
        <w:pStyle w:val="Heading5"/>
        <w:rPr>
          <w:snapToGrid w:val="0"/>
        </w:rPr>
      </w:pPr>
      <w:bookmarkStart w:id="8" w:name="_Toc84427931"/>
      <w:r>
        <w:rPr>
          <w:rStyle w:val="CharSectno"/>
        </w:rPr>
        <w:t>5</w:t>
      </w:r>
      <w:r>
        <w:rPr>
          <w:snapToGrid w:val="0"/>
        </w:rPr>
        <w:t>.</w:t>
      </w:r>
      <w:r>
        <w:rPr>
          <w:snapToGrid w:val="0"/>
        </w:rPr>
        <w:tab/>
        <w:t>Separately assessable residential land</w:t>
      </w:r>
      <w:bookmarkEnd w:id="8"/>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[By</w:t>
      </w:r>
      <w:r>
        <w:noBreakHyphen/>
        <w:t xml:space="preserve">law 5 amended in Gazette 29 Jun 2007 p. 3246.] </w:t>
      </w:r>
    </w:p>
    <w:p>
      <w:pPr>
        <w:pStyle w:val="Heading5"/>
        <w:rPr>
          <w:snapToGrid w:val="0"/>
        </w:rPr>
      </w:pPr>
      <w:bookmarkStart w:id="9" w:name="_Toc84427932"/>
      <w:r>
        <w:rPr>
          <w:rStyle w:val="CharSectno"/>
        </w:rPr>
        <w:t>6</w:t>
      </w:r>
      <w:r>
        <w:rPr>
          <w:snapToGrid w:val="0"/>
        </w:rPr>
        <w:t>.</w:t>
      </w:r>
      <w:r>
        <w:rPr>
          <w:snapToGrid w:val="0"/>
        </w:rPr>
        <w:tab/>
        <w:t>Estimation upon meter malfunction or of non</w:t>
      </w:r>
      <w:r>
        <w:rPr>
          <w:snapToGrid w:val="0"/>
        </w:rPr>
        <w:noBreakHyphen/>
        <w:t>metered quantity</w:t>
      </w:r>
      <w:bookmarkEnd w:id="9"/>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w:t>
      </w:r>
      <w:r>
        <w:t xml:space="preserve">because of a physical obstruction preventing practicable access to the meter or because the face of the meter is obscured by damage, marking, dirt or any other substance,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lastRenderedPageBreak/>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w:t>
      </w:r>
    </w:p>
    <w:p>
      <w:pPr>
        <w:pStyle w:val="Heading5"/>
        <w:rPr>
          <w:snapToGrid w:val="0"/>
        </w:rPr>
      </w:pPr>
      <w:bookmarkStart w:id="10" w:name="_Toc84427933"/>
      <w:r>
        <w:rPr>
          <w:rStyle w:val="CharSectno"/>
        </w:rPr>
        <w:t>7</w:t>
      </w:r>
      <w:r>
        <w:rPr>
          <w:snapToGrid w:val="0"/>
        </w:rPr>
        <w:t>.</w:t>
      </w:r>
      <w:r>
        <w:rPr>
          <w:snapToGrid w:val="0"/>
        </w:rPr>
        <w:tab/>
        <w:t>Manner of payment of charges other than quantity and single capital infrastructure charges</w:t>
      </w:r>
      <w:bookmarkEnd w:id="10"/>
    </w:p>
    <w:p>
      <w:pPr>
        <w:pStyle w:val="Subsection"/>
        <w:keepNext/>
        <w:rPr>
          <w:snapToGrid w:val="0"/>
        </w:rPr>
      </w:pPr>
      <w:r>
        <w:rPr>
          <w:snapToGrid w:val="0"/>
        </w:rPr>
        <w:tab/>
        <w:t>(1)</w:t>
      </w:r>
      <w:r>
        <w:rPr>
          <w:snapToGrid w:val="0"/>
        </w:rPr>
        <w:tab/>
        <w:t>In this by</w:t>
      </w:r>
      <w:r>
        <w:rPr>
          <w:snapToGrid w:val="0"/>
        </w:rPr>
        <w:noBreakHyphen/>
        <w:t>law —</w:t>
      </w:r>
    </w:p>
    <w:p>
      <w:pPr>
        <w:pStyle w:val="Defstart"/>
        <w:keepNext/>
      </w:pPr>
      <w:r>
        <w:rPr>
          <w:b/>
        </w:rPr>
        <w:tab/>
      </w:r>
      <w:r>
        <w:rPr>
          <w:rStyle w:val="CharDefText"/>
        </w:rPr>
        <w:t>charge</w:t>
      </w:r>
      <w:r>
        <w:t xml:space="preserve"> means —</w:t>
      </w:r>
    </w:p>
    <w:p>
      <w:pPr>
        <w:pStyle w:val="Defpara"/>
      </w:pPr>
      <w:r>
        <w:tab/>
        <w:t>(a)</w:t>
      </w:r>
      <w:r>
        <w:tab/>
        <w:t>a charge other than —</w:t>
      </w:r>
    </w:p>
    <w:p>
      <w:pPr>
        <w:pStyle w:val="Defsubpara"/>
      </w:pPr>
      <w:r>
        <w:tab/>
        <w:t>(i)</w:t>
      </w:r>
      <w:r>
        <w:tab/>
        <w:t>a quantity charge; or</w:t>
      </w:r>
    </w:p>
    <w:p>
      <w:pPr>
        <w:pStyle w:val="Defsubpara"/>
        <w:keepNext/>
      </w:pPr>
      <w:r>
        <w:tab/>
        <w:t>(ii)</w:t>
      </w:r>
      <w: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lastRenderedPageBreak/>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lastRenderedPageBreak/>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11" w:name="_Toc84427934"/>
      <w:r>
        <w:rPr>
          <w:rStyle w:val="CharSectno"/>
        </w:rPr>
        <w:t>7A</w:t>
      </w:r>
      <w:r>
        <w:rPr>
          <w:snapToGrid w:val="0"/>
        </w:rPr>
        <w:t>.</w:t>
      </w:r>
      <w:r>
        <w:rPr>
          <w:snapToGrid w:val="0"/>
        </w:rPr>
        <w:tab/>
        <w:t>Manner of payment of quantity charges</w:t>
      </w:r>
      <w:bookmarkEnd w:id="11"/>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12" w:name="_Toc84427935"/>
      <w:r>
        <w:rPr>
          <w:rStyle w:val="CharSectno"/>
        </w:rPr>
        <w:t>7B</w:t>
      </w:r>
      <w:r>
        <w:rPr>
          <w:snapToGrid w:val="0"/>
        </w:rPr>
        <w:t>.</w:t>
      </w:r>
      <w:r>
        <w:rPr>
          <w:snapToGrid w:val="0"/>
        </w:rPr>
        <w:tab/>
        <w:t>Manner of payment of single capital infrastructure charges</w:t>
      </w:r>
      <w:bookmarkEnd w:id="12"/>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lastRenderedPageBreak/>
        <w:tab/>
        <w:t>[By</w:t>
      </w:r>
      <w:r>
        <w:noBreakHyphen/>
        <w:t>law 7B inserted in Gazette 13 May 1997 p. 2351.]</w:t>
      </w:r>
    </w:p>
    <w:p>
      <w:pPr>
        <w:pStyle w:val="Heading5"/>
      </w:pPr>
      <w:bookmarkStart w:id="13" w:name="_Toc84427936"/>
      <w:r>
        <w:rPr>
          <w:rStyle w:val="CharSectno"/>
        </w:rPr>
        <w:t>8</w:t>
      </w:r>
      <w:r>
        <w:t>.</w:t>
      </w:r>
      <w:r>
        <w:tab/>
        <w:t>Special arrangements</w:t>
      </w:r>
      <w:bookmarkEnd w:id="13"/>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Indenta"/>
      </w:pPr>
      <w:r>
        <w:tab/>
        <w:t>(b)</w:t>
      </w:r>
      <w:r>
        <w:tab/>
        <w:t>if additional charges are payable under the arrangement — the amount of each additional charge must not exceed the amount set out in Schedule 7 item 2; and</w:t>
      </w:r>
    </w:p>
    <w:p>
      <w:pPr>
        <w:pStyle w:val="Indenta"/>
      </w:pPr>
      <w:r>
        <w:tab/>
        <w:t>(c)</w:t>
      </w:r>
      <w:r>
        <w:tab/>
        <w:t>if interest is payable under the arrangement — the rate at which the interest is calculated must not exceed the amount set out in Schedule 7 item 5.</w:t>
      </w:r>
    </w:p>
    <w:p>
      <w:pPr>
        <w:pStyle w:val="Footnotesection"/>
      </w:pPr>
      <w:r>
        <w:tab/>
        <w:t>[By-law 8 inserted in Gazette 27 Jun 2008 p. 2984.]</w:t>
      </w:r>
    </w:p>
    <w:p>
      <w:pPr>
        <w:pStyle w:val="Heading5"/>
        <w:rPr>
          <w:snapToGrid w:val="0"/>
        </w:rPr>
      </w:pPr>
      <w:bookmarkStart w:id="14" w:name="_Toc84427937"/>
      <w:r>
        <w:rPr>
          <w:rStyle w:val="CharSectno"/>
        </w:rPr>
        <w:t>8A</w:t>
      </w:r>
      <w:r>
        <w:rPr>
          <w:snapToGrid w:val="0"/>
        </w:rPr>
        <w:t>.</w:t>
      </w:r>
      <w:r>
        <w:rPr>
          <w:snapToGrid w:val="0"/>
        </w:rPr>
        <w:tab/>
        <w:t>Concessional charges for retirement village residents</w:t>
      </w:r>
      <w:bookmarkEnd w:id="14"/>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lastRenderedPageBreak/>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15" w:name="_Toc84427938"/>
      <w:r>
        <w:rPr>
          <w:rStyle w:val="CharSectno"/>
        </w:rPr>
        <w:t>8B</w:t>
      </w:r>
      <w:r>
        <w:t>.</w:t>
      </w:r>
      <w:r>
        <w:tab/>
        <w:t>Government trading organisation and non</w:t>
      </w:r>
      <w:r>
        <w:noBreakHyphen/>
        <w:t>commercial Government property</w:t>
      </w:r>
      <w:bookmarkEnd w:id="15"/>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lastRenderedPageBreak/>
        <w:tab/>
        <w:t>(c)</w:t>
      </w:r>
      <w:r>
        <w:tab/>
        <w:t>Schedule 1 item 33,</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16" w:name="_Toc84427939"/>
      <w:r>
        <w:rPr>
          <w:rStyle w:val="CharSectno"/>
        </w:rPr>
        <w:t>8BA</w:t>
      </w:r>
      <w:r>
        <w:rPr>
          <w:snapToGrid w:val="0"/>
        </w:rPr>
        <w:t>.</w:t>
      </w:r>
      <w:r>
        <w:rPr>
          <w:snapToGrid w:val="0"/>
        </w:rPr>
        <w:tab/>
        <w:t>Annual charges to Government trading organisations that supply water to lessees or ships</w:t>
      </w:r>
      <w:bookmarkEnd w:id="16"/>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lastRenderedPageBreak/>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rPr>
          <w:snapToGrid w:val="0"/>
        </w:rPr>
      </w:pPr>
      <w:bookmarkStart w:id="17" w:name="_Toc84427940"/>
      <w:r>
        <w:rPr>
          <w:rStyle w:val="CharSectno"/>
        </w:rPr>
        <w:t>9</w:t>
      </w:r>
      <w:r>
        <w:rPr>
          <w:snapToGrid w:val="0"/>
        </w:rPr>
        <w:t>.</w:t>
      </w:r>
      <w:r>
        <w:rPr>
          <w:snapToGrid w:val="0"/>
        </w:rPr>
        <w:tab/>
        <w:t>Interest on overdue amounts</w:t>
      </w:r>
      <w:bookmarkEnd w:id="17"/>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18" w:name="_Toc84427941"/>
      <w:r>
        <w:rPr>
          <w:rStyle w:val="CharSectno"/>
        </w:rPr>
        <w:lastRenderedPageBreak/>
        <w:t>9A</w:t>
      </w:r>
      <w:r>
        <w:rPr>
          <w:snapToGrid w:val="0"/>
        </w:rPr>
        <w:t>.</w:t>
      </w:r>
      <w:r>
        <w:rPr>
          <w:snapToGrid w:val="0"/>
        </w:rPr>
        <w:tab/>
        <w:t>Amounts rounded</w:t>
      </w:r>
      <w:bookmarkEnd w:id="18"/>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19" w:name="_Toc84427942"/>
      <w:r>
        <w:rPr>
          <w:rStyle w:val="CharSectno"/>
        </w:rPr>
        <w:t>9B</w:t>
      </w:r>
      <w:r>
        <w:t>.</w:t>
      </w:r>
      <w:r>
        <w:tab/>
        <w:t>Calculations, including maxima, for various GRV based charges</w:t>
      </w:r>
      <w:bookmarkEnd w:id="19"/>
    </w:p>
    <w:p>
      <w:pPr>
        <w:pStyle w:val="Subsection"/>
      </w:pPr>
      <w:r>
        <w:tab/>
        <w:t>(1)</w:t>
      </w:r>
      <w:r>
        <w:tab/>
        <w:t>Where a charge that is determined by reference to the GRV of the relevant land under Schedule 3 item 8 or 10, or Schedule 4 item 5, for the current year, is more than 13.6% greater than the charge calculated for the same service (and under the same circumstances) in the previous year, the charge is only payable up to that 13.6%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tab/>
        <w:t>(b)</w:t>
      </w:r>
      <w:r>
        <w:tab/>
        <w:t xml:space="preserve">the Corporation may estimate a notional charge for the previous year in respect of that property, being the charge that would have been payable for that year if the </w:t>
      </w:r>
      <w:r>
        <w:lastRenderedPageBreak/>
        <w:t>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 amended in Gazette 23 Jun 2011 p. 2417; 20 Jun 2012 p. 2697.]</w:t>
      </w:r>
    </w:p>
    <w:p>
      <w:pPr>
        <w:pStyle w:val="Heading2"/>
      </w:pPr>
      <w:bookmarkStart w:id="20" w:name="_Toc84427943"/>
      <w:r>
        <w:rPr>
          <w:rStyle w:val="CharPartNo"/>
        </w:rPr>
        <w:lastRenderedPageBreak/>
        <w:t>Part 2</w:t>
      </w:r>
      <w:r>
        <w:t> — </w:t>
      </w:r>
      <w:r>
        <w:rPr>
          <w:rStyle w:val="CharPartText"/>
        </w:rPr>
        <w:t>Water supply</w:t>
      </w:r>
      <w:bookmarkEnd w:id="20"/>
    </w:p>
    <w:p>
      <w:pPr>
        <w:pStyle w:val="Heading3"/>
        <w:rPr>
          <w:snapToGrid w:val="0"/>
          <w:spacing w:val="-4"/>
        </w:rPr>
      </w:pPr>
      <w:bookmarkStart w:id="21" w:name="_Toc84427944"/>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21"/>
    </w:p>
    <w:p>
      <w:pPr>
        <w:pStyle w:val="Heading5"/>
        <w:rPr>
          <w:snapToGrid w:val="0"/>
        </w:rPr>
      </w:pPr>
      <w:bookmarkStart w:id="22" w:name="_Toc84427945"/>
      <w:r>
        <w:rPr>
          <w:rStyle w:val="CharSectno"/>
        </w:rPr>
        <w:t>10</w:t>
      </w:r>
      <w:r>
        <w:rPr>
          <w:snapToGrid w:val="0"/>
        </w:rPr>
        <w:t>.</w:t>
      </w:r>
      <w:r>
        <w:rPr>
          <w:snapToGrid w:val="0"/>
        </w:rPr>
        <w:tab/>
        <w:t>Certain matters to be disregarded</w:t>
      </w:r>
      <w:bookmarkEnd w:id="22"/>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23" w:name="_Toc84427946"/>
      <w:r>
        <w:rPr>
          <w:rStyle w:val="CharSectno"/>
        </w:rPr>
        <w:t>11</w:t>
      </w:r>
      <w:r>
        <w:rPr>
          <w:snapToGrid w:val="0"/>
        </w:rPr>
        <w:t>.</w:t>
      </w:r>
      <w:r>
        <w:rPr>
          <w:snapToGrid w:val="0"/>
        </w:rPr>
        <w:tab/>
        <w:t>Land subject to water supply charges under this Division</w:t>
      </w:r>
      <w:bookmarkEnd w:id="23"/>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24" w:name="_Toc84427947"/>
      <w:r>
        <w:rPr>
          <w:rStyle w:val="CharSectno"/>
        </w:rPr>
        <w:t>12</w:t>
      </w:r>
      <w:r>
        <w:rPr>
          <w:snapToGrid w:val="0"/>
        </w:rPr>
        <w:t>.</w:t>
      </w:r>
      <w:r>
        <w:rPr>
          <w:snapToGrid w:val="0"/>
        </w:rPr>
        <w:tab/>
        <w:t>Exempt land</w:t>
      </w:r>
      <w:bookmarkEnd w:id="24"/>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lastRenderedPageBreak/>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w:t>
      </w:r>
      <w:r>
        <w:t xml:space="preserve"> to the extent set out in that Schedule</w:t>
      </w:r>
      <w:r>
        <w:rPr>
          <w:snapToGrid w:val="0"/>
        </w:rPr>
        <w:t xml:space="preserve">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 20 Jun 2012 p. 2697.]</w:t>
      </w:r>
    </w:p>
    <w:p>
      <w:pPr>
        <w:pStyle w:val="Heading5"/>
      </w:pPr>
      <w:bookmarkStart w:id="25" w:name="_Toc84427948"/>
      <w:r>
        <w:rPr>
          <w:rStyle w:val="CharSectno"/>
        </w:rPr>
        <w:t>13</w:t>
      </w:r>
      <w:r>
        <w:t>.</w:t>
      </w:r>
      <w:r>
        <w:tab/>
        <w:t>Classification of land</w:t>
      </w:r>
      <w:bookmarkEnd w:id="25"/>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lastRenderedPageBreak/>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bCs/>
          <w:i/>
          <w:iCs/>
        </w:rPr>
        <w:t>farm land</w:t>
      </w:r>
      <w:r>
        <w:t xml:space="preserve"> in the </w:t>
      </w:r>
      <w:r>
        <w:rPr>
          <w:i/>
          <w:iCs/>
        </w:rPr>
        <w:t>Country Areas Water Supply Act 1947</w:t>
      </w:r>
      <w:r>
        <w:t xml:space="preserve"> section 5(1) and is within 2.5 kilometres of a main or other pipe from which the Corporation is prepared to supply water to the land;</w:t>
      </w:r>
    </w:p>
    <w:p>
      <w:pPr>
        <w:pStyle w:val="Ednotepara"/>
      </w:pPr>
      <w:r>
        <w:tab/>
        <w:t>[(g)</w:t>
      </w:r>
      <w:r>
        <w:tab/>
        <w:t>deleted]</w:t>
      </w:r>
    </w:p>
    <w:p>
      <w:pPr>
        <w:pStyle w:val="Indenta"/>
      </w:pPr>
      <w:r>
        <w:tab/>
        <w:t>(h)</w:t>
      </w:r>
      <w:r>
        <w:tab/>
        <w:t>local government, if the land is not in the metropolitan area and is used by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 xml:space="preserve">community residential, if the land is occupied as a communal property on which several family units dwell </w:t>
      </w:r>
      <w:r>
        <w:lastRenderedPageBreak/>
        <w:t>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(m)</w:t>
      </w:r>
      <w:r>
        <w:tab/>
        <w:t>aged home, if the land is in the metropolitan area and the classification of the land is not otherwise specifically provided for in this by</w:t>
      </w:r>
      <w:r>
        <w:noBreakHyphen/>
        <w:t>law.</w:t>
      </w:r>
    </w:p>
    <w:p>
      <w:pPr>
        <w:pStyle w:val="Subsection"/>
      </w:pPr>
      <w:r>
        <w:tab/>
        <w:t>(2A)</w:t>
      </w:r>
      <w:r>
        <w:tab/>
        <w:t>For the purposes of this Division, land described in by</w:t>
      </w:r>
      <w:r>
        <w:noBreakHyphen/>
        <w:t xml:space="preserve">law 4 that is — </w:t>
      </w:r>
    </w:p>
    <w:p>
      <w:pPr>
        <w:pStyle w:val="Indenta"/>
      </w:pPr>
      <w:r>
        <w:tab/>
        <w:t>(a)</w:t>
      </w:r>
      <w:r>
        <w:tab/>
        <w:t xml:space="preserve">provided with a water supply connection; and </w:t>
      </w:r>
    </w:p>
    <w:p>
      <w:pPr>
        <w:pStyle w:val="Indenta"/>
      </w:pPr>
      <w:r>
        <w:tab/>
        <w:t>(b)</w:t>
      </w:r>
      <w:r>
        <w:tab/>
        <w:t>not otherwise classified under sub</w:t>
      </w:r>
      <w:r>
        <w:noBreakHyphen/>
        <w:t xml:space="preserve">bylaw (1), </w:t>
      </w:r>
    </w:p>
    <w:p>
      <w:pPr>
        <w:pStyle w:val="Subsection"/>
      </w:pPr>
      <w:r>
        <w:tab/>
      </w:r>
      <w:r>
        <w:tab/>
        <w:t>is classified as community purpose irrespective of any other classification under these by</w:t>
      </w:r>
      <w:r>
        <w:noBreakHyphen/>
        <w:t>laws.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36; and</w:t>
      </w:r>
    </w:p>
    <w:p>
      <w:pPr>
        <w:pStyle w:val="Indenta"/>
      </w:pPr>
      <w:r>
        <w:tab/>
        <w:t>(b)</w:t>
      </w:r>
      <w:r>
        <w:tab/>
        <w:t>the Corporation provides or is to provide works to ensure the supply of water to the land.</w:t>
      </w:r>
    </w:p>
    <w:p>
      <w:pPr>
        <w:pStyle w:val="Footnotesection"/>
      </w:pPr>
      <w:r>
        <w:lastRenderedPageBreak/>
        <w:tab/>
        <w:t>[By</w:t>
      </w:r>
      <w:r>
        <w:noBreakHyphen/>
        <w:t>law 13 inserted in Gazette 29 Jun 2007 p. 3247</w:t>
      </w:r>
      <w:r>
        <w:noBreakHyphen/>
        <w:t>8; amended in Gazette 19 Jun 2009 p. 2322; 25 Jun 2010 p. 2903; 20 Jun 2012 p. 2697</w:t>
      </w:r>
      <w:r>
        <w:noBreakHyphen/>
        <w:t xml:space="preserve">8.] </w:t>
      </w:r>
    </w:p>
    <w:p>
      <w:pPr>
        <w:pStyle w:val="Ednotesection"/>
      </w:pPr>
      <w:r>
        <w:t>[</w:t>
      </w:r>
      <w:r>
        <w:rPr>
          <w:b/>
        </w:rPr>
        <w:t>13A.</w:t>
      </w:r>
      <w:r>
        <w:tab/>
        <w:t>Deleted in Gazette 29 Jun 1988 p. 2113.]</w:t>
      </w:r>
    </w:p>
    <w:p>
      <w:pPr>
        <w:pStyle w:val="Heading5"/>
        <w:rPr>
          <w:snapToGrid w:val="0"/>
        </w:rPr>
      </w:pPr>
      <w:bookmarkStart w:id="26" w:name="_Toc84427949"/>
      <w:r>
        <w:rPr>
          <w:rStyle w:val="CharSectno"/>
        </w:rPr>
        <w:t>14</w:t>
      </w:r>
      <w:r>
        <w:rPr>
          <w:snapToGrid w:val="0"/>
        </w:rPr>
        <w:t>.</w:t>
      </w:r>
      <w:r>
        <w:rPr>
          <w:snapToGrid w:val="0"/>
        </w:rPr>
        <w:tab/>
        <w:t>Indexation of certain valuations</w:t>
      </w:r>
      <w:bookmarkEnd w:id="26"/>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Deleted in Gazette 1 Jul 2002 p. 3156.]</w:t>
      </w:r>
    </w:p>
    <w:p>
      <w:pPr>
        <w:pStyle w:val="Heading5"/>
        <w:rPr>
          <w:snapToGrid w:val="0"/>
        </w:rPr>
      </w:pPr>
      <w:bookmarkStart w:id="27" w:name="_Toc84427950"/>
      <w:r>
        <w:rPr>
          <w:rStyle w:val="CharSectno"/>
        </w:rPr>
        <w:t>16</w:t>
      </w:r>
      <w:r>
        <w:rPr>
          <w:snapToGrid w:val="0"/>
        </w:rPr>
        <w:t>.</w:t>
      </w:r>
      <w:r>
        <w:rPr>
          <w:snapToGrid w:val="0"/>
        </w:rPr>
        <w:tab/>
        <w:t>Discrete residential units</w:t>
      </w:r>
      <w:bookmarkEnd w:id="27"/>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28" w:name="_Toc84427951"/>
      <w:r>
        <w:rPr>
          <w:rStyle w:val="CharSectno"/>
        </w:rPr>
        <w:lastRenderedPageBreak/>
        <w:t>17</w:t>
      </w:r>
      <w:r>
        <w:rPr>
          <w:snapToGrid w:val="0"/>
        </w:rPr>
        <w:t>.</w:t>
      </w:r>
      <w:r>
        <w:rPr>
          <w:snapToGrid w:val="0"/>
        </w:rPr>
        <w:tab/>
        <w:t>Quantity charges for the supply of water</w:t>
      </w:r>
      <w:bookmarkEnd w:id="28"/>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29" w:name="_Toc84427952"/>
      <w:r>
        <w:rPr>
          <w:rStyle w:val="CharSectno"/>
        </w:rPr>
        <w:t>17A</w:t>
      </w:r>
      <w:r>
        <w:rPr>
          <w:snapToGrid w:val="0"/>
        </w:rPr>
        <w:t>.</w:t>
      </w:r>
      <w:r>
        <w:rPr>
          <w:snapToGrid w:val="0"/>
        </w:rPr>
        <w:tab/>
        <w:t>Caravan parks</w:t>
      </w:r>
      <w:bookmarkEnd w:id="29"/>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lastRenderedPageBreak/>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 xml:space="preserve">bylaws (1)(a) and (1)(b), except that the respective rates for residential quantity charges </w:t>
      </w:r>
      <w:r>
        <w:rPr>
          <w:snapToGrid w:val="0"/>
        </w:rPr>
        <w:lastRenderedPageBreak/>
        <w:t>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30" w:name="_Toc84427953"/>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30"/>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31" w:name="_Toc84427954"/>
      <w:r>
        <w:rPr>
          <w:rStyle w:val="CharSectno"/>
        </w:rPr>
        <w:lastRenderedPageBreak/>
        <w:t>17C</w:t>
      </w:r>
      <w:r>
        <w:t>.</w:t>
      </w:r>
      <w:r>
        <w:tab/>
        <w:t>Non</w:t>
      </w:r>
      <w:r>
        <w:noBreakHyphen/>
        <w:t>metropolitan, non</w:t>
      </w:r>
      <w:r>
        <w:noBreakHyphen/>
        <w:t>strata titled, Commercial or Industrial property water supply charges</w:t>
      </w:r>
      <w:bookmarkEnd w:id="31"/>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10(c) is more than 13.6% greater than the charge calculated for the same service (and under the same circumstances) in the previous year, the charge is only payable up to that 13.6%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 23 Jun 2011 p. 2418; 20 Jun 2012 p. 2698.]</w:t>
      </w:r>
    </w:p>
    <w:p>
      <w:pPr>
        <w:pStyle w:val="Heading5"/>
        <w:rPr>
          <w:snapToGrid w:val="0"/>
        </w:rPr>
      </w:pPr>
      <w:bookmarkStart w:id="32" w:name="_Toc84427955"/>
      <w:r>
        <w:rPr>
          <w:rStyle w:val="CharSectno"/>
        </w:rPr>
        <w:t>17D</w:t>
      </w:r>
      <w:r>
        <w:rPr>
          <w:snapToGrid w:val="0"/>
        </w:rPr>
        <w:t>.</w:t>
      </w:r>
      <w:r>
        <w:rPr>
          <w:snapToGrid w:val="0"/>
        </w:rPr>
        <w:tab/>
        <w:t>Various non</w:t>
      </w:r>
      <w:r>
        <w:rPr>
          <w:snapToGrid w:val="0"/>
        </w:rPr>
        <w:noBreakHyphen/>
        <w:t>metropolitan water supply charges and classifications</w:t>
      </w:r>
      <w:bookmarkEnd w:id="32"/>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lastRenderedPageBreak/>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33" w:name="_Toc84427956"/>
      <w:r>
        <w:rPr>
          <w:rStyle w:val="CharSectno"/>
        </w:rPr>
        <w:t>18</w:t>
      </w:r>
      <w:r>
        <w:rPr>
          <w:snapToGrid w:val="0"/>
        </w:rPr>
        <w:t>.</w:t>
      </w:r>
      <w:r>
        <w:rPr>
          <w:snapToGrid w:val="0"/>
        </w:rPr>
        <w:tab/>
        <w:t>Concessional non</w:t>
      </w:r>
      <w:r>
        <w:rPr>
          <w:snapToGrid w:val="0"/>
        </w:rPr>
        <w:noBreakHyphen/>
        <w:t>metropolitan quantity charge</w:t>
      </w:r>
      <w:bookmarkEnd w:id="33"/>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 xml:space="preserve">bylaw (3), the land was occupied by the person during the period to which the charge relates, </w:t>
      </w:r>
      <w:r>
        <w:rPr>
          <w:snapToGrid w:val="0"/>
        </w:rPr>
        <w:lastRenderedPageBreak/>
        <w:t>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2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120"/>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lastRenderedPageBreak/>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34" w:name="_Toc84427957"/>
      <w:r>
        <w:rPr>
          <w:rStyle w:val="CharSectno"/>
        </w:rPr>
        <w:t>18A</w:t>
      </w:r>
      <w:r>
        <w:rPr>
          <w:snapToGrid w:val="0"/>
        </w:rPr>
        <w:t>.</w:t>
      </w:r>
      <w:r>
        <w:rPr>
          <w:snapToGrid w:val="0"/>
        </w:rPr>
        <w:tab/>
        <w:t>Concessional metropolitan quantity charge</w:t>
      </w:r>
      <w:bookmarkEnd w:id="34"/>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 xml:space="preserve">law in respect of water supplied to any other land except where the portions of the periods to which the </w:t>
      </w:r>
      <w:r>
        <w:rPr>
          <w:snapToGrid w:val="0"/>
        </w:rPr>
        <w:lastRenderedPageBreak/>
        <w:t>respective concessions relate do not, to any extent, coincide.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35" w:name="_Toc84427958"/>
      <w:r>
        <w:rPr>
          <w:rStyle w:val="CharSectno"/>
        </w:rPr>
        <w:t>18B</w:t>
      </w:r>
      <w:r>
        <w:rPr>
          <w:snapToGrid w:val="0"/>
        </w:rPr>
        <w:t>.</w:t>
      </w:r>
      <w:r>
        <w:rPr>
          <w:snapToGrid w:val="0"/>
        </w:rPr>
        <w:tab/>
        <w:t>Residential multi</w:t>
      </w:r>
      <w:r>
        <w:rPr>
          <w:snapToGrid w:val="0"/>
        </w:rPr>
        <w:noBreakHyphen/>
        <w:t>unit properties — rebates for eligible pensioners</w:t>
      </w:r>
      <w:bookmarkEnd w:id="35"/>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lastRenderedPageBreak/>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lastRenderedPageBreak/>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36" w:name="_Toc84427959"/>
      <w:r>
        <w:rPr>
          <w:rStyle w:val="CharSectno"/>
        </w:rPr>
        <w:t>19A</w:t>
      </w:r>
      <w:r>
        <w:rPr>
          <w:snapToGrid w:val="0"/>
        </w:rPr>
        <w:t>.</w:t>
      </w:r>
      <w:r>
        <w:rPr>
          <w:snapToGrid w:val="0"/>
        </w:rPr>
        <w:tab/>
        <w:t>Capital infrastructure charges</w:t>
      </w:r>
      <w:bookmarkEnd w:id="36"/>
    </w:p>
    <w:p>
      <w:pPr>
        <w:pStyle w:val="Subsection"/>
        <w:rPr>
          <w:snapToGrid w:val="0"/>
        </w:rPr>
      </w:pPr>
      <w:r>
        <w:rPr>
          <w:snapToGrid w:val="0"/>
        </w:rPr>
        <w:tab/>
        <w:t>(1)</w:t>
      </w:r>
      <w:r>
        <w:rPr>
          <w:snapToGrid w:val="0"/>
        </w:rPr>
        <w:tab/>
        <w:t>In this by</w:t>
      </w:r>
      <w:r>
        <w:rPr>
          <w:snapToGrid w:val="0"/>
        </w:rPr>
        <w:noBreakHyphen/>
        <w:t>law —</w:t>
      </w:r>
    </w:p>
    <w:p>
      <w:pPr>
        <w:pStyle w:val="Defstart"/>
      </w:pPr>
      <w:r>
        <w:rPr>
          <w:b/>
        </w:rPr>
        <w:lastRenderedPageBreak/>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37" w:name="_Toc84427960"/>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37"/>
    </w:p>
    <w:p>
      <w:pPr>
        <w:pStyle w:val="Heading5"/>
        <w:rPr>
          <w:snapToGrid w:val="0"/>
        </w:rPr>
      </w:pPr>
      <w:bookmarkStart w:id="38" w:name="_Toc84427961"/>
      <w:r>
        <w:rPr>
          <w:rStyle w:val="CharSectno"/>
        </w:rPr>
        <w:t>20</w:t>
      </w:r>
      <w:r>
        <w:rPr>
          <w:snapToGrid w:val="0"/>
        </w:rPr>
        <w:t>.</w:t>
      </w:r>
      <w:r>
        <w:rPr>
          <w:snapToGrid w:val="0"/>
        </w:rPr>
        <w:tab/>
        <w:t>Land subject to water supply charges under this Division</w:t>
      </w:r>
      <w:bookmarkEnd w:id="38"/>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w:t>
      </w:r>
      <w:r>
        <w:rPr>
          <w:snapToGrid w:val="0"/>
        </w:rPr>
        <w:lastRenderedPageBreak/>
        <w:t xml:space="preserve">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deleted in Gazette 27 Jun 1997 p. 3180.]</w:t>
      </w:r>
    </w:p>
    <w:p>
      <w:pPr>
        <w:pStyle w:val="Heading2"/>
      </w:pPr>
      <w:bookmarkStart w:id="39" w:name="_Toc84427962"/>
      <w:r>
        <w:rPr>
          <w:rStyle w:val="CharPartNo"/>
        </w:rPr>
        <w:lastRenderedPageBreak/>
        <w:t>Part 3</w:t>
      </w:r>
      <w:r>
        <w:rPr>
          <w:rStyle w:val="CharDivNo"/>
        </w:rPr>
        <w:t> </w:t>
      </w:r>
      <w:r>
        <w:t>—</w:t>
      </w:r>
      <w:r>
        <w:rPr>
          <w:rStyle w:val="CharDivText"/>
        </w:rPr>
        <w:t> </w:t>
      </w:r>
      <w:r>
        <w:rPr>
          <w:rStyle w:val="CharPartText"/>
        </w:rPr>
        <w:t>Sewerage</w:t>
      </w:r>
      <w:bookmarkEnd w:id="39"/>
    </w:p>
    <w:p>
      <w:pPr>
        <w:pStyle w:val="Heading5"/>
      </w:pPr>
      <w:bookmarkStart w:id="40" w:name="_Toc84427963"/>
      <w:r>
        <w:rPr>
          <w:rStyle w:val="CharSectno"/>
        </w:rPr>
        <w:t>21A</w:t>
      </w:r>
      <w:r>
        <w:t>.</w:t>
      </w:r>
      <w:r>
        <w:tab/>
        <w:t>Terms used</w:t>
      </w:r>
      <w:bookmarkEnd w:id="40"/>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outlineLvl w:val="0"/>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41" w:name="_Toc84427964"/>
      <w:r>
        <w:rPr>
          <w:rStyle w:val="CharSectno"/>
        </w:rPr>
        <w:t>21</w:t>
      </w:r>
      <w:r>
        <w:rPr>
          <w:snapToGrid w:val="0"/>
        </w:rPr>
        <w:t>.</w:t>
      </w:r>
      <w:r>
        <w:rPr>
          <w:snapToGrid w:val="0"/>
        </w:rPr>
        <w:tab/>
        <w:t>Land subject to sewerage charges</w:t>
      </w:r>
      <w:bookmarkEnd w:id="41"/>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 xml:space="preserve">law 22, </w:t>
      </w:r>
      <w:r>
        <w:rPr>
          <w:snapToGrid w:val="0"/>
        </w:rPr>
        <w:lastRenderedPageBreak/>
        <w:t>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rPr>
          <w:snapToGrid w:val="0"/>
        </w:rPr>
      </w:pPr>
      <w:bookmarkStart w:id="42" w:name="_Toc84427965"/>
      <w:r>
        <w:rPr>
          <w:rStyle w:val="CharSectno"/>
        </w:rPr>
        <w:t>22</w:t>
      </w:r>
      <w:r>
        <w:rPr>
          <w:snapToGrid w:val="0"/>
        </w:rPr>
        <w:t>.</w:t>
      </w:r>
      <w:r>
        <w:rPr>
          <w:snapToGrid w:val="0"/>
        </w:rPr>
        <w:tab/>
        <w:t>Exempt land</w:t>
      </w:r>
      <w:bookmarkEnd w:id="42"/>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 to the extent set out in that Schedule.</w:t>
      </w:r>
    </w:p>
    <w:p>
      <w:pPr>
        <w:pStyle w:val="Footnotesection"/>
        <w:spacing w:before="100"/>
        <w:ind w:left="890" w:hanging="890"/>
      </w:pPr>
      <w:r>
        <w:tab/>
        <w:t>[By</w:t>
      </w:r>
      <w:r>
        <w:noBreakHyphen/>
        <w:t>law 22 amended in Gazette 29 Jun 2001 p. 3194; 20 Jun 2012 p. 2699.]</w:t>
      </w:r>
    </w:p>
    <w:p>
      <w:pPr>
        <w:pStyle w:val="Heading5"/>
        <w:rPr>
          <w:rStyle w:val="CharSectno"/>
        </w:rPr>
      </w:pPr>
      <w:bookmarkStart w:id="43" w:name="_Toc84427966"/>
      <w:r>
        <w:rPr>
          <w:rStyle w:val="CharSectno"/>
        </w:rPr>
        <w:t>23.</w:t>
      </w:r>
      <w:r>
        <w:rPr>
          <w:rStyle w:val="CharSectno"/>
        </w:rPr>
        <w:tab/>
        <w:t>Classification of land</w:t>
      </w:r>
      <w:bookmarkEnd w:id="43"/>
    </w:p>
    <w:p>
      <w:pPr>
        <w:pStyle w:val="Subsection"/>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spacing w:before="100"/>
      </w:pPr>
      <w:r>
        <w:tab/>
        <w:t>(a)</w:t>
      </w:r>
      <w:r>
        <w:tab/>
        <w:t>institutional public, if the land is used for such club, institutional or public purpose as the Corporation approves, not being a purpose mentioned in paragraph (b);</w:t>
      </w:r>
    </w:p>
    <w:p>
      <w:pPr>
        <w:pStyle w:val="Indenta"/>
        <w:spacing w:before="100"/>
      </w:pPr>
      <w:r>
        <w:tab/>
        <w:t>(b)</w:t>
      </w:r>
      <w:r>
        <w:tab/>
        <w:t xml:space="preserve">charitable purposes, if, in the opinion of the Corporation, the land is used for the purpose of — </w:t>
      </w:r>
    </w:p>
    <w:p>
      <w:pPr>
        <w:pStyle w:val="Indenti"/>
        <w:spacing w:before="100"/>
      </w:pPr>
      <w:r>
        <w:tab/>
        <w:t>(i)</w:t>
      </w:r>
      <w:r>
        <w:tab/>
        <w:t>providing relief or assistance to sick, aged, disadvantaged, unemployed or young persons; or</w:t>
      </w:r>
    </w:p>
    <w:p>
      <w:pPr>
        <w:pStyle w:val="Indenti"/>
        <w:spacing w:before="100"/>
      </w:pPr>
      <w:r>
        <w:tab/>
        <w:t>(ii)</w:t>
      </w:r>
      <w:r>
        <w:tab/>
        <w:t>conducting other activities for the benefit of the public or in the interests of social welfare,</w:t>
      </w:r>
    </w:p>
    <w:p>
      <w:pPr>
        <w:pStyle w:val="Indenta"/>
        <w:spacing w:before="100"/>
      </w:pPr>
      <w:r>
        <w:tab/>
      </w:r>
      <w:r>
        <w:tab/>
        <w:t>by a private organisation that is not operated for the purpose of profit or gain to individual members, shareholders or owners;</w:t>
      </w:r>
    </w:p>
    <w:p>
      <w:pPr>
        <w:pStyle w:val="Indenta"/>
        <w:spacing w:before="100"/>
      </w:pPr>
      <w:r>
        <w:tab/>
        <w:t>(c)</w:t>
      </w:r>
      <w:r>
        <w:tab/>
        <w:t xml:space="preserve">community residential, if the land is occupied as a communal property on which several family units dwell </w:t>
      </w:r>
      <w:r>
        <w:lastRenderedPageBreak/>
        <w:t>at the same time and is managed by the persons dwelling on the land or a committee of them;</w:t>
      </w:r>
    </w:p>
    <w:p>
      <w:pPr>
        <w:pStyle w:val="Indenta"/>
      </w:pPr>
      <w:r>
        <w:tab/>
        <w:t>(d)</w:t>
      </w:r>
      <w:r>
        <w:tab/>
        <w:t>local government, if the land is not in the metropolitan area and is used by the local government for business, professional, commercial or office purposes, or as a power station, and the classification of the land is not otherwise specifically provided for in this by</w:t>
      </w:r>
      <w:r>
        <w:noBreakHyphen/>
        <w:t>law;</w:t>
      </w:r>
    </w:p>
    <w:p>
      <w:pPr>
        <w:pStyle w:val="Indenta"/>
      </w:pPr>
      <w:r>
        <w:tab/>
        <w:t>(e)</w:t>
      </w:r>
      <w:r>
        <w:tab/>
        <w:t>aged home, if the land is in the metropolitan area and the classification of the land is not otherwise specifically provided for in this by</w:t>
      </w:r>
      <w:r>
        <w:noBreakHyphen/>
        <w:t>law,</w:t>
      </w:r>
    </w:p>
    <w:p>
      <w:pPr>
        <w:pStyle w:val="Subsection"/>
        <w:spacing w:before="120"/>
      </w:pPr>
      <w:r>
        <w:tab/>
      </w:r>
      <w:r>
        <w:tab/>
        <w:t>and, where it is not classified under paragraph (a), (b), (c), (d) or (e), shall be taken to have been classified as community purpose.</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20 Jun 2012 p. 2699.] </w:t>
      </w:r>
    </w:p>
    <w:p>
      <w:pPr>
        <w:pStyle w:val="Heading5"/>
        <w:rPr>
          <w:snapToGrid w:val="0"/>
        </w:rPr>
      </w:pPr>
      <w:bookmarkStart w:id="44" w:name="_Toc84427967"/>
      <w:r>
        <w:rPr>
          <w:rStyle w:val="CharSectno"/>
        </w:rPr>
        <w:t>24</w:t>
      </w:r>
      <w:r>
        <w:rPr>
          <w:snapToGrid w:val="0"/>
        </w:rPr>
        <w:t>.</w:t>
      </w:r>
      <w:r>
        <w:rPr>
          <w:snapToGrid w:val="0"/>
        </w:rPr>
        <w:tab/>
        <w:t>Indexation of certain valuations</w:t>
      </w:r>
      <w:bookmarkEnd w:id="44"/>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w:t>
      </w:r>
      <w:r>
        <w:rPr>
          <w:snapToGrid w:val="0"/>
        </w:rPr>
        <w:lastRenderedPageBreak/>
        <w:t>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Deleted in Gazette 1 Jul 2002 p. 3157.]</w:t>
      </w:r>
    </w:p>
    <w:p>
      <w:pPr>
        <w:pStyle w:val="Heading5"/>
        <w:rPr>
          <w:snapToGrid w:val="0"/>
        </w:rPr>
      </w:pPr>
      <w:bookmarkStart w:id="45" w:name="_Toc84427968"/>
      <w:r>
        <w:rPr>
          <w:rStyle w:val="CharSectno"/>
        </w:rPr>
        <w:t>25A</w:t>
      </w:r>
      <w:r>
        <w:rPr>
          <w:snapToGrid w:val="0"/>
        </w:rPr>
        <w:t>.</w:t>
      </w:r>
      <w:r>
        <w:rPr>
          <w:snapToGrid w:val="0"/>
        </w:rPr>
        <w:tab/>
        <w:t>Metered metropolitan non</w:t>
      </w:r>
      <w:r>
        <w:rPr>
          <w:snapToGrid w:val="0"/>
        </w:rPr>
        <w:noBreakHyphen/>
        <w:t>residential property sewerage charges</w:t>
      </w:r>
      <w:bookmarkEnd w:id="45"/>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lastRenderedPageBreak/>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lastRenderedPageBreak/>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13.6% </w:t>
      </w:r>
      <w:r>
        <w:rPr>
          <w:snapToGrid w:val="0"/>
        </w:rPr>
        <w:t xml:space="preserve">greater than the charge calculated for the same service (and under the same circumstances) in the previous year, the charge is only payable up to that </w:t>
      </w:r>
      <w:r>
        <w:t xml:space="preserve">13.6%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 23 Jun 2011 p. 2418; 20 Jun 2012 p. 2700.]</w:t>
      </w:r>
    </w:p>
    <w:p>
      <w:pPr>
        <w:pStyle w:val="Heading5"/>
        <w:keepLines w:val="0"/>
        <w:spacing w:before="180"/>
        <w:rPr>
          <w:snapToGrid w:val="0"/>
        </w:rPr>
      </w:pPr>
      <w:bookmarkStart w:id="46" w:name="_Toc84427969"/>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46"/>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lastRenderedPageBreak/>
        <w:tab/>
        <w:t>[By</w:t>
      </w:r>
      <w:r>
        <w:noBreakHyphen/>
        <w:t>law 25B inserted in Gazette 28 Jun 1996 p. 3111; amended in Gazette 27 Jun 1997 p. 3180 and 3203.]</w:t>
      </w:r>
    </w:p>
    <w:p>
      <w:pPr>
        <w:pStyle w:val="Heading5"/>
        <w:rPr>
          <w:snapToGrid w:val="0"/>
        </w:rPr>
      </w:pPr>
      <w:bookmarkStart w:id="47" w:name="_Toc84427970"/>
      <w:r>
        <w:rPr>
          <w:rStyle w:val="CharSectno"/>
        </w:rPr>
        <w:t>25C</w:t>
      </w:r>
      <w:r>
        <w:rPr>
          <w:snapToGrid w:val="0"/>
        </w:rPr>
        <w:t>.</w:t>
      </w:r>
      <w:r>
        <w:rPr>
          <w:snapToGrid w:val="0"/>
        </w:rPr>
        <w:tab/>
        <w:t>Charging for shared sewerage fixtures on metropolitan non</w:t>
      </w:r>
      <w:r>
        <w:rPr>
          <w:snapToGrid w:val="0"/>
        </w:rPr>
        <w:noBreakHyphen/>
        <w:t>residential property</w:t>
      </w:r>
      <w:bookmarkEnd w:id="47"/>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48" w:name="_Toc84427971"/>
      <w:r>
        <w:rPr>
          <w:rStyle w:val="CharSectno"/>
        </w:rPr>
        <w:t>26</w:t>
      </w:r>
      <w:r>
        <w:t>.</w:t>
      </w:r>
      <w:r>
        <w:tab/>
      </w:r>
      <w:r>
        <w:rPr>
          <w:snapToGrid w:val="0"/>
        </w:rPr>
        <w:t xml:space="preserve">Metered country </w:t>
      </w:r>
      <w:r>
        <w:t>non</w:t>
      </w:r>
      <w:r>
        <w:noBreakHyphen/>
        <w:t>residential or commercial residential</w:t>
      </w:r>
      <w:r>
        <w:rPr>
          <w:snapToGrid w:val="0"/>
        </w:rPr>
        <w:t xml:space="preserve"> property sewerage charges</w:t>
      </w:r>
      <w:bookmarkEnd w:id="48"/>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 xml:space="preserve">residential or commercial residential property for the whole or part of the current year was not so classified for the whole of the previous year, the Corporation may estimate a notional charge for the previous </w:t>
      </w:r>
      <w:r>
        <w:lastRenderedPageBreak/>
        <w:t>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lastRenderedPageBreak/>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r>
        <w:tab/>
        <w:t>[By</w:t>
      </w:r>
      <w:r>
        <w:noBreakHyphen/>
        <w:t>law 26 inserted in Gazette 27 Jun 2003 p. 2288-90; amended in Gazette 29 Jun 2007 p. 3253.]</w:t>
      </w:r>
    </w:p>
    <w:p>
      <w:pPr>
        <w:pStyle w:val="Heading5"/>
      </w:pPr>
      <w:bookmarkStart w:id="49" w:name="_Toc84427972"/>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49"/>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lastRenderedPageBreak/>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r>
        <w:tab/>
        <w:t>[By</w:t>
      </w:r>
      <w:r>
        <w:noBreakHyphen/>
        <w:t>law 26A inserted in Gazette 27 Jun 2003 p. 2290-1; amended in Gazette 29 Jun 2007 p. 3253.]</w:t>
      </w:r>
    </w:p>
    <w:p>
      <w:pPr>
        <w:pStyle w:val="Heading5"/>
      </w:pPr>
      <w:bookmarkStart w:id="50" w:name="_Toc84427973"/>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50"/>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51" w:name="_Toc84427974"/>
      <w:r>
        <w:rPr>
          <w:rStyle w:val="CharPartNo"/>
        </w:rPr>
        <w:lastRenderedPageBreak/>
        <w:t>Part 4</w:t>
      </w:r>
      <w:r>
        <w:rPr>
          <w:rStyle w:val="CharDivNo"/>
        </w:rPr>
        <w:t> </w:t>
      </w:r>
      <w:r>
        <w:t>—</w:t>
      </w:r>
      <w:r>
        <w:rPr>
          <w:rStyle w:val="CharDivText"/>
        </w:rPr>
        <w:t> </w:t>
      </w:r>
      <w:r>
        <w:rPr>
          <w:rStyle w:val="CharPartText"/>
        </w:rPr>
        <w:t>Drainage</w:t>
      </w:r>
      <w:bookmarkEnd w:id="51"/>
    </w:p>
    <w:p>
      <w:pPr>
        <w:pStyle w:val="Heading5"/>
        <w:rPr>
          <w:snapToGrid w:val="0"/>
        </w:rPr>
      </w:pPr>
      <w:bookmarkStart w:id="52" w:name="_Toc84427975"/>
      <w:r>
        <w:rPr>
          <w:rStyle w:val="CharSectno"/>
        </w:rPr>
        <w:t>27</w:t>
      </w:r>
      <w:r>
        <w:rPr>
          <w:snapToGrid w:val="0"/>
        </w:rPr>
        <w:t>.</w:t>
      </w:r>
      <w:r>
        <w:rPr>
          <w:snapToGrid w:val="0"/>
        </w:rPr>
        <w:tab/>
        <w:t>Land subject to drainage charges</w:t>
      </w:r>
      <w:bookmarkEnd w:id="52"/>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w:t>
      </w:r>
    </w:p>
    <w:p>
      <w:pPr>
        <w:pStyle w:val="Heading5"/>
        <w:rPr>
          <w:snapToGrid w:val="0"/>
        </w:rPr>
      </w:pPr>
      <w:bookmarkStart w:id="53" w:name="_Toc84427976"/>
      <w:r>
        <w:rPr>
          <w:rStyle w:val="CharSectno"/>
        </w:rPr>
        <w:t>28</w:t>
      </w:r>
      <w:r>
        <w:rPr>
          <w:snapToGrid w:val="0"/>
        </w:rPr>
        <w:t>.</w:t>
      </w:r>
      <w:r>
        <w:rPr>
          <w:snapToGrid w:val="0"/>
        </w:rPr>
        <w:tab/>
        <w:t>Exempt land</w:t>
      </w:r>
      <w:bookmarkEnd w:id="53"/>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lastRenderedPageBreak/>
        <w:tab/>
        <w:t>[By</w:t>
      </w:r>
      <w:r>
        <w:noBreakHyphen/>
        <w:t>law 28 amended in Gazette 29 Jun 2001 p. 3194; 27 Jun 2008 p. 2987.]</w:t>
      </w:r>
    </w:p>
    <w:p>
      <w:pPr>
        <w:pStyle w:val="Heading5"/>
      </w:pPr>
      <w:bookmarkStart w:id="54" w:name="_Toc84427977"/>
      <w:r>
        <w:rPr>
          <w:rStyle w:val="CharSectno"/>
        </w:rPr>
        <w:t>29</w:t>
      </w:r>
      <w:r>
        <w:t>.</w:t>
      </w:r>
      <w:r>
        <w:tab/>
        <w:t>Classification of land</w:t>
      </w:r>
      <w:bookmarkEnd w:id="54"/>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Ednotesection"/>
      </w:pPr>
      <w:r>
        <w:t>[</w:t>
      </w:r>
      <w:r>
        <w:rPr>
          <w:b/>
        </w:rPr>
        <w:t>30.</w:t>
      </w:r>
      <w:r>
        <w:tab/>
        <w:t>Deleted in Gazette 1 Jul 2002 p. 3157.]</w:t>
      </w:r>
    </w:p>
    <w:p>
      <w:pPr>
        <w:pStyle w:val="Heading2"/>
      </w:pPr>
      <w:bookmarkStart w:id="55" w:name="_Toc84427978"/>
      <w:r>
        <w:rPr>
          <w:rStyle w:val="CharPartNo"/>
        </w:rPr>
        <w:lastRenderedPageBreak/>
        <w:t>Part 5</w:t>
      </w:r>
      <w:r>
        <w:rPr>
          <w:rStyle w:val="CharDivNo"/>
        </w:rPr>
        <w:t> </w:t>
      </w:r>
      <w:r>
        <w:t>—</w:t>
      </w:r>
      <w:r>
        <w:rPr>
          <w:rStyle w:val="CharDivText"/>
        </w:rPr>
        <w:t> </w:t>
      </w:r>
      <w:r>
        <w:rPr>
          <w:rStyle w:val="CharPartText"/>
        </w:rPr>
        <w:t>Irrigation</w:t>
      </w:r>
      <w:bookmarkEnd w:id="55"/>
    </w:p>
    <w:p>
      <w:pPr>
        <w:pStyle w:val="Heading5"/>
        <w:rPr>
          <w:snapToGrid w:val="0"/>
        </w:rPr>
      </w:pPr>
      <w:bookmarkStart w:id="56" w:name="_Toc84427979"/>
      <w:r>
        <w:rPr>
          <w:rStyle w:val="CharSectno"/>
        </w:rPr>
        <w:t>31</w:t>
      </w:r>
      <w:r>
        <w:rPr>
          <w:snapToGrid w:val="0"/>
        </w:rPr>
        <w:t>.</w:t>
      </w:r>
      <w:r>
        <w:rPr>
          <w:snapToGrid w:val="0"/>
        </w:rPr>
        <w:tab/>
        <w:t>Land subject to irrigation charges</w:t>
      </w:r>
      <w:bookmarkEnd w:id="56"/>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57" w:name="_Toc84427980"/>
      <w:r>
        <w:rPr>
          <w:rStyle w:val="CharSectno"/>
        </w:rPr>
        <w:t>32</w:t>
      </w:r>
      <w:r>
        <w:rPr>
          <w:snapToGrid w:val="0"/>
        </w:rPr>
        <w:t>.</w:t>
      </w:r>
      <w:r>
        <w:rPr>
          <w:snapToGrid w:val="0"/>
        </w:rPr>
        <w:tab/>
        <w:t>Exempt land</w:t>
      </w:r>
      <w:bookmarkEnd w:id="57"/>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58" w:name="_Toc84427981"/>
      <w:r>
        <w:rPr>
          <w:rStyle w:val="CharSectno"/>
        </w:rPr>
        <w:t>33</w:t>
      </w:r>
      <w:r>
        <w:t>.</w:t>
      </w:r>
      <w:r>
        <w:tab/>
        <w:t>Charge options for land in Carnarvon Irrigation District</w:t>
      </w:r>
      <w:bookmarkEnd w:id="58"/>
    </w:p>
    <w:p>
      <w:pPr>
        <w:pStyle w:val="Subsection"/>
      </w:pPr>
      <w:r>
        <w:tab/>
        <w:t>(1)</w:t>
      </w:r>
      <w:r>
        <w:tab/>
        <w:t>In this by</w:t>
      </w:r>
      <w:r>
        <w:noBreakHyphen/>
        <w:t>law —</w:t>
      </w:r>
    </w:p>
    <w:p>
      <w:pPr>
        <w:pStyle w:val="Defstart"/>
      </w:pPr>
      <w:r>
        <w:tab/>
      </w:r>
      <w:r>
        <w:rPr>
          <w:rStyle w:val="CharDefText"/>
        </w:rPr>
        <w:t>customer</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lastRenderedPageBreak/>
        <w:tab/>
        <w:t>(2)</w:t>
      </w:r>
      <w:r>
        <w:tab/>
        <w:t>A customer is to select whether the charges for the supply to the land of water for irrigation purpose are to be made in accordance with —</w:t>
      </w:r>
    </w:p>
    <w:p>
      <w:pPr>
        <w:pStyle w:val="Indenta"/>
      </w:pPr>
      <w:r>
        <w:tab/>
        <w:t>(a)</w:t>
      </w:r>
      <w:r>
        <w:tab/>
        <w:t>Schedule 5 clause 1(1)(a) (</w:t>
      </w:r>
      <w:r>
        <w:rPr>
          <w:rStyle w:val="CharDefText"/>
        </w:rPr>
        <w:t>option A</w:t>
      </w:r>
      <w:r>
        <w:t>); or</w:t>
      </w:r>
    </w:p>
    <w:p>
      <w:pPr>
        <w:pStyle w:val="Indenta"/>
      </w:pPr>
      <w:r>
        <w:tab/>
        <w:t>(b)</w:t>
      </w:r>
      <w:r>
        <w:tab/>
        <w:t>Schedule 5 clause 1(1)(b) (</w:t>
      </w:r>
      <w:r>
        <w:rPr>
          <w:rStyle w:val="CharDefText"/>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deleted in Gazette 29 Jun 1989 p. 1871.]</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9" w:name="_Toc84427982"/>
      <w:r>
        <w:rPr>
          <w:rStyle w:val="CharSchNo"/>
        </w:rPr>
        <w:lastRenderedPageBreak/>
        <w:t>Schedule 1</w:t>
      </w:r>
      <w:r>
        <w:t> — </w:t>
      </w:r>
      <w:r>
        <w:rPr>
          <w:rStyle w:val="CharSchText"/>
        </w:rPr>
        <w:t xml:space="preserve">Charges for water supply other than under the </w:t>
      </w:r>
      <w:r>
        <w:rPr>
          <w:rStyle w:val="CharSchText"/>
          <w:i/>
        </w:rPr>
        <w:t>Rights in Water and Irrigation Act 1914</w:t>
      </w:r>
      <w:r>
        <w:rPr>
          <w:rStyle w:val="CharSchText"/>
        </w:rPr>
        <w:t xml:space="preserve"> for 2012/2013</w:t>
      </w:r>
      <w:bookmarkEnd w:id="59"/>
    </w:p>
    <w:p>
      <w:pPr>
        <w:pStyle w:val="yShoulderClause"/>
      </w:pPr>
      <w:r>
        <w:t xml:space="preserve">[bl. </w:t>
      </w:r>
      <w:r>
        <w:rPr>
          <w:snapToGrid w:val="0"/>
        </w:rPr>
        <w:t>11, 17B, 17C and 19A</w:t>
      </w:r>
      <w:r>
        <w:t>]</w:t>
      </w:r>
    </w:p>
    <w:p>
      <w:pPr>
        <w:pStyle w:val="yFootnoteheading"/>
        <w:spacing w:after="60"/>
      </w:pPr>
      <w:r>
        <w:tab/>
        <w:t>[Heading inserted in Gazette 20 Jun 2012 p. 2700.]</w:t>
      </w:r>
    </w:p>
    <w:p>
      <w:pPr>
        <w:pStyle w:val="yHeading3"/>
      </w:pPr>
      <w:bookmarkStart w:id="60" w:name="_Toc84427983"/>
      <w:r>
        <w:rPr>
          <w:rStyle w:val="CharSDivNo"/>
        </w:rPr>
        <w:t>Division 1</w:t>
      </w:r>
      <w:r>
        <w:rPr>
          <w:b w:val="0"/>
        </w:rPr>
        <w:t> — </w:t>
      </w:r>
      <w:r>
        <w:rPr>
          <w:rStyle w:val="CharSDivText"/>
        </w:rPr>
        <w:t>Fixed charges</w:t>
      </w:r>
      <w:bookmarkEnd w:id="60"/>
    </w:p>
    <w:p>
      <w:pPr>
        <w:pStyle w:val="yFootnoteheading"/>
        <w:spacing w:after="60"/>
      </w:pPr>
      <w:r>
        <w:tab/>
        <w:t>[Heading inserted in Gazette 20 Jun 2012 p. 2700.]</w:t>
      </w: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pPr>
            <w:r>
              <w:rPr>
                <w:b/>
                <w:bCs/>
              </w:rPr>
              <w:t>1.</w:t>
            </w:r>
          </w:p>
        </w:tc>
        <w:tc>
          <w:tcPr>
            <w:tcW w:w="4235" w:type="dxa"/>
          </w:tcPr>
          <w:p>
            <w:pPr>
              <w:pStyle w:val="yTableNAm"/>
              <w:tabs>
                <w:tab w:val="left" w:pos="1016"/>
                <w:tab w:val="left" w:pos="1323"/>
                <w:tab w:val="left" w:leader="dot" w:pos="4876"/>
              </w:tabs>
            </w:pPr>
            <w:r>
              <w:rPr>
                <w:b/>
                <w:bCs/>
              </w:rPr>
              <w:t>Residential</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right" w:leader="dot" w:pos="4019"/>
              </w:tabs>
            </w:pPr>
            <w:r>
              <w:t xml:space="preserve">In respect of each residential property, not being land mentioned in item 3, 4, 7, 8 or 9 </w:t>
            </w:r>
            <w:r>
              <w:tab/>
            </w:r>
          </w:p>
        </w:tc>
        <w:tc>
          <w:tcPr>
            <w:tcW w:w="1152" w:type="dxa"/>
            <w:vAlign w:val="bottom"/>
          </w:tcPr>
          <w:p>
            <w:pPr>
              <w:pStyle w:val="yTableNAm"/>
            </w:pPr>
            <w:r>
              <w:t>$188.10</w:t>
            </w:r>
          </w:p>
        </w:tc>
      </w:tr>
      <w:tr>
        <w:trPr>
          <w:cantSplit/>
        </w:trPr>
        <w:tc>
          <w:tcPr>
            <w:tcW w:w="850" w:type="dxa"/>
          </w:tcPr>
          <w:p>
            <w:pPr>
              <w:pStyle w:val="yTableNAm"/>
            </w:pPr>
            <w:r>
              <w:rPr>
                <w:b/>
                <w:bCs/>
              </w:rPr>
              <w:t>2.</w:t>
            </w:r>
          </w:p>
        </w:tc>
        <w:tc>
          <w:tcPr>
            <w:tcW w:w="4235" w:type="dxa"/>
          </w:tcPr>
          <w:p>
            <w:pPr>
              <w:pStyle w:val="yTableNAm"/>
              <w:tabs>
                <w:tab w:val="left" w:pos="1016"/>
                <w:tab w:val="left" w:pos="1323"/>
                <w:tab w:val="left" w:leader="dot" w:pos="4876"/>
              </w:tabs>
            </w:pPr>
            <w:r>
              <w:rPr>
                <w:b/>
                <w:bCs/>
              </w:rPr>
              <w:t>Metropolitan residential garden supply</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left" w:pos="1016"/>
                <w:tab w:val="left" w:pos="1323"/>
                <w:tab w:val="left" w:leader="dot" w:pos="4876"/>
              </w:tabs>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 xml:space="preserve">law 1.1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(a)</w:t>
            </w:r>
            <w:r>
              <w:tab/>
              <w:t>if the area of land is less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w:t>
            </w:r>
            <w:r>
              <w:tab/>
              <w:t>in the suburb of Butler</w:t>
            </w:r>
            <w:r>
              <w:tab/>
            </w:r>
          </w:p>
        </w:tc>
        <w:tc>
          <w:tcPr>
            <w:tcW w:w="1152" w:type="dxa"/>
            <w:vAlign w:val="bottom"/>
          </w:tcPr>
          <w:p>
            <w:pPr>
              <w:pStyle w:val="yTableNAm"/>
            </w:pPr>
            <w:r>
              <w:t>$74.00</w:t>
            </w: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(ii)</w:t>
            </w:r>
            <w:r>
              <w:tab/>
              <w:t>in the suburb of Baldivis</w:t>
            </w:r>
            <w:r>
              <w:tab/>
            </w:r>
          </w:p>
        </w:tc>
        <w:tc>
          <w:tcPr>
            <w:tcW w:w="1152" w:type="dxa"/>
            <w:vAlign w:val="bottom"/>
          </w:tcPr>
          <w:p>
            <w:pPr>
              <w:pStyle w:val="yTableNAm"/>
            </w:pPr>
            <w:r>
              <w:t>$119.30</w:t>
            </w: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w:t>
            </w:r>
            <w:r>
              <w:tab/>
              <w:t xml:space="preserve">in the suburb of Butler </w:t>
            </w:r>
            <w:r>
              <w:tab/>
            </w:r>
          </w:p>
        </w:tc>
        <w:tc>
          <w:tcPr>
            <w:tcW w:w="1152" w:type="dxa"/>
            <w:vAlign w:val="bottom"/>
          </w:tcPr>
          <w:p>
            <w:pPr>
              <w:pStyle w:val="yTableNAm"/>
            </w:pPr>
            <w:r>
              <w:t>$148.00</w:t>
            </w: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(ii)</w:t>
            </w:r>
            <w:r>
              <w:tab/>
              <w:t xml:space="preserve">in the suburb of Baldivis </w:t>
            </w:r>
            <w:r>
              <w:tab/>
            </w:r>
          </w:p>
        </w:tc>
        <w:tc>
          <w:tcPr>
            <w:tcW w:w="1152" w:type="dxa"/>
            <w:vAlign w:val="bottom"/>
          </w:tcPr>
          <w:p>
            <w:pPr>
              <w:pStyle w:val="yTableNAm"/>
            </w:pPr>
            <w:r>
              <w:t>$238.60</w:t>
            </w:r>
          </w:p>
        </w:tc>
      </w:tr>
      <w:tr>
        <w:trPr>
          <w:cantSplit/>
        </w:trPr>
        <w:tc>
          <w:tcPr>
            <w:tcW w:w="850" w:type="dxa"/>
          </w:tcPr>
          <w:p>
            <w:pPr>
              <w:pStyle w:val="yTableNAm"/>
            </w:pPr>
            <w:r>
              <w:rPr>
                <w:b/>
                <w:bCs/>
              </w:rPr>
              <w:t>3.</w:t>
            </w:r>
          </w:p>
        </w:tc>
        <w:tc>
          <w:tcPr>
            <w:tcW w:w="4235" w:type="dxa"/>
          </w:tcPr>
          <w:p>
            <w:pPr>
              <w:pStyle w:val="yTableNAm"/>
              <w:tabs>
                <w:tab w:val="left" w:pos="1016"/>
                <w:tab w:val="left" w:pos="1323"/>
                <w:tab w:val="left" w:leader="dot" w:pos="4876"/>
              </w:tabs>
            </w:pPr>
            <w:r>
              <w:rPr>
                <w:b/>
                <w:bCs/>
              </w:rPr>
              <w:t xml:space="preserve">Connected metropolitan exempt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left" w:pos="1016"/>
                <w:tab w:val="left" w:pos="1323"/>
                <w:tab w:val="left" w:leader="dot" w:pos="4876"/>
              </w:tabs>
            </w:pPr>
            <w:r>
              <w:t xml:space="preserve">In respect of land </w:t>
            </w:r>
            <w:r>
              <w:rPr>
                <w:szCs w:val="22"/>
              </w:rPr>
              <w:t>that is in the metropolitan area and is</w:t>
            </w:r>
            <w:r>
              <w:t xml:space="preserve">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(a)</w:t>
            </w:r>
            <w:r>
              <w:tab/>
              <w:t>described in by</w:t>
            </w:r>
            <w:r>
              <w:noBreakHyphen/>
              <w:t>law 4; or</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296"/>
                <w:tab w:val="left" w:pos="776"/>
              </w:tabs>
              <w:ind w:left="776" w:hanging="776"/>
            </w:pPr>
            <w:r>
              <w:tab/>
              <w:t>(b)</w:t>
            </w:r>
            <w:r>
              <w:tab/>
              <w:t>classified as aged home or charitable purposes,</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1016"/>
                <w:tab w:val="left" w:pos="1323"/>
                <w:tab w:val="left" w:leader="dot" w:pos="4876"/>
              </w:tabs>
            </w:pPr>
            <w:r>
              <w:rPr>
                <w:szCs w:val="22"/>
              </w:rPr>
              <w:t xml:space="preserve">a charge for each connection, not being a connection the subject of a charge under item 15, determined by meter size minus the discount as set out in the following Table — </w:t>
            </w:r>
          </w:p>
        </w:tc>
        <w:tc>
          <w:tcPr>
            <w:tcW w:w="1152" w:type="dxa"/>
            <w:vAlign w:val="bottom"/>
          </w:tcPr>
          <w:p>
            <w:pPr>
              <w:pStyle w:val="yTableNAm"/>
            </w:pPr>
          </w:p>
        </w:tc>
      </w:tr>
    </w:tbl>
    <w:p>
      <w:pPr>
        <w:pStyle w:val="yTHeadingNAm"/>
      </w:pPr>
      <w:r>
        <w:t>Table of meter</w:t>
      </w:r>
      <w:r>
        <w:noBreakHyphen/>
        <w:t>based fixed charges</w:t>
      </w:r>
    </w:p>
    <w:tbl>
      <w:tblPr>
        <w:tblW w:w="4281" w:type="pct"/>
        <w:jc w:val="center"/>
        <w:tblLook w:val="0000" w:firstRow="0" w:lastRow="0" w:firstColumn="0" w:lastColumn="0" w:noHBand="0" w:noVBand="0"/>
      </w:tblPr>
      <w:tblGrid>
        <w:gridCol w:w="2025"/>
        <w:gridCol w:w="2026"/>
        <w:gridCol w:w="2025"/>
      </w:tblGrid>
      <w:tr>
        <w:trPr>
          <w:cantSplit/>
          <w:tblHeader/>
          <w:jc w:val="center"/>
        </w:trPr>
        <w:tc>
          <w:tcPr>
            <w:tcW w:w="1667" w:type="pct"/>
            <w:tcBorders>
              <w:top w:val="single" w:sz="4" w:space="0" w:color="auto"/>
              <w:bottom w:val="single" w:sz="4" w:space="0" w:color="auto"/>
            </w:tcBorders>
          </w:tcPr>
          <w:p>
            <w:pPr>
              <w:pStyle w:val="yTableNAm"/>
              <w:jc w:val="center"/>
            </w:pPr>
            <w:r>
              <w:rPr>
                <w:b/>
                <w:bCs/>
              </w:rPr>
              <w:t>Meter size</w:t>
            </w:r>
            <w:r>
              <w:rPr>
                <w:b/>
                <w:bCs/>
              </w:rPr>
              <w:br/>
              <w:t>mm</w:t>
            </w:r>
          </w:p>
        </w:tc>
        <w:tc>
          <w:tcPr>
            <w:tcW w:w="1667" w:type="pct"/>
            <w:tcBorders>
              <w:top w:val="single" w:sz="4" w:space="0" w:color="auto"/>
              <w:bottom w:val="single" w:sz="4" w:space="0" w:color="auto"/>
            </w:tcBorders>
          </w:tcPr>
          <w:p>
            <w:pPr>
              <w:pStyle w:val="yTableNAm"/>
              <w:jc w:val="center"/>
            </w:pPr>
            <w:r>
              <w:rPr>
                <w:b/>
                <w:bCs/>
              </w:rPr>
              <w:t>Charge</w:t>
            </w:r>
            <w:r>
              <w:rPr>
                <w:b/>
                <w:bCs/>
              </w:rPr>
              <w:br/>
              <w:t>$</w:t>
            </w:r>
          </w:p>
        </w:tc>
        <w:tc>
          <w:tcPr>
            <w:tcW w:w="1666" w:type="pct"/>
            <w:tcBorders>
              <w:top w:val="single" w:sz="4" w:space="0" w:color="auto"/>
              <w:bottom w:val="single" w:sz="4" w:space="0" w:color="auto"/>
            </w:tcBorders>
          </w:tcPr>
          <w:p>
            <w:pPr>
              <w:pStyle w:val="yTableNAm"/>
              <w:jc w:val="center"/>
            </w:pPr>
            <w:r>
              <w:rPr>
                <w:b/>
                <w:bCs/>
              </w:rPr>
              <w:t>Discount</w:t>
            </w:r>
            <w:r>
              <w:rPr>
                <w:b/>
                <w:bCs/>
              </w:rPr>
              <w:br/>
              <w:t>%</w:t>
            </w:r>
          </w:p>
        </w:tc>
      </w:tr>
      <w:tr>
        <w:trPr>
          <w:cantSplit/>
          <w:jc w:val="center"/>
        </w:trPr>
        <w:tc>
          <w:tcPr>
            <w:tcW w:w="1667" w:type="pct"/>
          </w:tcPr>
          <w:p>
            <w:pPr>
              <w:pStyle w:val="yTableNAm"/>
              <w:jc w:val="center"/>
            </w:pPr>
            <w:r>
              <w:t>20</w:t>
            </w:r>
          </w:p>
        </w:tc>
        <w:tc>
          <w:tcPr>
            <w:tcW w:w="1667" w:type="pct"/>
            <w:vAlign w:val="bottom"/>
          </w:tcPr>
          <w:p>
            <w:pPr>
              <w:pStyle w:val="yTableNAm"/>
              <w:jc w:val="center"/>
            </w:pPr>
            <w:r>
              <w:t>188.10</w:t>
            </w:r>
          </w:p>
        </w:tc>
        <w:tc>
          <w:tcPr>
            <w:tcW w:w="1666" w:type="pct"/>
          </w:tcPr>
          <w:p>
            <w:pPr>
              <w:pStyle w:val="yTableNAm"/>
              <w:jc w:val="center"/>
            </w:pPr>
            <w:r>
              <w:t>100</w:t>
            </w:r>
          </w:p>
        </w:tc>
      </w:tr>
      <w:tr>
        <w:trPr>
          <w:cantSplit/>
          <w:jc w:val="center"/>
        </w:trPr>
        <w:tc>
          <w:tcPr>
            <w:tcW w:w="1667" w:type="pct"/>
          </w:tcPr>
          <w:p>
            <w:pPr>
              <w:pStyle w:val="yTableNAm"/>
              <w:jc w:val="center"/>
            </w:pPr>
            <w:r>
              <w:t>25</w:t>
            </w:r>
          </w:p>
        </w:tc>
        <w:tc>
          <w:tcPr>
            <w:tcW w:w="1667" w:type="pct"/>
            <w:vAlign w:val="bottom"/>
          </w:tcPr>
          <w:p>
            <w:pPr>
              <w:pStyle w:val="yTableNAm"/>
              <w:jc w:val="center"/>
            </w:pPr>
            <w:r>
              <w:t>293.90</w:t>
            </w:r>
          </w:p>
        </w:tc>
        <w:tc>
          <w:tcPr>
            <w:tcW w:w="1666" w:type="pct"/>
          </w:tcPr>
          <w:p>
            <w:pPr>
              <w:pStyle w:val="yTableNAm"/>
              <w:jc w:val="center"/>
            </w:pPr>
            <w:r>
              <w:t>100</w:t>
            </w:r>
          </w:p>
        </w:tc>
      </w:tr>
      <w:tr>
        <w:trPr>
          <w:cantSplit/>
          <w:jc w:val="center"/>
        </w:trPr>
        <w:tc>
          <w:tcPr>
            <w:tcW w:w="1667" w:type="pct"/>
          </w:tcPr>
          <w:p>
            <w:pPr>
              <w:pStyle w:val="yTableNAm"/>
              <w:jc w:val="center"/>
            </w:pPr>
            <w:r>
              <w:t>30</w:t>
            </w:r>
          </w:p>
        </w:tc>
        <w:tc>
          <w:tcPr>
            <w:tcW w:w="1667" w:type="pct"/>
            <w:vAlign w:val="bottom"/>
          </w:tcPr>
          <w:p>
            <w:pPr>
              <w:pStyle w:val="yTableNAm"/>
              <w:jc w:val="center"/>
            </w:pPr>
            <w:r>
              <w:t>423.20</w:t>
            </w:r>
          </w:p>
        </w:tc>
        <w:tc>
          <w:tcPr>
            <w:tcW w:w="1666" w:type="pct"/>
          </w:tcPr>
          <w:p>
            <w:pPr>
              <w:pStyle w:val="yTableNAm"/>
              <w:jc w:val="center"/>
            </w:pPr>
            <w:r>
              <w:t>100</w:t>
            </w:r>
          </w:p>
        </w:tc>
      </w:tr>
      <w:tr>
        <w:trPr>
          <w:cantSplit/>
          <w:jc w:val="center"/>
        </w:trPr>
        <w:tc>
          <w:tcPr>
            <w:tcW w:w="1667" w:type="pct"/>
          </w:tcPr>
          <w:p>
            <w:pPr>
              <w:pStyle w:val="yTableNAm"/>
              <w:jc w:val="center"/>
            </w:pPr>
            <w:r>
              <w:t>40</w:t>
            </w:r>
          </w:p>
        </w:tc>
        <w:tc>
          <w:tcPr>
            <w:tcW w:w="1667" w:type="pct"/>
            <w:vAlign w:val="bottom"/>
          </w:tcPr>
          <w:p>
            <w:pPr>
              <w:pStyle w:val="yTableNAm"/>
              <w:jc w:val="center"/>
            </w:pPr>
            <w:r>
              <w:t>752.40</w:t>
            </w:r>
          </w:p>
        </w:tc>
        <w:tc>
          <w:tcPr>
            <w:tcW w:w="1666" w:type="pct"/>
          </w:tcPr>
          <w:p>
            <w:pPr>
              <w:pStyle w:val="yTableNAm"/>
              <w:jc w:val="center"/>
            </w:pPr>
            <w:r>
              <w:t>100</w:t>
            </w:r>
          </w:p>
        </w:tc>
      </w:tr>
      <w:tr>
        <w:trPr>
          <w:cantSplit/>
          <w:jc w:val="center"/>
        </w:trPr>
        <w:tc>
          <w:tcPr>
            <w:tcW w:w="1667" w:type="pct"/>
          </w:tcPr>
          <w:p>
            <w:pPr>
              <w:pStyle w:val="yTableNAm"/>
              <w:jc w:val="center"/>
            </w:pPr>
            <w:r>
              <w:t>50</w:t>
            </w:r>
          </w:p>
        </w:tc>
        <w:tc>
          <w:tcPr>
            <w:tcW w:w="1667" w:type="pct"/>
            <w:vAlign w:val="bottom"/>
          </w:tcPr>
          <w:p>
            <w:pPr>
              <w:pStyle w:val="yTableNAm"/>
              <w:jc w:val="center"/>
            </w:pPr>
            <w:r>
              <w:t>1 175.60</w:t>
            </w:r>
          </w:p>
        </w:tc>
        <w:tc>
          <w:tcPr>
            <w:tcW w:w="1666" w:type="pct"/>
          </w:tcPr>
          <w:p>
            <w:pPr>
              <w:pStyle w:val="yTableNAm"/>
              <w:jc w:val="center"/>
            </w:pPr>
            <w:r>
              <w:t>100</w:t>
            </w:r>
          </w:p>
        </w:tc>
      </w:tr>
      <w:tr>
        <w:trPr>
          <w:cantSplit/>
          <w:jc w:val="center"/>
        </w:trPr>
        <w:tc>
          <w:tcPr>
            <w:tcW w:w="1667" w:type="pct"/>
          </w:tcPr>
          <w:p>
            <w:pPr>
              <w:pStyle w:val="yTableNAm"/>
              <w:jc w:val="center"/>
            </w:pPr>
            <w:r>
              <w:t>80</w:t>
            </w:r>
          </w:p>
        </w:tc>
        <w:tc>
          <w:tcPr>
            <w:tcW w:w="1667" w:type="pct"/>
            <w:vAlign w:val="bottom"/>
          </w:tcPr>
          <w:p>
            <w:pPr>
              <w:pStyle w:val="yTableNAm"/>
              <w:jc w:val="center"/>
            </w:pPr>
            <w:r>
              <w:t>3 009.60</w:t>
            </w:r>
          </w:p>
        </w:tc>
        <w:tc>
          <w:tcPr>
            <w:tcW w:w="1666" w:type="pct"/>
          </w:tcPr>
          <w:p>
            <w:pPr>
              <w:pStyle w:val="yTableNAm"/>
              <w:jc w:val="center"/>
            </w:pPr>
            <w:r>
              <w:t>100</w:t>
            </w:r>
          </w:p>
        </w:tc>
      </w:tr>
      <w:tr>
        <w:trPr>
          <w:cantSplit/>
          <w:jc w:val="center"/>
        </w:trPr>
        <w:tc>
          <w:tcPr>
            <w:tcW w:w="1667" w:type="pct"/>
          </w:tcPr>
          <w:p>
            <w:pPr>
              <w:pStyle w:val="yTableNAm"/>
              <w:jc w:val="center"/>
            </w:pPr>
            <w:r>
              <w:t>100</w:t>
            </w:r>
          </w:p>
        </w:tc>
        <w:tc>
          <w:tcPr>
            <w:tcW w:w="1667" w:type="pct"/>
            <w:vAlign w:val="bottom"/>
          </w:tcPr>
          <w:p>
            <w:pPr>
              <w:pStyle w:val="yTableNAm"/>
              <w:jc w:val="center"/>
            </w:pPr>
            <w:r>
              <w:t>4 702.50</w:t>
            </w:r>
          </w:p>
        </w:tc>
        <w:tc>
          <w:tcPr>
            <w:tcW w:w="1666" w:type="pct"/>
          </w:tcPr>
          <w:p>
            <w:pPr>
              <w:pStyle w:val="yTableNAm"/>
              <w:jc w:val="center"/>
            </w:pPr>
            <w:r>
              <w:t>100</w:t>
            </w:r>
          </w:p>
        </w:tc>
      </w:tr>
      <w:tr>
        <w:trPr>
          <w:cantSplit/>
          <w:jc w:val="center"/>
        </w:trPr>
        <w:tc>
          <w:tcPr>
            <w:tcW w:w="1667" w:type="pct"/>
          </w:tcPr>
          <w:p>
            <w:pPr>
              <w:pStyle w:val="yTableNAm"/>
              <w:jc w:val="center"/>
            </w:pPr>
            <w:r>
              <w:t>150</w:t>
            </w:r>
          </w:p>
        </w:tc>
        <w:tc>
          <w:tcPr>
            <w:tcW w:w="1667" w:type="pct"/>
            <w:vAlign w:val="bottom"/>
          </w:tcPr>
          <w:p>
            <w:pPr>
              <w:pStyle w:val="yTableNAm"/>
              <w:jc w:val="center"/>
            </w:pPr>
            <w:r>
              <w:t>10 580.60</w:t>
            </w:r>
          </w:p>
        </w:tc>
        <w:tc>
          <w:tcPr>
            <w:tcW w:w="1666" w:type="pct"/>
          </w:tcPr>
          <w:p>
            <w:pPr>
              <w:pStyle w:val="yTableNAm"/>
              <w:jc w:val="center"/>
            </w:pPr>
            <w:r>
              <w:t>100</w:t>
            </w:r>
          </w:p>
        </w:tc>
      </w:tr>
      <w:tr>
        <w:trPr>
          <w:cantSplit/>
          <w:jc w:val="center"/>
        </w:trPr>
        <w:tc>
          <w:tcPr>
            <w:tcW w:w="1667" w:type="pct"/>
          </w:tcPr>
          <w:p>
            <w:pPr>
              <w:pStyle w:val="yTableNAm"/>
              <w:jc w:val="center"/>
            </w:pPr>
            <w:r>
              <w:t>200</w:t>
            </w:r>
          </w:p>
        </w:tc>
        <w:tc>
          <w:tcPr>
            <w:tcW w:w="1667" w:type="pct"/>
            <w:vAlign w:val="bottom"/>
          </w:tcPr>
          <w:p>
            <w:pPr>
              <w:pStyle w:val="yTableNAm"/>
              <w:jc w:val="center"/>
            </w:pPr>
            <w:r>
              <w:t>18 810.00</w:t>
            </w:r>
          </w:p>
        </w:tc>
        <w:tc>
          <w:tcPr>
            <w:tcW w:w="1666" w:type="pct"/>
          </w:tcPr>
          <w:p>
            <w:pPr>
              <w:pStyle w:val="yTableNAm"/>
              <w:jc w:val="center"/>
            </w:pPr>
            <w:r>
              <w:t>100</w:t>
            </w:r>
          </w:p>
        </w:tc>
      </w:tr>
      <w:tr>
        <w:trPr>
          <w:cantSplit/>
          <w:jc w:val="center"/>
        </w:trPr>
        <w:tc>
          <w:tcPr>
            <w:tcW w:w="1667" w:type="pct"/>
          </w:tcPr>
          <w:p>
            <w:pPr>
              <w:pStyle w:val="yTableNAm"/>
              <w:jc w:val="center"/>
            </w:pPr>
            <w:r>
              <w:t>250</w:t>
            </w:r>
          </w:p>
        </w:tc>
        <w:tc>
          <w:tcPr>
            <w:tcW w:w="1667" w:type="pct"/>
            <w:vAlign w:val="bottom"/>
          </w:tcPr>
          <w:p>
            <w:pPr>
              <w:pStyle w:val="yTableNAm"/>
              <w:jc w:val="center"/>
            </w:pPr>
            <w:r>
              <w:t>29 390.60</w:t>
            </w:r>
          </w:p>
        </w:tc>
        <w:tc>
          <w:tcPr>
            <w:tcW w:w="1666" w:type="pct"/>
          </w:tcPr>
          <w:p>
            <w:pPr>
              <w:pStyle w:val="yTableNAm"/>
              <w:jc w:val="center"/>
            </w:pPr>
            <w:r>
              <w:t>100</w:t>
            </w:r>
          </w:p>
        </w:tc>
      </w:tr>
      <w:tr>
        <w:trPr>
          <w:cantSplit/>
          <w:jc w:val="center"/>
        </w:trPr>
        <w:tc>
          <w:tcPr>
            <w:tcW w:w="1667" w:type="pct"/>
          </w:tcPr>
          <w:p>
            <w:pPr>
              <w:pStyle w:val="yTableNAm"/>
              <w:jc w:val="center"/>
            </w:pPr>
            <w:r>
              <w:t>300</w:t>
            </w:r>
          </w:p>
        </w:tc>
        <w:tc>
          <w:tcPr>
            <w:tcW w:w="1667" w:type="pct"/>
            <w:vAlign w:val="bottom"/>
          </w:tcPr>
          <w:p>
            <w:pPr>
              <w:pStyle w:val="yTableNAm"/>
              <w:jc w:val="center"/>
            </w:pPr>
            <w:r>
              <w:t>42 322.50</w:t>
            </w:r>
          </w:p>
        </w:tc>
        <w:tc>
          <w:tcPr>
            <w:tcW w:w="1666" w:type="pct"/>
          </w:tcPr>
          <w:p>
            <w:pPr>
              <w:pStyle w:val="yTableNAm"/>
              <w:jc w:val="center"/>
            </w:pPr>
            <w:r>
              <w:t>100</w:t>
            </w:r>
          </w:p>
        </w:tc>
      </w:tr>
      <w:tr>
        <w:trPr>
          <w:cantSplit/>
          <w:jc w:val="center"/>
        </w:trPr>
        <w:tc>
          <w:tcPr>
            <w:tcW w:w="1667" w:type="pct"/>
            <w:tcBorders>
              <w:bottom w:val="single" w:sz="4" w:space="0" w:color="auto"/>
            </w:tcBorders>
          </w:tcPr>
          <w:p>
            <w:pPr>
              <w:pStyle w:val="yTableNAm"/>
              <w:jc w:val="center"/>
            </w:pPr>
            <w:r>
              <w:t>350</w:t>
            </w:r>
          </w:p>
        </w:tc>
        <w:tc>
          <w:tcPr>
            <w:tcW w:w="1667" w:type="pct"/>
            <w:tcBorders>
              <w:bottom w:val="single" w:sz="4" w:space="0" w:color="auto"/>
            </w:tcBorders>
            <w:vAlign w:val="bottom"/>
          </w:tcPr>
          <w:p>
            <w:pPr>
              <w:pStyle w:val="yTableNAm"/>
              <w:jc w:val="center"/>
            </w:pPr>
            <w:r>
              <w:t>57 605.60</w:t>
            </w:r>
          </w:p>
        </w:tc>
        <w:tc>
          <w:tcPr>
            <w:tcW w:w="1666" w:type="pct"/>
            <w:tcBorders>
              <w:bottom w:val="single" w:sz="4" w:space="0" w:color="auto"/>
            </w:tcBorders>
          </w:tcPr>
          <w:p>
            <w:pPr>
              <w:pStyle w:val="yTableNAm"/>
              <w:jc w:val="center"/>
            </w:pPr>
            <w:r>
              <w:t>100</w:t>
            </w:r>
          </w:p>
        </w:tc>
      </w:tr>
    </w:tbl>
    <w:p>
      <w:pPr>
        <w:pStyle w:val="yMiscellaneousBody"/>
      </w:pP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keepNext/>
            </w:pPr>
            <w:r>
              <w:rPr>
                <w:b/>
                <w:bCs/>
              </w:rPr>
              <w:lastRenderedPageBreak/>
              <w:t>4.</w:t>
            </w:r>
          </w:p>
        </w:tc>
        <w:tc>
          <w:tcPr>
            <w:tcW w:w="4235" w:type="dxa"/>
          </w:tcPr>
          <w:p>
            <w:pPr>
              <w:pStyle w:val="yTableNAm"/>
              <w:keepNext/>
              <w:tabs>
                <w:tab w:val="left" w:leader="dot" w:pos="4876"/>
              </w:tabs>
            </w:pPr>
            <w:r>
              <w:rPr>
                <w:b/>
                <w:bCs/>
              </w:rPr>
              <w:t>Strata</w:t>
            </w:r>
            <w:r>
              <w:rPr>
                <w:b/>
                <w:bCs/>
              </w:rPr>
              <w:noBreakHyphen/>
              <w:t>titled (or long</w:t>
            </w:r>
            <w:r>
              <w:rPr>
                <w:b/>
                <w:bCs/>
              </w:rPr>
              <w:noBreakHyphen/>
              <w:t>term residential) caravan bays</w:t>
            </w:r>
          </w:p>
        </w:tc>
        <w:tc>
          <w:tcPr>
            <w:tcW w:w="1152" w:type="dxa"/>
            <w:vAlign w:val="bottom"/>
          </w:tcPr>
          <w:p>
            <w:pPr>
              <w:pStyle w:val="yTableNAm"/>
              <w:keepNext/>
            </w:pPr>
          </w:p>
        </w:tc>
      </w:tr>
      <w:tr>
        <w:trPr>
          <w:cantSplit/>
        </w:trPr>
        <w:tc>
          <w:tcPr>
            <w:tcW w:w="850" w:type="dxa"/>
          </w:tcPr>
          <w:p>
            <w:pPr>
              <w:pStyle w:val="zyTableNAm"/>
              <w:keepNext/>
              <w:keepLines/>
            </w:pPr>
          </w:p>
        </w:tc>
        <w:tc>
          <w:tcPr>
            <w:tcW w:w="4235" w:type="dxa"/>
          </w:tcPr>
          <w:p>
            <w:pPr>
              <w:pStyle w:val="yTableNAm"/>
              <w:tabs>
                <w:tab w:val="clear" w:pos="567"/>
                <w:tab w:val="right" w:leader="dot" w:pos="4019"/>
              </w:tabs>
            </w:pPr>
            <w:r>
              <w:t xml:space="preserve">In respect of each caravan bay that is a residential property and a lot within the meaning of the </w:t>
            </w:r>
            <w:r>
              <w:rPr>
                <w:i/>
                <w:iCs/>
              </w:rPr>
              <w:t>Strata Titles Act 1985</w:t>
            </w:r>
            <w:r>
              <w:t>, or a caravan bay designated as a long</w:t>
            </w:r>
            <w:r>
              <w:noBreakHyphen/>
              <w:t xml:space="preserve">term residential caravan bay </w:t>
            </w:r>
            <w:r>
              <w:tab/>
            </w:r>
          </w:p>
        </w:tc>
        <w:tc>
          <w:tcPr>
            <w:tcW w:w="1152" w:type="dxa"/>
            <w:vAlign w:val="bottom"/>
          </w:tcPr>
          <w:p>
            <w:pPr>
              <w:pStyle w:val="yTableNAm"/>
            </w:pPr>
            <w:r>
              <w:t>$132.20</w:t>
            </w:r>
          </w:p>
        </w:tc>
      </w:tr>
      <w:tr>
        <w:trPr>
          <w:cantSplit/>
        </w:trPr>
        <w:tc>
          <w:tcPr>
            <w:tcW w:w="850" w:type="dxa"/>
          </w:tcPr>
          <w:p>
            <w:pPr>
              <w:pStyle w:val="yTableNAm"/>
            </w:pPr>
            <w:r>
              <w:rPr>
                <w:b/>
                <w:bCs/>
              </w:rPr>
              <w:t>5.</w:t>
            </w:r>
          </w:p>
        </w:tc>
        <w:tc>
          <w:tcPr>
            <w:tcW w:w="4235" w:type="dxa"/>
          </w:tcPr>
          <w:p>
            <w:pPr>
              <w:pStyle w:val="yTableNAm"/>
              <w:tabs>
                <w:tab w:val="left" w:leader="dot" w:pos="4876"/>
              </w:tabs>
            </w:pPr>
            <w:r>
              <w:rPr>
                <w:b/>
                <w:bCs/>
              </w:rPr>
              <w:t>Strata</w:t>
            </w:r>
            <w:r>
              <w:rPr>
                <w:b/>
                <w:bCs/>
              </w:rPr>
              <w:noBreakHyphen/>
              <w:t>titled storage unit and strata</w:t>
            </w:r>
            <w:r>
              <w:rPr>
                <w:b/>
                <w:bCs/>
              </w:rPr>
              <w:noBreakHyphen/>
              <w:t>titled parking bay</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right" w:leader="dot" w:pos="4019"/>
              </w:tabs>
            </w:pPr>
            <w:r>
              <w:t xml:space="preserve">In respect of land comprised in a unit used for storage purposes or as a parking bay that is a lot within the meaning of the </w:t>
            </w:r>
            <w:r>
              <w:rPr>
                <w:i/>
                <w:iCs/>
              </w:rPr>
              <w:t>Strata Titles Act 1985</w:t>
            </w:r>
            <w:r>
              <w:t xml:space="preserve"> </w:t>
            </w:r>
            <w:r>
              <w:tab/>
            </w:r>
          </w:p>
        </w:tc>
        <w:tc>
          <w:tcPr>
            <w:tcW w:w="1152" w:type="dxa"/>
            <w:vAlign w:val="bottom"/>
          </w:tcPr>
          <w:p>
            <w:pPr>
              <w:pStyle w:val="yTableNAm"/>
            </w:pPr>
            <w:r>
              <w:t>$66.20</w:t>
            </w:r>
          </w:p>
        </w:tc>
      </w:tr>
      <w:tr>
        <w:trPr>
          <w:cantSplit/>
        </w:trPr>
        <w:tc>
          <w:tcPr>
            <w:tcW w:w="850" w:type="dxa"/>
          </w:tcPr>
          <w:p>
            <w:pPr>
              <w:pStyle w:val="yTableNAm"/>
            </w:pPr>
            <w:r>
              <w:rPr>
                <w:b/>
                <w:bCs/>
              </w:rPr>
              <w:t>6.</w:t>
            </w:r>
          </w:p>
        </w:tc>
        <w:tc>
          <w:tcPr>
            <w:tcW w:w="4235" w:type="dxa"/>
          </w:tcPr>
          <w:p>
            <w:pPr>
              <w:pStyle w:val="yTableNAm"/>
              <w:tabs>
                <w:tab w:val="left" w:leader="dot" w:pos="4876"/>
              </w:tabs>
            </w:pPr>
            <w:r>
              <w:rPr>
                <w:b/>
                <w:bCs/>
              </w:rPr>
              <w:t>Non</w:t>
            </w:r>
            <w:r>
              <w:rPr>
                <w:b/>
                <w:bCs/>
              </w:rPr>
              <w:noBreakHyphen/>
              <w:t>residential strata</w:t>
            </w:r>
            <w:r>
              <w:rPr>
                <w:b/>
                <w:bCs/>
              </w:rPr>
              <w:noBreakHyphen/>
              <w:t>titled units that share a service</w:t>
            </w:r>
          </w:p>
        </w:tc>
        <w:tc>
          <w:tcPr>
            <w:tcW w:w="1152" w:type="dxa"/>
            <w:vAlign w:val="bottom"/>
          </w:tcPr>
          <w:p>
            <w:pPr>
              <w:pStyle w:val="yTableNAm"/>
            </w:pPr>
          </w:p>
        </w:tc>
      </w:tr>
      <w:tr>
        <w:trPr>
          <w:cantSplit/>
        </w:trPr>
        <w:tc>
          <w:tcPr>
            <w:tcW w:w="850" w:type="dxa"/>
          </w:tcPr>
          <w:p>
            <w:pPr>
              <w:pStyle w:val="zyTableNAm"/>
              <w:keepNext/>
            </w:pPr>
          </w:p>
        </w:tc>
        <w:tc>
          <w:tcPr>
            <w:tcW w:w="4235" w:type="dxa"/>
          </w:tcPr>
          <w:p>
            <w:pPr>
              <w:pStyle w:val="yTableNAm"/>
              <w:tabs>
                <w:tab w:val="left" w:leader="dot" w:pos="4876"/>
              </w:tabs>
            </w:pPr>
            <w:r>
              <w:t>In respect of land that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(a)</w:t>
            </w:r>
            <w:r>
              <w:tab/>
              <w:t>is not referred to in item 4 or 5; and</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(b)</w:t>
            </w:r>
            <w:r>
              <w:tab/>
              <w:t xml:space="preserve">comprises a unit that is a lot within the meaning of the </w:t>
            </w:r>
            <w:r>
              <w:rPr>
                <w:i/>
                <w:iCs/>
              </w:rPr>
              <w:t>Strata Titles Act 1985</w:t>
            </w:r>
            <w:r>
              <w:t>; and</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 w:val="right" w:leader="dot" w:pos="4020"/>
              </w:tabs>
              <w:ind w:left="776" w:hanging="776"/>
            </w:pPr>
            <w:r>
              <w:tab/>
              <w:t>(c)</w:t>
            </w:r>
            <w:r>
              <w:tab/>
              <w:t xml:space="preserve">shares a service with another unit described in paragraph (b) </w:t>
            </w:r>
            <w:r>
              <w:tab/>
            </w:r>
          </w:p>
        </w:tc>
        <w:tc>
          <w:tcPr>
            <w:tcW w:w="1152" w:type="dxa"/>
            <w:vAlign w:val="bottom"/>
          </w:tcPr>
          <w:p>
            <w:pPr>
              <w:pStyle w:val="yTableNAm"/>
            </w:pPr>
            <w:r>
              <w:t>$188.10</w:t>
            </w:r>
          </w:p>
        </w:tc>
      </w:tr>
    </w:tbl>
    <w:p>
      <w:pPr>
        <w:pStyle w:val="yHeading5"/>
        <w:tabs>
          <w:tab w:val="clear" w:pos="879"/>
        </w:tabs>
        <w:ind w:left="1400" w:hanging="868"/>
      </w:pPr>
      <w:bookmarkStart w:id="61" w:name="_Toc84427984"/>
      <w:r>
        <w:t>7.</w:t>
      </w:r>
      <w:r>
        <w:tab/>
        <w:t>Community residential</w:t>
      </w:r>
      <w:bookmarkEnd w:id="61"/>
    </w:p>
    <w:p>
      <w:pPr>
        <w:pStyle w:val="ySubsection"/>
        <w:tabs>
          <w:tab w:val="clear" w:pos="879"/>
        </w:tabs>
        <w:ind w:left="1400" w:hanging="908"/>
      </w:pPr>
      <w:r>
        <w:tab/>
      </w:r>
      <w:r>
        <w:tab/>
        <w:t>In respect of each discrete residential unit as determined under by</w:t>
      </w:r>
      <w:r>
        <w:noBreakHyphen/>
        <w:t xml:space="preserve">law 16 the charge payable in accordance with the following formula — </w:t>
      </w:r>
    </w:p>
    <w:p>
      <w:pPr>
        <w:pStyle w:val="ySubsection"/>
        <w:tabs>
          <w:tab w:val="clear" w:pos="879"/>
        </w:tabs>
        <w:ind w:left="1414" w:hanging="908"/>
      </w:pPr>
      <w:r>
        <w:rPr>
          <w:b/>
        </w:rPr>
        <w:tab/>
      </w:r>
      <w:r>
        <w:rPr>
          <w:b/>
        </w:rPr>
        <w:tab/>
        <w:t>A</w:t>
      </w:r>
      <w:r>
        <w:t xml:space="preserve"> </w:t>
      </w:r>
      <w:r>
        <w:sym w:font="Symbol" w:char="F02D"/>
      </w:r>
      <w:r>
        <w:t xml:space="preserve"> (</w:t>
      </w:r>
      <w:r>
        <w:rPr>
          <w:b/>
        </w:rPr>
        <w:t>A</w:t>
      </w:r>
      <w:r>
        <w:t xml:space="preserve"> </w:t>
      </w:r>
      <w:r>
        <w:sym w:font="Symbol" w:char="F0B4"/>
      </w:r>
      <w:r>
        <w:t xml:space="preserve"> </w:t>
      </w:r>
      <w:r>
        <w:rPr>
          <w:b/>
        </w:rPr>
        <w:t>B</w:t>
      </w:r>
      <w:r>
        <w:t>)</w:t>
      </w:r>
    </w:p>
    <w:p>
      <w:pPr>
        <w:pStyle w:val="ySubsection"/>
        <w:tabs>
          <w:tab w:val="clear" w:pos="879"/>
        </w:tabs>
        <w:ind w:left="1440" w:hanging="908"/>
      </w:pPr>
      <w:r>
        <w:tab/>
      </w:r>
      <w:r>
        <w:tab/>
        <w:t xml:space="preserve">where — </w:t>
      </w:r>
    </w:p>
    <w:p>
      <w:pPr>
        <w:pStyle w:val="yIndenta"/>
        <w:tabs>
          <w:tab w:val="clear" w:pos="1332"/>
          <w:tab w:val="clear" w:pos="1616"/>
          <w:tab w:val="left" w:pos="1680"/>
        </w:tabs>
        <w:ind w:left="1320" w:hanging="668"/>
      </w:pPr>
      <w:r>
        <w:rPr>
          <w:b/>
        </w:rPr>
        <w:tab/>
      </w:r>
      <w:r>
        <w:rPr>
          <w:b/>
        </w:rPr>
        <w:tab/>
        <w:t>A</w:t>
      </w:r>
      <w:r>
        <w:t xml:space="preserve"> =</w:t>
      </w:r>
      <w:r>
        <w:tab/>
        <w:t>$188.10;</w:t>
      </w:r>
    </w:p>
    <w:p>
      <w:pPr>
        <w:pStyle w:val="yIndenta"/>
        <w:tabs>
          <w:tab w:val="clear" w:pos="1332"/>
          <w:tab w:val="clear" w:pos="1616"/>
          <w:tab w:val="left" w:pos="1680"/>
        </w:tabs>
        <w:ind w:left="1560" w:hanging="908"/>
      </w:pPr>
      <w:r>
        <w:rPr>
          <w:b/>
        </w:rPr>
        <w:tab/>
      </w:r>
      <w:r>
        <w:rPr>
          <w:b/>
        </w:rPr>
        <w:tab/>
        <w:t>B</w:t>
      </w:r>
      <w:r>
        <w:t xml:space="preserve"> =</w:t>
      </w:r>
      <w:r>
        <w:tab/>
        <w:t>50%.</w:t>
      </w: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keepNext/>
            </w:pPr>
            <w:r>
              <w:rPr>
                <w:b/>
                <w:bCs/>
              </w:rPr>
              <w:lastRenderedPageBreak/>
              <w:t>8.</w:t>
            </w:r>
          </w:p>
        </w:tc>
        <w:tc>
          <w:tcPr>
            <w:tcW w:w="4235" w:type="dxa"/>
          </w:tcPr>
          <w:p>
            <w:pPr>
              <w:pStyle w:val="yTableNAm"/>
              <w:keepNext/>
              <w:tabs>
                <w:tab w:val="left" w:leader="dot" w:pos="4876"/>
              </w:tabs>
            </w:pPr>
            <w:r>
              <w:rPr>
                <w:b/>
                <w:bCs/>
              </w:rPr>
              <w:t>Semi</w:t>
            </w:r>
            <w:r>
              <w:rPr>
                <w:b/>
                <w:bCs/>
              </w:rPr>
              <w:noBreakHyphen/>
              <w:t>rural residential</w:t>
            </w:r>
          </w:p>
        </w:tc>
        <w:tc>
          <w:tcPr>
            <w:tcW w:w="1152" w:type="dxa"/>
            <w:vAlign w:val="bottom"/>
          </w:tcPr>
          <w:p>
            <w:pPr>
              <w:pStyle w:val="yTableNAm"/>
              <w:keepNext/>
            </w:pPr>
          </w:p>
        </w:tc>
      </w:tr>
      <w:tr>
        <w:trPr>
          <w:cantSplit/>
        </w:trPr>
        <w:tc>
          <w:tcPr>
            <w:tcW w:w="850" w:type="dxa"/>
          </w:tcPr>
          <w:p>
            <w:pPr>
              <w:pStyle w:val="zyTableNAm"/>
              <w:keepNext/>
              <w:keepLines/>
            </w:pPr>
          </w:p>
        </w:tc>
        <w:tc>
          <w:tcPr>
            <w:tcW w:w="4235" w:type="dxa"/>
          </w:tcPr>
          <w:p>
            <w:pPr>
              <w:pStyle w:val="yTableNAm"/>
              <w:tabs>
                <w:tab w:val="clear" w:pos="567"/>
                <w:tab w:val="right" w:leader="dot" w:pos="4019"/>
              </w:tabs>
            </w:pPr>
            <w:r>
              <w:t>In respect of each semi</w:t>
            </w:r>
            <w:r>
              <w:noBreakHyphen/>
              <w:t xml:space="preserve">rural residential property not being land mentioned in item 3 </w:t>
            </w:r>
            <w:r>
              <w:tab/>
            </w:r>
          </w:p>
        </w:tc>
        <w:tc>
          <w:tcPr>
            <w:tcW w:w="1152" w:type="dxa"/>
            <w:vAlign w:val="bottom"/>
          </w:tcPr>
          <w:p>
            <w:pPr>
              <w:pStyle w:val="yTableNAm"/>
            </w:pPr>
            <w:r>
              <w:t>$188.10</w:t>
            </w:r>
          </w:p>
        </w:tc>
      </w:tr>
      <w:tr>
        <w:trPr>
          <w:cantSplit/>
        </w:trPr>
        <w:tc>
          <w:tcPr>
            <w:tcW w:w="850" w:type="dxa"/>
          </w:tcPr>
          <w:p>
            <w:pPr>
              <w:pStyle w:val="yTableNAm"/>
            </w:pPr>
            <w:r>
              <w:rPr>
                <w:b/>
                <w:bCs/>
              </w:rPr>
              <w:t>9.</w:t>
            </w:r>
          </w:p>
        </w:tc>
        <w:tc>
          <w:tcPr>
            <w:tcW w:w="4235" w:type="dxa"/>
          </w:tcPr>
          <w:p>
            <w:pPr>
              <w:pStyle w:val="yTableNAm"/>
              <w:tabs>
                <w:tab w:val="left" w:leader="dot" w:pos="4876"/>
              </w:tabs>
            </w:pPr>
            <w:r>
              <w:rPr>
                <w:b/>
                <w:bCs/>
              </w:rPr>
              <w:t>Connected non</w:t>
            </w:r>
            <w:r>
              <w:rPr>
                <w:b/>
                <w:bCs/>
              </w:rPr>
              <w:noBreakHyphen/>
              <w:t>metropolitan exempt</w:t>
            </w:r>
          </w:p>
        </w:tc>
        <w:tc>
          <w:tcPr>
            <w:tcW w:w="1152" w:type="dxa"/>
            <w:vAlign w:val="bottom"/>
          </w:tcPr>
          <w:p>
            <w:pPr>
              <w:pStyle w:val="yTableNAm"/>
            </w:pPr>
          </w:p>
        </w:tc>
      </w:tr>
      <w:tr>
        <w:trPr>
          <w:cantSplit/>
        </w:trPr>
        <w:tc>
          <w:tcPr>
            <w:tcW w:w="850" w:type="dxa"/>
          </w:tcPr>
          <w:p>
            <w:pPr>
              <w:pStyle w:val="zyTableNAm"/>
              <w:keepLines/>
            </w:pPr>
          </w:p>
        </w:tc>
        <w:tc>
          <w:tcPr>
            <w:tcW w:w="4235" w:type="dxa"/>
          </w:tcPr>
          <w:p>
            <w:pPr>
              <w:pStyle w:val="yTableNAm"/>
              <w:tabs>
                <w:tab w:val="left" w:leader="dot" w:pos="4876"/>
              </w:tabs>
            </w:pPr>
            <w:r>
              <w:t xml:space="preserve">In respect of land — </w:t>
            </w:r>
          </w:p>
        </w:tc>
        <w:tc>
          <w:tcPr>
            <w:tcW w:w="1152" w:type="dxa"/>
            <w:vAlign w:val="bottom"/>
          </w:tcPr>
          <w:p>
            <w:pPr>
              <w:pStyle w:val="yTableNAm"/>
            </w:pPr>
          </w:p>
        </w:tc>
      </w:tr>
      <w:tr>
        <w:trPr>
          <w:cantSplit/>
        </w:trPr>
        <w:tc>
          <w:tcPr>
            <w:tcW w:w="850" w:type="dxa"/>
          </w:tcPr>
          <w:p>
            <w:pPr>
              <w:pStyle w:val="zyTableNAm"/>
              <w:keepLines/>
            </w:pPr>
          </w:p>
        </w:tc>
        <w:tc>
          <w:tcPr>
            <w:tcW w:w="4235" w:type="dxa"/>
          </w:tcPr>
          <w:p>
            <w:pPr>
              <w:pStyle w:val="yTableNAm"/>
              <w:tabs>
                <w:tab w:val="clear" w:pos="567"/>
                <w:tab w:val="left" w:pos="296"/>
                <w:tab w:val="left" w:pos="776"/>
              </w:tabs>
              <w:ind w:left="776" w:hanging="776"/>
            </w:pPr>
            <w:r>
              <w:tab/>
              <w:t>(a)</w:t>
            </w:r>
            <w:r>
              <w:tab/>
              <w:t>described in by</w:t>
            </w:r>
            <w:r>
              <w:noBreakHyphen/>
              <w:t>law 4 that is comprised in a residential property and is not in the metropolitan area;</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clear" w:pos="567"/>
                <w:tab w:val="left" w:pos="296"/>
                <w:tab w:val="left" w:pos="776"/>
              </w:tabs>
              <w:ind w:left="776" w:hanging="776"/>
            </w:pPr>
            <w:r>
              <w:tab/>
              <w:t>(b)</w:t>
            </w:r>
            <w:r>
              <w:tab/>
              <w:t>classified as local government, charitable purposes or institutional public that is neither in the metropolitan area or comprised in a residential property,</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left" w:leader="dot" w:pos="4876"/>
              </w:tabs>
            </w:pPr>
            <w:r>
              <w:rPr>
                <w:szCs w:val="22"/>
              </w:rPr>
              <w:t>a charge, not being a connection the subject of a charge under item 15, determined by meter size minus the discount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6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4"/>
        <w:gridCol w:w="2094"/>
        <w:gridCol w:w="2095"/>
      </w:tblGrid>
      <w:tr>
        <w:trPr>
          <w:cantSplit/>
          <w:tblHeader/>
          <w:jc w:val="center"/>
        </w:trPr>
        <w:tc>
          <w:tcPr>
            <w:tcW w:w="2094" w:type="dxa"/>
            <w:tcBorders>
              <w:top w:val="single" w:sz="4" w:space="0" w:color="auto"/>
              <w:left w:val="nil"/>
              <w:bottom w:val="single" w:sz="4" w:space="0" w:color="auto"/>
              <w:right w:val="nil"/>
            </w:tcBorders>
          </w:tcPr>
          <w:p>
            <w:pPr>
              <w:pStyle w:val="yTableNAm"/>
              <w:jc w:val="center"/>
            </w:pPr>
            <w:r>
              <w:rPr>
                <w:b/>
                <w:bCs/>
              </w:rPr>
              <w:t>Meter size</w:t>
            </w:r>
            <w:r>
              <w:rPr>
                <w:b/>
                <w:bCs/>
              </w:rPr>
              <w:br/>
              <w:t>mm</w:t>
            </w:r>
          </w:p>
        </w:tc>
        <w:tc>
          <w:tcPr>
            <w:tcW w:w="2094" w:type="dxa"/>
            <w:tcBorders>
              <w:top w:val="single" w:sz="4" w:space="0" w:color="auto"/>
              <w:left w:val="nil"/>
              <w:bottom w:val="single" w:sz="4" w:space="0" w:color="auto"/>
              <w:right w:val="nil"/>
            </w:tcBorders>
          </w:tcPr>
          <w:p>
            <w:pPr>
              <w:pStyle w:val="yTableNAm"/>
              <w:jc w:val="center"/>
            </w:pPr>
            <w:r>
              <w:rPr>
                <w:b/>
                <w:bCs/>
              </w:rPr>
              <w:t>Charge</w:t>
            </w:r>
            <w:r>
              <w:rPr>
                <w:b/>
                <w:bCs/>
              </w:rPr>
              <w:br/>
              <w:t>$</w:t>
            </w:r>
          </w:p>
        </w:tc>
        <w:tc>
          <w:tcPr>
            <w:tcW w:w="2095" w:type="dxa"/>
            <w:tcBorders>
              <w:top w:val="single" w:sz="4" w:space="0" w:color="auto"/>
              <w:left w:val="nil"/>
              <w:bottom w:val="single" w:sz="4" w:space="0" w:color="auto"/>
              <w:right w:val="nil"/>
            </w:tcBorders>
          </w:tcPr>
          <w:p>
            <w:pPr>
              <w:pStyle w:val="yTableNAm"/>
              <w:jc w:val="center"/>
            </w:pPr>
            <w:r>
              <w:rPr>
                <w:b/>
                <w:bCs/>
              </w:rPr>
              <w:t>Discount</w:t>
            </w:r>
            <w:r>
              <w:rPr>
                <w:b/>
                <w:bCs/>
              </w:rPr>
              <w:br/>
              <w:t>%</w:t>
            </w:r>
          </w:p>
        </w:tc>
      </w:tr>
      <w:tr>
        <w:trPr>
          <w:cantSplit/>
          <w:jc w:val="center"/>
        </w:trPr>
        <w:tc>
          <w:tcPr>
            <w:tcW w:w="2094" w:type="dxa"/>
            <w:tcBorders>
              <w:top w:val="nil"/>
              <w:left w:val="nil"/>
              <w:bottom w:val="nil"/>
              <w:right w:val="nil"/>
            </w:tcBorders>
          </w:tcPr>
          <w:p>
            <w:pPr>
              <w:pStyle w:val="yTableNAm"/>
              <w:jc w:val="center"/>
            </w:pPr>
            <w:r>
              <w:t>15, 20</w:t>
            </w:r>
          </w:p>
        </w:tc>
        <w:tc>
          <w:tcPr>
            <w:tcW w:w="2094" w:type="dxa"/>
            <w:tcBorders>
              <w:top w:val="nil"/>
              <w:left w:val="nil"/>
              <w:bottom w:val="nil"/>
              <w:right w:val="nil"/>
            </w:tcBorders>
            <w:vAlign w:val="bottom"/>
          </w:tcPr>
          <w:p>
            <w:pPr>
              <w:pStyle w:val="yTableNAm"/>
              <w:jc w:val="center"/>
            </w:pPr>
            <w:r>
              <w:t>188.10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nil"/>
              <w:right w:val="nil"/>
            </w:tcBorders>
          </w:tcPr>
          <w:p>
            <w:pPr>
              <w:pStyle w:val="yTableNAm"/>
              <w:jc w:val="center"/>
            </w:pPr>
            <w:r>
              <w:t>25</w:t>
            </w:r>
          </w:p>
        </w:tc>
        <w:tc>
          <w:tcPr>
            <w:tcW w:w="2094" w:type="dxa"/>
            <w:tcBorders>
              <w:top w:val="nil"/>
              <w:left w:val="nil"/>
              <w:bottom w:val="nil"/>
              <w:right w:val="nil"/>
            </w:tcBorders>
            <w:vAlign w:val="bottom"/>
          </w:tcPr>
          <w:p>
            <w:pPr>
              <w:pStyle w:val="yTableNAm"/>
              <w:jc w:val="center"/>
            </w:pPr>
            <w:r>
              <w:t>293.90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nil"/>
              <w:right w:val="nil"/>
            </w:tcBorders>
          </w:tcPr>
          <w:p>
            <w:pPr>
              <w:pStyle w:val="yTableNAm"/>
              <w:jc w:val="center"/>
            </w:pPr>
            <w:r>
              <w:t>30</w:t>
            </w:r>
          </w:p>
        </w:tc>
        <w:tc>
          <w:tcPr>
            <w:tcW w:w="2094" w:type="dxa"/>
            <w:tcBorders>
              <w:top w:val="nil"/>
              <w:left w:val="nil"/>
              <w:bottom w:val="nil"/>
              <w:right w:val="nil"/>
            </w:tcBorders>
            <w:vAlign w:val="bottom"/>
          </w:tcPr>
          <w:p>
            <w:pPr>
              <w:pStyle w:val="yTableNAm"/>
              <w:jc w:val="center"/>
            </w:pPr>
            <w:r>
              <w:t>423.20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nil"/>
              <w:right w:val="nil"/>
            </w:tcBorders>
          </w:tcPr>
          <w:p>
            <w:pPr>
              <w:pStyle w:val="yTableNAm"/>
              <w:jc w:val="center"/>
            </w:pPr>
            <w:r>
              <w:t>35, 38, 40</w:t>
            </w:r>
          </w:p>
        </w:tc>
        <w:tc>
          <w:tcPr>
            <w:tcW w:w="2094" w:type="dxa"/>
            <w:tcBorders>
              <w:top w:val="nil"/>
              <w:left w:val="nil"/>
              <w:bottom w:val="nil"/>
              <w:right w:val="nil"/>
            </w:tcBorders>
            <w:vAlign w:val="bottom"/>
          </w:tcPr>
          <w:p>
            <w:pPr>
              <w:pStyle w:val="yTableNAm"/>
              <w:jc w:val="center"/>
            </w:pPr>
            <w:r>
              <w:t>752.40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nil"/>
              <w:right w:val="nil"/>
            </w:tcBorders>
          </w:tcPr>
          <w:p>
            <w:pPr>
              <w:pStyle w:val="yTableNAm"/>
              <w:jc w:val="center"/>
            </w:pPr>
            <w:r>
              <w:t>50</w:t>
            </w:r>
          </w:p>
        </w:tc>
        <w:tc>
          <w:tcPr>
            <w:tcW w:w="2094" w:type="dxa"/>
            <w:tcBorders>
              <w:top w:val="nil"/>
              <w:left w:val="nil"/>
              <w:bottom w:val="nil"/>
              <w:right w:val="nil"/>
            </w:tcBorders>
            <w:vAlign w:val="bottom"/>
          </w:tcPr>
          <w:p>
            <w:pPr>
              <w:pStyle w:val="yTableNAm"/>
              <w:jc w:val="center"/>
            </w:pPr>
            <w:r>
              <w:t>1 175.60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nil"/>
              <w:right w:val="nil"/>
            </w:tcBorders>
          </w:tcPr>
          <w:p>
            <w:pPr>
              <w:pStyle w:val="yTableNAm"/>
              <w:jc w:val="center"/>
            </w:pPr>
            <w:r>
              <w:t>70, 75, 80</w:t>
            </w:r>
          </w:p>
        </w:tc>
        <w:tc>
          <w:tcPr>
            <w:tcW w:w="2094" w:type="dxa"/>
            <w:tcBorders>
              <w:top w:val="nil"/>
              <w:left w:val="nil"/>
              <w:bottom w:val="nil"/>
              <w:right w:val="nil"/>
            </w:tcBorders>
            <w:vAlign w:val="bottom"/>
          </w:tcPr>
          <w:p>
            <w:pPr>
              <w:pStyle w:val="yTableNAm"/>
              <w:jc w:val="center"/>
            </w:pPr>
            <w:r>
              <w:t>3 009.60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nil"/>
              <w:right w:val="nil"/>
            </w:tcBorders>
          </w:tcPr>
          <w:p>
            <w:pPr>
              <w:pStyle w:val="yTableNAm"/>
              <w:jc w:val="center"/>
            </w:pPr>
            <w:r>
              <w:t>100</w:t>
            </w:r>
          </w:p>
        </w:tc>
        <w:tc>
          <w:tcPr>
            <w:tcW w:w="2094" w:type="dxa"/>
            <w:tcBorders>
              <w:top w:val="nil"/>
              <w:left w:val="nil"/>
              <w:bottom w:val="nil"/>
              <w:right w:val="nil"/>
            </w:tcBorders>
            <w:vAlign w:val="bottom"/>
          </w:tcPr>
          <w:p>
            <w:pPr>
              <w:pStyle w:val="yTableNAm"/>
              <w:jc w:val="center"/>
            </w:pPr>
            <w:r>
              <w:t>4 702.50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single" w:sz="4" w:space="0" w:color="auto"/>
              <w:right w:val="nil"/>
            </w:tcBorders>
          </w:tcPr>
          <w:p>
            <w:pPr>
              <w:pStyle w:val="yTableNAm"/>
              <w:jc w:val="center"/>
            </w:pPr>
            <w:r>
              <w:t>140, 150</w:t>
            </w:r>
          </w:p>
        </w:tc>
        <w:tc>
          <w:tcPr>
            <w:tcW w:w="2094" w:type="dxa"/>
            <w:tcBorders>
              <w:top w:val="nil"/>
              <w:left w:val="nil"/>
              <w:bottom w:val="single" w:sz="4" w:space="0" w:color="auto"/>
              <w:right w:val="nil"/>
            </w:tcBorders>
            <w:vAlign w:val="bottom"/>
          </w:tcPr>
          <w:p>
            <w:pPr>
              <w:pStyle w:val="yTableNAm"/>
              <w:jc w:val="center"/>
            </w:pPr>
            <w:r>
              <w:t>10 580.60</w:t>
            </w:r>
          </w:p>
        </w:tc>
        <w:tc>
          <w:tcPr>
            <w:tcW w:w="2095" w:type="dxa"/>
            <w:tcBorders>
              <w:top w:val="nil"/>
              <w:left w:val="nil"/>
              <w:bottom w:val="single" w:sz="4" w:space="0" w:color="auto"/>
              <w:right w:val="nil"/>
            </w:tcBorders>
          </w:tcPr>
          <w:p>
            <w:pPr>
              <w:pStyle w:val="yTableNAm"/>
              <w:jc w:val="center"/>
            </w:pPr>
            <w:r>
              <w:t>100</w:t>
            </w:r>
          </w:p>
        </w:tc>
      </w:tr>
    </w:tbl>
    <w:p>
      <w:pPr>
        <w:pStyle w:val="yMiscellaneousBody"/>
      </w:pP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keepNext/>
            </w:pPr>
            <w:r>
              <w:rPr>
                <w:b/>
                <w:bCs/>
              </w:rPr>
              <w:lastRenderedPageBreak/>
              <w:t>10.</w:t>
            </w:r>
          </w:p>
        </w:tc>
        <w:tc>
          <w:tcPr>
            <w:tcW w:w="4235" w:type="dxa"/>
          </w:tcPr>
          <w:p>
            <w:pPr>
              <w:pStyle w:val="yTableNAm"/>
              <w:keepNext/>
              <w:tabs>
                <w:tab w:val="left" w:leader="dot" w:pos="4876"/>
              </w:tabs>
            </w:pPr>
            <w:r>
              <w:rPr>
                <w:b/>
                <w:bCs/>
              </w:rPr>
              <w:t>Non</w:t>
            </w:r>
            <w:r>
              <w:rPr>
                <w:b/>
                <w:bCs/>
              </w:rPr>
              <w:noBreakHyphen/>
              <w:t>metropolitan non</w:t>
            </w:r>
            <w:r>
              <w:rPr>
                <w:b/>
                <w:bCs/>
              </w:rPr>
              <w:noBreakHyphen/>
              <w:t>residential or commercial residential</w:t>
            </w:r>
          </w:p>
        </w:tc>
        <w:tc>
          <w:tcPr>
            <w:tcW w:w="1152" w:type="dxa"/>
            <w:vAlign w:val="bottom"/>
          </w:tcPr>
          <w:p>
            <w:pPr>
              <w:pStyle w:val="yTableNAm"/>
              <w:keepNext/>
            </w:pPr>
          </w:p>
        </w:tc>
      </w:tr>
      <w:tr>
        <w:trPr>
          <w:cantSplit/>
        </w:trPr>
        <w:tc>
          <w:tcPr>
            <w:tcW w:w="850" w:type="dxa"/>
          </w:tcPr>
          <w:p>
            <w:pPr>
              <w:pStyle w:val="zyTableNAm"/>
              <w:keepNext/>
              <w:keepLines/>
            </w:pPr>
          </w:p>
        </w:tc>
        <w:tc>
          <w:tcPr>
            <w:tcW w:w="4235" w:type="dxa"/>
          </w:tcPr>
          <w:p>
            <w:pPr>
              <w:pStyle w:val="yTableNAm"/>
              <w:tabs>
                <w:tab w:val="left" w:leader="dot" w:pos="4876"/>
              </w:tabs>
            </w:pPr>
            <w:r>
              <w:t>In respect of land that is neither in the metropolitan area nor comprised in a residential property, where the land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(a)</w:t>
            </w:r>
            <w:r>
              <w:tab/>
              <w:t>is classified as non</w:t>
            </w:r>
            <w:r>
              <w:noBreakHyphen/>
              <w:t xml:space="preserve">residential or commercial residential; and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(b)</w:t>
            </w:r>
            <w:r>
              <w:tab/>
              <w:t>is not mentioned in item 5 or 6,</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left" w:leader="dot" w:pos="4876"/>
              </w:tabs>
            </w:pPr>
            <w:r>
              <w:t>a charge payable for the relevant meter size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6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jc w:val="center"/>
        </w:trPr>
        <w:tc>
          <w:tcPr>
            <w:tcW w:w="3187" w:type="dxa"/>
            <w:tcBorders>
              <w:top w:val="single" w:sz="4" w:space="0" w:color="auto"/>
              <w:left w:val="nil"/>
              <w:bottom w:val="single" w:sz="4" w:space="0" w:color="auto"/>
              <w:right w:val="nil"/>
            </w:tcBorders>
          </w:tcPr>
          <w:p>
            <w:pPr>
              <w:pStyle w:val="yTableNAm"/>
              <w:jc w:val="cente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jc w:val="center"/>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pPr>
            <w:r>
              <w:t>188.10</w:t>
            </w:r>
          </w:p>
        </w:tc>
      </w:tr>
      <w:tr>
        <w:trPr>
          <w:cantSplit/>
          <w:jc w:val="center"/>
        </w:trPr>
        <w:tc>
          <w:tcPr>
            <w:tcW w:w="3187" w:type="dxa"/>
            <w:tcBorders>
              <w:top w:val="nil"/>
              <w:left w:val="nil"/>
              <w:bottom w:val="nil"/>
              <w:right w:val="nil"/>
            </w:tcBorders>
          </w:tcPr>
          <w:p>
            <w:pPr>
              <w:pStyle w:val="yTableNAm"/>
              <w:jc w:val="center"/>
            </w:pPr>
            <w:r>
              <w:t>25</w:t>
            </w:r>
          </w:p>
        </w:tc>
        <w:tc>
          <w:tcPr>
            <w:tcW w:w="3084" w:type="dxa"/>
            <w:tcBorders>
              <w:top w:val="nil"/>
              <w:left w:val="nil"/>
              <w:bottom w:val="nil"/>
              <w:right w:val="nil"/>
            </w:tcBorders>
            <w:vAlign w:val="bottom"/>
          </w:tcPr>
          <w:p>
            <w:pPr>
              <w:pStyle w:val="yTableNAm"/>
              <w:jc w:val="center"/>
            </w:pPr>
            <w:r>
              <w:t>293.90</w:t>
            </w:r>
          </w:p>
        </w:tc>
      </w:tr>
      <w:tr>
        <w:trPr>
          <w:cantSplit/>
          <w:jc w:val="center"/>
        </w:trPr>
        <w:tc>
          <w:tcPr>
            <w:tcW w:w="3187" w:type="dxa"/>
            <w:tcBorders>
              <w:top w:val="nil"/>
              <w:left w:val="nil"/>
              <w:bottom w:val="nil"/>
              <w:right w:val="nil"/>
            </w:tcBorders>
          </w:tcPr>
          <w:p>
            <w:pPr>
              <w:pStyle w:val="yTableNAm"/>
              <w:jc w:val="center"/>
            </w:pPr>
            <w:r>
              <w:t>30</w:t>
            </w:r>
          </w:p>
        </w:tc>
        <w:tc>
          <w:tcPr>
            <w:tcW w:w="3084" w:type="dxa"/>
            <w:tcBorders>
              <w:top w:val="nil"/>
              <w:left w:val="nil"/>
              <w:bottom w:val="nil"/>
              <w:right w:val="nil"/>
            </w:tcBorders>
            <w:vAlign w:val="bottom"/>
          </w:tcPr>
          <w:p>
            <w:pPr>
              <w:pStyle w:val="yTableNAm"/>
              <w:jc w:val="center"/>
            </w:pPr>
            <w:r>
              <w:t>423.20</w:t>
            </w:r>
          </w:p>
        </w:tc>
      </w:tr>
      <w:tr>
        <w:trPr>
          <w:cantSplit/>
          <w:jc w:val="center"/>
        </w:trPr>
        <w:tc>
          <w:tcPr>
            <w:tcW w:w="3187" w:type="dxa"/>
            <w:tcBorders>
              <w:top w:val="nil"/>
              <w:left w:val="nil"/>
              <w:bottom w:val="nil"/>
              <w:right w:val="nil"/>
            </w:tcBorders>
          </w:tcPr>
          <w:p>
            <w:pPr>
              <w:pStyle w:val="yTableNAm"/>
              <w:jc w:val="center"/>
            </w:pPr>
            <w:r>
              <w:t>35, 38, 40</w:t>
            </w:r>
          </w:p>
        </w:tc>
        <w:tc>
          <w:tcPr>
            <w:tcW w:w="3084" w:type="dxa"/>
            <w:tcBorders>
              <w:top w:val="nil"/>
              <w:left w:val="nil"/>
              <w:bottom w:val="nil"/>
              <w:right w:val="nil"/>
            </w:tcBorders>
            <w:vAlign w:val="bottom"/>
          </w:tcPr>
          <w:p>
            <w:pPr>
              <w:pStyle w:val="yTableNAm"/>
              <w:jc w:val="center"/>
            </w:pPr>
            <w:r>
              <w:t>752.40</w:t>
            </w:r>
          </w:p>
        </w:tc>
      </w:tr>
      <w:tr>
        <w:trPr>
          <w:cantSplit/>
          <w:jc w:val="center"/>
        </w:trPr>
        <w:tc>
          <w:tcPr>
            <w:tcW w:w="3187" w:type="dxa"/>
            <w:tcBorders>
              <w:top w:val="nil"/>
              <w:left w:val="nil"/>
              <w:bottom w:val="nil"/>
              <w:right w:val="nil"/>
            </w:tcBorders>
          </w:tcPr>
          <w:p>
            <w:pPr>
              <w:pStyle w:val="yTableNAm"/>
              <w:jc w:val="center"/>
            </w:pPr>
            <w:r>
              <w:t>50</w:t>
            </w:r>
          </w:p>
        </w:tc>
        <w:tc>
          <w:tcPr>
            <w:tcW w:w="3084" w:type="dxa"/>
            <w:tcBorders>
              <w:top w:val="nil"/>
              <w:left w:val="nil"/>
              <w:bottom w:val="nil"/>
              <w:right w:val="nil"/>
            </w:tcBorders>
            <w:vAlign w:val="bottom"/>
          </w:tcPr>
          <w:p>
            <w:pPr>
              <w:pStyle w:val="yTableNAm"/>
              <w:jc w:val="center"/>
            </w:pPr>
            <w:r>
              <w:t>1 175.60</w:t>
            </w:r>
          </w:p>
        </w:tc>
      </w:tr>
      <w:tr>
        <w:trPr>
          <w:cantSplit/>
          <w:jc w:val="center"/>
        </w:trPr>
        <w:tc>
          <w:tcPr>
            <w:tcW w:w="3187" w:type="dxa"/>
            <w:tcBorders>
              <w:top w:val="nil"/>
              <w:left w:val="nil"/>
              <w:bottom w:val="nil"/>
              <w:right w:val="nil"/>
            </w:tcBorders>
          </w:tcPr>
          <w:p>
            <w:pPr>
              <w:pStyle w:val="yTableNAm"/>
              <w:jc w:val="center"/>
            </w:pPr>
            <w:r>
              <w:t>70, 75, 80</w:t>
            </w:r>
          </w:p>
        </w:tc>
        <w:tc>
          <w:tcPr>
            <w:tcW w:w="3084" w:type="dxa"/>
            <w:tcBorders>
              <w:top w:val="nil"/>
              <w:left w:val="nil"/>
              <w:bottom w:val="nil"/>
              <w:right w:val="nil"/>
            </w:tcBorders>
            <w:vAlign w:val="bottom"/>
          </w:tcPr>
          <w:p>
            <w:pPr>
              <w:pStyle w:val="yTableNAm"/>
              <w:jc w:val="center"/>
            </w:pPr>
            <w:r>
              <w:t>3 009.60</w:t>
            </w:r>
          </w:p>
        </w:tc>
      </w:tr>
      <w:tr>
        <w:trPr>
          <w:cantSplit/>
          <w:jc w:val="center"/>
        </w:trPr>
        <w:tc>
          <w:tcPr>
            <w:tcW w:w="3187" w:type="dxa"/>
            <w:tcBorders>
              <w:top w:val="nil"/>
              <w:left w:val="nil"/>
              <w:bottom w:val="nil"/>
              <w:right w:val="nil"/>
            </w:tcBorders>
          </w:tcPr>
          <w:p>
            <w:pPr>
              <w:pStyle w:val="yTableNAm"/>
              <w:jc w:val="center"/>
            </w:pPr>
            <w:r>
              <w:t>100</w:t>
            </w:r>
          </w:p>
        </w:tc>
        <w:tc>
          <w:tcPr>
            <w:tcW w:w="3084" w:type="dxa"/>
            <w:tcBorders>
              <w:top w:val="nil"/>
              <w:left w:val="nil"/>
              <w:bottom w:val="nil"/>
              <w:right w:val="nil"/>
            </w:tcBorders>
            <w:vAlign w:val="bottom"/>
          </w:tcPr>
          <w:p>
            <w:pPr>
              <w:pStyle w:val="yTableNAm"/>
              <w:jc w:val="center"/>
            </w:pPr>
            <w:r>
              <w:t>4 702.50</w:t>
            </w:r>
          </w:p>
        </w:tc>
      </w:tr>
      <w:tr>
        <w:trPr>
          <w:cantSplit/>
          <w:jc w:val="center"/>
        </w:trPr>
        <w:tc>
          <w:tcPr>
            <w:tcW w:w="3187" w:type="dxa"/>
            <w:tcBorders>
              <w:top w:val="nil"/>
              <w:left w:val="nil"/>
              <w:bottom w:val="single" w:sz="4" w:space="0" w:color="auto"/>
              <w:right w:val="nil"/>
            </w:tcBorders>
          </w:tcPr>
          <w:p>
            <w:pPr>
              <w:pStyle w:val="yTableNAm"/>
              <w:jc w:val="center"/>
            </w:pPr>
            <w:r>
              <w:t>140, 150</w:t>
            </w:r>
          </w:p>
        </w:tc>
        <w:tc>
          <w:tcPr>
            <w:tcW w:w="3084" w:type="dxa"/>
            <w:tcBorders>
              <w:top w:val="nil"/>
              <w:left w:val="nil"/>
              <w:bottom w:val="single" w:sz="4" w:space="0" w:color="auto"/>
              <w:right w:val="nil"/>
            </w:tcBorders>
            <w:vAlign w:val="bottom"/>
          </w:tcPr>
          <w:p>
            <w:pPr>
              <w:pStyle w:val="yTableNAm"/>
              <w:jc w:val="center"/>
            </w:pPr>
            <w:r>
              <w:t>10 580.60</w:t>
            </w:r>
          </w:p>
        </w:tc>
      </w:tr>
    </w:tbl>
    <w:p>
      <w:pPr>
        <w:pStyle w:val="yMiscellaneousBody"/>
      </w:pPr>
    </w:p>
    <w:tbl>
      <w:tblPr>
        <w:tblW w:w="6237" w:type="dxa"/>
        <w:tblInd w:w="534" w:type="dxa"/>
        <w:tblLayout w:type="fixed"/>
        <w:tblLook w:val="0000" w:firstRow="0" w:lastRow="0" w:firstColumn="0" w:lastColumn="0" w:noHBand="0" w:noVBand="0"/>
      </w:tblPr>
      <w:tblGrid>
        <w:gridCol w:w="850"/>
        <w:gridCol w:w="4235"/>
        <w:gridCol w:w="1152"/>
      </w:tblGrid>
      <w:tr>
        <w:trPr>
          <w:cantSplit/>
        </w:trPr>
        <w:tc>
          <w:tcPr>
            <w:tcW w:w="850" w:type="dxa"/>
          </w:tcPr>
          <w:p>
            <w:pPr>
              <w:pStyle w:val="yTableNAm"/>
            </w:pPr>
            <w:r>
              <w:rPr>
                <w:b/>
                <w:bCs/>
              </w:rPr>
              <w:t>11.</w:t>
            </w:r>
          </w:p>
        </w:tc>
        <w:tc>
          <w:tcPr>
            <w:tcW w:w="4235" w:type="dxa"/>
          </w:tcPr>
          <w:p>
            <w:pPr>
              <w:pStyle w:val="yTableNAm"/>
              <w:tabs>
                <w:tab w:val="left" w:leader="dot" w:pos="4876"/>
              </w:tabs>
            </w:pPr>
            <w:r>
              <w:rPr>
                <w:b/>
                <w:bCs/>
              </w:rPr>
              <w:t>Stock</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right" w:leader="dot" w:pos="4019"/>
              </w:tabs>
            </w:pPr>
            <w:r>
              <w:t xml:space="preserve">For the supply of water for the purpose of watering stock on land that is not the subject of a charge under item 10 </w:t>
            </w:r>
            <w:r>
              <w:tab/>
            </w:r>
          </w:p>
        </w:tc>
        <w:tc>
          <w:tcPr>
            <w:tcW w:w="1152" w:type="dxa"/>
            <w:vAlign w:val="bottom"/>
          </w:tcPr>
          <w:p>
            <w:pPr>
              <w:pStyle w:val="yTableNAm"/>
            </w:pPr>
            <w:r>
              <w:t>$188.10</w:t>
            </w:r>
          </w:p>
        </w:tc>
      </w:tr>
      <w:tr>
        <w:trPr>
          <w:cantSplit/>
        </w:trPr>
        <w:tc>
          <w:tcPr>
            <w:tcW w:w="850" w:type="dxa"/>
          </w:tcPr>
          <w:p>
            <w:pPr>
              <w:pStyle w:val="yTableNAm"/>
              <w:keepNext/>
            </w:pPr>
            <w:r>
              <w:rPr>
                <w:b/>
                <w:bCs/>
              </w:rPr>
              <w:lastRenderedPageBreak/>
              <w:t>12.</w:t>
            </w:r>
          </w:p>
        </w:tc>
        <w:tc>
          <w:tcPr>
            <w:tcW w:w="4235" w:type="dxa"/>
          </w:tcPr>
          <w:p>
            <w:pPr>
              <w:pStyle w:val="yTableNAm"/>
              <w:keepNext/>
              <w:tabs>
                <w:tab w:val="left" w:leader="dot" w:pos="4876"/>
              </w:tabs>
            </w:pPr>
            <w:r>
              <w:rPr>
                <w:b/>
                <w:bCs/>
              </w:rPr>
              <w:t>Additional connections</w:t>
            </w:r>
          </w:p>
        </w:tc>
        <w:tc>
          <w:tcPr>
            <w:tcW w:w="1152" w:type="dxa"/>
            <w:vAlign w:val="bottom"/>
          </w:tcPr>
          <w:p>
            <w:pPr>
              <w:pStyle w:val="yTableNAm"/>
              <w:keepNext/>
            </w:pPr>
          </w:p>
        </w:tc>
      </w:tr>
      <w:tr>
        <w:trPr>
          <w:cantSplit/>
        </w:trPr>
        <w:tc>
          <w:tcPr>
            <w:tcW w:w="850" w:type="dxa"/>
          </w:tcPr>
          <w:p>
            <w:pPr>
              <w:pStyle w:val="zyTableNAm"/>
              <w:keepNext/>
              <w:keepLines/>
            </w:pPr>
          </w:p>
        </w:tc>
        <w:tc>
          <w:tcPr>
            <w:tcW w:w="4235" w:type="dxa"/>
          </w:tcPr>
          <w:p>
            <w:pPr>
              <w:pStyle w:val="yTableNAm"/>
              <w:tabs>
                <w:tab w:val="left" w:leader="dot" w:pos="4876"/>
              </w:tabs>
            </w:pPr>
            <w:r>
              <w:t>Other than land described in items 3 and 9, where water is supplied to land through more than one water supply connection, for each additional connection, not being a connection the subject of a charge under item 15 or a connection for a water supply the subject of item 2 or 19 —</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clear" w:pos="567"/>
                <w:tab w:val="left" w:pos="296"/>
                <w:tab w:val="left" w:pos="776"/>
                <w:tab w:val="right" w:leader="dot" w:pos="4020"/>
              </w:tabs>
              <w:ind w:left="776" w:hanging="776"/>
            </w:pPr>
            <w:r>
              <w:tab/>
              <w:t>(a)</w:t>
            </w:r>
            <w:r>
              <w:tab/>
              <w:t xml:space="preserve">for land, other than land to which paragraph (b) applies, a charge of </w:t>
            </w:r>
            <w:r>
              <w:tab/>
            </w:r>
          </w:p>
        </w:tc>
        <w:tc>
          <w:tcPr>
            <w:tcW w:w="1152" w:type="dxa"/>
            <w:vAlign w:val="bottom"/>
          </w:tcPr>
          <w:p>
            <w:pPr>
              <w:pStyle w:val="yTableNAm"/>
            </w:pPr>
            <w:r>
              <w:t>$188.10</w:t>
            </w:r>
          </w:p>
        </w:tc>
      </w:tr>
      <w:tr>
        <w:trPr>
          <w:cantSplit/>
        </w:trPr>
        <w:tc>
          <w:tcPr>
            <w:tcW w:w="850" w:type="dxa"/>
          </w:tcPr>
          <w:p>
            <w:pPr>
              <w:pStyle w:val="zyTableNAm"/>
            </w:pPr>
          </w:p>
        </w:tc>
        <w:tc>
          <w:tcPr>
            <w:tcW w:w="4235" w:type="dxa"/>
          </w:tcPr>
          <w:p>
            <w:pPr>
              <w:pStyle w:val="yTableNAm"/>
              <w:tabs>
                <w:tab w:val="clear" w:pos="567"/>
                <w:tab w:val="left" w:pos="296"/>
                <w:tab w:val="left" w:pos="776"/>
                <w:tab w:val="right" w:leader="dot" w:pos="4020"/>
              </w:tabs>
              <w:ind w:left="776" w:hanging="776"/>
            </w:pPr>
            <w:r>
              <w:tab/>
              <w:t>(b)</w:t>
            </w:r>
            <w:r>
              <w:tab/>
              <w:t>for land that is classified as non</w:t>
            </w:r>
            <w:r>
              <w:noBreakHyphen/>
              <w:t>residential or commercial residential, a charge based on meter size of the additional service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jc w:val="center"/>
        </w:trPr>
        <w:tc>
          <w:tcPr>
            <w:tcW w:w="3215" w:type="dxa"/>
            <w:tcBorders>
              <w:top w:val="single" w:sz="4" w:space="0" w:color="auto"/>
              <w:left w:val="nil"/>
              <w:bottom w:val="single" w:sz="4" w:space="0" w:color="auto"/>
              <w:right w:val="nil"/>
            </w:tcBorders>
          </w:tcPr>
          <w:p>
            <w:pPr>
              <w:pStyle w:val="yTableNAm"/>
              <w:jc w:val="cente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jc w:val="center"/>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pPr>
            <w:r>
              <w:t>188.10</w:t>
            </w:r>
          </w:p>
        </w:tc>
      </w:tr>
      <w:tr>
        <w:trPr>
          <w:cantSplit/>
          <w:jc w:val="center"/>
        </w:trPr>
        <w:tc>
          <w:tcPr>
            <w:tcW w:w="3215" w:type="dxa"/>
            <w:tcBorders>
              <w:top w:val="nil"/>
              <w:left w:val="nil"/>
              <w:bottom w:val="nil"/>
              <w:right w:val="nil"/>
            </w:tcBorders>
          </w:tcPr>
          <w:p>
            <w:pPr>
              <w:pStyle w:val="yTableNAm"/>
              <w:jc w:val="center"/>
            </w:pPr>
            <w:r>
              <w:t>25</w:t>
            </w:r>
          </w:p>
        </w:tc>
        <w:tc>
          <w:tcPr>
            <w:tcW w:w="3084" w:type="dxa"/>
            <w:tcBorders>
              <w:top w:val="nil"/>
              <w:left w:val="nil"/>
              <w:bottom w:val="nil"/>
              <w:right w:val="nil"/>
            </w:tcBorders>
            <w:vAlign w:val="bottom"/>
          </w:tcPr>
          <w:p>
            <w:pPr>
              <w:pStyle w:val="yTableNAm"/>
              <w:jc w:val="center"/>
            </w:pPr>
            <w:r>
              <w:t>293.90</w:t>
            </w:r>
          </w:p>
        </w:tc>
      </w:tr>
      <w:tr>
        <w:trPr>
          <w:cantSplit/>
          <w:jc w:val="center"/>
        </w:trPr>
        <w:tc>
          <w:tcPr>
            <w:tcW w:w="3215" w:type="dxa"/>
            <w:tcBorders>
              <w:top w:val="nil"/>
              <w:left w:val="nil"/>
              <w:bottom w:val="nil"/>
              <w:right w:val="nil"/>
            </w:tcBorders>
          </w:tcPr>
          <w:p>
            <w:pPr>
              <w:pStyle w:val="yTableNAm"/>
              <w:jc w:val="center"/>
            </w:pPr>
            <w:r>
              <w:t>30</w:t>
            </w:r>
          </w:p>
        </w:tc>
        <w:tc>
          <w:tcPr>
            <w:tcW w:w="3084" w:type="dxa"/>
            <w:tcBorders>
              <w:top w:val="nil"/>
              <w:left w:val="nil"/>
              <w:bottom w:val="nil"/>
              <w:right w:val="nil"/>
            </w:tcBorders>
            <w:vAlign w:val="bottom"/>
          </w:tcPr>
          <w:p>
            <w:pPr>
              <w:pStyle w:val="yTableNAm"/>
              <w:jc w:val="center"/>
            </w:pPr>
            <w:r>
              <w:t>423.20</w:t>
            </w:r>
          </w:p>
        </w:tc>
      </w:tr>
      <w:tr>
        <w:trPr>
          <w:cantSplit/>
          <w:jc w:val="center"/>
        </w:trPr>
        <w:tc>
          <w:tcPr>
            <w:tcW w:w="3215" w:type="dxa"/>
            <w:tcBorders>
              <w:top w:val="nil"/>
              <w:left w:val="nil"/>
              <w:bottom w:val="nil"/>
              <w:right w:val="nil"/>
            </w:tcBorders>
          </w:tcPr>
          <w:p>
            <w:pPr>
              <w:pStyle w:val="yTableNAm"/>
              <w:jc w:val="center"/>
            </w:pPr>
            <w:r>
              <w:t>35, 38, 40</w:t>
            </w:r>
          </w:p>
        </w:tc>
        <w:tc>
          <w:tcPr>
            <w:tcW w:w="3084" w:type="dxa"/>
            <w:tcBorders>
              <w:top w:val="nil"/>
              <w:left w:val="nil"/>
              <w:bottom w:val="nil"/>
              <w:right w:val="nil"/>
            </w:tcBorders>
            <w:vAlign w:val="bottom"/>
          </w:tcPr>
          <w:p>
            <w:pPr>
              <w:pStyle w:val="yTableNAm"/>
              <w:jc w:val="center"/>
            </w:pPr>
            <w:r>
              <w:t>752.40</w:t>
            </w:r>
          </w:p>
        </w:tc>
      </w:tr>
      <w:tr>
        <w:trPr>
          <w:cantSplit/>
          <w:jc w:val="center"/>
        </w:trPr>
        <w:tc>
          <w:tcPr>
            <w:tcW w:w="3215" w:type="dxa"/>
            <w:tcBorders>
              <w:top w:val="nil"/>
              <w:left w:val="nil"/>
              <w:bottom w:val="nil"/>
              <w:right w:val="nil"/>
            </w:tcBorders>
          </w:tcPr>
          <w:p>
            <w:pPr>
              <w:pStyle w:val="yTableNAm"/>
              <w:jc w:val="center"/>
            </w:pPr>
            <w:r>
              <w:t>50</w:t>
            </w:r>
          </w:p>
        </w:tc>
        <w:tc>
          <w:tcPr>
            <w:tcW w:w="3084" w:type="dxa"/>
            <w:tcBorders>
              <w:top w:val="nil"/>
              <w:left w:val="nil"/>
              <w:bottom w:val="nil"/>
              <w:right w:val="nil"/>
            </w:tcBorders>
            <w:vAlign w:val="bottom"/>
          </w:tcPr>
          <w:p>
            <w:pPr>
              <w:pStyle w:val="yTableNAm"/>
              <w:jc w:val="center"/>
            </w:pPr>
            <w:r>
              <w:t>1 175.60</w:t>
            </w:r>
          </w:p>
        </w:tc>
      </w:tr>
      <w:tr>
        <w:trPr>
          <w:cantSplit/>
          <w:jc w:val="center"/>
        </w:trPr>
        <w:tc>
          <w:tcPr>
            <w:tcW w:w="3215" w:type="dxa"/>
            <w:tcBorders>
              <w:top w:val="nil"/>
              <w:left w:val="nil"/>
              <w:bottom w:val="nil"/>
              <w:right w:val="nil"/>
            </w:tcBorders>
          </w:tcPr>
          <w:p>
            <w:pPr>
              <w:pStyle w:val="yTableNAm"/>
              <w:jc w:val="center"/>
            </w:pPr>
            <w:r>
              <w:t>70, 75, 80</w:t>
            </w:r>
          </w:p>
        </w:tc>
        <w:tc>
          <w:tcPr>
            <w:tcW w:w="3084" w:type="dxa"/>
            <w:tcBorders>
              <w:top w:val="nil"/>
              <w:left w:val="nil"/>
              <w:bottom w:val="nil"/>
              <w:right w:val="nil"/>
            </w:tcBorders>
            <w:vAlign w:val="bottom"/>
          </w:tcPr>
          <w:p>
            <w:pPr>
              <w:pStyle w:val="yTableNAm"/>
              <w:jc w:val="center"/>
            </w:pPr>
            <w:r>
              <w:t>3 009.60</w:t>
            </w:r>
          </w:p>
        </w:tc>
      </w:tr>
      <w:tr>
        <w:trPr>
          <w:cantSplit/>
          <w:jc w:val="center"/>
        </w:trPr>
        <w:tc>
          <w:tcPr>
            <w:tcW w:w="3215" w:type="dxa"/>
            <w:tcBorders>
              <w:top w:val="nil"/>
              <w:left w:val="nil"/>
              <w:bottom w:val="nil"/>
              <w:right w:val="nil"/>
            </w:tcBorders>
          </w:tcPr>
          <w:p>
            <w:pPr>
              <w:pStyle w:val="yTableNAm"/>
              <w:jc w:val="center"/>
            </w:pPr>
            <w:r>
              <w:t>100</w:t>
            </w:r>
          </w:p>
        </w:tc>
        <w:tc>
          <w:tcPr>
            <w:tcW w:w="3084" w:type="dxa"/>
            <w:tcBorders>
              <w:top w:val="nil"/>
              <w:left w:val="nil"/>
              <w:bottom w:val="nil"/>
              <w:right w:val="nil"/>
            </w:tcBorders>
            <w:vAlign w:val="bottom"/>
          </w:tcPr>
          <w:p>
            <w:pPr>
              <w:pStyle w:val="yTableNAm"/>
              <w:jc w:val="center"/>
            </w:pPr>
            <w:r>
              <w:t>4 702.50</w:t>
            </w:r>
          </w:p>
        </w:tc>
      </w:tr>
      <w:tr>
        <w:trPr>
          <w:cantSplit/>
          <w:jc w:val="center"/>
        </w:trPr>
        <w:tc>
          <w:tcPr>
            <w:tcW w:w="3215" w:type="dxa"/>
            <w:tcBorders>
              <w:top w:val="nil"/>
              <w:left w:val="nil"/>
              <w:bottom w:val="nil"/>
              <w:right w:val="nil"/>
            </w:tcBorders>
          </w:tcPr>
          <w:p>
            <w:pPr>
              <w:pStyle w:val="yTableNAm"/>
              <w:jc w:val="center"/>
            </w:pPr>
            <w:r>
              <w:t>140, 150</w:t>
            </w:r>
          </w:p>
        </w:tc>
        <w:tc>
          <w:tcPr>
            <w:tcW w:w="3084" w:type="dxa"/>
            <w:tcBorders>
              <w:top w:val="nil"/>
              <w:left w:val="nil"/>
              <w:bottom w:val="nil"/>
              <w:right w:val="nil"/>
            </w:tcBorders>
            <w:vAlign w:val="bottom"/>
          </w:tcPr>
          <w:p>
            <w:pPr>
              <w:pStyle w:val="yTableNAm"/>
              <w:jc w:val="center"/>
            </w:pPr>
            <w:r>
              <w:t>10 580.60</w:t>
            </w:r>
          </w:p>
        </w:tc>
      </w:tr>
      <w:tr>
        <w:trPr>
          <w:cantSplit/>
          <w:jc w:val="center"/>
        </w:trPr>
        <w:tc>
          <w:tcPr>
            <w:tcW w:w="3215" w:type="dxa"/>
            <w:tcBorders>
              <w:top w:val="nil"/>
              <w:left w:val="nil"/>
              <w:bottom w:val="nil"/>
              <w:right w:val="nil"/>
            </w:tcBorders>
          </w:tcPr>
          <w:p>
            <w:pPr>
              <w:pStyle w:val="yTableNAm"/>
              <w:jc w:val="center"/>
            </w:pPr>
            <w:r>
              <w:t>200</w:t>
            </w:r>
          </w:p>
        </w:tc>
        <w:tc>
          <w:tcPr>
            <w:tcW w:w="3084" w:type="dxa"/>
            <w:tcBorders>
              <w:top w:val="nil"/>
              <w:left w:val="nil"/>
              <w:bottom w:val="nil"/>
              <w:right w:val="nil"/>
            </w:tcBorders>
            <w:vAlign w:val="bottom"/>
          </w:tcPr>
          <w:p>
            <w:pPr>
              <w:pStyle w:val="yTableNAm"/>
              <w:jc w:val="center"/>
            </w:pPr>
            <w:r>
              <w:t>18 810.00</w:t>
            </w:r>
          </w:p>
        </w:tc>
      </w:tr>
      <w:tr>
        <w:trPr>
          <w:cantSplit/>
          <w:jc w:val="center"/>
        </w:trPr>
        <w:tc>
          <w:tcPr>
            <w:tcW w:w="3215" w:type="dxa"/>
            <w:tcBorders>
              <w:top w:val="nil"/>
              <w:left w:val="nil"/>
              <w:bottom w:val="nil"/>
              <w:right w:val="nil"/>
            </w:tcBorders>
          </w:tcPr>
          <w:p>
            <w:pPr>
              <w:pStyle w:val="yTableNAm"/>
              <w:jc w:val="center"/>
            </w:pPr>
            <w:r>
              <w:t>250</w:t>
            </w:r>
          </w:p>
        </w:tc>
        <w:tc>
          <w:tcPr>
            <w:tcW w:w="3084" w:type="dxa"/>
            <w:tcBorders>
              <w:top w:val="nil"/>
              <w:left w:val="nil"/>
              <w:bottom w:val="nil"/>
              <w:right w:val="nil"/>
            </w:tcBorders>
            <w:vAlign w:val="bottom"/>
          </w:tcPr>
          <w:p>
            <w:pPr>
              <w:pStyle w:val="yTableNAm"/>
              <w:jc w:val="center"/>
            </w:pPr>
            <w:r>
              <w:t>29 390.60</w:t>
            </w:r>
          </w:p>
        </w:tc>
      </w:tr>
      <w:tr>
        <w:trPr>
          <w:cantSplit/>
          <w:jc w:val="center"/>
        </w:trPr>
        <w:tc>
          <w:tcPr>
            <w:tcW w:w="3215" w:type="dxa"/>
            <w:tcBorders>
              <w:top w:val="nil"/>
              <w:left w:val="nil"/>
              <w:bottom w:val="nil"/>
              <w:right w:val="nil"/>
            </w:tcBorders>
          </w:tcPr>
          <w:p>
            <w:pPr>
              <w:pStyle w:val="yTableNAm"/>
              <w:jc w:val="center"/>
            </w:pPr>
            <w:r>
              <w:t>300</w:t>
            </w:r>
          </w:p>
        </w:tc>
        <w:tc>
          <w:tcPr>
            <w:tcW w:w="3084" w:type="dxa"/>
            <w:tcBorders>
              <w:top w:val="nil"/>
              <w:left w:val="nil"/>
              <w:bottom w:val="nil"/>
              <w:right w:val="nil"/>
            </w:tcBorders>
            <w:vAlign w:val="bottom"/>
          </w:tcPr>
          <w:p>
            <w:pPr>
              <w:pStyle w:val="yTableNAm"/>
              <w:jc w:val="center"/>
            </w:pPr>
            <w:r>
              <w:t>42 322.50</w:t>
            </w:r>
          </w:p>
        </w:tc>
      </w:tr>
      <w:tr>
        <w:trPr>
          <w:cantSplit/>
          <w:jc w:val="center"/>
        </w:trPr>
        <w:tc>
          <w:tcPr>
            <w:tcW w:w="3215" w:type="dxa"/>
            <w:tcBorders>
              <w:top w:val="nil"/>
              <w:left w:val="nil"/>
              <w:bottom w:val="single" w:sz="4" w:space="0" w:color="auto"/>
              <w:right w:val="nil"/>
            </w:tcBorders>
          </w:tcPr>
          <w:p>
            <w:pPr>
              <w:pStyle w:val="yTableNAm"/>
              <w:jc w:val="center"/>
            </w:pPr>
            <w:r>
              <w:t>350</w:t>
            </w:r>
          </w:p>
        </w:tc>
        <w:tc>
          <w:tcPr>
            <w:tcW w:w="3084" w:type="dxa"/>
            <w:tcBorders>
              <w:top w:val="nil"/>
              <w:left w:val="nil"/>
              <w:bottom w:val="single" w:sz="4" w:space="0" w:color="auto"/>
              <w:right w:val="nil"/>
            </w:tcBorders>
            <w:vAlign w:val="bottom"/>
          </w:tcPr>
          <w:p>
            <w:pPr>
              <w:pStyle w:val="yTableNAm"/>
              <w:jc w:val="center"/>
            </w:pPr>
            <w:r>
              <w:t>57 605.60</w:t>
            </w:r>
          </w:p>
        </w:tc>
      </w:tr>
    </w:tbl>
    <w:p>
      <w:pPr>
        <w:pStyle w:val="yMiscellaneousBody"/>
      </w:pPr>
    </w:p>
    <w:tbl>
      <w:tblPr>
        <w:tblW w:w="0" w:type="auto"/>
        <w:tblInd w:w="534" w:type="dxa"/>
        <w:tblLayout w:type="fixed"/>
        <w:tblLook w:val="0000" w:firstRow="0" w:lastRow="0" w:firstColumn="0" w:lastColumn="0" w:noHBand="0" w:noVBand="0"/>
      </w:tblPr>
      <w:tblGrid>
        <w:gridCol w:w="850"/>
        <w:gridCol w:w="4234"/>
        <w:gridCol w:w="1153"/>
      </w:tblGrid>
      <w:tr>
        <w:trPr>
          <w:cantSplit/>
        </w:trPr>
        <w:tc>
          <w:tcPr>
            <w:tcW w:w="850" w:type="dxa"/>
          </w:tcPr>
          <w:p>
            <w:pPr>
              <w:pStyle w:val="yTableNAm"/>
            </w:pPr>
            <w:r>
              <w:rPr>
                <w:b/>
                <w:bCs/>
              </w:rPr>
              <w:t>13.</w:t>
            </w:r>
          </w:p>
        </w:tc>
        <w:tc>
          <w:tcPr>
            <w:tcW w:w="4234" w:type="dxa"/>
          </w:tcPr>
          <w:p>
            <w:pPr>
              <w:pStyle w:val="yTableNAm"/>
              <w:tabs>
                <w:tab w:val="left" w:leader="dot" w:pos="4876"/>
              </w:tabs>
            </w:pPr>
            <w:r>
              <w:rPr>
                <w:b/>
                <w:bCs/>
              </w:rPr>
              <w:t>Shipping (non</w:t>
            </w:r>
            <w:r>
              <w:rPr>
                <w:b/>
                <w:bCs/>
              </w:rPr>
              <w:noBreakHyphen/>
              <w:t>metropolitan)</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left" w:leader="dot" w:pos="4876"/>
              </w:tabs>
            </w:pPr>
            <w:r>
              <w:t>For each water supply connection provided for the purpose of water being taken on board any ship in a port not in the metropolitan area the charge applicable for the relevant meter size in the Table to item 10.</w:t>
            </w:r>
          </w:p>
        </w:tc>
        <w:tc>
          <w:tcPr>
            <w:tcW w:w="1153" w:type="dxa"/>
            <w:vAlign w:val="bottom"/>
          </w:tcPr>
          <w:p>
            <w:pPr>
              <w:pStyle w:val="yTableNAm"/>
            </w:pPr>
          </w:p>
        </w:tc>
      </w:tr>
      <w:tr>
        <w:trPr>
          <w:cantSplit/>
        </w:trPr>
        <w:tc>
          <w:tcPr>
            <w:tcW w:w="850" w:type="dxa"/>
          </w:tcPr>
          <w:p>
            <w:pPr>
              <w:pStyle w:val="yTableNAm"/>
            </w:pPr>
            <w:r>
              <w:rPr>
                <w:b/>
                <w:bCs/>
              </w:rPr>
              <w:t>14.</w:t>
            </w:r>
          </w:p>
        </w:tc>
        <w:tc>
          <w:tcPr>
            <w:tcW w:w="4234" w:type="dxa"/>
          </w:tcPr>
          <w:p>
            <w:pPr>
              <w:pStyle w:val="yTableNAm"/>
              <w:tabs>
                <w:tab w:val="left" w:leader="dot" w:pos="4876"/>
              </w:tabs>
            </w:pPr>
            <w:r>
              <w:rPr>
                <w:b/>
                <w:bCs/>
              </w:rPr>
              <w:t>Local government standpipes</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clear" w:pos="567"/>
                <w:tab w:val="right" w:leader="dot" w:pos="4019"/>
              </w:tabs>
            </w:pPr>
            <w:r>
              <w:t xml:space="preserve">For each local government standpipe </w:t>
            </w:r>
            <w:r>
              <w:tab/>
            </w:r>
          </w:p>
        </w:tc>
        <w:tc>
          <w:tcPr>
            <w:tcW w:w="1153" w:type="dxa"/>
            <w:vAlign w:val="bottom"/>
          </w:tcPr>
          <w:p>
            <w:pPr>
              <w:pStyle w:val="yTableNAm"/>
            </w:pPr>
            <w:r>
              <w:t>$188.10</w:t>
            </w:r>
          </w:p>
        </w:tc>
      </w:tr>
      <w:tr>
        <w:trPr>
          <w:cantSplit/>
        </w:trPr>
        <w:tc>
          <w:tcPr>
            <w:tcW w:w="850" w:type="dxa"/>
          </w:tcPr>
          <w:p>
            <w:pPr>
              <w:pStyle w:val="yTableNAm"/>
            </w:pPr>
            <w:r>
              <w:rPr>
                <w:b/>
                <w:bCs/>
              </w:rPr>
              <w:t>15.</w:t>
            </w:r>
          </w:p>
        </w:tc>
        <w:tc>
          <w:tcPr>
            <w:tcW w:w="4234" w:type="dxa"/>
          </w:tcPr>
          <w:p>
            <w:pPr>
              <w:pStyle w:val="yTableNAm"/>
              <w:tabs>
                <w:tab w:val="left" w:leader="dot" w:pos="4876"/>
              </w:tabs>
            </w:pPr>
            <w:r>
              <w:rPr>
                <w:b/>
                <w:bCs/>
              </w:rPr>
              <w:t>Firefighting connections</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clear" w:pos="567"/>
                <w:tab w:val="right" w:leader="dot" w:pos="4019"/>
              </w:tabs>
            </w:pPr>
            <w:r>
              <w:t xml:space="preserve">For each water supply connection provided for the purpose of firefighting </w:t>
            </w:r>
            <w:r>
              <w:tab/>
            </w:r>
          </w:p>
        </w:tc>
        <w:tc>
          <w:tcPr>
            <w:tcW w:w="1153" w:type="dxa"/>
            <w:vAlign w:val="bottom"/>
          </w:tcPr>
          <w:p>
            <w:pPr>
              <w:pStyle w:val="yTableNAm"/>
            </w:pPr>
            <w:r>
              <w:t>$188.10</w:t>
            </w:r>
          </w:p>
        </w:tc>
      </w:tr>
      <w:tr>
        <w:trPr>
          <w:cantSplit/>
        </w:trPr>
        <w:tc>
          <w:tcPr>
            <w:tcW w:w="850" w:type="dxa"/>
          </w:tcPr>
          <w:p>
            <w:pPr>
              <w:pStyle w:val="yTableNAm"/>
            </w:pPr>
            <w:r>
              <w:rPr>
                <w:b/>
                <w:bCs/>
              </w:rPr>
              <w:t>16.</w:t>
            </w:r>
          </w:p>
        </w:tc>
        <w:tc>
          <w:tcPr>
            <w:tcW w:w="4234" w:type="dxa"/>
          </w:tcPr>
          <w:p>
            <w:pPr>
              <w:pStyle w:val="yTableNAm"/>
              <w:tabs>
                <w:tab w:val="left" w:leader="dot" w:pos="4876"/>
              </w:tabs>
            </w:pPr>
            <w:r>
              <w:rPr>
                <w:b/>
                <w:bCs/>
              </w:rPr>
              <w:t>Farmland</w:t>
            </w:r>
          </w:p>
        </w:tc>
        <w:tc>
          <w:tcPr>
            <w:tcW w:w="1153" w:type="dxa"/>
            <w:vAlign w:val="bottom"/>
          </w:tcPr>
          <w:p>
            <w:pPr>
              <w:pStyle w:val="yTableNAm"/>
            </w:pPr>
          </w:p>
        </w:tc>
      </w:tr>
      <w:tr>
        <w:trPr>
          <w:cantSplit/>
        </w:trPr>
        <w:tc>
          <w:tcPr>
            <w:tcW w:w="850" w:type="dxa"/>
          </w:tcPr>
          <w:p>
            <w:pPr>
              <w:pStyle w:val="zyTableNAm"/>
              <w:keepNext/>
              <w:keepLines/>
            </w:pPr>
          </w:p>
        </w:tc>
        <w:tc>
          <w:tcPr>
            <w:tcW w:w="4234" w:type="dxa"/>
          </w:tcPr>
          <w:p>
            <w:pPr>
              <w:pStyle w:val="yTableNAm"/>
              <w:tabs>
                <w:tab w:val="clear" w:pos="567"/>
                <w:tab w:val="right" w:leader="dot" w:pos="4019"/>
              </w:tabs>
            </w:pPr>
            <w:r>
              <w:t xml:space="preserve">In respect of land that is classified as farmland </w:t>
            </w:r>
            <w:r>
              <w:tab/>
            </w:r>
          </w:p>
        </w:tc>
        <w:tc>
          <w:tcPr>
            <w:tcW w:w="1153" w:type="dxa"/>
            <w:vAlign w:val="bottom"/>
          </w:tcPr>
          <w:p>
            <w:pPr>
              <w:pStyle w:val="yTableNAm"/>
            </w:pPr>
            <w:r>
              <w:t>$188.10</w:t>
            </w:r>
          </w:p>
        </w:tc>
      </w:tr>
      <w:tr>
        <w:trPr>
          <w:cantSplit/>
        </w:trPr>
        <w:tc>
          <w:tcPr>
            <w:tcW w:w="850" w:type="dxa"/>
          </w:tcPr>
          <w:p>
            <w:pPr>
              <w:pStyle w:val="yTableNAm"/>
            </w:pPr>
            <w:r>
              <w:rPr>
                <w:b/>
                <w:bCs/>
              </w:rPr>
              <w:t>17.</w:t>
            </w:r>
          </w:p>
        </w:tc>
        <w:tc>
          <w:tcPr>
            <w:tcW w:w="4234" w:type="dxa"/>
          </w:tcPr>
          <w:p>
            <w:pPr>
              <w:pStyle w:val="yTableNAm"/>
              <w:tabs>
                <w:tab w:val="left" w:leader="dot" w:pos="4876"/>
              </w:tabs>
            </w:pPr>
            <w:r>
              <w:rPr>
                <w:b/>
                <w:bCs/>
              </w:rPr>
              <w:t>Metropolitan non</w:t>
            </w:r>
            <w:r>
              <w:rPr>
                <w:b/>
                <w:bCs/>
              </w:rPr>
              <w:noBreakHyphen/>
              <w:t>residential (except strata</w:t>
            </w:r>
            <w:r>
              <w:rPr>
                <w:b/>
                <w:bCs/>
              </w:rPr>
              <w:noBreakHyphen/>
              <w:t>titled units that share a service)</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left" w:leader="dot" w:pos="4876"/>
              </w:tabs>
            </w:pPr>
            <w:r>
              <w:t>In respect of non</w:t>
            </w:r>
            <w:r>
              <w:noBreakHyphen/>
              <w:t>residential land in the metropolitan area, not being land mentioned in item 18, a charge determined by meter size as set out in the following Table —</w:t>
            </w:r>
          </w:p>
        </w:tc>
        <w:tc>
          <w:tcPr>
            <w:tcW w:w="1153" w:type="dxa"/>
            <w:vAlign w:val="bottom"/>
          </w:tcPr>
          <w:p>
            <w:pPr>
              <w:pStyle w:val="yTableNAm"/>
            </w:pPr>
          </w:p>
        </w:tc>
      </w:tr>
    </w:tbl>
    <w:p>
      <w:pPr>
        <w:pStyle w:val="yTHeadingNAm"/>
      </w:pPr>
      <w:r>
        <w:t>Table of meter</w:t>
      </w:r>
      <w:r>
        <w:noBreakHyphen/>
        <w:t>based fixed charges</w:t>
      </w:r>
    </w:p>
    <w:tbl>
      <w:tblPr>
        <w:tblW w:w="0" w:type="auto"/>
        <w:jc w:val="center"/>
        <w:tblLayout w:type="fixed"/>
        <w:tblLook w:val="0000" w:firstRow="0" w:lastRow="0" w:firstColumn="0" w:lastColumn="0" w:noHBand="0" w:noVBand="0"/>
      </w:tblPr>
      <w:tblGrid>
        <w:gridCol w:w="3206"/>
        <w:gridCol w:w="3093"/>
      </w:tblGrid>
      <w:tr>
        <w:trPr>
          <w:cantSplit/>
          <w:tblHeader/>
          <w:jc w:val="center"/>
        </w:trPr>
        <w:tc>
          <w:tcPr>
            <w:tcW w:w="3206" w:type="dxa"/>
            <w:tcBorders>
              <w:top w:val="single" w:sz="4" w:space="0" w:color="auto"/>
              <w:bottom w:val="single" w:sz="4" w:space="0" w:color="auto"/>
            </w:tcBorders>
          </w:tcPr>
          <w:p>
            <w:pPr>
              <w:pStyle w:val="yTableNAm"/>
              <w:jc w:val="center"/>
            </w:pPr>
            <w:r>
              <w:rPr>
                <w:b/>
                <w:bCs/>
              </w:rPr>
              <w:t>Meter size</w:t>
            </w:r>
            <w:r>
              <w:rPr>
                <w:b/>
                <w:bCs/>
              </w:rPr>
              <w:br/>
              <w:t>mm</w:t>
            </w:r>
          </w:p>
        </w:tc>
        <w:tc>
          <w:tcPr>
            <w:tcW w:w="3093" w:type="dxa"/>
            <w:tcBorders>
              <w:top w:val="single" w:sz="4" w:space="0" w:color="auto"/>
              <w:bottom w:val="single" w:sz="4" w:space="0" w:color="auto"/>
            </w:tcBorders>
          </w:tcPr>
          <w:p>
            <w:pPr>
              <w:pStyle w:val="yTableNAm"/>
              <w:jc w:val="center"/>
            </w:pPr>
            <w:r>
              <w:rPr>
                <w:b/>
                <w:bCs/>
              </w:rPr>
              <w:t>Charge</w:t>
            </w:r>
            <w:r>
              <w:rPr>
                <w:b/>
                <w:bCs/>
              </w:rPr>
              <w:br/>
              <w:t>$</w:t>
            </w:r>
          </w:p>
        </w:tc>
      </w:tr>
      <w:tr>
        <w:trPr>
          <w:cantSplit/>
          <w:jc w:val="center"/>
        </w:trPr>
        <w:tc>
          <w:tcPr>
            <w:tcW w:w="3206" w:type="dxa"/>
          </w:tcPr>
          <w:p>
            <w:pPr>
              <w:pStyle w:val="yTableNAm"/>
              <w:jc w:val="center"/>
            </w:pPr>
            <w:r>
              <w:t>20</w:t>
            </w:r>
          </w:p>
        </w:tc>
        <w:tc>
          <w:tcPr>
            <w:tcW w:w="3093" w:type="dxa"/>
            <w:vAlign w:val="bottom"/>
          </w:tcPr>
          <w:p>
            <w:pPr>
              <w:pStyle w:val="yTableNAm"/>
              <w:jc w:val="center"/>
            </w:pPr>
            <w:r>
              <w:t>188.10</w:t>
            </w:r>
          </w:p>
        </w:tc>
      </w:tr>
      <w:tr>
        <w:trPr>
          <w:cantSplit/>
          <w:jc w:val="center"/>
        </w:trPr>
        <w:tc>
          <w:tcPr>
            <w:tcW w:w="3206" w:type="dxa"/>
          </w:tcPr>
          <w:p>
            <w:pPr>
              <w:pStyle w:val="yTableNAm"/>
              <w:jc w:val="center"/>
            </w:pPr>
            <w:r>
              <w:t>25</w:t>
            </w:r>
          </w:p>
        </w:tc>
        <w:tc>
          <w:tcPr>
            <w:tcW w:w="3093" w:type="dxa"/>
            <w:vAlign w:val="bottom"/>
          </w:tcPr>
          <w:p>
            <w:pPr>
              <w:pStyle w:val="yTableNAm"/>
              <w:jc w:val="center"/>
            </w:pPr>
            <w:r>
              <w:t>293.90</w:t>
            </w:r>
          </w:p>
        </w:tc>
      </w:tr>
      <w:tr>
        <w:trPr>
          <w:cantSplit/>
          <w:jc w:val="center"/>
        </w:trPr>
        <w:tc>
          <w:tcPr>
            <w:tcW w:w="3206" w:type="dxa"/>
          </w:tcPr>
          <w:p>
            <w:pPr>
              <w:pStyle w:val="yTableNAm"/>
              <w:jc w:val="center"/>
            </w:pPr>
            <w:r>
              <w:t>30</w:t>
            </w:r>
          </w:p>
        </w:tc>
        <w:tc>
          <w:tcPr>
            <w:tcW w:w="3093" w:type="dxa"/>
            <w:vAlign w:val="bottom"/>
          </w:tcPr>
          <w:p>
            <w:pPr>
              <w:pStyle w:val="yTableNAm"/>
              <w:jc w:val="center"/>
            </w:pPr>
            <w:r>
              <w:t>423.20</w:t>
            </w:r>
          </w:p>
        </w:tc>
      </w:tr>
      <w:tr>
        <w:trPr>
          <w:cantSplit/>
          <w:jc w:val="center"/>
        </w:trPr>
        <w:tc>
          <w:tcPr>
            <w:tcW w:w="3206" w:type="dxa"/>
          </w:tcPr>
          <w:p>
            <w:pPr>
              <w:pStyle w:val="yTableNAm"/>
              <w:jc w:val="center"/>
            </w:pPr>
            <w:r>
              <w:t>40</w:t>
            </w:r>
          </w:p>
        </w:tc>
        <w:tc>
          <w:tcPr>
            <w:tcW w:w="3093" w:type="dxa"/>
            <w:vAlign w:val="bottom"/>
          </w:tcPr>
          <w:p>
            <w:pPr>
              <w:pStyle w:val="yTableNAm"/>
              <w:jc w:val="center"/>
            </w:pPr>
            <w:r>
              <w:t>752.40</w:t>
            </w:r>
          </w:p>
        </w:tc>
      </w:tr>
      <w:tr>
        <w:trPr>
          <w:cantSplit/>
          <w:jc w:val="center"/>
        </w:trPr>
        <w:tc>
          <w:tcPr>
            <w:tcW w:w="3206" w:type="dxa"/>
          </w:tcPr>
          <w:p>
            <w:pPr>
              <w:pStyle w:val="yTableNAm"/>
              <w:jc w:val="center"/>
            </w:pPr>
            <w:r>
              <w:t>50</w:t>
            </w:r>
          </w:p>
        </w:tc>
        <w:tc>
          <w:tcPr>
            <w:tcW w:w="3093" w:type="dxa"/>
            <w:vAlign w:val="bottom"/>
          </w:tcPr>
          <w:p>
            <w:pPr>
              <w:pStyle w:val="yTableNAm"/>
              <w:jc w:val="center"/>
            </w:pPr>
            <w:r>
              <w:t>1 175.60</w:t>
            </w:r>
          </w:p>
        </w:tc>
      </w:tr>
      <w:tr>
        <w:trPr>
          <w:cantSplit/>
          <w:jc w:val="center"/>
        </w:trPr>
        <w:tc>
          <w:tcPr>
            <w:tcW w:w="3206" w:type="dxa"/>
          </w:tcPr>
          <w:p>
            <w:pPr>
              <w:pStyle w:val="yTableNAm"/>
              <w:jc w:val="center"/>
            </w:pPr>
            <w:r>
              <w:lastRenderedPageBreak/>
              <w:t>80</w:t>
            </w:r>
          </w:p>
        </w:tc>
        <w:tc>
          <w:tcPr>
            <w:tcW w:w="3093" w:type="dxa"/>
            <w:vAlign w:val="bottom"/>
          </w:tcPr>
          <w:p>
            <w:pPr>
              <w:pStyle w:val="yTableNAm"/>
              <w:jc w:val="center"/>
            </w:pPr>
            <w:r>
              <w:t>3 009.60</w:t>
            </w:r>
          </w:p>
        </w:tc>
      </w:tr>
      <w:tr>
        <w:trPr>
          <w:cantSplit/>
          <w:jc w:val="center"/>
        </w:trPr>
        <w:tc>
          <w:tcPr>
            <w:tcW w:w="3206" w:type="dxa"/>
          </w:tcPr>
          <w:p>
            <w:pPr>
              <w:pStyle w:val="yTableNAm"/>
              <w:jc w:val="center"/>
            </w:pPr>
            <w:r>
              <w:t>100</w:t>
            </w:r>
          </w:p>
        </w:tc>
        <w:tc>
          <w:tcPr>
            <w:tcW w:w="3093" w:type="dxa"/>
            <w:vAlign w:val="bottom"/>
          </w:tcPr>
          <w:p>
            <w:pPr>
              <w:pStyle w:val="yTableNAm"/>
              <w:jc w:val="center"/>
            </w:pPr>
            <w:r>
              <w:t>4 702.50</w:t>
            </w:r>
          </w:p>
        </w:tc>
      </w:tr>
      <w:tr>
        <w:trPr>
          <w:cantSplit/>
          <w:jc w:val="center"/>
        </w:trPr>
        <w:tc>
          <w:tcPr>
            <w:tcW w:w="3206" w:type="dxa"/>
          </w:tcPr>
          <w:p>
            <w:pPr>
              <w:pStyle w:val="yTableNAm"/>
              <w:jc w:val="center"/>
            </w:pPr>
            <w:r>
              <w:t>150</w:t>
            </w:r>
          </w:p>
        </w:tc>
        <w:tc>
          <w:tcPr>
            <w:tcW w:w="3093" w:type="dxa"/>
            <w:vAlign w:val="bottom"/>
          </w:tcPr>
          <w:p>
            <w:pPr>
              <w:pStyle w:val="yTableNAm"/>
              <w:jc w:val="center"/>
            </w:pPr>
            <w:r>
              <w:t>10 580.60</w:t>
            </w:r>
          </w:p>
        </w:tc>
      </w:tr>
      <w:tr>
        <w:trPr>
          <w:cantSplit/>
          <w:jc w:val="center"/>
        </w:trPr>
        <w:tc>
          <w:tcPr>
            <w:tcW w:w="3206" w:type="dxa"/>
          </w:tcPr>
          <w:p>
            <w:pPr>
              <w:pStyle w:val="yTableNAm"/>
              <w:jc w:val="center"/>
            </w:pPr>
            <w:r>
              <w:t>200</w:t>
            </w:r>
          </w:p>
        </w:tc>
        <w:tc>
          <w:tcPr>
            <w:tcW w:w="3093" w:type="dxa"/>
            <w:vAlign w:val="bottom"/>
          </w:tcPr>
          <w:p>
            <w:pPr>
              <w:pStyle w:val="yTableNAm"/>
              <w:jc w:val="center"/>
            </w:pPr>
            <w:r>
              <w:t>18 810.00</w:t>
            </w:r>
          </w:p>
        </w:tc>
      </w:tr>
      <w:tr>
        <w:trPr>
          <w:cantSplit/>
          <w:jc w:val="center"/>
        </w:trPr>
        <w:tc>
          <w:tcPr>
            <w:tcW w:w="3206" w:type="dxa"/>
          </w:tcPr>
          <w:p>
            <w:pPr>
              <w:pStyle w:val="yTableNAm"/>
              <w:jc w:val="center"/>
            </w:pPr>
            <w:r>
              <w:t>250</w:t>
            </w:r>
          </w:p>
        </w:tc>
        <w:tc>
          <w:tcPr>
            <w:tcW w:w="3093" w:type="dxa"/>
            <w:vAlign w:val="bottom"/>
          </w:tcPr>
          <w:p>
            <w:pPr>
              <w:pStyle w:val="yTableNAm"/>
              <w:jc w:val="center"/>
            </w:pPr>
            <w:r>
              <w:t>29 390.60</w:t>
            </w:r>
          </w:p>
        </w:tc>
      </w:tr>
      <w:tr>
        <w:trPr>
          <w:cantSplit/>
          <w:jc w:val="center"/>
        </w:trPr>
        <w:tc>
          <w:tcPr>
            <w:tcW w:w="3206" w:type="dxa"/>
          </w:tcPr>
          <w:p>
            <w:pPr>
              <w:pStyle w:val="yTableNAm"/>
              <w:jc w:val="center"/>
            </w:pPr>
            <w:r>
              <w:t>300</w:t>
            </w:r>
          </w:p>
        </w:tc>
        <w:tc>
          <w:tcPr>
            <w:tcW w:w="3093" w:type="dxa"/>
            <w:vAlign w:val="bottom"/>
          </w:tcPr>
          <w:p>
            <w:pPr>
              <w:pStyle w:val="yTableNAm"/>
              <w:jc w:val="center"/>
            </w:pPr>
            <w:r>
              <w:t>42 322.50</w:t>
            </w:r>
          </w:p>
        </w:tc>
      </w:tr>
      <w:tr>
        <w:trPr>
          <w:cantSplit/>
          <w:jc w:val="center"/>
        </w:trPr>
        <w:tc>
          <w:tcPr>
            <w:tcW w:w="3206" w:type="dxa"/>
            <w:tcBorders>
              <w:bottom w:val="single" w:sz="4" w:space="0" w:color="auto"/>
            </w:tcBorders>
          </w:tcPr>
          <w:p>
            <w:pPr>
              <w:pStyle w:val="yTableNAm"/>
              <w:jc w:val="center"/>
            </w:pPr>
            <w:r>
              <w:t>350</w:t>
            </w:r>
          </w:p>
        </w:tc>
        <w:tc>
          <w:tcPr>
            <w:tcW w:w="3093" w:type="dxa"/>
            <w:tcBorders>
              <w:bottom w:val="single" w:sz="4" w:space="0" w:color="auto"/>
            </w:tcBorders>
            <w:vAlign w:val="bottom"/>
          </w:tcPr>
          <w:p>
            <w:pPr>
              <w:pStyle w:val="yTableNAm"/>
              <w:jc w:val="center"/>
            </w:pPr>
            <w:r>
              <w:t>57 605.60</w:t>
            </w:r>
          </w:p>
        </w:tc>
      </w:tr>
    </w:tbl>
    <w:p>
      <w:pPr>
        <w:pStyle w:val="yMiscellaneousBody"/>
      </w:pPr>
    </w:p>
    <w:tbl>
      <w:tblPr>
        <w:tblW w:w="0" w:type="auto"/>
        <w:tblInd w:w="534" w:type="dxa"/>
        <w:tblLayout w:type="fixed"/>
        <w:tblLook w:val="0000" w:firstRow="0" w:lastRow="0" w:firstColumn="0" w:lastColumn="0" w:noHBand="0" w:noVBand="0"/>
      </w:tblPr>
      <w:tblGrid>
        <w:gridCol w:w="850"/>
        <w:gridCol w:w="4235"/>
        <w:gridCol w:w="1153"/>
      </w:tblGrid>
      <w:tr>
        <w:trPr>
          <w:cantSplit/>
        </w:trPr>
        <w:tc>
          <w:tcPr>
            <w:tcW w:w="850" w:type="dxa"/>
          </w:tcPr>
          <w:p>
            <w:pPr>
              <w:pStyle w:val="yTableNAm"/>
            </w:pPr>
            <w:r>
              <w:rPr>
                <w:b/>
                <w:bCs/>
              </w:rPr>
              <w:t>18.</w:t>
            </w:r>
          </w:p>
        </w:tc>
        <w:tc>
          <w:tcPr>
            <w:tcW w:w="4235" w:type="dxa"/>
          </w:tcPr>
          <w:p>
            <w:pPr>
              <w:pStyle w:val="yTableNAm"/>
              <w:tabs>
                <w:tab w:val="left" w:leader="dot" w:pos="4876"/>
              </w:tabs>
            </w:pPr>
            <w:r>
              <w:rPr>
                <w:b/>
                <w:bCs/>
              </w:rPr>
              <w:t>Vacant land</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right" w:leader="dot" w:pos="4019"/>
              </w:tabs>
            </w:pPr>
            <w:r>
              <w:t xml:space="preserve">In respect of land classified as vacant land </w:t>
            </w:r>
            <w:r>
              <w:tab/>
            </w:r>
          </w:p>
        </w:tc>
        <w:tc>
          <w:tcPr>
            <w:tcW w:w="1153" w:type="dxa"/>
            <w:vAlign w:val="bottom"/>
          </w:tcPr>
          <w:p>
            <w:pPr>
              <w:pStyle w:val="yTableNAm"/>
            </w:pPr>
            <w:r>
              <w:t>$188.10</w:t>
            </w:r>
          </w:p>
        </w:tc>
      </w:tr>
      <w:tr>
        <w:trPr>
          <w:cantSplit/>
        </w:trPr>
        <w:tc>
          <w:tcPr>
            <w:tcW w:w="850" w:type="dxa"/>
          </w:tcPr>
          <w:p>
            <w:pPr>
              <w:pStyle w:val="yTableNAm"/>
            </w:pPr>
            <w:r>
              <w:rPr>
                <w:b/>
                <w:bCs/>
              </w:rPr>
              <w:t>19.</w:t>
            </w:r>
          </w:p>
        </w:tc>
        <w:tc>
          <w:tcPr>
            <w:tcW w:w="4235" w:type="dxa"/>
          </w:tcPr>
          <w:p>
            <w:pPr>
              <w:pStyle w:val="yTableNAm"/>
              <w:tabs>
                <w:tab w:val="left" w:leader="dot" w:pos="4876"/>
              </w:tabs>
            </w:pPr>
            <w:r>
              <w:rPr>
                <w:b/>
                <w:bCs/>
              </w:rPr>
              <w:t>Garden supply for metropolitan vacant land</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left" w:leader="dot" w:pos="4876"/>
              </w:tabs>
            </w:pPr>
            <w:r>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 w:val="left" w:leader="dot" w:pos="4876"/>
              </w:tabs>
              <w:ind w:left="776" w:hanging="776"/>
            </w:pPr>
            <w:r>
              <w:tab/>
              <w:t>(a)</w:t>
            </w:r>
            <w:r>
              <w:tab/>
              <w:t>if the area of land is less than 400 m</w:t>
            </w:r>
            <w:r>
              <w:rPr>
                <w:vertAlign w:val="superscript"/>
              </w:rPr>
              <w:t>2</w:t>
            </w:r>
            <w:r>
              <w:t xml:space="preserve">, in addition to any other charge applicable to the land under this Schedule, a charge of —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w:t>
            </w:r>
            <w:r>
              <w:tab/>
              <w:t xml:space="preserve">in the suburb of Butler </w:t>
            </w:r>
            <w:r>
              <w:tab/>
            </w:r>
          </w:p>
        </w:tc>
        <w:tc>
          <w:tcPr>
            <w:tcW w:w="1153" w:type="dxa"/>
            <w:vAlign w:val="bottom"/>
          </w:tcPr>
          <w:p>
            <w:pPr>
              <w:pStyle w:val="yTableNAm"/>
            </w:pPr>
            <w:r>
              <w:t>$74.00</w:t>
            </w: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(ii)</w:t>
            </w:r>
            <w:r>
              <w:tab/>
              <w:t xml:space="preserve">in the suburb of Baldivis </w:t>
            </w:r>
            <w:r>
              <w:tab/>
            </w:r>
          </w:p>
        </w:tc>
        <w:tc>
          <w:tcPr>
            <w:tcW w:w="1153" w:type="dxa"/>
            <w:vAlign w:val="bottom"/>
          </w:tcPr>
          <w:p>
            <w:pPr>
              <w:pStyle w:val="yTableNAm"/>
            </w:pPr>
            <w:r>
              <w:t>$119.30</w:t>
            </w:r>
          </w:p>
        </w:tc>
      </w:tr>
      <w:tr>
        <w:trPr>
          <w:cantSplit/>
        </w:trPr>
        <w:tc>
          <w:tcPr>
            <w:tcW w:w="850" w:type="dxa"/>
          </w:tcPr>
          <w:p>
            <w:pPr>
              <w:pStyle w:val="zyTableNAm"/>
            </w:pPr>
          </w:p>
        </w:tc>
        <w:tc>
          <w:tcPr>
            <w:tcW w:w="4235" w:type="dxa"/>
          </w:tcPr>
          <w:p>
            <w:pPr>
              <w:pStyle w:val="yTableNAm"/>
              <w:tabs>
                <w:tab w:val="clear" w:pos="567"/>
                <w:tab w:val="left" w:pos="296"/>
                <w:tab w:val="left" w:pos="776"/>
                <w:tab w:val="left" w:leader="dot" w:pos="4876"/>
              </w:tabs>
              <w:ind w:left="776" w:hanging="776"/>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w:t>
            </w:r>
            <w:r>
              <w:tab/>
              <w:t xml:space="preserve">in the suburb of Butler </w:t>
            </w:r>
            <w:r>
              <w:tab/>
            </w:r>
          </w:p>
        </w:tc>
        <w:tc>
          <w:tcPr>
            <w:tcW w:w="1153" w:type="dxa"/>
            <w:vAlign w:val="bottom"/>
          </w:tcPr>
          <w:p>
            <w:pPr>
              <w:pStyle w:val="yTableNAm"/>
            </w:pPr>
            <w:r>
              <w:t>$148.00</w:t>
            </w: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(ii)</w:t>
            </w:r>
            <w:r>
              <w:tab/>
              <w:t xml:space="preserve">in the suburb of Baldivis </w:t>
            </w:r>
            <w:r>
              <w:tab/>
            </w:r>
          </w:p>
        </w:tc>
        <w:tc>
          <w:tcPr>
            <w:tcW w:w="1153" w:type="dxa"/>
            <w:vAlign w:val="bottom"/>
          </w:tcPr>
          <w:p>
            <w:pPr>
              <w:pStyle w:val="yTableNAm"/>
            </w:pPr>
            <w:r>
              <w:t>$238.60</w:t>
            </w:r>
          </w:p>
        </w:tc>
      </w:tr>
    </w:tbl>
    <w:p>
      <w:pPr>
        <w:pStyle w:val="yFootnotesection"/>
      </w:pPr>
      <w:r>
        <w:tab/>
        <w:t>[Division 1 inserted in Gazette 20 Jun 2012 p. 2700</w:t>
      </w:r>
      <w:r>
        <w:noBreakHyphen/>
        <w:t>8.]</w:t>
      </w:r>
    </w:p>
    <w:p>
      <w:pPr>
        <w:pStyle w:val="yHeading3"/>
      </w:pPr>
      <w:bookmarkStart w:id="62" w:name="_Toc84427985"/>
      <w:r>
        <w:rPr>
          <w:rStyle w:val="CharSDivNo"/>
        </w:rPr>
        <w:t>Division 2</w:t>
      </w:r>
      <w:r>
        <w:rPr>
          <w:b w:val="0"/>
        </w:rPr>
        <w:t> — </w:t>
      </w:r>
      <w:r>
        <w:rPr>
          <w:rStyle w:val="CharSDivText"/>
        </w:rPr>
        <w:t>Quantity charges</w:t>
      </w:r>
      <w:bookmarkEnd w:id="62"/>
    </w:p>
    <w:p>
      <w:pPr>
        <w:pStyle w:val="yFootnoteheading"/>
        <w:spacing w:after="60"/>
      </w:pPr>
      <w:r>
        <w:tab/>
        <w:t>[Heading inserted in Gazette 20 Jun 2012 p. 2708.]</w:t>
      </w: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pPr>
            <w:r>
              <w:rPr>
                <w:b/>
                <w:bCs/>
              </w:rPr>
              <w:t>20.</w:t>
            </w:r>
          </w:p>
        </w:tc>
        <w:tc>
          <w:tcPr>
            <w:tcW w:w="4237" w:type="dxa"/>
          </w:tcPr>
          <w:p>
            <w:pPr>
              <w:pStyle w:val="yTableNAm"/>
              <w:tabs>
                <w:tab w:val="left" w:leader="dot" w:pos="4876"/>
              </w:tabs>
            </w:pPr>
            <w:r>
              <w:rPr>
                <w:b/>
                <w:bCs/>
              </w:rPr>
              <w:t>Metropolitan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left" w:leader="dot" w:pos="4876"/>
              </w:tabs>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up to 150 kL </w:t>
            </w:r>
            <w:r>
              <w:tab/>
            </w:r>
          </w:p>
        </w:tc>
        <w:tc>
          <w:tcPr>
            <w:tcW w:w="1292" w:type="dxa"/>
            <w:vAlign w:val="bottom"/>
          </w:tcPr>
          <w:p>
            <w:pPr>
              <w:pStyle w:val="yTableNAm"/>
            </w:pPr>
            <w:r>
              <w:rPr>
                <w:szCs w:val="22"/>
              </w:rPr>
              <w:t>133.6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150 but not over 350 kL </w:t>
            </w:r>
            <w:r>
              <w:tab/>
            </w:r>
          </w:p>
        </w:tc>
        <w:tc>
          <w:tcPr>
            <w:tcW w:w="1292" w:type="dxa"/>
            <w:vAlign w:val="bottom"/>
          </w:tcPr>
          <w:p>
            <w:pPr>
              <w:pStyle w:val="yTableNAm"/>
            </w:pPr>
            <w:r>
              <w:rPr>
                <w:szCs w:val="22"/>
              </w:rPr>
              <w:t>174.7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350 but not over 500 kL </w:t>
            </w:r>
            <w:r>
              <w:tab/>
            </w:r>
          </w:p>
        </w:tc>
        <w:tc>
          <w:tcPr>
            <w:tcW w:w="1292" w:type="dxa"/>
            <w:vAlign w:val="bottom"/>
          </w:tcPr>
          <w:p>
            <w:pPr>
              <w:pStyle w:val="yTableNAm"/>
            </w:pPr>
            <w:r>
              <w:rPr>
                <w:szCs w:val="22"/>
              </w:rPr>
              <w:t>174.7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500 but not over 550 kL </w:t>
            </w:r>
            <w: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550 but not over 950 kL </w:t>
            </w:r>
            <w: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950 kL </w:t>
            </w:r>
            <w:r>
              <w:tab/>
            </w:r>
          </w:p>
        </w:tc>
        <w:tc>
          <w:tcPr>
            <w:tcW w:w="1292" w:type="dxa"/>
            <w:vAlign w:val="bottom"/>
          </w:tcPr>
          <w:p>
            <w:pPr>
              <w:pStyle w:val="yTableNAm"/>
            </w:pPr>
            <w:r>
              <w:rPr>
                <w:szCs w:val="22"/>
              </w:rPr>
              <w:t>239.8 cents</w:t>
            </w:r>
          </w:p>
        </w:tc>
      </w:tr>
      <w:tr>
        <w:trPr>
          <w:cantSplit/>
        </w:trPr>
        <w:tc>
          <w:tcPr>
            <w:tcW w:w="850" w:type="dxa"/>
          </w:tcPr>
          <w:p>
            <w:pPr>
              <w:pStyle w:val="yTableNAm"/>
            </w:pPr>
            <w:r>
              <w:rPr>
                <w:b/>
                <w:bCs/>
              </w:rPr>
              <w:t>21.</w:t>
            </w:r>
          </w:p>
        </w:tc>
        <w:tc>
          <w:tcPr>
            <w:tcW w:w="4237" w:type="dxa"/>
          </w:tcPr>
          <w:p>
            <w:pPr>
              <w:pStyle w:val="yTableNAm"/>
              <w:tabs>
                <w:tab w:val="left" w:leader="dot" w:pos="4876"/>
              </w:tabs>
            </w:pPr>
            <w:r>
              <w:rPr>
                <w:b/>
                <w:bCs/>
              </w:rPr>
              <w:t>Metropolitan semi</w:t>
            </w:r>
            <w:r>
              <w:rPr>
                <w:b/>
                <w:bCs/>
              </w:rPr>
              <w:noBreakHyphen/>
              <w:t>rural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left" w:leader="dot" w:pos="4876"/>
              </w:tabs>
            </w:pPr>
            <w:r>
              <w:t>For each kilolitre of water supplied to a semi</w:t>
            </w:r>
            <w:r>
              <w:noBreakHyphen/>
              <w:t>rural residential property, not being water for which a charge is otherwise specifically provided in this Division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up to 150 kL </w:t>
            </w:r>
            <w:r>
              <w:tab/>
            </w:r>
          </w:p>
        </w:tc>
        <w:tc>
          <w:tcPr>
            <w:tcW w:w="1292" w:type="dxa"/>
            <w:vAlign w:val="bottom"/>
          </w:tcPr>
          <w:p>
            <w:pPr>
              <w:pStyle w:val="yTableNAm"/>
            </w:pPr>
            <w:r>
              <w:rPr>
                <w:szCs w:val="22"/>
              </w:rPr>
              <w:t>133.6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150 but not over 350 kL </w:t>
            </w:r>
            <w:r>
              <w:tab/>
            </w:r>
          </w:p>
        </w:tc>
        <w:tc>
          <w:tcPr>
            <w:tcW w:w="1292" w:type="dxa"/>
            <w:vAlign w:val="bottom"/>
          </w:tcPr>
          <w:p>
            <w:pPr>
              <w:pStyle w:val="yTableNAm"/>
            </w:pPr>
            <w:r>
              <w:rPr>
                <w:szCs w:val="22"/>
              </w:rPr>
              <w:t>174.7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350 but not over 500 kL </w:t>
            </w:r>
            <w:r>
              <w:tab/>
            </w:r>
          </w:p>
        </w:tc>
        <w:tc>
          <w:tcPr>
            <w:tcW w:w="1292" w:type="dxa"/>
            <w:vAlign w:val="bottom"/>
          </w:tcPr>
          <w:p>
            <w:pPr>
              <w:pStyle w:val="yTableNAm"/>
            </w:pPr>
            <w:r>
              <w:rPr>
                <w:szCs w:val="22"/>
              </w:rPr>
              <w:t>174.7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500 but not over 550 kL </w:t>
            </w:r>
            <w: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550 but not over 950 kL </w:t>
            </w:r>
            <w: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950 kL </w:t>
            </w:r>
            <w:r>
              <w:tab/>
            </w:r>
          </w:p>
        </w:tc>
        <w:tc>
          <w:tcPr>
            <w:tcW w:w="1292" w:type="dxa"/>
            <w:vAlign w:val="bottom"/>
          </w:tcPr>
          <w:p>
            <w:pPr>
              <w:pStyle w:val="yTableNAm"/>
            </w:pPr>
            <w:r>
              <w:rPr>
                <w:szCs w:val="22"/>
              </w:rPr>
              <w:t>239.8 cents</w:t>
            </w:r>
          </w:p>
        </w:tc>
      </w:tr>
      <w:tr>
        <w:trPr>
          <w:cantSplit/>
        </w:trPr>
        <w:tc>
          <w:tcPr>
            <w:tcW w:w="850" w:type="dxa"/>
          </w:tcPr>
          <w:p>
            <w:pPr>
              <w:pStyle w:val="yTableNAm"/>
              <w:keepNext/>
            </w:pPr>
            <w:r>
              <w:rPr>
                <w:b/>
                <w:bCs/>
              </w:rPr>
              <w:t>22.</w:t>
            </w:r>
          </w:p>
        </w:tc>
        <w:tc>
          <w:tcPr>
            <w:tcW w:w="4237" w:type="dxa"/>
          </w:tcPr>
          <w:p>
            <w:pPr>
              <w:pStyle w:val="yTableNAm"/>
              <w:keepNext/>
              <w:tabs>
                <w:tab w:val="left" w:leader="dot" w:pos="4876"/>
              </w:tabs>
            </w:pPr>
            <w:r>
              <w:rPr>
                <w:b/>
                <w:bCs/>
              </w:rPr>
              <w:t>Non</w:t>
            </w:r>
            <w:r>
              <w:rPr>
                <w:b/>
                <w:bCs/>
              </w:rPr>
              <w:noBreakHyphen/>
              <w:t>metropolitan residential</w:t>
            </w:r>
          </w:p>
        </w:tc>
        <w:tc>
          <w:tcPr>
            <w:tcW w:w="1292" w:type="dxa"/>
            <w:vAlign w:val="bottom"/>
          </w:tcPr>
          <w:p>
            <w:pPr>
              <w:pStyle w:val="yTableNAm"/>
              <w:keepNext/>
            </w:pPr>
          </w:p>
        </w:tc>
      </w:tr>
      <w:tr>
        <w:trPr>
          <w:cantSplit/>
        </w:trPr>
        <w:tc>
          <w:tcPr>
            <w:tcW w:w="850" w:type="dxa"/>
          </w:tcPr>
          <w:p>
            <w:pPr>
              <w:pStyle w:val="zyTableNAm"/>
              <w:keepNext/>
              <w:keepLines/>
            </w:pPr>
          </w:p>
        </w:tc>
        <w:tc>
          <w:tcPr>
            <w:tcW w:w="4237" w:type="dxa"/>
          </w:tcPr>
          <w:p>
            <w:pPr>
              <w:pStyle w:val="yTableNAm"/>
              <w:tabs>
                <w:tab w:val="left" w:leader="dot" w:pos="4876"/>
              </w:tabs>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92" w:type="dxa"/>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850"/>
        <w:gridCol w:w="567"/>
        <w:gridCol w:w="992"/>
        <w:gridCol w:w="992"/>
        <w:gridCol w:w="992"/>
        <w:gridCol w:w="694"/>
        <w:gridCol w:w="298"/>
        <w:gridCol w:w="994"/>
        <w:gridCol w:w="80"/>
      </w:tblGrid>
      <w:tr>
        <w:trPr>
          <w:cantSplit/>
          <w:tblHeader/>
        </w:trPr>
        <w:tc>
          <w:tcPr>
            <w:tcW w:w="1417" w:type="dxa"/>
            <w:gridSpan w:val="2"/>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jc w:val="center"/>
            </w:pPr>
            <w:r>
              <w:rPr>
                <w:b/>
                <w:bCs/>
              </w:rPr>
              <w:t>Class 1 (c/kL)</w:t>
            </w:r>
          </w:p>
        </w:tc>
        <w:tc>
          <w:tcPr>
            <w:tcW w:w="992" w:type="dxa"/>
            <w:tcBorders>
              <w:top w:val="single" w:sz="4" w:space="0" w:color="auto"/>
              <w:bottom w:val="single" w:sz="4" w:space="0" w:color="auto"/>
            </w:tcBorders>
          </w:tcPr>
          <w:p>
            <w:pPr>
              <w:pStyle w:val="yTableNAm"/>
              <w:jc w:val="center"/>
            </w:pPr>
            <w:r>
              <w:rPr>
                <w:b/>
                <w:bCs/>
              </w:rPr>
              <w:t>Class 2 (c/kL)</w:t>
            </w:r>
          </w:p>
        </w:tc>
        <w:tc>
          <w:tcPr>
            <w:tcW w:w="992" w:type="dxa"/>
            <w:tcBorders>
              <w:top w:val="single" w:sz="4" w:space="0" w:color="auto"/>
              <w:bottom w:val="single" w:sz="4" w:space="0" w:color="auto"/>
            </w:tcBorders>
          </w:tcPr>
          <w:p>
            <w:pPr>
              <w:pStyle w:val="yTableNAm"/>
              <w:jc w:val="center"/>
            </w:pPr>
            <w:r>
              <w:rPr>
                <w:b/>
                <w:bCs/>
              </w:rPr>
              <w:t>Class 3 (c/kL)</w:t>
            </w:r>
          </w:p>
        </w:tc>
        <w:tc>
          <w:tcPr>
            <w:tcW w:w="992" w:type="dxa"/>
            <w:gridSpan w:val="2"/>
            <w:tcBorders>
              <w:top w:val="single" w:sz="4" w:space="0" w:color="auto"/>
              <w:bottom w:val="single" w:sz="4" w:space="0" w:color="auto"/>
            </w:tcBorders>
          </w:tcPr>
          <w:p>
            <w:pPr>
              <w:pStyle w:val="yTableNAm"/>
              <w:jc w:val="center"/>
            </w:pPr>
            <w:r>
              <w:rPr>
                <w:b/>
                <w:bCs/>
              </w:rPr>
              <w:t>Class 4 (c/kL)</w:t>
            </w:r>
          </w:p>
        </w:tc>
        <w:tc>
          <w:tcPr>
            <w:tcW w:w="1074" w:type="dxa"/>
            <w:gridSpan w:val="2"/>
            <w:tcBorders>
              <w:top w:val="single" w:sz="4" w:space="0" w:color="auto"/>
              <w:bottom w:val="single" w:sz="4" w:space="0" w:color="auto"/>
            </w:tcBorders>
          </w:tcPr>
          <w:p>
            <w:pPr>
              <w:pStyle w:val="yTableNAm"/>
              <w:jc w:val="center"/>
            </w:pPr>
            <w:r>
              <w:rPr>
                <w:b/>
                <w:bCs/>
              </w:rPr>
              <w:t>Class 5 (c/kL)</w:t>
            </w:r>
          </w:p>
        </w:tc>
      </w:tr>
      <w:tr>
        <w:trPr>
          <w:cantSplit/>
        </w:trPr>
        <w:tc>
          <w:tcPr>
            <w:tcW w:w="1417" w:type="dxa"/>
            <w:gridSpan w:val="2"/>
          </w:tcPr>
          <w:p>
            <w:pPr>
              <w:pStyle w:val="yTableNAm"/>
            </w:pPr>
            <w:r>
              <w:t>Up to 150</w:t>
            </w:r>
          </w:p>
        </w:tc>
        <w:tc>
          <w:tcPr>
            <w:tcW w:w="992" w:type="dxa"/>
            <w:vAlign w:val="bottom"/>
          </w:tcPr>
          <w:p>
            <w:pPr>
              <w:pStyle w:val="yTableNAm"/>
              <w:jc w:val="center"/>
            </w:pPr>
            <w:r>
              <w:rPr>
                <w:szCs w:val="22"/>
              </w:rPr>
              <w:t>104.0</w:t>
            </w:r>
          </w:p>
        </w:tc>
        <w:tc>
          <w:tcPr>
            <w:tcW w:w="992" w:type="dxa"/>
            <w:vAlign w:val="bottom"/>
          </w:tcPr>
          <w:p>
            <w:pPr>
              <w:pStyle w:val="yTableNAm"/>
              <w:jc w:val="center"/>
            </w:pPr>
            <w:r>
              <w:rPr>
                <w:szCs w:val="22"/>
              </w:rPr>
              <w:t>133.6</w:t>
            </w:r>
          </w:p>
        </w:tc>
        <w:tc>
          <w:tcPr>
            <w:tcW w:w="992" w:type="dxa"/>
            <w:vAlign w:val="bottom"/>
          </w:tcPr>
          <w:p>
            <w:pPr>
              <w:pStyle w:val="yTableNAm"/>
              <w:jc w:val="center"/>
            </w:pPr>
            <w:r>
              <w:rPr>
                <w:szCs w:val="22"/>
              </w:rPr>
              <w:t>133.6</w:t>
            </w:r>
          </w:p>
        </w:tc>
        <w:tc>
          <w:tcPr>
            <w:tcW w:w="992" w:type="dxa"/>
            <w:gridSpan w:val="2"/>
            <w:vAlign w:val="bottom"/>
          </w:tcPr>
          <w:p>
            <w:pPr>
              <w:pStyle w:val="yTableNAm"/>
              <w:jc w:val="center"/>
            </w:pPr>
            <w:r>
              <w:rPr>
                <w:szCs w:val="22"/>
              </w:rPr>
              <w:t>133.6</w:t>
            </w:r>
          </w:p>
        </w:tc>
        <w:tc>
          <w:tcPr>
            <w:tcW w:w="1074" w:type="dxa"/>
            <w:gridSpan w:val="2"/>
            <w:vAlign w:val="bottom"/>
          </w:tcPr>
          <w:p>
            <w:pPr>
              <w:pStyle w:val="yTableNAm"/>
              <w:jc w:val="center"/>
            </w:pPr>
            <w:r>
              <w:rPr>
                <w:szCs w:val="22"/>
              </w:rPr>
              <w:t>133.6</w:t>
            </w:r>
          </w:p>
        </w:tc>
      </w:tr>
      <w:tr>
        <w:trPr>
          <w:cantSplit/>
        </w:trPr>
        <w:tc>
          <w:tcPr>
            <w:tcW w:w="1417" w:type="dxa"/>
            <w:gridSpan w:val="2"/>
          </w:tcPr>
          <w:p>
            <w:pPr>
              <w:pStyle w:val="yTableNAm"/>
            </w:pPr>
            <w:r>
              <w:t>Over 150 but not over 300</w:t>
            </w:r>
          </w:p>
        </w:tc>
        <w:tc>
          <w:tcPr>
            <w:tcW w:w="992" w:type="dxa"/>
            <w:vAlign w:val="bottom"/>
          </w:tcPr>
          <w:p>
            <w:pPr>
              <w:pStyle w:val="yTableNAm"/>
              <w:jc w:val="center"/>
            </w:pPr>
            <w:r>
              <w:rPr>
                <w:szCs w:val="22"/>
              </w:rPr>
              <w:t>135.5</w:t>
            </w:r>
          </w:p>
        </w:tc>
        <w:tc>
          <w:tcPr>
            <w:tcW w:w="992" w:type="dxa"/>
            <w:vAlign w:val="bottom"/>
          </w:tcPr>
          <w:p>
            <w:pPr>
              <w:pStyle w:val="yTableNAm"/>
              <w:jc w:val="center"/>
            </w:pPr>
            <w:r>
              <w:rPr>
                <w:szCs w:val="22"/>
              </w:rPr>
              <w:t>174.7</w:t>
            </w:r>
          </w:p>
        </w:tc>
        <w:tc>
          <w:tcPr>
            <w:tcW w:w="992" w:type="dxa"/>
            <w:vAlign w:val="bottom"/>
          </w:tcPr>
          <w:p>
            <w:pPr>
              <w:pStyle w:val="yTableNAm"/>
              <w:jc w:val="center"/>
            </w:pPr>
            <w:r>
              <w:rPr>
                <w:szCs w:val="22"/>
              </w:rPr>
              <w:t>174.7</w:t>
            </w:r>
          </w:p>
        </w:tc>
        <w:tc>
          <w:tcPr>
            <w:tcW w:w="992" w:type="dxa"/>
            <w:gridSpan w:val="2"/>
            <w:vAlign w:val="bottom"/>
          </w:tcPr>
          <w:p>
            <w:pPr>
              <w:pStyle w:val="yTableNAm"/>
              <w:jc w:val="center"/>
            </w:pPr>
            <w:r>
              <w:rPr>
                <w:szCs w:val="22"/>
              </w:rPr>
              <w:t>174.7</w:t>
            </w:r>
          </w:p>
        </w:tc>
        <w:tc>
          <w:tcPr>
            <w:tcW w:w="1074" w:type="dxa"/>
            <w:gridSpan w:val="2"/>
            <w:vAlign w:val="bottom"/>
          </w:tcPr>
          <w:p>
            <w:pPr>
              <w:pStyle w:val="yTableNAm"/>
              <w:jc w:val="center"/>
            </w:pPr>
            <w:r>
              <w:rPr>
                <w:szCs w:val="22"/>
              </w:rPr>
              <w:t>174.7</w:t>
            </w:r>
          </w:p>
        </w:tc>
      </w:tr>
      <w:tr>
        <w:trPr>
          <w:cantSplit/>
        </w:trPr>
        <w:tc>
          <w:tcPr>
            <w:tcW w:w="1417" w:type="dxa"/>
            <w:gridSpan w:val="2"/>
          </w:tcPr>
          <w:p>
            <w:pPr>
              <w:pStyle w:val="yTableNAm"/>
            </w:pPr>
            <w:r>
              <w:t>Over 300 but not over 350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gridSpan w:val="2"/>
            <w:vAlign w:val="bottom"/>
          </w:tcPr>
          <w:p>
            <w:pPr>
              <w:pStyle w:val="yTableNAm"/>
              <w:jc w:val="center"/>
            </w:pPr>
            <w:r>
              <w:rPr>
                <w:szCs w:val="22"/>
              </w:rPr>
              <w:t>306.1</w:t>
            </w:r>
          </w:p>
        </w:tc>
        <w:tc>
          <w:tcPr>
            <w:tcW w:w="1074" w:type="dxa"/>
            <w:gridSpan w:val="2"/>
            <w:vAlign w:val="bottom"/>
          </w:tcPr>
          <w:p>
            <w:pPr>
              <w:pStyle w:val="yTableNAm"/>
              <w:jc w:val="center"/>
            </w:pPr>
            <w:r>
              <w:rPr>
                <w:szCs w:val="22"/>
              </w:rPr>
              <w:t>360.0</w:t>
            </w:r>
          </w:p>
        </w:tc>
      </w:tr>
      <w:tr>
        <w:trPr>
          <w:cantSplit/>
        </w:trPr>
        <w:tc>
          <w:tcPr>
            <w:tcW w:w="1417" w:type="dxa"/>
            <w:gridSpan w:val="2"/>
          </w:tcPr>
          <w:p>
            <w:pPr>
              <w:pStyle w:val="yTableNAm"/>
            </w:pPr>
            <w:r>
              <w:t>Over 350 but not over 450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gridSpan w:val="2"/>
            <w:vAlign w:val="bottom"/>
          </w:tcPr>
          <w:p>
            <w:pPr>
              <w:pStyle w:val="yTableNAm"/>
              <w:jc w:val="center"/>
            </w:pPr>
            <w:r>
              <w:rPr>
                <w:szCs w:val="22"/>
              </w:rPr>
              <w:t>306.1</w:t>
            </w:r>
          </w:p>
        </w:tc>
        <w:tc>
          <w:tcPr>
            <w:tcW w:w="1074" w:type="dxa"/>
            <w:gridSpan w:val="2"/>
            <w:vAlign w:val="bottom"/>
          </w:tcPr>
          <w:p>
            <w:pPr>
              <w:pStyle w:val="yTableNAm"/>
              <w:jc w:val="center"/>
            </w:pPr>
            <w:r>
              <w:rPr>
                <w:szCs w:val="22"/>
              </w:rPr>
              <w:t>360.0</w:t>
            </w:r>
          </w:p>
        </w:tc>
      </w:tr>
      <w:tr>
        <w:trPr>
          <w:cantSplit/>
        </w:trPr>
        <w:tc>
          <w:tcPr>
            <w:tcW w:w="1417" w:type="dxa"/>
            <w:gridSpan w:val="2"/>
          </w:tcPr>
          <w:p>
            <w:pPr>
              <w:pStyle w:val="yTableNAm"/>
            </w:pPr>
            <w:r>
              <w:t>Over 450 but not over 550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gridSpan w:val="2"/>
            <w:vAlign w:val="bottom"/>
          </w:tcPr>
          <w:p>
            <w:pPr>
              <w:pStyle w:val="yTableNAm"/>
              <w:jc w:val="center"/>
            </w:pPr>
            <w:r>
              <w:rPr>
                <w:szCs w:val="22"/>
              </w:rPr>
              <w:t>306.1</w:t>
            </w:r>
          </w:p>
        </w:tc>
        <w:tc>
          <w:tcPr>
            <w:tcW w:w="1074" w:type="dxa"/>
            <w:gridSpan w:val="2"/>
            <w:vAlign w:val="bottom"/>
          </w:tcPr>
          <w:p>
            <w:pPr>
              <w:pStyle w:val="yTableNAm"/>
              <w:jc w:val="center"/>
            </w:pPr>
            <w:r>
              <w:rPr>
                <w:szCs w:val="22"/>
              </w:rPr>
              <w:t>360.0</w:t>
            </w:r>
          </w:p>
        </w:tc>
      </w:tr>
      <w:tr>
        <w:trPr>
          <w:cantSplit/>
        </w:trPr>
        <w:tc>
          <w:tcPr>
            <w:tcW w:w="1417" w:type="dxa"/>
            <w:gridSpan w:val="2"/>
          </w:tcPr>
          <w:p>
            <w:pPr>
              <w:pStyle w:val="yTableNAm"/>
            </w:pPr>
            <w:r>
              <w:t>Over 550 but not over 750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gridSpan w:val="2"/>
            <w:vAlign w:val="bottom"/>
          </w:tcPr>
          <w:p>
            <w:pPr>
              <w:pStyle w:val="yTableNAm"/>
              <w:jc w:val="center"/>
            </w:pPr>
            <w:r>
              <w:rPr>
                <w:szCs w:val="22"/>
              </w:rPr>
              <w:t>458.9</w:t>
            </w:r>
          </w:p>
        </w:tc>
        <w:tc>
          <w:tcPr>
            <w:tcW w:w="1074" w:type="dxa"/>
            <w:gridSpan w:val="2"/>
            <w:vAlign w:val="bottom"/>
          </w:tcPr>
          <w:p>
            <w:pPr>
              <w:pStyle w:val="yTableNAm"/>
              <w:jc w:val="center"/>
            </w:pPr>
            <w:r>
              <w:rPr>
                <w:szCs w:val="22"/>
              </w:rPr>
              <w:t>634.7</w:t>
            </w:r>
          </w:p>
        </w:tc>
      </w:tr>
      <w:tr>
        <w:trPr>
          <w:cantSplit/>
        </w:trPr>
        <w:tc>
          <w:tcPr>
            <w:tcW w:w="1417" w:type="dxa"/>
            <w:gridSpan w:val="2"/>
          </w:tcPr>
          <w:p>
            <w:pPr>
              <w:pStyle w:val="yTableNAm"/>
            </w:pPr>
            <w:r>
              <w:t>Over 750 but not over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gridSpan w:val="2"/>
            <w:vAlign w:val="bottom"/>
          </w:tcPr>
          <w:p>
            <w:pPr>
              <w:pStyle w:val="yTableNAm"/>
              <w:jc w:val="center"/>
            </w:pPr>
            <w:r>
              <w:rPr>
                <w:szCs w:val="22"/>
              </w:rPr>
              <w:t>458.9</w:t>
            </w:r>
          </w:p>
        </w:tc>
        <w:tc>
          <w:tcPr>
            <w:tcW w:w="1074" w:type="dxa"/>
            <w:gridSpan w:val="2"/>
            <w:vAlign w:val="bottom"/>
          </w:tcPr>
          <w:p>
            <w:pPr>
              <w:pStyle w:val="yTableNAm"/>
              <w:jc w:val="center"/>
            </w:pPr>
            <w:r>
              <w:rPr>
                <w:szCs w:val="22"/>
              </w:rPr>
              <w:t>634.7</w:t>
            </w:r>
          </w:p>
        </w:tc>
      </w:tr>
      <w:tr>
        <w:trPr>
          <w:cantSplit/>
        </w:trPr>
        <w:tc>
          <w:tcPr>
            <w:tcW w:w="1417" w:type="dxa"/>
            <w:gridSpan w:val="2"/>
          </w:tcPr>
          <w:p>
            <w:pPr>
              <w:pStyle w:val="yTableNAm"/>
            </w:pPr>
            <w:r>
              <w:lastRenderedPageBreak/>
              <w:t>Over 950 but not over 1 150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gridSpan w:val="2"/>
            <w:vAlign w:val="bottom"/>
          </w:tcPr>
          <w:p>
            <w:pPr>
              <w:pStyle w:val="yTableNAm"/>
              <w:jc w:val="center"/>
            </w:pPr>
            <w:r>
              <w:rPr>
                <w:szCs w:val="22"/>
              </w:rPr>
              <w:t>458.9</w:t>
            </w:r>
          </w:p>
        </w:tc>
        <w:tc>
          <w:tcPr>
            <w:tcW w:w="1074" w:type="dxa"/>
            <w:gridSpan w:val="2"/>
            <w:vAlign w:val="bottom"/>
          </w:tcPr>
          <w:p>
            <w:pPr>
              <w:pStyle w:val="yTableNAm"/>
              <w:jc w:val="center"/>
            </w:pPr>
            <w:r>
              <w:rPr>
                <w:szCs w:val="22"/>
              </w:rPr>
              <w:t>634.7</w:t>
            </w:r>
          </w:p>
        </w:tc>
      </w:tr>
      <w:tr>
        <w:trPr>
          <w:cantSplit/>
        </w:trPr>
        <w:tc>
          <w:tcPr>
            <w:tcW w:w="1417" w:type="dxa"/>
            <w:gridSpan w:val="2"/>
          </w:tcPr>
          <w:p>
            <w:pPr>
              <w:pStyle w:val="yTableNAm"/>
            </w:pPr>
            <w:r>
              <w:t>Over 1 150 but not over 1 550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gridSpan w:val="2"/>
            <w:vAlign w:val="bottom"/>
          </w:tcPr>
          <w:p>
            <w:pPr>
              <w:pStyle w:val="yTableNAm"/>
              <w:jc w:val="center"/>
            </w:pPr>
            <w:r>
              <w:rPr>
                <w:szCs w:val="22"/>
              </w:rPr>
              <w:t>458.9</w:t>
            </w:r>
          </w:p>
        </w:tc>
        <w:tc>
          <w:tcPr>
            <w:tcW w:w="1074" w:type="dxa"/>
            <w:gridSpan w:val="2"/>
            <w:vAlign w:val="bottom"/>
          </w:tcPr>
          <w:p>
            <w:pPr>
              <w:pStyle w:val="yTableNAm"/>
              <w:jc w:val="center"/>
            </w:pPr>
            <w:r>
              <w:rPr>
                <w:szCs w:val="22"/>
              </w:rPr>
              <w:t>634.7</w:t>
            </w:r>
          </w:p>
        </w:tc>
      </w:tr>
      <w:tr>
        <w:trPr>
          <w:cantSplit/>
        </w:trPr>
        <w:tc>
          <w:tcPr>
            <w:tcW w:w="1417" w:type="dxa"/>
            <w:gridSpan w:val="2"/>
          </w:tcPr>
          <w:p>
            <w:pPr>
              <w:pStyle w:val="yTableNAm"/>
            </w:pPr>
            <w:r>
              <w:t>Over 1 550 but not over 1 950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gridSpan w:val="2"/>
            <w:vAlign w:val="bottom"/>
          </w:tcPr>
          <w:p>
            <w:pPr>
              <w:pStyle w:val="yTableNAm"/>
              <w:jc w:val="center"/>
            </w:pPr>
            <w:r>
              <w:rPr>
                <w:szCs w:val="22"/>
              </w:rPr>
              <w:t>458.9</w:t>
            </w:r>
          </w:p>
        </w:tc>
        <w:tc>
          <w:tcPr>
            <w:tcW w:w="1074" w:type="dxa"/>
            <w:gridSpan w:val="2"/>
            <w:vAlign w:val="bottom"/>
          </w:tcPr>
          <w:p>
            <w:pPr>
              <w:pStyle w:val="yTableNAm"/>
              <w:jc w:val="center"/>
            </w:pPr>
            <w:r>
              <w:rPr>
                <w:szCs w:val="22"/>
              </w:rPr>
              <w:t>634.7</w:t>
            </w:r>
          </w:p>
        </w:tc>
      </w:tr>
      <w:tr>
        <w:trPr>
          <w:cantSplit/>
        </w:trPr>
        <w:tc>
          <w:tcPr>
            <w:tcW w:w="1417" w:type="dxa"/>
            <w:gridSpan w:val="2"/>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pPr>
            <w:r>
              <w:rPr>
                <w:szCs w:val="22"/>
              </w:rPr>
              <w:t>173.4</w:t>
            </w:r>
          </w:p>
        </w:tc>
        <w:tc>
          <w:tcPr>
            <w:tcW w:w="992" w:type="dxa"/>
            <w:tcBorders>
              <w:bottom w:val="single" w:sz="4" w:space="0" w:color="auto"/>
            </w:tcBorders>
            <w:vAlign w:val="bottom"/>
          </w:tcPr>
          <w:p>
            <w:pPr>
              <w:pStyle w:val="yTableNAm"/>
              <w:jc w:val="center"/>
            </w:pPr>
            <w:r>
              <w:rPr>
                <w:szCs w:val="22"/>
              </w:rPr>
              <w:t>239.8</w:t>
            </w:r>
          </w:p>
        </w:tc>
        <w:tc>
          <w:tcPr>
            <w:tcW w:w="992" w:type="dxa"/>
            <w:tcBorders>
              <w:bottom w:val="single" w:sz="4" w:space="0" w:color="auto"/>
            </w:tcBorders>
            <w:vAlign w:val="bottom"/>
          </w:tcPr>
          <w:p>
            <w:pPr>
              <w:pStyle w:val="yTableNAm"/>
              <w:jc w:val="center"/>
            </w:pPr>
            <w:r>
              <w:rPr>
                <w:szCs w:val="22"/>
              </w:rPr>
              <w:t>331.7</w:t>
            </w:r>
          </w:p>
        </w:tc>
        <w:tc>
          <w:tcPr>
            <w:tcW w:w="992" w:type="dxa"/>
            <w:gridSpan w:val="2"/>
            <w:tcBorders>
              <w:bottom w:val="single" w:sz="4" w:space="0" w:color="auto"/>
            </w:tcBorders>
            <w:vAlign w:val="bottom"/>
          </w:tcPr>
          <w:p>
            <w:pPr>
              <w:pStyle w:val="yTableNAm"/>
              <w:jc w:val="center"/>
            </w:pPr>
            <w:r>
              <w:rPr>
                <w:szCs w:val="22"/>
              </w:rPr>
              <w:t>458.9</w:t>
            </w:r>
          </w:p>
        </w:tc>
        <w:tc>
          <w:tcPr>
            <w:tcW w:w="1074" w:type="dxa"/>
            <w:gridSpan w:val="2"/>
            <w:tcBorders>
              <w:bottom w:val="single" w:sz="4" w:space="0" w:color="auto"/>
            </w:tcBorders>
            <w:vAlign w:val="bottom"/>
          </w:tcPr>
          <w:p>
            <w:pPr>
              <w:pStyle w:val="yTableNAm"/>
              <w:jc w:val="center"/>
            </w:pPr>
            <w:r>
              <w:rPr>
                <w:szCs w:val="22"/>
              </w:rPr>
              <w:t>634.7</w:t>
            </w:r>
          </w:p>
        </w:tc>
      </w:tr>
      <w:tr>
        <w:tblPrEx>
          <w:tblCellMar>
            <w:left w:w="108" w:type="dxa"/>
            <w:right w:w="108" w:type="dxa"/>
          </w:tblCellMar>
        </w:tblPrEx>
        <w:trPr>
          <w:gridAfter w:val="1"/>
          <w:wAfter w:w="80" w:type="dxa"/>
          <w:cantSplit/>
        </w:trPr>
        <w:tc>
          <w:tcPr>
            <w:tcW w:w="850" w:type="dxa"/>
          </w:tcPr>
          <w:p>
            <w:pPr>
              <w:pStyle w:val="zyTableNAm"/>
              <w:rPr>
                <w:rStyle w:val="CharSClsNo"/>
              </w:rPr>
            </w:pPr>
          </w:p>
        </w:tc>
        <w:tc>
          <w:tcPr>
            <w:tcW w:w="4237" w:type="dxa"/>
            <w:gridSpan w:val="5"/>
          </w:tcPr>
          <w:p>
            <w:pPr>
              <w:pStyle w:val="yTableNAm"/>
            </w:pPr>
            <w:r>
              <w:t>except that if the property is —</w:t>
            </w:r>
          </w:p>
        </w:tc>
        <w:tc>
          <w:tcPr>
            <w:tcW w:w="1292" w:type="dxa"/>
            <w:gridSpan w:val="2"/>
          </w:tcPr>
          <w:p>
            <w:pPr>
              <w:pStyle w:val="yTableNAm"/>
              <w:jc w:val="center"/>
            </w:pPr>
          </w:p>
        </w:tc>
      </w:tr>
      <w:tr>
        <w:tblPrEx>
          <w:tblCellMar>
            <w:left w:w="108" w:type="dxa"/>
            <w:right w:w="108" w:type="dxa"/>
          </w:tblCellMar>
        </w:tblPrEx>
        <w:trPr>
          <w:gridAfter w:val="1"/>
          <w:wAfter w:w="80" w:type="dxa"/>
          <w:cantSplit/>
        </w:trPr>
        <w:tc>
          <w:tcPr>
            <w:tcW w:w="850" w:type="dxa"/>
          </w:tcPr>
          <w:p>
            <w:pPr>
              <w:pStyle w:val="zyTableNAm"/>
              <w:rPr>
                <w:rStyle w:val="CharSClsNo"/>
                <w:b/>
                <w:bCs/>
              </w:rPr>
            </w:pPr>
          </w:p>
        </w:tc>
        <w:tc>
          <w:tcPr>
            <w:tcW w:w="4237" w:type="dxa"/>
            <w:gridSpan w:val="5"/>
          </w:tcPr>
          <w:p>
            <w:pPr>
              <w:pStyle w:val="yTableNAm"/>
              <w:tabs>
                <w:tab w:val="clear" w:pos="567"/>
                <w:tab w:val="left" w:pos="296"/>
                <w:tab w:val="left" w:pos="776"/>
                <w:tab w:val="left" w:leader="dot" w:pos="4876"/>
              </w:tabs>
              <w:ind w:left="776" w:hanging="776"/>
            </w:pPr>
            <w:r>
              <w:rPr>
                <w:snapToGrid w:val="0"/>
              </w:rPr>
              <w:tab/>
              <w:t>(a)</w:t>
            </w:r>
            <w:r>
              <w:rPr>
                <w:snapToGrid w:val="0"/>
              </w:rPr>
              <w:tab/>
              <w:t>in the town of Cue, Laverton, Leonora, Meekatharra, Menzies, Mt Magnet, Mullewa, Sandstone, Wiluna or Yalgoo; or</w:t>
            </w:r>
          </w:p>
        </w:tc>
        <w:tc>
          <w:tcPr>
            <w:tcW w:w="1292" w:type="dxa"/>
            <w:gridSpan w:val="2"/>
          </w:tcPr>
          <w:p>
            <w:pPr>
              <w:pStyle w:val="yTableNAm"/>
              <w:jc w:val="center"/>
            </w:pPr>
          </w:p>
        </w:tc>
      </w:tr>
      <w:tr>
        <w:tblPrEx>
          <w:tblCellMar>
            <w:left w:w="108" w:type="dxa"/>
            <w:right w:w="108" w:type="dxa"/>
          </w:tblCellMar>
        </w:tblPrEx>
        <w:trPr>
          <w:gridAfter w:val="1"/>
          <w:wAfter w:w="80" w:type="dxa"/>
          <w:cantSplit/>
        </w:trPr>
        <w:tc>
          <w:tcPr>
            <w:tcW w:w="850" w:type="dxa"/>
          </w:tcPr>
          <w:p>
            <w:pPr>
              <w:pStyle w:val="zyTableNAm"/>
              <w:rPr>
                <w:rStyle w:val="CharSClsNo"/>
              </w:rPr>
            </w:pPr>
          </w:p>
        </w:tc>
        <w:tc>
          <w:tcPr>
            <w:tcW w:w="4237" w:type="dxa"/>
            <w:gridSpan w:val="5"/>
          </w:tcPr>
          <w:p>
            <w:pPr>
              <w:pStyle w:val="yTableNAm"/>
              <w:tabs>
                <w:tab w:val="clear" w:pos="567"/>
                <w:tab w:val="left" w:pos="296"/>
                <w:tab w:val="left" w:pos="776"/>
                <w:tab w:val="left" w:leader="dot" w:pos="4876"/>
              </w:tabs>
              <w:ind w:left="776" w:hanging="776"/>
            </w:pPr>
            <w:r>
              <w:rPr>
                <w:snapToGrid w:val="0"/>
              </w:rPr>
              <w:tab/>
              <w:t>(b)</w:t>
            </w:r>
            <w:r>
              <w:rPr>
                <w:snapToGrid w:val="0"/>
              </w:rPr>
              <w:tab/>
              <w:t>north of 26ºS Latitude,</w:t>
            </w:r>
          </w:p>
        </w:tc>
        <w:tc>
          <w:tcPr>
            <w:tcW w:w="1292" w:type="dxa"/>
            <w:gridSpan w:val="2"/>
          </w:tcPr>
          <w:p>
            <w:pPr>
              <w:pStyle w:val="yTableNAm"/>
              <w:jc w:val="center"/>
            </w:pPr>
          </w:p>
        </w:tc>
      </w:tr>
      <w:tr>
        <w:tblPrEx>
          <w:tblCellMar>
            <w:left w:w="108" w:type="dxa"/>
            <w:right w:w="108" w:type="dxa"/>
          </w:tblCellMar>
        </w:tblPrEx>
        <w:trPr>
          <w:gridAfter w:val="1"/>
          <w:wAfter w:w="80" w:type="dxa"/>
          <w:cantSplit/>
        </w:trPr>
        <w:tc>
          <w:tcPr>
            <w:tcW w:w="850" w:type="dxa"/>
          </w:tcPr>
          <w:p>
            <w:pPr>
              <w:pStyle w:val="zyTableNAm"/>
              <w:rPr>
                <w:rStyle w:val="CharSClsNo"/>
              </w:rPr>
            </w:pPr>
          </w:p>
        </w:tc>
        <w:tc>
          <w:tcPr>
            <w:tcW w:w="4237" w:type="dxa"/>
            <w:gridSpan w:val="5"/>
          </w:tcPr>
          <w:p>
            <w:pPr>
              <w:pStyle w:val="yTableNAm"/>
              <w:rPr>
                <w:snapToGrid w:val="0"/>
              </w:rPr>
            </w:pPr>
            <w:r>
              <w:t>the charge for each kilolitre of water is —</w:t>
            </w:r>
          </w:p>
        </w:tc>
        <w:tc>
          <w:tcPr>
            <w:tcW w:w="1292" w:type="dxa"/>
            <w:gridSpan w:val="2"/>
          </w:tcPr>
          <w:p>
            <w:pPr>
              <w:pStyle w:val="yTableNAm"/>
              <w:jc w:val="center"/>
            </w:pPr>
          </w:p>
        </w:tc>
      </w:tr>
    </w:tbl>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1074"/>
      </w:tblGrid>
      <w:tr>
        <w:trPr>
          <w:cantSplit/>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jc w:val="center"/>
            </w:pPr>
            <w:r>
              <w:rPr>
                <w:b/>
                <w:bCs/>
              </w:rPr>
              <w:t>Class 1 (c/kL)</w:t>
            </w:r>
          </w:p>
        </w:tc>
        <w:tc>
          <w:tcPr>
            <w:tcW w:w="992" w:type="dxa"/>
            <w:tcBorders>
              <w:top w:val="single" w:sz="4" w:space="0" w:color="auto"/>
              <w:bottom w:val="single" w:sz="4" w:space="0" w:color="auto"/>
            </w:tcBorders>
          </w:tcPr>
          <w:p>
            <w:pPr>
              <w:pStyle w:val="yTableNAm"/>
              <w:jc w:val="center"/>
            </w:pPr>
            <w:r>
              <w:rPr>
                <w:b/>
                <w:bCs/>
              </w:rPr>
              <w:t>Class 2 (c/kL)</w:t>
            </w:r>
          </w:p>
        </w:tc>
        <w:tc>
          <w:tcPr>
            <w:tcW w:w="992" w:type="dxa"/>
            <w:tcBorders>
              <w:top w:val="single" w:sz="4" w:space="0" w:color="auto"/>
              <w:bottom w:val="single" w:sz="4" w:space="0" w:color="auto"/>
            </w:tcBorders>
          </w:tcPr>
          <w:p>
            <w:pPr>
              <w:pStyle w:val="yTableNAm"/>
              <w:jc w:val="center"/>
            </w:pPr>
            <w:r>
              <w:rPr>
                <w:b/>
                <w:bCs/>
              </w:rPr>
              <w:t>Class 3 (c/kL)</w:t>
            </w:r>
          </w:p>
        </w:tc>
        <w:tc>
          <w:tcPr>
            <w:tcW w:w="992" w:type="dxa"/>
            <w:tcBorders>
              <w:top w:val="single" w:sz="4" w:space="0" w:color="auto"/>
              <w:bottom w:val="single" w:sz="4" w:space="0" w:color="auto"/>
            </w:tcBorders>
          </w:tcPr>
          <w:p>
            <w:pPr>
              <w:pStyle w:val="yTableNAm"/>
              <w:jc w:val="center"/>
            </w:pPr>
            <w:r>
              <w:rPr>
                <w:b/>
                <w:bCs/>
              </w:rPr>
              <w:t>Class 4 (c/kL)</w:t>
            </w:r>
          </w:p>
        </w:tc>
        <w:tc>
          <w:tcPr>
            <w:tcW w:w="1074" w:type="dxa"/>
            <w:tcBorders>
              <w:top w:val="single" w:sz="4" w:space="0" w:color="auto"/>
              <w:bottom w:val="single" w:sz="4" w:space="0" w:color="auto"/>
            </w:tcBorders>
          </w:tcPr>
          <w:p>
            <w:pPr>
              <w:pStyle w:val="yTableNAm"/>
              <w:jc w:val="center"/>
            </w:pPr>
            <w:r>
              <w:rPr>
                <w:b/>
                <w:bCs/>
              </w:rPr>
              <w:t>Class 5 (c/kL)</w:t>
            </w:r>
          </w:p>
        </w:tc>
      </w:tr>
      <w:tr>
        <w:trPr>
          <w:cantSplit/>
        </w:trPr>
        <w:tc>
          <w:tcPr>
            <w:tcW w:w="1417" w:type="dxa"/>
          </w:tcPr>
          <w:p>
            <w:pPr>
              <w:pStyle w:val="yTableNAm"/>
            </w:pPr>
            <w:r>
              <w:t>Up to 150</w:t>
            </w:r>
          </w:p>
        </w:tc>
        <w:tc>
          <w:tcPr>
            <w:tcW w:w="992" w:type="dxa"/>
            <w:vAlign w:val="bottom"/>
          </w:tcPr>
          <w:p>
            <w:pPr>
              <w:pStyle w:val="yTableNAm"/>
              <w:jc w:val="center"/>
            </w:pPr>
            <w:r>
              <w:rPr>
                <w:szCs w:val="22"/>
              </w:rPr>
              <w:t>104.0</w:t>
            </w:r>
          </w:p>
        </w:tc>
        <w:tc>
          <w:tcPr>
            <w:tcW w:w="992" w:type="dxa"/>
            <w:vAlign w:val="bottom"/>
          </w:tcPr>
          <w:p>
            <w:pPr>
              <w:pStyle w:val="yTableNAm"/>
              <w:jc w:val="center"/>
            </w:pPr>
            <w:r>
              <w:rPr>
                <w:szCs w:val="22"/>
              </w:rPr>
              <w:t>133.6</w:t>
            </w:r>
          </w:p>
        </w:tc>
        <w:tc>
          <w:tcPr>
            <w:tcW w:w="992" w:type="dxa"/>
            <w:vAlign w:val="bottom"/>
          </w:tcPr>
          <w:p>
            <w:pPr>
              <w:pStyle w:val="yTableNAm"/>
              <w:jc w:val="center"/>
            </w:pPr>
            <w:r>
              <w:rPr>
                <w:szCs w:val="22"/>
              </w:rPr>
              <w:t>133.6</w:t>
            </w:r>
          </w:p>
        </w:tc>
        <w:tc>
          <w:tcPr>
            <w:tcW w:w="992" w:type="dxa"/>
            <w:vAlign w:val="bottom"/>
          </w:tcPr>
          <w:p>
            <w:pPr>
              <w:pStyle w:val="yTableNAm"/>
              <w:jc w:val="center"/>
            </w:pPr>
            <w:r>
              <w:rPr>
                <w:szCs w:val="22"/>
              </w:rPr>
              <w:t>133.6</w:t>
            </w:r>
          </w:p>
        </w:tc>
        <w:tc>
          <w:tcPr>
            <w:tcW w:w="1074" w:type="dxa"/>
            <w:vAlign w:val="bottom"/>
          </w:tcPr>
          <w:p>
            <w:pPr>
              <w:pStyle w:val="yTableNAm"/>
              <w:jc w:val="center"/>
            </w:pPr>
            <w:r>
              <w:rPr>
                <w:szCs w:val="22"/>
              </w:rPr>
              <w:t>133.6</w:t>
            </w:r>
          </w:p>
        </w:tc>
      </w:tr>
      <w:tr>
        <w:trPr>
          <w:cantSplit/>
        </w:trPr>
        <w:tc>
          <w:tcPr>
            <w:tcW w:w="1417" w:type="dxa"/>
          </w:tcPr>
          <w:p>
            <w:pPr>
              <w:pStyle w:val="yTableNAm"/>
            </w:pPr>
            <w:r>
              <w:t>Over 150 but not over 350</w:t>
            </w:r>
          </w:p>
        </w:tc>
        <w:tc>
          <w:tcPr>
            <w:tcW w:w="992" w:type="dxa"/>
            <w:vAlign w:val="bottom"/>
          </w:tcPr>
          <w:p>
            <w:pPr>
              <w:pStyle w:val="yTableNAm"/>
              <w:jc w:val="center"/>
            </w:pPr>
            <w:r>
              <w:rPr>
                <w:szCs w:val="22"/>
              </w:rPr>
              <w:t>104.0</w:t>
            </w:r>
          </w:p>
        </w:tc>
        <w:tc>
          <w:tcPr>
            <w:tcW w:w="992" w:type="dxa"/>
            <w:vAlign w:val="bottom"/>
          </w:tcPr>
          <w:p>
            <w:pPr>
              <w:pStyle w:val="yTableNAm"/>
              <w:jc w:val="center"/>
            </w:pPr>
            <w:r>
              <w:rPr>
                <w:szCs w:val="22"/>
              </w:rPr>
              <w:t>133.6</w:t>
            </w:r>
          </w:p>
        </w:tc>
        <w:tc>
          <w:tcPr>
            <w:tcW w:w="992" w:type="dxa"/>
            <w:vAlign w:val="bottom"/>
          </w:tcPr>
          <w:p>
            <w:pPr>
              <w:pStyle w:val="yTableNAm"/>
              <w:jc w:val="center"/>
            </w:pPr>
            <w:r>
              <w:rPr>
                <w:szCs w:val="22"/>
              </w:rPr>
              <w:t>133.6</w:t>
            </w:r>
          </w:p>
        </w:tc>
        <w:tc>
          <w:tcPr>
            <w:tcW w:w="992" w:type="dxa"/>
            <w:vAlign w:val="bottom"/>
          </w:tcPr>
          <w:p>
            <w:pPr>
              <w:pStyle w:val="yTableNAm"/>
              <w:jc w:val="center"/>
            </w:pPr>
            <w:r>
              <w:rPr>
                <w:szCs w:val="22"/>
              </w:rPr>
              <w:t>133.6</w:t>
            </w:r>
          </w:p>
        </w:tc>
        <w:tc>
          <w:tcPr>
            <w:tcW w:w="1074" w:type="dxa"/>
            <w:vAlign w:val="bottom"/>
          </w:tcPr>
          <w:p>
            <w:pPr>
              <w:pStyle w:val="yTableNAm"/>
              <w:jc w:val="center"/>
            </w:pPr>
            <w:r>
              <w:rPr>
                <w:szCs w:val="22"/>
              </w:rPr>
              <w:t>133.6</w:t>
            </w:r>
          </w:p>
        </w:tc>
      </w:tr>
      <w:tr>
        <w:trPr>
          <w:cantSplit/>
        </w:trPr>
        <w:tc>
          <w:tcPr>
            <w:tcW w:w="1417" w:type="dxa"/>
          </w:tcPr>
          <w:p>
            <w:pPr>
              <w:pStyle w:val="yTableNAm"/>
            </w:pPr>
            <w:r>
              <w:t>Over 350 but not over 500</w:t>
            </w:r>
          </w:p>
        </w:tc>
        <w:tc>
          <w:tcPr>
            <w:tcW w:w="992" w:type="dxa"/>
            <w:vAlign w:val="bottom"/>
          </w:tcPr>
          <w:p>
            <w:pPr>
              <w:pStyle w:val="yTableNAm"/>
              <w:jc w:val="center"/>
            </w:pPr>
            <w:r>
              <w:rPr>
                <w:szCs w:val="22"/>
              </w:rPr>
              <w:t>135.5</w:t>
            </w:r>
          </w:p>
        </w:tc>
        <w:tc>
          <w:tcPr>
            <w:tcW w:w="992" w:type="dxa"/>
            <w:vAlign w:val="bottom"/>
          </w:tcPr>
          <w:p>
            <w:pPr>
              <w:pStyle w:val="yTableNAm"/>
              <w:jc w:val="center"/>
            </w:pPr>
            <w:r>
              <w:rPr>
                <w:szCs w:val="22"/>
              </w:rPr>
              <w:t>174.7</w:t>
            </w:r>
          </w:p>
        </w:tc>
        <w:tc>
          <w:tcPr>
            <w:tcW w:w="992" w:type="dxa"/>
            <w:vAlign w:val="bottom"/>
          </w:tcPr>
          <w:p>
            <w:pPr>
              <w:pStyle w:val="yTableNAm"/>
              <w:jc w:val="center"/>
            </w:pPr>
            <w:r>
              <w:rPr>
                <w:szCs w:val="22"/>
              </w:rPr>
              <w:t>174.7</w:t>
            </w:r>
          </w:p>
        </w:tc>
        <w:tc>
          <w:tcPr>
            <w:tcW w:w="992" w:type="dxa"/>
            <w:vAlign w:val="bottom"/>
          </w:tcPr>
          <w:p>
            <w:pPr>
              <w:pStyle w:val="yTableNAm"/>
              <w:jc w:val="center"/>
            </w:pPr>
            <w:r>
              <w:rPr>
                <w:szCs w:val="22"/>
              </w:rPr>
              <w:t>174.7</w:t>
            </w:r>
          </w:p>
        </w:tc>
        <w:tc>
          <w:tcPr>
            <w:tcW w:w="1074" w:type="dxa"/>
            <w:vAlign w:val="bottom"/>
          </w:tcPr>
          <w:p>
            <w:pPr>
              <w:pStyle w:val="yTableNAm"/>
              <w:jc w:val="center"/>
            </w:pPr>
            <w:r>
              <w:rPr>
                <w:szCs w:val="22"/>
              </w:rPr>
              <w:t>174.7</w:t>
            </w:r>
          </w:p>
        </w:tc>
      </w:tr>
      <w:tr>
        <w:trPr>
          <w:cantSplit/>
        </w:trPr>
        <w:tc>
          <w:tcPr>
            <w:tcW w:w="1417" w:type="dxa"/>
          </w:tcPr>
          <w:p>
            <w:pPr>
              <w:pStyle w:val="yTableNAm"/>
            </w:pPr>
            <w:r>
              <w:t>Over 500 but not over 550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1074" w:type="dxa"/>
            <w:vAlign w:val="bottom"/>
          </w:tcPr>
          <w:p>
            <w:pPr>
              <w:pStyle w:val="yTableNAm"/>
              <w:jc w:val="center"/>
            </w:pPr>
            <w:r>
              <w:rPr>
                <w:szCs w:val="22"/>
              </w:rPr>
              <w:t>360.0</w:t>
            </w:r>
          </w:p>
        </w:tc>
      </w:tr>
      <w:tr>
        <w:trPr>
          <w:cantSplit/>
        </w:trPr>
        <w:tc>
          <w:tcPr>
            <w:tcW w:w="1417" w:type="dxa"/>
          </w:tcPr>
          <w:p>
            <w:pPr>
              <w:pStyle w:val="yTableNAm"/>
            </w:pPr>
            <w:r>
              <w:t>Over 550 but not over 650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1074" w:type="dxa"/>
            <w:vAlign w:val="bottom"/>
          </w:tcPr>
          <w:p>
            <w:pPr>
              <w:pStyle w:val="yTableNAm"/>
              <w:jc w:val="center"/>
            </w:pPr>
            <w:r>
              <w:rPr>
                <w:szCs w:val="22"/>
              </w:rPr>
              <w:t>360.0</w:t>
            </w:r>
          </w:p>
        </w:tc>
      </w:tr>
      <w:tr>
        <w:trPr>
          <w:cantSplit/>
        </w:trPr>
        <w:tc>
          <w:tcPr>
            <w:tcW w:w="1417" w:type="dxa"/>
          </w:tcPr>
          <w:p>
            <w:pPr>
              <w:pStyle w:val="yTableNAm"/>
            </w:pPr>
            <w:r>
              <w:t>Over 650 but not over 750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1074" w:type="dxa"/>
            <w:vAlign w:val="bottom"/>
          </w:tcPr>
          <w:p>
            <w:pPr>
              <w:pStyle w:val="yTableNAm"/>
              <w:jc w:val="center"/>
            </w:pPr>
            <w:r>
              <w:rPr>
                <w:szCs w:val="22"/>
              </w:rPr>
              <w:t>360.0</w:t>
            </w:r>
          </w:p>
        </w:tc>
      </w:tr>
      <w:tr>
        <w:trPr>
          <w:cantSplit/>
        </w:trPr>
        <w:tc>
          <w:tcPr>
            <w:tcW w:w="1417" w:type="dxa"/>
          </w:tcPr>
          <w:p>
            <w:pPr>
              <w:pStyle w:val="yTableNAm"/>
            </w:pPr>
            <w:r>
              <w:lastRenderedPageBreak/>
              <w:t>Over 750 but not over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1074" w:type="dxa"/>
            <w:vAlign w:val="bottom"/>
          </w:tcPr>
          <w:p>
            <w:pPr>
              <w:pStyle w:val="yTableNAm"/>
              <w:jc w:val="center"/>
            </w:pPr>
            <w:r>
              <w:rPr>
                <w:szCs w:val="22"/>
              </w:rPr>
              <w:t>634.7</w:t>
            </w:r>
          </w:p>
        </w:tc>
      </w:tr>
      <w:tr>
        <w:trPr>
          <w:cantSplit/>
        </w:trPr>
        <w:tc>
          <w:tcPr>
            <w:tcW w:w="1417" w:type="dxa"/>
          </w:tcPr>
          <w:p>
            <w:pPr>
              <w:pStyle w:val="yTableNAm"/>
            </w:pPr>
            <w:r>
              <w:t>Over 950 but not over 1 150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1074" w:type="dxa"/>
            <w:vAlign w:val="bottom"/>
          </w:tcPr>
          <w:p>
            <w:pPr>
              <w:pStyle w:val="yTableNAm"/>
              <w:jc w:val="center"/>
            </w:pPr>
            <w:r>
              <w:rPr>
                <w:szCs w:val="22"/>
              </w:rPr>
              <w:t>634.7</w:t>
            </w:r>
          </w:p>
        </w:tc>
      </w:tr>
      <w:tr>
        <w:trPr>
          <w:cantSplit/>
        </w:trPr>
        <w:tc>
          <w:tcPr>
            <w:tcW w:w="1417" w:type="dxa"/>
          </w:tcPr>
          <w:p>
            <w:pPr>
              <w:pStyle w:val="yTableNAm"/>
            </w:pPr>
            <w:r>
              <w:t>Over 1 150 but not over 1 550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1074" w:type="dxa"/>
            <w:vAlign w:val="bottom"/>
          </w:tcPr>
          <w:p>
            <w:pPr>
              <w:pStyle w:val="yTableNAm"/>
              <w:jc w:val="center"/>
            </w:pPr>
            <w:r>
              <w:rPr>
                <w:szCs w:val="22"/>
              </w:rPr>
              <w:t>634.7</w:t>
            </w:r>
          </w:p>
        </w:tc>
      </w:tr>
      <w:tr>
        <w:trPr>
          <w:cantSplit/>
        </w:trPr>
        <w:tc>
          <w:tcPr>
            <w:tcW w:w="1417" w:type="dxa"/>
          </w:tcPr>
          <w:p>
            <w:pPr>
              <w:pStyle w:val="yTableNAm"/>
            </w:pPr>
            <w:r>
              <w:t>Over 1 550 but not over 1 950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1074" w:type="dxa"/>
            <w:vAlign w:val="bottom"/>
          </w:tcPr>
          <w:p>
            <w:pPr>
              <w:pStyle w:val="yTableNAm"/>
              <w:jc w:val="center"/>
            </w:pPr>
            <w:r>
              <w:rPr>
                <w:szCs w:val="22"/>
              </w:rPr>
              <w:t>634.7</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pPr>
            <w:r>
              <w:rPr>
                <w:szCs w:val="22"/>
              </w:rPr>
              <w:t>173.4</w:t>
            </w:r>
          </w:p>
        </w:tc>
        <w:tc>
          <w:tcPr>
            <w:tcW w:w="992" w:type="dxa"/>
            <w:tcBorders>
              <w:bottom w:val="single" w:sz="4" w:space="0" w:color="auto"/>
            </w:tcBorders>
            <w:vAlign w:val="bottom"/>
          </w:tcPr>
          <w:p>
            <w:pPr>
              <w:pStyle w:val="yTableNAm"/>
              <w:jc w:val="center"/>
            </w:pPr>
            <w:r>
              <w:rPr>
                <w:szCs w:val="22"/>
              </w:rPr>
              <w:t>239.8</w:t>
            </w:r>
          </w:p>
        </w:tc>
        <w:tc>
          <w:tcPr>
            <w:tcW w:w="992" w:type="dxa"/>
            <w:tcBorders>
              <w:bottom w:val="single" w:sz="4" w:space="0" w:color="auto"/>
            </w:tcBorders>
            <w:vAlign w:val="bottom"/>
          </w:tcPr>
          <w:p>
            <w:pPr>
              <w:pStyle w:val="yTableNAm"/>
              <w:jc w:val="center"/>
            </w:pPr>
            <w:r>
              <w:rPr>
                <w:szCs w:val="22"/>
              </w:rPr>
              <w:t>331.7</w:t>
            </w:r>
          </w:p>
        </w:tc>
        <w:tc>
          <w:tcPr>
            <w:tcW w:w="992" w:type="dxa"/>
            <w:tcBorders>
              <w:bottom w:val="single" w:sz="4" w:space="0" w:color="auto"/>
            </w:tcBorders>
            <w:vAlign w:val="bottom"/>
          </w:tcPr>
          <w:p>
            <w:pPr>
              <w:pStyle w:val="yTableNAm"/>
              <w:jc w:val="center"/>
            </w:pPr>
            <w:r>
              <w:rPr>
                <w:szCs w:val="22"/>
              </w:rPr>
              <w:t>458.9</w:t>
            </w:r>
          </w:p>
        </w:tc>
        <w:tc>
          <w:tcPr>
            <w:tcW w:w="1074" w:type="dxa"/>
            <w:tcBorders>
              <w:bottom w:val="single" w:sz="4" w:space="0" w:color="auto"/>
            </w:tcBorders>
            <w:vAlign w:val="bottom"/>
          </w:tcPr>
          <w:p>
            <w:pPr>
              <w:pStyle w:val="yTableNAm"/>
              <w:jc w:val="center"/>
            </w:pPr>
            <w:r>
              <w:rPr>
                <w:szCs w:val="22"/>
              </w:rPr>
              <w:t>634.7</w:t>
            </w:r>
          </w:p>
        </w:tc>
      </w:tr>
    </w:tbl>
    <w:p>
      <w:pPr>
        <w:pStyle w:val="yMiscellaneousBody"/>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pPr>
            <w:r>
              <w:rPr>
                <w:b/>
                <w:bCs/>
              </w:rPr>
              <w:t>23.</w:t>
            </w:r>
          </w:p>
        </w:tc>
        <w:tc>
          <w:tcPr>
            <w:tcW w:w="4237" w:type="dxa"/>
          </w:tcPr>
          <w:p>
            <w:pPr>
              <w:pStyle w:val="yTableNAm"/>
            </w:pPr>
            <w:r>
              <w:rPr>
                <w:b/>
                <w:bCs/>
              </w:rPr>
              <w:t>Community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176"/>
              </w:tabs>
              <w:ind w:left="656" w:hanging="656"/>
            </w:pPr>
            <w:r>
              <w:tab/>
              <w:t>(1)</w:t>
            </w:r>
            <w:r>
              <w:tab/>
              <w:t>For each kilolitre of water supplied to a discrete residential unit as determined under by</w:t>
            </w:r>
            <w:r>
              <w:noBreakHyphen/>
              <w:t>law 16 that is in the metropolitan area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r>
              <w:rPr>
                <w:spacing w:val="-1"/>
              </w:rPr>
              <w:tab/>
              <w:t xml:space="preserve">up to 150 kL </w:t>
            </w:r>
            <w:r>
              <w:rPr>
                <w:spacing w:val="-1"/>
              </w:rPr>
              <w:tab/>
            </w:r>
          </w:p>
        </w:tc>
        <w:tc>
          <w:tcPr>
            <w:tcW w:w="1292" w:type="dxa"/>
            <w:vAlign w:val="bottom"/>
          </w:tcPr>
          <w:p>
            <w:pPr>
              <w:pStyle w:val="yTableNAm"/>
            </w:pPr>
            <w:r>
              <w:rPr>
                <w:szCs w:val="22"/>
              </w:rPr>
              <w:t>66.8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r>
              <w:rPr>
                <w:spacing w:val="-1"/>
              </w:rPr>
              <w:tab/>
              <w:t xml:space="preserve">over 150 but not over 350 kL </w:t>
            </w:r>
            <w:r>
              <w:rPr>
                <w:spacing w:val="-1"/>
              </w:rPr>
              <w:tab/>
            </w:r>
          </w:p>
        </w:tc>
        <w:tc>
          <w:tcPr>
            <w:tcW w:w="1292" w:type="dxa"/>
            <w:vAlign w:val="bottom"/>
          </w:tcPr>
          <w:p>
            <w:pPr>
              <w:pStyle w:val="yTableNAm"/>
            </w:pPr>
            <w:r>
              <w:rPr>
                <w:szCs w:val="22"/>
              </w:rPr>
              <w:t>174.7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r>
              <w:rPr>
                <w:spacing w:val="-1"/>
              </w:rPr>
              <w:tab/>
              <w:t xml:space="preserve">over 350 but not over 500 kL </w:t>
            </w:r>
            <w:r>
              <w:rPr>
                <w:spacing w:val="-1"/>
              </w:rPr>
              <w:tab/>
            </w:r>
          </w:p>
        </w:tc>
        <w:tc>
          <w:tcPr>
            <w:tcW w:w="1292" w:type="dxa"/>
            <w:vAlign w:val="bottom"/>
          </w:tcPr>
          <w:p>
            <w:pPr>
              <w:pStyle w:val="yTableNAm"/>
            </w:pPr>
            <w:r>
              <w:rPr>
                <w:szCs w:val="22"/>
              </w:rPr>
              <w:t>174.7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r>
              <w:rPr>
                <w:spacing w:val="-1"/>
              </w:rPr>
              <w:tab/>
              <w:t xml:space="preserve">over 500 but not over 550 kL </w:t>
            </w:r>
            <w:r>
              <w:rPr>
                <w:spacing w:val="-1"/>
              </w:rP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r>
              <w:rPr>
                <w:spacing w:val="-1"/>
              </w:rPr>
              <w:tab/>
              <w:t xml:space="preserve">over 550 but not over 950 kL </w:t>
            </w:r>
            <w:r>
              <w:rPr>
                <w:spacing w:val="-1"/>
              </w:rP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r>
              <w:rPr>
                <w:spacing w:val="-1"/>
              </w:rPr>
              <w:tab/>
              <w:t xml:space="preserve">over 950 kL </w:t>
            </w:r>
            <w:r>
              <w:rPr>
                <w:spacing w:val="-1"/>
              </w:rP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176"/>
              </w:tabs>
              <w:ind w:left="656" w:hanging="656"/>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92" w:type="dxa"/>
            <w:vAlign w:val="bottom"/>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994"/>
      </w:tblGrid>
      <w:tr>
        <w:trPr>
          <w:cantSplit/>
          <w:tblHeader/>
        </w:trPr>
        <w:tc>
          <w:tcPr>
            <w:tcW w:w="1417" w:type="dxa"/>
            <w:tcBorders>
              <w:top w:val="single" w:sz="4" w:space="0" w:color="auto"/>
              <w:bottom w:val="single" w:sz="4" w:space="0" w:color="auto"/>
            </w:tcBorders>
          </w:tcPr>
          <w:p>
            <w:pPr>
              <w:pStyle w:val="yTableNAm"/>
            </w:pPr>
            <w:r>
              <w:rPr>
                <w:b/>
                <w:bCs/>
                <w:szCs w:val="22"/>
              </w:rPr>
              <w:lastRenderedPageBreak/>
              <w:br w:type="page"/>
              <w:t>Consumption (kL)</w:t>
            </w:r>
          </w:p>
        </w:tc>
        <w:tc>
          <w:tcPr>
            <w:tcW w:w="992" w:type="dxa"/>
            <w:tcBorders>
              <w:top w:val="single" w:sz="4" w:space="0" w:color="auto"/>
              <w:bottom w:val="single" w:sz="4" w:space="0" w:color="auto"/>
            </w:tcBorders>
          </w:tcPr>
          <w:p>
            <w:pPr>
              <w:pStyle w:val="yTableNAm"/>
              <w:jc w:val="center"/>
            </w:pPr>
            <w:r>
              <w:rPr>
                <w:b/>
                <w:bCs/>
                <w:szCs w:val="22"/>
              </w:rPr>
              <w:t>Class 1 (c/kL)</w:t>
            </w:r>
          </w:p>
        </w:tc>
        <w:tc>
          <w:tcPr>
            <w:tcW w:w="992" w:type="dxa"/>
            <w:tcBorders>
              <w:top w:val="single" w:sz="4" w:space="0" w:color="auto"/>
              <w:bottom w:val="single" w:sz="4" w:space="0" w:color="auto"/>
            </w:tcBorders>
          </w:tcPr>
          <w:p>
            <w:pPr>
              <w:pStyle w:val="yTableNAm"/>
              <w:jc w:val="center"/>
            </w:pPr>
            <w:r>
              <w:rPr>
                <w:b/>
                <w:bCs/>
                <w:szCs w:val="22"/>
              </w:rPr>
              <w:t>Class 2 (c/kL)</w:t>
            </w:r>
          </w:p>
        </w:tc>
        <w:tc>
          <w:tcPr>
            <w:tcW w:w="992" w:type="dxa"/>
            <w:tcBorders>
              <w:top w:val="single" w:sz="4" w:space="0" w:color="auto"/>
              <w:bottom w:val="single" w:sz="4" w:space="0" w:color="auto"/>
            </w:tcBorders>
          </w:tcPr>
          <w:p>
            <w:pPr>
              <w:pStyle w:val="yTableNAm"/>
              <w:jc w:val="center"/>
            </w:pPr>
            <w:r>
              <w:rPr>
                <w:b/>
                <w:bCs/>
                <w:szCs w:val="22"/>
              </w:rPr>
              <w:t>Class 3 (c/kL)</w:t>
            </w:r>
          </w:p>
        </w:tc>
        <w:tc>
          <w:tcPr>
            <w:tcW w:w="992" w:type="dxa"/>
            <w:tcBorders>
              <w:top w:val="single" w:sz="4" w:space="0" w:color="auto"/>
              <w:bottom w:val="single" w:sz="4" w:space="0" w:color="auto"/>
            </w:tcBorders>
          </w:tcPr>
          <w:p>
            <w:pPr>
              <w:pStyle w:val="yTableNAm"/>
              <w:jc w:val="center"/>
            </w:pPr>
            <w:r>
              <w:rPr>
                <w:b/>
                <w:bCs/>
                <w:szCs w:val="22"/>
              </w:rPr>
              <w:t>Class 4 (c/kL)</w:t>
            </w:r>
          </w:p>
        </w:tc>
        <w:tc>
          <w:tcPr>
            <w:tcW w:w="994" w:type="dxa"/>
            <w:tcBorders>
              <w:top w:val="single" w:sz="4" w:space="0" w:color="auto"/>
              <w:bottom w:val="single" w:sz="4" w:space="0" w:color="auto"/>
            </w:tcBorders>
          </w:tcPr>
          <w:p>
            <w:pPr>
              <w:pStyle w:val="yTableNAm"/>
              <w:jc w:val="center"/>
            </w:pPr>
            <w:r>
              <w:rPr>
                <w:b/>
                <w:bCs/>
                <w:szCs w:val="22"/>
              </w:rPr>
              <w:t>Class 5 (c/kL)</w:t>
            </w:r>
          </w:p>
        </w:tc>
      </w:tr>
      <w:tr>
        <w:trPr>
          <w:cantSplit/>
        </w:trPr>
        <w:tc>
          <w:tcPr>
            <w:tcW w:w="1417" w:type="dxa"/>
          </w:tcPr>
          <w:p>
            <w:pPr>
              <w:pStyle w:val="yTableNAm"/>
            </w:pPr>
            <w:r>
              <w:rPr>
                <w:szCs w:val="22"/>
              </w:rPr>
              <w:t>Up to 150</w:t>
            </w:r>
          </w:p>
        </w:tc>
        <w:tc>
          <w:tcPr>
            <w:tcW w:w="992" w:type="dxa"/>
            <w:vAlign w:val="bottom"/>
          </w:tcPr>
          <w:p>
            <w:pPr>
              <w:pStyle w:val="yTableNAm"/>
              <w:jc w:val="center"/>
            </w:pPr>
            <w:r>
              <w:rPr>
                <w:szCs w:val="22"/>
              </w:rPr>
              <w:t>52.0</w:t>
            </w:r>
          </w:p>
        </w:tc>
        <w:tc>
          <w:tcPr>
            <w:tcW w:w="992" w:type="dxa"/>
            <w:vAlign w:val="bottom"/>
          </w:tcPr>
          <w:p>
            <w:pPr>
              <w:pStyle w:val="yTableNAm"/>
              <w:jc w:val="center"/>
            </w:pPr>
            <w:r>
              <w:rPr>
                <w:szCs w:val="22"/>
              </w:rPr>
              <w:t>66.8</w:t>
            </w:r>
          </w:p>
        </w:tc>
        <w:tc>
          <w:tcPr>
            <w:tcW w:w="992" w:type="dxa"/>
            <w:vAlign w:val="bottom"/>
          </w:tcPr>
          <w:p>
            <w:pPr>
              <w:pStyle w:val="yTableNAm"/>
              <w:jc w:val="center"/>
            </w:pPr>
            <w:r>
              <w:rPr>
                <w:szCs w:val="22"/>
              </w:rPr>
              <w:t>66.8</w:t>
            </w:r>
          </w:p>
        </w:tc>
        <w:tc>
          <w:tcPr>
            <w:tcW w:w="992" w:type="dxa"/>
            <w:vAlign w:val="bottom"/>
          </w:tcPr>
          <w:p>
            <w:pPr>
              <w:pStyle w:val="yTableNAm"/>
              <w:jc w:val="center"/>
            </w:pPr>
            <w:r>
              <w:rPr>
                <w:szCs w:val="22"/>
              </w:rPr>
              <w:t>66.8</w:t>
            </w:r>
          </w:p>
        </w:tc>
        <w:tc>
          <w:tcPr>
            <w:tcW w:w="994" w:type="dxa"/>
            <w:vAlign w:val="bottom"/>
          </w:tcPr>
          <w:p>
            <w:pPr>
              <w:pStyle w:val="yTableNAm"/>
              <w:jc w:val="center"/>
            </w:pPr>
            <w:r>
              <w:rPr>
                <w:szCs w:val="22"/>
              </w:rPr>
              <w:t>66.8</w:t>
            </w:r>
          </w:p>
        </w:tc>
      </w:tr>
      <w:tr>
        <w:trPr>
          <w:cantSplit/>
        </w:trPr>
        <w:tc>
          <w:tcPr>
            <w:tcW w:w="1417" w:type="dxa"/>
          </w:tcPr>
          <w:p>
            <w:pPr>
              <w:pStyle w:val="yTableNAm"/>
            </w:pPr>
            <w:r>
              <w:rPr>
                <w:szCs w:val="22"/>
              </w:rPr>
              <w:t>Over 150 but not over 300</w:t>
            </w:r>
          </w:p>
        </w:tc>
        <w:tc>
          <w:tcPr>
            <w:tcW w:w="992" w:type="dxa"/>
            <w:vAlign w:val="bottom"/>
          </w:tcPr>
          <w:p>
            <w:pPr>
              <w:pStyle w:val="yTableNAm"/>
              <w:jc w:val="center"/>
            </w:pPr>
            <w:r>
              <w:rPr>
                <w:szCs w:val="22"/>
              </w:rPr>
              <w:t>67.8</w:t>
            </w:r>
          </w:p>
        </w:tc>
        <w:tc>
          <w:tcPr>
            <w:tcW w:w="992" w:type="dxa"/>
            <w:vAlign w:val="bottom"/>
          </w:tcPr>
          <w:p>
            <w:pPr>
              <w:pStyle w:val="yTableNAm"/>
              <w:jc w:val="center"/>
            </w:pPr>
            <w:r>
              <w:rPr>
                <w:szCs w:val="22"/>
              </w:rPr>
              <w:t>87.4</w:t>
            </w:r>
          </w:p>
        </w:tc>
        <w:tc>
          <w:tcPr>
            <w:tcW w:w="992" w:type="dxa"/>
            <w:vAlign w:val="bottom"/>
          </w:tcPr>
          <w:p>
            <w:pPr>
              <w:pStyle w:val="yTableNAm"/>
              <w:jc w:val="center"/>
            </w:pPr>
            <w:r>
              <w:rPr>
                <w:szCs w:val="22"/>
              </w:rPr>
              <w:t>87.4</w:t>
            </w:r>
          </w:p>
        </w:tc>
        <w:tc>
          <w:tcPr>
            <w:tcW w:w="992" w:type="dxa"/>
            <w:vAlign w:val="bottom"/>
          </w:tcPr>
          <w:p>
            <w:pPr>
              <w:pStyle w:val="yTableNAm"/>
              <w:jc w:val="center"/>
            </w:pPr>
            <w:r>
              <w:rPr>
                <w:szCs w:val="22"/>
              </w:rPr>
              <w:t>87.4</w:t>
            </w:r>
          </w:p>
        </w:tc>
        <w:tc>
          <w:tcPr>
            <w:tcW w:w="994" w:type="dxa"/>
            <w:vAlign w:val="bottom"/>
          </w:tcPr>
          <w:p>
            <w:pPr>
              <w:pStyle w:val="yTableNAm"/>
              <w:jc w:val="center"/>
            </w:pPr>
            <w:r>
              <w:rPr>
                <w:szCs w:val="22"/>
              </w:rPr>
              <w:t>87.4</w:t>
            </w:r>
          </w:p>
        </w:tc>
      </w:tr>
      <w:tr>
        <w:trPr>
          <w:cantSplit/>
        </w:trPr>
        <w:tc>
          <w:tcPr>
            <w:tcW w:w="1417" w:type="dxa"/>
          </w:tcPr>
          <w:p>
            <w:pPr>
              <w:pStyle w:val="yTableNAm"/>
            </w:pPr>
            <w:r>
              <w:rPr>
                <w:szCs w:val="22"/>
              </w:rPr>
              <w:t>Over 300 but not over 350</w:t>
            </w:r>
          </w:p>
        </w:tc>
        <w:tc>
          <w:tcPr>
            <w:tcW w:w="992" w:type="dxa"/>
            <w:vAlign w:val="bottom"/>
          </w:tcPr>
          <w:p>
            <w:pPr>
              <w:pStyle w:val="yTableNAm"/>
              <w:jc w:val="center"/>
            </w:pPr>
            <w:r>
              <w:rPr>
                <w:szCs w:val="22"/>
              </w:rPr>
              <w:t>73.8</w:t>
            </w:r>
          </w:p>
        </w:tc>
        <w:tc>
          <w:tcPr>
            <w:tcW w:w="992" w:type="dxa"/>
            <w:vAlign w:val="bottom"/>
          </w:tcPr>
          <w:p>
            <w:pPr>
              <w:pStyle w:val="yTableNAm"/>
              <w:jc w:val="center"/>
            </w:pPr>
            <w:r>
              <w:rPr>
                <w:szCs w:val="22"/>
              </w:rPr>
              <w:t>102.1</w:t>
            </w:r>
          </w:p>
        </w:tc>
        <w:tc>
          <w:tcPr>
            <w:tcW w:w="992" w:type="dxa"/>
            <w:vAlign w:val="bottom"/>
          </w:tcPr>
          <w:p>
            <w:pPr>
              <w:pStyle w:val="yTableNAm"/>
              <w:jc w:val="center"/>
            </w:pPr>
            <w:r>
              <w:rPr>
                <w:szCs w:val="22"/>
              </w:rPr>
              <w:t>130.1</w:t>
            </w:r>
          </w:p>
        </w:tc>
        <w:tc>
          <w:tcPr>
            <w:tcW w:w="992" w:type="dxa"/>
            <w:vAlign w:val="bottom"/>
          </w:tcPr>
          <w:p>
            <w:pPr>
              <w:pStyle w:val="yTableNAm"/>
              <w:jc w:val="center"/>
            </w:pPr>
            <w:r>
              <w:rPr>
                <w:szCs w:val="22"/>
              </w:rPr>
              <w:t>153.1</w:t>
            </w:r>
          </w:p>
        </w:tc>
        <w:tc>
          <w:tcPr>
            <w:tcW w:w="994" w:type="dxa"/>
            <w:vAlign w:val="bottom"/>
          </w:tcPr>
          <w:p>
            <w:pPr>
              <w:pStyle w:val="yTableNAm"/>
              <w:jc w:val="center"/>
            </w:pPr>
            <w:r>
              <w:rPr>
                <w:szCs w:val="22"/>
              </w:rPr>
              <w:t>180.0</w:t>
            </w:r>
          </w:p>
        </w:tc>
      </w:tr>
      <w:tr>
        <w:trPr>
          <w:cantSplit/>
        </w:trPr>
        <w:tc>
          <w:tcPr>
            <w:tcW w:w="1417" w:type="dxa"/>
          </w:tcPr>
          <w:p>
            <w:pPr>
              <w:pStyle w:val="yTableNAm"/>
            </w:pPr>
            <w:r>
              <w:rPr>
                <w:szCs w:val="22"/>
              </w:rPr>
              <w:t>Over 350 but not over 400</w:t>
            </w:r>
          </w:p>
        </w:tc>
        <w:tc>
          <w:tcPr>
            <w:tcW w:w="992" w:type="dxa"/>
            <w:vAlign w:val="bottom"/>
          </w:tcPr>
          <w:p>
            <w:pPr>
              <w:pStyle w:val="yTableNAm"/>
              <w:jc w:val="center"/>
            </w:pPr>
            <w:r>
              <w:rPr>
                <w:szCs w:val="22"/>
              </w:rPr>
              <w:t>73.8</w:t>
            </w:r>
          </w:p>
        </w:tc>
        <w:tc>
          <w:tcPr>
            <w:tcW w:w="992" w:type="dxa"/>
            <w:vAlign w:val="bottom"/>
          </w:tcPr>
          <w:p>
            <w:pPr>
              <w:pStyle w:val="yTableNAm"/>
              <w:jc w:val="center"/>
            </w:pPr>
            <w:r>
              <w:rPr>
                <w:szCs w:val="22"/>
              </w:rPr>
              <w:t>102.1</w:t>
            </w:r>
          </w:p>
        </w:tc>
        <w:tc>
          <w:tcPr>
            <w:tcW w:w="992" w:type="dxa"/>
            <w:vAlign w:val="bottom"/>
          </w:tcPr>
          <w:p>
            <w:pPr>
              <w:pStyle w:val="yTableNAm"/>
              <w:jc w:val="center"/>
            </w:pPr>
            <w:r>
              <w:rPr>
                <w:szCs w:val="22"/>
              </w:rPr>
              <w:t>130.1</w:t>
            </w:r>
          </w:p>
        </w:tc>
        <w:tc>
          <w:tcPr>
            <w:tcW w:w="992" w:type="dxa"/>
            <w:vAlign w:val="bottom"/>
          </w:tcPr>
          <w:p>
            <w:pPr>
              <w:pStyle w:val="yTableNAm"/>
              <w:jc w:val="center"/>
            </w:pPr>
            <w:r>
              <w:rPr>
                <w:szCs w:val="22"/>
              </w:rPr>
              <w:t>153.1</w:t>
            </w:r>
          </w:p>
        </w:tc>
        <w:tc>
          <w:tcPr>
            <w:tcW w:w="994" w:type="dxa"/>
            <w:vAlign w:val="bottom"/>
          </w:tcPr>
          <w:p>
            <w:pPr>
              <w:pStyle w:val="yTableNAm"/>
              <w:jc w:val="center"/>
            </w:pPr>
            <w:r>
              <w:rPr>
                <w:szCs w:val="22"/>
              </w:rPr>
              <w:t>180.0</w:t>
            </w:r>
          </w:p>
        </w:tc>
      </w:tr>
      <w:tr>
        <w:trPr>
          <w:cantSplit/>
        </w:trPr>
        <w:tc>
          <w:tcPr>
            <w:tcW w:w="1417" w:type="dxa"/>
          </w:tcPr>
          <w:p>
            <w:pPr>
              <w:pStyle w:val="yTableNAm"/>
            </w:pPr>
            <w:r>
              <w:rPr>
                <w:szCs w:val="22"/>
              </w:rPr>
              <w:t>Over 400 but not over 450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994" w:type="dxa"/>
            <w:vAlign w:val="bottom"/>
          </w:tcPr>
          <w:p>
            <w:pPr>
              <w:pStyle w:val="yTableNAm"/>
              <w:jc w:val="center"/>
            </w:pPr>
            <w:r>
              <w:rPr>
                <w:szCs w:val="22"/>
              </w:rPr>
              <w:t>360.0</w:t>
            </w:r>
          </w:p>
        </w:tc>
      </w:tr>
      <w:tr>
        <w:trPr>
          <w:cantSplit/>
        </w:trPr>
        <w:tc>
          <w:tcPr>
            <w:tcW w:w="1417" w:type="dxa"/>
          </w:tcPr>
          <w:p>
            <w:pPr>
              <w:pStyle w:val="yTableNAm"/>
            </w:pPr>
            <w:r>
              <w:rPr>
                <w:szCs w:val="22"/>
              </w:rPr>
              <w:t>Over 450 but not over 550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994" w:type="dxa"/>
            <w:vAlign w:val="bottom"/>
          </w:tcPr>
          <w:p>
            <w:pPr>
              <w:pStyle w:val="yTableNAm"/>
              <w:jc w:val="center"/>
            </w:pPr>
            <w:r>
              <w:rPr>
                <w:szCs w:val="22"/>
              </w:rPr>
              <w:t>360.0</w:t>
            </w:r>
          </w:p>
        </w:tc>
      </w:tr>
      <w:tr>
        <w:trPr>
          <w:cantSplit/>
        </w:trPr>
        <w:tc>
          <w:tcPr>
            <w:tcW w:w="1417" w:type="dxa"/>
          </w:tcPr>
          <w:p>
            <w:pPr>
              <w:pStyle w:val="yTableNAm"/>
            </w:pPr>
            <w:r>
              <w:rPr>
                <w:szCs w:val="22"/>
              </w:rPr>
              <w:t>Over 550 but not over 750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rPr>
                <w:szCs w:val="22"/>
              </w:rPr>
              <w:t>Over 750 but not over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rPr>
                <w:szCs w:val="22"/>
              </w:rPr>
              <w:t>Over 950 but not over 1 150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rPr>
                <w:szCs w:val="22"/>
              </w:rPr>
              <w:t>Over 1 150 but not over 1 550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rPr>
                <w:szCs w:val="22"/>
              </w:rPr>
              <w:t>Over 1 550 but not over 1 950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Borders>
              <w:bottom w:val="single" w:sz="4" w:space="0" w:color="auto"/>
            </w:tcBorders>
          </w:tcPr>
          <w:p>
            <w:pPr>
              <w:pStyle w:val="yTableNAm"/>
            </w:pPr>
            <w:r>
              <w:rPr>
                <w:szCs w:val="22"/>
              </w:rPr>
              <w:t>Over 1 950</w:t>
            </w:r>
          </w:p>
        </w:tc>
        <w:tc>
          <w:tcPr>
            <w:tcW w:w="992" w:type="dxa"/>
            <w:tcBorders>
              <w:bottom w:val="single" w:sz="4" w:space="0" w:color="auto"/>
            </w:tcBorders>
            <w:vAlign w:val="bottom"/>
          </w:tcPr>
          <w:p>
            <w:pPr>
              <w:pStyle w:val="yTableNAm"/>
              <w:jc w:val="center"/>
            </w:pPr>
            <w:r>
              <w:rPr>
                <w:szCs w:val="22"/>
              </w:rPr>
              <w:t>173.4</w:t>
            </w:r>
          </w:p>
        </w:tc>
        <w:tc>
          <w:tcPr>
            <w:tcW w:w="992" w:type="dxa"/>
            <w:tcBorders>
              <w:bottom w:val="single" w:sz="4" w:space="0" w:color="auto"/>
            </w:tcBorders>
            <w:vAlign w:val="bottom"/>
          </w:tcPr>
          <w:p>
            <w:pPr>
              <w:pStyle w:val="yTableNAm"/>
              <w:jc w:val="center"/>
            </w:pPr>
            <w:r>
              <w:rPr>
                <w:szCs w:val="22"/>
              </w:rPr>
              <w:t>239.8</w:t>
            </w:r>
          </w:p>
        </w:tc>
        <w:tc>
          <w:tcPr>
            <w:tcW w:w="992" w:type="dxa"/>
            <w:tcBorders>
              <w:bottom w:val="single" w:sz="4" w:space="0" w:color="auto"/>
            </w:tcBorders>
            <w:vAlign w:val="bottom"/>
          </w:tcPr>
          <w:p>
            <w:pPr>
              <w:pStyle w:val="yTableNAm"/>
              <w:jc w:val="center"/>
            </w:pPr>
            <w:r>
              <w:rPr>
                <w:szCs w:val="22"/>
              </w:rPr>
              <w:t>331.7</w:t>
            </w:r>
          </w:p>
        </w:tc>
        <w:tc>
          <w:tcPr>
            <w:tcW w:w="992" w:type="dxa"/>
            <w:tcBorders>
              <w:bottom w:val="single" w:sz="4" w:space="0" w:color="auto"/>
            </w:tcBorders>
            <w:vAlign w:val="bottom"/>
          </w:tcPr>
          <w:p>
            <w:pPr>
              <w:pStyle w:val="yTableNAm"/>
              <w:jc w:val="center"/>
            </w:pPr>
            <w:r>
              <w:rPr>
                <w:szCs w:val="22"/>
              </w:rPr>
              <w:t>458.9</w:t>
            </w:r>
          </w:p>
        </w:tc>
        <w:tc>
          <w:tcPr>
            <w:tcW w:w="994" w:type="dxa"/>
            <w:tcBorders>
              <w:bottom w:val="single" w:sz="4" w:space="0" w:color="auto"/>
            </w:tcBorders>
            <w:vAlign w:val="bottom"/>
          </w:tcPr>
          <w:p>
            <w:pPr>
              <w:pStyle w:val="yTableNAm"/>
              <w:jc w:val="center"/>
            </w:pPr>
            <w:r>
              <w:rPr>
                <w:szCs w:val="22"/>
              </w:rPr>
              <w:t>634.7</w:t>
            </w:r>
          </w:p>
        </w:tc>
      </w:tr>
    </w:tbl>
    <w:p>
      <w:pPr>
        <w:pStyle w:val="yMiscellaneousBody"/>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zyTableNAm"/>
              <w:rPr>
                <w:rStyle w:val="CharSClsNo"/>
              </w:rPr>
            </w:pPr>
          </w:p>
        </w:tc>
        <w:tc>
          <w:tcPr>
            <w:tcW w:w="4237" w:type="dxa"/>
          </w:tcPr>
          <w:p>
            <w:pPr>
              <w:pStyle w:val="yTableNAm"/>
            </w:pPr>
            <w:r>
              <w:t>except that if the property is —</w:t>
            </w:r>
          </w:p>
        </w:tc>
        <w:tc>
          <w:tcPr>
            <w:tcW w:w="1292" w:type="dxa"/>
          </w:tcPr>
          <w:p>
            <w:pPr>
              <w:pStyle w:val="yTableNAm"/>
            </w:pPr>
          </w:p>
        </w:tc>
      </w:tr>
      <w:tr>
        <w:trPr>
          <w:cantSplit/>
        </w:trPr>
        <w:tc>
          <w:tcPr>
            <w:tcW w:w="850" w:type="dxa"/>
          </w:tcPr>
          <w:p>
            <w:pPr>
              <w:pStyle w:val="zyTableNAm"/>
              <w:rPr>
                <w:rStyle w:val="CharSClsNo"/>
                <w:b/>
                <w:bCs/>
              </w:rPr>
            </w:pPr>
          </w:p>
        </w:tc>
        <w:tc>
          <w:tcPr>
            <w:tcW w:w="4237" w:type="dxa"/>
          </w:tcPr>
          <w:p>
            <w:pPr>
              <w:pStyle w:val="yTableNAm"/>
              <w:tabs>
                <w:tab w:val="clear" w:pos="567"/>
                <w:tab w:val="left" w:pos="176"/>
              </w:tabs>
              <w:ind w:left="656" w:hanging="656"/>
            </w:pPr>
            <w:r>
              <w:rPr>
                <w:snapToGrid w:val="0"/>
              </w:rPr>
              <w:tab/>
              <w:t>(a)</w:t>
            </w:r>
            <w:r>
              <w:rPr>
                <w:snapToGrid w:val="0"/>
              </w:rPr>
              <w:tab/>
              <w:t>in the town of Cue, Laverton, Leonora, Meekatharra, Menzies, Mt Magnet, Mullewa, Sandstone, Wiluna or Yalgoo; or</w:t>
            </w:r>
          </w:p>
        </w:tc>
        <w:tc>
          <w:tcPr>
            <w:tcW w:w="1292" w:type="dxa"/>
          </w:tcPr>
          <w:p>
            <w:pPr>
              <w:pStyle w:val="yTableNAm"/>
            </w:pPr>
          </w:p>
        </w:tc>
      </w:tr>
      <w:tr>
        <w:trPr>
          <w:cantSplit/>
        </w:trPr>
        <w:tc>
          <w:tcPr>
            <w:tcW w:w="850" w:type="dxa"/>
          </w:tcPr>
          <w:p>
            <w:pPr>
              <w:pStyle w:val="zyTableNAm"/>
              <w:rPr>
                <w:rStyle w:val="CharSClsNo"/>
              </w:rPr>
            </w:pPr>
          </w:p>
        </w:tc>
        <w:tc>
          <w:tcPr>
            <w:tcW w:w="4237" w:type="dxa"/>
          </w:tcPr>
          <w:p>
            <w:pPr>
              <w:pStyle w:val="yTableNAm"/>
              <w:tabs>
                <w:tab w:val="clear" w:pos="567"/>
                <w:tab w:val="left" w:pos="176"/>
              </w:tabs>
              <w:ind w:left="656" w:hanging="656"/>
            </w:pPr>
            <w:r>
              <w:rPr>
                <w:snapToGrid w:val="0"/>
              </w:rPr>
              <w:tab/>
              <w:t>(b)</w:t>
            </w:r>
            <w:r>
              <w:rPr>
                <w:snapToGrid w:val="0"/>
              </w:rPr>
              <w:tab/>
              <w:t>north of 26ºS Latitude,</w:t>
            </w:r>
          </w:p>
        </w:tc>
        <w:tc>
          <w:tcPr>
            <w:tcW w:w="1292" w:type="dxa"/>
          </w:tcPr>
          <w:p>
            <w:pPr>
              <w:pStyle w:val="yTableNAm"/>
            </w:pPr>
          </w:p>
        </w:tc>
      </w:tr>
      <w:tr>
        <w:trPr>
          <w:cantSplit/>
        </w:trPr>
        <w:tc>
          <w:tcPr>
            <w:tcW w:w="850" w:type="dxa"/>
          </w:tcPr>
          <w:p>
            <w:pPr>
              <w:pStyle w:val="zyTableNAm"/>
              <w:rPr>
                <w:rStyle w:val="CharSClsNo"/>
              </w:rPr>
            </w:pPr>
          </w:p>
        </w:tc>
        <w:tc>
          <w:tcPr>
            <w:tcW w:w="4237" w:type="dxa"/>
          </w:tcPr>
          <w:p>
            <w:pPr>
              <w:pStyle w:val="yTableNAm"/>
              <w:rPr>
                <w:snapToGrid w:val="0"/>
              </w:rPr>
            </w:pPr>
            <w:r>
              <w:t>the charge for each kilolitre of water is —</w:t>
            </w:r>
          </w:p>
        </w:tc>
        <w:tc>
          <w:tcPr>
            <w:tcW w:w="1292" w:type="dxa"/>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994"/>
      </w:tblGrid>
      <w:tr>
        <w:trPr>
          <w:cantSplit/>
          <w:tblHeader/>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jc w:val="center"/>
            </w:pPr>
            <w:r>
              <w:rPr>
                <w:b/>
                <w:bCs/>
              </w:rPr>
              <w:t>Class 1 (c/kL)</w:t>
            </w:r>
          </w:p>
        </w:tc>
        <w:tc>
          <w:tcPr>
            <w:tcW w:w="992" w:type="dxa"/>
            <w:tcBorders>
              <w:top w:val="single" w:sz="4" w:space="0" w:color="auto"/>
              <w:bottom w:val="single" w:sz="4" w:space="0" w:color="auto"/>
            </w:tcBorders>
          </w:tcPr>
          <w:p>
            <w:pPr>
              <w:pStyle w:val="yTableNAm"/>
              <w:jc w:val="center"/>
            </w:pPr>
            <w:r>
              <w:rPr>
                <w:b/>
                <w:bCs/>
              </w:rPr>
              <w:t>Class 2 (c/kL)</w:t>
            </w:r>
          </w:p>
        </w:tc>
        <w:tc>
          <w:tcPr>
            <w:tcW w:w="992" w:type="dxa"/>
            <w:tcBorders>
              <w:top w:val="single" w:sz="4" w:space="0" w:color="auto"/>
              <w:bottom w:val="single" w:sz="4" w:space="0" w:color="auto"/>
            </w:tcBorders>
          </w:tcPr>
          <w:p>
            <w:pPr>
              <w:pStyle w:val="yTableNAm"/>
              <w:jc w:val="center"/>
            </w:pPr>
            <w:r>
              <w:rPr>
                <w:b/>
                <w:bCs/>
              </w:rPr>
              <w:t>Class 3 (c/kL)</w:t>
            </w:r>
          </w:p>
        </w:tc>
        <w:tc>
          <w:tcPr>
            <w:tcW w:w="992" w:type="dxa"/>
            <w:tcBorders>
              <w:top w:val="single" w:sz="4" w:space="0" w:color="auto"/>
              <w:bottom w:val="single" w:sz="4" w:space="0" w:color="auto"/>
            </w:tcBorders>
          </w:tcPr>
          <w:p>
            <w:pPr>
              <w:pStyle w:val="yTableNAm"/>
              <w:jc w:val="center"/>
            </w:pPr>
            <w:r>
              <w:rPr>
                <w:b/>
                <w:bCs/>
              </w:rPr>
              <w:t>Class 4 (c/kL)</w:t>
            </w:r>
          </w:p>
        </w:tc>
        <w:tc>
          <w:tcPr>
            <w:tcW w:w="994" w:type="dxa"/>
            <w:tcBorders>
              <w:top w:val="single" w:sz="4" w:space="0" w:color="auto"/>
              <w:bottom w:val="single" w:sz="4" w:space="0" w:color="auto"/>
            </w:tcBorders>
          </w:tcPr>
          <w:p>
            <w:pPr>
              <w:pStyle w:val="yTableNAm"/>
              <w:jc w:val="center"/>
            </w:pPr>
            <w:r>
              <w:rPr>
                <w:b/>
                <w:bCs/>
              </w:rPr>
              <w:t>Class 5 (c/kL)</w:t>
            </w:r>
          </w:p>
        </w:tc>
      </w:tr>
      <w:tr>
        <w:trPr>
          <w:cantSplit/>
        </w:trPr>
        <w:tc>
          <w:tcPr>
            <w:tcW w:w="1417" w:type="dxa"/>
          </w:tcPr>
          <w:p>
            <w:pPr>
              <w:pStyle w:val="yTableNAm"/>
            </w:pPr>
            <w:r>
              <w:t>Up to 150</w:t>
            </w:r>
          </w:p>
        </w:tc>
        <w:tc>
          <w:tcPr>
            <w:tcW w:w="992" w:type="dxa"/>
            <w:vAlign w:val="bottom"/>
          </w:tcPr>
          <w:p>
            <w:pPr>
              <w:pStyle w:val="yTableNAm"/>
              <w:jc w:val="center"/>
            </w:pPr>
            <w:r>
              <w:rPr>
                <w:szCs w:val="22"/>
              </w:rPr>
              <w:t>52.0</w:t>
            </w:r>
          </w:p>
        </w:tc>
        <w:tc>
          <w:tcPr>
            <w:tcW w:w="992" w:type="dxa"/>
            <w:vAlign w:val="bottom"/>
          </w:tcPr>
          <w:p>
            <w:pPr>
              <w:pStyle w:val="yTableNAm"/>
              <w:jc w:val="center"/>
            </w:pPr>
            <w:r>
              <w:rPr>
                <w:szCs w:val="22"/>
              </w:rPr>
              <w:t>66.8</w:t>
            </w:r>
          </w:p>
        </w:tc>
        <w:tc>
          <w:tcPr>
            <w:tcW w:w="992" w:type="dxa"/>
            <w:vAlign w:val="bottom"/>
          </w:tcPr>
          <w:p>
            <w:pPr>
              <w:pStyle w:val="yTableNAm"/>
              <w:jc w:val="center"/>
            </w:pPr>
            <w:r>
              <w:rPr>
                <w:szCs w:val="22"/>
              </w:rPr>
              <w:t>66.8</w:t>
            </w:r>
          </w:p>
        </w:tc>
        <w:tc>
          <w:tcPr>
            <w:tcW w:w="992" w:type="dxa"/>
            <w:vAlign w:val="bottom"/>
          </w:tcPr>
          <w:p>
            <w:pPr>
              <w:pStyle w:val="yTableNAm"/>
              <w:jc w:val="center"/>
            </w:pPr>
            <w:r>
              <w:rPr>
                <w:szCs w:val="22"/>
              </w:rPr>
              <w:t>66.8</w:t>
            </w:r>
          </w:p>
        </w:tc>
        <w:tc>
          <w:tcPr>
            <w:tcW w:w="994" w:type="dxa"/>
            <w:vAlign w:val="bottom"/>
          </w:tcPr>
          <w:p>
            <w:pPr>
              <w:pStyle w:val="yTableNAm"/>
              <w:jc w:val="center"/>
            </w:pPr>
            <w:r>
              <w:rPr>
                <w:szCs w:val="22"/>
              </w:rPr>
              <w:t>66.8</w:t>
            </w:r>
          </w:p>
        </w:tc>
      </w:tr>
      <w:tr>
        <w:trPr>
          <w:cantSplit/>
        </w:trPr>
        <w:tc>
          <w:tcPr>
            <w:tcW w:w="1417" w:type="dxa"/>
          </w:tcPr>
          <w:p>
            <w:pPr>
              <w:pStyle w:val="yTableNAm"/>
            </w:pPr>
            <w:r>
              <w:t>Over 150 but not over 350</w:t>
            </w:r>
          </w:p>
        </w:tc>
        <w:tc>
          <w:tcPr>
            <w:tcW w:w="992" w:type="dxa"/>
            <w:vAlign w:val="bottom"/>
          </w:tcPr>
          <w:p>
            <w:pPr>
              <w:pStyle w:val="yTableNAm"/>
              <w:jc w:val="center"/>
            </w:pPr>
            <w:r>
              <w:rPr>
                <w:szCs w:val="22"/>
              </w:rPr>
              <w:t>52.0</w:t>
            </w:r>
          </w:p>
        </w:tc>
        <w:tc>
          <w:tcPr>
            <w:tcW w:w="992" w:type="dxa"/>
            <w:vAlign w:val="bottom"/>
          </w:tcPr>
          <w:p>
            <w:pPr>
              <w:pStyle w:val="yTableNAm"/>
              <w:jc w:val="center"/>
            </w:pPr>
            <w:r>
              <w:rPr>
                <w:szCs w:val="22"/>
              </w:rPr>
              <w:t>66.8</w:t>
            </w:r>
          </w:p>
        </w:tc>
        <w:tc>
          <w:tcPr>
            <w:tcW w:w="992" w:type="dxa"/>
            <w:vAlign w:val="bottom"/>
          </w:tcPr>
          <w:p>
            <w:pPr>
              <w:pStyle w:val="yTableNAm"/>
              <w:jc w:val="center"/>
            </w:pPr>
            <w:r>
              <w:rPr>
                <w:szCs w:val="22"/>
              </w:rPr>
              <w:t>66.8</w:t>
            </w:r>
          </w:p>
        </w:tc>
        <w:tc>
          <w:tcPr>
            <w:tcW w:w="992" w:type="dxa"/>
            <w:vAlign w:val="bottom"/>
          </w:tcPr>
          <w:p>
            <w:pPr>
              <w:pStyle w:val="yTableNAm"/>
              <w:jc w:val="center"/>
            </w:pPr>
            <w:r>
              <w:rPr>
                <w:szCs w:val="22"/>
              </w:rPr>
              <w:t>66.8</w:t>
            </w:r>
          </w:p>
        </w:tc>
        <w:tc>
          <w:tcPr>
            <w:tcW w:w="994" w:type="dxa"/>
            <w:vAlign w:val="bottom"/>
          </w:tcPr>
          <w:p>
            <w:pPr>
              <w:pStyle w:val="yTableNAm"/>
              <w:jc w:val="center"/>
            </w:pPr>
            <w:r>
              <w:rPr>
                <w:szCs w:val="22"/>
              </w:rPr>
              <w:t>66.8</w:t>
            </w:r>
          </w:p>
        </w:tc>
      </w:tr>
      <w:tr>
        <w:trPr>
          <w:cantSplit/>
        </w:trPr>
        <w:tc>
          <w:tcPr>
            <w:tcW w:w="1417" w:type="dxa"/>
          </w:tcPr>
          <w:p>
            <w:pPr>
              <w:pStyle w:val="yTableNAm"/>
            </w:pPr>
            <w:r>
              <w:t>Over 350 but not over 500</w:t>
            </w:r>
          </w:p>
        </w:tc>
        <w:tc>
          <w:tcPr>
            <w:tcW w:w="992" w:type="dxa"/>
            <w:vAlign w:val="bottom"/>
          </w:tcPr>
          <w:p>
            <w:pPr>
              <w:pStyle w:val="yTableNAm"/>
              <w:jc w:val="center"/>
            </w:pPr>
            <w:r>
              <w:rPr>
                <w:szCs w:val="22"/>
              </w:rPr>
              <w:t>67.8</w:t>
            </w:r>
          </w:p>
        </w:tc>
        <w:tc>
          <w:tcPr>
            <w:tcW w:w="992" w:type="dxa"/>
            <w:vAlign w:val="bottom"/>
          </w:tcPr>
          <w:p>
            <w:pPr>
              <w:pStyle w:val="yTableNAm"/>
              <w:jc w:val="center"/>
            </w:pPr>
            <w:r>
              <w:rPr>
                <w:szCs w:val="22"/>
              </w:rPr>
              <w:t>87.4</w:t>
            </w:r>
          </w:p>
        </w:tc>
        <w:tc>
          <w:tcPr>
            <w:tcW w:w="992" w:type="dxa"/>
            <w:vAlign w:val="bottom"/>
          </w:tcPr>
          <w:p>
            <w:pPr>
              <w:pStyle w:val="yTableNAm"/>
              <w:jc w:val="center"/>
            </w:pPr>
            <w:r>
              <w:rPr>
                <w:szCs w:val="22"/>
              </w:rPr>
              <w:t>87.4</w:t>
            </w:r>
          </w:p>
        </w:tc>
        <w:tc>
          <w:tcPr>
            <w:tcW w:w="992" w:type="dxa"/>
            <w:vAlign w:val="bottom"/>
          </w:tcPr>
          <w:p>
            <w:pPr>
              <w:pStyle w:val="yTableNAm"/>
              <w:jc w:val="center"/>
            </w:pPr>
            <w:r>
              <w:rPr>
                <w:szCs w:val="22"/>
              </w:rPr>
              <w:t>87.4</w:t>
            </w:r>
          </w:p>
        </w:tc>
        <w:tc>
          <w:tcPr>
            <w:tcW w:w="994" w:type="dxa"/>
            <w:vAlign w:val="bottom"/>
          </w:tcPr>
          <w:p>
            <w:pPr>
              <w:pStyle w:val="yTableNAm"/>
              <w:jc w:val="center"/>
            </w:pPr>
            <w:r>
              <w:rPr>
                <w:szCs w:val="22"/>
              </w:rPr>
              <w:t>87.4</w:t>
            </w:r>
          </w:p>
        </w:tc>
      </w:tr>
      <w:tr>
        <w:trPr>
          <w:cantSplit/>
        </w:trPr>
        <w:tc>
          <w:tcPr>
            <w:tcW w:w="1417" w:type="dxa"/>
          </w:tcPr>
          <w:p>
            <w:pPr>
              <w:pStyle w:val="yTableNAm"/>
            </w:pPr>
            <w:r>
              <w:t>Over 500 but not over 550</w:t>
            </w:r>
          </w:p>
        </w:tc>
        <w:tc>
          <w:tcPr>
            <w:tcW w:w="992" w:type="dxa"/>
            <w:vAlign w:val="bottom"/>
          </w:tcPr>
          <w:p>
            <w:pPr>
              <w:pStyle w:val="yTableNAm"/>
              <w:jc w:val="center"/>
            </w:pPr>
            <w:r>
              <w:rPr>
                <w:szCs w:val="22"/>
              </w:rPr>
              <w:t>73.8</w:t>
            </w:r>
          </w:p>
        </w:tc>
        <w:tc>
          <w:tcPr>
            <w:tcW w:w="992" w:type="dxa"/>
            <w:vAlign w:val="bottom"/>
          </w:tcPr>
          <w:p>
            <w:pPr>
              <w:pStyle w:val="yTableNAm"/>
              <w:jc w:val="center"/>
            </w:pPr>
            <w:r>
              <w:rPr>
                <w:szCs w:val="22"/>
              </w:rPr>
              <w:t>102.1</w:t>
            </w:r>
          </w:p>
        </w:tc>
        <w:tc>
          <w:tcPr>
            <w:tcW w:w="992" w:type="dxa"/>
            <w:vAlign w:val="bottom"/>
          </w:tcPr>
          <w:p>
            <w:pPr>
              <w:pStyle w:val="yTableNAm"/>
              <w:jc w:val="center"/>
            </w:pPr>
            <w:r>
              <w:rPr>
                <w:szCs w:val="22"/>
              </w:rPr>
              <w:t>130.1</w:t>
            </w:r>
          </w:p>
        </w:tc>
        <w:tc>
          <w:tcPr>
            <w:tcW w:w="992" w:type="dxa"/>
            <w:vAlign w:val="bottom"/>
          </w:tcPr>
          <w:p>
            <w:pPr>
              <w:pStyle w:val="yTableNAm"/>
              <w:jc w:val="center"/>
            </w:pPr>
            <w:r>
              <w:rPr>
                <w:szCs w:val="22"/>
              </w:rPr>
              <w:t>153.1</w:t>
            </w:r>
          </w:p>
        </w:tc>
        <w:tc>
          <w:tcPr>
            <w:tcW w:w="994" w:type="dxa"/>
            <w:vAlign w:val="bottom"/>
          </w:tcPr>
          <w:p>
            <w:pPr>
              <w:pStyle w:val="yTableNAm"/>
              <w:jc w:val="center"/>
            </w:pPr>
            <w:r>
              <w:rPr>
                <w:szCs w:val="22"/>
              </w:rPr>
              <w:t>180.0</w:t>
            </w:r>
          </w:p>
        </w:tc>
      </w:tr>
      <w:tr>
        <w:trPr>
          <w:cantSplit/>
        </w:trPr>
        <w:tc>
          <w:tcPr>
            <w:tcW w:w="1417" w:type="dxa"/>
          </w:tcPr>
          <w:p>
            <w:pPr>
              <w:pStyle w:val="yTableNAm"/>
            </w:pPr>
            <w:r>
              <w:t>Over 550 but not over 600</w:t>
            </w:r>
          </w:p>
        </w:tc>
        <w:tc>
          <w:tcPr>
            <w:tcW w:w="992" w:type="dxa"/>
            <w:vAlign w:val="bottom"/>
          </w:tcPr>
          <w:p>
            <w:pPr>
              <w:pStyle w:val="yTableNAm"/>
              <w:jc w:val="center"/>
            </w:pPr>
            <w:r>
              <w:rPr>
                <w:szCs w:val="22"/>
              </w:rPr>
              <w:t>73.8</w:t>
            </w:r>
          </w:p>
        </w:tc>
        <w:tc>
          <w:tcPr>
            <w:tcW w:w="992" w:type="dxa"/>
            <w:vAlign w:val="bottom"/>
          </w:tcPr>
          <w:p>
            <w:pPr>
              <w:pStyle w:val="yTableNAm"/>
              <w:jc w:val="center"/>
            </w:pPr>
            <w:r>
              <w:rPr>
                <w:szCs w:val="22"/>
              </w:rPr>
              <w:t>102.1</w:t>
            </w:r>
          </w:p>
        </w:tc>
        <w:tc>
          <w:tcPr>
            <w:tcW w:w="992" w:type="dxa"/>
            <w:vAlign w:val="bottom"/>
          </w:tcPr>
          <w:p>
            <w:pPr>
              <w:pStyle w:val="yTableNAm"/>
              <w:jc w:val="center"/>
            </w:pPr>
            <w:r>
              <w:rPr>
                <w:szCs w:val="22"/>
              </w:rPr>
              <w:t>130.1</w:t>
            </w:r>
          </w:p>
        </w:tc>
        <w:tc>
          <w:tcPr>
            <w:tcW w:w="992" w:type="dxa"/>
            <w:vAlign w:val="bottom"/>
          </w:tcPr>
          <w:p>
            <w:pPr>
              <w:pStyle w:val="yTableNAm"/>
              <w:jc w:val="center"/>
            </w:pPr>
            <w:r>
              <w:rPr>
                <w:szCs w:val="22"/>
              </w:rPr>
              <w:t>153.1</w:t>
            </w:r>
          </w:p>
        </w:tc>
        <w:tc>
          <w:tcPr>
            <w:tcW w:w="994" w:type="dxa"/>
            <w:vAlign w:val="bottom"/>
          </w:tcPr>
          <w:p>
            <w:pPr>
              <w:pStyle w:val="yTableNAm"/>
              <w:jc w:val="center"/>
            </w:pPr>
            <w:r>
              <w:rPr>
                <w:szCs w:val="22"/>
              </w:rPr>
              <w:t>180.0</w:t>
            </w:r>
          </w:p>
        </w:tc>
      </w:tr>
      <w:tr>
        <w:trPr>
          <w:cantSplit/>
        </w:trPr>
        <w:tc>
          <w:tcPr>
            <w:tcW w:w="1417" w:type="dxa"/>
          </w:tcPr>
          <w:p>
            <w:pPr>
              <w:pStyle w:val="yTableNAm"/>
            </w:pPr>
            <w:r>
              <w:t>Over 600 but not over 650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994" w:type="dxa"/>
            <w:vAlign w:val="bottom"/>
          </w:tcPr>
          <w:p>
            <w:pPr>
              <w:pStyle w:val="yTableNAm"/>
              <w:jc w:val="center"/>
            </w:pPr>
            <w:r>
              <w:rPr>
                <w:szCs w:val="22"/>
              </w:rPr>
              <w:t>360.0</w:t>
            </w:r>
          </w:p>
        </w:tc>
      </w:tr>
      <w:tr>
        <w:trPr>
          <w:cantSplit/>
        </w:trPr>
        <w:tc>
          <w:tcPr>
            <w:tcW w:w="1417" w:type="dxa"/>
          </w:tcPr>
          <w:p>
            <w:pPr>
              <w:pStyle w:val="yTableNAm"/>
            </w:pPr>
            <w:r>
              <w:t>Over 650 but not over 750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994" w:type="dxa"/>
            <w:vAlign w:val="bottom"/>
          </w:tcPr>
          <w:p>
            <w:pPr>
              <w:pStyle w:val="yTableNAm"/>
              <w:jc w:val="center"/>
            </w:pPr>
            <w:r>
              <w:rPr>
                <w:szCs w:val="22"/>
              </w:rPr>
              <w:t>360.0</w:t>
            </w:r>
          </w:p>
        </w:tc>
      </w:tr>
      <w:tr>
        <w:trPr>
          <w:cantSplit/>
        </w:trPr>
        <w:tc>
          <w:tcPr>
            <w:tcW w:w="1417" w:type="dxa"/>
          </w:tcPr>
          <w:p>
            <w:pPr>
              <w:pStyle w:val="yTableNAm"/>
            </w:pPr>
            <w:r>
              <w:t>Over 750 but not over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t>Over 950 but not over 1 150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t>Over 1 150 but not over 1 550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t>Over 1 550 but not over 1 950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pPr>
            <w:r>
              <w:rPr>
                <w:szCs w:val="22"/>
              </w:rPr>
              <w:t>173.4</w:t>
            </w:r>
          </w:p>
        </w:tc>
        <w:tc>
          <w:tcPr>
            <w:tcW w:w="992" w:type="dxa"/>
            <w:tcBorders>
              <w:bottom w:val="single" w:sz="4" w:space="0" w:color="auto"/>
            </w:tcBorders>
            <w:vAlign w:val="bottom"/>
          </w:tcPr>
          <w:p>
            <w:pPr>
              <w:pStyle w:val="yTableNAm"/>
              <w:jc w:val="center"/>
            </w:pPr>
            <w:r>
              <w:rPr>
                <w:szCs w:val="22"/>
              </w:rPr>
              <w:t>239.8</w:t>
            </w:r>
          </w:p>
        </w:tc>
        <w:tc>
          <w:tcPr>
            <w:tcW w:w="992" w:type="dxa"/>
            <w:tcBorders>
              <w:bottom w:val="single" w:sz="4" w:space="0" w:color="auto"/>
            </w:tcBorders>
            <w:vAlign w:val="bottom"/>
          </w:tcPr>
          <w:p>
            <w:pPr>
              <w:pStyle w:val="yTableNAm"/>
              <w:jc w:val="center"/>
            </w:pPr>
            <w:r>
              <w:rPr>
                <w:szCs w:val="22"/>
              </w:rPr>
              <w:t>331.7</w:t>
            </w:r>
          </w:p>
        </w:tc>
        <w:tc>
          <w:tcPr>
            <w:tcW w:w="992" w:type="dxa"/>
            <w:tcBorders>
              <w:bottom w:val="single" w:sz="4" w:space="0" w:color="auto"/>
            </w:tcBorders>
            <w:vAlign w:val="bottom"/>
          </w:tcPr>
          <w:p>
            <w:pPr>
              <w:pStyle w:val="yTableNAm"/>
              <w:jc w:val="center"/>
            </w:pPr>
            <w:r>
              <w:rPr>
                <w:szCs w:val="22"/>
              </w:rPr>
              <w:t>458.9</w:t>
            </w:r>
          </w:p>
        </w:tc>
        <w:tc>
          <w:tcPr>
            <w:tcW w:w="994" w:type="dxa"/>
            <w:tcBorders>
              <w:bottom w:val="single" w:sz="4" w:space="0" w:color="auto"/>
            </w:tcBorders>
            <w:vAlign w:val="bottom"/>
          </w:tcPr>
          <w:p>
            <w:pPr>
              <w:pStyle w:val="yTableNAm"/>
              <w:jc w:val="center"/>
            </w:pPr>
            <w:r>
              <w:rPr>
                <w:szCs w:val="22"/>
              </w:rPr>
              <w:t>634.7</w:t>
            </w:r>
          </w:p>
        </w:tc>
      </w:tr>
    </w:tbl>
    <w:p>
      <w:pPr>
        <w:pStyle w:val="yMiscellaneousBody"/>
        <w:ind w:right="-104"/>
      </w:pPr>
    </w:p>
    <w:tbl>
      <w:tblPr>
        <w:tblW w:w="6377" w:type="dxa"/>
        <w:tblInd w:w="534" w:type="dxa"/>
        <w:tblLayout w:type="fixed"/>
        <w:tblLook w:val="0000" w:firstRow="0" w:lastRow="0" w:firstColumn="0" w:lastColumn="0" w:noHBand="0" w:noVBand="0"/>
      </w:tblPr>
      <w:tblGrid>
        <w:gridCol w:w="774"/>
        <w:gridCol w:w="4302"/>
        <w:gridCol w:w="1301"/>
      </w:tblGrid>
      <w:tr>
        <w:trPr>
          <w:cantSplit/>
        </w:trPr>
        <w:tc>
          <w:tcPr>
            <w:tcW w:w="774" w:type="dxa"/>
          </w:tcPr>
          <w:p>
            <w:pPr>
              <w:pStyle w:val="yTableNAm"/>
            </w:pPr>
            <w:r>
              <w:rPr>
                <w:b/>
              </w:rPr>
              <w:t>24.</w:t>
            </w:r>
          </w:p>
        </w:tc>
        <w:tc>
          <w:tcPr>
            <w:tcW w:w="4302" w:type="dxa"/>
          </w:tcPr>
          <w:p>
            <w:pPr>
              <w:pStyle w:val="yTableNAm"/>
              <w:tabs>
                <w:tab w:val="left" w:leader="dot" w:pos="4876"/>
              </w:tabs>
              <w:ind w:right="158"/>
            </w:pPr>
            <w:r>
              <w:rPr>
                <w:b/>
                <w:bCs/>
              </w:rPr>
              <w:t>Metropolitan non</w:t>
            </w:r>
            <w:r>
              <w:rPr>
                <w:b/>
                <w:bCs/>
              </w:rPr>
              <w:noBreakHyphen/>
              <w:t>residential</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left" w:leader="dot" w:pos="4876"/>
              </w:tabs>
              <w:ind w:right="158"/>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176"/>
                <w:tab w:val="left" w:pos="652"/>
                <w:tab w:val="right" w:leader="dot" w:pos="4003"/>
              </w:tabs>
              <w:ind w:left="656" w:right="158" w:hanging="656"/>
            </w:pPr>
            <w:r>
              <w:tab/>
              <w:t>(a)</w:t>
            </w:r>
            <w:r>
              <w:tab/>
              <w:t>in the case of land not mentioned in paragraph (b) </w:t>
            </w:r>
            <w:r>
              <w:tab/>
            </w:r>
          </w:p>
        </w:tc>
        <w:tc>
          <w:tcPr>
            <w:tcW w:w="1301" w:type="dxa"/>
            <w:vAlign w:val="bottom"/>
          </w:tcPr>
          <w:p>
            <w:pPr>
              <w:pStyle w:val="yTableNAm"/>
              <w:tabs>
                <w:tab w:val="clear" w:pos="567"/>
              </w:tabs>
              <w:ind w:left="-108" w:right="-91"/>
            </w:pPr>
            <w:r>
              <w:t>204.1 cents</w:t>
            </w:r>
          </w:p>
        </w:tc>
      </w:tr>
      <w:tr>
        <w:trPr>
          <w:cantSplit/>
        </w:trPr>
        <w:tc>
          <w:tcPr>
            <w:tcW w:w="774" w:type="dxa"/>
          </w:tcPr>
          <w:p>
            <w:pPr>
              <w:pStyle w:val="zyTableNAm"/>
              <w:keepNext/>
            </w:pPr>
          </w:p>
        </w:tc>
        <w:tc>
          <w:tcPr>
            <w:tcW w:w="4302" w:type="dxa"/>
          </w:tcPr>
          <w:p>
            <w:pPr>
              <w:pStyle w:val="yTableNAm"/>
              <w:tabs>
                <w:tab w:val="clear" w:pos="567"/>
                <w:tab w:val="left" w:pos="176"/>
                <w:tab w:val="left" w:pos="652"/>
                <w:tab w:val="right" w:leader="dot" w:pos="4003"/>
              </w:tabs>
              <w:ind w:left="656" w:right="158" w:hanging="656"/>
            </w:pPr>
            <w:r>
              <w:tab/>
              <w:t>(b)</w:t>
            </w:r>
            <w:r>
              <w:tab/>
              <w:t>in the case of land classified as commercial residential —</w:t>
            </w:r>
          </w:p>
        </w:tc>
        <w:tc>
          <w:tcPr>
            <w:tcW w:w="1301" w:type="dxa"/>
            <w:vAlign w:val="bottom"/>
          </w:tcPr>
          <w:p>
            <w:pPr>
              <w:pStyle w:val="yTableNAm"/>
              <w:keepNext/>
            </w:pPr>
          </w:p>
        </w:tc>
      </w:tr>
      <w:tr>
        <w:trPr>
          <w:cantSplit/>
        </w:trPr>
        <w:tc>
          <w:tcPr>
            <w:tcW w:w="774" w:type="dxa"/>
          </w:tcPr>
          <w:p>
            <w:pPr>
              <w:pStyle w:val="zyTableNAm"/>
            </w:pPr>
          </w:p>
        </w:tc>
        <w:tc>
          <w:tcPr>
            <w:tcW w:w="4302" w:type="dxa"/>
          </w:tcPr>
          <w:p>
            <w:pPr>
              <w:pStyle w:val="yTableNAm"/>
              <w:tabs>
                <w:tab w:val="clear" w:pos="567"/>
                <w:tab w:val="left" w:pos="852"/>
                <w:tab w:val="right" w:leader="dot" w:pos="4003"/>
              </w:tabs>
              <w:ind w:left="848" w:right="158" w:hanging="848"/>
            </w:pPr>
            <w:r>
              <w:tab/>
              <w:t xml:space="preserve">up to </w:t>
            </w:r>
            <w:r>
              <w:rPr>
                <w:spacing w:val="-1"/>
              </w:rPr>
              <w:t>150</w:t>
            </w:r>
            <w:r>
              <w:t xml:space="preserve"> kL </w:t>
            </w:r>
            <w:r>
              <w:tab/>
            </w:r>
          </w:p>
        </w:tc>
        <w:tc>
          <w:tcPr>
            <w:tcW w:w="1301" w:type="dxa"/>
            <w:vAlign w:val="bottom"/>
          </w:tcPr>
          <w:p>
            <w:pPr>
              <w:pStyle w:val="yTableNAm"/>
              <w:tabs>
                <w:tab w:val="clear" w:pos="567"/>
              </w:tabs>
              <w:ind w:left="-108" w:right="-91"/>
            </w:pPr>
            <w:r>
              <w:t>133.6 cents</w:t>
            </w:r>
          </w:p>
        </w:tc>
      </w:tr>
      <w:tr>
        <w:trPr>
          <w:cantSplit/>
        </w:trPr>
        <w:tc>
          <w:tcPr>
            <w:tcW w:w="774" w:type="dxa"/>
          </w:tcPr>
          <w:p>
            <w:pPr>
              <w:pStyle w:val="zyTableNAm"/>
            </w:pPr>
          </w:p>
        </w:tc>
        <w:tc>
          <w:tcPr>
            <w:tcW w:w="4302" w:type="dxa"/>
          </w:tcPr>
          <w:p>
            <w:pPr>
              <w:pStyle w:val="yTableNAm"/>
              <w:tabs>
                <w:tab w:val="clear" w:pos="567"/>
                <w:tab w:val="left" w:pos="852"/>
                <w:tab w:val="right" w:leader="dot" w:pos="4003"/>
              </w:tabs>
              <w:ind w:left="848" w:right="158" w:hanging="848"/>
            </w:pPr>
            <w:r>
              <w:tab/>
              <w:t xml:space="preserve">over </w:t>
            </w:r>
            <w:r>
              <w:rPr>
                <w:spacing w:val="-1"/>
              </w:rPr>
              <w:t>150</w:t>
            </w:r>
            <w:r>
              <w:t xml:space="preserve"> kL </w:t>
            </w:r>
            <w:r>
              <w:tab/>
            </w:r>
          </w:p>
        </w:tc>
        <w:tc>
          <w:tcPr>
            <w:tcW w:w="1301" w:type="dxa"/>
            <w:vAlign w:val="bottom"/>
          </w:tcPr>
          <w:p>
            <w:pPr>
              <w:pStyle w:val="yTableNAm"/>
              <w:tabs>
                <w:tab w:val="clear" w:pos="567"/>
              </w:tabs>
              <w:ind w:left="-108" w:right="-91"/>
            </w:pPr>
            <w:r>
              <w:t>204.1 cents</w:t>
            </w:r>
          </w:p>
        </w:tc>
      </w:tr>
      <w:tr>
        <w:trPr>
          <w:cantSplit/>
        </w:trPr>
        <w:tc>
          <w:tcPr>
            <w:tcW w:w="774" w:type="dxa"/>
          </w:tcPr>
          <w:p>
            <w:pPr>
              <w:pStyle w:val="yTableNAm"/>
            </w:pPr>
            <w:r>
              <w:rPr>
                <w:b/>
              </w:rPr>
              <w:t>25.</w:t>
            </w:r>
          </w:p>
        </w:tc>
        <w:tc>
          <w:tcPr>
            <w:tcW w:w="4302" w:type="dxa"/>
          </w:tcPr>
          <w:p>
            <w:pPr>
              <w:pStyle w:val="yTableNAm"/>
              <w:tabs>
                <w:tab w:val="left" w:leader="dot" w:pos="4876"/>
              </w:tabs>
              <w:ind w:right="158"/>
            </w:pPr>
            <w:r>
              <w:rPr>
                <w:b/>
              </w:rPr>
              <w:t>Connected metropolitan exempt</w:t>
            </w:r>
          </w:p>
        </w:tc>
        <w:tc>
          <w:tcPr>
            <w:tcW w:w="1301" w:type="dxa"/>
            <w:vAlign w:val="bottom"/>
          </w:tcPr>
          <w:p>
            <w:pPr>
              <w:pStyle w:val="yTableNAm"/>
              <w:tabs>
                <w:tab w:val="clear" w:pos="567"/>
              </w:tabs>
              <w:ind w:left="-108" w:right="-91"/>
            </w:pPr>
          </w:p>
        </w:tc>
      </w:tr>
      <w:tr>
        <w:trPr>
          <w:cantSplit/>
        </w:trPr>
        <w:tc>
          <w:tcPr>
            <w:tcW w:w="774" w:type="dxa"/>
          </w:tcPr>
          <w:p>
            <w:pPr>
              <w:pStyle w:val="zyTableNAm"/>
            </w:pPr>
          </w:p>
        </w:tc>
        <w:tc>
          <w:tcPr>
            <w:tcW w:w="4302" w:type="dxa"/>
          </w:tcPr>
          <w:p>
            <w:pPr>
              <w:pStyle w:val="yTableNAm"/>
              <w:tabs>
                <w:tab w:val="left" w:leader="dot" w:pos="4876"/>
              </w:tabs>
              <w:ind w:right="158"/>
            </w:pPr>
            <w:r>
              <w:t>For each kilolitre of water, not being water for which a charge is otherwise provided in item 29 or 31, supplied to land described in by</w:t>
            </w:r>
            <w:r>
              <w:noBreakHyphen/>
              <w:t xml:space="preserve">law 4 that is in the metropolitan area and that is not classified as residential </w:t>
            </w:r>
            <w:r>
              <w:tab/>
            </w:r>
          </w:p>
        </w:tc>
        <w:tc>
          <w:tcPr>
            <w:tcW w:w="1301" w:type="dxa"/>
            <w:vAlign w:val="bottom"/>
          </w:tcPr>
          <w:p>
            <w:pPr>
              <w:pStyle w:val="yTableNAm"/>
              <w:tabs>
                <w:tab w:val="clear" w:pos="567"/>
              </w:tabs>
              <w:ind w:left="-108" w:right="-91"/>
            </w:pPr>
            <w:r>
              <w:t>204.1 cents</w:t>
            </w:r>
          </w:p>
        </w:tc>
      </w:tr>
      <w:tr>
        <w:trPr>
          <w:cantSplit/>
        </w:trPr>
        <w:tc>
          <w:tcPr>
            <w:tcW w:w="774" w:type="dxa"/>
          </w:tcPr>
          <w:p>
            <w:pPr>
              <w:pStyle w:val="yTableNAm"/>
            </w:pPr>
            <w:r>
              <w:rPr>
                <w:b/>
              </w:rPr>
              <w:t>26.</w:t>
            </w:r>
          </w:p>
        </w:tc>
        <w:tc>
          <w:tcPr>
            <w:tcW w:w="4302" w:type="dxa"/>
          </w:tcPr>
          <w:p>
            <w:pPr>
              <w:pStyle w:val="yTableNAm"/>
              <w:tabs>
                <w:tab w:val="left" w:leader="dot" w:pos="4876"/>
              </w:tabs>
              <w:ind w:right="158"/>
            </w:pPr>
            <w:r>
              <w:rPr>
                <w:b/>
              </w:rPr>
              <w:t>Connected non</w:t>
            </w:r>
            <w:r>
              <w:rPr>
                <w:b/>
              </w:rPr>
              <w:noBreakHyphen/>
              <w:t>metropolitan residential exempt</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left" w:leader="dot" w:pos="4876"/>
              </w:tabs>
              <w:ind w:right="158"/>
            </w:pPr>
            <w:r>
              <w:t>For each kilolitre of water, not being water for which a charge is otherwise specifically provided in this Division, supplied to land described in by</w:t>
            </w:r>
            <w:r>
              <w:noBreakHyphen/>
              <w:t>law 4 that is comprised in a residential property and is not in the metropolitan area —</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372"/>
                <w:tab w:val="right" w:leader="dot" w:pos="4003"/>
              </w:tabs>
              <w:ind w:right="158"/>
            </w:pPr>
            <w:r>
              <w:tab/>
              <w:t xml:space="preserve">up to 300 kL </w:t>
            </w:r>
            <w:r>
              <w:tab/>
            </w:r>
          </w:p>
        </w:tc>
        <w:tc>
          <w:tcPr>
            <w:tcW w:w="1301" w:type="dxa"/>
            <w:vAlign w:val="bottom"/>
          </w:tcPr>
          <w:p>
            <w:pPr>
              <w:pStyle w:val="yTableNAm"/>
              <w:tabs>
                <w:tab w:val="clear" w:pos="567"/>
              </w:tabs>
              <w:ind w:left="-108" w:right="-91"/>
            </w:pPr>
            <w:r>
              <w:t>174.7 cents</w:t>
            </w:r>
          </w:p>
        </w:tc>
      </w:tr>
      <w:tr>
        <w:trPr>
          <w:cantSplit/>
        </w:trPr>
        <w:tc>
          <w:tcPr>
            <w:tcW w:w="774" w:type="dxa"/>
          </w:tcPr>
          <w:p>
            <w:pPr>
              <w:pStyle w:val="zyTableNAm"/>
            </w:pPr>
          </w:p>
        </w:tc>
        <w:tc>
          <w:tcPr>
            <w:tcW w:w="4302" w:type="dxa"/>
          </w:tcPr>
          <w:p>
            <w:pPr>
              <w:pStyle w:val="yTableNAm"/>
              <w:tabs>
                <w:tab w:val="clear" w:pos="567"/>
                <w:tab w:val="left" w:pos="372"/>
                <w:tab w:val="right" w:leader="dot" w:pos="4003"/>
              </w:tabs>
              <w:ind w:right="158"/>
            </w:pPr>
            <w:r>
              <w:tab/>
              <w:t xml:space="preserve">over 300 kL </w:t>
            </w:r>
            <w:r>
              <w:tab/>
            </w:r>
          </w:p>
        </w:tc>
        <w:tc>
          <w:tcPr>
            <w:tcW w:w="1301" w:type="dxa"/>
            <w:vAlign w:val="bottom"/>
          </w:tcPr>
          <w:p>
            <w:pPr>
              <w:pStyle w:val="yTableNAm"/>
              <w:tabs>
                <w:tab w:val="clear" w:pos="567"/>
              </w:tabs>
              <w:ind w:left="-108" w:right="-91"/>
            </w:pPr>
            <w:r>
              <w:t>192.6 cents</w:t>
            </w:r>
          </w:p>
        </w:tc>
      </w:tr>
      <w:tr>
        <w:trPr>
          <w:cantSplit/>
        </w:trPr>
        <w:tc>
          <w:tcPr>
            <w:tcW w:w="774" w:type="dxa"/>
          </w:tcPr>
          <w:p>
            <w:pPr>
              <w:pStyle w:val="yTableNAm"/>
            </w:pPr>
            <w:r>
              <w:rPr>
                <w:b/>
              </w:rPr>
              <w:t>27.</w:t>
            </w:r>
          </w:p>
        </w:tc>
        <w:tc>
          <w:tcPr>
            <w:tcW w:w="4302" w:type="dxa"/>
          </w:tcPr>
          <w:p>
            <w:pPr>
              <w:pStyle w:val="yTableNAm"/>
              <w:tabs>
                <w:tab w:val="left" w:leader="dot" w:pos="4876"/>
              </w:tabs>
              <w:ind w:right="158"/>
            </w:pPr>
            <w:r>
              <w:rPr>
                <w:b/>
                <w:bCs/>
              </w:rPr>
              <w:t>Non</w:t>
            </w:r>
            <w:r>
              <w:rPr>
                <w:b/>
                <w:bCs/>
              </w:rPr>
              <w:noBreakHyphen/>
              <w:t>metropolitan non</w:t>
            </w:r>
            <w:r>
              <w:rPr>
                <w:b/>
                <w:bCs/>
              </w:rPr>
              <w:noBreakHyphen/>
              <w:t>residential</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left" w:leader="dot" w:pos="4876"/>
              </w:tabs>
              <w:ind w:right="158"/>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296"/>
                <w:tab w:val="left" w:pos="776"/>
                <w:tab w:val="left" w:leader="dot" w:pos="4876"/>
              </w:tabs>
              <w:ind w:left="776" w:hanging="776"/>
            </w:pPr>
            <w:r>
              <w:rPr>
                <w:snapToGrid w:val="0"/>
              </w:rPr>
              <w:tab/>
              <w:t>(a)</w:t>
            </w:r>
            <w:r>
              <w:rPr>
                <w:snapToGrid w:val="0"/>
              </w:rPr>
              <w:tab/>
              <w:t>local government —</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852"/>
                <w:tab w:val="right" w:leader="dot" w:pos="4003"/>
              </w:tabs>
              <w:ind w:left="848" w:right="158" w:hanging="848"/>
            </w:pPr>
            <w:r>
              <w:tab/>
            </w:r>
            <w:r>
              <w:tab/>
              <w:t xml:space="preserve">up to 300 kL </w:t>
            </w:r>
            <w:r>
              <w:tab/>
            </w:r>
          </w:p>
        </w:tc>
        <w:tc>
          <w:tcPr>
            <w:tcW w:w="1301" w:type="dxa"/>
            <w:vAlign w:val="bottom"/>
          </w:tcPr>
          <w:p>
            <w:pPr>
              <w:pStyle w:val="yTableNAm"/>
              <w:tabs>
                <w:tab w:val="clear" w:pos="567"/>
              </w:tabs>
              <w:ind w:left="-108" w:right="-91"/>
            </w:pPr>
            <w:r>
              <w:t>174.7 cents</w:t>
            </w:r>
          </w:p>
        </w:tc>
      </w:tr>
      <w:tr>
        <w:trPr>
          <w:cantSplit/>
        </w:trPr>
        <w:tc>
          <w:tcPr>
            <w:tcW w:w="774" w:type="dxa"/>
          </w:tcPr>
          <w:p>
            <w:pPr>
              <w:pStyle w:val="zyTableNAm"/>
            </w:pPr>
          </w:p>
        </w:tc>
        <w:tc>
          <w:tcPr>
            <w:tcW w:w="4302" w:type="dxa"/>
          </w:tcPr>
          <w:p>
            <w:pPr>
              <w:pStyle w:val="yTableNAm"/>
              <w:tabs>
                <w:tab w:val="clear" w:pos="567"/>
                <w:tab w:val="left" w:pos="852"/>
                <w:tab w:val="right" w:leader="dot" w:pos="4003"/>
              </w:tabs>
              <w:ind w:left="848" w:right="158" w:hanging="848"/>
            </w:pPr>
            <w:r>
              <w:tab/>
            </w:r>
            <w:r>
              <w:tab/>
              <w:t xml:space="preserve">over 300 kL </w:t>
            </w:r>
            <w:r>
              <w:tab/>
            </w:r>
          </w:p>
        </w:tc>
        <w:tc>
          <w:tcPr>
            <w:tcW w:w="1301" w:type="dxa"/>
            <w:vAlign w:val="bottom"/>
          </w:tcPr>
          <w:p>
            <w:pPr>
              <w:pStyle w:val="yTableNAm"/>
              <w:tabs>
                <w:tab w:val="clear" w:pos="567"/>
              </w:tabs>
              <w:ind w:left="-108" w:right="-91"/>
            </w:pPr>
            <w:r>
              <w:t>192.6 cents</w:t>
            </w:r>
          </w:p>
        </w:tc>
      </w:tr>
      <w:tr>
        <w:trPr>
          <w:cantSplit/>
        </w:trPr>
        <w:tc>
          <w:tcPr>
            <w:tcW w:w="774" w:type="dxa"/>
          </w:tcPr>
          <w:p>
            <w:pPr>
              <w:pStyle w:val="zyTableNAm"/>
            </w:pPr>
          </w:p>
        </w:tc>
        <w:tc>
          <w:tcPr>
            <w:tcW w:w="4302" w:type="dxa"/>
          </w:tcPr>
          <w:p>
            <w:pPr>
              <w:pStyle w:val="yTableNAm"/>
              <w:tabs>
                <w:tab w:val="clear" w:pos="567"/>
                <w:tab w:val="left" w:pos="296"/>
                <w:tab w:val="left" w:pos="776"/>
                <w:tab w:val="left" w:leader="dot" w:pos="4876"/>
              </w:tabs>
              <w:ind w:left="776" w:hanging="776"/>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301" w:type="dxa"/>
            <w:vAlign w:val="bottom"/>
          </w:tcPr>
          <w:p>
            <w:pPr>
              <w:pStyle w:val="yTableNAm"/>
              <w:tabs>
                <w:tab w:val="left" w:pos="852"/>
                <w:tab w:val="left" w:leader="dot" w:pos="4876"/>
              </w:tabs>
              <w:ind w:right="158"/>
            </w:pPr>
          </w:p>
        </w:tc>
      </w:tr>
    </w:tbl>
    <w:p>
      <w:pPr>
        <w:pStyle w:val="yMiscellaneousBody"/>
      </w:pPr>
    </w:p>
    <w:tbl>
      <w:tblPr>
        <w:tblW w:w="6378" w:type="dxa"/>
        <w:tblInd w:w="454" w:type="dxa"/>
        <w:tblLayout w:type="fixed"/>
        <w:tblCellMar>
          <w:left w:w="28" w:type="dxa"/>
          <w:right w:w="28" w:type="dxa"/>
        </w:tblCellMar>
        <w:tblLook w:val="0000" w:firstRow="0" w:lastRow="0" w:firstColumn="0" w:lastColumn="0" w:noHBand="0" w:noVBand="0"/>
      </w:tblPr>
      <w:tblGrid>
        <w:gridCol w:w="1854"/>
        <w:gridCol w:w="2262"/>
        <w:gridCol w:w="2262"/>
      </w:tblGrid>
      <w:tr>
        <w:trPr>
          <w:cantSplit/>
          <w:trHeight w:val="217"/>
          <w:tblHeader/>
        </w:trPr>
        <w:tc>
          <w:tcPr>
            <w:tcW w:w="1854" w:type="dxa"/>
            <w:vMerge w:val="restart"/>
            <w:tcBorders>
              <w:top w:val="single" w:sz="4" w:space="0" w:color="auto"/>
            </w:tcBorders>
          </w:tcPr>
          <w:p>
            <w:pPr>
              <w:pStyle w:val="yTableNAm"/>
              <w:keepNext/>
            </w:pPr>
            <w:r>
              <w:rPr>
                <w:b/>
                <w:bCs/>
              </w:rPr>
              <w:t>Class</w:t>
            </w:r>
          </w:p>
        </w:tc>
        <w:tc>
          <w:tcPr>
            <w:tcW w:w="4524" w:type="dxa"/>
            <w:gridSpan w:val="2"/>
            <w:tcBorders>
              <w:top w:val="single" w:sz="4" w:space="0" w:color="auto"/>
            </w:tcBorders>
          </w:tcPr>
          <w:p>
            <w:pPr>
              <w:pStyle w:val="yTableNAm"/>
              <w:keepNext/>
              <w:jc w:val="center"/>
            </w:pPr>
            <w:r>
              <w:rPr>
                <w:b/>
                <w:bCs/>
              </w:rPr>
              <w:t>Consumption (kL)</w:t>
            </w:r>
          </w:p>
        </w:tc>
      </w:tr>
      <w:tr>
        <w:trPr>
          <w:cantSplit/>
          <w:trHeight w:val="217"/>
          <w:tblHeader/>
        </w:trPr>
        <w:tc>
          <w:tcPr>
            <w:tcW w:w="1854" w:type="dxa"/>
            <w:vMerge/>
            <w:tcBorders>
              <w:bottom w:val="single" w:sz="4" w:space="0" w:color="auto"/>
            </w:tcBorders>
          </w:tcPr>
          <w:p>
            <w:pPr>
              <w:pStyle w:val="zyTableNAm"/>
              <w:keepNext/>
              <w:rPr>
                <w:b/>
                <w:bCs/>
              </w:rPr>
            </w:pPr>
          </w:p>
        </w:tc>
        <w:tc>
          <w:tcPr>
            <w:tcW w:w="2262" w:type="dxa"/>
            <w:tcBorders>
              <w:bottom w:val="single" w:sz="4" w:space="0" w:color="auto"/>
            </w:tcBorders>
          </w:tcPr>
          <w:p>
            <w:pPr>
              <w:pStyle w:val="yTableNAm"/>
              <w:keepNext/>
              <w:jc w:val="center"/>
            </w:pPr>
            <w:r>
              <w:rPr>
                <w:b/>
                <w:bCs/>
              </w:rPr>
              <w:t>Up to 300</w:t>
            </w:r>
          </w:p>
        </w:tc>
        <w:tc>
          <w:tcPr>
            <w:tcW w:w="2262" w:type="dxa"/>
            <w:tcBorders>
              <w:bottom w:val="single" w:sz="4" w:space="0" w:color="auto"/>
            </w:tcBorders>
          </w:tcPr>
          <w:p>
            <w:pPr>
              <w:pStyle w:val="yTableNAm"/>
              <w:keepNext/>
              <w:jc w:val="center"/>
            </w:pPr>
            <w:r>
              <w:rPr>
                <w:b/>
                <w:bCs/>
              </w:rPr>
              <w:t>Over 300</w:t>
            </w:r>
          </w:p>
        </w:tc>
      </w:tr>
      <w:tr>
        <w:tc>
          <w:tcPr>
            <w:tcW w:w="1854" w:type="dxa"/>
            <w:tcBorders>
              <w:top w:val="single" w:sz="4" w:space="0" w:color="auto"/>
            </w:tcBorders>
          </w:tcPr>
          <w:p>
            <w:pPr>
              <w:pStyle w:val="yTableNAm"/>
            </w:pPr>
            <w:r>
              <w:rPr>
                <w:bCs/>
              </w:rPr>
              <w:t>Class 1 (c/kL)</w:t>
            </w:r>
          </w:p>
        </w:tc>
        <w:tc>
          <w:tcPr>
            <w:tcW w:w="2262" w:type="dxa"/>
            <w:tcBorders>
              <w:top w:val="single" w:sz="4" w:space="0" w:color="auto"/>
            </w:tcBorders>
            <w:vAlign w:val="bottom"/>
          </w:tcPr>
          <w:p>
            <w:pPr>
              <w:pStyle w:val="yTableNAm"/>
              <w:jc w:val="center"/>
            </w:pPr>
            <w:r>
              <w:t>174.7</w:t>
            </w:r>
          </w:p>
        </w:tc>
        <w:tc>
          <w:tcPr>
            <w:tcW w:w="2262" w:type="dxa"/>
            <w:tcBorders>
              <w:top w:val="single" w:sz="4" w:space="0" w:color="auto"/>
            </w:tcBorders>
            <w:vAlign w:val="bottom"/>
          </w:tcPr>
          <w:p>
            <w:pPr>
              <w:pStyle w:val="yTableNAm"/>
              <w:jc w:val="center"/>
            </w:pPr>
            <w:r>
              <w:t>192.6</w:t>
            </w:r>
          </w:p>
        </w:tc>
      </w:tr>
      <w:tr>
        <w:tc>
          <w:tcPr>
            <w:tcW w:w="1854" w:type="dxa"/>
          </w:tcPr>
          <w:p>
            <w:pPr>
              <w:pStyle w:val="yTableNAm"/>
            </w:pPr>
            <w:r>
              <w:rPr>
                <w:bCs/>
              </w:rPr>
              <w:t>Class 2 (c/kL)</w:t>
            </w:r>
          </w:p>
        </w:tc>
        <w:tc>
          <w:tcPr>
            <w:tcW w:w="2262" w:type="dxa"/>
            <w:vAlign w:val="bottom"/>
          </w:tcPr>
          <w:p>
            <w:pPr>
              <w:pStyle w:val="yTableNAm"/>
              <w:jc w:val="center"/>
            </w:pPr>
            <w:r>
              <w:t>191.6</w:t>
            </w:r>
          </w:p>
        </w:tc>
        <w:tc>
          <w:tcPr>
            <w:tcW w:w="2262" w:type="dxa"/>
            <w:vAlign w:val="bottom"/>
          </w:tcPr>
          <w:p>
            <w:pPr>
              <w:pStyle w:val="yTableNAm"/>
              <w:jc w:val="center"/>
            </w:pPr>
            <w:r>
              <w:t>209.8</w:t>
            </w:r>
          </w:p>
        </w:tc>
      </w:tr>
      <w:tr>
        <w:tc>
          <w:tcPr>
            <w:tcW w:w="1854" w:type="dxa"/>
          </w:tcPr>
          <w:p>
            <w:pPr>
              <w:pStyle w:val="yTableNAm"/>
            </w:pPr>
            <w:r>
              <w:rPr>
                <w:bCs/>
              </w:rPr>
              <w:t>Class 3 (c/kL)</w:t>
            </w:r>
          </w:p>
        </w:tc>
        <w:tc>
          <w:tcPr>
            <w:tcW w:w="2262" w:type="dxa"/>
            <w:vAlign w:val="bottom"/>
          </w:tcPr>
          <w:p>
            <w:pPr>
              <w:pStyle w:val="yTableNAm"/>
              <w:jc w:val="center"/>
            </w:pPr>
            <w:r>
              <w:t>209.8</w:t>
            </w:r>
          </w:p>
        </w:tc>
        <w:tc>
          <w:tcPr>
            <w:tcW w:w="2262" w:type="dxa"/>
            <w:vAlign w:val="bottom"/>
          </w:tcPr>
          <w:p>
            <w:pPr>
              <w:pStyle w:val="yTableNAm"/>
              <w:jc w:val="center"/>
            </w:pPr>
            <w:r>
              <w:t>228.2</w:t>
            </w:r>
          </w:p>
        </w:tc>
      </w:tr>
      <w:tr>
        <w:tc>
          <w:tcPr>
            <w:tcW w:w="1854" w:type="dxa"/>
          </w:tcPr>
          <w:p>
            <w:pPr>
              <w:pStyle w:val="yTableNAm"/>
            </w:pPr>
            <w:r>
              <w:rPr>
                <w:bCs/>
              </w:rPr>
              <w:t>Class 4 (c/kL)</w:t>
            </w:r>
          </w:p>
        </w:tc>
        <w:tc>
          <w:tcPr>
            <w:tcW w:w="2262" w:type="dxa"/>
            <w:vAlign w:val="bottom"/>
          </w:tcPr>
          <w:p>
            <w:pPr>
              <w:pStyle w:val="yTableNAm"/>
              <w:jc w:val="center"/>
            </w:pPr>
            <w:r>
              <w:t>230.0</w:t>
            </w:r>
          </w:p>
        </w:tc>
        <w:tc>
          <w:tcPr>
            <w:tcW w:w="2262" w:type="dxa"/>
            <w:vAlign w:val="bottom"/>
          </w:tcPr>
          <w:p>
            <w:pPr>
              <w:pStyle w:val="yTableNAm"/>
              <w:jc w:val="center"/>
            </w:pPr>
            <w:r>
              <w:t>248.6</w:t>
            </w:r>
          </w:p>
        </w:tc>
      </w:tr>
      <w:tr>
        <w:tc>
          <w:tcPr>
            <w:tcW w:w="1854" w:type="dxa"/>
          </w:tcPr>
          <w:p>
            <w:pPr>
              <w:pStyle w:val="yTableNAm"/>
            </w:pPr>
            <w:r>
              <w:rPr>
                <w:bCs/>
              </w:rPr>
              <w:t>Class 5 (c/kL)</w:t>
            </w:r>
          </w:p>
        </w:tc>
        <w:tc>
          <w:tcPr>
            <w:tcW w:w="2262" w:type="dxa"/>
            <w:vAlign w:val="bottom"/>
          </w:tcPr>
          <w:p>
            <w:pPr>
              <w:pStyle w:val="yTableNAm"/>
              <w:jc w:val="center"/>
            </w:pPr>
            <w:r>
              <w:t>252.2</w:t>
            </w:r>
          </w:p>
        </w:tc>
        <w:tc>
          <w:tcPr>
            <w:tcW w:w="2262" w:type="dxa"/>
            <w:vAlign w:val="bottom"/>
          </w:tcPr>
          <w:p>
            <w:pPr>
              <w:pStyle w:val="yTableNAm"/>
              <w:jc w:val="center"/>
            </w:pPr>
            <w:r>
              <w:t>270.7</w:t>
            </w:r>
          </w:p>
        </w:tc>
      </w:tr>
      <w:tr>
        <w:tc>
          <w:tcPr>
            <w:tcW w:w="1854" w:type="dxa"/>
          </w:tcPr>
          <w:p>
            <w:pPr>
              <w:pStyle w:val="yTableNAm"/>
            </w:pPr>
            <w:r>
              <w:rPr>
                <w:bCs/>
              </w:rPr>
              <w:t>Class 6 (c/kL)</w:t>
            </w:r>
          </w:p>
        </w:tc>
        <w:tc>
          <w:tcPr>
            <w:tcW w:w="2262" w:type="dxa"/>
            <w:vAlign w:val="bottom"/>
          </w:tcPr>
          <w:p>
            <w:pPr>
              <w:pStyle w:val="yTableNAm"/>
              <w:jc w:val="center"/>
            </w:pPr>
            <w:r>
              <w:t>274.4</w:t>
            </w:r>
          </w:p>
        </w:tc>
        <w:tc>
          <w:tcPr>
            <w:tcW w:w="2262" w:type="dxa"/>
            <w:vAlign w:val="bottom"/>
          </w:tcPr>
          <w:p>
            <w:pPr>
              <w:pStyle w:val="yTableNAm"/>
              <w:jc w:val="center"/>
            </w:pPr>
            <w:r>
              <w:t>294.8</w:t>
            </w:r>
          </w:p>
        </w:tc>
      </w:tr>
      <w:tr>
        <w:tc>
          <w:tcPr>
            <w:tcW w:w="1854" w:type="dxa"/>
          </w:tcPr>
          <w:p>
            <w:pPr>
              <w:pStyle w:val="yTableNAm"/>
            </w:pPr>
            <w:r>
              <w:rPr>
                <w:bCs/>
              </w:rPr>
              <w:t>Class 7 (c/kL)</w:t>
            </w:r>
          </w:p>
        </w:tc>
        <w:tc>
          <w:tcPr>
            <w:tcW w:w="2262" w:type="dxa"/>
            <w:vAlign w:val="bottom"/>
          </w:tcPr>
          <w:p>
            <w:pPr>
              <w:pStyle w:val="yTableNAm"/>
              <w:jc w:val="center"/>
            </w:pPr>
            <w:r>
              <w:t>298.6</w:t>
            </w:r>
          </w:p>
        </w:tc>
        <w:tc>
          <w:tcPr>
            <w:tcW w:w="2262" w:type="dxa"/>
            <w:vAlign w:val="bottom"/>
          </w:tcPr>
          <w:p>
            <w:pPr>
              <w:pStyle w:val="yTableNAm"/>
              <w:jc w:val="center"/>
            </w:pPr>
            <w:r>
              <w:t>321.1</w:t>
            </w:r>
          </w:p>
        </w:tc>
      </w:tr>
      <w:tr>
        <w:tc>
          <w:tcPr>
            <w:tcW w:w="1854" w:type="dxa"/>
          </w:tcPr>
          <w:p>
            <w:pPr>
              <w:pStyle w:val="yTableNAm"/>
            </w:pPr>
            <w:r>
              <w:rPr>
                <w:bCs/>
              </w:rPr>
              <w:t>Class 8 (c/kL)</w:t>
            </w:r>
          </w:p>
        </w:tc>
        <w:tc>
          <w:tcPr>
            <w:tcW w:w="2262" w:type="dxa"/>
            <w:vAlign w:val="bottom"/>
          </w:tcPr>
          <w:p>
            <w:pPr>
              <w:pStyle w:val="yTableNAm"/>
              <w:jc w:val="center"/>
            </w:pPr>
            <w:r>
              <w:t>324.2</w:t>
            </w:r>
          </w:p>
        </w:tc>
        <w:tc>
          <w:tcPr>
            <w:tcW w:w="2262" w:type="dxa"/>
            <w:vAlign w:val="bottom"/>
          </w:tcPr>
          <w:p>
            <w:pPr>
              <w:pStyle w:val="yTableNAm"/>
              <w:jc w:val="center"/>
            </w:pPr>
            <w:r>
              <w:t>349.6</w:t>
            </w:r>
          </w:p>
        </w:tc>
      </w:tr>
      <w:tr>
        <w:tc>
          <w:tcPr>
            <w:tcW w:w="1854" w:type="dxa"/>
          </w:tcPr>
          <w:p>
            <w:pPr>
              <w:pStyle w:val="yTableNAm"/>
            </w:pPr>
            <w:r>
              <w:rPr>
                <w:bCs/>
              </w:rPr>
              <w:t>Class 9 (c/kL)</w:t>
            </w:r>
          </w:p>
        </w:tc>
        <w:tc>
          <w:tcPr>
            <w:tcW w:w="2262" w:type="dxa"/>
            <w:vAlign w:val="bottom"/>
          </w:tcPr>
          <w:p>
            <w:pPr>
              <w:pStyle w:val="yTableNAm"/>
              <w:jc w:val="center"/>
            </w:pPr>
            <w:r>
              <w:t>352.0</w:t>
            </w:r>
          </w:p>
        </w:tc>
        <w:tc>
          <w:tcPr>
            <w:tcW w:w="2262" w:type="dxa"/>
            <w:vAlign w:val="bottom"/>
          </w:tcPr>
          <w:p>
            <w:pPr>
              <w:pStyle w:val="yTableNAm"/>
              <w:jc w:val="center"/>
            </w:pPr>
            <w:r>
              <w:t>380.7</w:t>
            </w:r>
          </w:p>
        </w:tc>
      </w:tr>
      <w:tr>
        <w:tc>
          <w:tcPr>
            <w:tcW w:w="1854" w:type="dxa"/>
          </w:tcPr>
          <w:p>
            <w:pPr>
              <w:pStyle w:val="yTableNAm"/>
            </w:pPr>
            <w:r>
              <w:rPr>
                <w:bCs/>
              </w:rPr>
              <w:t>Class 10 (c/kL)</w:t>
            </w:r>
          </w:p>
        </w:tc>
        <w:tc>
          <w:tcPr>
            <w:tcW w:w="2262" w:type="dxa"/>
            <w:vAlign w:val="bottom"/>
          </w:tcPr>
          <w:p>
            <w:pPr>
              <w:pStyle w:val="yTableNAm"/>
              <w:jc w:val="center"/>
            </w:pPr>
            <w:r>
              <w:t>379.0</w:t>
            </w:r>
          </w:p>
        </w:tc>
        <w:tc>
          <w:tcPr>
            <w:tcW w:w="2262" w:type="dxa"/>
            <w:vAlign w:val="bottom"/>
          </w:tcPr>
          <w:p>
            <w:pPr>
              <w:pStyle w:val="yTableNAm"/>
              <w:jc w:val="center"/>
            </w:pPr>
            <w:r>
              <w:t>414.6</w:t>
            </w:r>
          </w:p>
        </w:tc>
      </w:tr>
      <w:tr>
        <w:tc>
          <w:tcPr>
            <w:tcW w:w="1854" w:type="dxa"/>
          </w:tcPr>
          <w:p>
            <w:pPr>
              <w:pStyle w:val="yTableNAm"/>
            </w:pPr>
            <w:r>
              <w:rPr>
                <w:bCs/>
              </w:rPr>
              <w:t>Class 11 (c/kL)</w:t>
            </w:r>
          </w:p>
        </w:tc>
        <w:tc>
          <w:tcPr>
            <w:tcW w:w="2262" w:type="dxa"/>
            <w:vAlign w:val="bottom"/>
          </w:tcPr>
          <w:p>
            <w:pPr>
              <w:pStyle w:val="yTableNAm"/>
              <w:jc w:val="center"/>
            </w:pPr>
            <w:r>
              <w:t>413.5</w:t>
            </w:r>
          </w:p>
        </w:tc>
        <w:tc>
          <w:tcPr>
            <w:tcW w:w="2262" w:type="dxa"/>
            <w:vAlign w:val="bottom"/>
          </w:tcPr>
          <w:p>
            <w:pPr>
              <w:pStyle w:val="yTableNAm"/>
              <w:jc w:val="center"/>
            </w:pPr>
            <w:r>
              <w:t>451.4</w:t>
            </w:r>
          </w:p>
        </w:tc>
      </w:tr>
      <w:tr>
        <w:tc>
          <w:tcPr>
            <w:tcW w:w="1854" w:type="dxa"/>
          </w:tcPr>
          <w:p>
            <w:pPr>
              <w:pStyle w:val="yTableNAm"/>
            </w:pPr>
            <w:r>
              <w:rPr>
                <w:bCs/>
              </w:rPr>
              <w:lastRenderedPageBreak/>
              <w:t>Class 12 (c/kL)</w:t>
            </w:r>
          </w:p>
        </w:tc>
        <w:tc>
          <w:tcPr>
            <w:tcW w:w="2262" w:type="dxa"/>
            <w:vAlign w:val="bottom"/>
          </w:tcPr>
          <w:p>
            <w:pPr>
              <w:pStyle w:val="yTableNAm"/>
              <w:jc w:val="center"/>
            </w:pPr>
            <w:r>
              <w:t>451.3</w:t>
            </w:r>
          </w:p>
        </w:tc>
        <w:tc>
          <w:tcPr>
            <w:tcW w:w="2262" w:type="dxa"/>
            <w:vAlign w:val="bottom"/>
          </w:tcPr>
          <w:p>
            <w:pPr>
              <w:pStyle w:val="yTableNAm"/>
              <w:jc w:val="center"/>
            </w:pPr>
            <w:r>
              <w:t>491.6</w:t>
            </w:r>
          </w:p>
        </w:tc>
      </w:tr>
      <w:tr>
        <w:tc>
          <w:tcPr>
            <w:tcW w:w="1854" w:type="dxa"/>
          </w:tcPr>
          <w:p>
            <w:pPr>
              <w:pStyle w:val="yTableNAm"/>
            </w:pPr>
            <w:r>
              <w:rPr>
                <w:bCs/>
              </w:rPr>
              <w:t>Class 13 (c/kL)</w:t>
            </w:r>
          </w:p>
        </w:tc>
        <w:tc>
          <w:tcPr>
            <w:tcW w:w="2262" w:type="dxa"/>
            <w:vAlign w:val="bottom"/>
          </w:tcPr>
          <w:p>
            <w:pPr>
              <w:pStyle w:val="yTableNAm"/>
              <w:jc w:val="center"/>
            </w:pPr>
            <w:r>
              <w:t>492.4</w:t>
            </w:r>
          </w:p>
        </w:tc>
        <w:tc>
          <w:tcPr>
            <w:tcW w:w="2262" w:type="dxa"/>
            <w:vAlign w:val="bottom"/>
          </w:tcPr>
          <w:p>
            <w:pPr>
              <w:pStyle w:val="yTableNAm"/>
              <w:jc w:val="center"/>
            </w:pPr>
            <w:r>
              <w:t>535.3</w:t>
            </w:r>
          </w:p>
        </w:tc>
      </w:tr>
      <w:tr>
        <w:tc>
          <w:tcPr>
            <w:tcW w:w="1854" w:type="dxa"/>
          </w:tcPr>
          <w:p>
            <w:pPr>
              <w:pStyle w:val="yTableNAm"/>
            </w:pPr>
            <w:r>
              <w:rPr>
                <w:bCs/>
              </w:rPr>
              <w:t>Class 14 (c/kL)</w:t>
            </w:r>
          </w:p>
        </w:tc>
        <w:tc>
          <w:tcPr>
            <w:tcW w:w="2262" w:type="dxa"/>
            <w:vAlign w:val="bottom"/>
          </w:tcPr>
          <w:p>
            <w:pPr>
              <w:pStyle w:val="yTableNAm"/>
              <w:jc w:val="center"/>
            </w:pPr>
            <w:r>
              <w:t>537.3</w:t>
            </w:r>
          </w:p>
        </w:tc>
        <w:tc>
          <w:tcPr>
            <w:tcW w:w="2262" w:type="dxa"/>
            <w:vAlign w:val="bottom"/>
          </w:tcPr>
          <w:p>
            <w:pPr>
              <w:pStyle w:val="yTableNAm"/>
              <w:jc w:val="center"/>
            </w:pPr>
            <w:r>
              <w:t>582.9</w:t>
            </w:r>
          </w:p>
        </w:tc>
      </w:tr>
      <w:tr>
        <w:tc>
          <w:tcPr>
            <w:tcW w:w="1854" w:type="dxa"/>
            <w:tcBorders>
              <w:bottom w:val="single" w:sz="4" w:space="0" w:color="auto"/>
            </w:tcBorders>
          </w:tcPr>
          <w:p>
            <w:pPr>
              <w:pStyle w:val="yTableNAm"/>
            </w:pPr>
            <w:r>
              <w:rPr>
                <w:bCs/>
              </w:rPr>
              <w:t>Class 15 (c/kL)</w:t>
            </w:r>
          </w:p>
        </w:tc>
        <w:tc>
          <w:tcPr>
            <w:tcW w:w="2262" w:type="dxa"/>
            <w:tcBorders>
              <w:bottom w:val="single" w:sz="4" w:space="0" w:color="auto"/>
            </w:tcBorders>
            <w:vAlign w:val="bottom"/>
          </w:tcPr>
          <w:p>
            <w:pPr>
              <w:pStyle w:val="yTableNAm"/>
              <w:jc w:val="center"/>
            </w:pPr>
            <w:r>
              <w:t>586.2</w:t>
            </w:r>
          </w:p>
        </w:tc>
        <w:tc>
          <w:tcPr>
            <w:tcW w:w="2262" w:type="dxa"/>
            <w:tcBorders>
              <w:bottom w:val="single" w:sz="4" w:space="0" w:color="auto"/>
            </w:tcBorders>
            <w:vAlign w:val="bottom"/>
          </w:tcPr>
          <w:p>
            <w:pPr>
              <w:pStyle w:val="yTableNAm"/>
              <w:jc w:val="center"/>
            </w:pPr>
            <w:r>
              <w:t>634.7</w:t>
            </w:r>
          </w:p>
        </w:tc>
      </w:tr>
    </w:tbl>
    <w:p>
      <w:pPr>
        <w:pStyle w:val="yMiscellaneousBody"/>
      </w:pPr>
    </w:p>
    <w:tbl>
      <w:tblPr>
        <w:tblW w:w="0" w:type="auto"/>
        <w:tblInd w:w="534" w:type="dxa"/>
        <w:tblLook w:val="0000" w:firstRow="0" w:lastRow="0" w:firstColumn="0" w:lastColumn="0" w:noHBand="0" w:noVBand="0"/>
      </w:tblPr>
      <w:tblGrid>
        <w:gridCol w:w="750"/>
        <w:gridCol w:w="4336"/>
        <w:gridCol w:w="1292"/>
      </w:tblGrid>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pPr>
            <w:r>
              <w:rPr>
                <w:snapToGrid w:val="0"/>
              </w:rPr>
              <w:tab/>
              <w:t>(c)</w:t>
            </w:r>
            <w:r>
              <w:rPr>
                <w:snapToGrid w:val="0"/>
              </w:rPr>
              <w:tab/>
              <w:t>farmland —</w:t>
            </w:r>
          </w:p>
        </w:tc>
        <w:tc>
          <w:tcPr>
            <w:tcW w:w="1292" w:type="dxa"/>
            <w:vAlign w:val="bottom"/>
          </w:tcPr>
          <w:p>
            <w:pPr>
              <w:pStyle w:val="yTableNAm"/>
            </w:pP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r>
              <w:tab/>
            </w:r>
            <w:r>
              <w:tab/>
              <w:t xml:space="preserve">all water supplied </w:t>
            </w:r>
            <w:r>
              <w:tab/>
            </w:r>
          </w:p>
        </w:tc>
        <w:tc>
          <w:tcPr>
            <w:tcW w:w="1292" w:type="dxa"/>
            <w:vAlign w:val="bottom"/>
          </w:tcPr>
          <w:p>
            <w:pPr>
              <w:pStyle w:val="yTableNAm"/>
            </w:pPr>
            <w:r>
              <w:t>171.3 cents</w:t>
            </w:r>
          </w:p>
        </w:tc>
      </w:tr>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rPr>
                <w:snapToGrid w:val="0"/>
              </w:rPr>
            </w:pPr>
            <w:r>
              <w:rPr>
                <w:snapToGrid w:val="0"/>
              </w:rPr>
              <w:tab/>
              <w:t>(d)</w:t>
            </w:r>
            <w:r>
              <w:rPr>
                <w:snapToGrid w:val="0"/>
              </w:rPr>
              <w:tab/>
              <w:t>mining —</w:t>
            </w:r>
          </w:p>
        </w:tc>
        <w:tc>
          <w:tcPr>
            <w:tcW w:w="1292" w:type="dxa"/>
            <w:vAlign w:val="bottom"/>
          </w:tcPr>
          <w:p>
            <w:pPr>
              <w:pStyle w:val="yTableNAm"/>
            </w:pP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rPr>
                <w:snapToGrid w:val="0"/>
              </w:rPr>
            </w:pPr>
            <w:r>
              <w:rPr>
                <w:snapToGrid w:val="0"/>
              </w:rPr>
              <w:tab/>
            </w:r>
            <w:r>
              <w:rPr>
                <w:snapToGrid w:val="0"/>
              </w:rPr>
              <w:tab/>
            </w:r>
            <w:r>
              <w:t>all</w:t>
            </w:r>
            <w:r>
              <w:rPr>
                <w:snapToGrid w:val="0"/>
              </w:rPr>
              <w:t xml:space="preserve"> water supplied </w:t>
            </w:r>
            <w:r>
              <w:rPr>
                <w:snapToGrid w:val="0"/>
              </w:rPr>
              <w:tab/>
            </w:r>
          </w:p>
        </w:tc>
        <w:tc>
          <w:tcPr>
            <w:tcW w:w="1292" w:type="dxa"/>
            <w:vAlign w:val="bottom"/>
          </w:tcPr>
          <w:p>
            <w:pPr>
              <w:pStyle w:val="yTableNAm"/>
            </w:pPr>
            <w:r>
              <w:t>322.1 cents</w:t>
            </w:r>
          </w:p>
        </w:tc>
      </w:tr>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rPr>
                <w:snapToGrid w:val="0"/>
              </w:rPr>
            </w:pPr>
            <w:r>
              <w:rPr>
                <w:snapToGrid w:val="0"/>
              </w:rPr>
              <w:tab/>
              <w:t>(e)</w:t>
            </w:r>
            <w:r>
              <w:rPr>
                <w:snapToGrid w:val="0"/>
              </w:rPr>
              <w:tab/>
              <w:t>institutional public —</w:t>
            </w:r>
          </w:p>
        </w:tc>
        <w:tc>
          <w:tcPr>
            <w:tcW w:w="1292" w:type="dxa"/>
            <w:vAlign w:val="bottom"/>
          </w:tcPr>
          <w:p>
            <w:pPr>
              <w:pStyle w:val="yTableNAm"/>
            </w:pP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r>
              <w:tab/>
            </w:r>
            <w:r>
              <w:tab/>
              <w:t xml:space="preserve">up to 300 kL </w:t>
            </w:r>
            <w:r>
              <w:tab/>
            </w:r>
          </w:p>
        </w:tc>
        <w:tc>
          <w:tcPr>
            <w:tcW w:w="1292" w:type="dxa"/>
            <w:vAlign w:val="bottom"/>
          </w:tcPr>
          <w:p>
            <w:pPr>
              <w:pStyle w:val="yTableNAm"/>
            </w:pPr>
            <w:r>
              <w:t>174.7 cents</w:t>
            </w: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r>
              <w:tab/>
            </w:r>
            <w:r>
              <w:tab/>
              <w:t xml:space="preserve">over 300 kL </w:t>
            </w:r>
            <w:r>
              <w:tab/>
            </w:r>
          </w:p>
        </w:tc>
        <w:tc>
          <w:tcPr>
            <w:tcW w:w="1292" w:type="dxa"/>
            <w:vAlign w:val="bottom"/>
          </w:tcPr>
          <w:p>
            <w:pPr>
              <w:pStyle w:val="yTableNAm"/>
            </w:pPr>
            <w:r>
              <w:t>192.6 cents</w:t>
            </w:r>
          </w:p>
        </w:tc>
      </w:tr>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pPr>
            <w:r>
              <w:rPr>
                <w:snapToGrid w:val="0"/>
              </w:rPr>
              <w:tab/>
              <w:t>(f)</w:t>
            </w:r>
            <w:r>
              <w:rPr>
                <w:snapToGrid w:val="0"/>
              </w:rPr>
              <w:tab/>
              <w:t>charitable purposes —</w:t>
            </w:r>
          </w:p>
        </w:tc>
        <w:tc>
          <w:tcPr>
            <w:tcW w:w="1292" w:type="dxa"/>
            <w:vAlign w:val="bottom"/>
          </w:tcPr>
          <w:p>
            <w:pPr>
              <w:pStyle w:val="yTableNAm"/>
            </w:pP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r>
              <w:tab/>
            </w:r>
            <w:r>
              <w:tab/>
              <w:t xml:space="preserve">up to 300 kL </w:t>
            </w:r>
            <w:r>
              <w:tab/>
            </w:r>
          </w:p>
        </w:tc>
        <w:tc>
          <w:tcPr>
            <w:tcW w:w="1292" w:type="dxa"/>
            <w:vAlign w:val="bottom"/>
          </w:tcPr>
          <w:p>
            <w:pPr>
              <w:pStyle w:val="yTableNAm"/>
            </w:pPr>
            <w:r>
              <w:t>174.7 cents</w:t>
            </w: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r>
              <w:tab/>
            </w:r>
            <w:r>
              <w:tab/>
              <w:t xml:space="preserve">over 300 kL </w:t>
            </w:r>
            <w:r>
              <w:tab/>
            </w:r>
          </w:p>
        </w:tc>
        <w:tc>
          <w:tcPr>
            <w:tcW w:w="1292" w:type="dxa"/>
            <w:vAlign w:val="bottom"/>
          </w:tcPr>
          <w:p>
            <w:pPr>
              <w:pStyle w:val="yTableNAm"/>
            </w:pPr>
            <w:r>
              <w:t>192.6 cents</w:t>
            </w:r>
          </w:p>
        </w:tc>
      </w:tr>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pPr>
            <w:r>
              <w:rPr>
                <w:snapToGrid w:val="0"/>
              </w:rPr>
              <w:tab/>
              <w:t>(g)</w:t>
            </w:r>
            <w:r>
              <w:rPr>
                <w:snapToGrid w:val="0"/>
              </w:rPr>
              <w:tab/>
              <w:t>c</w:t>
            </w:r>
            <w:r>
              <w:t>ommercial residential</w:t>
            </w:r>
            <w:r>
              <w:rPr>
                <w:snapToGrid w:val="0"/>
              </w:rPr>
              <w:t xml:space="preserve"> (according to the non</w:t>
            </w:r>
            <w:r>
              <w:rPr>
                <w:snapToGrid w:val="0"/>
              </w:rPr>
              <w:noBreakHyphen/>
              <w:t>residential classification of the town/area in which that property is situated, as set out in Schedule 10) —</w:t>
            </w:r>
          </w:p>
        </w:tc>
        <w:tc>
          <w:tcPr>
            <w:tcW w:w="1292" w:type="dxa"/>
            <w:vAlign w:val="bottom"/>
          </w:tcPr>
          <w:p>
            <w:pPr>
              <w:pStyle w:val="yTableNAm"/>
            </w:pPr>
          </w:p>
        </w:tc>
      </w:tr>
    </w:tbl>
    <w:p>
      <w:pPr>
        <w:pStyle w:val="yMiscellaneousBody"/>
      </w:pPr>
    </w:p>
    <w:tbl>
      <w:tblPr>
        <w:tblW w:w="6378" w:type="dxa"/>
        <w:tblInd w:w="454" w:type="dxa"/>
        <w:tblLayout w:type="fixed"/>
        <w:tblCellMar>
          <w:left w:w="28" w:type="dxa"/>
          <w:right w:w="28" w:type="dxa"/>
        </w:tblCellMar>
        <w:tblLook w:val="0000" w:firstRow="0" w:lastRow="0" w:firstColumn="0" w:lastColumn="0" w:noHBand="0" w:noVBand="0"/>
      </w:tblPr>
      <w:tblGrid>
        <w:gridCol w:w="1856"/>
        <w:gridCol w:w="1507"/>
        <w:gridCol w:w="1507"/>
        <w:gridCol w:w="1508"/>
      </w:tblGrid>
      <w:tr>
        <w:trPr>
          <w:cantSplit/>
          <w:tblHeader/>
        </w:trPr>
        <w:tc>
          <w:tcPr>
            <w:tcW w:w="1856" w:type="dxa"/>
            <w:vMerge w:val="restart"/>
            <w:tcBorders>
              <w:top w:val="single" w:sz="4" w:space="0" w:color="auto"/>
            </w:tcBorders>
          </w:tcPr>
          <w:p>
            <w:pPr>
              <w:pStyle w:val="yTableNAm"/>
            </w:pPr>
            <w:r>
              <w:rPr>
                <w:b/>
                <w:bCs/>
              </w:rPr>
              <w:t>Class</w:t>
            </w:r>
          </w:p>
        </w:tc>
        <w:tc>
          <w:tcPr>
            <w:tcW w:w="4522" w:type="dxa"/>
            <w:gridSpan w:val="3"/>
            <w:tcBorders>
              <w:top w:val="single" w:sz="4" w:space="0" w:color="auto"/>
            </w:tcBorders>
          </w:tcPr>
          <w:p>
            <w:pPr>
              <w:pStyle w:val="yTableNAm"/>
              <w:jc w:val="center"/>
            </w:pPr>
            <w:r>
              <w:rPr>
                <w:b/>
                <w:bCs/>
              </w:rPr>
              <w:t>Consumption (kL)</w:t>
            </w:r>
          </w:p>
        </w:tc>
      </w:tr>
      <w:tr>
        <w:trPr>
          <w:cantSplit/>
          <w:tblHeader/>
        </w:trPr>
        <w:tc>
          <w:tcPr>
            <w:tcW w:w="1856" w:type="dxa"/>
            <w:vMerge/>
            <w:tcBorders>
              <w:bottom w:val="single" w:sz="4" w:space="0" w:color="auto"/>
            </w:tcBorders>
          </w:tcPr>
          <w:p>
            <w:pPr>
              <w:pStyle w:val="zyTableNAm"/>
              <w:rPr>
                <w:b/>
                <w:bCs/>
              </w:rPr>
            </w:pPr>
          </w:p>
        </w:tc>
        <w:tc>
          <w:tcPr>
            <w:tcW w:w="1507" w:type="dxa"/>
            <w:tcBorders>
              <w:bottom w:val="single" w:sz="4" w:space="0" w:color="auto"/>
            </w:tcBorders>
          </w:tcPr>
          <w:p>
            <w:pPr>
              <w:pStyle w:val="yTableNAm"/>
              <w:jc w:val="center"/>
            </w:pPr>
            <w:r>
              <w:rPr>
                <w:b/>
                <w:bCs/>
              </w:rPr>
              <w:t>Up to 150</w:t>
            </w:r>
          </w:p>
        </w:tc>
        <w:tc>
          <w:tcPr>
            <w:tcW w:w="1507" w:type="dxa"/>
            <w:tcBorders>
              <w:bottom w:val="single" w:sz="4" w:space="0" w:color="auto"/>
            </w:tcBorders>
          </w:tcPr>
          <w:p>
            <w:pPr>
              <w:pStyle w:val="yTableNAm"/>
              <w:jc w:val="center"/>
            </w:pPr>
            <w:r>
              <w:rPr>
                <w:b/>
                <w:bCs/>
              </w:rPr>
              <w:t>Over 150 but not over 450</w:t>
            </w:r>
          </w:p>
        </w:tc>
        <w:tc>
          <w:tcPr>
            <w:tcW w:w="1508" w:type="dxa"/>
            <w:tcBorders>
              <w:bottom w:val="single" w:sz="4" w:space="0" w:color="auto"/>
            </w:tcBorders>
          </w:tcPr>
          <w:p>
            <w:pPr>
              <w:pStyle w:val="yTableNAm"/>
              <w:jc w:val="center"/>
            </w:pPr>
            <w:r>
              <w:rPr>
                <w:b/>
                <w:bCs/>
              </w:rPr>
              <w:t>Over 450</w:t>
            </w:r>
          </w:p>
        </w:tc>
      </w:tr>
      <w:tr>
        <w:tc>
          <w:tcPr>
            <w:tcW w:w="1856" w:type="dxa"/>
            <w:tcBorders>
              <w:top w:val="single" w:sz="4" w:space="0" w:color="auto"/>
            </w:tcBorders>
          </w:tcPr>
          <w:p>
            <w:pPr>
              <w:pStyle w:val="yTableNAm"/>
            </w:pPr>
            <w:r>
              <w:rPr>
                <w:bCs/>
              </w:rPr>
              <w:t>Class 1 (c/kL)</w:t>
            </w:r>
          </w:p>
        </w:tc>
        <w:tc>
          <w:tcPr>
            <w:tcW w:w="1507" w:type="dxa"/>
            <w:tcBorders>
              <w:top w:val="single" w:sz="4" w:space="0" w:color="auto"/>
            </w:tcBorders>
            <w:vAlign w:val="bottom"/>
          </w:tcPr>
          <w:p>
            <w:pPr>
              <w:pStyle w:val="yTableNAm"/>
              <w:jc w:val="center"/>
            </w:pPr>
            <w:r>
              <w:t>133.6</w:t>
            </w:r>
          </w:p>
        </w:tc>
        <w:tc>
          <w:tcPr>
            <w:tcW w:w="1507" w:type="dxa"/>
            <w:tcBorders>
              <w:top w:val="single" w:sz="4" w:space="0" w:color="auto"/>
            </w:tcBorders>
            <w:vAlign w:val="bottom"/>
          </w:tcPr>
          <w:p>
            <w:pPr>
              <w:pStyle w:val="yTableNAm"/>
              <w:jc w:val="center"/>
            </w:pPr>
            <w:r>
              <w:t>174.7</w:t>
            </w:r>
          </w:p>
        </w:tc>
        <w:tc>
          <w:tcPr>
            <w:tcW w:w="1508" w:type="dxa"/>
            <w:tcBorders>
              <w:top w:val="single" w:sz="4" w:space="0" w:color="auto"/>
            </w:tcBorders>
            <w:vAlign w:val="bottom"/>
          </w:tcPr>
          <w:p>
            <w:pPr>
              <w:pStyle w:val="yTableNAm"/>
              <w:jc w:val="center"/>
            </w:pPr>
            <w:r>
              <w:t>192.6</w:t>
            </w:r>
          </w:p>
        </w:tc>
      </w:tr>
      <w:tr>
        <w:tc>
          <w:tcPr>
            <w:tcW w:w="1856" w:type="dxa"/>
          </w:tcPr>
          <w:p>
            <w:pPr>
              <w:pStyle w:val="yTableNAm"/>
            </w:pPr>
            <w:r>
              <w:rPr>
                <w:bCs/>
              </w:rPr>
              <w:t>Class 2 (c/kL)</w:t>
            </w:r>
          </w:p>
        </w:tc>
        <w:tc>
          <w:tcPr>
            <w:tcW w:w="1507" w:type="dxa"/>
            <w:vAlign w:val="bottom"/>
          </w:tcPr>
          <w:p>
            <w:pPr>
              <w:pStyle w:val="yTableNAm"/>
              <w:jc w:val="center"/>
            </w:pPr>
            <w:r>
              <w:t>133.6</w:t>
            </w:r>
          </w:p>
        </w:tc>
        <w:tc>
          <w:tcPr>
            <w:tcW w:w="1507" w:type="dxa"/>
            <w:vAlign w:val="bottom"/>
          </w:tcPr>
          <w:p>
            <w:pPr>
              <w:pStyle w:val="yTableNAm"/>
              <w:jc w:val="center"/>
            </w:pPr>
            <w:r>
              <w:t>191.6</w:t>
            </w:r>
          </w:p>
        </w:tc>
        <w:tc>
          <w:tcPr>
            <w:tcW w:w="1508" w:type="dxa"/>
            <w:vAlign w:val="bottom"/>
          </w:tcPr>
          <w:p>
            <w:pPr>
              <w:pStyle w:val="yTableNAm"/>
              <w:jc w:val="center"/>
            </w:pPr>
            <w:r>
              <w:t>209.8</w:t>
            </w:r>
          </w:p>
        </w:tc>
      </w:tr>
      <w:tr>
        <w:tc>
          <w:tcPr>
            <w:tcW w:w="1856" w:type="dxa"/>
          </w:tcPr>
          <w:p>
            <w:pPr>
              <w:pStyle w:val="yTableNAm"/>
            </w:pPr>
            <w:r>
              <w:rPr>
                <w:bCs/>
              </w:rPr>
              <w:lastRenderedPageBreak/>
              <w:t>Class 3 (c/kL)</w:t>
            </w:r>
          </w:p>
        </w:tc>
        <w:tc>
          <w:tcPr>
            <w:tcW w:w="1507" w:type="dxa"/>
            <w:vAlign w:val="bottom"/>
          </w:tcPr>
          <w:p>
            <w:pPr>
              <w:pStyle w:val="yTableNAm"/>
              <w:jc w:val="center"/>
            </w:pPr>
            <w:r>
              <w:t>133.6</w:t>
            </w:r>
          </w:p>
        </w:tc>
        <w:tc>
          <w:tcPr>
            <w:tcW w:w="1507" w:type="dxa"/>
            <w:vAlign w:val="bottom"/>
          </w:tcPr>
          <w:p>
            <w:pPr>
              <w:pStyle w:val="yTableNAm"/>
              <w:jc w:val="center"/>
            </w:pPr>
            <w:r>
              <w:t>209.8</w:t>
            </w:r>
          </w:p>
        </w:tc>
        <w:tc>
          <w:tcPr>
            <w:tcW w:w="1508" w:type="dxa"/>
            <w:vAlign w:val="bottom"/>
          </w:tcPr>
          <w:p>
            <w:pPr>
              <w:pStyle w:val="yTableNAm"/>
              <w:jc w:val="center"/>
            </w:pPr>
            <w:r>
              <w:t>228.2</w:t>
            </w:r>
          </w:p>
        </w:tc>
      </w:tr>
      <w:tr>
        <w:tc>
          <w:tcPr>
            <w:tcW w:w="1856" w:type="dxa"/>
          </w:tcPr>
          <w:p>
            <w:pPr>
              <w:pStyle w:val="yTableNAm"/>
            </w:pPr>
            <w:r>
              <w:rPr>
                <w:bCs/>
              </w:rPr>
              <w:t>Class 4 (c/kL)</w:t>
            </w:r>
          </w:p>
        </w:tc>
        <w:tc>
          <w:tcPr>
            <w:tcW w:w="1507" w:type="dxa"/>
            <w:vAlign w:val="bottom"/>
          </w:tcPr>
          <w:p>
            <w:pPr>
              <w:pStyle w:val="yTableNAm"/>
              <w:jc w:val="center"/>
            </w:pPr>
            <w:r>
              <w:t>133.6</w:t>
            </w:r>
          </w:p>
        </w:tc>
        <w:tc>
          <w:tcPr>
            <w:tcW w:w="1507" w:type="dxa"/>
            <w:vAlign w:val="bottom"/>
          </w:tcPr>
          <w:p>
            <w:pPr>
              <w:pStyle w:val="yTableNAm"/>
              <w:jc w:val="center"/>
            </w:pPr>
            <w:r>
              <w:t>230.0</w:t>
            </w:r>
          </w:p>
        </w:tc>
        <w:tc>
          <w:tcPr>
            <w:tcW w:w="1508" w:type="dxa"/>
            <w:vAlign w:val="bottom"/>
          </w:tcPr>
          <w:p>
            <w:pPr>
              <w:pStyle w:val="yTableNAm"/>
              <w:jc w:val="center"/>
            </w:pPr>
            <w:r>
              <w:t>248.6</w:t>
            </w:r>
          </w:p>
        </w:tc>
      </w:tr>
      <w:tr>
        <w:tc>
          <w:tcPr>
            <w:tcW w:w="1856" w:type="dxa"/>
          </w:tcPr>
          <w:p>
            <w:pPr>
              <w:pStyle w:val="yTableNAm"/>
            </w:pPr>
            <w:r>
              <w:rPr>
                <w:bCs/>
              </w:rPr>
              <w:t>Class 5 (c/kL)</w:t>
            </w:r>
          </w:p>
        </w:tc>
        <w:tc>
          <w:tcPr>
            <w:tcW w:w="1507" w:type="dxa"/>
            <w:vAlign w:val="bottom"/>
          </w:tcPr>
          <w:p>
            <w:pPr>
              <w:pStyle w:val="yTableNAm"/>
              <w:jc w:val="center"/>
            </w:pPr>
            <w:r>
              <w:t>133.6</w:t>
            </w:r>
          </w:p>
        </w:tc>
        <w:tc>
          <w:tcPr>
            <w:tcW w:w="1507" w:type="dxa"/>
            <w:vAlign w:val="bottom"/>
          </w:tcPr>
          <w:p>
            <w:pPr>
              <w:pStyle w:val="yTableNAm"/>
              <w:jc w:val="center"/>
            </w:pPr>
            <w:r>
              <w:t>252.2</w:t>
            </w:r>
          </w:p>
        </w:tc>
        <w:tc>
          <w:tcPr>
            <w:tcW w:w="1508" w:type="dxa"/>
            <w:vAlign w:val="bottom"/>
          </w:tcPr>
          <w:p>
            <w:pPr>
              <w:pStyle w:val="yTableNAm"/>
              <w:jc w:val="center"/>
            </w:pPr>
            <w:r>
              <w:t>270.7</w:t>
            </w:r>
          </w:p>
        </w:tc>
      </w:tr>
      <w:tr>
        <w:tc>
          <w:tcPr>
            <w:tcW w:w="1856" w:type="dxa"/>
          </w:tcPr>
          <w:p>
            <w:pPr>
              <w:pStyle w:val="yTableNAm"/>
            </w:pPr>
            <w:r>
              <w:rPr>
                <w:bCs/>
              </w:rPr>
              <w:t>Class 6 (c/kL)</w:t>
            </w:r>
          </w:p>
        </w:tc>
        <w:tc>
          <w:tcPr>
            <w:tcW w:w="1507" w:type="dxa"/>
            <w:vAlign w:val="bottom"/>
          </w:tcPr>
          <w:p>
            <w:pPr>
              <w:pStyle w:val="yTableNAm"/>
              <w:jc w:val="center"/>
            </w:pPr>
            <w:r>
              <w:t>133.6</w:t>
            </w:r>
          </w:p>
        </w:tc>
        <w:tc>
          <w:tcPr>
            <w:tcW w:w="1507" w:type="dxa"/>
            <w:vAlign w:val="bottom"/>
          </w:tcPr>
          <w:p>
            <w:pPr>
              <w:pStyle w:val="yTableNAm"/>
              <w:jc w:val="center"/>
            </w:pPr>
            <w:r>
              <w:t>274.4</w:t>
            </w:r>
          </w:p>
        </w:tc>
        <w:tc>
          <w:tcPr>
            <w:tcW w:w="1508" w:type="dxa"/>
            <w:vAlign w:val="bottom"/>
          </w:tcPr>
          <w:p>
            <w:pPr>
              <w:pStyle w:val="yTableNAm"/>
              <w:jc w:val="center"/>
            </w:pPr>
            <w:r>
              <w:t>294.8</w:t>
            </w:r>
          </w:p>
        </w:tc>
      </w:tr>
      <w:tr>
        <w:tc>
          <w:tcPr>
            <w:tcW w:w="1856" w:type="dxa"/>
          </w:tcPr>
          <w:p>
            <w:pPr>
              <w:pStyle w:val="yTableNAm"/>
            </w:pPr>
            <w:r>
              <w:rPr>
                <w:bCs/>
              </w:rPr>
              <w:t>Class 7 (c/kL)</w:t>
            </w:r>
          </w:p>
        </w:tc>
        <w:tc>
          <w:tcPr>
            <w:tcW w:w="1507" w:type="dxa"/>
            <w:vAlign w:val="bottom"/>
          </w:tcPr>
          <w:p>
            <w:pPr>
              <w:pStyle w:val="yTableNAm"/>
              <w:jc w:val="center"/>
            </w:pPr>
            <w:r>
              <w:t>133.6</w:t>
            </w:r>
          </w:p>
        </w:tc>
        <w:tc>
          <w:tcPr>
            <w:tcW w:w="1507" w:type="dxa"/>
            <w:vAlign w:val="bottom"/>
          </w:tcPr>
          <w:p>
            <w:pPr>
              <w:pStyle w:val="yTableNAm"/>
              <w:jc w:val="center"/>
            </w:pPr>
            <w:r>
              <w:t>298.6</w:t>
            </w:r>
          </w:p>
        </w:tc>
        <w:tc>
          <w:tcPr>
            <w:tcW w:w="1508" w:type="dxa"/>
            <w:vAlign w:val="bottom"/>
          </w:tcPr>
          <w:p>
            <w:pPr>
              <w:pStyle w:val="yTableNAm"/>
              <w:jc w:val="center"/>
            </w:pPr>
            <w:r>
              <w:t>321.1</w:t>
            </w:r>
          </w:p>
        </w:tc>
      </w:tr>
      <w:tr>
        <w:tc>
          <w:tcPr>
            <w:tcW w:w="1856" w:type="dxa"/>
          </w:tcPr>
          <w:p>
            <w:pPr>
              <w:pStyle w:val="yTableNAm"/>
            </w:pPr>
            <w:r>
              <w:rPr>
                <w:bCs/>
              </w:rPr>
              <w:t>Class 8 (c/kL)</w:t>
            </w:r>
          </w:p>
        </w:tc>
        <w:tc>
          <w:tcPr>
            <w:tcW w:w="1507" w:type="dxa"/>
            <w:vAlign w:val="bottom"/>
          </w:tcPr>
          <w:p>
            <w:pPr>
              <w:pStyle w:val="yTableNAm"/>
              <w:jc w:val="center"/>
            </w:pPr>
            <w:r>
              <w:t>133.6</w:t>
            </w:r>
          </w:p>
        </w:tc>
        <w:tc>
          <w:tcPr>
            <w:tcW w:w="1507" w:type="dxa"/>
            <w:vAlign w:val="bottom"/>
          </w:tcPr>
          <w:p>
            <w:pPr>
              <w:pStyle w:val="yTableNAm"/>
              <w:jc w:val="center"/>
            </w:pPr>
            <w:r>
              <w:t>324.2</w:t>
            </w:r>
          </w:p>
        </w:tc>
        <w:tc>
          <w:tcPr>
            <w:tcW w:w="1508" w:type="dxa"/>
            <w:vAlign w:val="bottom"/>
          </w:tcPr>
          <w:p>
            <w:pPr>
              <w:pStyle w:val="yTableNAm"/>
              <w:jc w:val="center"/>
            </w:pPr>
            <w:r>
              <w:t>349.6</w:t>
            </w:r>
          </w:p>
        </w:tc>
      </w:tr>
      <w:tr>
        <w:tc>
          <w:tcPr>
            <w:tcW w:w="1856" w:type="dxa"/>
          </w:tcPr>
          <w:p>
            <w:pPr>
              <w:pStyle w:val="yTableNAm"/>
            </w:pPr>
            <w:r>
              <w:rPr>
                <w:bCs/>
              </w:rPr>
              <w:t>Class 9 (c/kL)</w:t>
            </w:r>
          </w:p>
        </w:tc>
        <w:tc>
          <w:tcPr>
            <w:tcW w:w="1507" w:type="dxa"/>
            <w:vAlign w:val="bottom"/>
          </w:tcPr>
          <w:p>
            <w:pPr>
              <w:pStyle w:val="yTableNAm"/>
              <w:jc w:val="center"/>
            </w:pPr>
            <w:r>
              <w:t>133.6</w:t>
            </w:r>
          </w:p>
        </w:tc>
        <w:tc>
          <w:tcPr>
            <w:tcW w:w="1507" w:type="dxa"/>
            <w:vAlign w:val="bottom"/>
          </w:tcPr>
          <w:p>
            <w:pPr>
              <w:pStyle w:val="yTableNAm"/>
              <w:jc w:val="center"/>
            </w:pPr>
            <w:r>
              <w:t>352.0</w:t>
            </w:r>
          </w:p>
        </w:tc>
        <w:tc>
          <w:tcPr>
            <w:tcW w:w="1508" w:type="dxa"/>
            <w:vAlign w:val="bottom"/>
          </w:tcPr>
          <w:p>
            <w:pPr>
              <w:pStyle w:val="yTableNAm"/>
              <w:jc w:val="center"/>
            </w:pPr>
            <w:r>
              <w:t>380.7</w:t>
            </w:r>
          </w:p>
        </w:tc>
      </w:tr>
      <w:tr>
        <w:tc>
          <w:tcPr>
            <w:tcW w:w="1856" w:type="dxa"/>
          </w:tcPr>
          <w:p>
            <w:pPr>
              <w:pStyle w:val="yTableNAm"/>
            </w:pPr>
            <w:r>
              <w:rPr>
                <w:bCs/>
              </w:rPr>
              <w:t>Class 10 (c/kL)</w:t>
            </w:r>
          </w:p>
        </w:tc>
        <w:tc>
          <w:tcPr>
            <w:tcW w:w="1507" w:type="dxa"/>
            <w:vAlign w:val="bottom"/>
          </w:tcPr>
          <w:p>
            <w:pPr>
              <w:pStyle w:val="yTableNAm"/>
              <w:jc w:val="center"/>
            </w:pPr>
            <w:r>
              <w:t>133.6</w:t>
            </w:r>
          </w:p>
        </w:tc>
        <w:tc>
          <w:tcPr>
            <w:tcW w:w="1507" w:type="dxa"/>
            <w:vAlign w:val="bottom"/>
          </w:tcPr>
          <w:p>
            <w:pPr>
              <w:pStyle w:val="yTableNAm"/>
              <w:jc w:val="center"/>
            </w:pPr>
            <w:r>
              <w:t>379.0</w:t>
            </w:r>
          </w:p>
        </w:tc>
        <w:tc>
          <w:tcPr>
            <w:tcW w:w="1508" w:type="dxa"/>
            <w:vAlign w:val="bottom"/>
          </w:tcPr>
          <w:p>
            <w:pPr>
              <w:pStyle w:val="yTableNAm"/>
              <w:jc w:val="center"/>
            </w:pPr>
            <w:r>
              <w:t>414.6</w:t>
            </w:r>
          </w:p>
        </w:tc>
      </w:tr>
      <w:tr>
        <w:tc>
          <w:tcPr>
            <w:tcW w:w="1856" w:type="dxa"/>
          </w:tcPr>
          <w:p>
            <w:pPr>
              <w:pStyle w:val="yTableNAm"/>
            </w:pPr>
            <w:r>
              <w:rPr>
                <w:bCs/>
              </w:rPr>
              <w:t>Class 11 (c/kL)</w:t>
            </w:r>
          </w:p>
        </w:tc>
        <w:tc>
          <w:tcPr>
            <w:tcW w:w="1507" w:type="dxa"/>
            <w:vAlign w:val="bottom"/>
          </w:tcPr>
          <w:p>
            <w:pPr>
              <w:pStyle w:val="yTableNAm"/>
              <w:jc w:val="center"/>
            </w:pPr>
            <w:r>
              <w:t>133.6</w:t>
            </w:r>
          </w:p>
        </w:tc>
        <w:tc>
          <w:tcPr>
            <w:tcW w:w="1507" w:type="dxa"/>
            <w:vAlign w:val="bottom"/>
          </w:tcPr>
          <w:p>
            <w:pPr>
              <w:pStyle w:val="yTableNAm"/>
              <w:jc w:val="center"/>
            </w:pPr>
            <w:r>
              <w:t>413.5</w:t>
            </w:r>
          </w:p>
        </w:tc>
        <w:tc>
          <w:tcPr>
            <w:tcW w:w="1508" w:type="dxa"/>
            <w:vAlign w:val="bottom"/>
          </w:tcPr>
          <w:p>
            <w:pPr>
              <w:pStyle w:val="yTableNAm"/>
              <w:jc w:val="center"/>
            </w:pPr>
            <w:r>
              <w:t>451.4</w:t>
            </w:r>
          </w:p>
        </w:tc>
      </w:tr>
      <w:tr>
        <w:tc>
          <w:tcPr>
            <w:tcW w:w="1856" w:type="dxa"/>
          </w:tcPr>
          <w:p>
            <w:pPr>
              <w:pStyle w:val="yTableNAm"/>
            </w:pPr>
            <w:r>
              <w:rPr>
                <w:bCs/>
              </w:rPr>
              <w:t>Class 12 (c/kL)</w:t>
            </w:r>
          </w:p>
        </w:tc>
        <w:tc>
          <w:tcPr>
            <w:tcW w:w="1507" w:type="dxa"/>
            <w:vAlign w:val="bottom"/>
          </w:tcPr>
          <w:p>
            <w:pPr>
              <w:pStyle w:val="yTableNAm"/>
              <w:jc w:val="center"/>
            </w:pPr>
            <w:r>
              <w:t>133.6</w:t>
            </w:r>
          </w:p>
        </w:tc>
        <w:tc>
          <w:tcPr>
            <w:tcW w:w="1507" w:type="dxa"/>
            <w:vAlign w:val="bottom"/>
          </w:tcPr>
          <w:p>
            <w:pPr>
              <w:pStyle w:val="yTableNAm"/>
              <w:jc w:val="center"/>
            </w:pPr>
            <w:r>
              <w:t>451.3</w:t>
            </w:r>
          </w:p>
        </w:tc>
        <w:tc>
          <w:tcPr>
            <w:tcW w:w="1508" w:type="dxa"/>
            <w:vAlign w:val="bottom"/>
          </w:tcPr>
          <w:p>
            <w:pPr>
              <w:pStyle w:val="yTableNAm"/>
              <w:jc w:val="center"/>
            </w:pPr>
            <w:r>
              <w:t>491.6</w:t>
            </w:r>
          </w:p>
        </w:tc>
      </w:tr>
      <w:tr>
        <w:tc>
          <w:tcPr>
            <w:tcW w:w="1856" w:type="dxa"/>
          </w:tcPr>
          <w:p>
            <w:pPr>
              <w:pStyle w:val="yTableNAm"/>
            </w:pPr>
            <w:r>
              <w:rPr>
                <w:bCs/>
              </w:rPr>
              <w:t>Class 13 (c/kL)</w:t>
            </w:r>
          </w:p>
        </w:tc>
        <w:tc>
          <w:tcPr>
            <w:tcW w:w="1507" w:type="dxa"/>
            <w:vAlign w:val="bottom"/>
          </w:tcPr>
          <w:p>
            <w:pPr>
              <w:pStyle w:val="yTableNAm"/>
              <w:jc w:val="center"/>
            </w:pPr>
            <w:r>
              <w:t>133.6</w:t>
            </w:r>
          </w:p>
        </w:tc>
        <w:tc>
          <w:tcPr>
            <w:tcW w:w="1507" w:type="dxa"/>
            <w:vAlign w:val="bottom"/>
          </w:tcPr>
          <w:p>
            <w:pPr>
              <w:pStyle w:val="yTableNAm"/>
              <w:jc w:val="center"/>
            </w:pPr>
            <w:r>
              <w:t>492.4</w:t>
            </w:r>
          </w:p>
        </w:tc>
        <w:tc>
          <w:tcPr>
            <w:tcW w:w="1508" w:type="dxa"/>
            <w:vAlign w:val="bottom"/>
          </w:tcPr>
          <w:p>
            <w:pPr>
              <w:pStyle w:val="yTableNAm"/>
              <w:jc w:val="center"/>
            </w:pPr>
            <w:r>
              <w:t>535.3</w:t>
            </w:r>
          </w:p>
        </w:tc>
      </w:tr>
      <w:tr>
        <w:tc>
          <w:tcPr>
            <w:tcW w:w="1856" w:type="dxa"/>
          </w:tcPr>
          <w:p>
            <w:pPr>
              <w:pStyle w:val="yTableNAm"/>
            </w:pPr>
            <w:r>
              <w:rPr>
                <w:bCs/>
              </w:rPr>
              <w:t>Class 14 (c/kL)</w:t>
            </w:r>
          </w:p>
        </w:tc>
        <w:tc>
          <w:tcPr>
            <w:tcW w:w="1507" w:type="dxa"/>
            <w:vAlign w:val="bottom"/>
          </w:tcPr>
          <w:p>
            <w:pPr>
              <w:pStyle w:val="yTableNAm"/>
              <w:jc w:val="center"/>
            </w:pPr>
            <w:r>
              <w:t>133.6</w:t>
            </w:r>
          </w:p>
        </w:tc>
        <w:tc>
          <w:tcPr>
            <w:tcW w:w="1507" w:type="dxa"/>
            <w:vAlign w:val="bottom"/>
          </w:tcPr>
          <w:p>
            <w:pPr>
              <w:pStyle w:val="yTableNAm"/>
              <w:jc w:val="center"/>
            </w:pPr>
            <w:r>
              <w:t>537.3</w:t>
            </w:r>
          </w:p>
        </w:tc>
        <w:tc>
          <w:tcPr>
            <w:tcW w:w="1508" w:type="dxa"/>
            <w:vAlign w:val="bottom"/>
          </w:tcPr>
          <w:p>
            <w:pPr>
              <w:pStyle w:val="yTableNAm"/>
              <w:jc w:val="center"/>
            </w:pPr>
            <w:r>
              <w:t>582.9</w:t>
            </w:r>
          </w:p>
        </w:tc>
      </w:tr>
      <w:tr>
        <w:tc>
          <w:tcPr>
            <w:tcW w:w="1856" w:type="dxa"/>
            <w:tcBorders>
              <w:bottom w:val="single" w:sz="4" w:space="0" w:color="auto"/>
            </w:tcBorders>
          </w:tcPr>
          <w:p>
            <w:pPr>
              <w:pStyle w:val="yTableNAm"/>
            </w:pPr>
            <w:r>
              <w:rPr>
                <w:bCs/>
              </w:rPr>
              <w:t>Class 15 (c/kL)</w:t>
            </w:r>
          </w:p>
        </w:tc>
        <w:tc>
          <w:tcPr>
            <w:tcW w:w="1507" w:type="dxa"/>
            <w:tcBorders>
              <w:bottom w:val="single" w:sz="4" w:space="0" w:color="auto"/>
            </w:tcBorders>
            <w:vAlign w:val="bottom"/>
          </w:tcPr>
          <w:p>
            <w:pPr>
              <w:pStyle w:val="yTableNAm"/>
              <w:jc w:val="center"/>
            </w:pPr>
            <w:r>
              <w:t>133.6</w:t>
            </w:r>
          </w:p>
        </w:tc>
        <w:tc>
          <w:tcPr>
            <w:tcW w:w="1507" w:type="dxa"/>
            <w:tcBorders>
              <w:bottom w:val="single" w:sz="4" w:space="0" w:color="auto"/>
            </w:tcBorders>
            <w:vAlign w:val="bottom"/>
          </w:tcPr>
          <w:p>
            <w:pPr>
              <w:pStyle w:val="yTableNAm"/>
              <w:jc w:val="center"/>
            </w:pPr>
            <w:r>
              <w:t>586.2</w:t>
            </w:r>
          </w:p>
        </w:tc>
        <w:tc>
          <w:tcPr>
            <w:tcW w:w="1508" w:type="dxa"/>
            <w:tcBorders>
              <w:bottom w:val="single" w:sz="4" w:space="0" w:color="auto"/>
            </w:tcBorders>
            <w:vAlign w:val="bottom"/>
          </w:tcPr>
          <w:p>
            <w:pPr>
              <w:pStyle w:val="yTableNAm"/>
              <w:jc w:val="center"/>
            </w:pPr>
            <w:r>
              <w:t>634.7</w:t>
            </w:r>
          </w:p>
        </w:tc>
      </w:tr>
    </w:tbl>
    <w:p>
      <w:pPr>
        <w:pStyle w:val="yMiscellaneousBody"/>
      </w:pPr>
    </w:p>
    <w:tbl>
      <w:tblPr>
        <w:tblW w:w="6377" w:type="dxa"/>
        <w:tblInd w:w="534" w:type="dxa"/>
        <w:tblLayout w:type="fixed"/>
        <w:tblLook w:val="0000" w:firstRow="0" w:lastRow="0" w:firstColumn="0" w:lastColumn="0" w:noHBand="0" w:noVBand="0"/>
      </w:tblPr>
      <w:tblGrid>
        <w:gridCol w:w="736"/>
        <w:gridCol w:w="4326"/>
        <w:gridCol w:w="1315"/>
      </w:tblGrid>
      <w:tr>
        <w:trPr>
          <w:cantSplit/>
        </w:trPr>
        <w:tc>
          <w:tcPr>
            <w:tcW w:w="736" w:type="dxa"/>
          </w:tcPr>
          <w:p>
            <w:pPr>
              <w:pStyle w:val="yTableNAm"/>
              <w:keepNext/>
            </w:pPr>
            <w:r>
              <w:rPr>
                <w:b/>
              </w:rPr>
              <w:t>28.</w:t>
            </w:r>
          </w:p>
        </w:tc>
        <w:tc>
          <w:tcPr>
            <w:tcW w:w="4326" w:type="dxa"/>
          </w:tcPr>
          <w:p>
            <w:pPr>
              <w:pStyle w:val="yTableNAm"/>
              <w:keepNext/>
              <w:tabs>
                <w:tab w:val="left" w:leader="dot" w:pos="4876"/>
              </w:tabs>
            </w:pPr>
            <w:r>
              <w:rPr>
                <w:b/>
              </w:rPr>
              <w:t>Coral Bay desalinated</w:t>
            </w:r>
          </w:p>
        </w:tc>
        <w:tc>
          <w:tcPr>
            <w:tcW w:w="1315" w:type="dxa"/>
            <w:vAlign w:val="bottom"/>
          </w:tcPr>
          <w:p>
            <w:pPr>
              <w:pStyle w:val="yTableNAm"/>
              <w:keepNext/>
            </w:pPr>
          </w:p>
        </w:tc>
      </w:tr>
      <w:tr>
        <w:trPr>
          <w:cantSplit/>
        </w:trPr>
        <w:tc>
          <w:tcPr>
            <w:tcW w:w="736" w:type="dxa"/>
          </w:tcPr>
          <w:p>
            <w:pPr>
              <w:pStyle w:val="zyTableNAm"/>
              <w:keepNext/>
              <w:keepLines/>
            </w:pPr>
          </w:p>
        </w:tc>
        <w:tc>
          <w:tcPr>
            <w:tcW w:w="4326" w:type="dxa"/>
          </w:tcPr>
          <w:p>
            <w:pPr>
              <w:pStyle w:val="yTableNAm"/>
              <w:tabs>
                <w:tab w:val="left" w:leader="dot" w:pos="4876"/>
              </w:tabs>
            </w:pPr>
            <w:r>
              <w:rPr>
                <w:spacing w:val="-1"/>
              </w:rPr>
              <w:t xml:space="preserve">For each kilolitre of water supplied to land in the Coral Bay Water Area not classified as residential land, being water that has been treated to reduce the level of, or remove, salts </w:t>
            </w:r>
          </w:p>
        </w:tc>
        <w:tc>
          <w:tcPr>
            <w:tcW w:w="1315" w:type="dxa"/>
            <w:vAlign w:val="bottom"/>
          </w:tcPr>
          <w:p>
            <w:pPr>
              <w:pStyle w:val="yTableNAm"/>
            </w:pPr>
            <w:r>
              <w:t>636.9 cents</w:t>
            </w:r>
          </w:p>
        </w:tc>
      </w:tr>
      <w:tr>
        <w:trPr>
          <w:cantSplit/>
        </w:trPr>
        <w:tc>
          <w:tcPr>
            <w:tcW w:w="736" w:type="dxa"/>
          </w:tcPr>
          <w:p>
            <w:pPr>
              <w:pStyle w:val="yTableNAm"/>
            </w:pPr>
            <w:r>
              <w:rPr>
                <w:b/>
              </w:rPr>
              <w:t>29.</w:t>
            </w:r>
          </w:p>
        </w:tc>
        <w:tc>
          <w:tcPr>
            <w:tcW w:w="4326" w:type="dxa"/>
          </w:tcPr>
          <w:p>
            <w:pPr>
              <w:pStyle w:val="yTableNAm"/>
              <w:tabs>
                <w:tab w:val="left" w:leader="dot" w:pos="4876"/>
              </w:tabs>
            </w:pPr>
            <w:r>
              <w:rPr>
                <w:b/>
              </w:rPr>
              <w:t>Denham desalinated</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left" w:leader="dot" w:pos="4876"/>
              </w:tabs>
            </w:pPr>
            <w:r>
              <w:t>For each kilolitre of water supplied to land in the Denham Country Water Area, being water that has been treated to reduce the level of, or remove, salts —</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clear" w:pos="567"/>
                <w:tab w:val="left" w:pos="296"/>
                <w:tab w:val="left" w:pos="776"/>
                <w:tab w:val="left" w:leader="dot" w:pos="4876"/>
              </w:tabs>
              <w:ind w:left="776" w:hanging="776"/>
            </w:pPr>
            <w:r>
              <w:rPr>
                <w:snapToGrid w:val="0"/>
              </w:rPr>
              <w:tab/>
              <w:t>(a)</w:t>
            </w:r>
            <w:r>
              <w:rPr>
                <w:snapToGrid w:val="0"/>
              </w:rPr>
              <w:tab/>
              <w:t>in the case of land classified as residential —</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r>
              <w:tab/>
            </w:r>
            <w:r>
              <w:tab/>
              <w:t xml:space="preserve">up to quota </w:t>
            </w:r>
            <w:r>
              <w:tab/>
            </w:r>
          </w:p>
        </w:tc>
        <w:tc>
          <w:tcPr>
            <w:tcW w:w="1315" w:type="dxa"/>
            <w:vAlign w:val="bottom"/>
          </w:tcPr>
          <w:p>
            <w:pPr>
              <w:pStyle w:val="yTableNAm"/>
            </w:pPr>
            <w:r>
              <w:t>58.7 cents</w:t>
            </w: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r>
              <w:tab/>
            </w:r>
            <w:r>
              <w:tab/>
              <w:t>over quota by up to 1 kL per 7 kL of quota </w:t>
            </w:r>
            <w:r>
              <w:tab/>
            </w:r>
          </w:p>
        </w:tc>
        <w:tc>
          <w:tcPr>
            <w:tcW w:w="1315" w:type="dxa"/>
            <w:vAlign w:val="bottom"/>
          </w:tcPr>
          <w:p>
            <w:pPr>
              <w:pStyle w:val="yTableNAm"/>
            </w:pPr>
            <w:r>
              <w:t>430.8 cents</w:t>
            </w: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r>
              <w:tab/>
            </w:r>
            <w:r>
              <w:tab/>
              <w:t xml:space="preserve">over quota by more than 1 kL per 7 kL of quota </w:t>
            </w:r>
            <w:r>
              <w:tab/>
            </w:r>
          </w:p>
        </w:tc>
        <w:tc>
          <w:tcPr>
            <w:tcW w:w="1315" w:type="dxa"/>
            <w:vAlign w:val="bottom"/>
          </w:tcPr>
          <w:p>
            <w:pPr>
              <w:pStyle w:val="yTableNAm"/>
            </w:pPr>
            <w:r>
              <w:t>1 342.3 cents</w:t>
            </w:r>
          </w:p>
        </w:tc>
      </w:tr>
      <w:tr>
        <w:trPr>
          <w:cantSplit/>
        </w:trPr>
        <w:tc>
          <w:tcPr>
            <w:tcW w:w="736" w:type="dxa"/>
          </w:tcPr>
          <w:p>
            <w:pPr>
              <w:pStyle w:val="zyTableNAm"/>
            </w:pPr>
          </w:p>
        </w:tc>
        <w:tc>
          <w:tcPr>
            <w:tcW w:w="4326" w:type="dxa"/>
          </w:tcPr>
          <w:p>
            <w:pPr>
              <w:pStyle w:val="yTableNAm"/>
              <w:tabs>
                <w:tab w:val="clear" w:pos="567"/>
                <w:tab w:val="left" w:pos="296"/>
                <w:tab w:val="left" w:pos="776"/>
                <w:tab w:val="left" w:leader="dot" w:pos="4876"/>
              </w:tabs>
              <w:ind w:left="776" w:hanging="776"/>
            </w:pPr>
            <w:r>
              <w:rPr>
                <w:snapToGrid w:val="0"/>
              </w:rPr>
              <w:tab/>
            </w:r>
            <w:r>
              <w:rPr>
                <w:snapToGrid w:val="0"/>
              </w:rPr>
              <w:tab/>
              <w:t>where the quota, for each of the periods of 4 consecutive months during the year, is 35 kL or such greater amount as the Corporation may from time to time determine for the land concerned;</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clear" w:pos="567"/>
                <w:tab w:val="left" w:pos="296"/>
                <w:tab w:val="left" w:pos="776"/>
                <w:tab w:val="left" w:leader="dot" w:pos="4876"/>
              </w:tabs>
              <w:ind w:left="776" w:hanging="776"/>
            </w:pPr>
            <w:r>
              <w:rPr>
                <w:snapToGrid w:val="0"/>
              </w:rPr>
              <w:tab/>
              <w:t>(b)</w:t>
            </w:r>
            <w:r>
              <w:rPr>
                <w:snapToGrid w:val="0"/>
              </w:rPr>
              <w:tab/>
              <w:t>in the case of land not classified as residential —</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r>
              <w:tab/>
            </w:r>
            <w:r>
              <w:tab/>
              <w:t xml:space="preserve">up to quota </w:t>
            </w:r>
            <w:r>
              <w:tab/>
            </w:r>
          </w:p>
        </w:tc>
        <w:tc>
          <w:tcPr>
            <w:tcW w:w="1315" w:type="dxa"/>
            <w:vAlign w:val="bottom"/>
          </w:tcPr>
          <w:p>
            <w:pPr>
              <w:pStyle w:val="yTableNAm"/>
            </w:pPr>
            <w:r>
              <w:t>58.7 cents</w:t>
            </w: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r>
              <w:tab/>
            </w:r>
            <w:r>
              <w:tab/>
              <w:t xml:space="preserve">over quota </w:t>
            </w:r>
            <w:r>
              <w:tab/>
            </w:r>
          </w:p>
        </w:tc>
        <w:tc>
          <w:tcPr>
            <w:tcW w:w="1315" w:type="dxa"/>
            <w:vAlign w:val="bottom"/>
          </w:tcPr>
          <w:p>
            <w:pPr>
              <w:pStyle w:val="yTableNAm"/>
            </w:pPr>
            <w:r>
              <w:t>1 342.3 cents</w:t>
            </w:r>
          </w:p>
        </w:tc>
      </w:tr>
      <w:tr>
        <w:trPr>
          <w:cantSplit/>
        </w:trPr>
        <w:tc>
          <w:tcPr>
            <w:tcW w:w="736" w:type="dxa"/>
          </w:tcPr>
          <w:p>
            <w:pPr>
              <w:pStyle w:val="zyTableNAm"/>
            </w:pPr>
          </w:p>
        </w:tc>
        <w:tc>
          <w:tcPr>
            <w:tcW w:w="4326" w:type="dxa"/>
          </w:tcPr>
          <w:p>
            <w:pPr>
              <w:pStyle w:val="yTableNAm"/>
              <w:tabs>
                <w:tab w:val="clear" w:pos="567"/>
                <w:tab w:val="left" w:pos="296"/>
                <w:tab w:val="left" w:pos="776"/>
                <w:tab w:val="left" w:leader="dot" w:pos="4876"/>
              </w:tabs>
              <w:ind w:left="776" w:hanging="776"/>
            </w:pPr>
            <w:r>
              <w:rPr>
                <w:snapToGrid w:val="0"/>
              </w:rPr>
              <w:tab/>
            </w:r>
            <w:r>
              <w:rPr>
                <w:snapToGrid w:val="0"/>
              </w:rPr>
              <w:tab/>
              <w:t>where the quota for the year is 105 kL or such greater amount as the Corporation may from time to time determine for the land concerned.</w:t>
            </w:r>
          </w:p>
        </w:tc>
        <w:tc>
          <w:tcPr>
            <w:tcW w:w="1315" w:type="dxa"/>
            <w:vAlign w:val="bottom"/>
          </w:tcPr>
          <w:p>
            <w:pPr>
              <w:pStyle w:val="yTableNAm"/>
            </w:pPr>
          </w:p>
        </w:tc>
      </w:tr>
      <w:tr>
        <w:trPr>
          <w:cantSplit/>
        </w:trPr>
        <w:tc>
          <w:tcPr>
            <w:tcW w:w="736" w:type="dxa"/>
          </w:tcPr>
          <w:p>
            <w:pPr>
              <w:pStyle w:val="yTableNAm"/>
            </w:pPr>
            <w:r>
              <w:rPr>
                <w:b/>
              </w:rPr>
              <w:t>30.</w:t>
            </w:r>
          </w:p>
        </w:tc>
        <w:tc>
          <w:tcPr>
            <w:tcW w:w="4326" w:type="dxa"/>
          </w:tcPr>
          <w:p>
            <w:pPr>
              <w:pStyle w:val="yTableNAm"/>
              <w:tabs>
                <w:tab w:val="left" w:leader="dot" w:pos="4876"/>
              </w:tabs>
            </w:pPr>
            <w:r>
              <w:rPr>
                <w:b/>
              </w:rPr>
              <w:t>Local government standpipes</w:t>
            </w:r>
          </w:p>
        </w:tc>
        <w:tc>
          <w:tcPr>
            <w:tcW w:w="1315" w:type="dxa"/>
            <w:vAlign w:val="bottom"/>
          </w:tcPr>
          <w:p>
            <w:pPr>
              <w:pStyle w:val="yTableNAm"/>
            </w:pPr>
          </w:p>
        </w:tc>
      </w:tr>
      <w:tr>
        <w:trPr>
          <w:cantSplit/>
        </w:trPr>
        <w:tc>
          <w:tcPr>
            <w:tcW w:w="736" w:type="dxa"/>
          </w:tcPr>
          <w:p>
            <w:pPr>
              <w:pStyle w:val="zyTableNAm"/>
              <w:keepNext/>
              <w:keepLines/>
            </w:pPr>
          </w:p>
        </w:tc>
        <w:tc>
          <w:tcPr>
            <w:tcW w:w="4326" w:type="dxa"/>
          </w:tcPr>
          <w:p>
            <w:pPr>
              <w:pStyle w:val="yTableNAm"/>
              <w:tabs>
                <w:tab w:val="left" w:leader="dot" w:pos="4876"/>
              </w:tabs>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r>
              <w:rPr>
                <w:spacing w:val="-1"/>
              </w:rPr>
              <w:tab/>
            </w:r>
          </w:p>
        </w:tc>
        <w:tc>
          <w:tcPr>
            <w:tcW w:w="1315" w:type="dxa"/>
            <w:vAlign w:val="bottom"/>
          </w:tcPr>
          <w:p>
            <w:pPr>
              <w:pStyle w:val="yTableNAm"/>
            </w:pPr>
            <w:r>
              <w:t>171.3 cents</w:t>
            </w:r>
          </w:p>
        </w:tc>
      </w:tr>
      <w:tr>
        <w:trPr>
          <w:cantSplit/>
        </w:trPr>
        <w:tc>
          <w:tcPr>
            <w:tcW w:w="736" w:type="dxa"/>
          </w:tcPr>
          <w:p>
            <w:pPr>
              <w:pStyle w:val="yTableNAm"/>
            </w:pPr>
            <w:r>
              <w:rPr>
                <w:b/>
              </w:rPr>
              <w:t>31.</w:t>
            </w:r>
          </w:p>
        </w:tc>
        <w:tc>
          <w:tcPr>
            <w:tcW w:w="4326" w:type="dxa"/>
          </w:tcPr>
          <w:p>
            <w:pPr>
              <w:pStyle w:val="yTableNAm"/>
              <w:tabs>
                <w:tab w:val="left" w:leader="dot" w:pos="4876"/>
              </w:tabs>
            </w:pPr>
            <w:r>
              <w:rPr>
                <w:b/>
              </w:rPr>
              <w:t>Shipping</w:t>
            </w:r>
          </w:p>
        </w:tc>
        <w:tc>
          <w:tcPr>
            <w:tcW w:w="1315" w:type="dxa"/>
            <w:vAlign w:val="bottom"/>
          </w:tcPr>
          <w:p>
            <w:pPr>
              <w:pStyle w:val="yTableNAm"/>
            </w:pPr>
          </w:p>
        </w:tc>
      </w:tr>
      <w:tr>
        <w:trPr>
          <w:cantSplit/>
        </w:trPr>
        <w:tc>
          <w:tcPr>
            <w:tcW w:w="736" w:type="dxa"/>
          </w:tcPr>
          <w:p>
            <w:pPr>
              <w:pStyle w:val="zyTableNAm"/>
              <w:rPr>
                <w:rStyle w:val="CharSClsNo"/>
              </w:rPr>
            </w:pPr>
          </w:p>
        </w:tc>
        <w:tc>
          <w:tcPr>
            <w:tcW w:w="4326" w:type="dxa"/>
          </w:tcPr>
          <w:p>
            <w:pPr>
              <w:pStyle w:val="yTableNAm"/>
              <w:tabs>
                <w:tab w:val="left" w:leader="dot" w:pos="4876"/>
              </w:tabs>
            </w:pPr>
            <w:r>
              <w:t xml:space="preserve">For </w:t>
            </w:r>
            <w:r>
              <w:rPr>
                <w:snapToGrid w:val="0"/>
              </w:rPr>
              <w:t>each</w:t>
            </w:r>
            <w:r>
              <w:t xml:space="preserve"> kilolitre of water supplied for the purpose of being taken on board any ship in port —</w:t>
            </w:r>
          </w:p>
        </w:tc>
        <w:tc>
          <w:tcPr>
            <w:tcW w:w="1315" w:type="dxa"/>
            <w:vAlign w:val="bottom"/>
          </w:tcPr>
          <w:p>
            <w:pPr>
              <w:pStyle w:val="yTableNAm"/>
            </w:pPr>
          </w:p>
        </w:tc>
      </w:tr>
      <w:tr>
        <w:trPr>
          <w:cantSplit/>
        </w:trPr>
        <w:tc>
          <w:tcPr>
            <w:tcW w:w="736" w:type="dxa"/>
          </w:tcPr>
          <w:p>
            <w:pPr>
              <w:pStyle w:val="zyTableNAm"/>
              <w:rPr>
                <w:rStyle w:val="CharSClsNo"/>
              </w:rPr>
            </w:pPr>
          </w:p>
        </w:tc>
        <w:tc>
          <w:tcPr>
            <w:tcW w:w="4326" w:type="dxa"/>
          </w:tcPr>
          <w:p>
            <w:pPr>
              <w:pStyle w:val="yTableNAm"/>
              <w:tabs>
                <w:tab w:val="clear" w:pos="567"/>
                <w:tab w:val="left" w:pos="296"/>
                <w:tab w:val="left" w:pos="776"/>
                <w:tab w:val="left" w:leader="dot" w:pos="4876"/>
              </w:tabs>
              <w:ind w:left="776" w:hanging="776"/>
              <w:rPr>
                <w:snapToGrid w:val="0"/>
              </w:rPr>
            </w:pPr>
            <w:r>
              <w:rPr>
                <w:snapToGrid w:val="0"/>
              </w:rPr>
              <w:tab/>
              <w:t>(a)</w:t>
            </w:r>
            <w:r>
              <w:rPr>
                <w:snapToGrid w:val="0"/>
              </w:rPr>
              <w:tab/>
              <w:t xml:space="preserve">in the metropolitan area </w:t>
            </w:r>
            <w:r>
              <w:rPr>
                <w:snapToGrid w:val="0"/>
              </w:rPr>
              <w:tab/>
            </w:r>
          </w:p>
        </w:tc>
        <w:tc>
          <w:tcPr>
            <w:tcW w:w="1315" w:type="dxa"/>
            <w:vAlign w:val="bottom"/>
          </w:tcPr>
          <w:p>
            <w:pPr>
              <w:pStyle w:val="yTableNAm"/>
            </w:pPr>
            <w:r>
              <w:t>204.1 cents</w:t>
            </w:r>
          </w:p>
        </w:tc>
      </w:tr>
      <w:tr>
        <w:trPr>
          <w:cantSplit/>
        </w:trPr>
        <w:tc>
          <w:tcPr>
            <w:tcW w:w="736" w:type="dxa"/>
          </w:tcPr>
          <w:p>
            <w:pPr>
              <w:pStyle w:val="zyTableNAm"/>
              <w:rPr>
                <w:rStyle w:val="CharSClsNo"/>
              </w:rPr>
            </w:pPr>
          </w:p>
        </w:tc>
        <w:tc>
          <w:tcPr>
            <w:tcW w:w="4326" w:type="dxa"/>
          </w:tcPr>
          <w:p>
            <w:pPr>
              <w:pStyle w:val="yTableNAm"/>
              <w:tabs>
                <w:tab w:val="clear" w:pos="567"/>
                <w:tab w:val="left" w:pos="296"/>
                <w:tab w:val="left" w:pos="776"/>
                <w:tab w:val="left" w:leader="dot" w:pos="4876"/>
              </w:tabs>
              <w:ind w:left="776" w:hanging="776"/>
              <w:rPr>
                <w:snapToGrid w:val="0"/>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315" w:type="dxa"/>
            <w:vAlign w:val="bottom"/>
          </w:tcPr>
          <w:p>
            <w:pPr>
              <w:pStyle w:val="yTableNAm"/>
            </w:pPr>
          </w:p>
        </w:tc>
      </w:tr>
    </w:tbl>
    <w:p>
      <w:pPr>
        <w:pStyle w:val="yMiscellaneousBody"/>
      </w:pPr>
    </w:p>
    <w:tbl>
      <w:tblPr>
        <w:tblW w:w="6377" w:type="dxa"/>
        <w:tblInd w:w="454" w:type="dxa"/>
        <w:tblLayout w:type="fixed"/>
        <w:tblCellMar>
          <w:left w:w="28" w:type="dxa"/>
          <w:right w:w="28" w:type="dxa"/>
        </w:tblCellMar>
        <w:tblLook w:val="0000" w:firstRow="0" w:lastRow="0" w:firstColumn="0" w:lastColumn="0" w:noHBand="0" w:noVBand="0"/>
      </w:tblPr>
      <w:tblGrid>
        <w:gridCol w:w="1842"/>
        <w:gridCol w:w="2339"/>
        <w:gridCol w:w="2196"/>
      </w:tblGrid>
      <w:tr>
        <w:trPr>
          <w:cantSplit/>
          <w:trHeight w:val="217"/>
          <w:tblHeader/>
        </w:trPr>
        <w:tc>
          <w:tcPr>
            <w:tcW w:w="1842" w:type="dxa"/>
            <w:vMerge w:val="restart"/>
            <w:tcBorders>
              <w:top w:val="single" w:sz="4" w:space="0" w:color="auto"/>
            </w:tcBorders>
          </w:tcPr>
          <w:p>
            <w:pPr>
              <w:pStyle w:val="yTableNAm"/>
            </w:pPr>
            <w:r>
              <w:rPr>
                <w:b/>
                <w:bCs/>
              </w:rPr>
              <w:t>Class</w:t>
            </w:r>
          </w:p>
        </w:tc>
        <w:tc>
          <w:tcPr>
            <w:tcW w:w="4535" w:type="dxa"/>
            <w:gridSpan w:val="2"/>
            <w:tcBorders>
              <w:top w:val="single" w:sz="4" w:space="0" w:color="auto"/>
            </w:tcBorders>
          </w:tcPr>
          <w:p>
            <w:pPr>
              <w:pStyle w:val="yTableNAm"/>
              <w:jc w:val="center"/>
            </w:pPr>
            <w:r>
              <w:rPr>
                <w:b/>
                <w:bCs/>
              </w:rPr>
              <w:t>Consumption (kL)</w:t>
            </w:r>
          </w:p>
        </w:tc>
      </w:tr>
      <w:tr>
        <w:trPr>
          <w:cantSplit/>
          <w:trHeight w:val="217"/>
          <w:tblHeader/>
        </w:trPr>
        <w:tc>
          <w:tcPr>
            <w:tcW w:w="1842" w:type="dxa"/>
            <w:vMerge/>
            <w:tcBorders>
              <w:bottom w:val="single" w:sz="4" w:space="0" w:color="auto"/>
            </w:tcBorders>
          </w:tcPr>
          <w:p>
            <w:pPr>
              <w:pStyle w:val="zyTableNAm"/>
              <w:rPr>
                <w:b/>
                <w:bCs/>
              </w:rPr>
            </w:pPr>
          </w:p>
        </w:tc>
        <w:tc>
          <w:tcPr>
            <w:tcW w:w="2339" w:type="dxa"/>
            <w:tcBorders>
              <w:bottom w:val="single" w:sz="4" w:space="0" w:color="auto"/>
            </w:tcBorders>
          </w:tcPr>
          <w:p>
            <w:pPr>
              <w:pStyle w:val="yTableNAm"/>
              <w:jc w:val="center"/>
            </w:pPr>
            <w:r>
              <w:rPr>
                <w:b/>
                <w:bCs/>
              </w:rPr>
              <w:t>Up to 300</w:t>
            </w:r>
          </w:p>
        </w:tc>
        <w:tc>
          <w:tcPr>
            <w:tcW w:w="2196" w:type="dxa"/>
            <w:tcBorders>
              <w:bottom w:val="single" w:sz="4" w:space="0" w:color="auto"/>
            </w:tcBorders>
          </w:tcPr>
          <w:p>
            <w:pPr>
              <w:pStyle w:val="yTableNAm"/>
              <w:jc w:val="center"/>
            </w:pPr>
            <w:r>
              <w:rPr>
                <w:b/>
                <w:bCs/>
              </w:rPr>
              <w:t>Over 300</w:t>
            </w:r>
          </w:p>
        </w:tc>
      </w:tr>
      <w:tr>
        <w:tc>
          <w:tcPr>
            <w:tcW w:w="1842" w:type="dxa"/>
            <w:tcBorders>
              <w:top w:val="single" w:sz="4" w:space="0" w:color="auto"/>
            </w:tcBorders>
          </w:tcPr>
          <w:p>
            <w:pPr>
              <w:pStyle w:val="yTableNAm"/>
            </w:pPr>
            <w:r>
              <w:rPr>
                <w:bCs/>
              </w:rPr>
              <w:t>Class 1 (c/kL)</w:t>
            </w:r>
          </w:p>
        </w:tc>
        <w:tc>
          <w:tcPr>
            <w:tcW w:w="2339" w:type="dxa"/>
            <w:tcBorders>
              <w:top w:val="single" w:sz="4" w:space="0" w:color="auto"/>
            </w:tcBorders>
            <w:vAlign w:val="bottom"/>
          </w:tcPr>
          <w:p>
            <w:pPr>
              <w:pStyle w:val="yTableNAm"/>
              <w:jc w:val="center"/>
            </w:pPr>
            <w:r>
              <w:t>174.7</w:t>
            </w:r>
          </w:p>
        </w:tc>
        <w:tc>
          <w:tcPr>
            <w:tcW w:w="2196" w:type="dxa"/>
            <w:tcBorders>
              <w:top w:val="single" w:sz="4" w:space="0" w:color="auto"/>
            </w:tcBorders>
            <w:vAlign w:val="bottom"/>
          </w:tcPr>
          <w:p>
            <w:pPr>
              <w:pStyle w:val="yTableNAm"/>
              <w:jc w:val="center"/>
            </w:pPr>
            <w:r>
              <w:t>192.6</w:t>
            </w:r>
          </w:p>
        </w:tc>
      </w:tr>
      <w:tr>
        <w:tc>
          <w:tcPr>
            <w:tcW w:w="1842" w:type="dxa"/>
          </w:tcPr>
          <w:p>
            <w:pPr>
              <w:pStyle w:val="yTableNAm"/>
            </w:pPr>
            <w:r>
              <w:rPr>
                <w:bCs/>
              </w:rPr>
              <w:t>Class 2 (c/kL)</w:t>
            </w:r>
          </w:p>
        </w:tc>
        <w:tc>
          <w:tcPr>
            <w:tcW w:w="2339" w:type="dxa"/>
            <w:vAlign w:val="bottom"/>
          </w:tcPr>
          <w:p>
            <w:pPr>
              <w:pStyle w:val="yTableNAm"/>
              <w:jc w:val="center"/>
            </w:pPr>
            <w:r>
              <w:t>191.6</w:t>
            </w:r>
          </w:p>
        </w:tc>
        <w:tc>
          <w:tcPr>
            <w:tcW w:w="2196" w:type="dxa"/>
            <w:vAlign w:val="bottom"/>
          </w:tcPr>
          <w:p>
            <w:pPr>
              <w:pStyle w:val="yTableNAm"/>
              <w:jc w:val="center"/>
            </w:pPr>
            <w:r>
              <w:t>209.8</w:t>
            </w:r>
          </w:p>
        </w:tc>
      </w:tr>
      <w:tr>
        <w:tc>
          <w:tcPr>
            <w:tcW w:w="1842" w:type="dxa"/>
          </w:tcPr>
          <w:p>
            <w:pPr>
              <w:pStyle w:val="yTableNAm"/>
            </w:pPr>
            <w:r>
              <w:rPr>
                <w:bCs/>
              </w:rPr>
              <w:t>Class 3 (c/kL)</w:t>
            </w:r>
          </w:p>
        </w:tc>
        <w:tc>
          <w:tcPr>
            <w:tcW w:w="2339" w:type="dxa"/>
            <w:vAlign w:val="bottom"/>
          </w:tcPr>
          <w:p>
            <w:pPr>
              <w:pStyle w:val="yTableNAm"/>
              <w:jc w:val="center"/>
            </w:pPr>
            <w:r>
              <w:t>209.8</w:t>
            </w:r>
          </w:p>
        </w:tc>
        <w:tc>
          <w:tcPr>
            <w:tcW w:w="2196" w:type="dxa"/>
            <w:vAlign w:val="bottom"/>
          </w:tcPr>
          <w:p>
            <w:pPr>
              <w:pStyle w:val="yTableNAm"/>
              <w:jc w:val="center"/>
            </w:pPr>
            <w:r>
              <w:t>228.2</w:t>
            </w:r>
          </w:p>
        </w:tc>
      </w:tr>
      <w:tr>
        <w:tc>
          <w:tcPr>
            <w:tcW w:w="1842" w:type="dxa"/>
          </w:tcPr>
          <w:p>
            <w:pPr>
              <w:pStyle w:val="yTableNAm"/>
            </w:pPr>
            <w:r>
              <w:rPr>
                <w:bCs/>
              </w:rPr>
              <w:t>Class 4 (c/kL)</w:t>
            </w:r>
          </w:p>
        </w:tc>
        <w:tc>
          <w:tcPr>
            <w:tcW w:w="2339" w:type="dxa"/>
            <w:vAlign w:val="bottom"/>
          </w:tcPr>
          <w:p>
            <w:pPr>
              <w:pStyle w:val="yTableNAm"/>
              <w:jc w:val="center"/>
            </w:pPr>
            <w:r>
              <w:t>230.0</w:t>
            </w:r>
          </w:p>
        </w:tc>
        <w:tc>
          <w:tcPr>
            <w:tcW w:w="2196" w:type="dxa"/>
            <w:vAlign w:val="bottom"/>
          </w:tcPr>
          <w:p>
            <w:pPr>
              <w:pStyle w:val="yTableNAm"/>
              <w:jc w:val="center"/>
            </w:pPr>
            <w:r>
              <w:t>248.6</w:t>
            </w:r>
          </w:p>
        </w:tc>
      </w:tr>
      <w:tr>
        <w:tc>
          <w:tcPr>
            <w:tcW w:w="1842" w:type="dxa"/>
          </w:tcPr>
          <w:p>
            <w:pPr>
              <w:pStyle w:val="yTableNAm"/>
            </w:pPr>
            <w:r>
              <w:rPr>
                <w:bCs/>
              </w:rPr>
              <w:t>Class 5 (c/kL)</w:t>
            </w:r>
          </w:p>
        </w:tc>
        <w:tc>
          <w:tcPr>
            <w:tcW w:w="2339" w:type="dxa"/>
            <w:vAlign w:val="bottom"/>
          </w:tcPr>
          <w:p>
            <w:pPr>
              <w:pStyle w:val="yTableNAm"/>
              <w:jc w:val="center"/>
            </w:pPr>
            <w:r>
              <w:t>252.2</w:t>
            </w:r>
          </w:p>
        </w:tc>
        <w:tc>
          <w:tcPr>
            <w:tcW w:w="2196" w:type="dxa"/>
            <w:vAlign w:val="bottom"/>
          </w:tcPr>
          <w:p>
            <w:pPr>
              <w:pStyle w:val="yTableNAm"/>
              <w:jc w:val="center"/>
            </w:pPr>
            <w:r>
              <w:t>270.7</w:t>
            </w:r>
          </w:p>
        </w:tc>
      </w:tr>
      <w:tr>
        <w:tc>
          <w:tcPr>
            <w:tcW w:w="1842" w:type="dxa"/>
          </w:tcPr>
          <w:p>
            <w:pPr>
              <w:pStyle w:val="yTableNAm"/>
            </w:pPr>
            <w:r>
              <w:rPr>
                <w:bCs/>
              </w:rPr>
              <w:t>Class 6 (c/kL)</w:t>
            </w:r>
          </w:p>
        </w:tc>
        <w:tc>
          <w:tcPr>
            <w:tcW w:w="2339" w:type="dxa"/>
            <w:vAlign w:val="bottom"/>
          </w:tcPr>
          <w:p>
            <w:pPr>
              <w:pStyle w:val="yTableNAm"/>
              <w:jc w:val="center"/>
            </w:pPr>
            <w:r>
              <w:t>274.4</w:t>
            </w:r>
          </w:p>
        </w:tc>
        <w:tc>
          <w:tcPr>
            <w:tcW w:w="2196" w:type="dxa"/>
            <w:vAlign w:val="bottom"/>
          </w:tcPr>
          <w:p>
            <w:pPr>
              <w:pStyle w:val="yTableNAm"/>
              <w:jc w:val="center"/>
            </w:pPr>
            <w:r>
              <w:t>294.8</w:t>
            </w:r>
          </w:p>
        </w:tc>
      </w:tr>
      <w:tr>
        <w:tc>
          <w:tcPr>
            <w:tcW w:w="1842" w:type="dxa"/>
          </w:tcPr>
          <w:p>
            <w:pPr>
              <w:pStyle w:val="yTableNAm"/>
            </w:pPr>
            <w:r>
              <w:rPr>
                <w:bCs/>
              </w:rPr>
              <w:t>Class 7 (c/kL)</w:t>
            </w:r>
          </w:p>
        </w:tc>
        <w:tc>
          <w:tcPr>
            <w:tcW w:w="2339" w:type="dxa"/>
            <w:vAlign w:val="bottom"/>
          </w:tcPr>
          <w:p>
            <w:pPr>
              <w:pStyle w:val="yTableNAm"/>
              <w:jc w:val="center"/>
            </w:pPr>
            <w:r>
              <w:t>298.6</w:t>
            </w:r>
          </w:p>
        </w:tc>
        <w:tc>
          <w:tcPr>
            <w:tcW w:w="2196" w:type="dxa"/>
            <w:vAlign w:val="bottom"/>
          </w:tcPr>
          <w:p>
            <w:pPr>
              <w:pStyle w:val="yTableNAm"/>
              <w:jc w:val="center"/>
            </w:pPr>
            <w:r>
              <w:t>321.1</w:t>
            </w:r>
          </w:p>
        </w:tc>
      </w:tr>
      <w:tr>
        <w:tc>
          <w:tcPr>
            <w:tcW w:w="1842" w:type="dxa"/>
          </w:tcPr>
          <w:p>
            <w:pPr>
              <w:pStyle w:val="yTableNAm"/>
            </w:pPr>
            <w:r>
              <w:rPr>
                <w:bCs/>
              </w:rPr>
              <w:t>Class 8 (c/kL)</w:t>
            </w:r>
          </w:p>
        </w:tc>
        <w:tc>
          <w:tcPr>
            <w:tcW w:w="2339" w:type="dxa"/>
            <w:vAlign w:val="bottom"/>
          </w:tcPr>
          <w:p>
            <w:pPr>
              <w:pStyle w:val="yTableNAm"/>
              <w:jc w:val="center"/>
            </w:pPr>
            <w:r>
              <w:t>324.2</w:t>
            </w:r>
          </w:p>
        </w:tc>
        <w:tc>
          <w:tcPr>
            <w:tcW w:w="2196" w:type="dxa"/>
            <w:vAlign w:val="bottom"/>
          </w:tcPr>
          <w:p>
            <w:pPr>
              <w:pStyle w:val="yTableNAm"/>
              <w:jc w:val="center"/>
            </w:pPr>
            <w:r>
              <w:t>349.6</w:t>
            </w:r>
          </w:p>
        </w:tc>
      </w:tr>
      <w:tr>
        <w:tc>
          <w:tcPr>
            <w:tcW w:w="1842" w:type="dxa"/>
          </w:tcPr>
          <w:p>
            <w:pPr>
              <w:pStyle w:val="yTableNAm"/>
            </w:pPr>
            <w:r>
              <w:rPr>
                <w:bCs/>
              </w:rPr>
              <w:t>Class 9 (c/kL)</w:t>
            </w:r>
          </w:p>
        </w:tc>
        <w:tc>
          <w:tcPr>
            <w:tcW w:w="2339" w:type="dxa"/>
            <w:vAlign w:val="bottom"/>
          </w:tcPr>
          <w:p>
            <w:pPr>
              <w:pStyle w:val="yTableNAm"/>
              <w:jc w:val="center"/>
            </w:pPr>
            <w:r>
              <w:t>352.0</w:t>
            </w:r>
          </w:p>
        </w:tc>
        <w:tc>
          <w:tcPr>
            <w:tcW w:w="2196" w:type="dxa"/>
            <w:vAlign w:val="bottom"/>
          </w:tcPr>
          <w:p>
            <w:pPr>
              <w:pStyle w:val="yTableNAm"/>
              <w:jc w:val="center"/>
            </w:pPr>
            <w:r>
              <w:t>380.7</w:t>
            </w:r>
          </w:p>
        </w:tc>
      </w:tr>
      <w:tr>
        <w:tc>
          <w:tcPr>
            <w:tcW w:w="1842" w:type="dxa"/>
          </w:tcPr>
          <w:p>
            <w:pPr>
              <w:pStyle w:val="yTableNAm"/>
            </w:pPr>
            <w:r>
              <w:rPr>
                <w:bCs/>
              </w:rPr>
              <w:t>Class 10 (c/kL)</w:t>
            </w:r>
          </w:p>
        </w:tc>
        <w:tc>
          <w:tcPr>
            <w:tcW w:w="2339" w:type="dxa"/>
            <w:vAlign w:val="bottom"/>
          </w:tcPr>
          <w:p>
            <w:pPr>
              <w:pStyle w:val="yTableNAm"/>
              <w:jc w:val="center"/>
            </w:pPr>
            <w:r>
              <w:t>379.0</w:t>
            </w:r>
          </w:p>
        </w:tc>
        <w:tc>
          <w:tcPr>
            <w:tcW w:w="2196" w:type="dxa"/>
            <w:vAlign w:val="bottom"/>
          </w:tcPr>
          <w:p>
            <w:pPr>
              <w:pStyle w:val="yTableNAm"/>
              <w:jc w:val="center"/>
            </w:pPr>
            <w:r>
              <w:t>414.6</w:t>
            </w:r>
          </w:p>
        </w:tc>
      </w:tr>
      <w:tr>
        <w:tc>
          <w:tcPr>
            <w:tcW w:w="1842" w:type="dxa"/>
          </w:tcPr>
          <w:p>
            <w:pPr>
              <w:pStyle w:val="yTableNAm"/>
            </w:pPr>
            <w:r>
              <w:rPr>
                <w:bCs/>
              </w:rPr>
              <w:t>Class 11 (c/kL)</w:t>
            </w:r>
          </w:p>
        </w:tc>
        <w:tc>
          <w:tcPr>
            <w:tcW w:w="2339" w:type="dxa"/>
            <w:vAlign w:val="bottom"/>
          </w:tcPr>
          <w:p>
            <w:pPr>
              <w:pStyle w:val="yTableNAm"/>
              <w:jc w:val="center"/>
            </w:pPr>
            <w:r>
              <w:t>413.5</w:t>
            </w:r>
          </w:p>
        </w:tc>
        <w:tc>
          <w:tcPr>
            <w:tcW w:w="2196" w:type="dxa"/>
            <w:vAlign w:val="bottom"/>
          </w:tcPr>
          <w:p>
            <w:pPr>
              <w:pStyle w:val="yTableNAm"/>
              <w:jc w:val="center"/>
            </w:pPr>
            <w:r>
              <w:t>451.4</w:t>
            </w:r>
          </w:p>
        </w:tc>
      </w:tr>
      <w:tr>
        <w:tc>
          <w:tcPr>
            <w:tcW w:w="1842" w:type="dxa"/>
          </w:tcPr>
          <w:p>
            <w:pPr>
              <w:pStyle w:val="yTableNAm"/>
            </w:pPr>
            <w:r>
              <w:rPr>
                <w:bCs/>
              </w:rPr>
              <w:t>Class 12 (c/kL)</w:t>
            </w:r>
          </w:p>
        </w:tc>
        <w:tc>
          <w:tcPr>
            <w:tcW w:w="2339" w:type="dxa"/>
            <w:vAlign w:val="bottom"/>
          </w:tcPr>
          <w:p>
            <w:pPr>
              <w:pStyle w:val="yTableNAm"/>
              <w:jc w:val="center"/>
            </w:pPr>
            <w:r>
              <w:t>451.3</w:t>
            </w:r>
          </w:p>
        </w:tc>
        <w:tc>
          <w:tcPr>
            <w:tcW w:w="2196" w:type="dxa"/>
            <w:vAlign w:val="bottom"/>
          </w:tcPr>
          <w:p>
            <w:pPr>
              <w:pStyle w:val="yTableNAm"/>
              <w:jc w:val="center"/>
            </w:pPr>
            <w:r>
              <w:t>491.6</w:t>
            </w:r>
          </w:p>
        </w:tc>
      </w:tr>
      <w:tr>
        <w:tc>
          <w:tcPr>
            <w:tcW w:w="1842" w:type="dxa"/>
          </w:tcPr>
          <w:p>
            <w:pPr>
              <w:pStyle w:val="yTableNAm"/>
            </w:pPr>
            <w:r>
              <w:rPr>
                <w:bCs/>
              </w:rPr>
              <w:t>Class 13 (c/kL)</w:t>
            </w:r>
          </w:p>
        </w:tc>
        <w:tc>
          <w:tcPr>
            <w:tcW w:w="2339" w:type="dxa"/>
            <w:vAlign w:val="bottom"/>
          </w:tcPr>
          <w:p>
            <w:pPr>
              <w:pStyle w:val="yTableNAm"/>
              <w:jc w:val="center"/>
            </w:pPr>
            <w:r>
              <w:t>492.4</w:t>
            </w:r>
          </w:p>
        </w:tc>
        <w:tc>
          <w:tcPr>
            <w:tcW w:w="2196" w:type="dxa"/>
            <w:vAlign w:val="bottom"/>
          </w:tcPr>
          <w:p>
            <w:pPr>
              <w:pStyle w:val="yTableNAm"/>
              <w:jc w:val="center"/>
            </w:pPr>
            <w:r>
              <w:t>535.3</w:t>
            </w:r>
          </w:p>
        </w:tc>
      </w:tr>
      <w:tr>
        <w:tc>
          <w:tcPr>
            <w:tcW w:w="1842" w:type="dxa"/>
          </w:tcPr>
          <w:p>
            <w:pPr>
              <w:pStyle w:val="yTableNAm"/>
            </w:pPr>
            <w:r>
              <w:rPr>
                <w:bCs/>
              </w:rPr>
              <w:t>Class 14 (c/kL)</w:t>
            </w:r>
          </w:p>
        </w:tc>
        <w:tc>
          <w:tcPr>
            <w:tcW w:w="2339" w:type="dxa"/>
            <w:vAlign w:val="bottom"/>
          </w:tcPr>
          <w:p>
            <w:pPr>
              <w:pStyle w:val="yTableNAm"/>
              <w:jc w:val="center"/>
            </w:pPr>
            <w:r>
              <w:t>537.3</w:t>
            </w:r>
          </w:p>
        </w:tc>
        <w:tc>
          <w:tcPr>
            <w:tcW w:w="2196" w:type="dxa"/>
            <w:vAlign w:val="bottom"/>
          </w:tcPr>
          <w:p>
            <w:pPr>
              <w:pStyle w:val="yTableNAm"/>
              <w:jc w:val="center"/>
            </w:pPr>
            <w:r>
              <w:t>582.9</w:t>
            </w:r>
          </w:p>
        </w:tc>
      </w:tr>
      <w:tr>
        <w:tc>
          <w:tcPr>
            <w:tcW w:w="1842" w:type="dxa"/>
            <w:tcBorders>
              <w:bottom w:val="single" w:sz="4" w:space="0" w:color="auto"/>
            </w:tcBorders>
          </w:tcPr>
          <w:p>
            <w:pPr>
              <w:pStyle w:val="yTableNAm"/>
            </w:pPr>
            <w:r>
              <w:rPr>
                <w:bCs/>
              </w:rPr>
              <w:t>Class 15 (c/kL)</w:t>
            </w:r>
          </w:p>
        </w:tc>
        <w:tc>
          <w:tcPr>
            <w:tcW w:w="2339" w:type="dxa"/>
            <w:tcBorders>
              <w:bottom w:val="single" w:sz="4" w:space="0" w:color="auto"/>
            </w:tcBorders>
            <w:vAlign w:val="bottom"/>
          </w:tcPr>
          <w:p>
            <w:pPr>
              <w:pStyle w:val="yTableNAm"/>
              <w:jc w:val="center"/>
            </w:pPr>
            <w:r>
              <w:t>586.2</w:t>
            </w:r>
          </w:p>
        </w:tc>
        <w:tc>
          <w:tcPr>
            <w:tcW w:w="2196" w:type="dxa"/>
            <w:tcBorders>
              <w:bottom w:val="single" w:sz="4" w:space="0" w:color="auto"/>
            </w:tcBorders>
            <w:vAlign w:val="bottom"/>
          </w:tcPr>
          <w:p>
            <w:pPr>
              <w:pStyle w:val="yTableNAm"/>
              <w:jc w:val="center"/>
            </w:pPr>
            <w:r>
              <w:t>634.7</w:t>
            </w:r>
          </w:p>
        </w:tc>
      </w:tr>
    </w:tbl>
    <w:p>
      <w:pPr>
        <w:pStyle w:val="yMiscellaneousBody"/>
      </w:pPr>
    </w:p>
    <w:tbl>
      <w:tblPr>
        <w:tblW w:w="0" w:type="auto"/>
        <w:tblInd w:w="534" w:type="dxa"/>
        <w:tblLook w:val="0000" w:firstRow="0" w:lastRow="0" w:firstColumn="0" w:lastColumn="0" w:noHBand="0" w:noVBand="0"/>
      </w:tblPr>
      <w:tblGrid>
        <w:gridCol w:w="708"/>
        <w:gridCol w:w="4326"/>
        <w:gridCol w:w="1329"/>
      </w:tblGrid>
      <w:tr>
        <w:trPr>
          <w:cantSplit/>
        </w:trPr>
        <w:tc>
          <w:tcPr>
            <w:tcW w:w="708" w:type="dxa"/>
          </w:tcPr>
          <w:p>
            <w:pPr>
              <w:pStyle w:val="yTableNAm"/>
            </w:pPr>
            <w:r>
              <w:rPr>
                <w:b/>
              </w:rPr>
              <w:t>32.</w:t>
            </w:r>
          </w:p>
        </w:tc>
        <w:tc>
          <w:tcPr>
            <w:tcW w:w="4326" w:type="dxa"/>
          </w:tcPr>
          <w:p>
            <w:pPr>
              <w:pStyle w:val="yTableNAm"/>
              <w:tabs>
                <w:tab w:val="left" w:leader="dot" w:pos="4876"/>
              </w:tabs>
            </w:pPr>
            <w:r>
              <w:rPr>
                <w:b/>
              </w:rPr>
              <w:t>Stock</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left" w:leader="dot" w:pos="4876"/>
              </w:tabs>
            </w:pPr>
            <w:r>
              <w:rPr>
                <w:spacing w:val="-1"/>
              </w:rPr>
              <w:t xml:space="preserve">For each kilolitre of water supplied for the purpose of watering stock on land that is not the subject of a charge under item 10 </w:t>
            </w:r>
            <w:r>
              <w:rPr>
                <w:spacing w:val="-1"/>
              </w:rPr>
              <w:tab/>
            </w:r>
          </w:p>
        </w:tc>
        <w:tc>
          <w:tcPr>
            <w:tcW w:w="1329" w:type="dxa"/>
            <w:vAlign w:val="bottom"/>
          </w:tcPr>
          <w:p>
            <w:pPr>
              <w:pStyle w:val="yTableNAm"/>
            </w:pPr>
            <w:r>
              <w:rPr>
                <w:spacing w:val="-1"/>
              </w:rPr>
              <w:t xml:space="preserve">171.3 </w:t>
            </w:r>
            <w:r>
              <w:t>cents</w:t>
            </w:r>
          </w:p>
        </w:tc>
      </w:tr>
      <w:tr>
        <w:trPr>
          <w:cantSplit/>
        </w:trPr>
        <w:tc>
          <w:tcPr>
            <w:tcW w:w="708" w:type="dxa"/>
          </w:tcPr>
          <w:p>
            <w:pPr>
              <w:pStyle w:val="yTableNAm"/>
            </w:pPr>
            <w:r>
              <w:rPr>
                <w:b/>
              </w:rPr>
              <w:lastRenderedPageBreak/>
              <w:t>33.</w:t>
            </w:r>
          </w:p>
        </w:tc>
        <w:tc>
          <w:tcPr>
            <w:tcW w:w="4326" w:type="dxa"/>
          </w:tcPr>
          <w:p>
            <w:pPr>
              <w:pStyle w:val="yTableNAm"/>
              <w:tabs>
                <w:tab w:val="left" w:leader="dot" w:pos="4876"/>
              </w:tabs>
            </w:pPr>
            <w:r>
              <w:rPr>
                <w:b/>
              </w:rPr>
              <w:t>Building</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left" w:leader="dot" w:pos="4876"/>
              </w:tabs>
            </w:pPr>
            <w:r>
              <w:t>For each kilolitre of water supplied to land that is neither a residential property, nor any other property held for residential purposes, through a water supply connection that is provided for building purposes —</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clear" w:pos="567"/>
                <w:tab w:val="left" w:pos="296"/>
                <w:tab w:val="left" w:pos="776"/>
                <w:tab w:val="left" w:leader="dot" w:pos="4876"/>
              </w:tabs>
              <w:ind w:left="776" w:hanging="776"/>
              <w:rPr>
                <w:snapToGrid w:val="0"/>
              </w:rPr>
            </w:pPr>
            <w:r>
              <w:rPr>
                <w:snapToGrid w:val="0"/>
              </w:rPr>
              <w:tab/>
              <w:t>(a)</w:t>
            </w:r>
            <w:r>
              <w:rPr>
                <w:snapToGrid w:val="0"/>
              </w:rPr>
              <w:tab/>
              <w:t>in the metropolitan area, the charge that would apply under item 24 if the water supplied through that connection were the only water supplied to the land;</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clear" w:pos="567"/>
                <w:tab w:val="left" w:pos="296"/>
                <w:tab w:val="left" w:pos="776"/>
                <w:tab w:val="left" w:leader="dot" w:pos="4876"/>
              </w:tabs>
              <w:ind w:left="776" w:hanging="776"/>
              <w:rPr>
                <w:snapToGrid w:val="0"/>
              </w:rPr>
            </w:pPr>
            <w:r>
              <w:rPr>
                <w:snapToGrid w:val="0"/>
              </w:rPr>
              <w:tab/>
              <w:t>(b)</w:t>
            </w:r>
            <w:r>
              <w:rPr>
                <w:snapToGrid w:val="0"/>
              </w:rPr>
              <w:tab/>
              <w:t>not in the metropolitan area, the charge that would apply under item 27(b) if the water supplied through that connection were the only water supplied to the land.</w:t>
            </w:r>
          </w:p>
        </w:tc>
        <w:tc>
          <w:tcPr>
            <w:tcW w:w="1329" w:type="dxa"/>
            <w:vAlign w:val="bottom"/>
          </w:tcPr>
          <w:p>
            <w:pPr>
              <w:pStyle w:val="yTableNAm"/>
            </w:pPr>
          </w:p>
        </w:tc>
      </w:tr>
      <w:tr>
        <w:trPr>
          <w:cantSplit/>
        </w:trPr>
        <w:tc>
          <w:tcPr>
            <w:tcW w:w="708" w:type="dxa"/>
          </w:tcPr>
          <w:p>
            <w:pPr>
              <w:pStyle w:val="yTableNAm"/>
            </w:pPr>
            <w:r>
              <w:rPr>
                <w:b/>
              </w:rPr>
              <w:t>34.</w:t>
            </w:r>
          </w:p>
        </w:tc>
        <w:tc>
          <w:tcPr>
            <w:tcW w:w="4326" w:type="dxa"/>
          </w:tcPr>
          <w:p>
            <w:pPr>
              <w:pStyle w:val="yTableNAm"/>
              <w:tabs>
                <w:tab w:val="left" w:leader="dot" w:pos="4876"/>
              </w:tabs>
            </w:pPr>
            <w:r>
              <w:rPr>
                <w:b/>
              </w:rPr>
              <w:t>Metropolitan hydrant standpipes</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left" w:leader="dot" w:pos="4876"/>
              </w:tabs>
            </w:pPr>
            <w:r>
              <w:rPr>
                <w:spacing w:val="-1"/>
              </w:rPr>
              <w:t xml:space="preserve">For each kilolitre of water supplied through a hydrant standpipe in the metropolitan area </w:t>
            </w:r>
            <w:r>
              <w:rPr>
                <w:spacing w:val="-1"/>
              </w:rPr>
              <w:tab/>
            </w:r>
          </w:p>
        </w:tc>
        <w:tc>
          <w:tcPr>
            <w:tcW w:w="1329" w:type="dxa"/>
            <w:vAlign w:val="bottom"/>
          </w:tcPr>
          <w:p>
            <w:pPr>
              <w:pStyle w:val="yTableNAm"/>
            </w:pPr>
            <w:r>
              <w:rPr>
                <w:spacing w:val="-1"/>
              </w:rPr>
              <w:t>204.1 cents</w:t>
            </w:r>
          </w:p>
        </w:tc>
      </w:tr>
    </w:tbl>
    <w:p>
      <w:pPr>
        <w:pStyle w:val="yFootnotesection"/>
      </w:pPr>
      <w:r>
        <w:tab/>
        <w:t>[Division 2 inserted in Gazette 20 Jun 2012 p. 2708</w:t>
      </w:r>
      <w:r>
        <w:noBreakHyphen/>
        <w:t>19.]</w:t>
      </w:r>
    </w:p>
    <w:p>
      <w:pPr>
        <w:pStyle w:val="yHeading3"/>
      </w:pPr>
      <w:bookmarkStart w:id="63" w:name="_Toc84427986"/>
      <w:r>
        <w:rPr>
          <w:rStyle w:val="CharSDivNo"/>
        </w:rPr>
        <w:t>Division 3</w:t>
      </w:r>
      <w:r>
        <w:rPr>
          <w:b w:val="0"/>
        </w:rPr>
        <w:t> — </w:t>
      </w:r>
      <w:r>
        <w:rPr>
          <w:rStyle w:val="CharSDivText"/>
        </w:rPr>
        <w:t>Formula for the purposes of by</w:t>
      </w:r>
      <w:r>
        <w:rPr>
          <w:rStyle w:val="CharSDivText"/>
        </w:rPr>
        <w:noBreakHyphen/>
        <w:t>law 17(3)</w:t>
      </w:r>
      <w:bookmarkEnd w:id="63"/>
    </w:p>
    <w:p>
      <w:pPr>
        <w:pStyle w:val="yFootnoteheading"/>
        <w:keepNext/>
        <w:spacing w:after="60"/>
      </w:pPr>
      <w:r>
        <w:tab/>
        <w:t>[Heading inserted in Gazette 20 Jun 2012 p. 2720.]</w:t>
      </w:r>
    </w:p>
    <w:p>
      <w:pPr>
        <w:pStyle w:val="yHeading5"/>
      </w:pPr>
      <w:bookmarkStart w:id="64" w:name="_Toc84427987"/>
      <w:r>
        <w:t>35.</w:t>
      </w:r>
      <w:r>
        <w:rPr>
          <w:b w:val="0"/>
        </w:rPr>
        <w:tab/>
      </w:r>
      <w:r>
        <w:t>Formula for the purposes of by</w:t>
      </w:r>
      <w:r>
        <w:noBreakHyphen/>
        <w:t>law 17(3)</w:t>
      </w:r>
      <w:bookmarkEnd w:id="64"/>
    </w:p>
    <w:p>
      <w:pPr>
        <w:pStyle w:val="ySubsection"/>
      </w:pPr>
      <w:r>
        <w:tab/>
      </w:r>
      <w:r>
        <w:tab/>
        <w:t>The formula for the purposes of by</w:t>
      </w:r>
      <w:r>
        <w:noBreakHyphen/>
        <w:t xml:space="preserve">law 17(3) is as follows — </w:t>
      </w:r>
    </w:p>
    <w:p>
      <w:pPr>
        <w:pStyle w:val="Equation"/>
        <w:spacing w:before="120"/>
        <w:jc w:val="center"/>
      </w:pPr>
      <w:r>
        <w:rPr>
          <w:position w:val="-10"/>
        </w:rPr>
        <w:drawing>
          <wp:inline distT="0" distB="0" distL="0" distR="0">
            <wp:extent cx="409575" cy="198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pPr>
      <w:r>
        <w:rPr>
          <w:position w:val="-10"/>
        </w:rPr>
        <w:lastRenderedPageBreak/>
        <w:drawing>
          <wp:inline distT="0" distB="0" distL="0" distR="0">
            <wp:extent cx="409575" cy="1981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r>
        <w:tab/>
        <w:t>[Division 3 inserted in Gazette 20 Jun 2012 p. 2720.]</w:t>
      </w:r>
    </w:p>
    <w:p>
      <w:pPr>
        <w:pStyle w:val="yHeading3"/>
      </w:pPr>
      <w:bookmarkStart w:id="65" w:name="_Toc84427988"/>
      <w:r>
        <w:rPr>
          <w:rStyle w:val="CharSDivNo"/>
        </w:rPr>
        <w:t>Division 4</w:t>
      </w:r>
      <w:r>
        <w:rPr>
          <w:b w:val="0"/>
        </w:rPr>
        <w:t> — </w:t>
      </w:r>
      <w:r>
        <w:rPr>
          <w:rStyle w:val="CharSDivText"/>
        </w:rPr>
        <w:t>Capital infrastructure charges determined under by</w:t>
      </w:r>
      <w:r>
        <w:rPr>
          <w:rStyle w:val="CharSDivText"/>
        </w:rPr>
        <w:noBreakHyphen/>
        <w:t>law 19A</w:t>
      </w:r>
      <w:bookmarkEnd w:id="65"/>
    </w:p>
    <w:p>
      <w:pPr>
        <w:pStyle w:val="yFootnoteheading"/>
        <w:keepNext/>
        <w:spacing w:after="60"/>
      </w:pPr>
      <w:r>
        <w:tab/>
        <w:t>[Heading inserted in Gazette 20 Jun 2012 p. 2720.]</w:t>
      </w:r>
    </w:p>
    <w:p>
      <w:pPr>
        <w:pStyle w:val="yHeading5"/>
      </w:pPr>
      <w:bookmarkStart w:id="66" w:name="_Toc84427989"/>
      <w:r>
        <w:t>36.</w:t>
      </w:r>
      <w:r>
        <w:rPr>
          <w:b w:val="0"/>
        </w:rPr>
        <w:tab/>
      </w:r>
      <w:r>
        <w:t>Capital infrastructure charges determined under by</w:t>
      </w:r>
      <w:r>
        <w:noBreakHyphen/>
        <w:t>law 19A</w:t>
      </w:r>
      <w:bookmarkEnd w:id="66"/>
    </w:p>
    <w:p>
      <w:pPr>
        <w:pStyle w:val="ySubsection"/>
        <w:keepNext/>
      </w:pPr>
      <w:r>
        <w:tab/>
      </w:r>
      <w:r>
        <w:tab/>
        <w:t>The capital infrastructure charges determined under by</w:t>
      </w:r>
      <w:r>
        <w:noBreakHyphen/>
        <w:t xml:space="preserve">law 19A are as follows — </w:t>
      </w:r>
    </w:p>
    <w:p>
      <w:pPr>
        <w:pStyle w:val="yMiscellaneousBody"/>
        <w:keepNext/>
      </w:pPr>
    </w:p>
    <w:tbl>
      <w:tblPr>
        <w:tblW w:w="6626" w:type="dxa"/>
        <w:tblInd w:w="198" w:type="dxa"/>
        <w:tblLayout w:type="fixed"/>
        <w:tblCellMar>
          <w:left w:w="56" w:type="dxa"/>
          <w:right w:w="56" w:type="dxa"/>
        </w:tblCellMar>
        <w:tblLook w:val="0000" w:firstRow="0" w:lastRow="0" w:firstColumn="0" w:lastColumn="0" w:noHBand="0" w:noVBand="0"/>
      </w:tblPr>
      <w:tblGrid>
        <w:gridCol w:w="1559"/>
        <w:gridCol w:w="1701"/>
        <w:gridCol w:w="1701"/>
        <w:gridCol w:w="1665"/>
      </w:tblGrid>
      <w:tr>
        <w:trPr>
          <w:tblHeader/>
        </w:trPr>
        <w:tc>
          <w:tcPr>
            <w:tcW w:w="1559" w:type="dxa"/>
            <w:tcBorders>
              <w:top w:val="single" w:sz="4" w:space="0" w:color="auto"/>
            </w:tcBorders>
          </w:tcPr>
          <w:p>
            <w:pPr>
              <w:pStyle w:val="yTableNAm"/>
              <w:keepNext/>
              <w:jc w:val="center"/>
            </w:pPr>
            <w:r>
              <w:rPr>
                <w:b/>
                <w:bCs/>
              </w:rPr>
              <w:br w:type="page"/>
              <w:t>Column 1</w:t>
            </w:r>
          </w:p>
        </w:tc>
        <w:tc>
          <w:tcPr>
            <w:tcW w:w="1701" w:type="dxa"/>
            <w:tcBorders>
              <w:top w:val="single" w:sz="4" w:space="0" w:color="auto"/>
            </w:tcBorders>
          </w:tcPr>
          <w:p>
            <w:pPr>
              <w:pStyle w:val="yTableNAm"/>
              <w:keepNext/>
              <w:jc w:val="center"/>
            </w:pPr>
            <w:r>
              <w:rPr>
                <w:b/>
                <w:bCs/>
              </w:rPr>
              <w:t>Column 2</w:t>
            </w:r>
          </w:p>
        </w:tc>
        <w:tc>
          <w:tcPr>
            <w:tcW w:w="1701" w:type="dxa"/>
            <w:tcBorders>
              <w:top w:val="single" w:sz="4" w:space="0" w:color="auto"/>
            </w:tcBorders>
          </w:tcPr>
          <w:p>
            <w:pPr>
              <w:pStyle w:val="yTableNAm"/>
              <w:keepNext/>
              <w:jc w:val="center"/>
            </w:pPr>
            <w:r>
              <w:rPr>
                <w:b/>
                <w:bCs/>
              </w:rPr>
              <w:t>Column 3</w:t>
            </w:r>
          </w:p>
        </w:tc>
        <w:tc>
          <w:tcPr>
            <w:tcW w:w="1665" w:type="dxa"/>
            <w:tcBorders>
              <w:top w:val="single" w:sz="4" w:space="0" w:color="auto"/>
            </w:tcBorders>
          </w:tcPr>
          <w:p>
            <w:pPr>
              <w:pStyle w:val="yTableNAm"/>
              <w:keepNext/>
              <w:jc w:val="center"/>
            </w:pPr>
            <w:r>
              <w:rPr>
                <w:b/>
                <w:bCs/>
              </w:rPr>
              <w:t>Column 4</w:t>
            </w:r>
          </w:p>
        </w:tc>
      </w:tr>
      <w:tr>
        <w:trPr>
          <w:tblHeader/>
        </w:trPr>
        <w:tc>
          <w:tcPr>
            <w:tcW w:w="1559" w:type="dxa"/>
            <w:tcBorders>
              <w:bottom w:val="single" w:sz="4" w:space="0" w:color="auto"/>
            </w:tcBorders>
          </w:tcPr>
          <w:p>
            <w:pPr>
              <w:pStyle w:val="yTableNAm"/>
              <w:keepNext/>
              <w:jc w:val="center"/>
            </w:pPr>
            <w:r>
              <w:rPr>
                <w:b/>
                <w:bCs/>
                <w:i/>
              </w:rPr>
              <w:t>Area</w:t>
            </w:r>
          </w:p>
        </w:tc>
        <w:tc>
          <w:tcPr>
            <w:tcW w:w="1701" w:type="dxa"/>
            <w:tcBorders>
              <w:bottom w:val="single" w:sz="4" w:space="0" w:color="auto"/>
            </w:tcBorders>
          </w:tcPr>
          <w:p>
            <w:pPr>
              <w:pStyle w:val="yTableNAm"/>
              <w:keepNext/>
              <w:jc w:val="center"/>
            </w:pPr>
            <w:r>
              <w:rPr>
                <w:b/>
                <w:bCs/>
                <w:i/>
              </w:rPr>
              <w:t>Single Charge</w:t>
            </w:r>
          </w:p>
        </w:tc>
        <w:tc>
          <w:tcPr>
            <w:tcW w:w="1701" w:type="dxa"/>
            <w:tcBorders>
              <w:bottom w:val="single" w:sz="4" w:space="0" w:color="auto"/>
            </w:tcBorders>
          </w:tcPr>
          <w:p>
            <w:pPr>
              <w:pStyle w:val="yTableNAm"/>
              <w:keepNext/>
              <w:jc w:val="center"/>
            </w:pPr>
            <w:r>
              <w:rPr>
                <w:b/>
                <w:bCs/>
                <w:i/>
              </w:rPr>
              <w:t>Annual Charge</w:t>
            </w:r>
          </w:p>
        </w:tc>
        <w:tc>
          <w:tcPr>
            <w:tcW w:w="1665" w:type="dxa"/>
            <w:tcBorders>
              <w:bottom w:val="single" w:sz="4" w:space="0" w:color="auto"/>
            </w:tcBorders>
          </w:tcPr>
          <w:p>
            <w:pPr>
              <w:pStyle w:val="yTableNAm"/>
              <w:keepNext/>
              <w:jc w:val="center"/>
            </w:pPr>
            <w:r>
              <w:rPr>
                <w:b/>
                <w:bCs/>
                <w:i/>
              </w:rPr>
              <w:t>No. of years</w:t>
            </w:r>
          </w:p>
        </w:tc>
      </w:tr>
      <w:tr>
        <w:tc>
          <w:tcPr>
            <w:tcW w:w="1559" w:type="dxa"/>
            <w:tcBorders>
              <w:bottom w:val="single" w:sz="4" w:space="0" w:color="auto"/>
            </w:tcBorders>
          </w:tcPr>
          <w:p>
            <w:pPr>
              <w:pStyle w:val="yTableNAm"/>
              <w:jc w:val="center"/>
            </w:pPr>
            <w:r>
              <w:t>Nilgen</w:t>
            </w:r>
          </w:p>
        </w:tc>
        <w:tc>
          <w:tcPr>
            <w:tcW w:w="1701" w:type="dxa"/>
            <w:tcBorders>
              <w:bottom w:val="single" w:sz="4" w:space="0" w:color="auto"/>
            </w:tcBorders>
          </w:tcPr>
          <w:p>
            <w:pPr>
              <w:pStyle w:val="yTableNAm"/>
              <w:jc w:val="center"/>
            </w:pPr>
            <w:r>
              <w:t>$3 120.00</w:t>
            </w:r>
          </w:p>
        </w:tc>
        <w:tc>
          <w:tcPr>
            <w:tcW w:w="1701" w:type="dxa"/>
            <w:tcBorders>
              <w:bottom w:val="single" w:sz="4" w:space="0" w:color="auto"/>
            </w:tcBorders>
          </w:tcPr>
          <w:p>
            <w:pPr>
              <w:pStyle w:val="yTableNAm"/>
              <w:jc w:val="center"/>
            </w:pPr>
            <w:r>
              <w:t>$463.80</w:t>
            </w:r>
          </w:p>
        </w:tc>
        <w:tc>
          <w:tcPr>
            <w:tcW w:w="1665" w:type="dxa"/>
            <w:tcBorders>
              <w:bottom w:val="single" w:sz="4" w:space="0" w:color="auto"/>
            </w:tcBorders>
          </w:tcPr>
          <w:p>
            <w:pPr>
              <w:pStyle w:val="yTableNAm"/>
              <w:jc w:val="center"/>
            </w:pPr>
            <w:r>
              <w:t>10</w:t>
            </w:r>
          </w:p>
        </w:tc>
      </w:tr>
    </w:tbl>
    <w:p>
      <w:pPr>
        <w:pStyle w:val="yFootnotesection"/>
      </w:pPr>
      <w:r>
        <w:tab/>
        <w:t>[Division 4 inserted in Gazette 20 Jun 2012 p. 2720.]</w:t>
      </w:r>
    </w:p>
    <w:p>
      <w:pPr>
        <w:pStyle w:val="yScheduleHeading"/>
      </w:pPr>
      <w:bookmarkStart w:id="67" w:name="_Toc84427990"/>
      <w:r>
        <w:rPr>
          <w:rStyle w:val="CharSchNo"/>
        </w:rPr>
        <w:lastRenderedPageBreak/>
        <w:t>Schedule 2</w:t>
      </w:r>
      <w:r>
        <w:t> — </w:t>
      </w:r>
      <w:r>
        <w:rPr>
          <w:rStyle w:val="CharSchText"/>
        </w:rPr>
        <w:t xml:space="preserve">Charges for water supply under the </w:t>
      </w:r>
      <w:r>
        <w:rPr>
          <w:rStyle w:val="CharSchText"/>
          <w:i/>
        </w:rPr>
        <w:t>Rights in Water and Irrigation Act 1914</w:t>
      </w:r>
      <w:r>
        <w:rPr>
          <w:rStyle w:val="CharSchText"/>
        </w:rPr>
        <w:t xml:space="preserve"> for 2012/2013</w:t>
      </w:r>
      <w:bookmarkEnd w:id="67"/>
    </w:p>
    <w:p>
      <w:pPr>
        <w:pStyle w:val="yShoulderClause"/>
      </w:pPr>
      <w:r>
        <w:t>[bl. 20]</w:t>
      </w:r>
    </w:p>
    <w:p>
      <w:pPr>
        <w:pStyle w:val="yFootnoteheading"/>
        <w:spacing w:after="60"/>
      </w:pPr>
      <w:r>
        <w:tab/>
        <w:t>[Heading inserted in Gazette 20 Jun 2012 p. 2721.]</w:t>
      </w:r>
    </w:p>
    <w:p>
      <w:pPr>
        <w:pStyle w:val="yHeading3"/>
      </w:pPr>
      <w:bookmarkStart w:id="68" w:name="_Toc84427991"/>
      <w:r>
        <w:rPr>
          <w:rStyle w:val="CharSDivNo"/>
        </w:rPr>
        <w:t>Division 1</w:t>
      </w:r>
      <w:r>
        <w:t> — </w:t>
      </w:r>
      <w:r>
        <w:rPr>
          <w:rStyle w:val="CharSDivText"/>
        </w:rPr>
        <w:t>Fixed charges</w:t>
      </w:r>
      <w:bookmarkEnd w:id="68"/>
    </w:p>
    <w:p>
      <w:pPr>
        <w:pStyle w:val="yFootnoteheading"/>
        <w:spacing w:after="60"/>
      </w:pPr>
      <w:r>
        <w:tab/>
        <w:t>[Heading inserted in Gazette 20 Jun 2012 p. 2721.]</w:t>
      </w:r>
    </w:p>
    <w:tbl>
      <w:tblPr>
        <w:tblW w:w="0" w:type="auto"/>
        <w:tblInd w:w="534" w:type="dxa"/>
        <w:tblLook w:val="0000" w:firstRow="0" w:lastRow="0" w:firstColumn="0" w:lastColumn="0" w:noHBand="0" w:noVBand="0"/>
      </w:tblPr>
      <w:tblGrid>
        <w:gridCol w:w="850"/>
        <w:gridCol w:w="4235"/>
        <w:gridCol w:w="1457"/>
      </w:tblGrid>
      <w:tr>
        <w:trPr>
          <w:cantSplit/>
        </w:trPr>
        <w:tc>
          <w:tcPr>
            <w:tcW w:w="850" w:type="dxa"/>
          </w:tcPr>
          <w:p>
            <w:pPr>
              <w:pStyle w:val="yTableNAm"/>
              <w:rPr>
                <w:b/>
                <w:bCs/>
              </w:rPr>
            </w:pPr>
            <w:r>
              <w:rPr>
                <w:b/>
                <w:bCs/>
              </w:rPr>
              <w:t>1.</w:t>
            </w:r>
          </w:p>
        </w:tc>
        <w:tc>
          <w:tcPr>
            <w:tcW w:w="5692" w:type="dxa"/>
            <w:gridSpan w:val="2"/>
          </w:tcPr>
          <w:p>
            <w:pPr>
              <w:pStyle w:val="yTableNAm"/>
              <w:tabs>
                <w:tab w:val="right" w:leader="dot" w:pos="4253"/>
              </w:tabs>
              <w:rPr>
                <w:b/>
                <w:bCs/>
              </w:rPr>
            </w:pPr>
            <w:r>
              <w:rPr>
                <w:b/>
                <w:bCs/>
              </w:rPr>
              <w:t xml:space="preserve">Supply under the </w:t>
            </w:r>
            <w:r>
              <w:rPr>
                <w:b/>
                <w:bCs/>
                <w:i/>
              </w:rPr>
              <w:t>Ord Irrigation District By</w:t>
            </w:r>
            <w:r>
              <w:rPr>
                <w:b/>
                <w:bCs/>
                <w:i/>
              </w:rPr>
              <w:noBreakHyphen/>
              <w:t xml:space="preserve">laws 1963 </w:t>
            </w:r>
            <w:r>
              <w:rPr>
                <w:b/>
                <w:bCs/>
              </w:rPr>
              <w:t>by</w:t>
            </w:r>
            <w:r>
              <w:rPr>
                <w:b/>
                <w:bCs/>
              </w:rPr>
              <w:noBreakHyphen/>
              <w:t>law 31A</w:t>
            </w:r>
            <w:r>
              <w:rPr>
                <w:b/>
                <w:bCs/>
                <w:iCs/>
              </w:rPr>
              <w:t xml:space="preserve"> other</w:t>
            </w:r>
            <w:r>
              <w:rPr>
                <w:b/>
                <w:bCs/>
              </w:rPr>
              <w:t xml:space="preserve"> than under Division 2</w:t>
            </w:r>
          </w:p>
        </w:tc>
      </w:tr>
      <w:tr>
        <w:trPr>
          <w:cantSplit/>
        </w:trPr>
        <w:tc>
          <w:tcPr>
            <w:tcW w:w="850" w:type="dxa"/>
          </w:tcPr>
          <w:p>
            <w:pPr>
              <w:pStyle w:val="yTableNAm"/>
            </w:pPr>
          </w:p>
        </w:tc>
        <w:tc>
          <w:tcPr>
            <w:tcW w:w="4235" w:type="dxa"/>
          </w:tcPr>
          <w:p>
            <w:pPr>
              <w:pStyle w:val="yTableNAm"/>
              <w:tabs>
                <w:tab w:val="right" w:leader="dot" w:pos="4253"/>
              </w:tabs>
            </w:pPr>
            <w:r>
              <w:t xml:space="preserve">In respect of land to which water is supplied under the </w:t>
            </w:r>
            <w:r>
              <w:rPr>
                <w:i/>
              </w:rPr>
              <w:t>Ord Irrigation District By</w:t>
            </w:r>
            <w:r>
              <w:rPr>
                <w:i/>
              </w:rPr>
              <w:noBreakHyphen/>
              <w:t>laws 1963</w:t>
            </w:r>
            <w:r>
              <w:t xml:space="preserve"> by</w:t>
            </w:r>
            <w:r>
              <w:noBreakHyphen/>
              <w:t>law 31A, for purposes other than those mentioned in Division 2, an amount per supply point of —</w:t>
            </w:r>
          </w:p>
        </w:tc>
        <w:tc>
          <w:tcPr>
            <w:tcW w:w="1457" w:type="dxa"/>
            <w:vAlign w:val="bottom"/>
          </w:tcPr>
          <w:p>
            <w:pPr>
              <w:pStyle w:val="yTableNAm"/>
              <w:tabs>
                <w:tab w:val="clear" w:pos="567"/>
                <w:tab w:val="left" w:pos="335"/>
                <w:tab w:val="right" w:leader="dot" w:pos="4253"/>
              </w:tabs>
            </w:pPr>
          </w:p>
        </w:tc>
      </w:tr>
      <w:tr>
        <w:trPr>
          <w:cantSplit/>
        </w:trPr>
        <w:tc>
          <w:tcPr>
            <w:tcW w:w="850" w:type="dxa"/>
          </w:tcPr>
          <w:p>
            <w:pPr>
              <w:pStyle w:val="yTableNAm"/>
            </w:pPr>
          </w:p>
        </w:tc>
        <w:tc>
          <w:tcPr>
            <w:tcW w:w="4235" w:type="dxa"/>
          </w:tcPr>
          <w:p>
            <w:pPr>
              <w:pStyle w:val="yTableNAm"/>
              <w:tabs>
                <w:tab w:val="clear" w:pos="567"/>
                <w:tab w:val="left" w:pos="351"/>
                <w:tab w:val="left" w:pos="918"/>
                <w:tab w:val="right" w:leader="dot" w:pos="4253"/>
              </w:tabs>
              <w:ind w:left="918" w:hanging="918"/>
            </w:pPr>
            <w:r>
              <w:tab/>
              <w:t>(a)</w:t>
            </w:r>
            <w:r>
              <w:tab/>
              <w:t xml:space="preserve">where the supply is assured </w:t>
            </w:r>
            <w:r>
              <w:tab/>
            </w:r>
          </w:p>
        </w:tc>
        <w:tc>
          <w:tcPr>
            <w:tcW w:w="1457" w:type="dxa"/>
            <w:vAlign w:val="bottom"/>
          </w:tcPr>
          <w:p>
            <w:pPr>
              <w:pStyle w:val="yTableNAm"/>
              <w:tabs>
                <w:tab w:val="clear" w:pos="567"/>
                <w:tab w:val="left" w:pos="335"/>
                <w:tab w:val="right" w:leader="dot" w:pos="4253"/>
              </w:tabs>
            </w:pPr>
            <w:r>
              <w:t>$242.50</w:t>
            </w:r>
          </w:p>
        </w:tc>
      </w:tr>
      <w:tr>
        <w:trPr>
          <w:cantSplit/>
        </w:trPr>
        <w:tc>
          <w:tcPr>
            <w:tcW w:w="850" w:type="dxa"/>
          </w:tcPr>
          <w:p>
            <w:pPr>
              <w:pStyle w:val="yTableNAm"/>
            </w:pPr>
          </w:p>
        </w:tc>
        <w:tc>
          <w:tcPr>
            <w:tcW w:w="4235" w:type="dxa"/>
          </w:tcPr>
          <w:p>
            <w:pPr>
              <w:pStyle w:val="yTableNAm"/>
              <w:tabs>
                <w:tab w:val="clear" w:pos="567"/>
                <w:tab w:val="left" w:pos="351"/>
                <w:tab w:val="left" w:pos="918"/>
                <w:tab w:val="right" w:leader="dot" w:pos="4253"/>
              </w:tabs>
              <w:ind w:left="918" w:hanging="918"/>
            </w:pPr>
            <w:r>
              <w:tab/>
              <w:t>(b)</w:t>
            </w:r>
            <w:r>
              <w:tab/>
              <w:t xml:space="preserve">where the supply is not assured </w:t>
            </w:r>
            <w:r>
              <w:tab/>
            </w:r>
          </w:p>
        </w:tc>
        <w:tc>
          <w:tcPr>
            <w:tcW w:w="1457" w:type="dxa"/>
            <w:vAlign w:val="bottom"/>
          </w:tcPr>
          <w:p>
            <w:pPr>
              <w:pStyle w:val="yTableNAm"/>
              <w:tabs>
                <w:tab w:val="clear" w:pos="567"/>
                <w:tab w:val="left" w:pos="335"/>
                <w:tab w:val="right" w:leader="dot" w:pos="4253"/>
              </w:tabs>
            </w:pPr>
            <w:r>
              <w:t>$177.50</w:t>
            </w:r>
          </w:p>
        </w:tc>
      </w:tr>
    </w:tbl>
    <w:p>
      <w:pPr>
        <w:pStyle w:val="yFootnotesection"/>
      </w:pPr>
      <w:r>
        <w:tab/>
        <w:t>[Division 1 inserted in Gazette 20 Jun 2012 p. 2721.]</w:t>
      </w:r>
    </w:p>
    <w:p>
      <w:pPr>
        <w:pStyle w:val="yHeading3"/>
      </w:pPr>
      <w:bookmarkStart w:id="69" w:name="_Toc84427992"/>
      <w:r>
        <w:rPr>
          <w:rStyle w:val="CharSDivNo"/>
        </w:rPr>
        <w:t>Division 2</w:t>
      </w:r>
      <w:r>
        <w:t> — </w:t>
      </w:r>
      <w:r>
        <w:rPr>
          <w:rStyle w:val="CharSDivText"/>
        </w:rPr>
        <w:t>Variable charges and charges by way of a rate</w:t>
      </w:r>
      <w:bookmarkEnd w:id="69"/>
    </w:p>
    <w:p>
      <w:pPr>
        <w:pStyle w:val="yFootnoteheading"/>
        <w:spacing w:after="60"/>
      </w:pPr>
      <w:r>
        <w:tab/>
        <w:t>[Heading inserted in Gazette 20 Jun 2012 p. 2721.]</w:t>
      </w:r>
    </w:p>
    <w:tbl>
      <w:tblPr>
        <w:tblW w:w="6520" w:type="dxa"/>
        <w:tblInd w:w="534" w:type="dxa"/>
        <w:tblLook w:val="0000" w:firstRow="0" w:lastRow="0" w:firstColumn="0" w:lastColumn="0" w:noHBand="0" w:noVBand="0"/>
      </w:tblPr>
      <w:tblGrid>
        <w:gridCol w:w="850"/>
        <w:gridCol w:w="4243"/>
        <w:gridCol w:w="1427"/>
      </w:tblGrid>
      <w:tr>
        <w:trPr>
          <w:cantSplit/>
        </w:trPr>
        <w:tc>
          <w:tcPr>
            <w:tcW w:w="850" w:type="dxa"/>
          </w:tcPr>
          <w:p>
            <w:pPr>
              <w:pStyle w:val="yTableNAm"/>
              <w:rPr>
                <w:b/>
              </w:rPr>
            </w:pPr>
            <w:r>
              <w:rPr>
                <w:b/>
              </w:rPr>
              <w:t>2.</w:t>
            </w:r>
          </w:p>
        </w:tc>
        <w:tc>
          <w:tcPr>
            <w:tcW w:w="5670" w:type="dxa"/>
            <w:gridSpan w:val="2"/>
          </w:tcPr>
          <w:p>
            <w:pPr>
              <w:pStyle w:val="yTableNAm"/>
              <w:keepNext/>
              <w:keepLines/>
              <w:rPr>
                <w:b/>
                <w:bCs/>
              </w:rPr>
            </w:pPr>
            <w:r>
              <w:rPr>
                <w:b/>
                <w:bCs/>
              </w:rPr>
              <w:t xml:space="preserve">Supply under the </w:t>
            </w:r>
            <w:r>
              <w:rPr>
                <w:b/>
                <w:bCs/>
                <w:i/>
              </w:rPr>
              <w:t>Ord Irrigation District By</w:t>
            </w:r>
            <w:r>
              <w:rPr>
                <w:b/>
                <w:bCs/>
                <w:i/>
              </w:rPr>
              <w:noBreakHyphen/>
              <w:t>laws 1963</w:t>
            </w:r>
            <w:r>
              <w:rPr>
                <w:b/>
                <w:bCs/>
                <w:iCs/>
              </w:rPr>
              <w:t xml:space="preserve"> </w:t>
            </w:r>
            <w:r>
              <w:rPr>
                <w:b/>
                <w:bCs/>
              </w:rPr>
              <w:t>by</w:t>
            </w:r>
            <w:r>
              <w:rPr>
                <w:b/>
                <w:bCs/>
              </w:rPr>
              <w:noBreakHyphen/>
              <w:t>law 31A</w:t>
            </w:r>
          </w:p>
        </w:tc>
      </w:tr>
      <w:tr>
        <w:trPr>
          <w:cantSplit/>
        </w:trPr>
        <w:tc>
          <w:tcPr>
            <w:tcW w:w="850" w:type="dxa"/>
          </w:tcPr>
          <w:p>
            <w:pPr>
              <w:pStyle w:val="yTableNAm"/>
              <w:keepNext/>
              <w:keepLines/>
            </w:pPr>
          </w:p>
        </w:tc>
        <w:tc>
          <w:tcPr>
            <w:tcW w:w="4243" w:type="dxa"/>
          </w:tcPr>
          <w:p>
            <w:pPr>
              <w:pStyle w:val="yTableNAm"/>
              <w:keepNext/>
              <w:keepLines/>
            </w:pPr>
            <w:r>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water or dust prevention in feed lots —</w:t>
            </w:r>
          </w:p>
        </w:tc>
        <w:tc>
          <w:tcPr>
            <w:tcW w:w="1427" w:type="dxa"/>
            <w:vAlign w:val="bottom"/>
          </w:tcPr>
          <w:p>
            <w:pPr>
              <w:pStyle w:val="yTableNAm"/>
              <w:keepNext/>
              <w:keepLines/>
              <w:tabs>
                <w:tab w:val="clear" w:pos="567"/>
                <w:tab w:val="left" w:pos="327"/>
              </w:tabs>
            </w:pPr>
          </w:p>
        </w:tc>
      </w:tr>
      <w:tr>
        <w:trPr>
          <w:cantSplit/>
        </w:trPr>
        <w:tc>
          <w:tcPr>
            <w:tcW w:w="850" w:type="dxa"/>
          </w:tcPr>
          <w:p>
            <w:pPr>
              <w:pStyle w:val="yTableNAm"/>
            </w:pPr>
          </w:p>
        </w:tc>
        <w:tc>
          <w:tcPr>
            <w:tcW w:w="4243" w:type="dxa"/>
          </w:tcPr>
          <w:p>
            <w:pPr>
              <w:pStyle w:val="yTableNAm"/>
              <w:tabs>
                <w:tab w:val="clear" w:pos="567"/>
                <w:tab w:val="left" w:pos="351"/>
                <w:tab w:val="left" w:pos="918"/>
                <w:tab w:val="right" w:leader="dot" w:pos="4253"/>
              </w:tabs>
              <w:ind w:left="918" w:hanging="918"/>
            </w:pPr>
            <w:r>
              <w:tab/>
              <w:t>(a)</w:t>
            </w:r>
            <w:r>
              <w:tab/>
              <w:t xml:space="preserve">where the maximum area used as a feed lot during the year is not more than 4 hectares </w:t>
            </w:r>
            <w:r>
              <w:tab/>
            </w:r>
          </w:p>
        </w:tc>
        <w:tc>
          <w:tcPr>
            <w:tcW w:w="1427" w:type="dxa"/>
            <w:vAlign w:val="bottom"/>
          </w:tcPr>
          <w:p>
            <w:pPr>
              <w:pStyle w:val="yTableNAm"/>
              <w:tabs>
                <w:tab w:val="clear" w:pos="567"/>
                <w:tab w:val="left" w:pos="327"/>
              </w:tabs>
            </w:pPr>
            <w:r>
              <w:t>$651.00</w:t>
            </w:r>
          </w:p>
        </w:tc>
      </w:tr>
      <w:tr>
        <w:trPr>
          <w:cantSplit/>
        </w:trPr>
        <w:tc>
          <w:tcPr>
            <w:tcW w:w="850" w:type="dxa"/>
          </w:tcPr>
          <w:p>
            <w:pPr>
              <w:pStyle w:val="yTableNAm"/>
              <w:keepNext/>
              <w:keepLines/>
            </w:pPr>
          </w:p>
        </w:tc>
        <w:tc>
          <w:tcPr>
            <w:tcW w:w="4243" w:type="dxa"/>
          </w:tcPr>
          <w:p>
            <w:pPr>
              <w:pStyle w:val="yTableNAm"/>
              <w:tabs>
                <w:tab w:val="clear" w:pos="567"/>
                <w:tab w:val="left" w:pos="351"/>
                <w:tab w:val="left" w:pos="918"/>
                <w:tab w:val="right" w:leader="dot" w:pos="4253"/>
              </w:tabs>
              <w:ind w:left="918" w:hanging="918"/>
            </w:pPr>
            <w:r>
              <w:tab/>
              <w:t>(b)</w:t>
            </w:r>
            <w:r>
              <w:tab/>
              <w:t xml:space="preserve">where the maximum area used as a feed lot during the year is more than 4 hectares, the amount specified in paragraph (a) and, for each hectare (or part thereof) in excess of 4 hectares that is so used, a further amount of </w:t>
            </w:r>
            <w:r>
              <w:tab/>
            </w:r>
          </w:p>
        </w:tc>
        <w:tc>
          <w:tcPr>
            <w:tcW w:w="1427" w:type="dxa"/>
            <w:vAlign w:val="bottom"/>
          </w:tcPr>
          <w:p>
            <w:pPr>
              <w:pStyle w:val="yTableNAm"/>
              <w:keepNext/>
              <w:keepLines/>
              <w:tabs>
                <w:tab w:val="clear" w:pos="567"/>
                <w:tab w:val="left" w:pos="327"/>
              </w:tabs>
            </w:pPr>
            <w:r>
              <w:t>$129.00</w:t>
            </w:r>
          </w:p>
        </w:tc>
      </w:tr>
    </w:tbl>
    <w:p>
      <w:pPr>
        <w:pStyle w:val="yFootnotesection"/>
      </w:pPr>
      <w:r>
        <w:tab/>
        <w:t>[Division 2 inserted in Gazette 20 Jun 2012 p. 2721</w:t>
      </w:r>
      <w:r>
        <w:noBreakHyphen/>
        <w:t>2.]</w:t>
      </w:r>
    </w:p>
    <w:p>
      <w:pPr>
        <w:pStyle w:val="yScheduleHeading"/>
      </w:pPr>
      <w:bookmarkStart w:id="70" w:name="_Toc84427993"/>
      <w:r>
        <w:rPr>
          <w:rStyle w:val="CharSchNo"/>
        </w:rPr>
        <w:lastRenderedPageBreak/>
        <w:t>Schedule 3</w:t>
      </w:r>
      <w:r>
        <w:t> — </w:t>
      </w:r>
      <w:r>
        <w:rPr>
          <w:rStyle w:val="CharSchText"/>
        </w:rPr>
        <w:t>Charges for sewerage for 2012/2013</w:t>
      </w:r>
      <w:bookmarkEnd w:id="70"/>
    </w:p>
    <w:p>
      <w:pPr>
        <w:pStyle w:val="yShoulderClause"/>
      </w:pPr>
      <w:r>
        <w:t>[bl. 21, 25A, 25B, 25C, 26, 26A and 26B]</w:t>
      </w:r>
    </w:p>
    <w:p>
      <w:pPr>
        <w:pStyle w:val="yFootnoteheading"/>
        <w:spacing w:after="60"/>
      </w:pPr>
      <w:r>
        <w:tab/>
        <w:t>[Heading inserted in Gazette 20 Jun 2012 p. 2722.]</w:t>
      </w:r>
    </w:p>
    <w:p>
      <w:pPr>
        <w:pStyle w:val="yHeading3"/>
      </w:pPr>
      <w:bookmarkStart w:id="71" w:name="_Toc84427994"/>
      <w:r>
        <w:rPr>
          <w:rStyle w:val="CharSDivNo"/>
        </w:rPr>
        <w:t>Division 1</w:t>
      </w:r>
      <w:r>
        <w:t> — </w:t>
      </w:r>
      <w:r>
        <w:rPr>
          <w:rStyle w:val="CharSDivText"/>
        </w:rPr>
        <w:t>Fixed charges</w:t>
      </w:r>
      <w:bookmarkEnd w:id="71"/>
    </w:p>
    <w:p>
      <w:pPr>
        <w:pStyle w:val="yFootnoteheading"/>
        <w:spacing w:after="60"/>
      </w:pPr>
      <w:r>
        <w:tab/>
        <w:t>[Heading inserted in Gazette 20 Jun 2012 p. 2722.]</w:t>
      </w: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rPr>
                <w:b/>
              </w:rPr>
            </w:pPr>
            <w:r>
              <w:rPr>
                <w:b/>
              </w:rPr>
              <w:t>1.</w:t>
            </w:r>
          </w:p>
        </w:tc>
        <w:tc>
          <w:tcPr>
            <w:tcW w:w="5670" w:type="dxa"/>
            <w:gridSpan w:val="2"/>
          </w:tcPr>
          <w:p>
            <w:pPr>
              <w:pStyle w:val="yTableNAm"/>
              <w:rPr>
                <w:b/>
              </w:rPr>
            </w:pPr>
            <w:r>
              <w:rPr>
                <w:b/>
              </w:rPr>
              <w:t>Connected metropolitan exempt</w:t>
            </w:r>
          </w:p>
        </w:tc>
      </w:tr>
      <w:tr>
        <w:trPr>
          <w:cantSplit/>
        </w:trPr>
        <w:tc>
          <w:tcPr>
            <w:tcW w:w="850" w:type="dxa"/>
          </w:tcPr>
          <w:p>
            <w:pPr>
              <w:pStyle w:val="yTableNAm"/>
            </w:pPr>
          </w:p>
        </w:tc>
        <w:tc>
          <w:tcPr>
            <w:tcW w:w="4236" w:type="dxa"/>
          </w:tcPr>
          <w:p>
            <w:pPr>
              <w:pStyle w:val="yTableNAm"/>
              <w:tabs>
                <w:tab w:val="right" w:leader="dot" w:pos="4253"/>
              </w:tabs>
            </w:pPr>
            <w:r>
              <w:t>In respect of land in the metropolitan area that is classified as —</w:t>
            </w:r>
          </w:p>
        </w:tc>
        <w:tc>
          <w:tcPr>
            <w:tcW w:w="1434" w:type="dxa"/>
            <w:vAlign w:val="bottom"/>
          </w:tcPr>
          <w:p>
            <w:pPr>
              <w:pStyle w:val="yTableNAm"/>
              <w:tabs>
                <w:tab w:val="clear" w:pos="567"/>
                <w:tab w:val="left" w:pos="335"/>
                <w:tab w:val="right" w:leader="dot" w:pos="4253"/>
              </w:tabs>
            </w:pPr>
          </w:p>
        </w:tc>
      </w:tr>
      <w:tr>
        <w:trPr>
          <w:cantSplit/>
        </w:trPr>
        <w:tc>
          <w:tcPr>
            <w:tcW w:w="850" w:type="dxa"/>
          </w:tcPr>
          <w:p>
            <w:pPr>
              <w:pStyle w:val="yTableNAm"/>
            </w:pPr>
          </w:p>
        </w:tc>
        <w:tc>
          <w:tcPr>
            <w:tcW w:w="4236" w:type="dxa"/>
          </w:tcPr>
          <w:p>
            <w:pPr>
              <w:pStyle w:val="yTableNAm"/>
              <w:tabs>
                <w:tab w:val="clear" w:pos="567"/>
                <w:tab w:val="left" w:pos="351"/>
                <w:tab w:val="left" w:pos="743"/>
                <w:tab w:val="right" w:leader="dot" w:pos="4253"/>
              </w:tabs>
              <w:ind w:left="743" w:hanging="743"/>
            </w:pPr>
            <w:r>
              <w:tab/>
              <w:t>(a)</w:t>
            </w:r>
            <w:r>
              <w:tab/>
              <w:t>aged home; or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743"/>
                <w:tab w:val="left" w:pos="1168"/>
                <w:tab w:val="right" w:leader="dot" w:pos="4253"/>
              </w:tabs>
              <w:ind w:left="743" w:hanging="743"/>
              <w:rPr>
                <w:spacing w:val="-1"/>
              </w:rPr>
            </w:pPr>
            <w:r>
              <w:rPr>
                <w:spacing w:val="-1"/>
              </w:rPr>
              <w:tab/>
              <w:t>(b)</w:t>
            </w:r>
            <w:r>
              <w:rPr>
                <w:spacing w:val="-1"/>
              </w:rPr>
              <w:tab/>
              <w:t>charitable or community purposes,</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0"/>
                <w:tab w:val="left" w:pos="351"/>
                <w:tab w:val="right" w:leader="dot" w:pos="4253"/>
              </w:tabs>
              <w:rPr>
                <w:spacing w:val="-1"/>
              </w:rPr>
            </w:pPr>
            <w:r>
              <w:rPr>
                <w:spacing w:val="-1"/>
              </w:rPr>
              <w:t xml:space="preserve">a charge determined by meter size minus the discount as set out in the following Table — </w:t>
            </w:r>
          </w:p>
        </w:tc>
        <w:tc>
          <w:tcPr>
            <w:tcW w:w="1434" w:type="dxa"/>
            <w:vAlign w:val="bottom"/>
          </w:tcPr>
          <w:p>
            <w:pPr>
              <w:pStyle w:val="yTableNAm"/>
              <w:tabs>
                <w:tab w:val="clear" w:pos="567"/>
                <w:tab w:val="left" w:pos="335"/>
                <w:tab w:val="right" w:leader="dot" w:pos="4253"/>
              </w:tabs>
              <w:rPr>
                <w:spacing w:val="-1"/>
              </w:rPr>
            </w:pPr>
          </w:p>
        </w:tc>
      </w:tr>
    </w:tbl>
    <w:p>
      <w:pPr>
        <w:pStyle w:val="yTHeadingNAm"/>
      </w:pPr>
      <w:r>
        <w:rPr>
          <w:bCs w:val="0"/>
        </w:rPr>
        <w:t>Table — charges (</w:t>
      </w:r>
      <w:r>
        <w:rPr>
          <w:bCs w:val="0"/>
          <w:iCs/>
        </w:rPr>
        <w:t>per fixture</w:t>
      </w:r>
      <w:r>
        <w:rPr>
          <w:bCs w:val="0"/>
        </w:rPr>
        <w:t>)</w:t>
      </w:r>
    </w:p>
    <w:tbl>
      <w:tblPr>
        <w:tblW w:w="6520" w:type="dxa"/>
        <w:tblInd w:w="454"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b/>
                <w:bCs/>
              </w:rPr>
            </w:pPr>
            <w:r>
              <w:rPr>
                <w:b/>
                <w:bCs/>
              </w:rPr>
              <w:t>No. of fixtures</w:t>
            </w:r>
          </w:p>
        </w:tc>
        <w:tc>
          <w:tcPr>
            <w:tcW w:w="2173" w:type="dxa"/>
            <w:vMerge w:val="restart"/>
            <w:tcBorders>
              <w:top w:val="single" w:sz="4" w:space="0" w:color="auto"/>
            </w:tcBorders>
          </w:tcPr>
          <w:p>
            <w:pPr>
              <w:pStyle w:val="yTableNAm"/>
              <w:jc w:val="center"/>
              <w:rPr>
                <w:b/>
                <w:bCs/>
              </w:rP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rPr>
                <w:b/>
                <w:bCs/>
              </w:rP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yTableNAm"/>
              <w:jc w:val="center"/>
              <w:rPr>
                <w:b/>
                <w:bCs/>
              </w:rPr>
            </w:pPr>
          </w:p>
        </w:tc>
        <w:tc>
          <w:tcPr>
            <w:tcW w:w="2173" w:type="dxa"/>
            <w:vMerge/>
            <w:tcBorders>
              <w:bottom w:val="single" w:sz="4" w:space="0" w:color="auto"/>
            </w:tcBorders>
          </w:tcPr>
          <w:p>
            <w:pPr>
              <w:pStyle w:val="yTableNAm"/>
              <w:jc w:val="center"/>
              <w:rPr>
                <w:b/>
                <w:bCs/>
              </w:rPr>
            </w:pPr>
          </w:p>
        </w:tc>
        <w:tc>
          <w:tcPr>
            <w:tcW w:w="1087" w:type="dxa"/>
            <w:tcBorders>
              <w:top w:val="single" w:sz="4" w:space="0" w:color="auto"/>
              <w:bottom w:val="single" w:sz="4" w:space="0" w:color="auto"/>
            </w:tcBorders>
          </w:tcPr>
          <w:p>
            <w:pPr>
              <w:pStyle w:val="yTableNAm"/>
              <w:jc w:val="center"/>
              <w:rPr>
                <w:b/>
                <w:bCs/>
              </w:rPr>
            </w:pPr>
            <w:r>
              <w:rPr>
                <w:b/>
                <w:bCs/>
              </w:rPr>
              <w:t>Item 1(a)</w:t>
            </w:r>
          </w:p>
        </w:tc>
        <w:tc>
          <w:tcPr>
            <w:tcW w:w="1087" w:type="dxa"/>
            <w:tcBorders>
              <w:top w:val="single" w:sz="4" w:space="0" w:color="auto"/>
              <w:bottom w:val="single" w:sz="4" w:space="0" w:color="auto"/>
            </w:tcBorders>
          </w:tcPr>
          <w:p>
            <w:pPr>
              <w:pStyle w:val="yTableNAm"/>
              <w:jc w:val="center"/>
              <w:rPr>
                <w:b/>
                <w:bCs/>
              </w:rPr>
            </w:pPr>
            <w:r>
              <w:rPr>
                <w:b/>
                <w:bCs/>
              </w:rPr>
              <w:t>Item 1(b)</w:t>
            </w:r>
          </w:p>
        </w:tc>
      </w:tr>
      <w:tr>
        <w:trPr>
          <w:cantSplit/>
        </w:trPr>
        <w:tc>
          <w:tcPr>
            <w:tcW w:w="2173" w:type="dxa"/>
          </w:tcPr>
          <w:p>
            <w:pPr>
              <w:pStyle w:val="yTableNAm"/>
              <w:jc w:val="center"/>
            </w:pPr>
            <w:r>
              <w:t>1</w:t>
            </w:r>
          </w:p>
        </w:tc>
        <w:tc>
          <w:tcPr>
            <w:tcW w:w="2173" w:type="dxa"/>
          </w:tcPr>
          <w:p>
            <w:pPr>
              <w:pStyle w:val="yTableNAm"/>
              <w:jc w:val="center"/>
            </w:pPr>
            <w:r>
              <w:t>728.40</w:t>
            </w:r>
          </w:p>
        </w:tc>
        <w:tc>
          <w:tcPr>
            <w:tcW w:w="1087" w:type="dxa"/>
          </w:tcPr>
          <w:p>
            <w:pPr>
              <w:pStyle w:val="yTableNAm"/>
              <w:jc w:val="center"/>
            </w:pPr>
            <w:r>
              <w:t>73.13</w:t>
            </w:r>
          </w:p>
        </w:tc>
        <w:tc>
          <w:tcPr>
            <w:tcW w:w="1087" w:type="dxa"/>
          </w:tcPr>
          <w:p>
            <w:pPr>
              <w:pStyle w:val="yTableNAm"/>
              <w:jc w:val="center"/>
            </w:pPr>
            <w:r>
              <w:t>73.13</w:t>
            </w:r>
          </w:p>
        </w:tc>
      </w:tr>
      <w:tr>
        <w:trPr>
          <w:cantSplit/>
        </w:trPr>
        <w:tc>
          <w:tcPr>
            <w:tcW w:w="2173" w:type="dxa"/>
          </w:tcPr>
          <w:p>
            <w:pPr>
              <w:pStyle w:val="yTableNAm"/>
              <w:jc w:val="center"/>
            </w:pPr>
            <w:r>
              <w:t>2</w:t>
            </w:r>
          </w:p>
        </w:tc>
        <w:tc>
          <w:tcPr>
            <w:tcW w:w="2173" w:type="dxa"/>
          </w:tcPr>
          <w:p>
            <w:pPr>
              <w:pStyle w:val="yTableNAm"/>
              <w:jc w:val="center"/>
            </w:pPr>
            <w:r>
              <w:t>311.80</w:t>
            </w:r>
          </w:p>
        </w:tc>
        <w:tc>
          <w:tcPr>
            <w:tcW w:w="1087" w:type="dxa"/>
          </w:tcPr>
          <w:p>
            <w:pPr>
              <w:pStyle w:val="yTableNAm"/>
              <w:jc w:val="center"/>
            </w:pPr>
            <w:r>
              <w:t>72.38</w:t>
            </w:r>
          </w:p>
        </w:tc>
        <w:tc>
          <w:tcPr>
            <w:tcW w:w="1087" w:type="dxa"/>
          </w:tcPr>
          <w:p>
            <w:pPr>
              <w:pStyle w:val="yTableNAm"/>
              <w:jc w:val="center"/>
            </w:pPr>
            <w:r>
              <w:t>37.24</w:t>
            </w:r>
          </w:p>
        </w:tc>
      </w:tr>
      <w:tr>
        <w:trPr>
          <w:cantSplit/>
        </w:trPr>
        <w:tc>
          <w:tcPr>
            <w:tcW w:w="2173" w:type="dxa"/>
          </w:tcPr>
          <w:p>
            <w:pPr>
              <w:pStyle w:val="yTableNAm"/>
              <w:jc w:val="center"/>
            </w:pPr>
            <w:r>
              <w:t>3</w:t>
            </w:r>
          </w:p>
        </w:tc>
        <w:tc>
          <w:tcPr>
            <w:tcW w:w="2173" w:type="dxa"/>
          </w:tcPr>
          <w:p>
            <w:pPr>
              <w:pStyle w:val="yTableNAm"/>
              <w:jc w:val="center"/>
            </w:pPr>
            <w:r>
              <w:t>416.40</w:t>
            </w:r>
          </w:p>
        </w:tc>
        <w:tc>
          <w:tcPr>
            <w:tcW w:w="1087" w:type="dxa"/>
          </w:tcPr>
          <w:p>
            <w:pPr>
              <w:pStyle w:val="yTableNAm"/>
              <w:jc w:val="center"/>
            </w:pPr>
            <w:r>
              <w:t>79.32</w:t>
            </w:r>
          </w:p>
        </w:tc>
        <w:tc>
          <w:tcPr>
            <w:tcW w:w="1087" w:type="dxa"/>
          </w:tcPr>
          <w:p>
            <w:pPr>
              <w:pStyle w:val="yTableNAm"/>
              <w:jc w:val="center"/>
            </w:pPr>
            <w:r>
              <w:t>53.00</w:t>
            </w:r>
          </w:p>
        </w:tc>
      </w:tr>
      <w:tr>
        <w:trPr>
          <w:cantSplit/>
        </w:trPr>
        <w:tc>
          <w:tcPr>
            <w:tcW w:w="2173" w:type="dxa"/>
            <w:tcBorders>
              <w:bottom w:val="single" w:sz="4" w:space="0" w:color="auto"/>
            </w:tcBorders>
          </w:tcPr>
          <w:p>
            <w:pPr>
              <w:pStyle w:val="yTableNAm"/>
              <w:jc w:val="center"/>
            </w:pPr>
            <w:r>
              <w:t>4+</w:t>
            </w:r>
          </w:p>
        </w:tc>
        <w:tc>
          <w:tcPr>
            <w:tcW w:w="2173" w:type="dxa"/>
            <w:tcBorders>
              <w:bottom w:val="single" w:sz="4" w:space="0" w:color="auto"/>
            </w:tcBorders>
          </w:tcPr>
          <w:p>
            <w:pPr>
              <w:pStyle w:val="yTableNAm"/>
              <w:jc w:val="center"/>
            </w:pPr>
            <w:r>
              <w:t>452.80</w:t>
            </w:r>
          </w:p>
        </w:tc>
        <w:tc>
          <w:tcPr>
            <w:tcW w:w="1087" w:type="dxa"/>
            <w:tcBorders>
              <w:bottom w:val="single" w:sz="4" w:space="0" w:color="auto"/>
            </w:tcBorders>
          </w:tcPr>
          <w:p>
            <w:pPr>
              <w:pStyle w:val="yTableNAm"/>
              <w:jc w:val="center"/>
            </w:pPr>
            <w:r>
              <w:t>80.98</w:t>
            </w:r>
          </w:p>
        </w:tc>
        <w:tc>
          <w:tcPr>
            <w:tcW w:w="1087" w:type="dxa"/>
            <w:tcBorders>
              <w:bottom w:val="single" w:sz="4" w:space="0" w:color="auto"/>
            </w:tcBorders>
          </w:tcPr>
          <w:p>
            <w:pPr>
              <w:pStyle w:val="yTableNAm"/>
              <w:jc w:val="center"/>
            </w:pPr>
            <w:r>
              <w:t>56.78</w:t>
            </w:r>
          </w:p>
        </w:tc>
      </w:tr>
    </w:tbl>
    <w:p>
      <w:pPr>
        <w:pStyle w:val="yMiscellaneousBody"/>
        <w:spacing w:before="0"/>
      </w:pP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rPr>
                <w:b/>
              </w:rPr>
            </w:pPr>
            <w:r>
              <w:rPr>
                <w:b/>
              </w:rPr>
              <w:t>2.</w:t>
            </w:r>
          </w:p>
        </w:tc>
        <w:tc>
          <w:tcPr>
            <w:tcW w:w="4236" w:type="dxa"/>
          </w:tcPr>
          <w:p>
            <w:pPr>
              <w:pStyle w:val="yTableNAm"/>
              <w:rPr>
                <w:b/>
              </w:rPr>
            </w:pPr>
            <w:r>
              <w:rPr>
                <w:b/>
              </w:rPr>
              <w:t>Connected country exempt</w:t>
            </w:r>
          </w:p>
        </w:tc>
        <w:tc>
          <w:tcPr>
            <w:tcW w:w="1434" w:type="dxa"/>
            <w:vAlign w:val="bottom"/>
          </w:tcPr>
          <w:p>
            <w:pPr>
              <w:pStyle w:val="yTableNAm"/>
            </w:pPr>
          </w:p>
        </w:tc>
      </w:tr>
      <w:tr>
        <w:trPr>
          <w:cantSplit/>
        </w:trPr>
        <w:tc>
          <w:tcPr>
            <w:tcW w:w="850" w:type="dxa"/>
          </w:tcPr>
          <w:p>
            <w:pPr>
              <w:pStyle w:val="yTableNAm"/>
              <w:keepNext/>
              <w:keepLines/>
            </w:pPr>
          </w:p>
        </w:tc>
        <w:tc>
          <w:tcPr>
            <w:tcW w:w="4236" w:type="dxa"/>
          </w:tcPr>
          <w:p>
            <w:pPr>
              <w:pStyle w:val="yTableNAm"/>
              <w:keepNext/>
              <w:keepLines/>
              <w:tabs>
                <w:tab w:val="right" w:leader="dot" w:pos="4253"/>
              </w:tabs>
              <w:rPr>
                <w:spacing w:val="-4"/>
              </w:rPr>
            </w:pPr>
            <w:r>
              <w:t>In respect of land in a country sewerage area that is classified as —</w:t>
            </w:r>
          </w:p>
        </w:tc>
        <w:tc>
          <w:tcPr>
            <w:tcW w:w="1434" w:type="dxa"/>
            <w:vAlign w:val="bottom"/>
          </w:tcPr>
          <w:p>
            <w:pPr>
              <w:pStyle w:val="yTableNAm"/>
              <w:keepNext/>
              <w:keepLines/>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pPr>
            <w:r>
              <w:tab/>
              <w:t>(a)</w:t>
            </w:r>
            <w:r>
              <w:tab/>
              <w:t>community residential</w:t>
            </w:r>
            <w:r>
              <w:rPr>
                <w:snapToGrid w:val="0"/>
                <w:spacing w:val="-4"/>
              </w:rPr>
              <w:t>; or</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pPr>
            <w:r>
              <w:rPr>
                <w:spacing w:val="-1"/>
              </w:rPr>
              <w:tab/>
              <w:t>(b)</w:t>
            </w:r>
            <w:r>
              <w:rPr>
                <w:spacing w:val="-1"/>
              </w:rPr>
              <w:tab/>
              <w:t xml:space="preserve">aged home, </w:t>
            </w:r>
            <w:r>
              <w:t>charitable purposes</w:t>
            </w:r>
            <w:r>
              <w:rPr>
                <w:spacing w:val="-1"/>
              </w:rPr>
              <w:t>, community purposes, institutional public or local government,</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0"/>
                <w:tab w:val="right" w:leader="dot" w:pos="4253"/>
              </w:tabs>
            </w:pPr>
            <w:r>
              <w:rPr>
                <w:szCs w:val="22"/>
              </w:rPr>
              <w:t>a charge determined by meter size minus the discount as set out in the following Table —</w:t>
            </w:r>
          </w:p>
        </w:tc>
        <w:tc>
          <w:tcPr>
            <w:tcW w:w="1434" w:type="dxa"/>
            <w:vAlign w:val="bottom"/>
          </w:tcPr>
          <w:p>
            <w:pPr>
              <w:pStyle w:val="yTableNAm"/>
              <w:tabs>
                <w:tab w:val="clear" w:pos="567"/>
                <w:tab w:val="left" w:pos="335"/>
                <w:tab w:val="right" w:leader="dot" w:pos="4253"/>
              </w:tabs>
              <w:rPr>
                <w:spacing w:val="-1"/>
              </w:rPr>
            </w:pPr>
          </w:p>
        </w:tc>
      </w:tr>
    </w:tbl>
    <w:p>
      <w:pPr>
        <w:pStyle w:val="yTHeadingNAm"/>
      </w:pPr>
      <w:r>
        <w:rPr>
          <w:bCs w:val="0"/>
        </w:rPr>
        <w:t>Table — charges (</w:t>
      </w:r>
      <w:r>
        <w:rPr>
          <w:bCs w:val="0"/>
          <w:iCs/>
        </w:rPr>
        <w:t>per fixture</w:t>
      </w:r>
      <w:r>
        <w:rPr>
          <w:bCs w:val="0"/>
        </w:rPr>
        <w:t>)</w:t>
      </w:r>
    </w:p>
    <w:tbl>
      <w:tblPr>
        <w:tblW w:w="6520" w:type="dxa"/>
        <w:tblInd w:w="454"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keepNext/>
              <w:jc w:val="center"/>
              <w:rPr>
                <w:b/>
                <w:bCs/>
              </w:rPr>
            </w:pPr>
            <w:r>
              <w:rPr>
                <w:b/>
                <w:bCs/>
              </w:rPr>
              <w:t>No. of fixtures</w:t>
            </w:r>
          </w:p>
        </w:tc>
        <w:tc>
          <w:tcPr>
            <w:tcW w:w="2173" w:type="dxa"/>
            <w:vMerge w:val="restart"/>
            <w:tcBorders>
              <w:top w:val="single" w:sz="4" w:space="0" w:color="auto"/>
            </w:tcBorders>
          </w:tcPr>
          <w:p>
            <w:pPr>
              <w:pStyle w:val="yTableNAm"/>
              <w:keepNext/>
              <w:jc w:val="center"/>
              <w:rPr>
                <w:b/>
                <w:bCs/>
              </w:rPr>
            </w:pPr>
            <w:r>
              <w:rPr>
                <w:b/>
                <w:bCs/>
              </w:rPr>
              <w:t>Charges</w:t>
            </w:r>
            <w:r>
              <w:rPr>
                <w:b/>
                <w:bCs/>
              </w:rPr>
              <w:br/>
              <w:t>$</w:t>
            </w:r>
          </w:p>
        </w:tc>
        <w:tc>
          <w:tcPr>
            <w:tcW w:w="2174" w:type="dxa"/>
            <w:gridSpan w:val="2"/>
            <w:tcBorders>
              <w:top w:val="single" w:sz="4" w:space="0" w:color="auto"/>
              <w:bottom w:val="single" w:sz="4" w:space="0" w:color="auto"/>
            </w:tcBorders>
          </w:tcPr>
          <w:p>
            <w:pPr>
              <w:pStyle w:val="yTableNAm"/>
              <w:keepNext/>
              <w:jc w:val="center"/>
              <w:rPr>
                <w:b/>
                <w:bCs/>
              </w:rP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yTableNAm"/>
              <w:keepNext/>
              <w:jc w:val="center"/>
              <w:rPr>
                <w:b/>
                <w:bCs/>
              </w:rPr>
            </w:pPr>
          </w:p>
        </w:tc>
        <w:tc>
          <w:tcPr>
            <w:tcW w:w="2173" w:type="dxa"/>
            <w:vMerge/>
            <w:tcBorders>
              <w:bottom w:val="single" w:sz="4" w:space="0" w:color="auto"/>
            </w:tcBorders>
          </w:tcPr>
          <w:p>
            <w:pPr>
              <w:pStyle w:val="yTableNAm"/>
              <w:keepNext/>
              <w:jc w:val="center"/>
              <w:rPr>
                <w:b/>
                <w:bCs/>
              </w:rPr>
            </w:pPr>
          </w:p>
        </w:tc>
        <w:tc>
          <w:tcPr>
            <w:tcW w:w="1087" w:type="dxa"/>
            <w:tcBorders>
              <w:top w:val="single" w:sz="4" w:space="0" w:color="auto"/>
              <w:bottom w:val="single" w:sz="4" w:space="0" w:color="auto"/>
            </w:tcBorders>
          </w:tcPr>
          <w:p>
            <w:pPr>
              <w:pStyle w:val="yTableNAm"/>
              <w:keepNext/>
              <w:jc w:val="center"/>
              <w:rPr>
                <w:b/>
                <w:bCs/>
              </w:rPr>
            </w:pPr>
            <w:r>
              <w:rPr>
                <w:b/>
                <w:bCs/>
              </w:rPr>
              <w:t>Item 2(a)</w:t>
            </w:r>
          </w:p>
        </w:tc>
        <w:tc>
          <w:tcPr>
            <w:tcW w:w="1087" w:type="dxa"/>
            <w:tcBorders>
              <w:top w:val="single" w:sz="4" w:space="0" w:color="auto"/>
              <w:bottom w:val="single" w:sz="4" w:space="0" w:color="auto"/>
            </w:tcBorders>
          </w:tcPr>
          <w:p>
            <w:pPr>
              <w:pStyle w:val="yTableNAm"/>
              <w:keepNext/>
              <w:jc w:val="center"/>
              <w:rPr>
                <w:b/>
                <w:bCs/>
              </w:rPr>
            </w:pPr>
            <w:r>
              <w:rPr>
                <w:b/>
                <w:bCs/>
              </w:rPr>
              <w:t>Item 2(b)</w:t>
            </w:r>
          </w:p>
        </w:tc>
      </w:tr>
      <w:tr>
        <w:trPr>
          <w:cantSplit/>
        </w:trPr>
        <w:tc>
          <w:tcPr>
            <w:tcW w:w="2173" w:type="dxa"/>
          </w:tcPr>
          <w:p>
            <w:pPr>
              <w:pStyle w:val="yTableNAm"/>
              <w:keepNext/>
              <w:jc w:val="center"/>
            </w:pPr>
            <w:r>
              <w:t>1</w:t>
            </w:r>
          </w:p>
        </w:tc>
        <w:tc>
          <w:tcPr>
            <w:tcW w:w="2173" w:type="dxa"/>
            <w:vAlign w:val="bottom"/>
          </w:tcPr>
          <w:p>
            <w:pPr>
              <w:pStyle w:val="yTableNAm"/>
              <w:keepNext/>
              <w:jc w:val="center"/>
            </w:pPr>
            <w:r>
              <w:t>728.40</w:t>
            </w:r>
          </w:p>
        </w:tc>
        <w:tc>
          <w:tcPr>
            <w:tcW w:w="1087" w:type="dxa"/>
          </w:tcPr>
          <w:p>
            <w:pPr>
              <w:pStyle w:val="yTableNAm"/>
              <w:keepNext/>
              <w:jc w:val="center"/>
            </w:pPr>
            <w:r>
              <w:t>88.18</w:t>
            </w:r>
          </w:p>
        </w:tc>
        <w:tc>
          <w:tcPr>
            <w:tcW w:w="1087" w:type="dxa"/>
          </w:tcPr>
          <w:p>
            <w:pPr>
              <w:pStyle w:val="yTableNAm"/>
              <w:keepNext/>
              <w:jc w:val="center"/>
            </w:pPr>
            <w:r>
              <w:t>73.13</w:t>
            </w:r>
          </w:p>
        </w:tc>
      </w:tr>
      <w:tr>
        <w:trPr>
          <w:cantSplit/>
        </w:trPr>
        <w:tc>
          <w:tcPr>
            <w:tcW w:w="2173" w:type="dxa"/>
          </w:tcPr>
          <w:p>
            <w:pPr>
              <w:pStyle w:val="yTableNAm"/>
              <w:jc w:val="center"/>
            </w:pPr>
            <w:r>
              <w:t>2</w:t>
            </w:r>
          </w:p>
        </w:tc>
        <w:tc>
          <w:tcPr>
            <w:tcW w:w="2173" w:type="dxa"/>
            <w:vAlign w:val="bottom"/>
          </w:tcPr>
          <w:p>
            <w:pPr>
              <w:pStyle w:val="yTableNAm"/>
              <w:jc w:val="center"/>
            </w:pPr>
            <w:r>
              <w:t>311.80</w:t>
            </w:r>
          </w:p>
        </w:tc>
        <w:tc>
          <w:tcPr>
            <w:tcW w:w="1087" w:type="dxa"/>
          </w:tcPr>
          <w:p>
            <w:pPr>
              <w:pStyle w:val="yTableNAm"/>
              <w:jc w:val="center"/>
            </w:pPr>
            <w:r>
              <w:t>72.38</w:t>
            </w:r>
          </w:p>
        </w:tc>
        <w:tc>
          <w:tcPr>
            <w:tcW w:w="1087" w:type="dxa"/>
          </w:tcPr>
          <w:p>
            <w:pPr>
              <w:pStyle w:val="yTableNAm"/>
              <w:jc w:val="center"/>
            </w:pPr>
            <w:r>
              <w:t>72.38</w:t>
            </w:r>
          </w:p>
        </w:tc>
      </w:tr>
      <w:tr>
        <w:trPr>
          <w:cantSplit/>
        </w:trPr>
        <w:tc>
          <w:tcPr>
            <w:tcW w:w="2173" w:type="dxa"/>
          </w:tcPr>
          <w:p>
            <w:pPr>
              <w:pStyle w:val="yTableNAm"/>
              <w:jc w:val="center"/>
            </w:pPr>
            <w:r>
              <w:t>3</w:t>
            </w:r>
          </w:p>
        </w:tc>
        <w:tc>
          <w:tcPr>
            <w:tcW w:w="2173" w:type="dxa"/>
            <w:vAlign w:val="bottom"/>
          </w:tcPr>
          <w:p>
            <w:pPr>
              <w:pStyle w:val="yTableNAm"/>
              <w:jc w:val="center"/>
            </w:pPr>
            <w:r>
              <w:t>416.40</w:t>
            </w:r>
          </w:p>
        </w:tc>
        <w:tc>
          <w:tcPr>
            <w:tcW w:w="1087" w:type="dxa"/>
          </w:tcPr>
          <w:p>
            <w:pPr>
              <w:pStyle w:val="yTableNAm"/>
              <w:jc w:val="center"/>
            </w:pPr>
            <w:r>
              <w:t>79.32</w:t>
            </w:r>
          </w:p>
        </w:tc>
        <w:tc>
          <w:tcPr>
            <w:tcW w:w="1087" w:type="dxa"/>
          </w:tcPr>
          <w:p>
            <w:pPr>
              <w:pStyle w:val="yTableNAm"/>
              <w:jc w:val="center"/>
            </w:pPr>
            <w:r>
              <w:t>79.32</w:t>
            </w:r>
          </w:p>
        </w:tc>
      </w:tr>
      <w:tr>
        <w:trPr>
          <w:cantSplit/>
        </w:trPr>
        <w:tc>
          <w:tcPr>
            <w:tcW w:w="2173" w:type="dxa"/>
            <w:tcBorders>
              <w:bottom w:val="single" w:sz="4" w:space="0" w:color="auto"/>
            </w:tcBorders>
          </w:tcPr>
          <w:p>
            <w:pPr>
              <w:pStyle w:val="yTableNAm"/>
              <w:jc w:val="center"/>
            </w:pPr>
            <w:r>
              <w:t>4+</w:t>
            </w:r>
          </w:p>
        </w:tc>
        <w:tc>
          <w:tcPr>
            <w:tcW w:w="2173" w:type="dxa"/>
            <w:tcBorders>
              <w:bottom w:val="single" w:sz="4" w:space="0" w:color="auto"/>
            </w:tcBorders>
            <w:vAlign w:val="bottom"/>
          </w:tcPr>
          <w:p>
            <w:pPr>
              <w:pStyle w:val="yTableNAm"/>
              <w:jc w:val="center"/>
            </w:pPr>
            <w:r>
              <w:t>452.80</w:t>
            </w:r>
          </w:p>
        </w:tc>
        <w:tc>
          <w:tcPr>
            <w:tcW w:w="1087" w:type="dxa"/>
            <w:tcBorders>
              <w:bottom w:val="single" w:sz="4" w:space="0" w:color="auto"/>
            </w:tcBorders>
          </w:tcPr>
          <w:p>
            <w:pPr>
              <w:pStyle w:val="yTableNAm"/>
              <w:jc w:val="center"/>
            </w:pPr>
            <w:r>
              <w:t>80.98</w:t>
            </w:r>
          </w:p>
        </w:tc>
        <w:tc>
          <w:tcPr>
            <w:tcW w:w="1087" w:type="dxa"/>
            <w:tcBorders>
              <w:bottom w:val="single" w:sz="4" w:space="0" w:color="auto"/>
            </w:tcBorders>
          </w:tcPr>
          <w:p>
            <w:pPr>
              <w:pStyle w:val="yTableNAm"/>
              <w:jc w:val="center"/>
            </w:pPr>
            <w:r>
              <w:t>80.98</w:t>
            </w:r>
          </w:p>
        </w:tc>
      </w:tr>
    </w:tbl>
    <w:p>
      <w:pPr>
        <w:pStyle w:val="yMiscellaneousBody"/>
        <w:spacing w:before="0"/>
      </w:pP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rPr>
                <w:b/>
              </w:rPr>
            </w:pPr>
            <w:r>
              <w:rPr>
                <w:b/>
              </w:rPr>
              <w:t>3.</w:t>
            </w:r>
          </w:p>
        </w:tc>
        <w:tc>
          <w:tcPr>
            <w:tcW w:w="4236" w:type="dxa"/>
          </w:tcPr>
          <w:p>
            <w:pPr>
              <w:pStyle w:val="yTableNAm"/>
              <w:tabs>
                <w:tab w:val="right" w:leader="dot" w:pos="4253"/>
              </w:tabs>
              <w:rPr>
                <w:b/>
              </w:rPr>
            </w:pPr>
            <w:r>
              <w:rPr>
                <w:b/>
              </w:rPr>
              <w:t>Strata</w:t>
            </w:r>
            <w:r>
              <w:rPr>
                <w:b/>
              </w:rPr>
              <w:noBreakHyphen/>
              <w:t>titled caravan bay</w:t>
            </w:r>
          </w:p>
        </w:tc>
        <w:tc>
          <w:tcPr>
            <w:tcW w:w="1434" w:type="dxa"/>
            <w:vAlign w:val="bottom"/>
          </w:tcPr>
          <w:p>
            <w:pPr>
              <w:pStyle w:val="yTableNAm"/>
              <w:tabs>
                <w:tab w:val="clear" w:pos="567"/>
                <w:tab w:val="left" w:pos="335"/>
                <w:tab w:val="right" w:leader="dot" w:pos="4253"/>
              </w:tabs>
              <w:rPr>
                <w:b/>
              </w:rPr>
            </w:pPr>
          </w:p>
        </w:tc>
      </w:tr>
      <w:tr>
        <w:trPr>
          <w:cantSplit/>
        </w:trPr>
        <w:tc>
          <w:tcPr>
            <w:tcW w:w="850" w:type="dxa"/>
          </w:tcPr>
          <w:p>
            <w:pPr>
              <w:pStyle w:val="yTableNAm"/>
            </w:pPr>
          </w:p>
        </w:tc>
        <w:tc>
          <w:tcPr>
            <w:tcW w:w="4236" w:type="dxa"/>
          </w:tcPr>
          <w:p>
            <w:pPr>
              <w:pStyle w:val="yTableNAm"/>
              <w:tabs>
                <w:tab w:val="right" w:leader="dot" w:pos="4253"/>
              </w:tabs>
              <w:rPr>
                <w:spacing w:val="-1"/>
              </w:rPr>
            </w:pPr>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$240.50</w:t>
            </w:r>
          </w:p>
        </w:tc>
      </w:tr>
      <w:tr>
        <w:trPr>
          <w:cantSplit/>
        </w:trPr>
        <w:tc>
          <w:tcPr>
            <w:tcW w:w="850" w:type="dxa"/>
          </w:tcPr>
          <w:p>
            <w:pPr>
              <w:pStyle w:val="yTableNAm"/>
              <w:keepNext/>
              <w:keepLines/>
              <w:rPr>
                <w:b/>
                <w:bCs/>
              </w:rPr>
            </w:pPr>
            <w:r>
              <w:rPr>
                <w:b/>
                <w:bCs/>
              </w:rPr>
              <w:t>4.</w:t>
            </w:r>
          </w:p>
        </w:tc>
        <w:tc>
          <w:tcPr>
            <w:tcW w:w="4236" w:type="dxa"/>
          </w:tcPr>
          <w:p>
            <w:pPr>
              <w:pStyle w:val="yTableNAm"/>
              <w:keepNext/>
              <w:keepLines/>
              <w:tabs>
                <w:tab w:val="right" w:leader="dot" w:pos="4253"/>
              </w:tabs>
              <w:rPr>
                <w:b/>
                <w:bCs/>
              </w:rPr>
            </w:pPr>
            <w:r>
              <w:rPr>
                <w:b/>
                <w:bCs/>
              </w:rPr>
              <w:t>Strata</w:t>
            </w:r>
            <w:r>
              <w:rPr>
                <w:b/>
                <w:bCs/>
              </w:rPr>
              <w:noBreakHyphen/>
              <w:t>titled storage unit and strata</w:t>
            </w:r>
            <w:r>
              <w:rPr>
                <w:b/>
                <w:bCs/>
              </w:rPr>
              <w:noBreakHyphen/>
              <w:t>titled parking bay</w:t>
            </w:r>
          </w:p>
        </w:tc>
        <w:tc>
          <w:tcPr>
            <w:tcW w:w="1434" w:type="dxa"/>
            <w:vAlign w:val="bottom"/>
          </w:tcPr>
          <w:p>
            <w:pPr>
              <w:pStyle w:val="yTableNAm"/>
              <w:keepNext/>
              <w:keepLines/>
              <w:tabs>
                <w:tab w:val="clear" w:pos="567"/>
                <w:tab w:val="left" w:pos="335"/>
                <w:tab w:val="right" w:leader="dot" w:pos="4253"/>
              </w:tabs>
              <w:rPr>
                <w:b/>
                <w:bCs/>
              </w:rPr>
            </w:pPr>
          </w:p>
        </w:tc>
      </w:tr>
      <w:tr>
        <w:trPr>
          <w:cantSplit/>
        </w:trPr>
        <w:tc>
          <w:tcPr>
            <w:tcW w:w="850" w:type="dxa"/>
          </w:tcPr>
          <w:p>
            <w:pPr>
              <w:pStyle w:val="yTableNAm"/>
              <w:keepNext/>
              <w:keepLines/>
            </w:pPr>
          </w:p>
        </w:tc>
        <w:tc>
          <w:tcPr>
            <w:tcW w:w="4236" w:type="dxa"/>
          </w:tcPr>
          <w:p>
            <w:pPr>
              <w:pStyle w:val="yTableNAm"/>
              <w:keepNext/>
              <w:keepLines/>
              <w:tabs>
                <w:tab w:val="right" w:leader="dot" w:pos="4253"/>
              </w:tabs>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keepNext/>
              <w:keepLines/>
              <w:tabs>
                <w:tab w:val="clear" w:pos="567"/>
                <w:tab w:val="left" w:pos="335"/>
                <w:tab w:val="right" w:leader="dot" w:pos="4253"/>
              </w:tabs>
              <w:rPr>
                <w:spacing w:val="-1"/>
              </w:rPr>
            </w:pPr>
            <w:r>
              <w:rPr>
                <w:spacing w:val="-1"/>
              </w:rPr>
              <w:t>$72.20</w:t>
            </w:r>
          </w:p>
        </w:tc>
      </w:tr>
      <w:tr>
        <w:trPr>
          <w:cantSplit/>
        </w:trPr>
        <w:tc>
          <w:tcPr>
            <w:tcW w:w="850" w:type="dxa"/>
          </w:tcPr>
          <w:p>
            <w:pPr>
              <w:pStyle w:val="yTableNAm"/>
              <w:rPr>
                <w:b/>
                <w:bCs/>
              </w:rPr>
            </w:pPr>
            <w:r>
              <w:rPr>
                <w:b/>
              </w:rPr>
              <w:t>5</w:t>
            </w:r>
            <w:r>
              <w:rPr>
                <w:b/>
                <w:bCs/>
              </w:rPr>
              <w:t>.</w:t>
            </w:r>
          </w:p>
        </w:tc>
        <w:tc>
          <w:tcPr>
            <w:tcW w:w="5670" w:type="dxa"/>
            <w:gridSpan w:val="2"/>
          </w:tcPr>
          <w:p>
            <w:pPr>
              <w:pStyle w:val="yTableNAm"/>
              <w:tabs>
                <w:tab w:val="right" w:leader="dot" w:pos="4253"/>
              </w:tabs>
              <w:rPr>
                <w:b/>
                <w:bCs/>
              </w:rPr>
            </w:pPr>
            <w:r>
              <w:rPr>
                <w:b/>
                <w:bCs/>
              </w:rPr>
              <w:t>Non</w:t>
            </w:r>
            <w:r>
              <w:rPr>
                <w:b/>
                <w:bCs/>
              </w:rPr>
              <w:noBreakHyphen/>
              <w:t>residential strata</w:t>
            </w:r>
            <w:r>
              <w:rPr>
                <w:b/>
                <w:bCs/>
              </w:rPr>
              <w:noBreakHyphen/>
              <w:t>titled unit (except a storage unit or parking bay)</w:t>
            </w:r>
          </w:p>
        </w:tc>
      </w:tr>
      <w:tr>
        <w:trPr>
          <w:cantSplit/>
        </w:trPr>
        <w:tc>
          <w:tcPr>
            <w:tcW w:w="850" w:type="dxa"/>
          </w:tcPr>
          <w:p>
            <w:pPr>
              <w:pStyle w:val="yTableNAm"/>
            </w:pPr>
          </w:p>
        </w:tc>
        <w:tc>
          <w:tcPr>
            <w:tcW w:w="4236" w:type="dxa"/>
          </w:tcPr>
          <w:p>
            <w:pPr>
              <w:pStyle w:val="yTableNAm"/>
              <w:tabs>
                <w:tab w:val="right" w:leader="dot" w:pos="4253"/>
              </w:tabs>
              <w:rPr>
                <w:spacing w:val="-1"/>
              </w:rPr>
            </w:pPr>
            <w:r>
              <w:t>In respect of land that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rPr>
                <w:spacing w:val="-1"/>
              </w:rPr>
            </w:pPr>
            <w:r>
              <w:tab/>
              <w:t>(a)</w:t>
            </w:r>
            <w:r>
              <w:tab/>
              <w:t>is classified non</w:t>
            </w:r>
            <w:r>
              <w:noBreakHyphen/>
              <w:t>residential; and</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rPr>
                <w:spacing w:val="-1"/>
              </w:rPr>
            </w:pPr>
            <w:r>
              <w:tab/>
              <w:t>(b)</w:t>
            </w:r>
            <w:r>
              <w:tab/>
              <w:t xml:space="preserve">comprises a unit that is a lot within the meaning of the </w:t>
            </w:r>
            <w:r>
              <w:rPr>
                <w:i/>
              </w:rPr>
              <w:t>Strata Titles Act 1985</w:t>
            </w:r>
            <w:r>
              <w:t>; and</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pPr>
            <w:r>
              <w:tab/>
              <w:t>(c)</w:t>
            </w:r>
            <w:r>
              <w:tab/>
              <w:t>shares a major fixture with another unit described in paragraph (b) and has no other major fixtures that discharge into the sewer; and</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pPr>
            <w:r>
              <w:tab/>
              <w:t>(d)</w:t>
            </w:r>
            <w:r>
              <w:tab/>
              <w:t>is not land mentioned in item 4,</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right" w:leader="dot" w:pos="4253"/>
              </w:tabs>
              <w:rPr>
                <w:spacing w:val="-1"/>
              </w:rPr>
            </w:pPr>
            <w:r>
              <w:rPr>
                <w:spacing w:val="-1"/>
              </w:rPr>
              <w:t xml:space="preserve">and </w:t>
            </w:r>
            <w:r>
              <w:t xml:space="preserve">where </w:t>
            </w:r>
            <w:r>
              <w:rPr>
                <w:spacing w:val="-1"/>
              </w:rPr>
              <w:t xml:space="preserve">the total number of major fixtures shared by all the units on the relevant strata plan is less than the number of those units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$452.80</w:t>
            </w:r>
          </w:p>
        </w:tc>
      </w:tr>
      <w:tr>
        <w:trPr>
          <w:cantSplit/>
        </w:trPr>
        <w:tc>
          <w:tcPr>
            <w:tcW w:w="850" w:type="dxa"/>
          </w:tcPr>
          <w:p>
            <w:pPr>
              <w:pStyle w:val="yTableNAm"/>
              <w:rPr>
                <w:b/>
              </w:rPr>
            </w:pPr>
            <w:r>
              <w:rPr>
                <w:b/>
              </w:rPr>
              <w:t>6.</w:t>
            </w:r>
          </w:p>
        </w:tc>
        <w:tc>
          <w:tcPr>
            <w:tcW w:w="5670" w:type="dxa"/>
            <w:gridSpan w:val="2"/>
          </w:tcPr>
          <w:p>
            <w:pPr>
              <w:pStyle w:val="yTableNAm"/>
              <w:tabs>
                <w:tab w:val="right" w:leader="dot" w:pos="4253"/>
              </w:tabs>
              <w:rPr>
                <w:b/>
              </w:rPr>
            </w:pPr>
            <w:r>
              <w:rPr>
                <w:b/>
              </w:rPr>
              <w:t>Land from which industrial waste is discharged into a sewer of the Corporation</w:t>
            </w:r>
          </w:p>
        </w:tc>
      </w:tr>
      <w:tr>
        <w:trPr>
          <w:cantSplit/>
        </w:trPr>
        <w:tc>
          <w:tcPr>
            <w:tcW w:w="850" w:type="dxa"/>
          </w:tcPr>
          <w:p>
            <w:pPr>
              <w:pStyle w:val="yTableNAm"/>
            </w:pPr>
          </w:p>
        </w:tc>
        <w:tc>
          <w:tcPr>
            <w:tcW w:w="4236" w:type="dxa"/>
          </w:tcPr>
          <w:p>
            <w:pPr>
              <w:pStyle w:val="yTableNAm"/>
              <w:tabs>
                <w:tab w:val="right" w:leader="dot" w:pos="4253"/>
              </w:tabs>
            </w:pPr>
            <w:r>
              <w:t xml:space="preserve">Discharge pursuant to permit </w:t>
            </w:r>
            <w:r>
              <w:tab/>
            </w:r>
          </w:p>
        </w:tc>
        <w:tc>
          <w:tcPr>
            <w:tcW w:w="1434" w:type="dxa"/>
            <w:vAlign w:val="bottom"/>
          </w:tcPr>
          <w:p>
            <w:pPr>
              <w:pStyle w:val="yTableNAm"/>
              <w:tabs>
                <w:tab w:val="clear" w:pos="567"/>
                <w:tab w:val="left" w:pos="335"/>
                <w:tab w:val="right" w:leader="dot" w:pos="4253"/>
              </w:tabs>
            </w:pPr>
            <w:r>
              <w:t>$213.10</w:t>
            </w:r>
          </w:p>
        </w:tc>
      </w:tr>
      <w:tr>
        <w:trPr>
          <w:cantSplit/>
        </w:trPr>
        <w:tc>
          <w:tcPr>
            <w:tcW w:w="850" w:type="dxa"/>
          </w:tcPr>
          <w:p>
            <w:pPr>
              <w:pStyle w:val="yTableNAm"/>
              <w:rPr>
                <w:b/>
              </w:rPr>
            </w:pPr>
            <w:r>
              <w:rPr>
                <w:b/>
              </w:rPr>
              <w:t>7.</w:t>
            </w:r>
          </w:p>
        </w:tc>
        <w:tc>
          <w:tcPr>
            <w:tcW w:w="5670" w:type="dxa"/>
            <w:gridSpan w:val="2"/>
          </w:tcPr>
          <w:p>
            <w:pPr>
              <w:pStyle w:val="yTableNAm"/>
              <w:tabs>
                <w:tab w:val="right" w:leader="dot" w:pos="4253"/>
              </w:tabs>
              <w:rPr>
                <w:b/>
              </w:rPr>
            </w:pPr>
            <w:r>
              <w:rPr>
                <w:b/>
              </w:rPr>
              <w:t>Land from which industrial waste is discharged into a sewer of the Corporation through grease arrestor</w:t>
            </w: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t>In respect of land the subject of a permit under which industrial waste is discharged into a sewer of the Corporation through one or more grease arrestors, in addition to any other charge applicable to the land under this Schedule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(a)</w:t>
            </w:r>
            <w:r>
              <w:tab/>
              <w:t xml:space="preserve">in respect of each grease arrestor, not being a grease arrestor that is shared with other land the subject of a permit, a charge of </w:t>
            </w:r>
            <w:r>
              <w:tab/>
            </w:r>
          </w:p>
        </w:tc>
        <w:tc>
          <w:tcPr>
            <w:tcW w:w="1434" w:type="dxa"/>
            <w:vAlign w:val="bottom"/>
          </w:tcPr>
          <w:p>
            <w:pPr>
              <w:pStyle w:val="yTableNAm"/>
              <w:tabs>
                <w:tab w:val="clear" w:pos="567"/>
                <w:tab w:val="left" w:pos="335"/>
                <w:tab w:val="right" w:leader="dot" w:pos="4253"/>
              </w:tabs>
              <w:rPr>
                <w:spacing w:val="-1"/>
              </w:rPr>
            </w:pPr>
            <w:r>
              <w:rPr>
                <w:spacing w:val="-1"/>
              </w:rPr>
              <w:t>$93.65</w:t>
            </w: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(b)</w:t>
            </w:r>
            <w:r>
              <w:tab/>
              <w:t xml:space="preserve">in respect of each grease arrestor that is shared with other land the subject of a permit, a charge of </w:t>
            </w:r>
            <w:r>
              <w:tab/>
            </w:r>
          </w:p>
        </w:tc>
        <w:tc>
          <w:tcPr>
            <w:tcW w:w="1434" w:type="dxa"/>
            <w:vAlign w:val="bottom"/>
          </w:tcPr>
          <w:p>
            <w:pPr>
              <w:pStyle w:val="yTableNAm"/>
              <w:tabs>
                <w:tab w:val="clear" w:pos="567"/>
                <w:tab w:val="left" w:pos="335"/>
                <w:tab w:val="right" w:leader="dot" w:pos="4253"/>
              </w:tabs>
            </w:pPr>
            <w:r>
              <w:t>$51.15</w:t>
            </w:r>
          </w:p>
        </w:tc>
      </w:tr>
    </w:tbl>
    <w:p>
      <w:pPr>
        <w:pStyle w:val="yFootnotesection"/>
      </w:pPr>
      <w:r>
        <w:tab/>
        <w:t>[Division 1 inserted in Gazette 20 Jun 2012 p. 2722</w:t>
      </w:r>
      <w:r>
        <w:noBreakHyphen/>
        <w:t>4.]</w:t>
      </w:r>
    </w:p>
    <w:p>
      <w:pPr>
        <w:pStyle w:val="yHeading3"/>
      </w:pPr>
      <w:bookmarkStart w:id="72" w:name="_Toc84427995"/>
      <w:r>
        <w:rPr>
          <w:rStyle w:val="CharSDivNo"/>
        </w:rPr>
        <w:t>Division 2</w:t>
      </w:r>
      <w:r>
        <w:t> — </w:t>
      </w:r>
      <w:r>
        <w:rPr>
          <w:rStyle w:val="CharSDivText"/>
        </w:rPr>
        <w:t>Variable charges and charges by way of a rate</w:t>
      </w:r>
      <w:bookmarkEnd w:id="72"/>
    </w:p>
    <w:p>
      <w:pPr>
        <w:pStyle w:val="yFootnoteheading"/>
        <w:spacing w:after="60"/>
      </w:pPr>
      <w:r>
        <w:tab/>
        <w:t>[Heading inserted in Gazette 20 Jun 2012 p. 2725.]</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tabs>
                <w:tab w:val="right" w:leader="dot" w:pos="4253"/>
              </w:tabs>
              <w:rPr>
                <w:b/>
              </w:rPr>
            </w:pPr>
            <w:r>
              <w:rPr>
                <w:b/>
              </w:rPr>
              <w:t>8.</w:t>
            </w:r>
          </w:p>
        </w:tc>
        <w:tc>
          <w:tcPr>
            <w:tcW w:w="5670" w:type="dxa"/>
            <w:gridSpan w:val="2"/>
          </w:tcPr>
          <w:p>
            <w:pPr>
              <w:pStyle w:val="yTableNAm"/>
              <w:tabs>
                <w:tab w:val="right" w:leader="dot" w:pos="4253"/>
              </w:tabs>
              <w:rPr>
                <w:b/>
              </w:rPr>
            </w:pPr>
            <w:r>
              <w:rPr>
                <w:b/>
              </w:rPr>
              <w:t>Metropolitan residential</w:t>
            </w: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t>In respect of each residential property in the metropolitan area not being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(a)</w:t>
            </w:r>
            <w:r>
              <w:tab/>
              <w:t>subject to a charge under item 1 or 3; or</w:t>
            </w:r>
          </w:p>
        </w:tc>
        <w:tc>
          <w:tcPr>
            <w:tcW w:w="1434" w:type="dxa"/>
            <w:vAlign w:val="bottom"/>
          </w:tcPr>
          <w:p>
            <w:pPr>
              <w:pStyle w:val="yTableNAm"/>
              <w:tabs>
                <w:tab w:val="clear" w:pos="567"/>
                <w:tab w:val="left" w:pos="335"/>
                <w:tab w:val="right" w:leader="dot" w:pos="4253"/>
              </w:tabs>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(b)</w:t>
            </w:r>
            <w:r>
              <w:tab/>
              <w:t>a caravan park or a nursing home,</w:t>
            </w:r>
          </w:p>
        </w:tc>
        <w:tc>
          <w:tcPr>
            <w:tcW w:w="1434" w:type="dxa"/>
            <w:vAlign w:val="bottom"/>
          </w:tcPr>
          <w:p>
            <w:pPr>
              <w:pStyle w:val="yTableNAm"/>
              <w:tabs>
                <w:tab w:val="clear" w:pos="567"/>
                <w:tab w:val="left" w:pos="335"/>
                <w:tab w:val="right" w:leader="dot" w:pos="4253"/>
              </w:tabs>
            </w:pPr>
          </w:p>
        </w:tc>
      </w:tr>
      <w:tr>
        <w:trPr>
          <w:cantSplit/>
        </w:trPr>
        <w:tc>
          <w:tcPr>
            <w:tcW w:w="850" w:type="dxa"/>
          </w:tcPr>
          <w:p>
            <w:pPr>
              <w:pStyle w:val="yTableNAm"/>
              <w:rPr>
                <w:rStyle w:val="CharSClsNo"/>
              </w:rPr>
            </w:pPr>
          </w:p>
        </w:tc>
        <w:tc>
          <w:tcPr>
            <w:tcW w:w="4236" w:type="dxa"/>
          </w:tcPr>
          <w:p>
            <w:pPr>
              <w:pStyle w:val="yTableNAm"/>
              <w:tabs>
                <w:tab w:val="right" w:leader="dot" w:pos="4253"/>
              </w:tabs>
            </w:pPr>
            <w:r>
              <w:t>an amount for each dollar of the GRV —</w:t>
            </w:r>
          </w:p>
        </w:tc>
        <w:tc>
          <w:tcPr>
            <w:tcW w:w="1434" w:type="dxa"/>
            <w:vAlign w:val="bottom"/>
          </w:tcPr>
          <w:p>
            <w:pPr>
              <w:pStyle w:val="yTableNAm"/>
              <w:tabs>
                <w:tab w:val="clear" w:pos="567"/>
                <w:tab w:val="left" w:pos="335"/>
                <w:tab w:val="right" w:leader="dot" w:pos="4253"/>
              </w:tabs>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r>
              <w:tab/>
              <w:t>up</w:t>
            </w:r>
            <w:r>
              <w:rPr>
                <w:spacing w:val="-1"/>
              </w:rPr>
              <w:t xml:space="preserve"> to $16 700 </w:t>
            </w:r>
            <w:r>
              <w:rPr>
                <w:spacing w:val="-1"/>
              </w:rPr>
              <w:tab/>
            </w:r>
          </w:p>
        </w:tc>
        <w:tc>
          <w:tcPr>
            <w:tcW w:w="1434" w:type="dxa"/>
            <w:vAlign w:val="bottom"/>
          </w:tcPr>
          <w:p>
            <w:pPr>
              <w:pStyle w:val="yTableNAm"/>
              <w:tabs>
                <w:tab w:val="clear" w:pos="567"/>
                <w:tab w:val="left" w:pos="335"/>
                <w:tab w:val="right" w:leader="dot" w:pos="4253"/>
              </w:tabs>
              <w:rPr>
                <w:spacing w:val="-1"/>
              </w:rPr>
            </w:pPr>
            <w:r>
              <w:t>4.23 cents</w:t>
            </w:r>
            <w:r>
              <w:rPr>
                <w:spacing w:val="-1"/>
              </w:rPr>
              <w:t>/</w:t>
            </w:r>
            <w:r>
              <w:rPr>
                <w:spacing w:val="-1"/>
              </w:rPr>
              <w:br/>
              <w:t>$ of GRV</w:t>
            </w: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r>
              <w:tab/>
              <w:t>over</w:t>
            </w:r>
            <w:r>
              <w:rPr>
                <w:spacing w:val="-1"/>
              </w:rPr>
              <w:t xml:space="preserve"> $</w:t>
            </w:r>
            <w:r>
              <w:t>16</w:t>
            </w:r>
            <w:r>
              <w:rPr>
                <w:spacing w:val="-1"/>
              </w:rPr>
              <w:t xml:space="preserve"> 700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0.79 cents/</w:t>
            </w:r>
            <w:r>
              <w:rPr>
                <w:spacing w:val="-1"/>
              </w:rPr>
              <w:br/>
              <w:t>$ of GRV</w:t>
            </w: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rPr>
                <w:spacing w:val="-1"/>
              </w:rPr>
              <w:t xml:space="preserve">Subject to a minimum of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$313.20</w:t>
            </w:r>
          </w:p>
        </w:tc>
      </w:tr>
      <w:tr>
        <w:trPr>
          <w:cantSplit/>
        </w:trPr>
        <w:tc>
          <w:tcPr>
            <w:tcW w:w="850" w:type="dxa"/>
          </w:tcPr>
          <w:p>
            <w:pPr>
              <w:pStyle w:val="yTableNAm"/>
              <w:tabs>
                <w:tab w:val="right" w:leader="dot" w:pos="4253"/>
              </w:tabs>
              <w:rPr>
                <w:b/>
              </w:rPr>
            </w:pPr>
            <w:r>
              <w:rPr>
                <w:b/>
              </w:rPr>
              <w:t>9</w:t>
            </w:r>
            <w:r>
              <w:rPr>
                <w:b/>
                <w:bCs/>
              </w:rPr>
              <w:t>.</w:t>
            </w:r>
          </w:p>
        </w:tc>
        <w:tc>
          <w:tcPr>
            <w:tcW w:w="4236" w:type="dxa"/>
          </w:tcPr>
          <w:p>
            <w:pPr>
              <w:pStyle w:val="yTableNAm"/>
              <w:tabs>
                <w:tab w:val="right" w:leader="dot" w:pos="4253"/>
              </w:tabs>
              <w:rPr>
                <w:b/>
                <w:bCs/>
                <w:spacing w:val="-1"/>
              </w:rPr>
            </w:pPr>
            <w:r>
              <w:rPr>
                <w:b/>
                <w:bCs/>
              </w:rPr>
              <w:t>Metropolitan vacant land</w:t>
            </w:r>
          </w:p>
        </w:tc>
        <w:tc>
          <w:tcPr>
            <w:tcW w:w="1434" w:type="dxa"/>
            <w:vAlign w:val="bottom"/>
          </w:tcPr>
          <w:p>
            <w:pPr>
              <w:pStyle w:val="yTableNAm"/>
              <w:tabs>
                <w:tab w:val="clear" w:pos="567"/>
                <w:tab w:val="left" w:pos="335"/>
                <w:tab w:val="right" w:leader="dot" w:pos="4253"/>
              </w:tabs>
              <w:rPr>
                <w:b/>
                <w:bCs/>
                <w:spacing w:val="-1"/>
              </w:rPr>
            </w:pP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t>In respect of vacant land in the metropolitan area not being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r>
              <w:tab/>
              <w:t>(a)</w:t>
            </w:r>
            <w:r>
              <w:tab/>
              <w:t>land comprised in a residential property; or</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r>
              <w:tab/>
              <w:t>(b)</w:t>
            </w:r>
            <w:r>
              <w:tab/>
              <w:t>a nursing home; or</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r>
              <w:tab/>
              <w:t>(c)</w:t>
            </w:r>
            <w:r>
              <w:tab/>
              <w:t>a caravan park; or</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(d)</w:t>
            </w:r>
            <w:r>
              <w:tab/>
              <w:t>land referred to in item 1 or 3,</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t xml:space="preserve">an amount of </w:t>
            </w:r>
            <w:r>
              <w:rPr>
                <w:spacing w:val="-1"/>
              </w:rPr>
              <w:tab/>
            </w:r>
          </w:p>
        </w:tc>
        <w:tc>
          <w:tcPr>
            <w:tcW w:w="1434" w:type="dxa"/>
            <w:vAlign w:val="bottom"/>
          </w:tcPr>
          <w:p>
            <w:pPr>
              <w:pStyle w:val="yTableNAm"/>
              <w:tabs>
                <w:tab w:val="clear" w:pos="567"/>
                <w:tab w:val="left" w:pos="335"/>
                <w:tab w:val="right" w:leader="dot" w:pos="4253"/>
              </w:tabs>
              <w:rPr>
                <w:spacing w:val="-1"/>
              </w:rPr>
            </w:pPr>
            <w:r>
              <w:t>2.700 cents/</w:t>
            </w:r>
            <w:r>
              <w:br/>
              <w:t>$ of GRV</w:t>
            </w: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$235.50</w:t>
            </w:r>
          </w:p>
        </w:tc>
      </w:tr>
      <w:tr>
        <w:trPr>
          <w:cantSplit/>
        </w:trPr>
        <w:tc>
          <w:tcPr>
            <w:tcW w:w="850" w:type="dxa"/>
          </w:tcPr>
          <w:p>
            <w:pPr>
              <w:pStyle w:val="yTableNAm"/>
              <w:tabs>
                <w:tab w:val="right" w:leader="dot" w:pos="4253"/>
              </w:tabs>
              <w:rPr>
                <w:b/>
                <w:bCs/>
              </w:rPr>
            </w:pPr>
            <w:r>
              <w:rPr>
                <w:b/>
                <w:bCs/>
              </w:rPr>
              <w:t>10.</w:t>
            </w:r>
          </w:p>
        </w:tc>
        <w:tc>
          <w:tcPr>
            <w:tcW w:w="4236" w:type="dxa"/>
          </w:tcPr>
          <w:p>
            <w:pPr>
              <w:pStyle w:val="yTableNAm"/>
              <w:keepNext/>
              <w:keepLines/>
              <w:tabs>
                <w:tab w:val="right" w:leader="dot" w:pos="4253"/>
              </w:tabs>
              <w:rPr>
                <w:b/>
                <w:bCs/>
              </w:rPr>
            </w:pPr>
            <w:r>
              <w:rPr>
                <w:b/>
                <w:bCs/>
              </w:rPr>
              <w:t>Country</w:t>
            </w:r>
          </w:p>
        </w:tc>
        <w:tc>
          <w:tcPr>
            <w:tcW w:w="1434" w:type="dxa"/>
            <w:vAlign w:val="bottom"/>
          </w:tcPr>
          <w:p>
            <w:pPr>
              <w:pStyle w:val="yTableNAm"/>
              <w:tabs>
                <w:tab w:val="right" w:leader="dot" w:pos="4253"/>
              </w:tabs>
              <w:rPr>
                <w:bCs/>
              </w:rPr>
            </w:pPr>
          </w:p>
        </w:tc>
      </w:tr>
      <w:tr>
        <w:trPr>
          <w:cantSplit/>
        </w:trPr>
        <w:tc>
          <w:tcPr>
            <w:tcW w:w="850" w:type="dxa"/>
          </w:tcPr>
          <w:p>
            <w:pPr>
              <w:pStyle w:val="yTableNAm"/>
              <w:rPr>
                <w:rStyle w:val="CharSClsNo"/>
              </w:rPr>
            </w:pPr>
          </w:p>
        </w:tc>
        <w:tc>
          <w:tcPr>
            <w:tcW w:w="4236" w:type="dxa"/>
          </w:tcPr>
          <w:p>
            <w:pPr>
              <w:pStyle w:val="yTableNAm"/>
              <w:keepNext/>
              <w:keepLines/>
              <w:tabs>
                <w:tab w:val="right" w:leader="dot" w:pos="4253"/>
              </w:tabs>
            </w:pPr>
            <w:r>
              <w:t>In respect of land in a country sewerage area referred to in column 1 of the following Table, not being land referred to in Division 1 or 7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(a)</w:t>
            </w:r>
            <w:r>
              <w:tab/>
              <w:t>where the land is classified as residential, an amount for each dollar of the GRV as set out in column 2 of the Table;</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(b)</w:t>
            </w:r>
            <w:r>
              <w:tab/>
              <w:t>where the land is not classified as residential, an amount for each dollar of the GRV as set out in column 3 of the Table,</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right" w:leader="dot" w:pos="4253"/>
              </w:tabs>
            </w:pPr>
            <w:r>
              <w:t>subject to a minimum in respect of any land the subject of a separate assessment of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(c)</w:t>
            </w:r>
            <w:r>
              <w:tab/>
              <w:t xml:space="preserve">in the case of land classified as residential </w:t>
            </w:r>
            <w:r>
              <w:tab/>
            </w:r>
          </w:p>
        </w:tc>
        <w:tc>
          <w:tcPr>
            <w:tcW w:w="1434" w:type="dxa"/>
            <w:vAlign w:val="bottom"/>
          </w:tcPr>
          <w:p>
            <w:pPr>
              <w:pStyle w:val="yTableNAm"/>
              <w:tabs>
                <w:tab w:val="clear" w:pos="567"/>
                <w:tab w:val="left" w:pos="335"/>
                <w:tab w:val="right" w:leader="dot" w:pos="4253"/>
              </w:tabs>
            </w:pPr>
            <w:r>
              <w:t>$313.20</w:t>
            </w: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(d)</w:t>
            </w:r>
            <w:r>
              <w:tab/>
              <w:t xml:space="preserve">in the case of land classified as vacant land </w:t>
            </w:r>
            <w:r>
              <w:tab/>
            </w:r>
          </w:p>
        </w:tc>
        <w:tc>
          <w:tcPr>
            <w:tcW w:w="1434" w:type="dxa"/>
            <w:vAlign w:val="bottom"/>
          </w:tcPr>
          <w:p>
            <w:pPr>
              <w:pStyle w:val="yTableNAm"/>
              <w:tabs>
                <w:tab w:val="clear" w:pos="567"/>
                <w:tab w:val="left" w:pos="335"/>
                <w:tab w:val="right" w:leader="dot" w:pos="4253"/>
              </w:tabs>
            </w:pPr>
            <w:r>
              <w:t>$206.10</w:t>
            </w: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(e)</w:t>
            </w:r>
            <w:r>
              <w:tab/>
              <w:t xml:space="preserve">in the case of land not classified as residential or vacant land </w:t>
            </w:r>
            <w:r>
              <w:tab/>
            </w:r>
          </w:p>
        </w:tc>
        <w:tc>
          <w:tcPr>
            <w:tcW w:w="1434" w:type="dxa"/>
            <w:vAlign w:val="bottom"/>
          </w:tcPr>
          <w:p>
            <w:pPr>
              <w:pStyle w:val="yTableNAm"/>
              <w:tabs>
                <w:tab w:val="clear" w:pos="567"/>
                <w:tab w:val="left" w:pos="335"/>
                <w:tab w:val="right" w:leader="dot" w:pos="4253"/>
              </w:tabs>
            </w:pPr>
            <w:r>
              <w:t>$728.40</w:t>
            </w:r>
          </w:p>
        </w:tc>
      </w:tr>
      <w:tr>
        <w:trPr>
          <w:cantSplit/>
        </w:trPr>
        <w:tc>
          <w:tcPr>
            <w:tcW w:w="850" w:type="dxa"/>
          </w:tcPr>
          <w:p>
            <w:pPr>
              <w:pStyle w:val="yTableNAm"/>
              <w:rPr>
                <w:rStyle w:val="CharSClsNo"/>
              </w:rPr>
            </w:pPr>
          </w:p>
        </w:tc>
        <w:tc>
          <w:tcPr>
            <w:tcW w:w="4236" w:type="dxa"/>
          </w:tcPr>
          <w:p>
            <w:pPr>
              <w:pStyle w:val="yTableNAm"/>
              <w:tabs>
                <w:tab w:val="right" w:leader="dot" w:pos="4253"/>
              </w:tabs>
            </w:pPr>
            <w:r>
              <w:t xml:space="preserve">and subject to a maximum in respect of any land classified as residential or classified as vacant land and held for residential purposes </w:t>
            </w:r>
            <w:r>
              <w:tab/>
            </w:r>
          </w:p>
        </w:tc>
        <w:tc>
          <w:tcPr>
            <w:tcW w:w="1434" w:type="dxa"/>
            <w:vAlign w:val="bottom"/>
          </w:tcPr>
          <w:p>
            <w:pPr>
              <w:pStyle w:val="yTableNAm"/>
              <w:tabs>
                <w:tab w:val="clear" w:pos="567"/>
                <w:tab w:val="left" w:pos="335"/>
                <w:tab w:val="right" w:leader="dot" w:pos="4253"/>
              </w:tabs>
            </w:pPr>
            <w:r>
              <w:t>$780.40</w:t>
            </w:r>
          </w:p>
        </w:tc>
      </w:tr>
    </w:tbl>
    <w:p>
      <w:pPr>
        <w:pStyle w:val="yMiscellaneousBody"/>
        <w:spacing w:before="0"/>
      </w:pPr>
    </w:p>
    <w:tbl>
      <w:tblPr>
        <w:tblW w:w="0" w:type="auto"/>
        <w:tblInd w:w="567" w:type="dxa"/>
        <w:tblLayout w:type="fixed"/>
        <w:tblCellMar>
          <w:left w:w="141" w:type="dxa"/>
          <w:right w:w="141" w:type="dxa"/>
        </w:tblCellMar>
        <w:tblLook w:val="0000" w:firstRow="0" w:lastRow="0" w:firstColumn="0" w:lastColumn="0" w:noHBand="0" w:noVBand="0"/>
      </w:tblPr>
      <w:tblGrid>
        <w:gridCol w:w="2173"/>
        <w:gridCol w:w="2173"/>
        <w:gridCol w:w="2174"/>
        <w:gridCol w:w="33"/>
      </w:tblGrid>
      <w:tr>
        <w:trPr>
          <w:gridAfter w:val="1"/>
          <w:wAfter w:w="33" w:type="dxa"/>
          <w:cantSplit/>
          <w:trHeight w:hRule="exact" w:val="851"/>
          <w:tblHeader/>
        </w:trPr>
        <w:tc>
          <w:tcPr>
            <w:tcW w:w="2173" w:type="dxa"/>
            <w:tcBorders>
              <w:top w:val="single" w:sz="4" w:space="0" w:color="auto"/>
              <w:bottom w:val="single" w:sz="4" w:space="0" w:color="auto"/>
            </w:tcBorders>
          </w:tcPr>
          <w:p>
            <w:pPr>
              <w:pStyle w:val="yTableNAm"/>
              <w:jc w:val="center"/>
              <w:rPr>
                <w:b/>
              </w:rPr>
            </w:pPr>
            <w:r>
              <w:rPr>
                <w:b/>
              </w:rPr>
              <w:t>Column 1</w:t>
            </w:r>
            <w:r>
              <w:rPr>
                <w:b/>
              </w:rPr>
              <w:br/>
              <w:t>Country sewerage area</w:t>
            </w:r>
          </w:p>
        </w:tc>
        <w:tc>
          <w:tcPr>
            <w:tcW w:w="2173" w:type="dxa"/>
            <w:tcBorders>
              <w:top w:val="single" w:sz="4" w:space="0" w:color="auto"/>
              <w:bottom w:val="single" w:sz="4" w:space="0" w:color="auto"/>
            </w:tcBorders>
          </w:tcPr>
          <w:p>
            <w:pPr>
              <w:pStyle w:val="yTableNAm"/>
              <w:jc w:val="center"/>
              <w:rPr>
                <w:b/>
              </w:rPr>
            </w:pPr>
            <w:r>
              <w:rPr>
                <w:b/>
              </w:rPr>
              <w:t>Column 2</w:t>
            </w:r>
            <w:r>
              <w:rPr>
                <w:b/>
              </w:rPr>
              <w:br/>
              <w:t>(Residential)</w:t>
            </w:r>
            <w:r>
              <w:rPr>
                <w:b/>
              </w:rPr>
              <w:br/>
              <w:t>cents/$ of GRV</w:t>
            </w:r>
          </w:p>
        </w:tc>
        <w:tc>
          <w:tcPr>
            <w:tcW w:w="2174" w:type="dxa"/>
            <w:tcBorders>
              <w:top w:val="single" w:sz="4" w:space="0" w:color="auto"/>
              <w:bottom w:val="single" w:sz="4" w:space="0" w:color="auto"/>
            </w:tcBorders>
          </w:tcPr>
          <w:p>
            <w:pPr>
              <w:pStyle w:val="yTableNAm"/>
              <w:jc w:val="center"/>
              <w:rPr>
                <w:b/>
              </w:rPr>
            </w:pPr>
            <w:r>
              <w:rPr>
                <w:b/>
              </w:rPr>
              <w:t>Column 3</w:t>
            </w:r>
            <w:r>
              <w:rPr>
                <w:b/>
              </w:rPr>
              <w:br/>
              <w:t>(Non</w:t>
            </w:r>
            <w:r>
              <w:rPr>
                <w:b/>
              </w:rPr>
              <w:noBreakHyphen/>
              <w:t>residential)</w:t>
            </w:r>
            <w:r>
              <w:rPr>
                <w:b/>
              </w:rPr>
              <w:br/>
              <w:t>cents/$ of GRV</w:t>
            </w:r>
          </w:p>
        </w:tc>
      </w:tr>
      <w:tr>
        <w:trPr>
          <w:gridAfter w:val="1"/>
          <w:wAfter w:w="33" w:type="dxa"/>
          <w:cantSplit/>
        </w:trPr>
        <w:tc>
          <w:tcPr>
            <w:tcW w:w="2173" w:type="dxa"/>
          </w:tcPr>
          <w:p>
            <w:pPr>
              <w:pStyle w:val="yTableNAm"/>
            </w:pPr>
            <w:r>
              <w:t>Albany</w:t>
            </w:r>
          </w:p>
        </w:tc>
        <w:tc>
          <w:tcPr>
            <w:tcW w:w="2173" w:type="dxa"/>
            <w:vAlign w:val="bottom"/>
          </w:tcPr>
          <w:p>
            <w:pPr>
              <w:pStyle w:val="yTableNAm"/>
              <w:jc w:val="center"/>
            </w:pPr>
            <w:r>
              <w:t>9.067</w:t>
            </w:r>
          </w:p>
        </w:tc>
        <w:tc>
          <w:tcPr>
            <w:tcW w:w="2174" w:type="dxa"/>
            <w:vAlign w:val="bottom"/>
          </w:tcPr>
          <w:p>
            <w:pPr>
              <w:pStyle w:val="yTableNAm"/>
              <w:jc w:val="center"/>
            </w:pPr>
            <w:r>
              <w:t>10.448</w:t>
            </w:r>
          </w:p>
        </w:tc>
      </w:tr>
      <w:tr>
        <w:trPr>
          <w:gridAfter w:val="1"/>
          <w:wAfter w:w="33" w:type="dxa"/>
          <w:cantSplit/>
        </w:trPr>
        <w:tc>
          <w:tcPr>
            <w:tcW w:w="2173" w:type="dxa"/>
          </w:tcPr>
          <w:p>
            <w:pPr>
              <w:pStyle w:val="yTableNAm"/>
            </w:pPr>
            <w:r>
              <w:t>Augusta</w:t>
            </w:r>
          </w:p>
        </w:tc>
        <w:tc>
          <w:tcPr>
            <w:tcW w:w="2173" w:type="dxa"/>
            <w:vAlign w:val="bottom"/>
          </w:tcPr>
          <w:p>
            <w:pPr>
              <w:pStyle w:val="yTableNAm"/>
              <w:jc w:val="center"/>
            </w:pPr>
            <w:r>
              <w:t>9.250</w:t>
            </w:r>
          </w:p>
        </w:tc>
        <w:tc>
          <w:tcPr>
            <w:tcW w:w="2174" w:type="dxa"/>
            <w:vAlign w:val="bottom"/>
          </w:tcPr>
          <w:p>
            <w:pPr>
              <w:pStyle w:val="yTableNAm"/>
              <w:jc w:val="center"/>
            </w:pPr>
            <w:r>
              <w:t>6.605</w:t>
            </w:r>
          </w:p>
        </w:tc>
      </w:tr>
      <w:tr>
        <w:trPr>
          <w:gridAfter w:val="1"/>
          <w:wAfter w:w="33" w:type="dxa"/>
          <w:cantSplit/>
        </w:trPr>
        <w:tc>
          <w:tcPr>
            <w:tcW w:w="2173" w:type="dxa"/>
          </w:tcPr>
          <w:p>
            <w:pPr>
              <w:pStyle w:val="yTableNAm"/>
            </w:pPr>
            <w:r>
              <w:t>Australind</w:t>
            </w:r>
          </w:p>
        </w:tc>
        <w:tc>
          <w:tcPr>
            <w:tcW w:w="2173" w:type="dxa"/>
            <w:vAlign w:val="bottom"/>
          </w:tcPr>
          <w:p>
            <w:pPr>
              <w:pStyle w:val="yTableNAm"/>
              <w:jc w:val="center"/>
            </w:pPr>
            <w:r>
              <w:t>5.894</w:t>
            </w:r>
          </w:p>
        </w:tc>
        <w:tc>
          <w:tcPr>
            <w:tcW w:w="2174" w:type="dxa"/>
            <w:vAlign w:val="bottom"/>
          </w:tcPr>
          <w:p>
            <w:pPr>
              <w:pStyle w:val="yTableNAm"/>
              <w:jc w:val="center"/>
            </w:pPr>
            <w:r>
              <w:t>1.493</w:t>
            </w:r>
          </w:p>
        </w:tc>
      </w:tr>
      <w:tr>
        <w:trPr>
          <w:gridAfter w:val="1"/>
          <w:wAfter w:w="33" w:type="dxa"/>
          <w:cantSplit/>
        </w:trPr>
        <w:tc>
          <w:tcPr>
            <w:tcW w:w="2173" w:type="dxa"/>
          </w:tcPr>
          <w:p>
            <w:pPr>
              <w:pStyle w:val="yTableNAm"/>
            </w:pPr>
            <w:r>
              <w:t>Beverley</w:t>
            </w:r>
          </w:p>
        </w:tc>
        <w:tc>
          <w:tcPr>
            <w:tcW w:w="2173" w:type="dxa"/>
            <w:vAlign w:val="bottom"/>
          </w:tcPr>
          <w:p>
            <w:pPr>
              <w:pStyle w:val="yTableNAm"/>
              <w:jc w:val="center"/>
            </w:pPr>
            <w:r>
              <w:t>9.198</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Binningup</w:t>
            </w:r>
          </w:p>
        </w:tc>
        <w:tc>
          <w:tcPr>
            <w:tcW w:w="2173" w:type="dxa"/>
            <w:vAlign w:val="bottom"/>
          </w:tcPr>
          <w:p>
            <w:pPr>
              <w:pStyle w:val="yTableNAm"/>
              <w:jc w:val="center"/>
            </w:pPr>
            <w:r>
              <w:t>12.000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Boddington</w:t>
            </w:r>
          </w:p>
        </w:tc>
        <w:tc>
          <w:tcPr>
            <w:tcW w:w="2173" w:type="dxa"/>
            <w:vAlign w:val="bottom"/>
          </w:tcPr>
          <w:p>
            <w:pPr>
              <w:pStyle w:val="yTableNAm"/>
              <w:jc w:val="center"/>
            </w:pPr>
            <w:r>
              <w:t>12.000</w:t>
            </w:r>
          </w:p>
        </w:tc>
        <w:tc>
          <w:tcPr>
            <w:tcW w:w="2174" w:type="dxa"/>
            <w:vAlign w:val="bottom"/>
          </w:tcPr>
          <w:p>
            <w:pPr>
              <w:pStyle w:val="yTableNAm"/>
              <w:jc w:val="center"/>
            </w:pPr>
            <w:r>
              <w:t>9.680</w:t>
            </w:r>
          </w:p>
        </w:tc>
      </w:tr>
      <w:tr>
        <w:trPr>
          <w:gridAfter w:val="1"/>
          <w:wAfter w:w="33" w:type="dxa"/>
          <w:cantSplit/>
        </w:trPr>
        <w:tc>
          <w:tcPr>
            <w:tcW w:w="2173" w:type="dxa"/>
          </w:tcPr>
          <w:p>
            <w:pPr>
              <w:pStyle w:val="yTableNAm"/>
            </w:pPr>
            <w:r>
              <w:t>Boyanup</w:t>
            </w:r>
          </w:p>
        </w:tc>
        <w:tc>
          <w:tcPr>
            <w:tcW w:w="2173" w:type="dxa"/>
            <w:vAlign w:val="bottom"/>
          </w:tcPr>
          <w:p>
            <w:pPr>
              <w:pStyle w:val="yTableNAm"/>
              <w:jc w:val="center"/>
            </w:pPr>
            <w:r>
              <w:t>12.000</w:t>
            </w:r>
          </w:p>
        </w:tc>
        <w:tc>
          <w:tcPr>
            <w:tcW w:w="2174" w:type="dxa"/>
            <w:vAlign w:val="bottom"/>
          </w:tcPr>
          <w:p>
            <w:pPr>
              <w:pStyle w:val="yTableNAm"/>
              <w:jc w:val="center"/>
            </w:pPr>
            <w:r>
              <w:t>5.381</w:t>
            </w:r>
          </w:p>
        </w:tc>
      </w:tr>
      <w:tr>
        <w:trPr>
          <w:gridAfter w:val="1"/>
          <w:wAfter w:w="33" w:type="dxa"/>
          <w:cantSplit/>
        </w:trPr>
        <w:tc>
          <w:tcPr>
            <w:tcW w:w="2173" w:type="dxa"/>
          </w:tcPr>
          <w:p>
            <w:pPr>
              <w:pStyle w:val="yTableNAm"/>
            </w:pPr>
            <w:r>
              <w:t>Bremer Bay</w:t>
            </w:r>
          </w:p>
        </w:tc>
        <w:tc>
          <w:tcPr>
            <w:tcW w:w="2173" w:type="dxa"/>
            <w:vAlign w:val="bottom"/>
          </w:tcPr>
          <w:p>
            <w:pPr>
              <w:pStyle w:val="yTableNAm"/>
              <w:jc w:val="center"/>
            </w:pPr>
            <w:r>
              <w:t>12.000</w:t>
            </w:r>
          </w:p>
        </w:tc>
        <w:tc>
          <w:tcPr>
            <w:tcW w:w="2174" w:type="dxa"/>
            <w:vAlign w:val="bottom"/>
          </w:tcPr>
          <w:p>
            <w:pPr>
              <w:pStyle w:val="yTableNAm"/>
              <w:jc w:val="center"/>
            </w:pPr>
            <w:r>
              <w:t>4.463</w:t>
            </w:r>
          </w:p>
        </w:tc>
      </w:tr>
      <w:tr>
        <w:trPr>
          <w:gridAfter w:val="1"/>
          <w:wAfter w:w="33" w:type="dxa"/>
          <w:cantSplit/>
        </w:trPr>
        <w:tc>
          <w:tcPr>
            <w:tcW w:w="2173" w:type="dxa"/>
          </w:tcPr>
          <w:p>
            <w:pPr>
              <w:pStyle w:val="yTableNAm"/>
            </w:pPr>
            <w:r>
              <w:t>Bridgetown</w:t>
            </w:r>
          </w:p>
        </w:tc>
        <w:tc>
          <w:tcPr>
            <w:tcW w:w="2173" w:type="dxa"/>
            <w:vAlign w:val="bottom"/>
          </w:tcPr>
          <w:p>
            <w:pPr>
              <w:pStyle w:val="yTableNAm"/>
              <w:jc w:val="center"/>
            </w:pPr>
            <w:r>
              <w:t>11.372</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Broome</w:t>
            </w:r>
          </w:p>
        </w:tc>
        <w:tc>
          <w:tcPr>
            <w:tcW w:w="2173" w:type="dxa"/>
            <w:vAlign w:val="bottom"/>
          </w:tcPr>
          <w:p>
            <w:pPr>
              <w:pStyle w:val="yTableNAm"/>
              <w:jc w:val="center"/>
            </w:pPr>
            <w:r>
              <w:t>6.250</w:t>
            </w:r>
          </w:p>
        </w:tc>
        <w:tc>
          <w:tcPr>
            <w:tcW w:w="2174" w:type="dxa"/>
            <w:vAlign w:val="bottom"/>
          </w:tcPr>
          <w:p>
            <w:pPr>
              <w:pStyle w:val="yTableNAm"/>
              <w:jc w:val="center"/>
            </w:pPr>
            <w:r>
              <w:t>2.548</w:t>
            </w:r>
          </w:p>
        </w:tc>
      </w:tr>
      <w:tr>
        <w:trPr>
          <w:gridAfter w:val="1"/>
          <w:wAfter w:w="33" w:type="dxa"/>
          <w:cantSplit/>
        </w:trPr>
        <w:tc>
          <w:tcPr>
            <w:tcW w:w="2173" w:type="dxa"/>
          </w:tcPr>
          <w:p>
            <w:pPr>
              <w:pStyle w:val="yTableNAm"/>
            </w:pPr>
            <w:r>
              <w:t>Brunswick</w:t>
            </w:r>
          </w:p>
        </w:tc>
        <w:tc>
          <w:tcPr>
            <w:tcW w:w="2173" w:type="dxa"/>
            <w:vAlign w:val="bottom"/>
          </w:tcPr>
          <w:p>
            <w:pPr>
              <w:pStyle w:val="yTableNAm"/>
              <w:jc w:val="center"/>
            </w:pPr>
            <w:r>
              <w:t>6.583</w:t>
            </w:r>
          </w:p>
        </w:tc>
        <w:tc>
          <w:tcPr>
            <w:tcW w:w="2174" w:type="dxa"/>
            <w:vAlign w:val="bottom"/>
          </w:tcPr>
          <w:p>
            <w:pPr>
              <w:pStyle w:val="yTableNAm"/>
              <w:jc w:val="center"/>
            </w:pPr>
            <w:r>
              <w:t>10.001</w:t>
            </w:r>
          </w:p>
        </w:tc>
      </w:tr>
      <w:tr>
        <w:trPr>
          <w:gridAfter w:val="1"/>
          <w:wAfter w:w="33" w:type="dxa"/>
          <w:cantSplit/>
        </w:trPr>
        <w:tc>
          <w:tcPr>
            <w:tcW w:w="2173" w:type="dxa"/>
          </w:tcPr>
          <w:p>
            <w:pPr>
              <w:pStyle w:val="yTableNAm"/>
            </w:pPr>
            <w:r>
              <w:lastRenderedPageBreak/>
              <w:t>Bunbury</w:t>
            </w:r>
            <w:r>
              <w:br/>
              <w:t>(1/07/10 Values)</w:t>
            </w:r>
          </w:p>
        </w:tc>
        <w:tc>
          <w:tcPr>
            <w:tcW w:w="2173" w:type="dxa"/>
            <w:vAlign w:val="bottom"/>
          </w:tcPr>
          <w:p>
            <w:pPr>
              <w:pStyle w:val="yTableNAm"/>
              <w:jc w:val="center"/>
            </w:pPr>
            <w:r>
              <w:t>4.198</w:t>
            </w:r>
          </w:p>
        </w:tc>
        <w:tc>
          <w:tcPr>
            <w:tcW w:w="2174" w:type="dxa"/>
            <w:vAlign w:val="bottom"/>
          </w:tcPr>
          <w:p>
            <w:pPr>
              <w:pStyle w:val="yTableNAm"/>
              <w:jc w:val="center"/>
            </w:pPr>
            <w:r>
              <w:t>3.239</w:t>
            </w:r>
          </w:p>
        </w:tc>
      </w:tr>
      <w:tr>
        <w:trPr>
          <w:gridAfter w:val="1"/>
          <w:wAfter w:w="33" w:type="dxa"/>
          <w:cantSplit/>
        </w:trPr>
        <w:tc>
          <w:tcPr>
            <w:tcW w:w="2173" w:type="dxa"/>
          </w:tcPr>
          <w:p>
            <w:pPr>
              <w:pStyle w:val="yTableNAm"/>
            </w:pPr>
            <w:r>
              <w:t>Bunbury</w:t>
            </w:r>
            <w:r>
              <w:br/>
              <w:t>(1/07/11 Values)</w:t>
            </w:r>
          </w:p>
        </w:tc>
        <w:tc>
          <w:tcPr>
            <w:tcW w:w="2173" w:type="dxa"/>
            <w:vAlign w:val="bottom"/>
          </w:tcPr>
          <w:p>
            <w:pPr>
              <w:pStyle w:val="yTableNAm"/>
              <w:jc w:val="center"/>
            </w:pPr>
            <w:r>
              <w:t>5.865</w:t>
            </w:r>
          </w:p>
        </w:tc>
        <w:tc>
          <w:tcPr>
            <w:tcW w:w="2174" w:type="dxa"/>
            <w:vAlign w:val="bottom"/>
          </w:tcPr>
          <w:p>
            <w:pPr>
              <w:pStyle w:val="yTableNAm"/>
              <w:jc w:val="center"/>
            </w:pPr>
            <w:r>
              <w:t>5.755</w:t>
            </w:r>
          </w:p>
        </w:tc>
      </w:tr>
      <w:tr>
        <w:trPr>
          <w:gridAfter w:val="1"/>
          <w:wAfter w:w="33" w:type="dxa"/>
          <w:cantSplit/>
        </w:trPr>
        <w:tc>
          <w:tcPr>
            <w:tcW w:w="2173" w:type="dxa"/>
          </w:tcPr>
          <w:p>
            <w:pPr>
              <w:pStyle w:val="yTableNAm"/>
            </w:pPr>
            <w:r>
              <w:t>Burekup</w:t>
            </w:r>
          </w:p>
        </w:tc>
        <w:tc>
          <w:tcPr>
            <w:tcW w:w="2173" w:type="dxa"/>
            <w:vAlign w:val="bottom"/>
          </w:tcPr>
          <w:p>
            <w:pPr>
              <w:pStyle w:val="yTableNAm"/>
              <w:jc w:val="center"/>
            </w:pPr>
            <w:r>
              <w:t>10.752</w:t>
            </w:r>
          </w:p>
        </w:tc>
        <w:tc>
          <w:tcPr>
            <w:tcW w:w="2174" w:type="dxa"/>
            <w:vAlign w:val="bottom"/>
          </w:tcPr>
          <w:p>
            <w:pPr>
              <w:pStyle w:val="yTableNAm"/>
              <w:jc w:val="center"/>
            </w:pPr>
            <w:r>
              <w:t>5.137</w:t>
            </w:r>
          </w:p>
        </w:tc>
      </w:tr>
      <w:tr>
        <w:trPr>
          <w:gridAfter w:val="1"/>
          <w:wAfter w:w="33" w:type="dxa"/>
          <w:cantSplit/>
        </w:trPr>
        <w:tc>
          <w:tcPr>
            <w:tcW w:w="2173" w:type="dxa"/>
          </w:tcPr>
          <w:p>
            <w:pPr>
              <w:pStyle w:val="yTableNAm"/>
            </w:pPr>
            <w:r>
              <w:t>Busselton</w:t>
            </w:r>
          </w:p>
        </w:tc>
        <w:tc>
          <w:tcPr>
            <w:tcW w:w="2173" w:type="dxa"/>
            <w:vAlign w:val="bottom"/>
          </w:tcPr>
          <w:p>
            <w:pPr>
              <w:pStyle w:val="yTableNAm"/>
              <w:jc w:val="center"/>
            </w:pPr>
            <w:r>
              <w:t>5.020</w:t>
            </w:r>
          </w:p>
        </w:tc>
        <w:tc>
          <w:tcPr>
            <w:tcW w:w="2174" w:type="dxa"/>
            <w:vAlign w:val="bottom"/>
          </w:tcPr>
          <w:p>
            <w:pPr>
              <w:pStyle w:val="yTableNAm"/>
              <w:jc w:val="center"/>
            </w:pPr>
            <w:r>
              <w:t>7.100</w:t>
            </w:r>
          </w:p>
        </w:tc>
      </w:tr>
      <w:tr>
        <w:trPr>
          <w:gridAfter w:val="1"/>
          <w:wAfter w:w="33" w:type="dxa"/>
          <w:cantSplit/>
        </w:trPr>
        <w:tc>
          <w:tcPr>
            <w:tcW w:w="2173" w:type="dxa"/>
          </w:tcPr>
          <w:p>
            <w:pPr>
              <w:pStyle w:val="yTableNAm"/>
            </w:pPr>
            <w:r>
              <w:t>Cape Burney</w:t>
            </w:r>
          </w:p>
        </w:tc>
        <w:tc>
          <w:tcPr>
            <w:tcW w:w="2173" w:type="dxa"/>
            <w:vAlign w:val="bottom"/>
          </w:tcPr>
          <w:p>
            <w:pPr>
              <w:pStyle w:val="yTableNAm"/>
              <w:jc w:val="center"/>
            </w:pPr>
            <w:r>
              <w:t>6.600</w:t>
            </w:r>
          </w:p>
        </w:tc>
        <w:tc>
          <w:tcPr>
            <w:tcW w:w="2174" w:type="dxa"/>
            <w:vAlign w:val="bottom"/>
          </w:tcPr>
          <w:p>
            <w:pPr>
              <w:pStyle w:val="yTableNAm"/>
              <w:jc w:val="center"/>
            </w:pPr>
            <w:r>
              <w:t>4.850</w:t>
            </w:r>
          </w:p>
        </w:tc>
      </w:tr>
      <w:tr>
        <w:trPr>
          <w:gridAfter w:val="1"/>
          <w:wAfter w:w="33" w:type="dxa"/>
          <w:cantSplit/>
        </w:trPr>
        <w:tc>
          <w:tcPr>
            <w:tcW w:w="2173" w:type="dxa"/>
          </w:tcPr>
          <w:p>
            <w:pPr>
              <w:pStyle w:val="yTableNAm"/>
            </w:pPr>
            <w:r>
              <w:t>Capel</w:t>
            </w:r>
          </w:p>
        </w:tc>
        <w:tc>
          <w:tcPr>
            <w:tcW w:w="2173" w:type="dxa"/>
            <w:vAlign w:val="bottom"/>
          </w:tcPr>
          <w:p>
            <w:pPr>
              <w:pStyle w:val="yTableNAm"/>
              <w:jc w:val="center"/>
            </w:pPr>
            <w:r>
              <w:t>11.939</w:t>
            </w:r>
          </w:p>
        </w:tc>
        <w:tc>
          <w:tcPr>
            <w:tcW w:w="2174" w:type="dxa"/>
            <w:vAlign w:val="bottom"/>
          </w:tcPr>
          <w:p>
            <w:pPr>
              <w:pStyle w:val="yTableNAm"/>
              <w:jc w:val="center"/>
            </w:pPr>
            <w:r>
              <w:t>4.211</w:t>
            </w:r>
          </w:p>
        </w:tc>
      </w:tr>
      <w:tr>
        <w:trPr>
          <w:gridAfter w:val="1"/>
          <w:wAfter w:w="33" w:type="dxa"/>
          <w:cantSplit/>
        </w:trPr>
        <w:tc>
          <w:tcPr>
            <w:tcW w:w="2173" w:type="dxa"/>
          </w:tcPr>
          <w:p>
            <w:pPr>
              <w:pStyle w:val="yTableNAm"/>
            </w:pPr>
            <w:r>
              <w:t>Carnarvon</w:t>
            </w:r>
          </w:p>
        </w:tc>
        <w:tc>
          <w:tcPr>
            <w:tcW w:w="2173" w:type="dxa"/>
            <w:vAlign w:val="bottom"/>
          </w:tcPr>
          <w:p>
            <w:pPr>
              <w:pStyle w:val="yTableNAm"/>
              <w:jc w:val="center"/>
            </w:pPr>
            <w:r>
              <w:t>8.666</w:t>
            </w:r>
          </w:p>
        </w:tc>
        <w:tc>
          <w:tcPr>
            <w:tcW w:w="2174" w:type="dxa"/>
            <w:vAlign w:val="bottom"/>
          </w:tcPr>
          <w:p>
            <w:pPr>
              <w:pStyle w:val="yTableNAm"/>
              <w:jc w:val="center"/>
            </w:pPr>
            <w:r>
              <w:t>7.724</w:t>
            </w:r>
          </w:p>
        </w:tc>
      </w:tr>
      <w:tr>
        <w:trPr>
          <w:gridAfter w:val="1"/>
          <w:wAfter w:w="33" w:type="dxa"/>
          <w:cantSplit/>
        </w:trPr>
        <w:tc>
          <w:tcPr>
            <w:tcW w:w="2173" w:type="dxa"/>
          </w:tcPr>
          <w:p>
            <w:pPr>
              <w:pStyle w:val="yTableNAm"/>
            </w:pPr>
            <w:r>
              <w:t>Cervantes</w:t>
            </w:r>
          </w:p>
        </w:tc>
        <w:tc>
          <w:tcPr>
            <w:tcW w:w="2173" w:type="dxa"/>
            <w:vAlign w:val="bottom"/>
          </w:tcPr>
          <w:p>
            <w:pPr>
              <w:pStyle w:val="yTableNAm"/>
              <w:jc w:val="center"/>
            </w:pPr>
            <w:r>
              <w:t>12.000</w:t>
            </w:r>
          </w:p>
        </w:tc>
        <w:tc>
          <w:tcPr>
            <w:tcW w:w="2174" w:type="dxa"/>
            <w:vAlign w:val="bottom"/>
          </w:tcPr>
          <w:p>
            <w:pPr>
              <w:pStyle w:val="yTableNAm"/>
              <w:jc w:val="center"/>
            </w:pPr>
            <w:r>
              <w:t>2.678</w:t>
            </w:r>
          </w:p>
        </w:tc>
      </w:tr>
      <w:tr>
        <w:trPr>
          <w:gridAfter w:val="1"/>
          <w:wAfter w:w="33" w:type="dxa"/>
          <w:cantSplit/>
        </w:trPr>
        <w:tc>
          <w:tcPr>
            <w:tcW w:w="2173" w:type="dxa"/>
          </w:tcPr>
          <w:p>
            <w:pPr>
              <w:pStyle w:val="yTableNAm"/>
            </w:pPr>
            <w:r>
              <w:t>Collie</w:t>
            </w:r>
          </w:p>
        </w:tc>
        <w:tc>
          <w:tcPr>
            <w:tcW w:w="2173" w:type="dxa"/>
            <w:vAlign w:val="bottom"/>
          </w:tcPr>
          <w:p>
            <w:pPr>
              <w:pStyle w:val="yTableNAm"/>
              <w:jc w:val="center"/>
            </w:pPr>
            <w:r>
              <w:t>10.140</w:t>
            </w:r>
          </w:p>
        </w:tc>
        <w:tc>
          <w:tcPr>
            <w:tcW w:w="2174" w:type="dxa"/>
            <w:vAlign w:val="bottom"/>
          </w:tcPr>
          <w:p>
            <w:pPr>
              <w:pStyle w:val="yTableNAm"/>
              <w:jc w:val="center"/>
            </w:pPr>
            <w:r>
              <w:t>8.738</w:t>
            </w:r>
          </w:p>
        </w:tc>
      </w:tr>
      <w:tr>
        <w:trPr>
          <w:gridAfter w:val="1"/>
          <w:wAfter w:w="33" w:type="dxa"/>
          <w:cantSplit/>
        </w:trPr>
        <w:tc>
          <w:tcPr>
            <w:tcW w:w="2173" w:type="dxa"/>
          </w:tcPr>
          <w:p>
            <w:pPr>
              <w:pStyle w:val="yTableNAm"/>
            </w:pPr>
            <w:r>
              <w:t>Coral Bay</w:t>
            </w:r>
          </w:p>
        </w:tc>
        <w:tc>
          <w:tcPr>
            <w:tcW w:w="2173" w:type="dxa"/>
            <w:vAlign w:val="bottom"/>
          </w:tcPr>
          <w:p>
            <w:pPr>
              <w:pStyle w:val="yTableNAm"/>
              <w:jc w:val="center"/>
            </w:pPr>
            <w:r>
              <w:t>12.000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Corrigin</w:t>
            </w:r>
          </w:p>
        </w:tc>
        <w:tc>
          <w:tcPr>
            <w:tcW w:w="2173" w:type="dxa"/>
            <w:vAlign w:val="bottom"/>
          </w:tcPr>
          <w:p>
            <w:pPr>
              <w:pStyle w:val="yTableNAm"/>
              <w:jc w:val="center"/>
            </w:pPr>
            <w:r>
              <w:t>10.669</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Cowaramup</w:t>
            </w:r>
          </w:p>
        </w:tc>
        <w:tc>
          <w:tcPr>
            <w:tcW w:w="2173" w:type="dxa"/>
            <w:vAlign w:val="bottom"/>
          </w:tcPr>
          <w:p>
            <w:pPr>
              <w:pStyle w:val="yTableNAm"/>
              <w:jc w:val="center"/>
            </w:pPr>
            <w:r>
              <w:t>7.160</w:t>
            </w:r>
          </w:p>
        </w:tc>
        <w:tc>
          <w:tcPr>
            <w:tcW w:w="2174" w:type="dxa"/>
            <w:vAlign w:val="bottom"/>
          </w:tcPr>
          <w:p>
            <w:pPr>
              <w:pStyle w:val="yTableNAm"/>
              <w:jc w:val="center"/>
            </w:pPr>
            <w:r>
              <w:t>8.283</w:t>
            </w:r>
          </w:p>
        </w:tc>
      </w:tr>
      <w:tr>
        <w:trPr>
          <w:gridAfter w:val="1"/>
          <w:wAfter w:w="33" w:type="dxa"/>
          <w:cantSplit/>
        </w:trPr>
        <w:tc>
          <w:tcPr>
            <w:tcW w:w="2173" w:type="dxa"/>
          </w:tcPr>
          <w:p>
            <w:pPr>
              <w:pStyle w:val="yTableNAm"/>
            </w:pPr>
            <w:r>
              <w:t>Cranbrook</w:t>
            </w:r>
          </w:p>
        </w:tc>
        <w:tc>
          <w:tcPr>
            <w:tcW w:w="2173" w:type="dxa"/>
            <w:vAlign w:val="bottom"/>
          </w:tcPr>
          <w:p>
            <w:pPr>
              <w:pStyle w:val="yTableNAm"/>
              <w:jc w:val="center"/>
            </w:pPr>
            <w:r>
              <w:t>12.000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Cunderdin</w:t>
            </w:r>
          </w:p>
        </w:tc>
        <w:tc>
          <w:tcPr>
            <w:tcW w:w="2173" w:type="dxa"/>
            <w:vAlign w:val="bottom"/>
          </w:tcPr>
          <w:p>
            <w:pPr>
              <w:pStyle w:val="yTableNAm"/>
              <w:jc w:val="center"/>
            </w:pPr>
            <w:r>
              <w:t>7.570</w:t>
            </w:r>
          </w:p>
        </w:tc>
        <w:tc>
          <w:tcPr>
            <w:tcW w:w="2174" w:type="dxa"/>
            <w:vAlign w:val="bottom"/>
          </w:tcPr>
          <w:p>
            <w:pPr>
              <w:pStyle w:val="yTableNAm"/>
              <w:jc w:val="center"/>
            </w:pPr>
            <w:r>
              <w:t>10.826</w:t>
            </w:r>
          </w:p>
        </w:tc>
      </w:tr>
      <w:tr>
        <w:trPr>
          <w:gridAfter w:val="1"/>
          <w:wAfter w:w="33" w:type="dxa"/>
          <w:cantSplit/>
        </w:trPr>
        <w:tc>
          <w:tcPr>
            <w:tcW w:w="2173" w:type="dxa"/>
          </w:tcPr>
          <w:p>
            <w:pPr>
              <w:pStyle w:val="yTableNAm"/>
            </w:pPr>
            <w:r>
              <w:t>Dardanup</w:t>
            </w:r>
          </w:p>
        </w:tc>
        <w:tc>
          <w:tcPr>
            <w:tcW w:w="2173" w:type="dxa"/>
            <w:vAlign w:val="bottom"/>
          </w:tcPr>
          <w:p>
            <w:pPr>
              <w:pStyle w:val="yTableNAm"/>
              <w:jc w:val="center"/>
            </w:pPr>
            <w:r>
              <w:t>12.000</w:t>
            </w:r>
          </w:p>
        </w:tc>
        <w:tc>
          <w:tcPr>
            <w:tcW w:w="2174" w:type="dxa"/>
            <w:vAlign w:val="bottom"/>
          </w:tcPr>
          <w:p>
            <w:pPr>
              <w:pStyle w:val="yTableNAm"/>
              <w:jc w:val="center"/>
            </w:pPr>
            <w:r>
              <w:t>9.003</w:t>
            </w:r>
          </w:p>
        </w:tc>
      </w:tr>
      <w:tr>
        <w:trPr>
          <w:gridAfter w:val="1"/>
          <w:wAfter w:w="33" w:type="dxa"/>
          <w:cantSplit/>
        </w:trPr>
        <w:tc>
          <w:tcPr>
            <w:tcW w:w="2173" w:type="dxa"/>
          </w:tcPr>
          <w:p>
            <w:pPr>
              <w:pStyle w:val="yTableNAm"/>
            </w:pPr>
            <w:r>
              <w:t>Denham</w:t>
            </w:r>
          </w:p>
        </w:tc>
        <w:tc>
          <w:tcPr>
            <w:tcW w:w="2173" w:type="dxa"/>
            <w:vAlign w:val="bottom"/>
          </w:tcPr>
          <w:p>
            <w:pPr>
              <w:pStyle w:val="yTableNAm"/>
              <w:jc w:val="center"/>
            </w:pPr>
            <w:r>
              <w:t>12.000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Denmark</w:t>
            </w:r>
          </w:p>
        </w:tc>
        <w:tc>
          <w:tcPr>
            <w:tcW w:w="2173" w:type="dxa"/>
            <w:vAlign w:val="bottom"/>
          </w:tcPr>
          <w:p>
            <w:pPr>
              <w:pStyle w:val="yTableNAm"/>
              <w:jc w:val="center"/>
            </w:pPr>
            <w:r>
              <w:t>12.000</w:t>
            </w:r>
          </w:p>
        </w:tc>
        <w:tc>
          <w:tcPr>
            <w:tcW w:w="2174" w:type="dxa"/>
            <w:vAlign w:val="bottom"/>
          </w:tcPr>
          <w:p>
            <w:pPr>
              <w:pStyle w:val="yTableNAm"/>
              <w:jc w:val="center"/>
            </w:pPr>
            <w:r>
              <w:t>9.068</w:t>
            </w:r>
          </w:p>
        </w:tc>
      </w:tr>
      <w:tr>
        <w:trPr>
          <w:gridAfter w:val="1"/>
          <w:wAfter w:w="33" w:type="dxa"/>
          <w:cantSplit/>
        </w:trPr>
        <w:tc>
          <w:tcPr>
            <w:tcW w:w="2173" w:type="dxa"/>
          </w:tcPr>
          <w:p>
            <w:pPr>
              <w:pStyle w:val="yTableNAm"/>
            </w:pPr>
            <w:r>
              <w:t>Derby</w:t>
            </w:r>
          </w:p>
        </w:tc>
        <w:tc>
          <w:tcPr>
            <w:tcW w:w="2173" w:type="dxa"/>
            <w:vAlign w:val="bottom"/>
          </w:tcPr>
          <w:p>
            <w:pPr>
              <w:pStyle w:val="yTableNAm"/>
              <w:jc w:val="center"/>
            </w:pPr>
            <w:r>
              <w:t>8.786</w:t>
            </w:r>
          </w:p>
        </w:tc>
        <w:tc>
          <w:tcPr>
            <w:tcW w:w="2174" w:type="dxa"/>
            <w:vAlign w:val="bottom"/>
          </w:tcPr>
          <w:p>
            <w:pPr>
              <w:pStyle w:val="yTableNAm"/>
              <w:jc w:val="center"/>
            </w:pPr>
            <w:r>
              <w:t>3.671</w:t>
            </w:r>
          </w:p>
        </w:tc>
      </w:tr>
      <w:tr>
        <w:trPr>
          <w:gridAfter w:val="1"/>
          <w:wAfter w:w="33" w:type="dxa"/>
          <w:cantSplit/>
        </w:trPr>
        <w:tc>
          <w:tcPr>
            <w:tcW w:w="2173" w:type="dxa"/>
          </w:tcPr>
          <w:p>
            <w:pPr>
              <w:pStyle w:val="yTableNAm"/>
            </w:pPr>
            <w:r>
              <w:t>Dongara</w:t>
            </w:r>
            <w:r>
              <w:noBreakHyphen/>
              <w:t>Denison</w:t>
            </w:r>
          </w:p>
        </w:tc>
        <w:tc>
          <w:tcPr>
            <w:tcW w:w="2173" w:type="dxa"/>
            <w:vAlign w:val="bottom"/>
          </w:tcPr>
          <w:p>
            <w:pPr>
              <w:pStyle w:val="yTableNAm"/>
              <w:jc w:val="center"/>
            </w:pPr>
            <w:r>
              <w:t>8.508</w:t>
            </w:r>
          </w:p>
        </w:tc>
        <w:tc>
          <w:tcPr>
            <w:tcW w:w="2174" w:type="dxa"/>
            <w:vAlign w:val="bottom"/>
          </w:tcPr>
          <w:p>
            <w:pPr>
              <w:pStyle w:val="yTableNAm"/>
              <w:jc w:val="center"/>
            </w:pPr>
            <w:r>
              <w:t>4.942</w:t>
            </w:r>
          </w:p>
        </w:tc>
      </w:tr>
      <w:tr>
        <w:trPr>
          <w:gridAfter w:val="1"/>
          <w:wAfter w:w="33" w:type="dxa"/>
          <w:cantSplit/>
        </w:trPr>
        <w:tc>
          <w:tcPr>
            <w:tcW w:w="2173" w:type="dxa"/>
          </w:tcPr>
          <w:p>
            <w:pPr>
              <w:pStyle w:val="yTableNAm"/>
            </w:pPr>
            <w:r>
              <w:t>Donnybrook</w:t>
            </w:r>
          </w:p>
        </w:tc>
        <w:tc>
          <w:tcPr>
            <w:tcW w:w="2173" w:type="dxa"/>
            <w:vAlign w:val="bottom"/>
          </w:tcPr>
          <w:p>
            <w:pPr>
              <w:pStyle w:val="yTableNAm"/>
              <w:jc w:val="center"/>
            </w:pPr>
            <w:r>
              <w:t>9.825</w:t>
            </w:r>
          </w:p>
        </w:tc>
        <w:tc>
          <w:tcPr>
            <w:tcW w:w="2174" w:type="dxa"/>
            <w:vAlign w:val="bottom"/>
          </w:tcPr>
          <w:p>
            <w:pPr>
              <w:pStyle w:val="yTableNAm"/>
              <w:jc w:val="center"/>
            </w:pPr>
            <w:r>
              <w:t>5.998</w:t>
            </w:r>
          </w:p>
        </w:tc>
      </w:tr>
      <w:tr>
        <w:trPr>
          <w:gridAfter w:val="1"/>
          <w:wAfter w:w="33" w:type="dxa"/>
          <w:cantSplit/>
        </w:trPr>
        <w:tc>
          <w:tcPr>
            <w:tcW w:w="2173" w:type="dxa"/>
          </w:tcPr>
          <w:p>
            <w:pPr>
              <w:pStyle w:val="yTableNAm"/>
            </w:pPr>
            <w:r>
              <w:t>Dunsborough</w:t>
            </w:r>
          </w:p>
        </w:tc>
        <w:tc>
          <w:tcPr>
            <w:tcW w:w="2173" w:type="dxa"/>
            <w:vAlign w:val="bottom"/>
          </w:tcPr>
          <w:p>
            <w:pPr>
              <w:pStyle w:val="yTableNAm"/>
              <w:jc w:val="center"/>
            </w:pPr>
            <w:r>
              <w:t>6.350</w:t>
            </w:r>
          </w:p>
        </w:tc>
        <w:tc>
          <w:tcPr>
            <w:tcW w:w="2174" w:type="dxa"/>
            <w:vAlign w:val="bottom"/>
          </w:tcPr>
          <w:p>
            <w:pPr>
              <w:pStyle w:val="yTableNAm"/>
              <w:jc w:val="center"/>
            </w:pPr>
            <w:r>
              <w:t>5.335</w:t>
            </w:r>
          </w:p>
        </w:tc>
      </w:tr>
      <w:tr>
        <w:trPr>
          <w:gridAfter w:val="1"/>
          <w:wAfter w:w="33" w:type="dxa"/>
          <w:cantSplit/>
        </w:trPr>
        <w:tc>
          <w:tcPr>
            <w:tcW w:w="2173" w:type="dxa"/>
          </w:tcPr>
          <w:p>
            <w:pPr>
              <w:pStyle w:val="yTableNAm"/>
            </w:pPr>
            <w:r>
              <w:t>Eaton</w:t>
            </w:r>
          </w:p>
        </w:tc>
        <w:tc>
          <w:tcPr>
            <w:tcW w:w="2173" w:type="dxa"/>
            <w:vAlign w:val="bottom"/>
          </w:tcPr>
          <w:p>
            <w:pPr>
              <w:pStyle w:val="yTableNAm"/>
              <w:jc w:val="center"/>
            </w:pPr>
            <w:r>
              <w:t>9.731</w:t>
            </w:r>
          </w:p>
        </w:tc>
        <w:tc>
          <w:tcPr>
            <w:tcW w:w="2174" w:type="dxa"/>
            <w:vAlign w:val="bottom"/>
          </w:tcPr>
          <w:p>
            <w:pPr>
              <w:pStyle w:val="yTableNAm"/>
              <w:jc w:val="center"/>
            </w:pPr>
            <w:r>
              <w:t>5.340</w:t>
            </w:r>
          </w:p>
        </w:tc>
      </w:tr>
      <w:tr>
        <w:trPr>
          <w:gridAfter w:val="1"/>
          <w:wAfter w:w="33" w:type="dxa"/>
          <w:cantSplit/>
        </w:trPr>
        <w:tc>
          <w:tcPr>
            <w:tcW w:w="2173" w:type="dxa"/>
          </w:tcPr>
          <w:p>
            <w:pPr>
              <w:pStyle w:val="yTableNAm"/>
            </w:pPr>
            <w:r>
              <w:t>Eneabba</w:t>
            </w:r>
          </w:p>
        </w:tc>
        <w:tc>
          <w:tcPr>
            <w:tcW w:w="2173" w:type="dxa"/>
            <w:vAlign w:val="bottom"/>
          </w:tcPr>
          <w:p>
            <w:pPr>
              <w:pStyle w:val="yTableNAm"/>
              <w:jc w:val="center"/>
            </w:pPr>
            <w:r>
              <w:t>12.000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lastRenderedPageBreak/>
              <w:t>Esperance</w:t>
            </w:r>
          </w:p>
        </w:tc>
        <w:tc>
          <w:tcPr>
            <w:tcW w:w="2173" w:type="dxa"/>
            <w:vAlign w:val="bottom"/>
          </w:tcPr>
          <w:p>
            <w:pPr>
              <w:pStyle w:val="yTableNAm"/>
              <w:jc w:val="center"/>
            </w:pPr>
            <w:r>
              <w:t>7.163</w:t>
            </w:r>
          </w:p>
        </w:tc>
        <w:tc>
          <w:tcPr>
            <w:tcW w:w="2174" w:type="dxa"/>
            <w:vAlign w:val="bottom"/>
          </w:tcPr>
          <w:p>
            <w:pPr>
              <w:pStyle w:val="yTableNAm"/>
              <w:jc w:val="center"/>
            </w:pPr>
            <w:r>
              <w:t>6.297</w:t>
            </w:r>
          </w:p>
        </w:tc>
      </w:tr>
      <w:tr>
        <w:trPr>
          <w:gridAfter w:val="1"/>
          <w:wAfter w:w="33" w:type="dxa"/>
          <w:cantSplit/>
        </w:trPr>
        <w:tc>
          <w:tcPr>
            <w:tcW w:w="2173" w:type="dxa"/>
          </w:tcPr>
          <w:p>
            <w:pPr>
              <w:pStyle w:val="yTableNAm"/>
            </w:pPr>
            <w:r>
              <w:t>Exmouth</w:t>
            </w:r>
          </w:p>
        </w:tc>
        <w:tc>
          <w:tcPr>
            <w:tcW w:w="2173" w:type="dxa"/>
            <w:vAlign w:val="bottom"/>
          </w:tcPr>
          <w:p>
            <w:pPr>
              <w:pStyle w:val="yTableNAm"/>
              <w:jc w:val="center"/>
            </w:pPr>
            <w:r>
              <w:t>3.725</w:t>
            </w:r>
          </w:p>
        </w:tc>
        <w:tc>
          <w:tcPr>
            <w:tcW w:w="2174" w:type="dxa"/>
            <w:vAlign w:val="bottom"/>
          </w:tcPr>
          <w:p>
            <w:pPr>
              <w:pStyle w:val="yTableNAm"/>
              <w:jc w:val="center"/>
            </w:pPr>
            <w:r>
              <w:t>1.474</w:t>
            </w:r>
          </w:p>
        </w:tc>
      </w:tr>
      <w:tr>
        <w:trPr>
          <w:gridAfter w:val="1"/>
          <w:wAfter w:w="33" w:type="dxa"/>
          <w:cantSplit/>
        </w:trPr>
        <w:tc>
          <w:tcPr>
            <w:tcW w:w="2173" w:type="dxa"/>
          </w:tcPr>
          <w:p>
            <w:pPr>
              <w:pStyle w:val="yTableNAm"/>
            </w:pPr>
            <w:r>
              <w:t>Fitzroy Crossing</w:t>
            </w:r>
          </w:p>
        </w:tc>
        <w:tc>
          <w:tcPr>
            <w:tcW w:w="2173" w:type="dxa"/>
            <w:vAlign w:val="bottom"/>
          </w:tcPr>
          <w:p>
            <w:pPr>
              <w:pStyle w:val="yTableNAm"/>
              <w:jc w:val="center"/>
            </w:pPr>
            <w:r>
              <w:t>12.000</w:t>
            </w:r>
          </w:p>
        </w:tc>
        <w:tc>
          <w:tcPr>
            <w:tcW w:w="2174" w:type="dxa"/>
            <w:vAlign w:val="bottom"/>
          </w:tcPr>
          <w:p>
            <w:pPr>
              <w:pStyle w:val="yTableNAm"/>
              <w:jc w:val="center"/>
            </w:pPr>
            <w:r>
              <w:t>10.874</w:t>
            </w:r>
          </w:p>
        </w:tc>
      </w:tr>
      <w:tr>
        <w:trPr>
          <w:gridAfter w:val="1"/>
          <w:wAfter w:w="33" w:type="dxa"/>
          <w:cantSplit/>
        </w:trPr>
        <w:tc>
          <w:tcPr>
            <w:tcW w:w="2173" w:type="dxa"/>
          </w:tcPr>
          <w:p>
            <w:pPr>
              <w:pStyle w:val="yTableNAm"/>
            </w:pPr>
            <w:r>
              <w:t>Geraldton</w:t>
            </w:r>
          </w:p>
        </w:tc>
        <w:tc>
          <w:tcPr>
            <w:tcW w:w="2173" w:type="dxa"/>
            <w:vAlign w:val="bottom"/>
          </w:tcPr>
          <w:p>
            <w:pPr>
              <w:pStyle w:val="yTableNAm"/>
              <w:jc w:val="center"/>
            </w:pPr>
            <w:r>
              <w:t>6.785</w:t>
            </w:r>
          </w:p>
        </w:tc>
        <w:tc>
          <w:tcPr>
            <w:tcW w:w="2174" w:type="dxa"/>
            <w:vAlign w:val="bottom"/>
          </w:tcPr>
          <w:p>
            <w:pPr>
              <w:pStyle w:val="yTableNAm"/>
              <w:jc w:val="center"/>
            </w:pPr>
            <w:r>
              <w:t>6.065</w:t>
            </w:r>
          </w:p>
        </w:tc>
      </w:tr>
      <w:tr>
        <w:trPr>
          <w:gridAfter w:val="1"/>
          <w:wAfter w:w="33" w:type="dxa"/>
          <w:cantSplit/>
        </w:trPr>
        <w:tc>
          <w:tcPr>
            <w:tcW w:w="2173" w:type="dxa"/>
          </w:tcPr>
          <w:p>
            <w:pPr>
              <w:pStyle w:val="yTableNAm"/>
            </w:pPr>
            <w:r>
              <w:t>Gnarabup</w:t>
            </w:r>
          </w:p>
        </w:tc>
        <w:tc>
          <w:tcPr>
            <w:tcW w:w="2173" w:type="dxa"/>
            <w:vAlign w:val="bottom"/>
          </w:tcPr>
          <w:p>
            <w:pPr>
              <w:pStyle w:val="yTableNAm"/>
              <w:jc w:val="center"/>
            </w:pPr>
            <w:r>
              <w:t>5.910</w:t>
            </w:r>
          </w:p>
        </w:tc>
        <w:tc>
          <w:tcPr>
            <w:tcW w:w="2174" w:type="dxa"/>
            <w:vAlign w:val="bottom"/>
          </w:tcPr>
          <w:p>
            <w:pPr>
              <w:pStyle w:val="yTableNAm"/>
              <w:jc w:val="center"/>
            </w:pPr>
            <w:r>
              <w:t>5.947</w:t>
            </w:r>
          </w:p>
        </w:tc>
      </w:tr>
      <w:tr>
        <w:trPr>
          <w:gridAfter w:val="1"/>
          <w:wAfter w:w="33" w:type="dxa"/>
          <w:cantSplit/>
        </w:trPr>
        <w:tc>
          <w:tcPr>
            <w:tcW w:w="2173" w:type="dxa"/>
          </w:tcPr>
          <w:p>
            <w:pPr>
              <w:pStyle w:val="yTableNAm"/>
            </w:pPr>
            <w:r>
              <w:t>Gnowangerup</w:t>
            </w:r>
          </w:p>
        </w:tc>
        <w:tc>
          <w:tcPr>
            <w:tcW w:w="2173" w:type="dxa"/>
            <w:vAlign w:val="bottom"/>
          </w:tcPr>
          <w:p>
            <w:pPr>
              <w:pStyle w:val="yTableNAm"/>
              <w:jc w:val="center"/>
            </w:pPr>
            <w:r>
              <w:t>10.733</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Greenhead</w:t>
            </w:r>
          </w:p>
        </w:tc>
        <w:tc>
          <w:tcPr>
            <w:tcW w:w="2173" w:type="dxa"/>
            <w:vAlign w:val="bottom"/>
          </w:tcPr>
          <w:p>
            <w:pPr>
              <w:pStyle w:val="yTableNAm"/>
              <w:jc w:val="center"/>
            </w:pPr>
            <w:r>
              <w:t>12.000</w:t>
            </w:r>
          </w:p>
        </w:tc>
        <w:tc>
          <w:tcPr>
            <w:tcW w:w="2174" w:type="dxa"/>
            <w:vAlign w:val="bottom"/>
          </w:tcPr>
          <w:p>
            <w:pPr>
              <w:pStyle w:val="yTableNAm"/>
              <w:jc w:val="center"/>
            </w:pPr>
            <w:r>
              <w:t>5.284</w:t>
            </w:r>
          </w:p>
        </w:tc>
      </w:tr>
      <w:tr>
        <w:trPr>
          <w:gridAfter w:val="1"/>
          <w:wAfter w:w="33" w:type="dxa"/>
          <w:cantSplit/>
        </w:trPr>
        <w:tc>
          <w:tcPr>
            <w:tcW w:w="2173" w:type="dxa"/>
          </w:tcPr>
          <w:p>
            <w:pPr>
              <w:pStyle w:val="yTableNAm"/>
            </w:pPr>
            <w:r>
              <w:t>Halls Creek</w:t>
            </w:r>
          </w:p>
        </w:tc>
        <w:tc>
          <w:tcPr>
            <w:tcW w:w="2173" w:type="dxa"/>
            <w:vAlign w:val="bottom"/>
          </w:tcPr>
          <w:p>
            <w:pPr>
              <w:pStyle w:val="yTableNAm"/>
              <w:jc w:val="center"/>
            </w:pPr>
            <w:r>
              <w:t>11.058</w:t>
            </w:r>
          </w:p>
        </w:tc>
        <w:tc>
          <w:tcPr>
            <w:tcW w:w="2174" w:type="dxa"/>
            <w:vAlign w:val="bottom"/>
          </w:tcPr>
          <w:p>
            <w:pPr>
              <w:pStyle w:val="yTableNAm"/>
              <w:jc w:val="center"/>
            </w:pPr>
            <w:r>
              <w:t>9.406</w:t>
            </w:r>
          </w:p>
        </w:tc>
      </w:tr>
      <w:tr>
        <w:trPr>
          <w:gridAfter w:val="1"/>
          <w:wAfter w:w="33" w:type="dxa"/>
          <w:cantSplit/>
        </w:trPr>
        <w:tc>
          <w:tcPr>
            <w:tcW w:w="2173" w:type="dxa"/>
          </w:tcPr>
          <w:p>
            <w:pPr>
              <w:pStyle w:val="yTableNAm"/>
            </w:pPr>
            <w:r>
              <w:t>Harvey</w:t>
            </w:r>
          </w:p>
        </w:tc>
        <w:tc>
          <w:tcPr>
            <w:tcW w:w="2173" w:type="dxa"/>
            <w:vAlign w:val="bottom"/>
          </w:tcPr>
          <w:p>
            <w:pPr>
              <w:pStyle w:val="yTableNAm"/>
              <w:jc w:val="center"/>
            </w:pPr>
            <w:r>
              <w:t>7.006</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Hopetoun</w:t>
            </w:r>
          </w:p>
        </w:tc>
        <w:tc>
          <w:tcPr>
            <w:tcW w:w="2173" w:type="dxa"/>
            <w:vAlign w:val="bottom"/>
          </w:tcPr>
          <w:p>
            <w:pPr>
              <w:pStyle w:val="yTableNAm"/>
              <w:jc w:val="center"/>
            </w:pPr>
            <w:r>
              <w:t>12.000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Horrocks</w:t>
            </w:r>
          </w:p>
        </w:tc>
        <w:tc>
          <w:tcPr>
            <w:tcW w:w="2173" w:type="dxa"/>
            <w:vAlign w:val="bottom"/>
          </w:tcPr>
          <w:p>
            <w:pPr>
              <w:pStyle w:val="yTableNAm"/>
              <w:jc w:val="center"/>
            </w:pPr>
            <w:r>
              <w:t>12.000</w:t>
            </w:r>
          </w:p>
        </w:tc>
        <w:tc>
          <w:tcPr>
            <w:tcW w:w="2174" w:type="dxa"/>
            <w:vAlign w:val="bottom"/>
          </w:tcPr>
          <w:p>
            <w:pPr>
              <w:pStyle w:val="yTableNAm"/>
              <w:jc w:val="center"/>
            </w:pPr>
            <w:r>
              <w:t>10.453</w:t>
            </w:r>
          </w:p>
        </w:tc>
      </w:tr>
      <w:tr>
        <w:trPr>
          <w:gridAfter w:val="1"/>
          <w:wAfter w:w="33" w:type="dxa"/>
          <w:cantSplit/>
        </w:trPr>
        <w:tc>
          <w:tcPr>
            <w:tcW w:w="2173" w:type="dxa"/>
          </w:tcPr>
          <w:p>
            <w:pPr>
              <w:pStyle w:val="yTableNAm"/>
            </w:pPr>
            <w:r>
              <w:t>Jurien Bay</w:t>
            </w:r>
          </w:p>
        </w:tc>
        <w:tc>
          <w:tcPr>
            <w:tcW w:w="2173" w:type="dxa"/>
            <w:vAlign w:val="bottom"/>
          </w:tcPr>
          <w:p>
            <w:pPr>
              <w:pStyle w:val="yTableNAm"/>
              <w:jc w:val="center"/>
            </w:pPr>
            <w:r>
              <w:t>10.354</w:t>
            </w:r>
          </w:p>
        </w:tc>
        <w:tc>
          <w:tcPr>
            <w:tcW w:w="2174" w:type="dxa"/>
            <w:vAlign w:val="bottom"/>
          </w:tcPr>
          <w:p>
            <w:pPr>
              <w:pStyle w:val="yTableNAm"/>
              <w:jc w:val="center"/>
            </w:pPr>
            <w:r>
              <w:t>4.430</w:t>
            </w:r>
          </w:p>
        </w:tc>
      </w:tr>
      <w:tr>
        <w:trPr>
          <w:gridAfter w:val="1"/>
          <w:wAfter w:w="33" w:type="dxa"/>
          <w:cantSplit/>
        </w:trPr>
        <w:tc>
          <w:tcPr>
            <w:tcW w:w="2173" w:type="dxa"/>
          </w:tcPr>
          <w:p>
            <w:pPr>
              <w:pStyle w:val="yTableNAm"/>
            </w:pPr>
            <w:r>
              <w:t>Kalbarri</w:t>
            </w:r>
          </w:p>
        </w:tc>
        <w:tc>
          <w:tcPr>
            <w:tcW w:w="2173" w:type="dxa"/>
            <w:vAlign w:val="bottom"/>
          </w:tcPr>
          <w:p>
            <w:pPr>
              <w:pStyle w:val="yTableNAm"/>
              <w:jc w:val="center"/>
            </w:pPr>
            <w:r>
              <w:t>6.820</w:t>
            </w:r>
          </w:p>
        </w:tc>
        <w:tc>
          <w:tcPr>
            <w:tcW w:w="2174" w:type="dxa"/>
            <w:vAlign w:val="bottom"/>
          </w:tcPr>
          <w:p>
            <w:pPr>
              <w:pStyle w:val="yTableNAm"/>
              <w:jc w:val="center"/>
            </w:pPr>
            <w:r>
              <w:t>3.504</w:t>
            </w:r>
          </w:p>
        </w:tc>
      </w:tr>
      <w:tr>
        <w:trPr>
          <w:gridAfter w:val="1"/>
          <w:wAfter w:w="33" w:type="dxa"/>
          <w:cantSplit/>
        </w:trPr>
        <w:tc>
          <w:tcPr>
            <w:tcW w:w="2173" w:type="dxa"/>
          </w:tcPr>
          <w:p>
            <w:pPr>
              <w:pStyle w:val="yTableNAm"/>
            </w:pPr>
            <w:r>
              <w:t>Kambalda</w:t>
            </w:r>
          </w:p>
        </w:tc>
        <w:tc>
          <w:tcPr>
            <w:tcW w:w="2173" w:type="dxa"/>
            <w:vAlign w:val="bottom"/>
          </w:tcPr>
          <w:p>
            <w:pPr>
              <w:pStyle w:val="yTableNAm"/>
              <w:jc w:val="center"/>
            </w:pPr>
            <w:r>
              <w:t>6.587</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Karratha</w:t>
            </w:r>
          </w:p>
        </w:tc>
        <w:tc>
          <w:tcPr>
            <w:tcW w:w="2173" w:type="dxa"/>
            <w:vAlign w:val="bottom"/>
          </w:tcPr>
          <w:p>
            <w:pPr>
              <w:pStyle w:val="yTableNAm"/>
              <w:jc w:val="center"/>
            </w:pPr>
            <w:r>
              <w:t>0.926</w:t>
            </w:r>
          </w:p>
        </w:tc>
        <w:tc>
          <w:tcPr>
            <w:tcW w:w="2174" w:type="dxa"/>
            <w:vAlign w:val="bottom"/>
          </w:tcPr>
          <w:p>
            <w:pPr>
              <w:pStyle w:val="yTableNAm"/>
              <w:jc w:val="center"/>
            </w:pPr>
            <w:r>
              <w:t>3.212</w:t>
            </w:r>
          </w:p>
        </w:tc>
      </w:tr>
      <w:tr>
        <w:trPr>
          <w:gridAfter w:val="1"/>
          <w:wAfter w:w="33" w:type="dxa"/>
          <w:cantSplit/>
        </w:trPr>
        <w:tc>
          <w:tcPr>
            <w:tcW w:w="2173" w:type="dxa"/>
          </w:tcPr>
          <w:p>
            <w:pPr>
              <w:pStyle w:val="yTableNAm"/>
            </w:pPr>
            <w:r>
              <w:t>Katanning</w:t>
            </w:r>
          </w:p>
        </w:tc>
        <w:tc>
          <w:tcPr>
            <w:tcW w:w="2173" w:type="dxa"/>
            <w:vAlign w:val="bottom"/>
          </w:tcPr>
          <w:p>
            <w:pPr>
              <w:pStyle w:val="yTableNAm"/>
              <w:jc w:val="center"/>
            </w:pPr>
            <w:r>
              <w:t>6.653</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Kellerberrin</w:t>
            </w:r>
          </w:p>
        </w:tc>
        <w:tc>
          <w:tcPr>
            <w:tcW w:w="2173" w:type="dxa"/>
            <w:vAlign w:val="bottom"/>
          </w:tcPr>
          <w:p>
            <w:pPr>
              <w:pStyle w:val="yTableNAm"/>
              <w:jc w:val="center"/>
            </w:pPr>
            <w:r>
              <w:t>12.000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Kojonup</w:t>
            </w:r>
          </w:p>
        </w:tc>
        <w:tc>
          <w:tcPr>
            <w:tcW w:w="2173" w:type="dxa"/>
            <w:vAlign w:val="bottom"/>
          </w:tcPr>
          <w:p>
            <w:pPr>
              <w:pStyle w:val="yTableNAm"/>
              <w:jc w:val="center"/>
            </w:pPr>
            <w:r>
              <w:t>9.509</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Kulin</w:t>
            </w:r>
          </w:p>
        </w:tc>
        <w:tc>
          <w:tcPr>
            <w:tcW w:w="2173" w:type="dxa"/>
            <w:vAlign w:val="bottom"/>
          </w:tcPr>
          <w:p>
            <w:pPr>
              <w:pStyle w:val="yTableNAm"/>
              <w:jc w:val="center"/>
            </w:pPr>
            <w:r>
              <w:t>9.130</w:t>
            </w:r>
          </w:p>
        </w:tc>
        <w:tc>
          <w:tcPr>
            <w:tcW w:w="2174" w:type="dxa"/>
            <w:vAlign w:val="bottom"/>
          </w:tcPr>
          <w:p>
            <w:pPr>
              <w:pStyle w:val="yTableNAm"/>
              <w:jc w:val="center"/>
            </w:pPr>
            <w:r>
              <w:t>11.415</w:t>
            </w:r>
          </w:p>
        </w:tc>
      </w:tr>
      <w:tr>
        <w:trPr>
          <w:gridAfter w:val="1"/>
          <w:wAfter w:w="33" w:type="dxa"/>
          <w:cantSplit/>
        </w:trPr>
        <w:tc>
          <w:tcPr>
            <w:tcW w:w="2173" w:type="dxa"/>
          </w:tcPr>
          <w:p>
            <w:pPr>
              <w:pStyle w:val="yTableNAm"/>
            </w:pPr>
            <w:r>
              <w:t>Kununurra</w:t>
            </w:r>
          </w:p>
        </w:tc>
        <w:tc>
          <w:tcPr>
            <w:tcW w:w="2173" w:type="dxa"/>
            <w:vAlign w:val="bottom"/>
          </w:tcPr>
          <w:p>
            <w:pPr>
              <w:pStyle w:val="yTableNAm"/>
              <w:jc w:val="center"/>
            </w:pPr>
            <w:r>
              <w:t>4.134</w:t>
            </w:r>
          </w:p>
        </w:tc>
        <w:tc>
          <w:tcPr>
            <w:tcW w:w="2174" w:type="dxa"/>
            <w:vAlign w:val="bottom"/>
          </w:tcPr>
          <w:p>
            <w:pPr>
              <w:pStyle w:val="yTableNAm"/>
              <w:jc w:val="center"/>
            </w:pPr>
            <w:r>
              <w:t>5.774</w:t>
            </w:r>
          </w:p>
        </w:tc>
      </w:tr>
      <w:tr>
        <w:trPr>
          <w:gridAfter w:val="1"/>
          <w:wAfter w:w="33" w:type="dxa"/>
          <w:cantSplit/>
        </w:trPr>
        <w:tc>
          <w:tcPr>
            <w:tcW w:w="2173" w:type="dxa"/>
          </w:tcPr>
          <w:p>
            <w:pPr>
              <w:pStyle w:val="yTableNAm"/>
            </w:pPr>
            <w:r>
              <w:t>Lancelin</w:t>
            </w:r>
          </w:p>
        </w:tc>
        <w:tc>
          <w:tcPr>
            <w:tcW w:w="2173" w:type="dxa"/>
            <w:vAlign w:val="bottom"/>
          </w:tcPr>
          <w:p>
            <w:pPr>
              <w:pStyle w:val="yTableNAm"/>
              <w:jc w:val="center"/>
            </w:pPr>
            <w:r>
              <w:t>7.350</w:t>
            </w:r>
          </w:p>
        </w:tc>
        <w:tc>
          <w:tcPr>
            <w:tcW w:w="2174" w:type="dxa"/>
            <w:vAlign w:val="bottom"/>
          </w:tcPr>
          <w:p>
            <w:pPr>
              <w:pStyle w:val="yTableNAm"/>
              <w:jc w:val="center"/>
            </w:pPr>
            <w:r>
              <w:t>2.999</w:t>
            </w:r>
          </w:p>
        </w:tc>
      </w:tr>
      <w:tr>
        <w:trPr>
          <w:gridAfter w:val="1"/>
          <w:wAfter w:w="33" w:type="dxa"/>
          <w:cantSplit/>
        </w:trPr>
        <w:tc>
          <w:tcPr>
            <w:tcW w:w="2173" w:type="dxa"/>
          </w:tcPr>
          <w:p>
            <w:pPr>
              <w:pStyle w:val="yTableNAm"/>
            </w:pPr>
            <w:r>
              <w:t>Laverton</w:t>
            </w:r>
          </w:p>
        </w:tc>
        <w:tc>
          <w:tcPr>
            <w:tcW w:w="2173" w:type="dxa"/>
            <w:vAlign w:val="bottom"/>
          </w:tcPr>
          <w:p>
            <w:pPr>
              <w:pStyle w:val="yTableNAm"/>
              <w:jc w:val="center"/>
            </w:pPr>
            <w:r>
              <w:t>9.562</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Ledge Point</w:t>
            </w:r>
          </w:p>
        </w:tc>
        <w:tc>
          <w:tcPr>
            <w:tcW w:w="2173" w:type="dxa"/>
            <w:vAlign w:val="bottom"/>
          </w:tcPr>
          <w:p>
            <w:pPr>
              <w:pStyle w:val="yTableNAm"/>
              <w:jc w:val="center"/>
            </w:pPr>
            <w:r>
              <w:t>5.510</w:t>
            </w:r>
          </w:p>
        </w:tc>
        <w:tc>
          <w:tcPr>
            <w:tcW w:w="2174" w:type="dxa"/>
            <w:vAlign w:val="bottom"/>
          </w:tcPr>
          <w:p>
            <w:pPr>
              <w:pStyle w:val="yTableNAm"/>
              <w:jc w:val="center"/>
            </w:pPr>
            <w:r>
              <w:t>3.723</w:t>
            </w:r>
          </w:p>
        </w:tc>
      </w:tr>
      <w:tr>
        <w:trPr>
          <w:gridAfter w:val="1"/>
          <w:wAfter w:w="33" w:type="dxa"/>
          <w:cantSplit/>
        </w:trPr>
        <w:tc>
          <w:tcPr>
            <w:tcW w:w="2173" w:type="dxa"/>
          </w:tcPr>
          <w:p>
            <w:pPr>
              <w:pStyle w:val="yTableNAm"/>
            </w:pPr>
            <w:r>
              <w:t>Leeman</w:t>
            </w:r>
          </w:p>
        </w:tc>
        <w:tc>
          <w:tcPr>
            <w:tcW w:w="2173" w:type="dxa"/>
            <w:vAlign w:val="bottom"/>
          </w:tcPr>
          <w:p>
            <w:pPr>
              <w:pStyle w:val="yTableNAm"/>
              <w:jc w:val="center"/>
            </w:pPr>
            <w:r>
              <w:t>12.000</w:t>
            </w:r>
          </w:p>
        </w:tc>
        <w:tc>
          <w:tcPr>
            <w:tcW w:w="2174" w:type="dxa"/>
            <w:vAlign w:val="bottom"/>
          </w:tcPr>
          <w:p>
            <w:pPr>
              <w:pStyle w:val="yTableNAm"/>
              <w:jc w:val="center"/>
            </w:pPr>
            <w:r>
              <w:t>6.009</w:t>
            </w:r>
          </w:p>
        </w:tc>
      </w:tr>
      <w:tr>
        <w:trPr>
          <w:gridAfter w:val="1"/>
          <w:wAfter w:w="33" w:type="dxa"/>
          <w:cantSplit/>
        </w:trPr>
        <w:tc>
          <w:tcPr>
            <w:tcW w:w="2173" w:type="dxa"/>
          </w:tcPr>
          <w:p>
            <w:pPr>
              <w:pStyle w:val="yTableNAm"/>
            </w:pPr>
            <w:r>
              <w:lastRenderedPageBreak/>
              <w:t>Leonora</w:t>
            </w:r>
          </w:p>
        </w:tc>
        <w:tc>
          <w:tcPr>
            <w:tcW w:w="2173" w:type="dxa"/>
            <w:vAlign w:val="bottom"/>
          </w:tcPr>
          <w:p>
            <w:pPr>
              <w:pStyle w:val="yTableNAm"/>
              <w:jc w:val="center"/>
            </w:pPr>
            <w:r>
              <w:t>9.004</w:t>
            </w:r>
          </w:p>
        </w:tc>
        <w:tc>
          <w:tcPr>
            <w:tcW w:w="2174" w:type="dxa"/>
            <w:vAlign w:val="bottom"/>
          </w:tcPr>
          <w:p>
            <w:pPr>
              <w:pStyle w:val="yTableNAm"/>
              <w:jc w:val="center"/>
            </w:pPr>
            <w:r>
              <w:t>11.272</w:t>
            </w:r>
          </w:p>
        </w:tc>
      </w:tr>
      <w:tr>
        <w:trPr>
          <w:gridAfter w:val="1"/>
          <w:wAfter w:w="33" w:type="dxa"/>
          <w:cantSplit/>
        </w:trPr>
        <w:tc>
          <w:tcPr>
            <w:tcW w:w="2173" w:type="dxa"/>
          </w:tcPr>
          <w:p>
            <w:pPr>
              <w:pStyle w:val="yTableNAm"/>
            </w:pPr>
            <w:r>
              <w:t>Mandurah</w:t>
            </w:r>
          </w:p>
        </w:tc>
        <w:tc>
          <w:tcPr>
            <w:tcW w:w="2173" w:type="dxa"/>
            <w:vAlign w:val="bottom"/>
          </w:tcPr>
          <w:p>
            <w:pPr>
              <w:pStyle w:val="yTableNAm"/>
              <w:jc w:val="center"/>
            </w:pPr>
            <w:r>
              <w:t>6.119</w:t>
            </w:r>
          </w:p>
        </w:tc>
        <w:tc>
          <w:tcPr>
            <w:tcW w:w="2174" w:type="dxa"/>
            <w:vAlign w:val="bottom"/>
          </w:tcPr>
          <w:p>
            <w:pPr>
              <w:pStyle w:val="yTableNAm"/>
              <w:jc w:val="center"/>
            </w:pPr>
            <w:r>
              <w:t>5.444</w:t>
            </w:r>
          </w:p>
        </w:tc>
      </w:tr>
      <w:tr>
        <w:trPr>
          <w:gridAfter w:val="1"/>
          <w:wAfter w:w="33" w:type="dxa"/>
          <w:cantSplit/>
        </w:trPr>
        <w:tc>
          <w:tcPr>
            <w:tcW w:w="2173" w:type="dxa"/>
          </w:tcPr>
          <w:p>
            <w:pPr>
              <w:pStyle w:val="yTableNAm"/>
            </w:pPr>
            <w:r>
              <w:t>Manjimup</w:t>
            </w:r>
          </w:p>
        </w:tc>
        <w:tc>
          <w:tcPr>
            <w:tcW w:w="2173" w:type="dxa"/>
            <w:vAlign w:val="bottom"/>
          </w:tcPr>
          <w:p>
            <w:pPr>
              <w:pStyle w:val="yTableNAm"/>
              <w:jc w:val="center"/>
            </w:pPr>
            <w:r>
              <w:t>12.000</w:t>
            </w:r>
          </w:p>
        </w:tc>
        <w:tc>
          <w:tcPr>
            <w:tcW w:w="2174" w:type="dxa"/>
            <w:vAlign w:val="bottom"/>
          </w:tcPr>
          <w:p>
            <w:pPr>
              <w:pStyle w:val="yTableNAm"/>
              <w:jc w:val="center"/>
            </w:pPr>
            <w:r>
              <w:t>8.707</w:t>
            </w:r>
          </w:p>
        </w:tc>
      </w:tr>
      <w:tr>
        <w:trPr>
          <w:gridAfter w:val="1"/>
          <w:wAfter w:w="33" w:type="dxa"/>
          <w:cantSplit/>
        </w:trPr>
        <w:tc>
          <w:tcPr>
            <w:tcW w:w="2173" w:type="dxa"/>
          </w:tcPr>
          <w:p>
            <w:pPr>
              <w:pStyle w:val="yTableNAm"/>
            </w:pPr>
            <w:r>
              <w:t>Margaret River</w:t>
            </w:r>
          </w:p>
        </w:tc>
        <w:tc>
          <w:tcPr>
            <w:tcW w:w="2173" w:type="dxa"/>
            <w:vAlign w:val="bottom"/>
          </w:tcPr>
          <w:p>
            <w:pPr>
              <w:pStyle w:val="yTableNAm"/>
              <w:jc w:val="center"/>
            </w:pPr>
            <w:r>
              <w:t>7.869</w:t>
            </w:r>
          </w:p>
        </w:tc>
        <w:tc>
          <w:tcPr>
            <w:tcW w:w="2174" w:type="dxa"/>
            <w:vAlign w:val="bottom"/>
          </w:tcPr>
          <w:p>
            <w:pPr>
              <w:pStyle w:val="yTableNAm"/>
              <w:jc w:val="center"/>
            </w:pPr>
            <w:r>
              <w:t>6.682</w:t>
            </w:r>
          </w:p>
        </w:tc>
      </w:tr>
      <w:tr>
        <w:trPr>
          <w:gridAfter w:val="1"/>
          <w:wAfter w:w="33" w:type="dxa"/>
          <w:cantSplit/>
        </w:trPr>
        <w:tc>
          <w:tcPr>
            <w:tcW w:w="2173" w:type="dxa"/>
          </w:tcPr>
          <w:p>
            <w:pPr>
              <w:pStyle w:val="yTableNAm"/>
            </w:pPr>
            <w:r>
              <w:t>Meckering</w:t>
            </w:r>
          </w:p>
        </w:tc>
        <w:tc>
          <w:tcPr>
            <w:tcW w:w="2173" w:type="dxa"/>
            <w:vAlign w:val="bottom"/>
          </w:tcPr>
          <w:p>
            <w:pPr>
              <w:pStyle w:val="yTableNAm"/>
              <w:jc w:val="center"/>
            </w:pPr>
            <w:r>
              <w:t>10.152</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Merredin</w:t>
            </w:r>
          </w:p>
        </w:tc>
        <w:tc>
          <w:tcPr>
            <w:tcW w:w="2173" w:type="dxa"/>
            <w:vAlign w:val="bottom"/>
          </w:tcPr>
          <w:p>
            <w:pPr>
              <w:pStyle w:val="yTableNAm"/>
              <w:jc w:val="center"/>
            </w:pPr>
            <w:r>
              <w:t>7.976</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Mount Barker</w:t>
            </w:r>
          </w:p>
        </w:tc>
        <w:tc>
          <w:tcPr>
            <w:tcW w:w="2173" w:type="dxa"/>
            <w:vAlign w:val="bottom"/>
          </w:tcPr>
          <w:p>
            <w:pPr>
              <w:pStyle w:val="yTableNAm"/>
              <w:jc w:val="center"/>
            </w:pPr>
            <w:r>
              <w:t>11.226</w:t>
            </w:r>
          </w:p>
        </w:tc>
        <w:tc>
          <w:tcPr>
            <w:tcW w:w="2174" w:type="dxa"/>
            <w:vAlign w:val="bottom"/>
          </w:tcPr>
          <w:p>
            <w:pPr>
              <w:pStyle w:val="yTableNAm"/>
              <w:jc w:val="center"/>
            </w:pPr>
            <w:r>
              <w:t>5.998</w:t>
            </w:r>
          </w:p>
        </w:tc>
      </w:tr>
      <w:tr>
        <w:trPr>
          <w:gridAfter w:val="1"/>
          <w:wAfter w:w="33" w:type="dxa"/>
          <w:cantSplit/>
        </w:trPr>
        <w:tc>
          <w:tcPr>
            <w:tcW w:w="2173" w:type="dxa"/>
          </w:tcPr>
          <w:p>
            <w:pPr>
              <w:pStyle w:val="yTableNAm"/>
            </w:pPr>
            <w:r>
              <w:t>Mukinbudin</w:t>
            </w:r>
          </w:p>
        </w:tc>
        <w:tc>
          <w:tcPr>
            <w:tcW w:w="2173" w:type="dxa"/>
            <w:vAlign w:val="bottom"/>
          </w:tcPr>
          <w:p>
            <w:pPr>
              <w:pStyle w:val="yTableNAm"/>
              <w:jc w:val="center"/>
            </w:pPr>
            <w:r>
              <w:t>12.000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Nannup</w:t>
            </w:r>
          </w:p>
        </w:tc>
        <w:tc>
          <w:tcPr>
            <w:tcW w:w="2173" w:type="dxa"/>
            <w:vAlign w:val="bottom"/>
          </w:tcPr>
          <w:p>
            <w:pPr>
              <w:pStyle w:val="yTableNAm"/>
              <w:jc w:val="center"/>
            </w:pPr>
            <w:r>
              <w:t>11.479</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Narembeen</w:t>
            </w:r>
          </w:p>
        </w:tc>
        <w:tc>
          <w:tcPr>
            <w:tcW w:w="2173" w:type="dxa"/>
            <w:vAlign w:val="bottom"/>
          </w:tcPr>
          <w:p>
            <w:pPr>
              <w:pStyle w:val="yTableNAm"/>
              <w:jc w:val="center"/>
            </w:pPr>
            <w:r>
              <w:t>11.186</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Narrogin</w:t>
            </w:r>
          </w:p>
        </w:tc>
        <w:tc>
          <w:tcPr>
            <w:tcW w:w="2173" w:type="dxa"/>
            <w:vAlign w:val="bottom"/>
          </w:tcPr>
          <w:p>
            <w:pPr>
              <w:pStyle w:val="yTableNAm"/>
              <w:jc w:val="center"/>
            </w:pPr>
            <w:r>
              <w:t>5.327</w:t>
            </w:r>
          </w:p>
        </w:tc>
        <w:tc>
          <w:tcPr>
            <w:tcW w:w="2174" w:type="dxa"/>
            <w:vAlign w:val="bottom"/>
          </w:tcPr>
          <w:p>
            <w:pPr>
              <w:pStyle w:val="yTableNAm"/>
              <w:jc w:val="center"/>
            </w:pPr>
            <w:r>
              <w:t>8.343</w:t>
            </w:r>
          </w:p>
        </w:tc>
      </w:tr>
      <w:tr>
        <w:trPr>
          <w:gridAfter w:val="1"/>
          <w:wAfter w:w="33" w:type="dxa"/>
          <w:cantSplit/>
        </w:trPr>
        <w:tc>
          <w:tcPr>
            <w:tcW w:w="2173" w:type="dxa"/>
          </w:tcPr>
          <w:p>
            <w:pPr>
              <w:pStyle w:val="yTableNAm"/>
            </w:pPr>
            <w:r>
              <w:t>Newdegate</w:t>
            </w:r>
          </w:p>
        </w:tc>
        <w:tc>
          <w:tcPr>
            <w:tcW w:w="2173" w:type="dxa"/>
            <w:vAlign w:val="bottom"/>
          </w:tcPr>
          <w:p>
            <w:pPr>
              <w:pStyle w:val="yTableNAm"/>
              <w:jc w:val="center"/>
            </w:pPr>
            <w:r>
              <w:t>12.000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Newman</w:t>
            </w:r>
          </w:p>
        </w:tc>
        <w:tc>
          <w:tcPr>
            <w:tcW w:w="2173" w:type="dxa"/>
            <w:vAlign w:val="bottom"/>
          </w:tcPr>
          <w:p>
            <w:pPr>
              <w:pStyle w:val="yTableNAm"/>
              <w:jc w:val="center"/>
            </w:pPr>
            <w:r>
              <w:t>0.833</w:t>
            </w:r>
          </w:p>
        </w:tc>
        <w:tc>
          <w:tcPr>
            <w:tcW w:w="2174" w:type="dxa"/>
            <w:vAlign w:val="bottom"/>
          </w:tcPr>
          <w:p>
            <w:pPr>
              <w:pStyle w:val="yTableNAm"/>
              <w:jc w:val="center"/>
            </w:pPr>
            <w:r>
              <w:t>0.724</w:t>
            </w:r>
          </w:p>
        </w:tc>
      </w:tr>
      <w:tr>
        <w:trPr>
          <w:gridAfter w:val="1"/>
          <w:wAfter w:w="33" w:type="dxa"/>
          <w:cantSplit/>
        </w:trPr>
        <w:tc>
          <w:tcPr>
            <w:tcW w:w="2173" w:type="dxa"/>
          </w:tcPr>
          <w:p>
            <w:pPr>
              <w:pStyle w:val="yTableNAm"/>
            </w:pPr>
            <w:r>
              <w:t>Northam</w:t>
            </w:r>
          </w:p>
        </w:tc>
        <w:tc>
          <w:tcPr>
            <w:tcW w:w="2173" w:type="dxa"/>
            <w:vAlign w:val="bottom"/>
          </w:tcPr>
          <w:p>
            <w:pPr>
              <w:pStyle w:val="yTableNAm"/>
              <w:jc w:val="center"/>
            </w:pPr>
            <w:r>
              <w:t>7.510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Onslow</w:t>
            </w:r>
          </w:p>
        </w:tc>
        <w:tc>
          <w:tcPr>
            <w:tcW w:w="2173" w:type="dxa"/>
            <w:vAlign w:val="bottom"/>
          </w:tcPr>
          <w:p>
            <w:pPr>
              <w:pStyle w:val="yTableNAm"/>
              <w:jc w:val="center"/>
            </w:pPr>
            <w:r>
              <w:t>10.517</w:t>
            </w:r>
          </w:p>
        </w:tc>
        <w:tc>
          <w:tcPr>
            <w:tcW w:w="2174" w:type="dxa"/>
            <w:vAlign w:val="bottom"/>
          </w:tcPr>
          <w:p>
            <w:pPr>
              <w:pStyle w:val="yTableNAm"/>
              <w:jc w:val="center"/>
            </w:pPr>
            <w:r>
              <w:t>2.389</w:t>
            </w:r>
          </w:p>
        </w:tc>
      </w:tr>
      <w:tr>
        <w:trPr>
          <w:gridAfter w:val="1"/>
          <w:wAfter w:w="33" w:type="dxa"/>
          <w:cantSplit/>
        </w:trPr>
        <w:tc>
          <w:tcPr>
            <w:tcW w:w="2173" w:type="dxa"/>
          </w:tcPr>
          <w:p>
            <w:pPr>
              <w:pStyle w:val="yTableNAm"/>
            </w:pPr>
            <w:r>
              <w:t>Pemberton</w:t>
            </w:r>
          </w:p>
        </w:tc>
        <w:tc>
          <w:tcPr>
            <w:tcW w:w="2173" w:type="dxa"/>
            <w:vAlign w:val="bottom"/>
          </w:tcPr>
          <w:p>
            <w:pPr>
              <w:pStyle w:val="yTableNAm"/>
              <w:jc w:val="center"/>
            </w:pPr>
            <w:r>
              <w:t>10.986</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Pingelly</w:t>
            </w:r>
          </w:p>
        </w:tc>
        <w:tc>
          <w:tcPr>
            <w:tcW w:w="2173" w:type="dxa"/>
            <w:vAlign w:val="bottom"/>
          </w:tcPr>
          <w:p>
            <w:pPr>
              <w:pStyle w:val="yTableNAm"/>
              <w:jc w:val="center"/>
            </w:pPr>
            <w:r>
              <w:t>9.299</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Pinjarra</w:t>
            </w:r>
          </w:p>
        </w:tc>
        <w:tc>
          <w:tcPr>
            <w:tcW w:w="2173" w:type="dxa"/>
            <w:vAlign w:val="bottom"/>
          </w:tcPr>
          <w:p>
            <w:pPr>
              <w:pStyle w:val="yTableNAm"/>
              <w:jc w:val="center"/>
            </w:pPr>
            <w:r>
              <w:t>6.555</w:t>
            </w:r>
          </w:p>
        </w:tc>
        <w:tc>
          <w:tcPr>
            <w:tcW w:w="2174" w:type="dxa"/>
            <w:vAlign w:val="bottom"/>
          </w:tcPr>
          <w:p>
            <w:pPr>
              <w:pStyle w:val="yTableNAm"/>
              <w:jc w:val="center"/>
            </w:pPr>
            <w:r>
              <w:t>3.834</w:t>
            </w:r>
          </w:p>
        </w:tc>
      </w:tr>
      <w:tr>
        <w:trPr>
          <w:gridAfter w:val="1"/>
          <w:wAfter w:w="33" w:type="dxa"/>
          <w:cantSplit/>
        </w:trPr>
        <w:tc>
          <w:tcPr>
            <w:tcW w:w="2173" w:type="dxa"/>
          </w:tcPr>
          <w:p>
            <w:pPr>
              <w:pStyle w:val="yTableNAm"/>
            </w:pPr>
            <w:r>
              <w:t>Port Hedland</w:t>
            </w:r>
          </w:p>
        </w:tc>
        <w:tc>
          <w:tcPr>
            <w:tcW w:w="2173" w:type="dxa"/>
            <w:vAlign w:val="bottom"/>
          </w:tcPr>
          <w:p>
            <w:pPr>
              <w:pStyle w:val="yTableNAm"/>
              <w:jc w:val="center"/>
            </w:pPr>
            <w:r>
              <w:t>12.000</w:t>
            </w:r>
          </w:p>
        </w:tc>
        <w:tc>
          <w:tcPr>
            <w:tcW w:w="2174" w:type="dxa"/>
            <w:vAlign w:val="bottom"/>
          </w:tcPr>
          <w:p>
            <w:pPr>
              <w:pStyle w:val="yTableNAm"/>
              <w:jc w:val="center"/>
            </w:pPr>
            <w:r>
              <w:t>2.223</w:t>
            </w:r>
          </w:p>
        </w:tc>
      </w:tr>
      <w:tr>
        <w:trPr>
          <w:gridAfter w:val="1"/>
          <w:wAfter w:w="33" w:type="dxa"/>
          <w:cantSplit/>
        </w:trPr>
        <w:tc>
          <w:tcPr>
            <w:tcW w:w="2173" w:type="dxa"/>
          </w:tcPr>
          <w:p>
            <w:pPr>
              <w:pStyle w:val="yTableNAm"/>
            </w:pPr>
            <w:r>
              <w:t>Quairading</w:t>
            </w:r>
          </w:p>
        </w:tc>
        <w:tc>
          <w:tcPr>
            <w:tcW w:w="2173" w:type="dxa"/>
            <w:vAlign w:val="bottom"/>
          </w:tcPr>
          <w:p>
            <w:pPr>
              <w:pStyle w:val="yTableNAm"/>
              <w:jc w:val="center"/>
            </w:pPr>
            <w:r>
              <w:t>12.000</w:t>
            </w:r>
          </w:p>
        </w:tc>
        <w:tc>
          <w:tcPr>
            <w:tcW w:w="2174" w:type="dxa"/>
            <w:vAlign w:val="bottom"/>
          </w:tcPr>
          <w:p>
            <w:pPr>
              <w:pStyle w:val="yTableNAm"/>
              <w:jc w:val="center"/>
            </w:pPr>
            <w:r>
              <w:t>9.810</w:t>
            </w:r>
          </w:p>
        </w:tc>
      </w:tr>
      <w:tr>
        <w:trPr>
          <w:gridAfter w:val="1"/>
          <w:wAfter w:w="33" w:type="dxa"/>
          <w:cantSplit/>
        </w:trPr>
        <w:tc>
          <w:tcPr>
            <w:tcW w:w="2173" w:type="dxa"/>
          </w:tcPr>
          <w:p>
            <w:pPr>
              <w:pStyle w:val="yTableNAm"/>
            </w:pPr>
            <w:r>
              <w:t>Roebourne</w:t>
            </w:r>
          </w:p>
        </w:tc>
        <w:tc>
          <w:tcPr>
            <w:tcW w:w="2173" w:type="dxa"/>
            <w:vAlign w:val="bottom"/>
          </w:tcPr>
          <w:p>
            <w:pPr>
              <w:pStyle w:val="yTableNAm"/>
              <w:jc w:val="center"/>
            </w:pPr>
            <w:r>
              <w:t>7.150</w:t>
            </w:r>
          </w:p>
        </w:tc>
        <w:tc>
          <w:tcPr>
            <w:tcW w:w="2174" w:type="dxa"/>
            <w:vAlign w:val="bottom"/>
          </w:tcPr>
          <w:p>
            <w:pPr>
              <w:pStyle w:val="yTableNAm"/>
              <w:jc w:val="center"/>
            </w:pPr>
            <w:r>
              <w:t>8.630</w:t>
            </w:r>
          </w:p>
        </w:tc>
      </w:tr>
      <w:tr>
        <w:trPr>
          <w:gridAfter w:val="1"/>
          <w:wAfter w:w="33" w:type="dxa"/>
          <w:cantSplit/>
        </w:trPr>
        <w:tc>
          <w:tcPr>
            <w:tcW w:w="2173" w:type="dxa"/>
          </w:tcPr>
          <w:p>
            <w:pPr>
              <w:pStyle w:val="yTableNAm"/>
            </w:pPr>
            <w:r>
              <w:t>Seabird</w:t>
            </w:r>
          </w:p>
        </w:tc>
        <w:tc>
          <w:tcPr>
            <w:tcW w:w="2173" w:type="dxa"/>
            <w:vAlign w:val="bottom"/>
          </w:tcPr>
          <w:p>
            <w:pPr>
              <w:pStyle w:val="yTableNAm"/>
              <w:jc w:val="center"/>
            </w:pPr>
            <w:r>
              <w:t>8.409</w:t>
            </w:r>
          </w:p>
        </w:tc>
        <w:tc>
          <w:tcPr>
            <w:tcW w:w="2174" w:type="dxa"/>
            <w:vAlign w:val="bottom"/>
          </w:tcPr>
          <w:p>
            <w:pPr>
              <w:pStyle w:val="yTableNAm"/>
              <w:jc w:val="center"/>
            </w:pPr>
            <w:r>
              <w:t>6.142</w:t>
            </w:r>
          </w:p>
        </w:tc>
      </w:tr>
      <w:tr>
        <w:tblPrEx>
          <w:tblCellMar>
            <w:left w:w="108" w:type="dxa"/>
            <w:right w:w="108" w:type="dxa"/>
          </w:tblCellMar>
        </w:tblPrEx>
        <w:trPr>
          <w:cantSplit/>
        </w:trPr>
        <w:tc>
          <w:tcPr>
            <w:tcW w:w="2173" w:type="dxa"/>
          </w:tcPr>
          <w:p>
            <w:pPr>
              <w:pStyle w:val="yTableNAm"/>
            </w:pPr>
            <w:r>
              <w:t>Tambellup</w:t>
            </w:r>
          </w:p>
        </w:tc>
        <w:tc>
          <w:tcPr>
            <w:tcW w:w="2173" w:type="dxa"/>
            <w:vAlign w:val="bottom"/>
          </w:tcPr>
          <w:p>
            <w:pPr>
              <w:pStyle w:val="yTableNAm"/>
              <w:jc w:val="center"/>
            </w:pPr>
            <w:r>
              <w:t>12.000</w:t>
            </w:r>
          </w:p>
        </w:tc>
        <w:tc>
          <w:tcPr>
            <w:tcW w:w="2207" w:type="dxa"/>
            <w:gridSpan w:val="2"/>
            <w:vAlign w:val="bottom"/>
          </w:tcPr>
          <w:p>
            <w:pPr>
              <w:pStyle w:val="yTableNAm"/>
              <w:jc w:val="center"/>
            </w:pPr>
            <w:r>
              <w:t>12.000</w:t>
            </w:r>
          </w:p>
        </w:tc>
      </w:tr>
      <w:tr>
        <w:trPr>
          <w:gridAfter w:val="1"/>
          <w:wAfter w:w="33" w:type="dxa"/>
          <w:cantSplit/>
        </w:trPr>
        <w:tc>
          <w:tcPr>
            <w:tcW w:w="2173" w:type="dxa"/>
          </w:tcPr>
          <w:p>
            <w:pPr>
              <w:pStyle w:val="yTableNAm"/>
            </w:pPr>
            <w:r>
              <w:t>Three Springs</w:t>
            </w:r>
          </w:p>
        </w:tc>
        <w:tc>
          <w:tcPr>
            <w:tcW w:w="2173" w:type="dxa"/>
            <w:vAlign w:val="bottom"/>
          </w:tcPr>
          <w:p>
            <w:pPr>
              <w:pStyle w:val="yTableNAm"/>
              <w:jc w:val="center"/>
            </w:pPr>
            <w:r>
              <w:t>7.804</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lastRenderedPageBreak/>
              <w:t>Toodyay</w:t>
            </w:r>
          </w:p>
        </w:tc>
        <w:tc>
          <w:tcPr>
            <w:tcW w:w="2173" w:type="dxa"/>
            <w:vAlign w:val="bottom"/>
          </w:tcPr>
          <w:p>
            <w:pPr>
              <w:pStyle w:val="yTableNAm"/>
              <w:jc w:val="center"/>
            </w:pPr>
            <w:r>
              <w:t>12.000</w:t>
            </w:r>
          </w:p>
        </w:tc>
        <w:tc>
          <w:tcPr>
            <w:tcW w:w="2174" w:type="dxa"/>
            <w:vAlign w:val="bottom"/>
          </w:tcPr>
          <w:p>
            <w:pPr>
              <w:pStyle w:val="yTableNAm"/>
              <w:jc w:val="center"/>
            </w:pPr>
            <w:r>
              <w:t>8.063</w:t>
            </w:r>
          </w:p>
        </w:tc>
      </w:tr>
      <w:tr>
        <w:trPr>
          <w:gridAfter w:val="1"/>
          <w:wAfter w:w="33" w:type="dxa"/>
          <w:cantSplit/>
        </w:trPr>
        <w:tc>
          <w:tcPr>
            <w:tcW w:w="2173" w:type="dxa"/>
          </w:tcPr>
          <w:p>
            <w:pPr>
              <w:pStyle w:val="yTableNAm"/>
            </w:pPr>
            <w:r>
              <w:t>Wagin</w:t>
            </w:r>
          </w:p>
        </w:tc>
        <w:tc>
          <w:tcPr>
            <w:tcW w:w="2173" w:type="dxa"/>
            <w:vAlign w:val="bottom"/>
          </w:tcPr>
          <w:p>
            <w:pPr>
              <w:pStyle w:val="yTableNAm"/>
              <w:jc w:val="center"/>
            </w:pPr>
            <w:r>
              <w:t>10.625</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Walpole</w:t>
            </w:r>
          </w:p>
        </w:tc>
        <w:tc>
          <w:tcPr>
            <w:tcW w:w="2173" w:type="dxa"/>
            <w:vAlign w:val="bottom"/>
          </w:tcPr>
          <w:p>
            <w:pPr>
              <w:pStyle w:val="yTableNAm"/>
              <w:jc w:val="center"/>
            </w:pPr>
            <w:r>
              <w:t>11.516</w:t>
            </w:r>
          </w:p>
        </w:tc>
        <w:tc>
          <w:tcPr>
            <w:tcW w:w="2174" w:type="dxa"/>
            <w:vAlign w:val="bottom"/>
          </w:tcPr>
          <w:p>
            <w:pPr>
              <w:pStyle w:val="yTableNAm"/>
              <w:jc w:val="center"/>
            </w:pPr>
            <w:r>
              <w:t>10.852</w:t>
            </w:r>
          </w:p>
        </w:tc>
      </w:tr>
      <w:tr>
        <w:trPr>
          <w:gridAfter w:val="1"/>
          <w:wAfter w:w="33" w:type="dxa"/>
          <w:cantSplit/>
        </w:trPr>
        <w:tc>
          <w:tcPr>
            <w:tcW w:w="2173" w:type="dxa"/>
          </w:tcPr>
          <w:p>
            <w:pPr>
              <w:pStyle w:val="yTableNAm"/>
            </w:pPr>
            <w:r>
              <w:t>Waroona</w:t>
            </w:r>
          </w:p>
        </w:tc>
        <w:tc>
          <w:tcPr>
            <w:tcW w:w="2173" w:type="dxa"/>
            <w:vAlign w:val="bottom"/>
          </w:tcPr>
          <w:p>
            <w:pPr>
              <w:pStyle w:val="yTableNAm"/>
              <w:jc w:val="center"/>
            </w:pPr>
            <w:r>
              <w:t>5.664</w:t>
            </w:r>
          </w:p>
        </w:tc>
        <w:tc>
          <w:tcPr>
            <w:tcW w:w="2174" w:type="dxa"/>
            <w:vAlign w:val="bottom"/>
          </w:tcPr>
          <w:p>
            <w:pPr>
              <w:pStyle w:val="yTableNAm"/>
              <w:jc w:val="center"/>
            </w:pPr>
            <w:r>
              <w:t>6.255</w:t>
            </w:r>
          </w:p>
        </w:tc>
      </w:tr>
      <w:tr>
        <w:trPr>
          <w:gridAfter w:val="1"/>
          <w:wAfter w:w="33" w:type="dxa"/>
          <w:cantSplit/>
        </w:trPr>
        <w:tc>
          <w:tcPr>
            <w:tcW w:w="2173" w:type="dxa"/>
          </w:tcPr>
          <w:p>
            <w:pPr>
              <w:pStyle w:val="yTableNAm"/>
            </w:pPr>
            <w:r>
              <w:t>Wickham</w:t>
            </w:r>
          </w:p>
        </w:tc>
        <w:tc>
          <w:tcPr>
            <w:tcW w:w="2173" w:type="dxa"/>
            <w:vAlign w:val="bottom"/>
          </w:tcPr>
          <w:p>
            <w:pPr>
              <w:pStyle w:val="yTableNAm"/>
              <w:jc w:val="center"/>
            </w:pPr>
            <w:r>
              <w:t>4.850</w:t>
            </w:r>
          </w:p>
        </w:tc>
        <w:tc>
          <w:tcPr>
            <w:tcW w:w="2174" w:type="dxa"/>
            <w:vAlign w:val="bottom"/>
          </w:tcPr>
          <w:p>
            <w:pPr>
              <w:pStyle w:val="yTableNAm"/>
              <w:jc w:val="center"/>
            </w:pPr>
            <w:r>
              <w:t>5.445</w:t>
            </w:r>
          </w:p>
        </w:tc>
      </w:tr>
      <w:tr>
        <w:trPr>
          <w:gridAfter w:val="1"/>
          <w:wAfter w:w="33" w:type="dxa"/>
          <w:cantSplit/>
        </w:trPr>
        <w:tc>
          <w:tcPr>
            <w:tcW w:w="2173" w:type="dxa"/>
          </w:tcPr>
          <w:p>
            <w:pPr>
              <w:pStyle w:val="yTableNAm"/>
            </w:pPr>
            <w:r>
              <w:t>Williams</w:t>
            </w:r>
          </w:p>
        </w:tc>
        <w:tc>
          <w:tcPr>
            <w:tcW w:w="2173" w:type="dxa"/>
            <w:vAlign w:val="bottom"/>
          </w:tcPr>
          <w:p>
            <w:pPr>
              <w:pStyle w:val="yTableNAm"/>
              <w:jc w:val="center"/>
            </w:pPr>
            <w:r>
              <w:t>7.377</w:t>
            </w:r>
          </w:p>
        </w:tc>
        <w:tc>
          <w:tcPr>
            <w:tcW w:w="2174" w:type="dxa"/>
            <w:vAlign w:val="bottom"/>
          </w:tcPr>
          <w:p>
            <w:pPr>
              <w:pStyle w:val="yTableNAm"/>
              <w:jc w:val="center"/>
            </w:pPr>
            <w:r>
              <w:t>8.796</w:t>
            </w:r>
          </w:p>
        </w:tc>
      </w:tr>
      <w:tr>
        <w:tblPrEx>
          <w:tblCellMar>
            <w:left w:w="108" w:type="dxa"/>
            <w:right w:w="108" w:type="dxa"/>
          </w:tblCellMar>
        </w:tblPrEx>
        <w:trPr>
          <w:cantSplit/>
        </w:trPr>
        <w:tc>
          <w:tcPr>
            <w:tcW w:w="2173" w:type="dxa"/>
          </w:tcPr>
          <w:p>
            <w:pPr>
              <w:pStyle w:val="yTableNAm"/>
            </w:pPr>
            <w:r>
              <w:t>Wiluna</w:t>
            </w:r>
          </w:p>
        </w:tc>
        <w:tc>
          <w:tcPr>
            <w:tcW w:w="2173" w:type="dxa"/>
            <w:vAlign w:val="bottom"/>
          </w:tcPr>
          <w:p>
            <w:pPr>
              <w:pStyle w:val="yTableNAm"/>
              <w:jc w:val="center"/>
            </w:pPr>
            <w:r>
              <w:t>12.000</w:t>
            </w:r>
          </w:p>
        </w:tc>
        <w:tc>
          <w:tcPr>
            <w:tcW w:w="2207" w:type="dxa"/>
            <w:gridSpan w:val="2"/>
            <w:vAlign w:val="bottom"/>
          </w:tcPr>
          <w:p>
            <w:pPr>
              <w:pStyle w:val="yTableNAm"/>
              <w:jc w:val="center"/>
            </w:pPr>
            <w:r>
              <w:t>12.000</w:t>
            </w:r>
          </w:p>
        </w:tc>
      </w:tr>
      <w:tr>
        <w:trPr>
          <w:gridAfter w:val="1"/>
          <w:wAfter w:w="33" w:type="dxa"/>
          <w:cantSplit/>
        </w:trPr>
        <w:tc>
          <w:tcPr>
            <w:tcW w:w="2173" w:type="dxa"/>
          </w:tcPr>
          <w:p>
            <w:pPr>
              <w:pStyle w:val="yTableNAm"/>
            </w:pPr>
            <w:r>
              <w:t>Wongan Hills</w:t>
            </w:r>
          </w:p>
        </w:tc>
        <w:tc>
          <w:tcPr>
            <w:tcW w:w="2173" w:type="dxa"/>
            <w:vAlign w:val="bottom"/>
          </w:tcPr>
          <w:p>
            <w:pPr>
              <w:pStyle w:val="yTableNAm"/>
              <w:jc w:val="center"/>
            </w:pPr>
            <w:r>
              <w:t>9.250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Wundowie</w:t>
            </w:r>
          </w:p>
        </w:tc>
        <w:tc>
          <w:tcPr>
            <w:tcW w:w="2173" w:type="dxa"/>
            <w:vAlign w:val="bottom"/>
          </w:tcPr>
          <w:p>
            <w:pPr>
              <w:pStyle w:val="yTableNAm"/>
              <w:jc w:val="center"/>
            </w:pPr>
            <w:r>
              <w:t>8.362</w:t>
            </w:r>
          </w:p>
        </w:tc>
        <w:tc>
          <w:tcPr>
            <w:tcW w:w="2174" w:type="dxa"/>
            <w:vAlign w:val="bottom"/>
          </w:tcPr>
          <w:p>
            <w:pPr>
              <w:pStyle w:val="yTableNAm"/>
              <w:jc w:val="center"/>
            </w:pPr>
            <w:r>
              <w:t>8.755</w:t>
            </w:r>
          </w:p>
        </w:tc>
      </w:tr>
      <w:tr>
        <w:trPr>
          <w:gridAfter w:val="1"/>
          <w:wAfter w:w="33" w:type="dxa"/>
          <w:cantSplit/>
        </w:trPr>
        <w:tc>
          <w:tcPr>
            <w:tcW w:w="2173" w:type="dxa"/>
          </w:tcPr>
          <w:p>
            <w:pPr>
              <w:pStyle w:val="yTableNAm"/>
            </w:pPr>
            <w:r>
              <w:t>Wyalkatchem</w:t>
            </w:r>
          </w:p>
        </w:tc>
        <w:tc>
          <w:tcPr>
            <w:tcW w:w="2173" w:type="dxa"/>
            <w:vAlign w:val="bottom"/>
          </w:tcPr>
          <w:p>
            <w:pPr>
              <w:pStyle w:val="yTableNAm"/>
              <w:jc w:val="center"/>
            </w:pPr>
            <w:r>
              <w:t>11.443</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Wyndham</w:t>
            </w:r>
          </w:p>
        </w:tc>
        <w:tc>
          <w:tcPr>
            <w:tcW w:w="2173" w:type="dxa"/>
            <w:vAlign w:val="bottom"/>
          </w:tcPr>
          <w:p>
            <w:pPr>
              <w:pStyle w:val="yTableNAm"/>
              <w:jc w:val="center"/>
            </w:pPr>
            <w:r>
              <w:t>8.445</w:t>
            </w:r>
          </w:p>
        </w:tc>
        <w:tc>
          <w:tcPr>
            <w:tcW w:w="2174" w:type="dxa"/>
            <w:vAlign w:val="bottom"/>
          </w:tcPr>
          <w:p>
            <w:pPr>
              <w:pStyle w:val="yTableNAm"/>
              <w:jc w:val="center"/>
            </w:pPr>
            <w:r>
              <w:t>12.000</w:t>
            </w:r>
          </w:p>
        </w:tc>
      </w:tr>
      <w:tr>
        <w:trPr>
          <w:gridAfter w:val="1"/>
          <w:wAfter w:w="33" w:type="dxa"/>
          <w:cantSplit/>
        </w:trPr>
        <w:tc>
          <w:tcPr>
            <w:tcW w:w="2173" w:type="dxa"/>
            <w:tcBorders>
              <w:bottom w:val="single" w:sz="4" w:space="0" w:color="auto"/>
            </w:tcBorders>
          </w:tcPr>
          <w:p>
            <w:pPr>
              <w:pStyle w:val="yTableNAm"/>
            </w:pPr>
            <w:r>
              <w:t>York</w:t>
            </w:r>
          </w:p>
        </w:tc>
        <w:tc>
          <w:tcPr>
            <w:tcW w:w="2173" w:type="dxa"/>
            <w:tcBorders>
              <w:bottom w:val="single" w:sz="4" w:space="0" w:color="auto"/>
            </w:tcBorders>
            <w:vAlign w:val="bottom"/>
          </w:tcPr>
          <w:p>
            <w:pPr>
              <w:pStyle w:val="yTableNAm"/>
              <w:jc w:val="center"/>
            </w:pPr>
            <w:r>
              <w:t>8.673</w:t>
            </w:r>
          </w:p>
        </w:tc>
        <w:tc>
          <w:tcPr>
            <w:tcW w:w="2174" w:type="dxa"/>
            <w:tcBorders>
              <w:bottom w:val="single" w:sz="4" w:space="0" w:color="auto"/>
            </w:tcBorders>
            <w:vAlign w:val="bottom"/>
          </w:tcPr>
          <w:p>
            <w:pPr>
              <w:pStyle w:val="yTableNAm"/>
              <w:jc w:val="center"/>
            </w:pPr>
            <w:r>
              <w:t>12.000</w:t>
            </w:r>
          </w:p>
        </w:tc>
      </w:tr>
    </w:tbl>
    <w:p>
      <w:pPr>
        <w:pStyle w:val="yFootnotesection"/>
      </w:pPr>
      <w:r>
        <w:tab/>
        <w:t>[Division 2 inserted in Gazette 20 Jun 2012 p. 2725</w:t>
      </w:r>
      <w:r>
        <w:noBreakHyphen/>
        <w:t>30.]</w:t>
      </w:r>
    </w:p>
    <w:p>
      <w:pPr>
        <w:pStyle w:val="yHeading3"/>
      </w:pPr>
      <w:bookmarkStart w:id="73" w:name="_Toc84427996"/>
      <w:r>
        <w:rPr>
          <w:rStyle w:val="CharSDivNo"/>
        </w:rPr>
        <w:t>Division 3</w:t>
      </w:r>
      <w:r>
        <w:t> — </w:t>
      </w:r>
      <w:r>
        <w:rPr>
          <w:rStyle w:val="CharSDivText"/>
        </w:rPr>
        <w:t>Variable charges</w:t>
      </w:r>
      <w:bookmarkEnd w:id="73"/>
    </w:p>
    <w:p>
      <w:pPr>
        <w:pStyle w:val="yFootnoteheading"/>
        <w:spacing w:after="60"/>
      </w:pPr>
      <w:r>
        <w:tab/>
        <w:t>[Heading inserted in Gazette 20 Jun 2012 p. 2730.]</w:t>
      </w:r>
    </w:p>
    <w:tbl>
      <w:tblPr>
        <w:tblW w:w="0" w:type="auto"/>
        <w:tblInd w:w="534" w:type="dxa"/>
        <w:tblLook w:val="0000" w:firstRow="0" w:lastRow="0" w:firstColumn="0" w:lastColumn="0" w:noHBand="0" w:noVBand="0"/>
      </w:tblPr>
      <w:tblGrid>
        <w:gridCol w:w="829"/>
        <w:gridCol w:w="4189"/>
        <w:gridCol w:w="1545"/>
      </w:tblGrid>
      <w:tr>
        <w:trPr>
          <w:cantSplit/>
        </w:trPr>
        <w:tc>
          <w:tcPr>
            <w:tcW w:w="850" w:type="dxa"/>
          </w:tcPr>
          <w:p>
            <w:pPr>
              <w:pStyle w:val="yTableNAm"/>
              <w:rPr>
                <w:b/>
              </w:rPr>
            </w:pPr>
            <w:r>
              <w:rPr>
                <w:b/>
              </w:rPr>
              <w:t>11.</w:t>
            </w:r>
          </w:p>
        </w:tc>
        <w:tc>
          <w:tcPr>
            <w:tcW w:w="5812" w:type="dxa"/>
            <w:gridSpan w:val="2"/>
          </w:tcPr>
          <w:p>
            <w:pPr>
              <w:pStyle w:val="yTableNAm"/>
              <w:rPr>
                <w:b/>
              </w:rPr>
            </w:pPr>
            <w:r>
              <w:rPr>
                <w:b/>
              </w:rPr>
              <w:t>Industrial waste discharged into a sewer of the Corporation pursuant to a permit</w:t>
            </w:r>
          </w:p>
        </w:tc>
      </w:tr>
      <w:tr>
        <w:trPr>
          <w:cantSplit/>
        </w:trPr>
        <w:tc>
          <w:tcPr>
            <w:tcW w:w="850" w:type="dxa"/>
          </w:tcPr>
          <w:p>
            <w:pPr>
              <w:pStyle w:val="yTableNAm"/>
              <w:rPr>
                <w:szCs w:val="22"/>
              </w:rPr>
            </w:pPr>
          </w:p>
        </w:tc>
        <w:tc>
          <w:tcPr>
            <w:tcW w:w="4236" w:type="dxa"/>
          </w:tcPr>
          <w:p>
            <w:pPr>
              <w:pStyle w:val="yTableNAm"/>
              <w:keepNext/>
              <w:keepLines/>
              <w:tabs>
                <w:tab w:val="right" w:leader="dot" w:pos="4253"/>
              </w:tabs>
              <w:rPr>
                <w:spacing w:val="-1"/>
              </w:rPr>
            </w:pPr>
            <w:r>
              <w:t>For industrial waste discharged into a sewer of the Corporation pursuant to a permit —</w:t>
            </w:r>
          </w:p>
        </w:tc>
        <w:tc>
          <w:tcPr>
            <w:tcW w:w="1576" w:type="dxa"/>
          </w:tcPr>
          <w:p>
            <w:pPr>
              <w:pStyle w:val="yTableNAm"/>
              <w:rPr>
                <w:szCs w:val="22"/>
              </w:rPr>
            </w:pP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(a)</w:t>
            </w:r>
            <w:r>
              <w:rPr>
                <w:szCs w:val="22"/>
              </w:rPr>
              <w:tab/>
              <w:t xml:space="preserve">for volume </w:t>
            </w:r>
            <w:r>
              <w:rPr>
                <w:szCs w:val="22"/>
              </w:rPr>
              <w:tab/>
            </w:r>
          </w:p>
        </w:tc>
        <w:tc>
          <w:tcPr>
            <w:tcW w:w="1576" w:type="dxa"/>
            <w:vAlign w:val="bottom"/>
          </w:tcPr>
          <w:p>
            <w:pPr>
              <w:pStyle w:val="yTableNAm"/>
              <w:rPr>
                <w:szCs w:val="22"/>
              </w:rPr>
            </w:pPr>
            <w:r>
              <w:rPr>
                <w:szCs w:val="22"/>
              </w:rPr>
              <w:t>132.0 c/kL</w:t>
            </w:r>
          </w:p>
        </w:tc>
      </w:tr>
      <w:tr>
        <w:trPr>
          <w:cantSplit/>
        </w:trPr>
        <w:tc>
          <w:tcPr>
            <w:tcW w:w="850" w:type="dxa"/>
          </w:tcPr>
          <w:p>
            <w:pPr>
              <w:pStyle w:val="yTableNAm"/>
              <w:rPr>
                <w:szCs w:val="22"/>
              </w:rPr>
            </w:pPr>
          </w:p>
        </w:tc>
        <w:tc>
          <w:tcPr>
            <w:tcW w:w="4236" w:type="dxa"/>
          </w:tcPr>
          <w:p>
            <w:pPr>
              <w:pStyle w:val="yTableNAm"/>
              <w:tabs>
                <w:tab w:val="clear" w:pos="567"/>
                <w:tab w:val="left" w:pos="317"/>
                <w:tab w:val="left" w:pos="743"/>
                <w:tab w:val="right" w:leader="dot" w:pos="4253"/>
              </w:tabs>
              <w:ind w:left="743" w:hanging="709"/>
              <w:rPr>
                <w:szCs w:val="22"/>
              </w:rPr>
            </w:pPr>
            <w:r>
              <w:rPr>
                <w:szCs w:val="22"/>
              </w:rPr>
              <w:tab/>
              <w:t>(b)</w:t>
            </w:r>
            <w:r>
              <w:rPr>
                <w:szCs w:val="22"/>
              </w:rPr>
              <w:tab/>
              <w:t xml:space="preserve">for B.O.D.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5 kg per kL </w:t>
            </w:r>
            <w:r>
              <w:rPr>
                <w:szCs w:val="22"/>
              </w:rPr>
              <w:tab/>
            </w:r>
          </w:p>
        </w:tc>
        <w:tc>
          <w:tcPr>
            <w:tcW w:w="1576" w:type="dxa"/>
            <w:vAlign w:val="bottom"/>
          </w:tcPr>
          <w:p>
            <w:pPr>
              <w:pStyle w:val="yTableNAm"/>
              <w:rPr>
                <w:szCs w:val="22"/>
              </w:rPr>
            </w:pPr>
            <w:r>
              <w:rPr>
                <w:szCs w:val="22"/>
              </w:rPr>
              <w:t>112.0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of over 5 kg per kL </w:t>
            </w:r>
            <w:r>
              <w:rPr>
                <w:szCs w:val="22"/>
              </w:rPr>
              <w:tab/>
            </w:r>
          </w:p>
        </w:tc>
        <w:tc>
          <w:tcPr>
            <w:tcW w:w="1576" w:type="dxa"/>
            <w:vAlign w:val="bottom"/>
          </w:tcPr>
          <w:p>
            <w:pPr>
              <w:pStyle w:val="yTableNAm"/>
              <w:rPr>
                <w:szCs w:val="22"/>
              </w:rPr>
            </w:pPr>
            <w:r>
              <w:rPr>
                <w:szCs w:val="22"/>
              </w:rPr>
              <w:t>226.0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(c)</w:t>
            </w:r>
            <w:r>
              <w:rPr>
                <w:szCs w:val="22"/>
              </w:rPr>
              <w:tab/>
              <w:t xml:space="preserve">for suspended solids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2 kg per kL </w:t>
            </w:r>
            <w:r>
              <w:rPr>
                <w:szCs w:val="22"/>
              </w:rPr>
              <w:tab/>
            </w:r>
          </w:p>
        </w:tc>
        <w:tc>
          <w:tcPr>
            <w:tcW w:w="1576" w:type="dxa"/>
            <w:vAlign w:val="bottom"/>
          </w:tcPr>
          <w:p>
            <w:pPr>
              <w:pStyle w:val="yTableNAm"/>
              <w:rPr>
                <w:szCs w:val="22"/>
              </w:rPr>
            </w:pPr>
            <w:r>
              <w:rPr>
                <w:szCs w:val="22"/>
              </w:rPr>
              <w:t>151.0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of over 2 kg per kL </w:t>
            </w:r>
            <w:r>
              <w:rPr>
                <w:szCs w:val="22"/>
              </w:rPr>
              <w:tab/>
            </w:r>
          </w:p>
        </w:tc>
        <w:tc>
          <w:tcPr>
            <w:tcW w:w="1576" w:type="dxa"/>
            <w:vAlign w:val="bottom"/>
          </w:tcPr>
          <w:p>
            <w:pPr>
              <w:pStyle w:val="yTableNAm"/>
              <w:rPr>
                <w:szCs w:val="22"/>
              </w:rPr>
            </w:pPr>
            <w:r>
              <w:rPr>
                <w:szCs w:val="22"/>
              </w:rPr>
              <w:t>304.0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(d)</w:t>
            </w:r>
            <w:r>
              <w:rPr>
                <w:szCs w:val="22"/>
              </w:rPr>
              <w:tab/>
              <w:t xml:space="preserve">for chemical oxygen demand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10 kg per kL </w:t>
            </w:r>
            <w:r>
              <w:rPr>
                <w:szCs w:val="22"/>
              </w:rPr>
              <w:tab/>
            </w:r>
          </w:p>
        </w:tc>
        <w:tc>
          <w:tcPr>
            <w:tcW w:w="1576" w:type="dxa"/>
            <w:vAlign w:val="bottom"/>
          </w:tcPr>
          <w:p>
            <w:pPr>
              <w:pStyle w:val="yTableNAm"/>
              <w:rPr>
                <w:szCs w:val="22"/>
              </w:rPr>
            </w:pPr>
            <w:r>
              <w:rPr>
                <w:szCs w:val="22"/>
              </w:rPr>
              <w:t>45.0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of over 10 kg per kL </w:t>
            </w:r>
            <w:r>
              <w:rPr>
                <w:szCs w:val="22"/>
              </w:rPr>
              <w:tab/>
            </w:r>
          </w:p>
        </w:tc>
        <w:tc>
          <w:tcPr>
            <w:tcW w:w="1576" w:type="dxa"/>
            <w:vAlign w:val="bottom"/>
          </w:tcPr>
          <w:p>
            <w:pPr>
              <w:pStyle w:val="yTableNAm"/>
              <w:rPr>
                <w:szCs w:val="22"/>
              </w:rPr>
            </w:pPr>
            <w:r>
              <w:rPr>
                <w:szCs w:val="22"/>
              </w:rPr>
              <w:t>91.0 c/kg</w:t>
            </w:r>
          </w:p>
        </w:tc>
      </w:tr>
      <w:tr>
        <w:trPr>
          <w:cantSplit/>
        </w:trPr>
        <w:tc>
          <w:tcPr>
            <w:tcW w:w="850" w:type="dxa"/>
          </w:tcPr>
          <w:p>
            <w:pPr>
              <w:pStyle w:val="yTableNAm"/>
              <w:keepNext/>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(e)</w:t>
            </w:r>
            <w:r>
              <w:rPr>
                <w:szCs w:val="22"/>
              </w:rPr>
              <w:tab/>
              <w:t xml:space="preserve">for oil and grease — </w:t>
            </w:r>
          </w:p>
        </w:tc>
        <w:tc>
          <w:tcPr>
            <w:tcW w:w="1576" w:type="dxa"/>
            <w:vAlign w:val="bottom"/>
          </w:tcPr>
          <w:p>
            <w:pPr>
              <w:pStyle w:val="yTableNAm"/>
              <w:keepNext/>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with a concentration of up to 0.3 kg per kL …..............</w:t>
            </w:r>
          </w:p>
        </w:tc>
        <w:tc>
          <w:tcPr>
            <w:tcW w:w="1576" w:type="dxa"/>
            <w:vAlign w:val="bottom"/>
          </w:tcPr>
          <w:p>
            <w:pPr>
              <w:pStyle w:val="yTableNAm"/>
              <w:rPr>
                <w:szCs w:val="22"/>
              </w:rPr>
            </w:pPr>
            <w:r>
              <w:rPr>
                <w:szCs w:val="22"/>
              </w:rPr>
              <w:t>136.0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0.3 kg per kL but not over 0.6 kg per kL </w:t>
            </w:r>
            <w:r>
              <w:rPr>
                <w:szCs w:val="22"/>
              </w:rPr>
              <w:tab/>
            </w:r>
          </w:p>
        </w:tc>
        <w:tc>
          <w:tcPr>
            <w:tcW w:w="1576" w:type="dxa"/>
            <w:vAlign w:val="bottom"/>
          </w:tcPr>
          <w:p>
            <w:pPr>
              <w:pStyle w:val="yTableNAm"/>
              <w:rPr>
                <w:szCs w:val="22"/>
              </w:rPr>
            </w:pPr>
            <w:r>
              <w:rPr>
                <w:szCs w:val="22"/>
              </w:rPr>
              <w:t>270.0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0.6 kg per kL </w:t>
            </w:r>
            <w:r>
              <w:rPr>
                <w:szCs w:val="22"/>
              </w:rPr>
              <w:tab/>
            </w:r>
          </w:p>
        </w:tc>
        <w:tc>
          <w:tcPr>
            <w:tcW w:w="1576" w:type="dxa"/>
            <w:vAlign w:val="bottom"/>
          </w:tcPr>
          <w:p>
            <w:pPr>
              <w:pStyle w:val="yTableNAm"/>
              <w:rPr>
                <w:szCs w:val="22"/>
              </w:rPr>
            </w:pPr>
            <w:r>
              <w:rPr>
                <w:szCs w:val="22"/>
              </w:rPr>
              <w:t>540.0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(f)</w:t>
            </w:r>
            <w:r>
              <w:rPr>
                <w:szCs w:val="22"/>
              </w:rPr>
              <w:tab/>
              <w:t xml:space="preserve">for acidity (pH &lt; 6)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0.1 kg per kL </w:t>
            </w:r>
            <w:r>
              <w:rPr>
                <w:szCs w:val="22"/>
              </w:rPr>
              <w:tab/>
            </w:r>
          </w:p>
        </w:tc>
        <w:tc>
          <w:tcPr>
            <w:tcW w:w="1576" w:type="dxa"/>
            <w:vAlign w:val="bottom"/>
          </w:tcPr>
          <w:p>
            <w:pPr>
              <w:pStyle w:val="yTableNAm"/>
              <w:rPr>
                <w:szCs w:val="22"/>
              </w:rPr>
            </w:pPr>
            <w:r>
              <w:rPr>
                <w:szCs w:val="22"/>
              </w:rPr>
              <w:t>39.0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0.1 kg per kL but not over 0.3 kg per kL </w:t>
            </w:r>
            <w:r>
              <w:rPr>
                <w:szCs w:val="22"/>
              </w:rPr>
              <w:tab/>
            </w:r>
          </w:p>
        </w:tc>
        <w:tc>
          <w:tcPr>
            <w:tcW w:w="1576" w:type="dxa"/>
            <w:vAlign w:val="bottom"/>
          </w:tcPr>
          <w:p>
            <w:pPr>
              <w:pStyle w:val="yTableNAm"/>
              <w:rPr>
                <w:szCs w:val="22"/>
              </w:rPr>
            </w:pPr>
            <w:r>
              <w:rPr>
                <w:szCs w:val="22"/>
              </w:rPr>
              <w:t>79.0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0.3 kg per kL </w:t>
            </w:r>
            <w:r>
              <w:rPr>
                <w:szCs w:val="22"/>
              </w:rPr>
              <w:tab/>
            </w:r>
          </w:p>
        </w:tc>
        <w:tc>
          <w:tcPr>
            <w:tcW w:w="1576" w:type="dxa"/>
            <w:vAlign w:val="bottom"/>
          </w:tcPr>
          <w:p>
            <w:pPr>
              <w:pStyle w:val="yTableNAm"/>
              <w:rPr>
                <w:szCs w:val="22"/>
              </w:rPr>
            </w:pPr>
            <w:r>
              <w:rPr>
                <w:szCs w:val="22"/>
              </w:rPr>
              <w:t>157.0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(g)</w:t>
            </w:r>
            <w:r>
              <w:rPr>
                <w:szCs w:val="22"/>
              </w:rPr>
              <w:tab/>
              <w:t xml:space="preserve">for alkalinity (pH &gt; 10)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0.1 kg per kL </w:t>
            </w:r>
            <w:r>
              <w:rPr>
                <w:szCs w:val="22"/>
              </w:rPr>
              <w:tab/>
            </w:r>
          </w:p>
        </w:tc>
        <w:tc>
          <w:tcPr>
            <w:tcW w:w="1576" w:type="dxa"/>
            <w:vAlign w:val="bottom"/>
          </w:tcPr>
          <w:p>
            <w:pPr>
              <w:pStyle w:val="yTableNAm"/>
              <w:rPr>
                <w:szCs w:val="22"/>
              </w:rPr>
            </w:pPr>
            <w:r>
              <w:rPr>
                <w:szCs w:val="22"/>
              </w:rPr>
              <w:t>14.0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0.1 kg per kL but not over 0.2 kg per kL </w:t>
            </w:r>
            <w:r>
              <w:rPr>
                <w:szCs w:val="22"/>
              </w:rPr>
              <w:tab/>
            </w:r>
          </w:p>
        </w:tc>
        <w:tc>
          <w:tcPr>
            <w:tcW w:w="1576" w:type="dxa"/>
            <w:vAlign w:val="bottom"/>
          </w:tcPr>
          <w:p>
            <w:pPr>
              <w:pStyle w:val="yTableNAm"/>
              <w:rPr>
                <w:szCs w:val="22"/>
              </w:rPr>
            </w:pPr>
            <w:r>
              <w:rPr>
                <w:szCs w:val="22"/>
              </w:rPr>
              <w:t>29.0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0.2 kg per kL </w:t>
            </w:r>
            <w:r>
              <w:rPr>
                <w:szCs w:val="22"/>
              </w:rPr>
              <w:tab/>
            </w:r>
          </w:p>
        </w:tc>
        <w:tc>
          <w:tcPr>
            <w:tcW w:w="1576" w:type="dxa"/>
            <w:vAlign w:val="bottom"/>
          </w:tcPr>
          <w:p>
            <w:pPr>
              <w:pStyle w:val="yTableNAm"/>
              <w:rPr>
                <w:szCs w:val="22"/>
              </w:rPr>
            </w:pPr>
            <w:r>
              <w:rPr>
                <w:szCs w:val="22"/>
              </w:rPr>
              <w:t>57.0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(h)</w:t>
            </w:r>
            <w:r>
              <w:rPr>
                <w:szCs w:val="22"/>
              </w:rPr>
              <w:tab/>
              <w:t xml:space="preserve">for nitrogen </w:t>
            </w:r>
            <w:r>
              <w:rPr>
                <w:szCs w:val="22"/>
              </w:rPr>
              <w:tab/>
            </w:r>
          </w:p>
        </w:tc>
        <w:tc>
          <w:tcPr>
            <w:tcW w:w="1576" w:type="dxa"/>
            <w:vAlign w:val="bottom"/>
          </w:tcPr>
          <w:p>
            <w:pPr>
              <w:pStyle w:val="yTableNAm"/>
              <w:rPr>
                <w:szCs w:val="22"/>
              </w:rPr>
            </w:pPr>
            <w:r>
              <w:rPr>
                <w:szCs w:val="22"/>
              </w:rPr>
              <w:t>122.0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(i)</w:t>
            </w:r>
            <w:r>
              <w:rPr>
                <w:szCs w:val="22"/>
              </w:rPr>
              <w:tab/>
              <w:t xml:space="preserve">for phosphorus </w:t>
            </w:r>
            <w:r>
              <w:rPr>
                <w:szCs w:val="22"/>
              </w:rPr>
              <w:tab/>
            </w:r>
          </w:p>
        </w:tc>
        <w:tc>
          <w:tcPr>
            <w:tcW w:w="1576" w:type="dxa"/>
            <w:vAlign w:val="bottom"/>
          </w:tcPr>
          <w:p>
            <w:pPr>
              <w:pStyle w:val="yTableNAm"/>
              <w:rPr>
                <w:szCs w:val="22"/>
              </w:rPr>
            </w:pPr>
            <w:r>
              <w:rPr>
                <w:szCs w:val="22"/>
              </w:rPr>
              <w:t>35.0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(j)</w:t>
            </w:r>
            <w:r>
              <w:rPr>
                <w:szCs w:val="22"/>
              </w:rPr>
              <w:tab/>
              <w:t xml:space="preserve">for sulphate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0.05 kg per kL </w:t>
            </w:r>
            <w:r>
              <w:rPr>
                <w:szCs w:val="22"/>
              </w:rPr>
              <w:tab/>
            </w:r>
          </w:p>
        </w:tc>
        <w:tc>
          <w:tcPr>
            <w:tcW w:w="1576" w:type="dxa"/>
            <w:vAlign w:val="bottom"/>
          </w:tcPr>
          <w:p>
            <w:pPr>
              <w:pStyle w:val="yTableNAm"/>
              <w:rPr>
                <w:szCs w:val="22"/>
              </w:rPr>
            </w:pPr>
            <w:r>
              <w:rPr>
                <w:szCs w:val="22"/>
              </w:rPr>
              <w:t>no charge</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of over 0.05 kg per kL </w:t>
            </w:r>
            <w:r>
              <w:rPr>
                <w:szCs w:val="22"/>
              </w:rPr>
              <w:tab/>
            </w:r>
          </w:p>
        </w:tc>
        <w:tc>
          <w:tcPr>
            <w:tcW w:w="1576" w:type="dxa"/>
            <w:vAlign w:val="bottom"/>
          </w:tcPr>
          <w:p>
            <w:pPr>
              <w:pStyle w:val="yTableNAm"/>
              <w:rPr>
                <w:szCs w:val="22"/>
              </w:rPr>
            </w:pPr>
            <w:r>
              <w:rPr>
                <w:szCs w:val="22"/>
              </w:rPr>
              <w:t>64.0 c/kg</w:t>
            </w:r>
          </w:p>
        </w:tc>
      </w:tr>
      <w:tr>
        <w:trPr>
          <w:cantSplit/>
        </w:trPr>
        <w:tc>
          <w:tcPr>
            <w:tcW w:w="850" w:type="dxa"/>
          </w:tcPr>
          <w:p>
            <w:pPr>
              <w:pStyle w:val="yTableNAm"/>
              <w:keepNext/>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(k)</w:t>
            </w:r>
            <w:r>
              <w:rPr>
                <w:szCs w:val="22"/>
              </w:rPr>
              <w:tab/>
              <w:t xml:space="preserve">for total dissolved salts — </w:t>
            </w:r>
          </w:p>
        </w:tc>
        <w:tc>
          <w:tcPr>
            <w:tcW w:w="1576" w:type="dxa"/>
            <w:vAlign w:val="bottom"/>
          </w:tcPr>
          <w:p>
            <w:pPr>
              <w:pStyle w:val="yTableNAm"/>
              <w:keepNext/>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1 kg per kL </w:t>
            </w:r>
            <w:r>
              <w:rPr>
                <w:szCs w:val="22"/>
              </w:rPr>
              <w:tab/>
            </w:r>
          </w:p>
        </w:tc>
        <w:tc>
          <w:tcPr>
            <w:tcW w:w="1576" w:type="dxa"/>
            <w:vAlign w:val="bottom"/>
          </w:tcPr>
          <w:p>
            <w:pPr>
              <w:pStyle w:val="yTableNAm"/>
              <w:rPr>
                <w:szCs w:val="22"/>
              </w:rPr>
            </w:pPr>
            <w:r>
              <w:rPr>
                <w:szCs w:val="22"/>
              </w:rPr>
              <w:t>no charge</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1 kg per kL but not over 3 kg per kL </w:t>
            </w:r>
            <w:r>
              <w:rPr>
                <w:szCs w:val="22"/>
              </w:rPr>
              <w:tab/>
            </w:r>
          </w:p>
        </w:tc>
        <w:tc>
          <w:tcPr>
            <w:tcW w:w="1576" w:type="dxa"/>
            <w:vAlign w:val="bottom"/>
          </w:tcPr>
          <w:p>
            <w:pPr>
              <w:pStyle w:val="yTableNAm"/>
              <w:rPr>
                <w:szCs w:val="22"/>
              </w:rPr>
            </w:pPr>
            <w:r>
              <w:rPr>
                <w:szCs w:val="22"/>
              </w:rPr>
              <w:t>0.1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over 3 kg per kL but not over 6 kg per kL </w:t>
            </w:r>
            <w:r>
              <w:rPr>
                <w:szCs w:val="22"/>
              </w:rPr>
              <w:tab/>
            </w:r>
          </w:p>
        </w:tc>
        <w:tc>
          <w:tcPr>
            <w:tcW w:w="1576" w:type="dxa"/>
            <w:vAlign w:val="bottom"/>
          </w:tcPr>
          <w:p>
            <w:pPr>
              <w:pStyle w:val="yTableNAm"/>
              <w:rPr>
                <w:szCs w:val="22"/>
              </w:rPr>
            </w:pPr>
            <w:r>
              <w:rPr>
                <w:szCs w:val="22"/>
              </w:rPr>
              <w:t>3.7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(iv)</w:t>
            </w:r>
            <w:r>
              <w:rPr>
                <w:szCs w:val="22"/>
              </w:rPr>
              <w:tab/>
              <w:t xml:space="preserve">with a concentration of over 6 kg per kL </w:t>
            </w:r>
            <w:r>
              <w:rPr>
                <w:szCs w:val="22"/>
              </w:rPr>
              <w:tab/>
            </w:r>
          </w:p>
        </w:tc>
        <w:tc>
          <w:tcPr>
            <w:tcW w:w="1576" w:type="dxa"/>
            <w:vAlign w:val="bottom"/>
          </w:tcPr>
          <w:p>
            <w:pPr>
              <w:pStyle w:val="yTableNAm"/>
              <w:rPr>
                <w:szCs w:val="22"/>
              </w:rPr>
            </w:pPr>
            <w:r>
              <w:rPr>
                <w:szCs w:val="22"/>
              </w:rPr>
              <w:t>12.8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(l)</w:t>
            </w:r>
            <w:r>
              <w:rPr>
                <w:szCs w:val="22"/>
              </w:rPr>
              <w:tab/>
              <w:t xml:space="preserve">for chromium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0.03 kg per day but not over 1 kg per day </w:t>
            </w:r>
            <w:r>
              <w:rPr>
                <w:szCs w:val="22"/>
              </w:rPr>
              <w:tab/>
            </w:r>
          </w:p>
        </w:tc>
        <w:tc>
          <w:tcPr>
            <w:tcW w:w="1576" w:type="dxa"/>
            <w:vAlign w:val="bottom"/>
          </w:tcPr>
          <w:p>
            <w:pPr>
              <w:pStyle w:val="yTableNAm"/>
              <w:rPr>
                <w:szCs w:val="22"/>
              </w:rPr>
            </w:pPr>
            <w:r>
              <w:rPr>
                <w:szCs w:val="22"/>
              </w:rPr>
              <w:t>2005.0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1 kg per day </w:t>
            </w:r>
            <w:r>
              <w:rPr>
                <w:szCs w:val="22"/>
              </w:rPr>
              <w:tab/>
            </w:r>
          </w:p>
        </w:tc>
        <w:tc>
          <w:tcPr>
            <w:tcW w:w="1576" w:type="dxa"/>
            <w:vAlign w:val="bottom"/>
          </w:tcPr>
          <w:p>
            <w:pPr>
              <w:pStyle w:val="yTableNAm"/>
              <w:rPr>
                <w:szCs w:val="22"/>
              </w:rPr>
            </w:pPr>
            <w:r>
              <w:rPr>
                <w:szCs w:val="22"/>
              </w:rPr>
              <w:t>8030.0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(m)</w:t>
            </w:r>
            <w:r>
              <w:rPr>
                <w:szCs w:val="22"/>
              </w:rPr>
              <w:tab/>
              <w:t xml:space="preserve">for copper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0.03 kg per day but not over 0.12 kg per day </w:t>
            </w:r>
            <w:r>
              <w:rPr>
                <w:szCs w:val="22"/>
              </w:rPr>
              <w:tab/>
            </w:r>
          </w:p>
        </w:tc>
        <w:tc>
          <w:tcPr>
            <w:tcW w:w="1576" w:type="dxa"/>
            <w:vAlign w:val="bottom"/>
          </w:tcPr>
          <w:p>
            <w:pPr>
              <w:pStyle w:val="yTableNAm"/>
              <w:rPr>
                <w:szCs w:val="22"/>
              </w:rPr>
            </w:pPr>
            <w:r>
              <w:rPr>
                <w:szCs w:val="22"/>
              </w:rPr>
              <w:t>2005.0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0.12 kg per day </w:t>
            </w:r>
            <w:r>
              <w:rPr>
                <w:szCs w:val="22"/>
              </w:rPr>
              <w:tab/>
            </w:r>
          </w:p>
        </w:tc>
        <w:tc>
          <w:tcPr>
            <w:tcW w:w="1576" w:type="dxa"/>
            <w:vAlign w:val="bottom"/>
          </w:tcPr>
          <w:p>
            <w:pPr>
              <w:pStyle w:val="yTableNAm"/>
              <w:rPr>
                <w:szCs w:val="22"/>
              </w:rPr>
            </w:pPr>
            <w:r>
              <w:rPr>
                <w:szCs w:val="22"/>
              </w:rPr>
              <w:t>8030.0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(n)</w:t>
            </w:r>
            <w:r>
              <w:rPr>
                <w:szCs w:val="22"/>
              </w:rPr>
              <w:tab/>
              <w:t xml:space="preserve">for lead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0.03 kg per day but not over 0.3 kg per day </w:t>
            </w:r>
            <w:r>
              <w:rPr>
                <w:szCs w:val="22"/>
              </w:rPr>
              <w:tab/>
            </w:r>
          </w:p>
        </w:tc>
        <w:tc>
          <w:tcPr>
            <w:tcW w:w="1576" w:type="dxa"/>
            <w:vAlign w:val="bottom"/>
          </w:tcPr>
          <w:p>
            <w:pPr>
              <w:pStyle w:val="yTableNAm"/>
              <w:rPr>
                <w:szCs w:val="22"/>
              </w:rPr>
            </w:pPr>
            <w:r>
              <w:rPr>
                <w:szCs w:val="22"/>
              </w:rPr>
              <w:t>2005.0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0.3 kg per day </w:t>
            </w:r>
            <w:r>
              <w:rPr>
                <w:szCs w:val="22"/>
              </w:rPr>
              <w:tab/>
            </w:r>
          </w:p>
        </w:tc>
        <w:tc>
          <w:tcPr>
            <w:tcW w:w="1576" w:type="dxa"/>
            <w:vAlign w:val="bottom"/>
          </w:tcPr>
          <w:p>
            <w:pPr>
              <w:pStyle w:val="yTableNAm"/>
              <w:rPr>
                <w:szCs w:val="22"/>
              </w:rPr>
            </w:pPr>
            <w:r>
              <w:rPr>
                <w:szCs w:val="22"/>
              </w:rPr>
              <w:t>8030.0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(o)</w:t>
            </w:r>
            <w:r>
              <w:rPr>
                <w:szCs w:val="22"/>
              </w:rPr>
              <w:tab/>
              <w:t xml:space="preserve">for nickel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0.006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0.006 kg per day but not over 0.15 kg per day </w:t>
            </w:r>
            <w:r>
              <w:rPr>
                <w:szCs w:val="22"/>
              </w:rPr>
              <w:tab/>
            </w:r>
          </w:p>
        </w:tc>
        <w:tc>
          <w:tcPr>
            <w:tcW w:w="1576" w:type="dxa"/>
            <w:vAlign w:val="bottom"/>
          </w:tcPr>
          <w:p>
            <w:pPr>
              <w:pStyle w:val="yTableNAm"/>
              <w:rPr>
                <w:szCs w:val="22"/>
              </w:rPr>
            </w:pPr>
            <w:r>
              <w:rPr>
                <w:szCs w:val="22"/>
              </w:rPr>
              <w:t>2005.0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0.15 kg per day </w:t>
            </w:r>
            <w:r>
              <w:rPr>
                <w:szCs w:val="22"/>
              </w:rPr>
              <w:tab/>
            </w:r>
          </w:p>
        </w:tc>
        <w:tc>
          <w:tcPr>
            <w:tcW w:w="1576" w:type="dxa"/>
            <w:vAlign w:val="bottom"/>
          </w:tcPr>
          <w:p>
            <w:pPr>
              <w:pStyle w:val="yTableNAm"/>
              <w:rPr>
                <w:szCs w:val="22"/>
              </w:rPr>
            </w:pPr>
            <w:r>
              <w:rPr>
                <w:szCs w:val="22"/>
              </w:rPr>
              <w:t>8030.0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(p)</w:t>
            </w:r>
            <w:r>
              <w:rPr>
                <w:szCs w:val="22"/>
              </w:rPr>
              <w:tab/>
              <w:t xml:space="preserve">for zinc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0.05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0.05 kg per day but not over 0.5 kg per day </w:t>
            </w:r>
            <w:r>
              <w:rPr>
                <w:szCs w:val="22"/>
              </w:rPr>
              <w:tab/>
            </w:r>
          </w:p>
        </w:tc>
        <w:tc>
          <w:tcPr>
            <w:tcW w:w="1576" w:type="dxa"/>
            <w:vAlign w:val="bottom"/>
          </w:tcPr>
          <w:p>
            <w:pPr>
              <w:pStyle w:val="yTableNAm"/>
              <w:rPr>
                <w:szCs w:val="22"/>
              </w:rPr>
            </w:pPr>
            <w:r>
              <w:rPr>
                <w:szCs w:val="22"/>
              </w:rPr>
              <w:t>2005.0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0.5 kg per day </w:t>
            </w:r>
            <w:r>
              <w:rPr>
                <w:szCs w:val="22"/>
              </w:rPr>
              <w:tab/>
            </w:r>
          </w:p>
        </w:tc>
        <w:tc>
          <w:tcPr>
            <w:tcW w:w="1576" w:type="dxa"/>
            <w:vAlign w:val="bottom"/>
          </w:tcPr>
          <w:p>
            <w:pPr>
              <w:pStyle w:val="yTableNAm"/>
              <w:rPr>
                <w:szCs w:val="22"/>
              </w:rPr>
            </w:pPr>
            <w:r>
              <w:rPr>
                <w:szCs w:val="22"/>
              </w:rPr>
              <w:t>8030.0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(q)</w:t>
            </w:r>
            <w:r>
              <w:rPr>
                <w:szCs w:val="22"/>
              </w:rPr>
              <w:tab/>
              <w:t xml:space="preserve">for arsenic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0.001 kg per day but not over 0.04 kg per day </w:t>
            </w:r>
            <w:r>
              <w:rPr>
                <w:szCs w:val="22"/>
              </w:rPr>
              <w:tab/>
            </w:r>
          </w:p>
        </w:tc>
        <w:tc>
          <w:tcPr>
            <w:tcW w:w="1576" w:type="dxa"/>
            <w:vAlign w:val="bottom"/>
          </w:tcPr>
          <w:p>
            <w:pPr>
              <w:pStyle w:val="yTableNAm"/>
              <w:rPr>
                <w:szCs w:val="22"/>
              </w:rPr>
            </w:pPr>
            <w:r>
              <w:rPr>
                <w:szCs w:val="22"/>
              </w:rPr>
              <w:t>10035.0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0.04 kg per day </w:t>
            </w:r>
            <w:r>
              <w:rPr>
                <w:szCs w:val="22"/>
              </w:rPr>
              <w:tab/>
            </w:r>
          </w:p>
        </w:tc>
        <w:tc>
          <w:tcPr>
            <w:tcW w:w="1576" w:type="dxa"/>
            <w:vAlign w:val="bottom"/>
          </w:tcPr>
          <w:p>
            <w:pPr>
              <w:pStyle w:val="yTableNAm"/>
              <w:rPr>
                <w:szCs w:val="22"/>
              </w:rPr>
            </w:pPr>
            <w:r>
              <w:rPr>
                <w:szCs w:val="22"/>
              </w:rPr>
              <w:t>100340.0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(r)</w:t>
            </w:r>
            <w:r>
              <w:rPr>
                <w:szCs w:val="22"/>
              </w:rPr>
              <w:tab/>
              <w:t xml:space="preserve">for cadmium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0.001 kg per day but not over 0.015 kg per day </w:t>
            </w:r>
            <w:r>
              <w:rPr>
                <w:szCs w:val="22"/>
              </w:rPr>
              <w:tab/>
            </w:r>
          </w:p>
        </w:tc>
        <w:tc>
          <w:tcPr>
            <w:tcW w:w="1576" w:type="dxa"/>
            <w:vAlign w:val="bottom"/>
          </w:tcPr>
          <w:p>
            <w:pPr>
              <w:pStyle w:val="yTableNAm"/>
              <w:rPr>
                <w:szCs w:val="22"/>
              </w:rPr>
            </w:pPr>
            <w:r>
              <w:rPr>
                <w:szCs w:val="22"/>
              </w:rPr>
              <w:t>10035.0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0.015 kg per day </w:t>
            </w:r>
            <w:r>
              <w:rPr>
                <w:szCs w:val="22"/>
              </w:rPr>
              <w:tab/>
            </w:r>
          </w:p>
        </w:tc>
        <w:tc>
          <w:tcPr>
            <w:tcW w:w="1576" w:type="dxa"/>
            <w:vAlign w:val="bottom"/>
          </w:tcPr>
          <w:p>
            <w:pPr>
              <w:pStyle w:val="yTableNAm"/>
              <w:rPr>
                <w:szCs w:val="22"/>
              </w:rPr>
            </w:pPr>
            <w:r>
              <w:rPr>
                <w:szCs w:val="22"/>
              </w:rPr>
              <w:t>100340.0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(s)</w:t>
            </w:r>
            <w:r>
              <w:rPr>
                <w:szCs w:val="22"/>
              </w:rPr>
              <w:tab/>
              <w:t xml:space="preserve">for molybdenum or selenium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0.001 kg per day but not over 0.02 kg per day </w:t>
            </w:r>
            <w:r>
              <w:rPr>
                <w:szCs w:val="22"/>
              </w:rPr>
              <w:tab/>
            </w:r>
          </w:p>
        </w:tc>
        <w:tc>
          <w:tcPr>
            <w:tcW w:w="1576" w:type="dxa"/>
            <w:vAlign w:val="bottom"/>
          </w:tcPr>
          <w:p>
            <w:pPr>
              <w:pStyle w:val="yTableNAm"/>
              <w:rPr>
                <w:szCs w:val="22"/>
              </w:rPr>
            </w:pPr>
            <w:r>
              <w:rPr>
                <w:szCs w:val="22"/>
              </w:rPr>
              <w:t>10035.0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0.02 kg per day </w:t>
            </w:r>
            <w:r>
              <w:rPr>
                <w:szCs w:val="22"/>
              </w:rPr>
              <w:tab/>
            </w:r>
          </w:p>
        </w:tc>
        <w:tc>
          <w:tcPr>
            <w:tcW w:w="1576" w:type="dxa"/>
            <w:vAlign w:val="bottom"/>
          </w:tcPr>
          <w:p>
            <w:pPr>
              <w:pStyle w:val="yTableNAm"/>
              <w:rPr>
                <w:szCs w:val="22"/>
              </w:rPr>
            </w:pPr>
            <w:r>
              <w:rPr>
                <w:szCs w:val="22"/>
              </w:rPr>
              <w:t>100340.0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(t)</w:t>
            </w:r>
            <w:r>
              <w:rPr>
                <w:szCs w:val="22"/>
              </w:rPr>
              <w:tab/>
              <w:t xml:space="preserve">for silver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0.002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0.002 kg per day but not over 0.01 kg per day </w:t>
            </w:r>
            <w:r>
              <w:rPr>
                <w:szCs w:val="22"/>
              </w:rPr>
              <w:tab/>
            </w:r>
          </w:p>
        </w:tc>
        <w:tc>
          <w:tcPr>
            <w:tcW w:w="1576" w:type="dxa"/>
            <w:vAlign w:val="bottom"/>
          </w:tcPr>
          <w:p>
            <w:pPr>
              <w:pStyle w:val="yTableNAm"/>
              <w:rPr>
                <w:szCs w:val="22"/>
              </w:rPr>
            </w:pPr>
            <w:r>
              <w:rPr>
                <w:szCs w:val="22"/>
              </w:rPr>
              <w:t>10035.0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0.01 kg per day </w:t>
            </w:r>
            <w:r>
              <w:rPr>
                <w:szCs w:val="22"/>
              </w:rPr>
              <w:tab/>
            </w:r>
          </w:p>
        </w:tc>
        <w:tc>
          <w:tcPr>
            <w:tcW w:w="1576" w:type="dxa"/>
            <w:vAlign w:val="bottom"/>
          </w:tcPr>
          <w:p>
            <w:pPr>
              <w:pStyle w:val="yTableNAm"/>
              <w:rPr>
                <w:szCs w:val="22"/>
              </w:rPr>
            </w:pPr>
            <w:r>
              <w:rPr>
                <w:szCs w:val="22"/>
              </w:rPr>
              <w:t>100340.0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(u)</w:t>
            </w:r>
            <w:r>
              <w:rPr>
                <w:szCs w:val="22"/>
              </w:rPr>
              <w:tab/>
              <w:t xml:space="preserve">for mercury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0.0001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0.0001 kg per day but not over 0.001 kg per day </w:t>
            </w:r>
            <w:r>
              <w:rPr>
                <w:szCs w:val="22"/>
              </w:rPr>
              <w:tab/>
            </w:r>
          </w:p>
        </w:tc>
        <w:tc>
          <w:tcPr>
            <w:tcW w:w="1576" w:type="dxa"/>
            <w:vAlign w:val="bottom"/>
          </w:tcPr>
          <w:p>
            <w:pPr>
              <w:pStyle w:val="yTableNAm"/>
              <w:rPr>
                <w:szCs w:val="22"/>
              </w:rPr>
            </w:pPr>
            <w:r>
              <w:rPr>
                <w:szCs w:val="22"/>
              </w:rPr>
              <w:t>100340.0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0.001 kg per day </w:t>
            </w:r>
            <w:r>
              <w:rPr>
                <w:szCs w:val="22"/>
              </w:rPr>
              <w:tab/>
            </w:r>
          </w:p>
        </w:tc>
        <w:tc>
          <w:tcPr>
            <w:tcW w:w="1576" w:type="dxa"/>
            <w:vAlign w:val="bottom"/>
          </w:tcPr>
          <w:p>
            <w:pPr>
              <w:pStyle w:val="yTableNAm"/>
              <w:rPr>
                <w:szCs w:val="22"/>
              </w:rPr>
            </w:pPr>
            <w:r>
              <w:rPr>
                <w:szCs w:val="22"/>
              </w:rPr>
              <w:t>752565.0 c/kg</w:t>
            </w:r>
          </w:p>
        </w:tc>
      </w:tr>
      <w:tr>
        <w:trPr>
          <w:cantSplit/>
        </w:trPr>
        <w:tc>
          <w:tcPr>
            <w:tcW w:w="850" w:type="dxa"/>
          </w:tcPr>
          <w:p>
            <w:pPr>
              <w:pStyle w:val="yTableNAm"/>
              <w:keepNext/>
              <w:keepLines/>
              <w:rPr>
                <w:b/>
                <w:szCs w:val="22"/>
              </w:rPr>
            </w:pPr>
            <w:r>
              <w:rPr>
                <w:b/>
                <w:szCs w:val="22"/>
              </w:rPr>
              <w:t>12.</w:t>
            </w:r>
          </w:p>
        </w:tc>
        <w:tc>
          <w:tcPr>
            <w:tcW w:w="5812" w:type="dxa"/>
            <w:gridSpan w:val="2"/>
          </w:tcPr>
          <w:p>
            <w:pPr>
              <w:pStyle w:val="yTableNAm"/>
              <w:rPr>
                <w:b/>
                <w:szCs w:val="22"/>
              </w:rPr>
            </w:pPr>
            <w:r>
              <w:rPr>
                <w:b/>
                <w:szCs w:val="22"/>
              </w:rPr>
              <w:t>Effluent discharged from a septic tank effluent pumping system into a sewer of the Corporation</w:t>
            </w:r>
          </w:p>
        </w:tc>
      </w:tr>
      <w:tr>
        <w:trPr>
          <w:cantSplit/>
        </w:trPr>
        <w:tc>
          <w:tcPr>
            <w:tcW w:w="850" w:type="dxa"/>
          </w:tcPr>
          <w:p>
            <w:pPr>
              <w:pStyle w:val="yTableNAm"/>
              <w:keepNext/>
              <w:keepLines/>
              <w:rPr>
                <w:szCs w:val="22"/>
              </w:rPr>
            </w:pPr>
          </w:p>
        </w:tc>
        <w:tc>
          <w:tcPr>
            <w:tcW w:w="4236" w:type="dxa"/>
          </w:tcPr>
          <w:p>
            <w:pPr>
              <w:pStyle w:val="yTableNAm"/>
              <w:tabs>
                <w:tab w:val="right" w:leader="dot" w:pos="5103"/>
              </w:tabs>
              <w:rPr>
                <w:szCs w:val="22"/>
              </w:rPr>
            </w:pPr>
            <w:r>
              <w:rPr>
                <w:szCs w:val="22"/>
              </w:rPr>
              <w:t xml:space="preserve">For effluent discharged from a septic tank effluent pumping system into a sewer of the Corporation </w:t>
            </w:r>
            <w:r>
              <w:rPr>
                <w:szCs w:val="22"/>
              </w:rPr>
              <w:tab/>
            </w:r>
          </w:p>
        </w:tc>
        <w:tc>
          <w:tcPr>
            <w:tcW w:w="1576" w:type="dxa"/>
            <w:vAlign w:val="bottom"/>
          </w:tcPr>
          <w:p>
            <w:pPr>
              <w:pStyle w:val="yTableNAm"/>
              <w:rPr>
                <w:szCs w:val="22"/>
              </w:rPr>
            </w:pPr>
            <w:r>
              <w:rPr>
                <w:szCs w:val="22"/>
              </w:rPr>
              <w:t>150.0 c/kL</w:t>
            </w:r>
          </w:p>
        </w:tc>
      </w:tr>
    </w:tbl>
    <w:p>
      <w:pPr>
        <w:pStyle w:val="yFootnotesection"/>
      </w:pPr>
      <w:r>
        <w:tab/>
        <w:t>[Division 3 inserted in Gazette 20 Jun 2012 p. 2730</w:t>
      </w:r>
      <w:r>
        <w:noBreakHyphen/>
        <w:t>5.]</w:t>
      </w:r>
    </w:p>
    <w:p>
      <w:pPr>
        <w:pStyle w:val="yHeading3"/>
      </w:pPr>
      <w:bookmarkStart w:id="74" w:name="_Toc84427997"/>
      <w:r>
        <w:rPr>
          <w:rStyle w:val="CharSDivNo"/>
        </w:rPr>
        <w:t>Division 4</w:t>
      </w:r>
      <w:r>
        <w:rPr>
          <w:b w:val="0"/>
        </w:rPr>
        <w:t> </w:t>
      </w:r>
      <w:r>
        <w:t>— </w:t>
      </w:r>
      <w:r>
        <w:rPr>
          <w:rStyle w:val="CharSDivText"/>
        </w:rPr>
        <w:t>Metropolitan combined charges</w:t>
      </w:r>
      <w:bookmarkEnd w:id="74"/>
    </w:p>
    <w:p>
      <w:pPr>
        <w:pStyle w:val="yFootnoteheading"/>
        <w:spacing w:after="60"/>
      </w:pPr>
      <w:r>
        <w:tab/>
        <w:t>[Heading inserted in Gazette 20 Jun 2012 p. 2735.]</w:t>
      </w:r>
    </w:p>
    <w:p>
      <w:pPr>
        <w:pStyle w:val="yHeading5"/>
      </w:pPr>
      <w:bookmarkStart w:id="75" w:name="_Toc84427998"/>
      <w:r>
        <w:t>13.</w:t>
      </w:r>
      <w:r>
        <w:tab/>
        <w:t>Metropolitan non</w:t>
      </w:r>
      <w:r>
        <w:noBreakHyphen/>
        <w:t>residential (other than vacant land)</w:t>
      </w:r>
      <w:bookmarkEnd w:id="75"/>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 and</w:t>
      </w:r>
    </w:p>
    <w:p>
      <w:pPr>
        <w:pStyle w:val="yIndenta"/>
      </w:pPr>
      <w:r>
        <w:tab/>
        <w:t>(b)</w:t>
      </w:r>
      <w:r>
        <w:tab/>
        <w:t>referred to in item 1, 3, 4, 5,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r>
        <w:tab/>
      </w:r>
      <w:r>
        <w:tab/>
      </w:r>
      <w:r>
        <w:rPr>
          <w:b/>
          <w:bCs/>
        </w:rPr>
        <w:t>P</w:t>
      </w:r>
      <w:r>
        <w:t xml:space="preserve"> + </w:t>
      </w:r>
      <w:r>
        <w:rPr>
          <w:b/>
          <w:bCs/>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pPr>
      <w:r>
        <w:tab/>
      </w:r>
      <w:r>
        <w:tab/>
        <w:t xml:space="preserve">or if — </w:t>
      </w:r>
    </w:p>
    <w:p>
      <w:pPr>
        <w:pStyle w:val="yIndenta"/>
        <w:rPr>
          <w:b/>
        </w:rPr>
      </w:pPr>
      <w:r>
        <w:rPr>
          <w:b/>
        </w:rPr>
        <w:lastRenderedPageBreak/>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a"/>
        <w:tabs>
          <w:tab w:val="left" w:pos="2160"/>
        </w:tabs>
        <w:ind w:left="2880" w:hanging="2880"/>
      </w:pPr>
      <w:r>
        <w:tab/>
      </w:r>
      <w:r>
        <w:tab/>
      </w:r>
      <w:r>
        <w:tab/>
        <w:t>P =</w:t>
      </w:r>
      <w:r>
        <w:tab/>
        <w:t>the annual charge calculated in accordance with the formula in item 18;</w:t>
      </w:r>
    </w:p>
    <w:p>
      <w:pPr>
        <w:pStyle w:val="yIndenta"/>
        <w:tabs>
          <w:tab w:val="left" w:pos="2160"/>
        </w:tabs>
        <w:ind w:left="2880" w:hanging="2880"/>
      </w:pPr>
      <w:r>
        <w:tab/>
      </w:r>
      <w:r>
        <w:tab/>
      </w:r>
      <w:r>
        <w:tab/>
      </w:r>
      <w:r>
        <w:rPr>
          <w:b/>
        </w:rPr>
        <w:t>Q</w:t>
      </w:r>
      <w:r>
        <w:t xml:space="preserve"> =</w:t>
      </w:r>
      <w:r>
        <w:tab/>
        <w:t>the quantity charge calculated in accordance with the formula in item 19;</w:t>
      </w:r>
    </w:p>
    <w:p>
      <w:pPr>
        <w:pStyle w:val="yIndenti0"/>
      </w:pPr>
      <w:r>
        <w:rPr>
          <w:b/>
        </w:rPr>
        <w:tab/>
      </w:r>
      <w:r>
        <w:rPr>
          <w:b/>
        </w:rPr>
        <w:tab/>
        <w:t>R</w:t>
      </w:r>
      <w:r>
        <w:t xml:space="preserve"> =</w:t>
      </w:r>
      <w:r>
        <w:tab/>
        <w:t>the charge calculated in accordance with the following formula — </w:t>
      </w:r>
    </w:p>
    <w:p>
      <w:pPr>
        <w:pStyle w:val="yIndenti0"/>
      </w:pPr>
      <w:r>
        <w:rPr>
          <w:b/>
        </w:rPr>
        <w:tab/>
      </w:r>
      <w:r>
        <w:rPr>
          <w:b/>
        </w:rPr>
        <w:tab/>
      </w:r>
      <w:r>
        <w:rPr>
          <w:b/>
        </w:rPr>
        <w:tab/>
        <w:t>A</w:t>
      </w:r>
      <w:r>
        <w:t xml:space="preserve"> </w:t>
      </w:r>
      <w:r>
        <w:sym w:font="Symbol" w:char="F0B4"/>
      </w:r>
      <w:r>
        <w:t xml:space="preserve"> </w:t>
      </w:r>
      <w:r>
        <w:rPr>
          <w:b/>
        </w:rPr>
        <w:t>S</w:t>
      </w:r>
    </w:p>
    <w:p>
      <w:pPr>
        <w:pStyle w:val="yIndenti0"/>
      </w:pPr>
      <w:r>
        <w:tab/>
      </w:r>
      <w:r>
        <w:tab/>
      </w:r>
      <w:r>
        <w:tab/>
        <w:t xml:space="preserve">where — </w:t>
      </w:r>
    </w:p>
    <w:p>
      <w:pPr>
        <w:pStyle w:val="yIndenti0"/>
        <w:rPr>
          <w:b/>
        </w:rPr>
      </w:pPr>
      <w:r>
        <w:rPr>
          <w:b/>
        </w:rPr>
        <w:tab/>
      </w:r>
      <w:r>
        <w:rPr>
          <w:b/>
        </w:rPr>
        <w:tab/>
        <w:t xml:space="preserve">A </w:t>
      </w:r>
      <w:r>
        <w:t>=</w:t>
      </w:r>
      <w:r>
        <w:rPr>
          <w:b/>
        </w:rPr>
        <w:tab/>
      </w:r>
      <w:r>
        <w:t>the charge payable in the 2011/2012 year</w:t>
      </w:r>
      <w:r>
        <w:rPr>
          <w:b/>
        </w:rPr>
        <w:t>;</w:t>
      </w:r>
    </w:p>
    <w:p>
      <w:pPr>
        <w:pStyle w:val="yIndenti0"/>
      </w:pPr>
      <w:r>
        <w:rPr>
          <w:b/>
        </w:rPr>
        <w:tab/>
      </w:r>
      <w:r>
        <w:rPr>
          <w:b/>
        </w:rPr>
        <w:tab/>
        <w:t xml:space="preserve">S </w:t>
      </w:r>
      <w:r>
        <w:t>=</w:t>
      </w:r>
      <w:r>
        <w:rPr>
          <w:b/>
        </w:rPr>
        <w:tab/>
      </w:r>
      <w:r>
        <w:t>1.136;</w:t>
      </w:r>
    </w:p>
    <w:p>
      <w:pPr>
        <w:pStyle w:val="yIndenti0"/>
      </w:pPr>
      <w:r>
        <w:rPr>
          <w:b/>
        </w:rPr>
        <w:tab/>
      </w:r>
      <w:r>
        <w:rPr>
          <w:b/>
        </w:rPr>
        <w:tab/>
        <w:t xml:space="preserve">N </w:t>
      </w:r>
      <w:r>
        <w:t>=</w:t>
      </w:r>
      <w:r>
        <w:rPr>
          <w:b/>
        </w:rPr>
        <w:tab/>
      </w:r>
      <w:r>
        <w:t>the discharge volume for the 2012/2013 year;</w:t>
      </w:r>
    </w:p>
    <w:p>
      <w:pPr>
        <w:pStyle w:val="yIndenti0"/>
      </w:pPr>
      <w:r>
        <w:rPr>
          <w:b/>
        </w:rPr>
        <w:tab/>
      </w:r>
      <w:r>
        <w:rPr>
          <w:b/>
        </w:rPr>
        <w:tab/>
        <w:t xml:space="preserve">W </w:t>
      </w:r>
      <w:r>
        <w:t>=</w:t>
      </w:r>
      <w:r>
        <w:rPr>
          <w:b/>
        </w:rPr>
        <w:tab/>
      </w:r>
      <w:r>
        <w:t>the discharge volume for the 2011/2012 year;</w:t>
      </w:r>
    </w:p>
    <w:p>
      <w:pPr>
        <w:pStyle w:val="yIndenti0"/>
      </w:pPr>
      <w:r>
        <w:rPr>
          <w:b/>
        </w:rPr>
        <w:tab/>
      </w:r>
      <w:r>
        <w:rPr>
          <w:b/>
        </w:rPr>
        <w:tab/>
        <w:t xml:space="preserve">I </w:t>
      </w:r>
      <w:r>
        <w:t>=</w:t>
      </w:r>
      <w:r>
        <w:rPr>
          <w:b/>
        </w:rPr>
        <w:tab/>
      </w:r>
      <w:r>
        <w:t>2.677.</w:t>
      </w:r>
    </w:p>
    <w:p>
      <w:pPr>
        <w:pStyle w:val="yHeading5"/>
      </w:pPr>
      <w:bookmarkStart w:id="76" w:name="_Toc84427999"/>
      <w:r>
        <w:t>14.</w:t>
      </w:r>
      <w:r>
        <w:tab/>
        <w:t>Metropolitan Government trading organisation and non</w:t>
      </w:r>
      <w:r>
        <w:noBreakHyphen/>
        <w:t>commercial Government property</w:t>
      </w:r>
      <w:bookmarkEnd w:id="76"/>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the charge payable for the relevant number of major fixtures in the 2012/2013 year as set out in the Table to item 18;</w:t>
      </w:r>
    </w:p>
    <w:p>
      <w:pPr>
        <w:pStyle w:val="yIndenta"/>
      </w:pPr>
      <w:r>
        <w:rPr>
          <w:b/>
        </w:rPr>
        <w:tab/>
        <w:t>Q</w:t>
      </w:r>
      <w:r>
        <w:t xml:space="preserve"> =</w:t>
      </w:r>
      <w:r>
        <w:tab/>
        <w:t>the quantity charge calculated in accordance with the formula in item 19.</w:t>
      </w:r>
    </w:p>
    <w:p>
      <w:pPr>
        <w:pStyle w:val="yHeading5"/>
      </w:pPr>
      <w:bookmarkStart w:id="77" w:name="_Toc84428000"/>
      <w:r>
        <w:lastRenderedPageBreak/>
        <w:t>15.</w:t>
      </w:r>
      <w:r>
        <w:tab/>
        <w:t>Metropolitan non strata</w:t>
      </w:r>
      <w:r>
        <w:noBreakHyphen/>
        <w:t>titled caravan park with long</w:t>
      </w:r>
      <w:r>
        <w:noBreakHyphen/>
        <w:t>term residential caravan bays</w:t>
      </w:r>
      <w:bookmarkEnd w:id="77"/>
    </w:p>
    <w:p>
      <w:pPr>
        <w:pStyle w:val="ySubsection"/>
      </w:pPr>
      <w:r>
        <w:tab/>
      </w:r>
      <w:r>
        <w:tab/>
        <w:t xml:space="preserve">In respect of a caravan park in the metropolitan area — </w:t>
      </w:r>
    </w:p>
    <w:p>
      <w:pPr>
        <w:pStyle w:val="yIndenta"/>
      </w:pPr>
      <w:r>
        <w:tab/>
        <w:t>(a)</w:t>
      </w:r>
      <w:r>
        <w:tab/>
        <w:t>not consisting of strata</w:t>
      </w:r>
      <w:r>
        <w:noBreakHyphen/>
        <w:t>titled caravan bays referred to in item 3; and</w:t>
      </w:r>
    </w:p>
    <w:p>
      <w:pPr>
        <w:pStyle w:val="yIndenta"/>
      </w:pPr>
      <w:r>
        <w:tab/>
        <w:t>(b)</w:t>
      </w:r>
      <w:r>
        <w:tab/>
        <w:t>having long</w:t>
      </w:r>
      <w:r>
        <w:noBreakHyphen/>
        <w:t xml:space="preserve">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i0"/>
      </w:pPr>
      <w:r>
        <w:rPr>
          <w:b/>
          <w:bCs/>
        </w:rPr>
        <w:tab/>
        <w:t>AA =</w:t>
      </w:r>
      <w:r>
        <w:tab/>
        <w:t>a charge of $240.50 for each long</w:t>
      </w:r>
      <w:r>
        <w:noBreakHyphen/>
        <w:t>term residential caravan bay;</w:t>
      </w:r>
    </w:p>
    <w:p>
      <w:pPr>
        <w:pStyle w:val="yIndenti0"/>
      </w:pPr>
      <w:r>
        <w:tab/>
        <w:t>AB =</w:t>
      </w:r>
      <w:r>
        <w:tab/>
        <w:t>the charge for any part of the caravan park not comprised in long</w:t>
      </w:r>
      <w:r>
        <w:noBreakHyphen/>
        <w:t xml:space="preserve">term residential caravan bays, calculated in accordance with the following formula — </w:t>
      </w:r>
    </w:p>
    <w:p>
      <w:pPr>
        <w:pStyle w:val="yIndenti0"/>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i0"/>
      </w:pPr>
      <w:r>
        <w:tab/>
      </w:r>
      <w:r>
        <w:tab/>
      </w:r>
      <w:r>
        <w:rPr>
          <w:b/>
        </w:rPr>
        <w:t>Y</w:t>
      </w:r>
      <w:r>
        <w:t xml:space="preserve"> + </w:t>
      </w:r>
      <w:r>
        <w:rPr>
          <w:b/>
        </w:rPr>
        <w:t>Q</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w:t>
      </w:r>
      <w:r>
        <w:sym w:font="Symbol" w:char="F0A3"/>
      </w:r>
      <w:r>
        <w:t xml:space="preserve"> </w:t>
      </w:r>
      <w:r>
        <w:rPr>
          <w:b/>
        </w:rPr>
        <w:t>W</w:t>
      </w:r>
      <w:r>
        <w:t>,</w:t>
      </w:r>
    </w:p>
    <w:p>
      <w:pPr>
        <w:pStyle w:val="yIndenti0"/>
      </w:pPr>
      <w:r>
        <w:tab/>
      </w:r>
      <w:r>
        <w:tab/>
        <w:t xml:space="preserve">then — </w:t>
      </w:r>
    </w:p>
    <w:p>
      <w:pPr>
        <w:pStyle w:val="yIndenti0"/>
        <w:rPr>
          <w:b/>
        </w:rPr>
      </w:pPr>
      <w:r>
        <w:tab/>
      </w:r>
      <w:r>
        <w:tab/>
      </w:r>
      <w:r>
        <w:rPr>
          <w:b/>
        </w:rPr>
        <w:t>R</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&gt; </w:t>
      </w:r>
      <w:r>
        <w:rPr>
          <w:b/>
        </w:rPr>
        <w:t>W</w:t>
      </w:r>
      <w:r>
        <w:t>,</w:t>
      </w:r>
    </w:p>
    <w:p>
      <w:pPr>
        <w:pStyle w:val="yIndenti0"/>
      </w:pPr>
      <w:r>
        <w:tab/>
      </w:r>
      <w:r>
        <w:tab/>
        <w:t xml:space="preserve">then — </w:t>
      </w:r>
    </w:p>
    <w:p>
      <w:pPr>
        <w:pStyle w:val="yIndenti0"/>
      </w:pPr>
      <w:r>
        <w:tab/>
      </w: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pPr>
      <w:r>
        <w:tab/>
      </w:r>
      <w:r>
        <w:tab/>
        <w:t xml:space="preserve">where — </w:t>
      </w:r>
    </w:p>
    <w:p>
      <w:pPr>
        <w:pStyle w:val="yIndenti0"/>
        <w:ind w:left="2880" w:hanging="2880"/>
      </w:pPr>
      <w:r>
        <w:tab/>
      </w:r>
      <w:r>
        <w:tab/>
      </w:r>
      <w:r>
        <w:rPr>
          <w:b/>
        </w:rPr>
        <w:t>Y</w:t>
      </w:r>
      <w:r>
        <w:t xml:space="preserve"> =</w:t>
      </w:r>
      <w:r>
        <w:tab/>
        <w:t>the charge payable for the number of major fixtures in the relevant part of the caravan park in the 2012/2013 year as set out in the Table to item 18;</w:t>
      </w:r>
    </w:p>
    <w:p>
      <w:pPr>
        <w:pStyle w:val="yIndenti0"/>
        <w:ind w:left="2880" w:hanging="2880"/>
      </w:pPr>
      <w:r>
        <w:lastRenderedPageBreak/>
        <w:tab/>
      </w:r>
      <w:r>
        <w:tab/>
      </w:r>
      <w:r>
        <w:rPr>
          <w:b/>
        </w:rPr>
        <w:t xml:space="preserve">Q </w:t>
      </w:r>
      <w:r>
        <w:t>=</w:t>
      </w:r>
      <w:r>
        <w:tab/>
        <w:t>the quantity charge calculated in accordance with the formula in item 19;</w:t>
      </w:r>
    </w:p>
    <w:p>
      <w:pPr>
        <w:pStyle w:val="yIndenti0"/>
        <w:ind w:left="2880" w:hanging="2880"/>
      </w:pPr>
      <w:r>
        <w:tab/>
      </w:r>
      <w:r>
        <w:tab/>
      </w:r>
      <w:r>
        <w:rPr>
          <w:b/>
        </w:rPr>
        <w:t>R</w:t>
      </w:r>
      <w:r>
        <w:t xml:space="preserve"> =</w:t>
      </w:r>
      <w:r>
        <w:tab/>
        <w:t>the charge calculated in accordance with the following formula — </w:t>
      </w:r>
    </w:p>
    <w:p>
      <w:pPr>
        <w:pStyle w:val="yIndenti0"/>
      </w:pPr>
      <w:r>
        <w:tab/>
      </w:r>
      <w:r>
        <w:tab/>
      </w:r>
      <w:r>
        <w:tab/>
      </w:r>
      <w:r>
        <w:rPr>
          <w:b/>
        </w:rPr>
        <w:t>A</w:t>
      </w:r>
      <w:r>
        <w:t xml:space="preserve"> </w:t>
      </w:r>
      <w:r>
        <w:sym w:font="Symbol" w:char="F0B4"/>
      </w:r>
      <w:r>
        <w:t xml:space="preserve"> </w:t>
      </w:r>
      <w:r>
        <w:rPr>
          <w:b/>
        </w:rPr>
        <w:t>S</w:t>
      </w:r>
    </w:p>
    <w:p>
      <w:pPr>
        <w:pStyle w:val="yIndenti0"/>
      </w:pPr>
      <w:r>
        <w:tab/>
      </w:r>
      <w:r>
        <w:tab/>
      </w:r>
      <w:r>
        <w:tab/>
        <w:t xml:space="preserve">where — </w:t>
      </w:r>
    </w:p>
    <w:p>
      <w:pPr>
        <w:pStyle w:val="yIndentA0"/>
      </w:pPr>
      <w:r>
        <w:rPr>
          <w:b/>
        </w:rPr>
        <w:tab/>
        <w:t>A</w:t>
      </w:r>
      <w:r>
        <w:t xml:space="preserve"> =</w:t>
      </w:r>
      <w:r>
        <w:tab/>
        <w:t>the amount payable in the 2011/2012 year;</w:t>
      </w:r>
    </w:p>
    <w:p>
      <w:pPr>
        <w:pStyle w:val="yIndentA0"/>
        <w:rPr>
          <w:b/>
        </w:rPr>
      </w:pPr>
      <w:r>
        <w:rPr>
          <w:b/>
        </w:rPr>
        <w:tab/>
        <w:t>S</w:t>
      </w:r>
      <w:r>
        <w:t xml:space="preserve"> </w:t>
      </w:r>
      <w:r>
        <w:rPr>
          <w:b/>
        </w:rPr>
        <w:t>=</w:t>
      </w:r>
      <w:r>
        <w:rPr>
          <w:b/>
        </w:rPr>
        <w:tab/>
      </w:r>
      <w:r>
        <w:t>1.136;</w:t>
      </w:r>
    </w:p>
    <w:p>
      <w:pPr>
        <w:pStyle w:val="yIndenti0"/>
      </w:pPr>
      <w:r>
        <w:tab/>
      </w:r>
      <w:r>
        <w:tab/>
      </w:r>
      <w:r>
        <w:rPr>
          <w:b/>
        </w:rPr>
        <w:t>N</w:t>
      </w:r>
      <w:r>
        <w:t xml:space="preserve"> =</w:t>
      </w:r>
      <w:r>
        <w:tab/>
        <w:t>the discharge volume for the 2012/2013 year;</w:t>
      </w:r>
    </w:p>
    <w:p>
      <w:pPr>
        <w:pStyle w:val="yIndenti0"/>
      </w:pPr>
      <w:r>
        <w:tab/>
      </w:r>
      <w:r>
        <w:tab/>
      </w:r>
      <w:r>
        <w:rPr>
          <w:b/>
        </w:rPr>
        <w:t>W</w:t>
      </w:r>
      <w:r>
        <w:t xml:space="preserve"> =</w:t>
      </w:r>
      <w:r>
        <w:tab/>
        <w:t>the discharge volume for the 2011/2012 year;</w:t>
      </w:r>
    </w:p>
    <w:p>
      <w:pPr>
        <w:pStyle w:val="yIndenti0"/>
      </w:pPr>
      <w:r>
        <w:tab/>
      </w:r>
      <w:r>
        <w:tab/>
      </w:r>
      <w:r>
        <w:rPr>
          <w:b/>
        </w:rPr>
        <w:t>I</w:t>
      </w:r>
      <w:r>
        <w:t xml:space="preserve"> =</w:t>
      </w:r>
      <w:r>
        <w:tab/>
        <w:t>2.677.</w:t>
      </w:r>
    </w:p>
    <w:p>
      <w:pPr>
        <w:pStyle w:val="yHeading5"/>
      </w:pPr>
      <w:bookmarkStart w:id="78" w:name="_Toc84428001"/>
      <w:r>
        <w:t>16.</w:t>
      </w:r>
      <w:r>
        <w:tab/>
        <w:t>Metropolitan nursing home</w:t>
      </w:r>
      <w:bookmarkEnd w:id="78"/>
    </w:p>
    <w:p>
      <w:pPr>
        <w:pStyle w:val="ySubsection"/>
      </w:pPr>
      <w:r>
        <w:tab/>
      </w:r>
      <w:r>
        <w:tab/>
        <w:t>In respect of a nursing home in the metropolitan area, not being a nursing home which is, or is part of, an aged home the charge is calculated in accordance with the following formula —</w:t>
      </w:r>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$131.80;</w:t>
      </w:r>
    </w:p>
    <w:p>
      <w:pPr>
        <w:pStyle w:val="yIndenta"/>
      </w:pPr>
      <w:r>
        <w:rPr>
          <w:b/>
        </w:rPr>
        <w:tab/>
        <w:t>Q</w:t>
      </w:r>
      <w:r>
        <w:t xml:space="preserve"> =</w:t>
      </w:r>
      <w:r>
        <w:tab/>
        <w:t>the quantity charge calculated in accordance with the formula in item 19;</w:t>
      </w:r>
    </w:p>
    <w:p>
      <w:pPr>
        <w:pStyle w:val="yIndenta"/>
      </w:pPr>
      <w:r>
        <w:rPr>
          <w:b/>
        </w:rPr>
        <w:lastRenderedPageBreak/>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2011/2012 year; </w:t>
      </w:r>
    </w:p>
    <w:p>
      <w:pPr>
        <w:pStyle w:val="yIndenti0"/>
      </w:pPr>
      <w:r>
        <w:rPr>
          <w:b/>
        </w:rPr>
        <w:tab/>
        <w:t>S</w:t>
      </w:r>
      <w:r>
        <w:t xml:space="preserve"> =</w:t>
      </w:r>
      <w:r>
        <w:tab/>
        <w:t>1.136.</w:t>
      </w:r>
    </w:p>
    <w:p>
      <w:pPr>
        <w:pStyle w:val="yHeading5"/>
      </w:pPr>
      <w:bookmarkStart w:id="79" w:name="_Toc84428002"/>
      <w:r>
        <w:t>17.</w:t>
      </w:r>
      <w:r>
        <w:tab/>
        <w:t>Certain metropolitan strata</w:t>
      </w:r>
      <w:r>
        <w:noBreakHyphen/>
        <w:t>titled units</w:t>
      </w:r>
      <w:bookmarkEnd w:id="79"/>
    </w:p>
    <w:p>
      <w:pPr>
        <w:pStyle w:val="ySubsection"/>
      </w:pPr>
      <w:r>
        <w:tab/>
      </w:r>
      <w:r>
        <w:tab/>
        <w:t>In respect of land in the metropolitan area that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$452.80;</w:t>
      </w:r>
    </w:p>
    <w:p>
      <w:pPr>
        <w:pStyle w:val="yIndenta"/>
      </w:pPr>
      <w:r>
        <w:rPr>
          <w:b/>
        </w:rPr>
        <w:tab/>
        <w:t>Q</w:t>
      </w:r>
      <w:r>
        <w:t xml:space="preserve"> =</w:t>
      </w:r>
      <w:r>
        <w:tab/>
        <w:t>the quantity charge calculated in accordance with the formula in item 19.</w:t>
      </w:r>
    </w:p>
    <w:p>
      <w:pPr>
        <w:pStyle w:val="yFootnotesection"/>
      </w:pPr>
      <w:r>
        <w:tab/>
        <w:t>[Division 4 inserted in Gazette 20 Jun 2012 p. 2735</w:t>
      </w:r>
      <w:r>
        <w:noBreakHyphen/>
        <w:t>9.]</w:t>
      </w:r>
    </w:p>
    <w:p>
      <w:pPr>
        <w:pStyle w:val="yHeading3"/>
      </w:pPr>
      <w:bookmarkStart w:id="80" w:name="_Toc84428003"/>
      <w:r>
        <w:rPr>
          <w:rStyle w:val="CharSDivNo"/>
        </w:rPr>
        <w:t>Division 5</w:t>
      </w:r>
      <w:r>
        <w:rPr>
          <w:b w:val="0"/>
        </w:rPr>
        <w:t> — </w:t>
      </w:r>
      <w:r>
        <w:rPr>
          <w:rStyle w:val="CharSDivText"/>
        </w:rPr>
        <w:t>Computation of combined metropolitan charges</w:t>
      </w:r>
      <w:bookmarkEnd w:id="80"/>
    </w:p>
    <w:p>
      <w:pPr>
        <w:pStyle w:val="yFootnoteheading"/>
        <w:spacing w:after="60"/>
      </w:pPr>
      <w:r>
        <w:tab/>
        <w:t>[Heading inserted in Gazette 20 Jun 2012 p. 2739.]</w:t>
      </w:r>
    </w:p>
    <w:p>
      <w:pPr>
        <w:pStyle w:val="yHeading5"/>
      </w:pPr>
      <w:bookmarkStart w:id="81" w:name="_Toc84428004"/>
      <w:r>
        <w:t>18.</w:t>
      </w:r>
      <w:r>
        <w:tab/>
        <w:t>Formula for annual charge</w:t>
      </w:r>
      <w:bookmarkEnd w:id="81"/>
    </w:p>
    <w:p>
      <w:pPr>
        <w:pStyle w:val="ySubsection"/>
      </w:pPr>
      <w:r>
        <w:tab/>
      </w:r>
      <w:r>
        <w:tab/>
        <w:t>For the purposes of Division 4, the annual charge (</w:t>
      </w:r>
      <w:r>
        <w:rPr>
          <w:rStyle w:val="CharDefText"/>
        </w:rPr>
        <w:t>P</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lastRenderedPageBreak/>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the amount payable in the 2011/2012 year;</w:t>
      </w:r>
    </w:p>
    <w:p>
      <w:pPr>
        <w:pStyle w:val="yIndenta"/>
      </w:pPr>
      <w:r>
        <w:tab/>
      </w:r>
      <w:r>
        <w:rPr>
          <w:b/>
        </w:rPr>
        <w:t>B</w:t>
      </w:r>
      <w:r>
        <w:t xml:space="preserve"> =</w:t>
      </w:r>
      <w:r>
        <w:tab/>
        <w:t>1.136;</w:t>
      </w:r>
    </w:p>
    <w:p>
      <w:pPr>
        <w:pStyle w:val="yIndenta"/>
      </w:pPr>
      <w:r>
        <w:tab/>
      </w:r>
      <w:r>
        <w:rPr>
          <w:b/>
        </w:rPr>
        <w:t>C</w:t>
      </w:r>
      <w:r>
        <w:t xml:space="preserve"> =</w:t>
      </w:r>
      <w:r>
        <w:tab/>
        <w:t>the charge payable for the relevant number of major fixtures for the 2012/2013 year as set out in the Table;</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the amount specified in relation to the 2012/2013 year for the relevant number of major fixtures as set out in the Table.</w:t>
      </w:r>
    </w:p>
    <w:p>
      <w:pPr>
        <w:pStyle w:val="yTHeadingNAm"/>
        <w:rPr>
          <w:bCs w:val="0"/>
        </w:rPr>
      </w:pPr>
      <w:r>
        <w:rPr>
          <w:bCs w:val="0"/>
        </w:rPr>
        <w:t>Table of major fixture</w:t>
      </w:r>
      <w:r>
        <w:rPr>
          <w:bCs w:val="0"/>
        </w:rPr>
        <w:noBreakHyphen/>
        <w:t>based minimum charges</w:t>
      </w:r>
      <w:r>
        <w:rPr>
          <w:bCs w:val="0"/>
        </w:rP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jc w:val="center"/>
            </w:pPr>
            <w:r>
              <w:rPr>
                <w:b/>
                <w:bCs/>
              </w:rPr>
              <w:t>No. of fixtures</w:t>
            </w:r>
          </w:p>
        </w:tc>
        <w:tc>
          <w:tcPr>
            <w:tcW w:w="2268" w:type="dxa"/>
            <w:tcBorders>
              <w:top w:val="single" w:sz="4" w:space="0" w:color="auto"/>
              <w:bottom w:val="single" w:sz="4" w:space="0" w:color="auto"/>
            </w:tcBorders>
          </w:tcPr>
          <w:p>
            <w:pPr>
              <w:pStyle w:val="yTableNAm"/>
              <w:jc w:val="center"/>
            </w:pPr>
            <w:r>
              <w:rPr>
                <w:b/>
                <w:bCs/>
              </w:rPr>
              <w:t>Charge</w:t>
            </w:r>
            <w:r>
              <w:rPr>
                <w:b/>
                <w:bCs/>
              </w:rPr>
              <w:br/>
              <w:t>$</w:t>
            </w:r>
          </w:p>
        </w:tc>
      </w:tr>
      <w:tr>
        <w:tc>
          <w:tcPr>
            <w:tcW w:w="2268" w:type="dxa"/>
          </w:tcPr>
          <w:p>
            <w:pPr>
              <w:pStyle w:val="yTableNAm"/>
              <w:jc w:val="center"/>
            </w:pPr>
            <w:r>
              <w:t>1</w:t>
            </w:r>
          </w:p>
        </w:tc>
        <w:tc>
          <w:tcPr>
            <w:tcW w:w="2268" w:type="dxa"/>
          </w:tcPr>
          <w:p>
            <w:pPr>
              <w:pStyle w:val="yTableNAm"/>
              <w:jc w:val="center"/>
            </w:pPr>
            <w:r>
              <w:t>728.40</w:t>
            </w:r>
          </w:p>
        </w:tc>
      </w:tr>
      <w:tr>
        <w:tc>
          <w:tcPr>
            <w:tcW w:w="2268" w:type="dxa"/>
          </w:tcPr>
          <w:p>
            <w:pPr>
              <w:pStyle w:val="yTableNAm"/>
              <w:jc w:val="center"/>
            </w:pPr>
            <w:r>
              <w:t>2</w:t>
            </w:r>
          </w:p>
        </w:tc>
        <w:tc>
          <w:tcPr>
            <w:tcW w:w="2268" w:type="dxa"/>
          </w:tcPr>
          <w:p>
            <w:pPr>
              <w:pStyle w:val="yTableNAm"/>
              <w:jc w:val="center"/>
            </w:pPr>
            <w:r>
              <w:t>311.80</w:t>
            </w:r>
          </w:p>
        </w:tc>
      </w:tr>
      <w:tr>
        <w:tc>
          <w:tcPr>
            <w:tcW w:w="2268" w:type="dxa"/>
          </w:tcPr>
          <w:p>
            <w:pPr>
              <w:pStyle w:val="yTableNAm"/>
              <w:jc w:val="center"/>
            </w:pPr>
            <w:r>
              <w:t>3</w:t>
            </w:r>
          </w:p>
        </w:tc>
        <w:tc>
          <w:tcPr>
            <w:tcW w:w="2268" w:type="dxa"/>
          </w:tcPr>
          <w:p>
            <w:pPr>
              <w:pStyle w:val="yTableNAm"/>
              <w:jc w:val="center"/>
            </w:pPr>
            <w:r>
              <w:t>416.40</w:t>
            </w:r>
          </w:p>
        </w:tc>
      </w:tr>
      <w:tr>
        <w:tc>
          <w:tcPr>
            <w:tcW w:w="2268" w:type="dxa"/>
            <w:tcBorders>
              <w:bottom w:val="single" w:sz="4" w:space="0" w:color="auto"/>
            </w:tcBorders>
          </w:tcPr>
          <w:p>
            <w:pPr>
              <w:pStyle w:val="yTableNAm"/>
              <w:jc w:val="center"/>
            </w:pPr>
            <w:r>
              <w:t>4+</w:t>
            </w:r>
          </w:p>
        </w:tc>
        <w:tc>
          <w:tcPr>
            <w:tcW w:w="2268" w:type="dxa"/>
            <w:tcBorders>
              <w:bottom w:val="single" w:sz="4" w:space="0" w:color="auto"/>
            </w:tcBorders>
          </w:tcPr>
          <w:p>
            <w:pPr>
              <w:pStyle w:val="yTableNAm"/>
              <w:jc w:val="center"/>
            </w:pPr>
            <w:r>
              <w:t>452.80</w:t>
            </w:r>
          </w:p>
        </w:tc>
      </w:tr>
    </w:tbl>
    <w:p>
      <w:pPr>
        <w:pStyle w:val="yHeading5"/>
      </w:pPr>
      <w:bookmarkStart w:id="82" w:name="_Toc84428005"/>
      <w:r>
        <w:t>19.</w:t>
      </w:r>
      <w:r>
        <w:tab/>
        <w:t>Formula for quantity charge</w:t>
      </w:r>
      <w:bookmarkEnd w:id="82"/>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lastRenderedPageBreak/>
        <w:tab/>
      </w:r>
      <w:r>
        <w:tab/>
        <w:t xml:space="preserve">where — </w:t>
      </w:r>
    </w:p>
    <w:p>
      <w:pPr>
        <w:pStyle w:val="yIndenta"/>
      </w:pPr>
      <w:r>
        <w:rPr>
          <w:b/>
        </w:rPr>
        <w:tab/>
        <w:t>F</w:t>
      </w:r>
      <w:r>
        <w:t xml:space="preserve"> =</w:t>
      </w:r>
      <w:r>
        <w:tab/>
        <w:t>the volume of water delivered to the property in the 2012/2013 year;</w:t>
      </w:r>
    </w:p>
    <w:p>
      <w:pPr>
        <w:pStyle w:val="yIndenta"/>
      </w:pPr>
      <w:r>
        <w:rPr>
          <w:b/>
        </w:rPr>
        <w:tab/>
        <w:t>G</w:t>
      </w:r>
      <w:r>
        <w:t xml:space="preserve"> =</w:t>
      </w:r>
      <w:r>
        <w:tab/>
        <w:t>the discharge factor set for the property for the 2012/2013 year;</w:t>
      </w:r>
    </w:p>
    <w:p>
      <w:pPr>
        <w:pStyle w:val="yIndenta"/>
      </w:pPr>
      <w:r>
        <w:rPr>
          <w:b/>
        </w:rPr>
        <w:tab/>
        <w:t>H</w:t>
      </w:r>
      <w:r>
        <w:t xml:space="preserve"> =</w:t>
      </w:r>
      <w:r>
        <w:tab/>
        <w:t>the discharge allowance for the 2012/2013 year calculated in accordance with item 20;</w:t>
      </w:r>
    </w:p>
    <w:p>
      <w:pPr>
        <w:pStyle w:val="yIndenta"/>
      </w:pPr>
      <w:r>
        <w:rPr>
          <w:b/>
        </w:rPr>
        <w:tab/>
        <w:t>I</w:t>
      </w:r>
      <w:r>
        <w:t xml:space="preserve"> =</w:t>
      </w:r>
      <w:r>
        <w:tab/>
        <w:t>2.677.</w:t>
      </w:r>
    </w:p>
    <w:p>
      <w:pPr>
        <w:pStyle w:val="yHeading5"/>
      </w:pPr>
      <w:bookmarkStart w:id="83" w:name="_Toc84428006"/>
      <w:r>
        <w:t>20.</w:t>
      </w:r>
      <w:r>
        <w:tab/>
        <w:t>Discharge allowance</w:t>
      </w:r>
      <w:bookmarkEnd w:id="83"/>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tabs>
          <w:tab w:val="clear" w:pos="2041"/>
          <w:tab w:val="right" w:pos="2160"/>
        </w:tabs>
      </w:pPr>
      <w:r>
        <w:tab/>
      </w:r>
      <w:r>
        <w:rPr>
          <w:b/>
        </w:rPr>
        <w:t>L =</w:t>
      </w:r>
      <w:r>
        <w:rPr>
          <w:b/>
        </w:rPr>
        <w:tab/>
      </w:r>
      <w:r>
        <w:t>200;</w:t>
      </w:r>
    </w:p>
    <w:p>
      <w:pPr>
        <w:pStyle w:val="yIndenti0"/>
        <w:tabs>
          <w:tab w:val="clear" w:pos="2041"/>
          <w:tab w:val="right" w:pos="2160"/>
        </w:tabs>
      </w:pPr>
      <w:r>
        <w:rPr>
          <w:b/>
        </w:rPr>
        <w:tab/>
        <w:t xml:space="preserve">M </w:t>
      </w:r>
      <w:r>
        <w:t>=</w:t>
      </w:r>
      <w:r>
        <w:tab/>
        <w:t>75 kL of water for each long</w:t>
      </w:r>
      <w:r>
        <w:noBreakHyphen/>
        <w:t>term residential 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ab/>
        <w:t>[Division 5 inserted in Gazette 20 Jun 2012 p. 2739</w:t>
      </w:r>
      <w:r>
        <w:noBreakHyphen/>
        <w:t>41.]</w:t>
      </w:r>
    </w:p>
    <w:p>
      <w:pPr>
        <w:pStyle w:val="yHeading3"/>
      </w:pPr>
      <w:bookmarkStart w:id="84" w:name="_Toc84428007"/>
      <w:r>
        <w:rPr>
          <w:rStyle w:val="CharSDivNo"/>
        </w:rPr>
        <w:t>Division 6 </w:t>
      </w:r>
      <w:r>
        <w:t>—</w:t>
      </w:r>
      <w:r>
        <w:rPr>
          <w:rStyle w:val="CharSDivNo"/>
        </w:rPr>
        <w:t> </w:t>
      </w:r>
      <w:r>
        <w:rPr>
          <w:rStyle w:val="CharSDivText"/>
        </w:rPr>
        <w:t>Service charges for industrial waste</w:t>
      </w:r>
      <w:bookmarkEnd w:id="84"/>
    </w:p>
    <w:p>
      <w:pPr>
        <w:pStyle w:val="yFootnoteheading"/>
        <w:spacing w:after="60"/>
      </w:pPr>
      <w:r>
        <w:tab/>
        <w:t>[Heading inserted in Gazette 20 Jun 2012 p. 2742.]</w:t>
      </w:r>
    </w:p>
    <w:tbl>
      <w:tblPr>
        <w:tblW w:w="0" w:type="auto"/>
        <w:tblInd w:w="534" w:type="dxa"/>
        <w:tblLayout w:type="fixed"/>
        <w:tblLook w:val="0000" w:firstRow="0" w:lastRow="0" w:firstColumn="0" w:lastColumn="0" w:noHBand="0" w:noVBand="0"/>
      </w:tblPr>
      <w:tblGrid>
        <w:gridCol w:w="850"/>
        <w:gridCol w:w="4198"/>
        <w:gridCol w:w="14"/>
        <w:gridCol w:w="14"/>
        <w:gridCol w:w="1444"/>
      </w:tblGrid>
      <w:tr>
        <w:trPr>
          <w:cantSplit/>
        </w:trPr>
        <w:tc>
          <w:tcPr>
            <w:tcW w:w="850" w:type="dxa"/>
          </w:tcPr>
          <w:p>
            <w:pPr>
              <w:pStyle w:val="yTableNAm"/>
              <w:rPr>
                <w:b/>
                <w:szCs w:val="22"/>
              </w:rPr>
            </w:pPr>
            <w:r>
              <w:rPr>
                <w:b/>
                <w:szCs w:val="22"/>
              </w:rPr>
              <w:lastRenderedPageBreak/>
              <w:t>21.</w:t>
            </w:r>
          </w:p>
        </w:tc>
        <w:tc>
          <w:tcPr>
            <w:tcW w:w="5670" w:type="dxa"/>
            <w:gridSpan w:val="4"/>
          </w:tcPr>
          <w:p>
            <w:pPr>
              <w:pStyle w:val="yTableNAm"/>
              <w:rPr>
                <w:b/>
                <w:bCs/>
                <w:spacing w:val="-1"/>
                <w:szCs w:val="22"/>
              </w:rPr>
            </w:pPr>
            <w:r>
              <w:rPr>
                <w:b/>
                <w:bCs/>
                <w:szCs w:val="22"/>
              </w:rPr>
              <w:t>Inspection — routine programme</w:t>
            </w:r>
          </w:p>
        </w:tc>
      </w:tr>
      <w:tr>
        <w:tc>
          <w:tcPr>
            <w:tcW w:w="850" w:type="dxa"/>
          </w:tcPr>
          <w:p>
            <w:pPr>
              <w:pStyle w:val="yTableNAm"/>
              <w:rPr>
                <w:szCs w:val="22"/>
              </w:rPr>
            </w:pPr>
          </w:p>
        </w:tc>
        <w:tc>
          <w:tcPr>
            <w:tcW w:w="4226" w:type="dxa"/>
            <w:gridSpan w:val="3"/>
          </w:tcPr>
          <w:p>
            <w:pPr>
              <w:pStyle w:val="yTableNAm"/>
              <w:tabs>
                <w:tab w:val="right" w:leader="dot" w:pos="4253"/>
              </w:tabs>
              <w:rPr>
                <w:szCs w:val="22"/>
              </w:rPr>
            </w:pPr>
            <w:r>
              <w:rPr>
                <w:szCs w:val="22"/>
              </w:rPr>
              <w:t xml:space="preserve">For an inspection for a routine programme </w:t>
            </w:r>
            <w:r>
              <w:rPr>
                <w:szCs w:val="22"/>
              </w:rPr>
              <w:tab/>
            </w:r>
          </w:p>
        </w:tc>
        <w:tc>
          <w:tcPr>
            <w:tcW w:w="1444" w:type="dxa"/>
            <w:vAlign w:val="bottom"/>
          </w:tcPr>
          <w:p>
            <w:pPr>
              <w:pStyle w:val="yTableNAm"/>
              <w:tabs>
                <w:tab w:val="clear" w:pos="567"/>
                <w:tab w:val="left" w:pos="202"/>
              </w:tabs>
              <w:rPr>
                <w:spacing w:val="-1"/>
                <w:szCs w:val="22"/>
              </w:rPr>
            </w:pPr>
            <w:r>
              <w:rPr>
                <w:spacing w:val="-1"/>
                <w:szCs w:val="22"/>
              </w:rPr>
              <w:t>$132.00/hour</w:t>
            </w:r>
          </w:p>
        </w:tc>
      </w:tr>
      <w:tr>
        <w:tc>
          <w:tcPr>
            <w:tcW w:w="850" w:type="dxa"/>
          </w:tcPr>
          <w:p>
            <w:pPr>
              <w:pStyle w:val="yTableNAm"/>
              <w:rPr>
                <w:b/>
                <w:szCs w:val="22"/>
              </w:rPr>
            </w:pPr>
            <w:r>
              <w:rPr>
                <w:b/>
                <w:szCs w:val="22"/>
              </w:rPr>
              <w:t>22.</w:t>
            </w:r>
          </w:p>
        </w:tc>
        <w:tc>
          <w:tcPr>
            <w:tcW w:w="4226" w:type="dxa"/>
            <w:gridSpan w:val="3"/>
          </w:tcPr>
          <w:p>
            <w:pPr>
              <w:pStyle w:val="yTableNAm"/>
              <w:tabs>
                <w:tab w:val="right" w:leader="dot" w:pos="4253"/>
              </w:tabs>
              <w:rPr>
                <w:b/>
                <w:bCs/>
                <w:szCs w:val="22"/>
              </w:rPr>
            </w:pPr>
            <w:r>
              <w:rPr>
                <w:b/>
                <w:bCs/>
                <w:snapToGrid w:val="0"/>
                <w:szCs w:val="22"/>
              </w:rPr>
              <w:t>Meter reading — routine programme</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zCs w:val="22"/>
              </w:rPr>
            </w:pPr>
            <w:r>
              <w:rPr>
                <w:szCs w:val="22"/>
              </w:rPr>
              <w:t xml:space="preserve">For each meter reading for a routine programme </w:t>
            </w:r>
            <w:r>
              <w:rPr>
                <w:szCs w:val="22"/>
              </w:rPr>
              <w:tab/>
            </w:r>
          </w:p>
        </w:tc>
        <w:tc>
          <w:tcPr>
            <w:tcW w:w="1444" w:type="dxa"/>
            <w:vAlign w:val="bottom"/>
          </w:tcPr>
          <w:p>
            <w:pPr>
              <w:pStyle w:val="yTableNAm"/>
              <w:tabs>
                <w:tab w:val="clear" w:pos="567"/>
                <w:tab w:val="left" w:pos="194"/>
              </w:tabs>
              <w:rPr>
                <w:spacing w:val="-1"/>
                <w:szCs w:val="22"/>
              </w:rPr>
            </w:pPr>
            <w:r>
              <w:rPr>
                <w:spacing w:val="-1"/>
                <w:szCs w:val="22"/>
              </w:rPr>
              <w:t>$24.10</w:t>
            </w:r>
          </w:p>
        </w:tc>
      </w:tr>
      <w:tr>
        <w:tc>
          <w:tcPr>
            <w:tcW w:w="850" w:type="dxa"/>
          </w:tcPr>
          <w:p>
            <w:pPr>
              <w:pStyle w:val="yTableNAm"/>
              <w:rPr>
                <w:b/>
                <w:szCs w:val="22"/>
              </w:rPr>
            </w:pPr>
            <w:r>
              <w:rPr>
                <w:b/>
                <w:szCs w:val="22"/>
              </w:rPr>
              <w:t>23.</w:t>
            </w:r>
          </w:p>
        </w:tc>
        <w:tc>
          <w:tcPr>
            <w:tcW w:w="4226" w:type="dxa"/>
            <w:gridSpan w:val="3"/>
          </w:tcPr>
          <w:p>
            <w:pPr>
              <w:pStyle w:val="yTableNAm"/>
              <w:tabs>
                <w:tab w:val="right" w:leader="dot" w:pos="4253"/>
              </w:tabs>
              <w:rPr>
                <w:b/>
                <w:bCs/>
                <w:szCs w:val="22"/>
              </w:rPr>
            </w:pPr>
            <w:r>
              <w:rPr>
                <w:b/>
                <w:bCs/>
                <w:snapToGrid w:val="0"/>
                <w:szCs w:val="22"/>
              </w:rPr>
              <w:t>Grab samples — routine programme</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pacing w:val="-12"/>
                <w:szCs w:val="22"/>
              </w:rPr>
            </w:pPr>
            <w:r>
              <w:rPr>
                <w:szCs w:val="22"/>
              </w:rPr>
              <w:t xml:space="preserve">For each grab sample for a routine programme </w:t>
            </w:r>
            <w:r>
              <w:rPr>
                <w:szCs w:val="22"/>
              </w:rPr>
              <w:tab/>
            </w:r>
          </w:p>
        </w:tc>
        <w:tc>
          <w:tcPr>
            <w:tcW w:w="1444" w:type="dxa"/>
            <w:vAlign w:val="bottom"/>
          </w:tcPr>
          <w:p>
            <w:pPr>
              <w:pStyle w:val="yTableNAm"/>
              <w:tabs>
                <w:tab w:val="clear" w:pos="567"/>
                <w:tab w:val="left" w:pos="194"/>
              </w:tabs>
              <w:rPr>
                <w:spacing w:val="-1"/>
                <w:szCs w:val="22"/>
              </w:rPr>
            </w:pPr>
            <w:r>
              <w:rPr>
                <w:spacing w:val="-1"/>
                <w:szCs w:val="22"/>
              </w:rPr>
              <w:t>$280.50</w:t>
            </w:r>
          </w:p>
        </w:tc>
      </w:tr>
      <w:tr>
        <w:tc>
          <w:tcPr>
            <w:tcW w:w="850" w:type="dxa"/>
          </w:tcPr>
          <w:p>
            <w:pPr>
              <w:pStyle w:val="yTableNAm"/>
              <w:keepNext/>
              <w:keepLines/>
              <w:rPr>
                <w:b/>
                <w:szCs w:val="22"/>
              </w:rPr>
            </w:pPr>
            <w:r>
              <w:rPr>
                <w:b/>
                <w:szCs w:val="22"/>
              </w:rPr>
              <w:t>24.</w:t>
            </w:r>
          </w:p>
        </w:tc>
        <w:tc>
          <w:tcPr>
            <w:tcW w:w="4226" w:type="dxa"/>
            <w:gridSpan w:val="3"/>
          </w:tcPr>
          <w:p>
            <w:pPr>
              <w:pStyle w:val="yTableNAm"/>
              <w:keepNext/>
              <w:keepLines/>
              <w:tabs>
                <w:tab w:val="right" w:leader="dot" w:pos="4253"/>
              </w:tabs>
              <w:rPr>
                <w:b/>
                <w:bCs/>
                <w:szCs w:val="22"/>
              </w:rPr>
            </w:pPr>
            <w:r>
              <w:rPr>
                <w:b/>
                <w:bCs/>
                <w:snapToGrid w:val="0"/>
                <w:szCs w:val="22"/>
              </w:rPr>
              <w:t xml:space="preserve">Composite samples — </w:t>
            </w:r>
            <w:r>
              <w:rPr>
                <w:b/>
                <w:bCs/>
                <w:spacing w:val="-1"/>
                <w:szCs w:val="22"/>
              </w:rPr>
              <w:t>routine programme</w:t>
            </w:r>
          </w:p>
        </w:tc>
        <w:tc>
          <w:tcPr>
            <w:tcW w:w="1444" w:type="dxa"/>
            <w:vAlign w:val="bottom"/>
          </w:tcPr>
          <w:p>
            <w:pPr>
              <w:pStyle w:val="yTableNAm"/>
              <w:keepNext/>
              <w:keepLines/>
              <w:tabs>
                <w:tab w:val="clear" w:pos="567"/>
                <w:tab w:val="left" w:pos="194"/>
              </w:tabs>
              <w:rPr>
                <w:spacing w:val="-1"/>
                <w:szCs w:val="22"/>
              </w:rPr>
            </w:pPr>
          </w:p>
        </w:tc>
      </w:tr>
      <w:tr>
        <w:tc>
          <w:tcPr>
            <w:tcW w:w="850" w:type="dxa"/>
          </w:tcPr>
          <w:p>
            <w:pPr>
              <w:pStyle w:val="yTableNAm"/>
              <w:keepNext/>
              <w:keepLines/>
              <w:rPr>
                <w:szCs w:val="22"/>
              </w:rPr>
            </w:pPr>
          </w:p>
        </w:tc>
        <w:tc>
          <w:tcPr>
            <w:tcW w:w="4226" w:type="dxa"/>
            <w:gridSpan w:val="3"/>
          </w:tcPr>
          <w:p>
            <w:pPr>
              <w:pStyle w:val="yTableNAm"/>
              <w:keepNext/>
              <w:keepLines/>
              <w:tabs>
                <w:tab w:val="right" w:leader="dot" w:pos="4253"/>
              </w:tabs>
              <w:rPr>
                <w:spacing w:val="-1"/>
                <w:szCs w:val="22"/>
              </w:rPr>
            </w:pPr>
            <w:r>
              <w:rPr>
                <w:spacing w:val="-1"/>
                <w:szCs w:val="22"/>
              </w:rPr>
              <w:t xml:space="preserve">For each </w:t>
            </w:r>
            <w:r>
              <w:rPr>
                <w:szCs w:val="22"/>
              </w:rPr>
              <w:t>composite sample</w:t>
            </w:r>
            <w:r>
              <w:rPr>
                <w:spacing w:val="-1"/>
                <w:szCs w:val="22"/>
              </w:rPr>
              <w:t xml:space="preserve"> for a routine </w:t>
            </w:r>
            <w:r>
              <w:rPr>
                <w:szCs w:val="22"/>
              </w:rPr>
              <w:t>programme</w:t>
            </w:r>
            <w:r>
              <w:rPr>
                <w:spacing w:val="-1"/>
                <w:szCs w:val="22"/>
              </w:rPr>
              <w:t xml:space="preserve"> </w:t>
            </w:r>
            <w:r>
              <w:rPr>
                <w:spacing w:val="-1"/>
                <w:szCs w:val="22"/>
              </w:rPr>
              <w:tab/>
            </w:r>
          </w:p>
        </w:tc>
        <w:tc>
          <w:tcPr>
            <w:tcW w:w="1444" w:type="dxa"/>
            <w:vAlign w:val="bottom"/>
          </w:tcPr>
          <w:p>
            <w:pPr>
              <w:pStyle w:val="yTableNAm"/>
              <w:keepNext/>
              <w:keepLines/>
              <w:tabs>
                <w:tab w:val="clear" w:pos="567"/>
                <w:tab w:val="left" w:pos="194"/>
              </w:tabs>
              <w:rPr>
                <w:spacing w:val="-1"/>
                <w:szCs w:val="22"/>
              </w:rPr>
            </w:pPr>
            <w:r>
              <w:rPr>
                <w:spacing w:val="-1"/>
                <w:szCs w:val="22"/>
              </w:rPr>
              <w:t>$658.90</w:t>
            </w:r>
          </w:p>
        </w:tc>
      </w:tr>
      <w:tr>
        <w:tc>
          <w:tcPr>
            <w:tcW w:w="850" w:type="dxa"/>
          </w:tcPr>
          <w:p>
            <w:pPr>
              <w:pStyle w:val="yTableNAm"/>
              <w:rPr>
                <w:b/>
                <w:szCs w:val="22"/>
              </w:rPr>
            </w:pPr>
            <w:r>
              <w:rPr>
                <w:b/>
                <w:szCs w:val="22"/>
              </w:rPr>
              <w:t>25.</w:t>
            </w:r>
          </w:p>
        </w:tc>
        <w:tc>
          <w:tcPr>
            <w:tcW w:w="4226" w:type="dxa"/>
            <w:gridSpan w:val="3"/>
          </w:tcPr>
          <w:p>
            <w:pPr>
              <w:pStyle w:val="yTableNAm"/>
              <w:keepNext/>
              <w:tabs>
                <w:tab w:val="right" w:leader="dot" w:pos="4253"/>
              </w:tabs>
              <w:rPr>
                <w:b/>
                <w:bCs/>
                <w:szCs w:val="22"/>
              </w:rPr>
            </w:pPr>
            <w:r>
              <w:rPr>
                <w:b/>
                <w:bCs/>
                <w:szCs w:val="22"/>
              </w:rPr>
              <w:t>Establishment charge — unscheduled visit</w:t>
            </w:r>
          </w:p>
        </w:tc>
        <w:tc>
          <w:tcPr>
            <w:tcW w:w="1444" w:type="dxa"/>
            <w:vAlign w:val="bottom"/>
          </w:tcPr>
          <w:p>
            <w:pPr>
              <w:pStyle w:val="yTableNAm"/>
              <w:keepNext/>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keepNext/>
              <w:tabs>
                <w:tab w:val="right" w:leader="dot" w:pos="4253"/>
              </w:tabs>
              <w:rPr>
                <w:spacing w:val="-1"/>
                <w:szCs w:val="22"/>
              </w:rPr>
            </w:pPr>
            <w:r>
              <w:rPr>
                <w:spacing w:val="-1"/>
                <w:szCs w:val="22"/>
              </w:rPr>
              <w:t xml:space="preserve">Establishment charge </w:t>
            </w:r>
            <w:r>
              <w:rPr>
                <w:spacing w:val="-12"/>
                <w:szCs w:val="22"/>
              </w:rPr>
              <w:t>for</w:t>
            </w:r>
            <w:r>
              <w:rPr>
                <w:spacing w:val="-1"/>
                <w:szCs w:val="22"/>
              </w:rPr>
              <w:t xml:space="preserve"> an </w:t>
            </w:r>
            <w:r>
              <w:rPr>
                <w:szCs w:val="22"/>
              </w:rPr>
              <w:t>unscheduled</w:t>
            </w:r>
            <w:r>
              <w:rPr>
                <w:spacing w:val="-1"/>
                <w:szCs w:val="22"/>
              </w:rPr>
              <w:t xml:space="preserve"> visit</w:t>
            </w:r>
            <w:r>
              <w:rPr>
                <w:spacing w:val="-1"/>
                <w:szCs w:val="22"/>
              </w:rPr>
              <w:tab/>
              <w:t xml:space="preserve"> </w:t>
            </w:r>
          </w:p>
        </w:tc>
        <w:tc>
          <w:tcPr>
            <w:tcW w:w="1444" w:type="dxa"/>
            <w:vAlign w:val="bottom"/>
          </w:tcPr>
          <w:p>
            <w:pPr>
              <w:pStyle w:val="yTableNAm"/>
              <w:keepNext/>
              <w:tabs>
                <w:tab w:val="clear" w:pos="567"/>
                <w:tab w:val="left" w:pos="194"/>
              </w:tabs>
              <w:rPr>
                <w:spacing w:val="-1"/>
                <w:szCs w:val="22"/>
              </w:rPr>
            </w:pPr>
            <w:r>
              <w:rPr>
                <w:spacing w:val="-1"/>
                <w:szCs w:val="22"/>
              </w:rPr>
              <w:t>$120.00/hour</w:t>
            </w:r>
          </w:p>
        </w:tc>
      </w:tr>
      <w:tr>
        <w:tc>
          <w:tcPr>
            <w:tcW w:w="850" w:type="dxa"/>
          </w:tcPr>
          <w:p>
            <w:pPr>
              <w:pStyle w:val="yTableNAm"/>
              <w:rPr>
                <w:b/>
                <w:szCs w:val="22"/>
              </w:rPr>
            </w:pPr>
            <w:r>
              <w:rPr>
                <w:b/>
                <w:szCs w:val="22"/>
              </w:rPr>
              <w:t>26.</w:t>
            </w:r>
          </w:p>
        </w:tc>
        <w:tc>
          <w:tcPr>
            <w:tcW w:w="4226" w:type="dxa"/>
            <w:gridSpan w:val="3"/>
          </w:tcPr>
          <w:p>
            <w:pPr>
              <w:pStyle w:val="yTableNAm"/>
              <w:tabs>
                <w:tab w:val="right" w:leader="dot" w:pos="4253"/>
              </w:tabs>
              <w:rPr>
                <w:b/>
                <w:bCs/>
                <w:spacing w:val="-1"/>
                <w:szCs w:val="22"/>
              </w:rPr>
            </w:pPr>
            <w:r>
              <w:rPr>
                <w:b/>
                <w:bCs/>
                <w:snapToGrid w:val="0"/>
                <w:szCs w:val="22"/>
              </w:rPr>
              <w:t xml:space="preserve">Product evaluation — </w:t>
            </w:r>
            <w:r>
              <w:rPr>
                <w:b/>
                <w:bCs/>
                <w:spacing w:val="-1"/>
                <w:szCs w:val="22"/>
              </w:rPr>
              <w:t>unscheduled visit</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pacing w:val="-1"/>
                <w:szCs w:val="22"/>
              </w:rPr>
            </w:pPr>
            <w:r>
              <w:rPr>
                <w:spacing w:val="-1"/>
                <w:szCs w:val="22"/>
              </w:rPr>
              <w:t xml:space="preserve">Product evaluation for an unscheduled visit </w:t>
            </w:r>
            <w:r>
              <w:rPr>
                <w:spacing w:val="-1"/>
                <w:szCs w:val="22"/>
              </w:rPr>
              <w:tab/>
            </w:r>
          </w:p>
        </w:tc>
        <w:tc>
          <w:tcPr>
            <w:tcW w:w="1444" w:type="dxa"/>
            <w:vAlign w:val="bottom"/>
          </w:tcPr>
          <w:p>
            <w:pPr>
              <w:pStyle w:val="yTableNAm"/>
              <w:tabs>
                <w:tab w:val="clear" w:pos="567"/>
                <w:tab w:val="left" w:pos="194"/>
              </w:tabs>
              <w:rPr>
                <w:spacing w:val="-1"/>
                <w:szCs w:val="22"/>
              </w:rPr>
            </w:pPr>
            <w:r>
              <w:rPr>
                <w:spacing w:val="-1"/>
                <w:szCs w:val="22"/>
              </w:rPr>
              <w:t>$150.30/hour</w:t>
            </w:r>
          </w:p>
        </w:tc>
      </w:tr>
      <w:tr>
        <w:tc>
          <w:tcPr>
            <w:tcW w:w="850" w:type="dxa"/>
          </w:tcPr>
          <w:p>
            <w:pPr>
              <w:pStyle w:val="yTableNAm"/>
              <w:rPr>
                <w:b/>
                <w:szCs w:val="22"/>
              </w:rPr>
            </w:pPr>
            <w:r>
              <w:rPr>
                <w:b/>
                <w:szCs w:val="22"/>
              </w:rPr>
              <w:t>27.</w:t>
            </w:r>
          </w:p>
        </w:tc>
        <w:tc>
          <w:tcPr>
            <w:tcW w:w="4226" w:type="dxa"/>
            <w:gridSpan w:val="3"/>
          </w:tcPr>
          <w:p>
            <w:pPr>
              <w:pStyle w:val="yTableNAm"/>
              <w:tabs>
                <w:tab w:val="right" w:leader="dot" w:pos="4253"/>
              </w:tabs>
              <w:rPr>
                <w:b/>
                <w:bCs/>
                <w:spacing w:val="-1"/>
                <w:szCs w:val="22"/>
              </w:rPr>
            </w:pPr>
            <w:r>
              <w:rPr>
                <w:b/>
                <w:bCs/>
                <w:snapToGrid w:val="0"/>
                <w:szCs w:val="22"/>
              </w:rPr>
              <w:t xml:space="preserve">Grab samples — </w:t>
            </w:r>
            <w:r>
              <w:rPr>
                <w:b/>
                <w:bCs/>
                <w:spacing w:val="-1"/>
                <w:szCs w:val="22"/>
              </w:rPr>
              <w:t>unscheduled visit</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pacing w:val="-1"/>
                <w:szCs w:val="22"/>
              </w:rPr>
            </w:pPr>
            <w:r>
              <w:rPr>
                <w:spacing w:val="-1"/>
                <w:szCs w:val="22"/>
              </w:rPr>
              <w:t xml:space="preserve">For each grab sample for an unscheduled visit </w:t>
            </w:r>
          </w:p>
        </w:tc>
        <w:tc>
          <w:tcPr>
            <w:tcW w:w="1444" w:type="dxa"/>
            <w:vAlign w:val="bottom"/>
          </w:tcPr>
          <w:p>
            <w:pPr>
              <w:pStyle w:val="yTableNAm"/>
              <w:tabs>
                <w:tab w:val="clear" w:pos="567"/>
                <w:tab w:val="left" w:pos="194"/>
              </w:tabs>
              <w:rPr>
                <w:spacing w:val="-1"/>
                <w:szCs w:val="22"/>
              </w:rPr>
            </w:pPr>
            <w:r>
              <w:rPr>
                <w:spacing w:val="-1"/>
                <w:szCs w:val="22"/>
              </w:rPr>
              <w:t>At cost</w:t>
            </w:r>
          </w:p>
        </w:tc>
      </w:tr>
      <w:tr>
        <w:tc>
          <w:tcPr>
            <w:tcW w:w="850" w:type="dxa"/>
          </w:tcPr>
          <w:p>
            <w:pPr>
              <w:pStyle w:val="yTableNAm"/>
              <w:rPr>
                <w:b/>
                <w:szCs w:val="22"/>
              </w:rPr>
            </w:pPr>
            <w:r>
              <w:rPr>
                <w:b/>
                <w:szCs w:val="22"/>
              </w:rPr>
              <w:t>28.</w:t>
            </w:r>
          </w:p>
        </w:tc>
        <w:tc>
          <w:tcPr>
            <w:tcW w:w="4226" w:type="dxa"/>
            <w:gridSpan w:val="3"/>
          </w:tcPr>
          <w:p>
            <w:pPr>
              <w:pStyle w:val="yTableNAm"/>
              <w:tabs>
                <w:tab w:val="right" w:leader="dot" w:pos="4253"/>
              </w:tabs>
              <w:rPr>
                <w:b/>
                <w:bCs/>
                <w:spacing w:val="-1"/>
                <w:szCs w:val="22"/>
              </w:rPr>
            </w:pPr>
            <w:r>
              <w:rPr>
                <w:b/>
                <w:bCs/>
                <w:snapToGrid w:val="0"/>
                <w:szCs w:val="22"/>
              </w:rPr>
              <w:t xml:space="preserve">Composite samples — </w:t>
            </w:r>
            <w:r>
              <w:rPr>
                <w:b/>
                <w:bCs/>
                <w:spacing w:val="-1"/>
                <w:szCs w:val="22"/>
              </w:rPr>
              <w:t>unscheduled visit</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pacing w:val="-1"/>
                <w:szCs w:val="22"/>
              </w:rPr>
            </w:pPr>
            <w:r>
              <w:rPr>
                <w:spacing w:val="-1"/>
                <w:szCs w:val="22"/>
              </w:rPr>
              <w:t xml:space="preserve">For each composite sample for an unscheduled visit </w:t>
            </w:r>
            <w:r>
              <w:rPr>
                <w:spacing w:val="-1"/>
                <w:szCs w:val="22"/>
              </w:rPr>
              <w:tab/>
            </w:r>
          </w:p>
        </w:tc>
        <w:tc>
          <w:tcPr>
            <w:tcW w:w="1444" w:type="dxa"/>
            <w:vAlign w:val="bottom"/>
          </w:tcPr>
          <w:p>
            <w:pPr>
              <w:pStyle w:val="yTableNAm"/>
              <w:tabs>
                <w:tab w:val="clear" w:pos="567"/>
                <w:tab w:val="left" w:pos="194"/>
              </w:tabs>
              <w:rPr>
                <w:spacing w:val="-1"/>
                <w:szCs w:val="22"/>
              </w:rPr>
            </w:pPr>
            <w:r>
              <w:rPr>
                <w:spacing w:val="-1"/>
                <w:szCs w:val="22"/>
              </w:rPr>
              <w:t>At cost</w:t>
            </w:r>
          </w:p>
        </w:tc>
      </w:tr>
      <w:tr>
        <w:trPr>
          <w:cantSplit/>
        </w:trPr>
        <w:tc>
          <w:tcPr>
            <w:tcW w:w="850" w:type="dxa"/>
          </w:tcPr>
          <w:p>
            <w:pPr>
              <w:pStyle w:val="yTableNAm"/>
              <w:rPr>
                <w:b/>
                <w:szCs w:val="22"/>
              </w:rPr>
            </w:pPr>
            <w:r>
              <w:rPr>
                <w:b/>
                <w:szCs w:val="22"/>
              </w:rPr>
              <w:t>29.</w:t>
            </w:r>
          </w:p>
        </w:tc>
        <w:tc>
          <w:tcPr>
            <w:tcW w:w="5670" w:type="dxa"/>
            <w:gridSpan w:val="4"/>
          </w:tcPr>
          <w:p>
            <w:pPr>
              <w:pStyle w:val="yTableNAm"/>
              <w:rPr>
                <w:b/>
                <w:bCs/>
                <w:spacing w:val="-1"/>
                <w:szCs w:val="22"/>
              </w:rPr>
            </w:pPr>
            <w:r>
              <w:rPr>
                <w:b/>
                <w:bCs/>
                <w:snapToGrid w:val="0"/>
                <w:szCs w:val="22"/>
              </w:rPr>
              <w:t>Non</w:t>
            </w:r>
            <w:r>
              <w:rPr>
                <w:b/>
                <w:bCs/>
                <w:snapToGrid w:val="0"/>
                <w:szCs w:val="22"/>
              </w:rPr>
              <w:noBreakHyphen/>
              <w:t xml:space="preserve">permit </w:t>
            </w:r>
            <w:r>
              <w:rPr>
                <w:b/>
                <w:bCs/>
                <w:spacing w:val="-1"/>
                <w:szCs w:val="22"/>
              </w:rPr>
              <w:t>holders</w:t>
            </w:r>
            <w:r>
              <w:rPr>
                <w:b/>
                <w:bCs/>
                <w:snapToGrid w:val="0"/>
                <w:szCs w:val="22"/>
              </w:rPr>
              <w:t xml:space="preserve"> discharging industrial waste</w:t>
            </w:r>
          </w:p>
        </w:tc>
      </w:tr>
      <w:tr>
        <w:tc>
          <w:tcPr>
            <w:tcW w:w="850" w:type="dxa"/>
          </w:tcPr>
          <w:p>
            <w:pPr>
              <w:pStyle w:val="yTableNAm"/>
              <w:rPr>
                <w:szCs w:val="22"/>
              </w:rPr>
            </w:pPr>
          </w:p>
        </w:tc>
        <w:tc>
          <w:tcPr>
            <w:tcW w:w="4212" w:type="dxa"/>
            <w:gridSpan w:val="2"/>
          </w:tcPr>
          <w:p>
            <w:pPr>
              <w:pStyle w:val="yTableNAm"/>
              <w:tabs>
                <w:tab w:val="right" w:leader="dot" w:pos="4253"/>
              </w:tabs>
              <w:rPr>
                <w:spacing w:val="-1"/>
                <w:szCs w:val="22"/>
              </w:rPr>
            </w:pPr>
            <w:r>
              <w:rPr>
                <w:spacing w:val="-1"/>
                <w:szCs w:val="22"/>
              </w:rPr>
              <w:t>For a one</w:t>
            </w:r>
            <w:r>
              <w:rPr>
                <w:spacing w:val="-1"/>
                <w:szCs w:val="22"/>
              </w:rPr>
              <w:noBreakHyphen/>
              <w:t xml:space="preserve">off discharge of industrial waste by a person who does not hold an industrial waste permit </w:t>
            </w:r>
            <w:r>
              <w:rPr>
                <w:spacing w:val="-1"/>
                <w:szCs w:val="22"/>
              </w:rPr>
              <w:tab/>
            </w:r>
          </w:p>
        </w:tc>
        <w:tc>
          <w:tcPr>
            <w:tcW w:w="1458" w:type="dxa"/>
            <w:gridSpan w:val="2"/>
            <w:vAlign w:val="bottom"/>
          </w:tcPr>
          <w:p>
            <w:pPr>
              <w:pStyle w:val="yTableNAm"/>
              <w:tabs>
                <w:tab w:val="clear" w:pos="567"/>
                <w:tab w:val="left" w:pos="202"/>
              </w:tabs>
              <w:rPr>
                <w:spacing w:val="-1"/>
                <w:szCs w:val="22"/>
              </w:rPr>
            </w:pPr>
            <w:r>
              <w:rPr>
                <w:spacing w:val="-1"/>
                <w:szCs w:val="22"/>
              </w:rPr>
              <w:t>$120.00/hour</w:t>
            </w:r>
          </w:p>
        </w:tc>
      </w:tr>
      <w:tr>
        <w:trPr>
          <w:cantSplit/>
        </w:trPr>
        <w:tc>
          <w:tcPr>
            <w:tcW w:w="850" w:type="dxa"/>
          </w:tcPr>
          <w:p>
            <w:pPr>
              <w:pStyle w:val="yTableNAm"/>
              <w:rPr>
                <w:b/>
                <w:szCs w:val="22"/>
              </w:rPr>
            </w:pPr>
            <w:r>
              <w:rPr>
                <w:b/>
                <w:szCs w:val="22"/>
              </w:rPr>
              <w:t>30.</w:t>
            </w:r>
          </w:p>
        </w:tc>
        <w:tc>
          <w:tcPr>
            <w:tcW w:w="5670" w:type="dxa"/>
            <w:gridSpan w:val="4"/>
          </w:tcPr>
          <w:p>
            <w:pPr>
              <w:pStyle w:val="yTableNAm"/>
              <w:rPr>
                <w:b/>
                <w:bCs/>
                <w:spacing w:val="-1"/>
                <w:szCs w:val="22"/>
              </w:rPr>
            </w:pPr>
            <w:r>
              <w:rPr>
                <w:b/>
                <w:bCs/>
                <w:snapToGrid w:val="0"/>
                <w:szCs w:val="22"/>
              </w:rPr>
              <w:t>Discharging industrial waste from an open area</w:t>
            </w:r>
          </w:p>
        </w:tc>
      </w:tr>
      <w:tr>
        <w:tc>
          <w:tcPr>
            <w:tcW w:w="850" w:type="dxa"/>
          </w:tcPr>
          <w:p>
            <w:pPr>
              <w:pStyle w:val="yTableNAm"/>
              <w:rPr>
                <w:szCs w:val="22"/>
              </w:rPr>
            </w:pPr>
          </w:p>
        </w:tc>
        <w:tc>
          <w:tcPr>
            <w:tcW w:w="4198" w:type="dxa"/>
          </w:tcPr>
          <w:p>
            <w:pPr>
              <w:pStyle w:val="yTableNAm"/>
              <w:tabs>
                <w:tab w:val="right" w:leader="dot" w:pos="4253"/>
              </w:tabs>
              <w:rPr>
                <w:spacing w:val="-1"/>
                <w:szCs w:val="22"/>
              </w:rPr>
            </w:pPr>
            <w:r>
              <w:rPr>
                <w:spacing w:val="-1"/>
                <w:szCs w:val="22"/>
              </w:rPr>
              <w:t xml:space="preserve">For discharging industrial waste from an open area </w:t>
            </w:r>
            <w:r>
              <w:rPr>
                <w:spacing w:val="-1"/>
                <w:szCs w:val="22"/>
              </w:rPr>
              <w:tab/>
            </w:r>
          </w:p>
        </w:tc>
        <w:tc>
          <w:tcPr>
            <w:tcW w:w="1472" w:type="dxa"/>
            <w:gridSpan w:val="3"/>
            <w:vAlign w:val="bottom"/>
          </w:tcPr>
          <w:p>
            <w:pPr>
              <w:pStyle w:val="yTableNAm"/>
              <w:tabs>
                <w:tab w:val="clear" w:pos="567"/>
                <w:tab w:val="left" w:pos="202"/>
              </w:tabs>
              <w:rPr>
                <w:spacing w:val="-1"/>
                <w:szCs w:val="22"/>
              </w:rPr>
            </w:pPr>
            <w:r>
              <w:rPr>
                <w:spacing w:val="-1"/>
                <w:szCs w:val="22"/>
              </w:rPr>
              <w:br/>
              <w:t>$1.42/square metre</w:t>
            </w:r>
          </w:p>
        </w:tc>
      </w:tr>
    </w:tbl>
    <w:p>
      <w:pPr>
        <w:pStyle w:val="yFootnotesection"/>
      </w:pPr>
      <w:r>
        <w:tab/>
        <w:t>[Division 6 inserted in Gazette 20 Jun 2012 p. 2742.]</w:t>
      </w:r>
    </w:p>
    <w:p>
      <w:pPr>
        <w:pStyle w:val="yHeading3"/>
        <w:keepLines/>
      </w:pPr>
      <w:bookmarkStart w:id="85" w:name="_Toc84428008"/>
      <w:r>
        <w:rPr>
          <w:rStyle w:val="CharSDivNo"/>
        </w:rPr>
        <w:lastRenderedPageBreak/>
        <w:t>Division 7</w:t>
      </w:r>
      <w:r>
        <w:rPr>
          <w:b w:val="0"/>
        </w:rPr>
        <w:t> — </w:t>
      </w:r>
      <w:r>
        <w:rPr>
          <w:rStyle w:val="CharSDivText"/>
        </w:rPr>
        <w:t>Combined charges for country</w:t>
      </w:r>
      <w:bookmarkEnd w:id="85"/>
    </w:p>
    <w:p>
      <w:pPr>
        <w:pStyle w:val="yFootnoteheading"/>
        <w:keepNext/>
        <w:keepLines/>
        <w:spacing w:after="60"/>
      </w:pPr>
      <w:r>
        <w:tab/>
        <w:t>[Heading inserted in Gazette 20 Jun 2012 p. 2743.]</w:t>
      </w:r>
    </w:p>
    <w:p>
      <w:pPr>
        <w:pStyle w:val="zyHeading5"/>
      </w:pPr>
      <w:r>
        <w:t>31.</w:t>
      </w:r>
      <w:r>
        <w:tab/>
        <w:t>Country non</w:t>
      </w:r>
      <w:r>
        <w:noBreakHyphen/>
        <w:t>residential or commercial residential property, Government trading organisations and non-commercial Government property</w:t>
      </w:r>
    </w:p>
    <w:p>
      <w:pPr>
        <w:pStyle w:val="zySubsection"/>
      </w:pPr>
      <w:r>
        <w:tab/>
      </w:r>
      <w:r>
        <w:tab/>
        <w:t>In respect of land in a country sewerage area that is classified as country non</w:t>
      </w:r>
      <w:r>
        <w:noBreakHyphen/>
        <w:t>residential or commercial residential property, Government trading organisation or non-commercial Government property and is not referred to in item 2, 4, 5, 32, 33 or 34, the charge is calculated in accordance with the following formula —</w:t>
      </w:r>
    </w:p>
    <w:p>
      <w:pPr>
        <w:pStyle w:val="z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zySubsection"/>
      </w:pPr>
      <w:r>
        <w:rPr>
          <w:b/>
        </w:rPr>
        <w:tab/>
      </w:r>
      <w:r>
        <w:rPr>
          <w:b/>
        </w:rPr>
        <w:tab/>
        <w:t>P</w:t>
      </w:r>
      <w:r>
        <w:t xml:space="preserve"> + </w:t>
      </w:r>
      <w:r>
        <w:rPr>
          <w:b/>
        </w:rPr>
        <w:t>Q</w:t>
      </w:r>
    </w:p>
    <w:p>
      <w:pPr>
        <w:pStyle w:val="zySubsection"/>
      </w:pPr>
      <w:r>
        <w:tab/>
      </w:r>
      <w:r>
        <w:tab/>
        <w:t xml:space="preserve">or if — </w:t>
      </w:r>
    </w:p>
    <w:p>
      <w:pPr>
        <w:pStyle w:val="zySubsection"/>
      </w:pPr>
      <w:r>
        <w:tab/>
      </w:r>
      <w:r>
        <w:tab/>
        <w:t>(</w:t>
      </w:r>
      <w:r>
        <w:rPr>
          <w:b/>
        </w:rPr>
        <w:t>P</w:t>
      </w:r>
      <w:r>
        <w:t xml:space="preserve"> + </w:t>
      </w:r>
      <w:r>
        <w:rPr>
          <w:b/>
        </w:rPr>
        <w:t>Q</w:t>
      </w:r>
      <w:r>
        <w:t xml:space="preserve">) &gt; </w:t>
      </w:r>
      <w:r>
        <w:rPr>
          <w:b/>
        </w:rPr>
        <w:t>R</w:t>
      </w:r>
      <w:r>
        <w:t>; and</w:t>
      </w:r>
    </w:p>
    <w:p>
      <w:pPr>
        <w:pStyle w:val="zySubsection"/>
      </w:pPr>
      <w:r>
        <w:rPr>
          <w:b/>
        </w:rPr>
        <w:tab/>
      </w:r>
      <w:r>
        <w:rPr>
          <w:b/>
        </w:rPr>
        <w:tab/>
        <w:t>N</w:t>
      </w:r>
      <w:r>
        <w:t xml:space="preserve"> </w:t>
      </w:r>
      <w:r>
        <w:sym w:font="Symbol" w:char="F0A3"/>
      </w:r>
      <w:r>
        <w:t xml:space="preserve"> </w:t>
      </w:r>
      <w:r>
        <w:rPr>
          <w:b/>
        </w:rPr>
        <w:t>W</w:t>
      </w:r>
      <w:r>
        <w:t>,</w:t>
      </w:r>
    </w:p>
    <w:p>
      <w:pPr>
        <w:pStyle w:val="zySubsection"/>
      </w:pPr>
      <w:r>
        <w:tab/>
      </w:r>
      <w:r>
        <w:tab/>
        <w:t xml:space="preserve">then — </w:t>
      </w:r>
    </w:p>
    <w:p>
      <w:pPr>
        <w:pStyle w:val="z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zySubsection"/>
      </w:pPr>
      <w:r>
        <w:tab/>
      </w:r>
      <w:r>
        <w:tab/>
        <w:t xml:space="preserve">where — </w:t>
      </w:r>
    </w:p>
    <w:p>
      <w:pPr>
        <w:pStyle w:val="zyIndenta"/>
      </w:pPr>
      <w:r>
        <w:rPr>
          <w:b/>
        </w:rPr>
        <w:tab/>
        <w:t>P</w:t>
      </w:r>
      <w:r>
        <w:t xml:space="preserve"> =</w:t>
      </w:r>
      <w:r>
        <w:tab/>
        <w:t xml:space="preserve">the </w:t>
      </w:r>
      <w:r>
        <w:rPr>
          <w:snapToGrid w:val="0"/>
        </w:rPr>
        <w:t>annual</w:t>
      </w:r>
      <w:r>
        <w:t xml:space="preserve"> charge calculated in accordance with the formula in item 36;</w:t>
      </w:r>
    </w:p>
    <w:p>
      <w:pPr>
        <w:pStyle w:val="zyIndenta"/>
      </w:pPr>
      <w:r>
        <w:rPr>
          <w:b/>
        </w:rPr>
        <w:tab/>
        <w:t>Q</w:t>
      </w:r>
      <w:r>
        <w:t xml:space="preserve"> =</w:t>
      </w:r>
      <w:r>
        <w:tab/>
        <w:t>the quantity charge calculated in accordance with the formula in item 37;</w:t>
      </w:r>
    </w:p>
    <w:p>
      <w:pPr>
        <w:pStyle w:val="zyIndenta"/>
      </w:pPr>
      <w:r>
        <w:rPr>
          <w:b/>
        </w:rPr>
        <w:tab/>
        <w:t>R</w:t>
      </w:r>
      <w:r>
        <w:t xml:space="preserve"> =</w:t>
      </w:r>
      <w:r>
        <w:tab/>
        <w:t>the maximum charge calculated in accordance with the formula in item 35;</w:t>
      </w:r>
    </w:p>
    <w:p>
      <w:pPr>
        <w:pStyle w:val="zyIndenta"/>
      </w:pPr>
      <w:r>
        <w:rPr>
          <w:b/>
        </w:rPr>
        <w:tab/>
        <w:t>N</w:t>
      </w:r>
      <w:r>
        <w:t xml:space="preserve"> =</w:t>
      </w:r>
      <w:r>
        <w:tab/>
        <w:t>the discharge volume for the 2012/2013 year;</w:t>
      </w:r>
    </w:p>
    <w:p>
      <w:pPr>
        <w:pStyle w:val="zyIndenta"/>
      </w:pPr>
      <w:r>
        <w:rPr>
          <w:b/>
        </w:rPr>
        <w:tab/>
        <w:t>W</w:t>
      </w:r>
      <w:r>
        <w:t xml:space="preserve"> =</w:t>
      </w:r>
      <w:r>
        <w:tab/>
        <w:t>the discharge volume for the last available consumption year;</w:t>
      </w:r>
    </w:p>
    <w:p>
      <w:pPr>
        <w:pStyle w:val="zyIndenta"/>
      </w:pPr>
      <w:r>
        <w:rPr>
          <w:b/>
        </w:rPr>
        <w:tab/>
        <w:t>I</w:t>
      </w:r>
      <w:r>
        <w:t xml:space="preserve"> =</w:t>
      </w:r>
      <w:r>
        <w:tab/>
        <w:t>2.677.</w:t>
      </w:r>
    </w:p>
    <w:p>
      <w:pPr>
        <w:pStyle w:val="zyHeading5"/>
      </w:pPr>
      <w:r>
        <w:lastRenderedPageBreak/>
        <w:t>32.</w:t>
      </w:r>
      <w:r>
        <w:tab/>
        <w:t>Country non strata</w:t>
      </w:r>
      <w:r>
        <w:noBreakHyphen/>
        <w:t>titled caravan park with long</w:t>
      </w:r>
      <w:r>
        <w:noBreakHyphen/>
        <w:t>term residential caravan bays</w:t>
      </w:r>
    </w:p>
    <w:p>
      <w:pPr>
        <w:pStyle w:val="zySubsection"/>
        <w:keepNext/>
        <w:keepLines/>
      </w:pPr>
      <w:r>
        <w:tab/>
      </w:r>
      <w:r>
        <w:tab/>
        <w:t>In respect of a caravan park in a country sewerage area —</w:t>
      </w:r>
    </w:p>
    <w:p>
      <w:pPr>
        <w:pStyle w:val="zyIndenta"/>
        <w:keepNext/>
        <w:keepLines/>
      </w:pPr>
      <w:r>
        <w:tab/>
        <w:t>(a)</w:t>
      </w:r>
      <w:r>
        <w:tab/>
        <w:t>not consisting of strata</w:t>
      </w:r>
      <w:r>
        <w:noBreakHyphen/>
        <w:t>titled caravan bays referred to in item 3 of this Schedule; and</w:t>
      </w:r>
    </w:p>
    <w:p>
      <w:pPr>
        <w:pStyle w:val="zyIndenta"/>
      </w:pPr>
      <w:r>
        <w:tab/>
        <w:t>(b)</w:t>
      </w:r>
      <w:r>
        <w:tab/>
        <w:t>having long</w:t>
      </w:r>
      <w:r>
        <w:noBreakHyphen/>
        <w:t>term residential caravan bays,</w:t>
      </w:r>
    </w:p>
    <w:p>
      <w:pPr>
        <w:pStyle w:val="zySubsection"/>
      </w:pPr>
      <w:r>
        <w:tab/>
      </w:r>
      <w:r>
        <w:tab/>
        <w:t xml:space="preserve">the charge payable in accordance with the following formula — </w:t>
      </w:r>
    </w:p>
    <w:p>
      <w:pPr>
        <w:pStyle w:val="zySubsection"/>
      </w:pPr>
      <w:r>
        <w:rPr>
          <w:b/>
        </w:rPr>
        <w:tab/>
      </w:r>
      <w:r>
        <w:rPr>
          <w:b/>
        </w:rPr>
        <w:tab/>
        <w:t>AA</w:t>
      </w:r>
      <w:r>
        <w:t xml:space="preserve"> + </w:t>
      </w:r>
      <w:r>
        <w:rPr>
          <w:b/>
        </w:rPr>
        <w:t>AB</w:t>
      </w:r>
    </w:p>
    <w:p>
      <w:pPr>
        <w:pStyle w:val="zySubsection"/>
      </w:pPr>
      <w:r>
        <w:tab/>
      </w:r>
      <w:r>
        <w:tab/>
        <w:t xml:space="preserve">where — </w:t>
      </w:r>
    </w:p>
    <w:p>
      <w:pPr>
        <w:pStyle w:val="zyIndenta"/>
      </w:pPr>
      <w:r>
        <w:rPr>
          <w:b/>
        </w:rPr>
        <w:tab/>
        <w:t>AA</w:t>
      </w:r>
      <w:r>
        <w:t xml:space="preserve"> =</w:t>
      </w:r>
      <w:r>
        <w:tab/>
        <w:t>a charge of $240.50 for each long</w:t>
      </w:r>
      <w:r>
        <w:noBreakHyphen/>
        <w:t xml:space="preserve">term residential caravan bay; </w:t>
      </w:r>
    </w:p>
    <w:p>
      <w:pPr>
        <w:pStyle w:val="zyIndenta"/>
      </w:pPr>
      <w:r>
        <w:rPr>
          <w:b/>
        </w:rPr>
        <w:tab/>
        <w:t>AB</w:t>
      </w:r>
      <w:r>
        <w:t xml:space="preserve"> =</w:t>
      </w:r>
      <w:r>
        <w:tab/>
        <w:t>the charge for any part of the caravan park not comprised in long</w:t>
      </w:r>
      <w:r>
        <w:noBreakHyphen/>
        <w:t xml:space="preserve">term residential caravan bays, calculated in accordance with the following formula — </w:t>
      </w:r>
    </w:p>
    <w:p>
      <w:pPr>
        <w:pStyle w:val="z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zyIndenta"/>
      </w:pPr>
      <w:r>
        <w:rPr>
          <w:b/>
        </w:rPr>
        <w:tab/>
      </w:r>
      <w:r>
        <w:rPr>
          <w:b/>
        </w:rPr>
        <w:tab/>
        <w:t>Y</w:t>
      </w:r>
      <w:r>
        <w:t xml:space="preserve"> + </w:t>
      </w:r>
      <w:r>
        <w:rPr>
          <w:b/>
        </w:rPr>
        <w:t>Q</w:t>
      </w:r>
    </w:p>
    <w:p>
      <w:pPr>
        <w:pStyle w:val="zyIndenta"/>
      </w:pPr>
      <w:r>
        <w:tab/>
      </w:r>
      <w:r>
        <w:tab/>
        <w:t xml:space="preserve">or if — </w:t>
      </w:r>
    </w:p>
    <w:p>
      <w:pPr>
        <w:pStyle w:val="zyIndenta"/>
      </w:pPr>
      <w:r>
        <w:tab/>
      </w:r>
      <w:r>
        <w:tab/>
        <w:t>(</w:t>
      </w:r>
      <w:r>
        <w:rPr>
          <w:b/>
        </w:rPr>
        <w:t>Y</w:t>
      </w:r>
      <w:r>
        <w:t xml:space="preserve"> + </w:t>
      </w:r>
      <w:r>
        <w:rPr>
          <w:b/>
        </w:rPr>
        <w:t>Q</w:t>
      </w:r>
      <w:r>
        <w:t xml:space="preserve">) &gt; </w:t>
      </w:r>
      <w:r>
        <w:rPr>
          <w:b/>
        </w:rPr>
        <w:t>R</w:t>
      </w:r>
      <w:r>
        <w:t>; and</w:t>
      </w:r>
    </w:p>
    <w:p>
      <w:pPr>
        <w:pStyle w:val="zyIndenta"/>
      </w:pPr>
      <w:r>
        <w:rPr>
          <w:b/>
        </w:rPr>
        <w:tab/>
      </w:r>
      <w:r>
        <w:rPr>
          <w:b/>
        </w:rPr>
        <w:tab/>
        <w:t>N</w:t>
      </w:r>
      <w:r>
        <w:t xml:space="preserve"> </w:t>
      </w:r>
      <w:r>
        <w:sym w:font="Symbol" w:char="F0A3"/>
      </w:r>
      <w:r>
        <w:t xml:space="preserve"> </w:t>
      </w:r>
      <w:r>
        <w:rPr>
          <w:b/>
        </w:rPr>
        <w:t>W</w:t>
      </w:r>
      <w:r>
        <w:t>,</w:t>
      </w:r>
    </w:p>
    <w:p>
      <w:pPr>
        <w:pStyle w:val="zyIndenta"/>
      </w:pPr>
      <w:r>
        <w:tab/>
      </w:r>
      <w:r>
        <w:tab/>
        <w:t xml:space="preserve">then — </w:t>
      </w:r>
    </w:p>
    <w:p>
      <w:pPr>
        <w:pStyle w:val="zyIndenta"/>
        <w:rPr>
          <w:b/>
        </w:rPr>
      </w:pPr>
      <w:r>
        <w:rPr>
          <w:b/>
        </w:rPr>
        <w:tab/>
      </w:r>
      <w:r>
        <w:rPr>
          <w:b/>
        </w:rPr>
        <w:tab/>
        <w:t>R</w:t>
      </w:r>
    </w:p>
    <w:p>
      <w:pPr>
        <w:pStyle w:val="zyIndenta"/>
      </w:pPr>
      <w:r>
        <w:tab/>
      </w:r>
      <w:r>
        <w:tab/>
        <w:t xml:space="preserve">or if — </w:t>
      </w:r>
    </w:p>
    <w:p>
      <w:pPr>
        <w:pStyle w:val="zyIndenta"/>
      </w:pPr>
      <w:r>
        <w:tab/>
      </w:r>
      <w:r>
        <w:tab/>
        <w:t>(</w:t>
      </w:r>
      <w:r>
        <w:rPr>
          <w:b/>
        </w:rPr>
        <w:t>Y</w:t>
      </w:r>
      <w:r>
        <w:t xml:space="preserve"> + </w:t>
      </w:r>
      <w:r>
        <w:rPr>
          <w:b/>
        </w:rPr>
        <w:t>Q</w:t>
      </w:r>
      <w:r>
        <w:t xml:space="preserve">) &gt; </w:t>
      </w:r>
      <w:r>
        <w:rPr>
          <w:b/>
        </w:rPr>
        <w:t>R</w:t>
      </w:r>
      <w:r>
        <w:t>; and</w:t>
      </w:r>
    </w:p>
    <w:p>
      <w:pPr>
        <w:pStyle w:val="zyIndenta"/>
      </w:pPr>
      <w:r>
        <w:rPr>
          <w:b/>
        </w:rPr>
        <w:tab/>
      </w:r>
      <w:r>
        <w:rPr>
          <w:b/>
        </w:rPr>
        <w:tab/>
        <w:t>N</w:t>
      </w:r>
      <w:r>
        <w:t xml:space="preserve"> &gt; </w:t>
      </w:r>
      <w:r>
        <w:rPr>
          <w:b/>
        </w:rPr>
        <w:t>W</w:t>
      </w:r>
      <w:r>
        <w:t>,</w:t>
      </w:r>
    </w:p>
    <w:p>
      <w:pPr>
        <w:pStyle w:val="zyIndenta"/>
      </w:pPr>
      <w:r>
        <w:tab/>
      </w:r>
      <w:r>
        <w:tab/>
        <w:t xml:space="preserve">then — </w:t>
      </w:r>
    </w:p>
    <w:p>
      <w:pPr>
        <w:pStyle w:val="z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zyIndenta"/>
      </w:pPr>
      <w:r>
        <w:tab/>
      </w:r>
      <w:r>
        <w:tab/>
        <w:t xml:space="preserve">where — </w:t>
      </w:r>
    </w:p>
    <w:p>
      <w:pPr>
        <w:pStyle w:val="zyIndenti"/>
      </w:pPr>
      <w:r>
        <w:rPr>
          <w:b/>
        </w:rPr>
        <w:tab/>
        <w:t>Y</w:t>
      </w:r>
      <w:r>
        <w:t xml:space="preserve"> =</w:t>
      </w:r>
      <w:r>
        <w:tab/>
        <w:t xml:space="preserve">the charge payable for the number of major fixtures in the relevant part of the caravan </w:t>
      </w:r>
      <w:r>
        <w:lastRenderedPageBreak/>
        <w:t>park in the 2012/2013 year as set out in the Table to item 36;</w:t>
      </w:r>
    </w:p>
    <w:p>
      <w:pPr>
        <w:pStyle w:val="zyIndenti"/>
      </w:pPr>
      <w:r>
        <w:rPr>
          <w:b/>
        </w:rPr>
        <w:tab/>
        <w:t>Q</w:t>
      </w:r>
      <w:r>
        <w:t xml:space="preserve"> =</w:t>
      </w:r>
      <w:r>
        <w:tab/>
        <w:t>the quantity charge calculated in accordance with the formula in item 37;</w:t>
      </w:r>
    </w:p>
    <w:p>
      <w:pPr>
        <w:pStyle w:val="zyIndenti"/>
      </w:pPr>
      <w:r>
        <w:rPr>
          <w:b/>
        </w:rPr>
        <w:tab/>
        <w:t>R</w:t>
      </w:r>
      <w:r>
        <w:t xml:space="preserve"> =</w:t>
      </w:r>
      <w:r>
        <w:tab/>
        <w:t>the charge calculated in accordance with the formula in item 35;</w:t>
      </w:r>
    </w:p>
    <w:p>
      <w:pPr>
        <w:pStyle w:val="zyIndenti"/>
      </w:pPr>
      <w:r>
        <w:rPr>
          <w:b/>
        </w:rPr>
        <w:tab/>
        <w:t>N =</w:t>
      </w:r>
      <w:r>
        <w:rPr>
          <w:b/>
        </w:rPr>
        <w:tab/>
      </w:r>
      <w:r>
        <w:t>the discharge volume for the 2012/2013 year;</w:t>
      </w:r>
    </w:p>
    <w:p>
      <w:pPr>
        <w:pStyle w:val="zyIndenti"/>
      </w:pPr>
      <w:r>
        <w:rPr>
          <w:b/>
        </w:rPr>
        <w:tab/>
        <w:t>W =</w:t>
      </w:r>
      <w:r>
        <w:rPr>
          <w:b/>
        </w:rPr>
        <w:tab/>
      </w:r>
      <w:r>
        <w:t>the discharge volume for the last available consumption year;</w:t>
      </w:r>
    </w:p>
    <w:p>
      <w:pPr>
        <w:pStyle w:val="zyIndenti"/>
      </w:pPr>
      <w:r>
        <w:rPr>
          <w:b/>
        </w:rPr>
        <w:tab/>
        <w:t>I =</w:t>
      </w:r>
      <w:r>
        <w:rPr>
          <w:b/>
        </w:rPr>
        <w:tab/>
      </w:r>
      <w:r>
        <w:t>2.677.</w:t>
      </w:r>
    </w:p>
    <w:p>
      <w:pPr>
        <w:pStyle w:val="zyHeading5"/>
      </w:pPr>
      <w:r>
        <w:t>33.</w:t>
      </w:r>
      <w:r>
        <w:tab/>
        <w:t>Country nursing home</w:t>
      </w:r>
    </w:p>
    <w:p>
      <w:pPr>
        <w:pStyle w:val="zySubsection"/>
      </w:pPr>
      <w:r>
        <w:tab/>
      </w:r>
      <w:r>
        <w:tab/>
        <w:t>In respect of a nursing home in a country sewerage area, not being a nursing home which is, or is part of, an aged home, the charge is calculated in accordance with the following formula —</w:t>
      </w:r>
    </w:p>
    <w:p>
      <w:pPr>
        <w:pStyle w:val="z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zySubsection"/>
      </w:pPr>
      <w:r>
        <w:tab/>
      </w:r>
      <w:r>
        <w:tab/>
      </w:r>
      <w:r>
        <w:rPr>
          <w:b/>
        </w:rPr>
        <w:t>T</w:t>
      </w:r>
      <w:r>
        <w:t xml:space="preserve"> + </w:t>
      </w:r>
      <w:r>
        <w:rPr>
          <w:b/>
        </w:rPr>
        <w:t>Q</w:t>
      </w:r>
    </w:p>
    <w:p>
      <w:pPr>
        <w:pStyle w:val="zySubsection"/>
      </w:pPr>
      <w:r>
        <w:tab/>
      </w:r>
      <w:r>
        <w:tab/>
        <w:t>or if (</w:t>
      </w:r>
      <w:r>
        <w:rPr>
          <w:b/>
        </w:rPr>
        <w:t>T</w:t>
      </w:r>
      <w:r>
        <w:t xml:space="preserve"> + </w:t>
      </w:r>
      <w:r>
        <w:rPr>
          <w:b/>
        </w:rPr>
        <w:t>Q</w:t>
      </w:r>
      <w:r>
        <w:t xml:space="preserve">) &gt; </w:t>
      </w:r>
      <w:r>
        <w:rPr>
          <w:b/>
        </w:rPr>
        <w:t>R</w:t>
      </w:r>
      <w:r>
        <w:t xml:space="preserve">, then — </w:t>
      </w:r>
    </w:p>
    <w:p>
      <w:pPr>
        <w:pStyle w:val="zySubsection"/>
        <w:rPr>
          <w:b/>
        </w:rPr>
      </w:pPr>
      <w:r>
        <w:tab/>
      </w:r>
      <w:r>
        <w:tab/>
      </w:r>
      <w:r>
        <w:rPr>
          <w:b/>
        </w:rPr>
        <w:t>R</w:t>
      </w:r>
    </w:p>
    <w:p>
      <w:pPr>
        <w:pStyle w:val="zySubsection"/>
      </w:pPr>
      <w:r>
        <w:tab/>
      </w:r>
      <w:r>
        <w:tab/>
        <w:t xml:space="preserve">where — </w:t>
      </w:r>
    </w:p>
    <w:p>
      <w:pPr>
        <w:pStyle w:val="zyIndenta"/>
      </w:pPr>
      <w:r>
        <w:rPr>
          <w:b/>
        </w:rPr>
        <w:tab/>
        <w:t>T</w:t>
      </w:r>
      <w:r>
        <w:t xml:space="preserve"> =</w:t>
      </w:r>
      <w:r>
        <w:tab/>
        <w:t>the charge calculated in accordance with the following formula — </w:t>
      </w:r>
    </w:p>
    <w:p>
      <w:pPr>
        <w:pStyle w:val="zyIndenta"/>
      </w:pPr>
      <w:r>
        <w:rPr>
          <w:b/>
        </w:rPr>
        <w:tab/>
      </w:r>
      <w:r>
        <w:rPr>
          <w:b/>
        </w:rPr>
        <w:tab/>
        <w:t>U</w:t>
      </w:r>
      <w:r>
        <w:t xml:space="preserve"> </w:t>
      </w:r>
      <w:r>
        <w:sym w:font="Symbol" w:char="F0B4"/>
      </w:r>
      <w:r>
        <w:t xml:space="preserve"> </w:t>
      </w:r>
      <w:r>
        <w:rPr>
          <w:b/>
        </w:rPr>
        <w:t>V</w:t>
      </w:r>
    </w:p>
    <w:p>
      <w:pPr>
        <w:pStyle w:val="zyIndenta"/>
      </w:pPr>
      <w:r>
        <w:tab/>
      </w:r>
      <w:r>
        <w:tab/>
        <w:t xml:space="preserve">where — </w:t>
      </w:r>
    </w:p>
    <w:p>
      <w:pPr>
        <w:pStyle w:val="zyIndenti"/>
      </w:pPr>
      <w:r>
        <w:rPr>
          <w:b/>
        </w:rPr>
        <w:tab/>
        <w:t>U</w:t>
      </w:r>
      <w:r>
        <w:t xml:space="preserve"> =</w:t>
      </w:r>
      <w:r>
        <w:tab/>
        <w:t xml:space="preserve">the number of beds in the nursing home; </w:t>
      </w:r>
    </w:p>
    <w:p>
      <w:pPr>
        <w:pStyle w:val="zyIndenti"/>
      </w:pPr>
      <w:r>
        <w:rPr>
          <w:b/>
        </w:rPr>
        <w:tab/>
        <w:t>V</w:t>
      </w:r>
      <w:r>
        <w:t xml:space="preserve"> =</w:t>
      </w:r>
      <w:r>
        <w:tab/>
        <w:t>$131.80;</w:t>
      </w:r>
    </w:p>
    <w:p>
      <w:pPr>
        <w:pStyle w:val="zyIndenta"/>
      </w:pPr>
      <w:r>
        <w:rPr>
          <w:b/>
        </w:rPr>
        <w:tab/>
        <w:t>Q</w:t>
      </w:r>
      <w:r>
        <w:t xml:space="preserve"> =</w:t>
      </w:r>
      <w:r>
        <w:tab/>
        <w:t>the quantity charge calculated in accordance with the formula in item 37;</w:t>
      </w:r>
    </w:p>
    <w:p>
      <w:pPr>
        <w:pStyle w:val="zyIndenta"/>
      </w:pPr>
      <w:r>
        <w:rPr>
          <w:b/>
        </w:rPr>
        <w:tab/>
        <w:t>R</w:t>
      </w:r>
      <w:r>
        <w:t xml:space="preserve"> =</w:t>
      </w:r>
      <w:r>
        <w:tab/>
        <w:t>the charge calculated in accordance with the formula in item 35.</w:t>
      </w:r>
    </w:p>
    <w:p>
      <w:pPr>
        <w:pStyle w:val="zyHeading5"/>
      </w:pPr>
      <w:r>
        <w:lastRenderedPageBreak/>
        <w:t>34.</w:t>
      </w:r>
      <w:r>
        <w:tab/>
        <w:t>Certain country strata</w:t>
      </w:r>
      <w:r>
        <w:noBreakHyphen/>
        <w:t>titled units</w:t>
      </w:r>
    </w:p>
    <w:p>
      <w:pPr>
        <w:pStyle w:val="zySubsection"/>
      </w:pPr>
      <w:r>
        <w:tab/>
      </w:r>
      <w:r>
        <w:tab/>
        <w:t>In respect of country non</w:t>
      </w:r>
      <w:r>
        <w:noBreakHyphen/>
        <w:t xml:space="preserve">residential or commercial residential property that is in a country sewerage area that — </w:t>
      </w:r>
    </w:p>
    <w:p>
      <w:pPr>
        <w:pStyle w:val="zyIndenta"/>
      </w:pPr>
      <w:r>
        <w:tab/>
        <w:t>(a)</w:t>
      </w:r>
      <w:r>
        <w:tab/>
      </w:r>
      <w:r>
        <w:rPr>
          <w:snapToGrid w:val="0"/>
        </w:rPr>
        <w:t>comprises</w:t>
      </w:r>
      <w:r>
        <w:t xml:space="preserve"> a unit that is a lot within the meaning of the </w:t>
      </w:r>
      <w:r>
        <w:rPr>
          <w:i/>
        </w:rPr>
        <w:t>Strata Titles Act 1985</w:t>
      </w:r>
      <w:r>
        <w:t>; and</w:t>
      </w:r>
    </w:p>
    <w:p>
      <w:pPr>
        <w:pStyle w:val="z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z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zySubsection"/>
      </w:pPr>
      <w:r>
        <w:tab/>
      </w:r>
      <w:r>
        <w:tab/>
      </w:r>
      <w:r>
        <w:rPr>
          <w:b/>
          <w:bCs/>
        </w:rPr>
        <w:t>T</w:t>
      </w:r>
      <w:r>
        <w:t xml:space="preserve"> + </w:t>
      </w:r>
      <w:r>
        <w:rPr>
          <w:b/>
          <w:bCs/>
        </w:rPr>
        <w:t>Q</w:t>
      </w:r>
    </w:p>
    <w:p>
      <w:pPr>
        <w:pStyle w:val="zySubsection"/>
      </w:pPr>
      <w:r>
        <w:tab/>
      </w:r>
      <w:r>
        <w:tab/>
        <w:t xml:space="preserve">where — </w:t>
      </w:r>
    </w:p>
    <w:p>
      <w:pPr>
        <w:pStyle w:val="zyIndenta"/>
      </w:pPr>
      <w:r>
        <w:rPr>
          <w:b/>
        </w:rPr>
        <w:tab/>
        <w:t>T</w:t>
      </w:r>
      <w:r>
        <w:t xml:space="preserve"> =</w:t>
      </w:r>
      <w:r>
        <w:tab/>
        <w:t>$452.80;</w:t>
      </w:r>
    </w:p>
    <w:p>
      <w:pPr>
        <w:pStyle w:val="zyIndenta"/>
      </w:pPr>
      <w:r>
        <w:rPr>
          <w:b/>
        </w:rPr>
        <w:tab/>
        <w:t>Q</w:t>
      </w:r>
      <w:r>
        <w:t xml:space="preserve"> =</w:t>
      </w:r>
      <w:r>
        <w:tab/>
        <w:t>the quantity charge calculated in accordance with the formula in item 37.</w:t>
      </w:r>
    </w:p>
    <w:p>
      <w:pPr>
        <w:pStyle w:val="zyHeading5"/>
      </w:pPr>
      <w:r>
        <w:t>35.</w:t>
      </w:r>
      <w:r>
        <w:tab/>
        <w:t>Limit on increase</w:t>
      </w:r>
    </w:p>
    <w:p>
      <w:pPr>
        <w:pStyle w:val="zySubsection"/>
      </w:pPr>
      <w:r>
        <w:tab/>
      </w:r>
      <w:r>
        <w:tab/>
        <w:t xml:space="preserve">For the </w:t>
      </w:r>
      <w:r>
        <w:rPr>
          <w:spacing w:val="-1"/>
        </w:rPr>
        <w:t>purposes</w:t>
      </w:r>
      <w:r>
        <w:t xml:space="preserve"> of this Division, the maximum charge (</w:t>
      </w:r>
      <w:r>
        <w:rPr>
          <w:rStyle w:val="CharDefText"/>
        </w:rPr>
        <w:t>R</w:t>
      </w:r>
      <w:r>
        <w:t xml:space="preserve">) is calculated in accordance with the following formula — </w:t>
      </w:r>
    </w:p>
    <w:p>
      <w:pPr>
        <w:pStyle w:val="z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z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zySubsection"/>
        <w:rPr>
          <w:b/>
        </w:rPr>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z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zySubsection"/>
      </w:pPr>
      <w:r>
        <w:rPr>
          <w:b/>
        </w:rPr>
        <w:tab/>
      </w:r>
      <w:r>
        <w:rPr>
          <w:b/>
        </w:rPr>
        <w:tab/>
      </w:r>
      <w:r>
        <w:t>(</w:t>
      </w:r>
      <w:r>
        <w:rPr>
          <w:b/>
        </w:rPr>
        <w:t xml:space="preserve">A </w:t>
      </w:r>
      <w:r>
        <w:t xml:space="preserve">+ </w:t>
      </w:r>
      <w:r>
        <w:rPr>
          <w:b/>
        </w:rPr>
        <w:t>J</w:t>
      </w:r>
      <w:r>
        <w:t>)</w:t>
      </w:r>
    </w:p>
    <w:p>
      <w:pPr>
        <w:pStyle w:val="z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z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zySubsection"/>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zySubsection"/>
      </w:pPr>
      <w:r>
        <w:lastRenderedPageBreak/>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z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zySubsection"/>
      </w:pPr>
      <w:r>
        <w:tab/>
      </w:r>
      <w:r>
        <w:tab/>
        <w:t xml:space="preserve">where — </w:t>
      </w:r>
    </w:p>
    <w:p>
      <w:pPr>
        <w:pStyle w:val="zyIndenta"/>
      </w:pPr>
      <w:r>
        <w:rPr>
          <w:b/>
        </w:rPr>
        <w:tab/>
        <w:t>P</w:t>
      </w:r>
      <w:r>
        <w:t xml:space="preserve"> =</w:t>
      </w:r>
      <w:r>
        <w:tab/>
        <w:t>the target annual charge, based on the number of major fixtures calculated using the Table in item 36;</w:t>
      </w:r>
    </w:p>
    <w:p>
      <w:pPr>
        <w:pStyle w:val="zyIndenta"/>
      </w:pPr>
      <w:r>
        <w:rPr>
          <w:b/>
        </w:rPr>
        <w:tab/>
        <w:t>Q</w:t>
      </w:r>
      <w:r>
        <w:t xml:space="preserve"> =</w:t>
      </w:r>
      <w:r>
        <w:tab/>
        <w:t>the ultimate discharge charge calculated using the formula in item 37, except that the discharge allowance calculated in accordance with item 38(a) is 200 kL;</w:t>
      </w:r>
    </w:p>
    <w:p>
      <w:pPr>
        <w:pStyle w:val="zyIndenta"/>
      </w:pPr>
      <w:r>
        <w:rPr>
          <w:b/>
        </w:rPr>
        <w:tab/>
        <w:t>A</w:t>
      </w:r>
      <w:r>
        <w:t xml:space="preserve"> =</w:t>
      </w:r>
      <w:r>
        <w:tab/>
        <w:t>the equivalent full year charge payable in the 2011/2012 year;</w:t>
      </w:r>
    </w:p>
    <w:p>
      <w:pPr>
        <w:pStyle w:val="zyIndenta"/>
      </w:pPr>
      <w:r>
        <w:rPr>
          <w:b/>
        </w:rPr>
        <w:tab/>
        <w:t>S</w:t>
      </w:r>
      <w:r>
        <w:t xml:space="preserve"> =</w:t>
      </w:r>
      <w:r>
        <w:tab/>
        <w:t>1.136;</w:t>
      </w:r>
    </w:p>
    <w:p>
      <w:pPr>
        <w:pStyle w:val="zyIndenta"/>
      </w:pPr>
      <w:r>
        <w:rPr>
          <w:b/>
        </w:rPr>
        <w:tab/>
        <w:t>B</w:t>
      </w:r>
      <w:r>
        <w:t xml:space="preserve"> =</w:t>
      </w:r>
      <w:r>
        <w:tab/>
        <w:t>$166.67;</w:t>
      </w:r>
    </w:p>
    <w:p>
      <w:pPr>
        <w:pStyle w:val="zyIndenta"/>
      </w:pPr>
      <w:r>
        <w:rPr>
          <w:b/>
        </w:rPr>
        <w:tab/>
        <w:t>J</w:t>
      </w:r>
      <w:r>
        <w:t xml:space="preserve"> =</w:t>
      </w:r>
      <w:r>
        <w:tab/>
        <w:t>$166.67;</w:t>
      </w:r>
    </w:p>
    <w:p>
      <w:pPr>
        <w:pStyle w:val="zyIndenta"/>
      </w:pPr>
      <w:r>
        <w:rPr>
          <w:b/>
        </w:rPr>
        <w:tab/>
        <w:t>O</w:t>
      </w:r>
      <w:r>
        <w:t xml:space="preserve"> =</w:t>
      </w:r>
      <w:r>
        <w:tab/>
        <w:t>1.</w:t>
      </w:r>
    </w:p>
    <w:p>
      <w:pPr>
        <w:pStyle w:val="yFootnotesection"/>
      </w:pPr>
      <w:r>
        <w:tab/>
        <w:t>[Division 7 inserted in Gazette 20 Jun 2012 p. 2743</w:t>
      </w:r>
      <w:r>
        <w:noBreakHyphen/>
        <w:t>7.]</w:t>
      </w:r>
    </w:p>
    <w:p>
      <w:pPr>
        <w:pStyle w:val="yHeading3"/>
        <w:rPr>
          <w:rStyle w:val="CharSDivNo"/>
        </w:rPr>
      </w:pPr>
      <w:bookmarkStart w:id="86" w:name="_Toc84428009"/>
      <w:r>
        <w:rPr>
          <w:rStyle w:val="CharSDivNo"/>
        </w:rPr>
        <w:t>Division 8 </w:t>
      </w:r>
      <w:r>
        <w:t>—</w:t>
      </w:r>
      <w:r>
        <w:rPr>
          <w:rStyle w:val="CharSDivNo"/>
        </w:rPr>
        <w:t> </w:t>
      </w:r>
      <w:r>
        <w:rPr>
          <w:rStyle w:val="CharSDivText"/>
        </w:rPr>
        <w:t>Computation of combined charges for country</w:t>
      </w:r>
      <w:bookmarkEnd w:id="86"/>
    </w:p>
    <w:p>
      <w:pPr>
        <w:pStyle w:val="yFootnoteheading"/>
        <w:keepNext/>
        <w:spacing w:after="60"/>
        <w:rPr>
          <w:rStyle w:val="CharSDivNo"/>
        </w:rPr>
      </w:pPr>
      <w:r>
        <w:tab/>
        <w:t>[Heading inserted in Gazette 20 Jun 2012 p. 2747.]</w:t>
      </w:r>
    </w:p>
    <w:p>
      <w:pPr>
        <w:pStyle w:val="zyHeading5"/>
      </w:pPr>
      <w:r>
        <w:t>36.</w:t>
      </w:r>
      <w:r>
        <w:tab/>
        <w:t>Formula for annual charge</w:t>
      </w:r>
    </w:p>
    <w:p>
      <w:pPr>
        <w:pStyle w:val="zySubsection"/>
      </w:pPr>
      <w:r>
        <w:tab/>
      </w:r>
      <w:r>
        <w:tab/>
        <w:t xml:space="preserve">For the </w:t>
      </w:r>
      <w:r>
        <w:rPr>
          <w:spacing w:val="-1"/>
        </w:rPr>
        <w:t>purposes</w:t>
      </w:r>
      <w:r>
        <w:t xml:space="preserve"> of Division 7, the annual charge (</w:t>
      </w:r>
      <w:r>
        <w:rPr>
          <w:rStyle w:val="CharDefText"/>
        </w:rPr>
        <w:t>P</w:t>
      </w:r>
      <w:r>
        <w:t xml:space="preserve">) is calculated according to the following formula — </w:t>
      </w:r>
    </w:p>
    <w:p>
      <w:pPr>
        <w:pStyle w:val="z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zySubsection"/>
        <w:rPr>
          <w:b/>
        </w:rPr>
      </w:pPr>
      <w:r>
        <w:tab/>
      </w:r>
      <w:r>
        <w:tab/>
      </w:r>
      <w:r>
        <w:rPr>
          <w:b/>
        </w:rPr>
        <w:t>X</w:t>
      </w:r>
    </w:p>
    <w:p>
      <w:pPr>
        <w:pStyle w:val="zySubsection"/>
      </w:pPr>
      <w:r>
        <w:tab/>
      </w:r>
      <w:r>
        <w:tab/>
        <w:t xml:space="preserve">or if </w:t>
      </w:r>
      <w:r>
        <w:rPr>
          <w:b/>
        </w:rPr>
        <w:t>A</w:t>
      </w:r>
      <w:r>
        <w:t xml:space="preserve"> &gt; (</w:t>
      </w:r>
      <w:r>
        <w:rPr>
          <w:b/>
        </w:rPr>
        <w:t>C</w:t>
      </w:r>
      <w:r>
        <w:t xml:space="preserve"> + </w:t>
      </w:r>
      <w:r>
        <w:rPr>
          <w:b/>
        </w:rPr>
        <w:t>D</w:t>
      </w:r>
      <w:r>
        <w:t xml:space="preserve">), then — </w:t>
      </w:r>
    </w:p>
    <w:p>
      <w:pPr>
        <w:pStyle w:val="z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zySubsection"/>
      </w:pPr>
      <w:r>
        <w:tab/>
      </w:r>
      <w:r>
        <w:tab/>
        <w:t xml:space="preserve">where — </w:t>
      </w:r>
    </w:p>
    <w:p>
      <w:pPr>
        <w:pStyle w:val="zyIndenta"/>
      </w:pPr>
      <w:r>
        <w:rPr>
          <w:b/>
        </w:rPr>
        <w:tab/>
        <w:t>A</w:t>
      </w:r>
      <w:r>
        <w:t xml:space="preserve"> =</w:t>
      </w:r>
      <w:r>
        <w:tab/>
        <w:t>the equivalent amount payable in the 2011/2012 year;</w:t>
      </w:r>
    </w:p>
    <w:p>
      <w:pPr>
        <w:pStyle w:val="zyIndenta"/>
      </w:pPr>
      <w:r>
        <w:rPr>
          <w:b/>
        </w:rPr>
        <w:lastRenderedPageBreak/>
        <w:tab/>
        <w:t>C</w:t>
      </w:r>
      <w:r>
        <w:t xml:space="preserve"> =</w:t>
      </w:r>
      <w:r>
        <w:tab/>
        <w:t>the charge payable for the relevant number of major fixtures for the 2012/2013 year as set out in the Table;</w:t>
      </w:r>
    </w:p>
    <w:p>
      <w:pPr>
        <w:pStyle w:val="zyIndenta"/>
      </w:pPr>
      <w:r>
        <w:rPr>
          <w:b/>
        </w:rPr>
        <w:tab/>
        <w:t>D</w:t>
      </w:r>
      <w:r>
        <w:t xml:space="preserve"> =</w:t>
      </w:r>
      <w:r>
        <w:tab/>
        <w:t>the ultimate discharge charge;</w:t>
      </w:r>
    </w:p>
    <w:p>
      <w:pPr>
        <w:pStyle w:val="zyIndenta"/>
      </w:pPr>
      <w:r>
        <w:rPr>
          <w:b/>
        </w:rPr>
        <w:tab/>
        <w:t>E</w:t>
      </w:r>
      <w:r>
        <w:t xml:space="preserve"> =</w:t>
      </w:r>
      <w:r>
        <w:tab/>
        <w:t>1;</w:t>
      </w:r>
    </w:p>
    <w:p>
      <w:pPr>
        <w:pStyle w:val="zyIndenta"/>
      </w:pPr>
      <w:r>
        <w:rPr>
          <w:b/>
        </w:rPr>
        <w:tab/>
        <w:t>X</w:t>
      </w:r>
      <w:r>
        <w:t xml:space="preserve"> =</w:t>
      </w:r>
      <w:r>
        <w:tab/>
        <w:t>the amount specified in relation to the 2012/2013 year for the relevant number of major fixtures as set out in the Table.</w:t>
      </w:r>
    </w:p>
    <w:p>
      <w:pPr>
        <w:pStyle w:val="yTHeadingNAm"/>
        <w:keepLines/>
      </w:pPr>
      <w:r>
        <w:rPr>
          <w:bCs w:val="0"/>
        </w:rPr>
        <w:t>Table of major fixture</w:t>
      </w:r>
      <w:r>
        <w:rPr>
          <w:bCs w:val="0"/>
        </w:rPr>
        <w:noBreakHyphen/>
        <w:t>based minimum charges</w:t>
      </w:r>
      <w:r>
        <w:rPr>
          <w:bCs w:val="0"/>
        </w:rPr>
        <w:br/>
        <w:t>(</w:t>
      </w:r>
      <w:r>
        <w:rPr>
          <w:bCs w:val="0"/>
          <w:iCs/>
        </w:rPr>
        <w:t>per fixture</w:t>
      </w:r>
      <w:r>
        <w:rPr>
          <w:bCs w:val="0"/>
        </w:rPr>
        <w:t>)</w:t>
      </w:r>
    </w:p>
    <w:tbl>
      <w:tblPr>
        <w:tblW w:w="0" w:type="auto"/>
        <w:tblInd w:w="910" w:type="dxa"/>
        <w:tblLayout w:type="fixed"/>
        <w:tblCellMar>
          <w:left w:w="28" w:type="dxa"/>
          <w:right w:w="28" w:type="dxa"/>
        </w:tblCellMar>
        <w:tblLook w:val="0000" w:firstRow="0" w:lastRow="0" w:firstColumn="0" w:lastColumn="0" w:noHBand="0" w:noVBand="0"/>
      </w:tblPr>
      <w:tblGrid>
        <w:gridCol w:w="2961"/>
        <w:gridCol w:w="2961"/>
      </w:tblGrid>
      <w:tr>
        <w:trPr>
          <w:cantSplit/>
          <w:tblHeader/>
        </w:trPr>
        <w:tc>
          <w:tcPr>
            <w:tcW w:w="2961" w:type="dxa"/>
            <w:tcBorders>
              <w:top w:val="single" w:sz="4" w:space="0" w:color="auto"/>
              <w:bottom w:val="single" w:sz="4" w:space="0" w:color="auto"/>
            </w:tcBorders>
          </w:tcPr>
          <w:p>
            <w:pPr>
              <w:pStyle w:val="yTableNAm"/>
              <w:keepNext/>
              <w:keepLines/>
              <w:jc w:val="center"/>
              <w:rPr>
                <w:b/>
                <w:bCs/>
              </w:rPr>
            </w:pPr>
            <w:r>
              <w:rPr>
                <w:b/>
                <w:bCs/>
              </w:rPr>
              <w:t>No. of fixtures</w:t>
            </w:r>
          </w:p>
        </w:tc>
        <w:tc>
          <w:tcPr>
            <w:tcW w:w="2961" w:type="dxa"/>
            <w:tcBorders>
              <w:top w:val="single" w:sz="4" w:space="0" w:color="auto"/>
              <w:bottom w:val="single" w:sz="4" w:space="0" w:color="auto"/>
            </w:tcBorders>
          </w:tcPr>
          <w:p>
            <w:pPr>
              <w:pStyle w:val="yTableNAm"/>
              <w:keepNext/>
              <w:keepLines/>
              <w:jc w:val="center"/>
              <w:rPr>
                <w:b/>
                <w:bCs/>
              </w:rPr>
            </w:pPr>
            <w:r>
              <w:rPr>
                <w:b/>
                <w:bCs/>
              </w:rPr>
              <w:t>Charges</w:t>
            </w:r>
            <w:r>
              <w:rPr>
                <w:b/>
                <w:bCs/>
              </w:rPr>
              <w:br/>
              <w:t>$</w:t>
            </w:r>
          </w:p>
        </w:tc>
      </w:tr>
      <w:tr>
        <w:trPr>
          <w:cantSplit/>
        </w:trPr>
        <w:tc>
          <w:tcPr>
            <w:tcW w:w="2961" w:type="dxa"/>
          </w:tcPr>
          <w:p>
            <w:pPr>
              <w:pStyle w:val="yTableNAm"/>
              <w:jc w:val="center"/>
            </w:pPr>
            <w:r>
              <w:t>1</w:t>
            </w:r>
          </w:p>
        </w:tc>
        <w:tc>
          <w:tcPr>
            <w:tcW w:w="2961" w:type="dxa"/>
            <w:vAlign w:val="bottom"/>
          </w:tcPr>
          <w:p>
            <w:pPr>
              <w:pStyle w:val="yTableNAm"/>
              <w:jc w:val="center"/>
            </w:pPr>
            <w:r>
              <w:t>728.40</w:t>
            </w:r>
          </w:p>
        </w:tc>
      </w:tr>
      <w:tr>
        <w:trPr>
          <w:cantSplit/>
        </w:trPr>
        <w:tc>
          <w:tcPr>
            <w:tcW w:w="2961" w:type="dxa"/>
          </w:tcPr>
          <w:p>
            <w:pPr>
              <w:pStyle w:val="yTableNAm"/>
              <w:jc w:val="center"/>
            </w:pPr>
            <w:r>
              <w:t>2</w:t>
            </w:r>
          </w:p>
        </w:tc>
        <w:tc>
          <w:tcPr>
            <w:tcW w:w="2961" w:type="dxa"/>
            <w:vAlign w:val="bottom"/>
          </w:tcPr>
          <w:p>
            <w:pPr>
              <w:pStyle w:val="yTableNAm"/>
              <w:jc w:val="center"/>
            </w:pPr>
            <w:r>
              <w:t>311.80</w:t>
            </w:r>
          </w:p>
        </w:tc>
      </w:tr>
      <w:tr>
        <w:trPr>
          <w:cantSplit/>
        </w:trPr>
        <w:tc>
          <w:tcPr>
            <w:tcW w:w="2961" w:type="dxa"/>
          </w:tcPr>
          <w:p>
            <w:pPr>
              <w:pStyle w:val="yTableNAm"/>
              <w:jc w:val="center"/>
            </w:pPr>
            <w:r>
              <w:t>3</w:t>
            </w:r>
          </w:p>
        </w:tc>
        <w:tc>
          <w:tcPr>
            <w:tcW w:w="2961" w:type="dxa"/>
            <w:vAlign w:val="bottom"/>
          </w:tcPr>
          <w:p>
            <w:pPr>
              <w:pStyle w:val="yTableNAm"/>
              <w:jc w:val="center"/>
            </w:pPr>
            <w:r>
              <w:t>416.40</w:t>
            </w:r>
          </w:p>
        </w:tc>
      </w:tr>
      <w:tr>
        <w:trPr>
          <w:cantSplit/>
        </w:trPr>
        <w:tc>
          <w:tcPr>
            <w:tcW w:w="2961" w:type="dxa"/>
            <w:tcBorders>
              <w:bottom w:val="single" w:sz="4" w:space="0" w:color="auto"/>
            </w:tcBorders>
          </w:tcPr>
          <w:p>
            <w:pPr>
              <w:pStyle w:val="yTableNAm"/>
              <w:jc w:val="center"/>
            </w:pPr>
            <w:r>
              <w:t>4+</w:t>
            </w:r>
          </w:p>
        </w:tc>
        <w:tc>
          <w:tcPr>
            <w:tcW w:w="2961" w:type="dxa"/>
            <w:tcBorders>
              <w:bottom w:val="single" w:sz="4" w:space="0" w:color="auto"/>
            </w:tcBorders>
            <w:vAlign w:val="bottom"/>
          </w:tcPr>
          <w:p>
            <w:pPr>
              <w:pStyle w:val="yTableNAm"/>
              <w:jc w:val="center"/>
            </w:pPr>
            <w:r>
              <w:t>452.80</w:t>
            </w:r>
          </w:p>
        </w:tc>
      </w:tr>
    </w:tbl>
    <w:p>
      <w:pPr>
        <w:pStyle w:val="zyHeading5"/>
      </w:pPr>
      <w:r>
        <w:t>37.</w:t>
      </w:r>
      <w:r>
        <w:tab/>
        <w:t>Formula for quantity charge</w:t>
      </w:r>
    </w:p>
    <w:p>
      <w:pPr>
        <w:pStyle w:val="z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rStyle w:val="CharDefText"/>
        </w:rPr>
        <w:t>Q</w:t>
      </w:r>
      <w:r>
        <w:rPr>
          <w:snapToGrid w:val="0"/>
        </w:rPr>
        <w:t xml:space="preserve">) is calculated in accordance with the following formula — </w:t>
      </w:r>
    </w:p>
    <w:p>
      <w:pPr>
        <w:pStyle w:val="z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zySubsection"/>
      </w:pPr>
      <w:r>
        <w:tab/>
      </w:r>
      <w:r>
        <w:tab/>
        <w:t>nil</w:t>
      </w:r>
    </w:p>
    <w:p>
      <w:pPr>
        <w:pStyle w:val="z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z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zySubsection"/>
      </w:pPr>
      <w:r>
        <w:tab/>
      </w:r>
      <w:r>
        <w:tab/>
        <w:t xml:space="preserve">where — </w:t>
      </w:r>
    </w:p>
    <w:p>
      <w:pPr>
        <w:pStyle w:val="zyIndenta"/>
      </w:pPr>
      <w:r>
        <w:rPr>
          <w:b/>
        </w:rPr>
        <w:tab/>
        <w:t>F</w:t>
      </w:r>
      <w:r>
        <w:t xml:space="preserve"> =</w:t>
      </w:r>
      <w:r>
        <w:tab/>
        <w:t>the volume of water delivered to the property in the 2012/2013 year;</w:t>
      </w:r>
    </w:p>
    <w:p>
      <w:pPr>
        <w:pStyle w:val="zyIndenta"/>
      </w:pPr>
      <w:r>
        <w:rPr>
          <w:b/>
        </w:rPr>
        <w:tab/>
        <w:t>G</w:t>
      </w:r>
      <w:r>
        <w:t xml:space="preserve"> =</w:t>
      </w:r>
      <w:r>
        <w:tab/>
        <w:t>the discharge factor set for the property for the 2012/2013 year;</w:t>
      </w:r>
    </w:p>
    <w:p>
      <w:pPr>
        <w:pStyle w:val="zyIndenta"/>
      </w:pPr>
      <w:r>
        <w:rPr>
          <w:b/>
        </w:rPr>
        <w:lastRenderedPageBreak/>
        <w:tab/>
        <w:t>H</w:t>
      </w:r>
      <w:r>
        <w:t xml:space="preserve"> =</w:t>
      </w:r>
      <w:r>
        <w:tab/>
        <w:t>the discharge allowance for the 2012/2013 year calculated in accordance with item 38;</w:t>
      </w:r>
    </w:p>
    <w:p>
      <w:pPr>
        <w:pStyle w:val="zyIndenta"/>
      </w:pPr>
      <w:r>
        <w:rPr>
          <w:b/>
        </w:rPr>
        <w:tab/>
        <w:t>I</w:t>
      </w:r>
      <w:r>
        <w:t xml:space="preserve"> =</w:t>
      </w:r>
      <w:r>
        <w:tab/>
        <w:t>2.677,</w:t>
      </w:r>
    </w:p>
    <w:p>
      <w:pPr>
        <w:pStyle w:val="z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zyHeading5"/>
      </w:pPr>
      <w:r>
        <w:t>38.</w:t>
      </w:r>
      <w:r>
        <w:tab/>
        <w:t>Discharge allowance</w:t>
      </w:r>
    </w:p>
    <w:p>
      <w:pPr>
        <w:pStyle w:val="zySubsection"/>
        <w:rPr>
          <w:snapToGrid w:val="0"/>
        </w:rPr>
      </w:pPr>
      <w:r>
        <w:rPr>
          <w:snapToGrid w:val="0"/>
        </w:rPr>
        <w:tab/>
      </w:r>
      <w:r>
        <w:rPr>
          <w:snapToGrid w:val="0"/>
        </w:rPr>
        <w:tab/>
        <w:t xml:space="preserve">For the purposes of item 37, the discharge allowance is — </w:t>
      </w:r>
    </w:p>
    <w:p>
      <w:pPr>
        <w:pStyle w:val="z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zyIndenta"/>
      </w:pPr>
      <w:r>
        <w:tab/>
      </w:r>
      <w:r>
        <w:tab/>
        <w:t xml:space="preserve">If </w:t>
      </w:r>
      <w:r>
        <w:rPr>
          <w:b/>
        </w:rPr>
        <w:t>X</w:t>
      </w:r>
      <w:r>
        <w:t xml:space="preserve"> </w:t>
      </w:r>
      <w:r>
        <w:sym w:font="Symbol" w:char="F0A3"/>
      </w:r>
      <w:r>
        <w:t xml:space="preserve"> </w:t>
      </w:r>
      <w:r>
        <w:rPr>
          <w:b/>
        </w:rPr>
        <w:t>C</w:t>
      </w:r>
      <w:r>
        <w:t xml:space="preserve">, then — </w:t>
      </w:r>
    </w:p>
    <w:p>
      <w:pPr>
        <w:pStyle w:val="zyIndenta"/>
        <w:rPr>
          <w:b/>
        </w:rPr>
      </w:pPr>
      <w:r>
        <w:rPr>
          <w:b/>
        </w:rPr>
        <w:tab/>
      </w:r>
      <w:r>
        <w:rPr>
          <w:b/>
        </w:rPr>
        <w:tab/>
        <w:t>L</w:t>
      </w:r>
    </w:p>
    <w:p>
      <w:pPr>
        <w:pStyle w:val="zyIndenta"/>
      </w:pPr>
      <w:r>
        <w:tab/>
      </w:r>
      <w:r>
        <w:tab/>
      </w:r>
      <w:r>
        <w:rPr>
          <w:snapToGrid w:val="0"/>
        </w:rPr>
        <w:t>or</w:t>
      </w:r>
      <w:r>
        <w:t xml:space="preserve"> if </w:t>
      </w:r>
      <w:r>
        <w:rPr>
          <w:b/>
        </w:rPr>
        <w:t>X</w:t>
      </w:r>
      <w:r>
        <w:t xml:space="preserve"> &gt; </w:t>
      </w:r>
      <w:r>
        <w:rPr>
          <w:b/>
        </w:rPr>
        <w:t>C</w:t>
      </w:r>
      <w:r>
        <w:t xml:space="preserve">, then — </w:t>
      </w:r>
    </w:p>
    <w:p>
      <w:pPr>
        <w:pStyle w:val="zyIndenta"/>
      </w:pPr>
      <w:r>
        <w:rPr>
          <w:b/>
        </w:rPr>
        <w:tab/>
      </w:r>
      <w:r>
        <w:rPr>
          <w:b/>
        </w:rPr>
        <w:tab/>
        <w:t>L</w:t>
      </w:r>
      <w:r>
        <w:t xml:space="preserve"> + [(</w:t>
      </w:r>
      <w:r>
        <w:rPr>
          <w:b/>
        </w:rPr>
        <w:t>X</w:t>
      </w:r>
      <w:r>
        <w:t xml:space="preserve"> – </w:t>
      </w:r>
      <w:r>
        <w:rPr>
          <w:b/>
        </w:rPr>
        <w:t>C</w:t>
      </w:r>
      <w:r>
        <w:t xml:space="preserve">) / </w:t>
      </w:r>
      <w:r>
        <w:rPr>
          <w:b/>
        </w:rPr>
        <w:t>K</w:t>
      </w:r>
      <w:r>
        <w:t>]</w:t>
      </w:r>
    </w:p>
    <w:p>
      <w:pPr>
        <w:pStyle w:val="zyIndenta"/>
      </w:pPr>
      <w:r>
        <w:tab/>
      </w:r>
      <w:r>
        <w:tab/>
        <w:t xml:space="preserve">where — </w:t>
      </w:r>
    </w:p>
    <w:p>
      <w:pPr>
        <w:pStyle w:val="zyIndenti"/>
        <w:rPr>
          <w:snapToGrid w:val="0"/>
        </w:rPr>
      </w:pPr>
      <w:r>
        <w:rPr>
          <w:b/>
        </w:rPr>
        <w:tab/>
        <w:t>X</w:t>
      </w:r>
      <w:r>
        <w:t xml:space="preserve"> =</w:t>
      </w:r>
      <w:r>
        <w:tab/>
        <w:t xml:space="preserve">the annual charge for the 2012/2013 year calculated in </w:t>
      </w:r>
      <w:r>
        <w:rPr>
          <w:snapToGrid w:val="0"/>
        </w:rPr>
        <w:t>accordance with the formula in item 36;</w:t>
      </w:r>
    </w:p>
    <w:p>
      <w:pPr>
        <w:pStyle w:val="zyIndenti"/>
      </w:pPr>
      <w:r>
        <w:rPr>
          <w:b/>
        </w:rPr>
        <w:tab/>
        <w:t>L</w:t>
      </w:r>
      <w:r>
        <w:t xml:space="preserve"> =</w:t>
      </w:r>
      <w:r>
        <w:tab/>
        <w:t>200;</w:t>
      </w:r>
    </w:p>
    <w:p>
      <w:pPr>
        <w:pStyle w:val="zyIndenti"/>
        <w:rPr>
          <w:b/>
        </w:rPr>
      </w:pPr>
      <w:r>
        <w:rPr>
          <w:b/>
        </w:rPr>
        <w:tab/>
        <w:t>C</w:t>
      </w:r>
      <w:r>
        <w:t xml:space="preserve"> =</w:t>
      </w:r>
      <w:r>
        <w:tab/>
        <w:t xml:space="preserve">the charge payable for the relevant number of major fixtures for the 2012/2013 year as set out in the Table to item 36; </w:t>
      </w:r>
    </w:p>
    <w:p>
      <w:pPr>
        <w:pStyle w:val="zyIndenti"/>
      </w:pPr>
      <w:r>
        <w:rPr>
          <w:b/>
        </w:rPr>
        <w:tab/>
        <w:t>K</w:t>
      </w:r>
      <w:r>
        <w:t xml:space="preserve"> =</w:t>
      </w:r>
      <w:r>
        <w:tab/>
        <w:t>2.677;</w:t>
      </w:r>
    </w:p>
    <w:p>
      <w:pPr>
        <w:pStyle w:val="zyIndenta"/>
      </w:pPr>
      <w:r>
        <w:tab/>
      </w:r>
      <w:r>
        <w:tab/>
        <w:t>and</w:t>
      </w:r>
    </w:p>
    <w:p>
      <w:pPr>
        <w:pStyle w:val="z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zyIndenta"/>
      </w:pPr>
      <w:r>
        <w:rPr>
          <w:b/>
        </w:rPr>
        <w:tab/>
      </w:r>
      <w:r>
        <w:rPr>
          <w:b/>
        </w:rPr>
        <w:tab/>
        <w:t>L</w:t>
      </w:r>
      <w:r>
        <w:t xml:space="preserve"> + </w:t>
      </w:r>
      <w:r>
        <w:rPr>
          <w:b/>
        </w:rPr>
        <w:t>M</w:t>
      </w:r>
    </w:p>
    <w:p>
      <w:pPr>
        <w:pStyle w:val="zyIndenta"/>
      </w:pPr>
      <w:r>
        <w:tab/>
      </w:r>
      <w:r>
        <w:tab/>
        <w:t xml:space="preserve">where — </w:t>
      </w:r>
    </w:p>
    <w:p>
      <w:pPr>
        <w:pStyle w:val="zyIndenti"/>
      </w:pPr>
      <w:r>
        <w:rPr>
          <w:b/>
        </w:rPr>
        <w:tab/>
        <w:t>L</w:t>
      </w:r>
      <w:r>
        <w:t xml:space="preserve"> =</w:t>
      </w:r>
      <w:r>
        <w:tab/>
        <w:t>200;</w:t>
      </w:r>
    </w:p>
    <w:p>
      <w:pPr>
        <w:pStyle w:val="zyIndenti"/>
      </w:pPr>
      <w:r>
        <w:rPr>
          <w:b/>
        </w:rPr>
        <w:lastRenderedPageBreak/>
        <w:tab/>
        <w:t>M</w:t>
      </w:r>
      <w:r>
        <w:t xml:space="preserve"> =</w:t>
      </w:r>
      <w:r>
        <w:tab/>
        <w:t>75 kL of water for each long</w:t>
      </w:r>
      <w:r>
        <w:noBreakHyphen/>
        <w:t>term residential caravan bay;</w:t>
      </w:r>
    </w:p>
    <w:p>
      <w:pPr>
        <w:pStyle w:val="zyIndenta"/>
      </w:pPr>
      <w:r>
        <w:tab/>
      </w:r>
      <w:r>
        <w:tab/>
        <w:t>and</w:t>
      </w:r>
    </w:p>
    <w:p>
      <w:pPr>
        <w:pStyle w:val="zyIndenta"/>
        <w:rPr>
          <w:snapToGrid w:val="0"/>
        </w:rPr>
      </w:pPr>
      <w:r>
        <w:rPr>
          <w:snapToGrid w:val="0"/>
        </w:rPr>
        <w:tab/>
        <w:t>(c)</w:t>
      </w:r>
      <w:r>
        <w:rPr>
          <w:snapToGrid w:val="0"/>
        </w:rPr>
        <w:tab/>
        <w:t>for a nursing home referred to in item 33, 75 kL of water per bed; and</w:t>
      </w:r>
    </w:p>
    <w:p>
      <w:pPr>
        <w:pStyle w:val="zyIndenta"/>
        <w:keepNext/>
        <w:keepLines/>
        <w:rPr>
          <w:snapToGrid w:val="0"/>
        </w:rPr>
      </w:pPr>
      <w:r>
        <w:rPr>
          <w:snapToGrid w:val="0"/>
        </w:rPr>
        <w:tab/>
        <w:t>(d)</w:t>
      </w:r>
      <w:r>
        <w:rPr>
          <w:snapToGrid w:val="0"/>
        </w:rPr>
        <w:tab/>
        <w:t>for properties served through a common metered service, 200 kL of water for each property; and</w:t>
      </w:r>
    </w:p>
    <w:p>
      <w:pPr>
        <w:pStyle w:val="zIndenta"/>
        <w:rPr>
          <w:sz w:val="22"/>
          <w:szCs w:val="22"/>
        </w:rPr>
      </w:pPr>
      <w:r>
        <w:tab/>
      </w:r>
      <w:r>
        <w:rPr>
          <w:sz w:val="22"/>
          <w:szCs w:val="22"/>
        </w:rPr>
        <w:t>(e)</w:t>
      </w:r>
      <w:r>
        <w:rPr>
          <w:sz w:val="22"/>
          <w:szCs w:val="22"/>
        </w:rPr>
        <w:tab/>
        <w:t>for a non-commercial Government property, or a property held by a Government trading organisation, 200 kL of water.</w:t>
      </w:r>
    </w:p>
    <w:p>
      <w:pPr>
        <w:pStyle w:val="yFootnotesection"/>
      </w:pPr>
      <w:r>
        <w:tab/>
        <w:t>[Division 8 inserted in Gazette 20 Jun 2012 p. 2747</w:t>
      </w:r>
      <w:r>
        <w:noBreakHyphen/>
        <w:t>50.]</w:t>
      </w:r>
    </w:p>
    <w:p>
      <w:pPr>
        <w:pStyle w:val="yScheduleHeading"/>
      </w:pPr>
      <w:bookmarkStart w:id="87" w:name="_Toc84428010"/>
      <w:r>
        <w:rPr>
          <w:rStyle w:val="CharSchNo"/>
        </w:rPr>
        <w:lastRenderedPageBreak/>
        <w:t>Schedule 4</w:t>
      </w:r>
      <w:r>
        <w:t> — </w:t>
      </w:r>
      <w:r>
        <w:rPr>
          <w:rStyle w:val="CharSchText"/>
        </w:rPr>
        <w:t>Charges for drainage for 2012/2013</w:t>
      </w:r>
      <w:bookmarkEnd w:id="87"/>
    </w:p>
    <w:p>
      <w:pPr>
        <w:pStyle w:val="yShoulderClause"/>
      </w:pPr>
      <w:r>
        <w:t>[bl. 27]</w:t>
      </w:r>
    </w:p>
    <w:p>
      <w:pPr>
        <w:pStyle w:val="yFootnoteheading"/>
        <w:spacing w:after="60"/>
      </w:pPr>
      <w:r>
        <w:tab/>
        <w:t>[Heading inserted in Gazette 20 Jun 2012 p. 2750.]</w:t>
      </w:r>
    </w:p>
    <w:p>
      <w:pPr>
        <w:pStyle w:val="yHeading3"/>
      </w:pPr>
      <w:bookmarkStart w:id="88" w:name="_Toc84428011"/>
      <w:r>
        <w:rPr>
          <w:rStyle w:val="CharSDivNo"/>
        </w:rPr>
        <w:t>Division 1</w:t>
      </w:r>
      <w:r>
        <w:t> — </w:t>
      </w:r>
      <w:r>
        <w:rPr>
          <w:rStyle w:val="CharSDivText"/>
        </w:rPr>
        <w:t>Fixed charges</w:t>
      </w:r>
      <w:bookmarkEnd w:id="88"/>
    </w:p>
    <w:p>
      <w:pPr>
        <w:pStyle w:val="yFootnoteheading"/>
        <w:spacing w:after="60"/>
      </w:pPr>
      <w:r>
        <w:tab/>
        <w:t>[Heading inserted in Gazette 20 Jun 2012 p. 2750.]</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keepNext/>
              <w:keepLines/>
              <w:rPr>
                <w:b/>
              </w:rPr>
            </w:pPr>
            <w:r>
              <w:rPr>
                <w:b/>
              </w:rPr>
              <w:t>1.</w:t>
            </w:r>
          </w:p>
        </w:tc>
        <w:tc>
          <w:tcPr>
            <w:tcW w:w="5670" w:type="dxa"/>
            <w:gridSpan w:val="2"/>
          </w:tcPr>
          <w:p>
            <w:pPr>
              <w:pStyle w:val="yTableNAm"/>
              <w:keepNext/>
              <w:keepLines/>
              <w:rPr>
                <w:b/>
                <w:bCs/>
              </w:rPr>
            </w:pPr>
            <w:r>
              <w:rPr>
                <w:b/>
                <w:bCs/>
              </w:rPr>
              <w:t>Strata</w:t>
            </w:r>
            <w:r>
              <w:rPr>
                <w:b/>
                <w:bCs/>
              </w:rPr>
              <w:noBreakHyphen/>
              <w:t>titled caravan bay</w:t>
            </w:r>
          </w:p>
        </w:tc>
      </w:tr>
      <w:tr>
        <w:trPr>
          <w:cantSplit/>
        </w:trPr>
        <w:tc>
          <w:tcPr>
            <w:tcW w:w="850" w:type="dxa"/>
          </w:tcPr>
          <w:p>
            <w:pPr>
              <w:pStyle w:val="yTableNAm"/>
              <w:keepNext/>
              <w:keepLines/>
            </w:pPr>
          </w:p>
        </w:tc>
        <w:tc>
          <w:tcPr>
            <w:tcW w:w="4235" w:type="dxa"/>
          </w:tcPr>
          <w:p>
            <w:pPr>
              <w:pStyle w:val="yTableNAm"/>
              <w:keepNext/>
              <w:keepLines/>
              <w:tabs>
                <w:tab w:val="right" w:leader="dot" w:pos="4253"/>
              </w:tabs>
            </w:pPr>
            <w:r>
              <w:t xml:space="preserve">In respect of each residential property being a single caravan bay that is a lot within the meaning of the </w:t>
            </w:r>
            <w:r>
              <w:rPr>
                <w:i/>
              </w:rPr>
              <w:t>Strata Titles Act 1985</w:t>
            </w:r>
            <w:r>
              <w:t xml:space="preserve"> </w:t>
            </w:r>
            <w:r>
              <w:tab/>
            </w:r>
          </w:p>
        </w:tc>
        <w:tc>
          <w:tcPr>
            <w:tcW w:w="1435" w:type="dxa"/>
            <w:vAlign w:val="bottom"/>
          </w:tcPr>
          <w:p>
            <w:pPr>
              <w:pStyle w:val="yTableNAm"/>
              <w:keepNext/>
              <w:keepLines/>
              <w:tabs>
                <w:tab w:val="clear" w:pos="567"/>
                <w:tab w:val="left" w:pos="194"/>
              </w:tabs>
              <w:rPr>
                <w:sz w:val="20"/>
              </w:rPr>
            </w:pPr>
            <w:r>
              <w:t>$26.70</w:t>
            </w:r>
          </w:p>
        </w:tc>
      </w:tr>
      <w:tr>
        <w:trPr>
          <w:cantSplit/>
        </w:trPr>
        <w:tc>
          <w:tcPr>
            <w:tcW w:w="850" w:type="dxa"/>
          </w:tcPr>
          <w:p>
            <w:pPr>
              <w:pStyle w:val="yTableNAm"/>
              <w:rPr>
                <w:b/>
              </w:rPr>
            </w:pPr>
            <w:r>
              <w:rPr>
                <w:b/>
              </w:rPr>
              <w:t>2.</w:t>
            </w:r>
          </w:p>
        </w:tc>
        <w:tc>
          <w:tcPr>
            <w:tcW w:w="5670" w:type="dxa"/>
            <w:gridSpan w:val="2"/>
          </w:tcPr>
          <w:p>
            <w:pPr>
              <w:pStyle w:val="yTableNAm"/>
              <w:rPr>
                <w:b/>
                <w:bCs/>
              </w:rPr>
            </w:pPr>
            <w:r>
              <w:rPr>
                <w:b/>
                <w:bCs/>
              </w:rPr>
              <w:t>Strata</w:t>
            </w:r>
            <w:r>
              <w:rPr>
                <w:b/>
                <w:bCs/>
              </w:rPr>
              <w:noBreakHyphen/>
              <w:t>titled storage unit and strata</w:t>
            </w:r>
            <w:r>
              <w:rPr>
                <w:b/>
                <w:bCs/>
              </w:rPr>
              <w:noBreakHyphen/>
              <w:t>titled parking bay</w:t>
            </w:r>
          </w:p>
        </w:tc>
      </w:tr>
      <w:tr>
        <w:trPr>
          <w:cantSplit/>
        </w:trPr>
        <w:tc>
          <w:tcPr>
            <w:tcW w:w="850" w:type="dxa"/>
          </w:tcPr>
          <w:p>
            <w:pPr>
              <w:pStyle w:val="yTableNAm"/>
            </w:pPr>
          </w:p>
        </w:tc>
        <w:tc>
          <w:tcPr>
            <w:tcW w:w="4235" w:type="dxa"/>
          </w:tcPr>
          <w:p>
            <w:pPr>
              <w:pStyle w:val="yTableNAm"/>
              <w:tabs>
                <w:tab w:val="right" w:leader="dot" w:pos="4253"/>
              </w:tabs>
              <w:rPr>
                <w:iCs/>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35" w:type="dxa"/>
            <w:vAlign w:val="bottom"/>
          </w:tcPr>
          <w:p>
            <w:pPr>
              <w:pStyle w:val="yTableNAm"/>
              <w:tabs>
                <w:tab w:val="clear" w:pos="567"/>
                <w:tab w:val="left" w:pos="194"/>
              </w:tabs>
            </w:pPr>
            <w:r>
              <w:t>$9.95</w:t>
            </w:r>
          </w:p>
        </w:tc>
      </w:tr>
    </w:tbl>
    <w:p>
      <w:pPr>
        <w:pStyle w:val="yFootnotesection"/>
      </w:pPr>
      <w:r>
        <w:tab/>
        <w:t>[Division 1 inserted in Gazette 20 Jun 2012 p. 2750.]</w:t>
      </w:r>
    </w:p>
    <w:p>
      <w:pPr>
        <w:pStyle w:val="yHeading3"/>
      </w:pPr>
      <w:bookmarkStart w:id="89" w:name="_Toc84428012"/>
      <w:r>
        <w:rPr>
          <w:rStyle w:val="CharSDivNo"/>
        </w:rPr>
        <w:t>Division 2</w:t>
      </w:r>
      <w:r>
        <w:t> — </w:t>
      </w:r>
      <w:r>
        <w:rPr>
          <w:rStyle w:val="CharSDivText"/>
        </w:rPr>
        <w:t>Charges by way of rate</w:t>
      </w:r>
      <w:bookmarkEnd w:id="89"/>
    </w:p>
    <w:p>
      <w:pPr>
        <w:pStyle w:val="yFootnoteheading"/>
        <w:keepNext/>
        <w:spacing w:after="60"/>
      </w:pPr>
      <w:r>
        <w:tab/>
        <w:t>[Heading inserted in Gazette 20 Jun 2012 p. 2750.]</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keepNext/>
              <w:rPr>
                <w:b/>
              </w:rPr>
            </w:pPr>
            <w:r>
              <w:rPr>
                <w:b/>
              </w:rPr>
              <w:t>3.</w:t>
            </w:r>
          </w:p>
        </w:tc>
        <w:tc>
          <w:tcPr>
            <w:tcW w:w="5670" w:type="dxa"/>
            <w:gridSpan w:val="2"/>
          </w:tcPr>
          <w:p>
            <w:pPr>
              <w:pStyle w:val="yTableNAm"/>
              <w:keepNext/>
              <w:tabs>
                <w:tab w:val="right" w:leader="dot" w:pos="4253"/>
              </w:tabs>
              <w:rPr>
                <w:b/>
              </w:rPr>
            </w:pPr>
            <w:r>
              <w:rPr>
                <w:b/>
              </w:rPr>
              <w:t>Land in a drainage area as referred to in by</w:t>
            </w:r>
            <w:r>
              <w:rPr>
                <w:b/>
              </w:rPr>
              <w:noBreakHyphen/>
              <w:t>law 27 classified as residential or semi</w:t>
            </w:r>
            <w:r>
              <w:rPr>
                <w:b/>
              </w:rPr>
              <w:noBreakHyphen/>
              <w:t>rural residential</w:t>
            </w:r>
          </w:p>
        </w:tc>
      </w:tr>
      <w:tr>
        <w:trPr>
          <w:cantSplit/>
        </w:trPr>
        <w:tc>
          <w:tcPr>
            <w:tcW w:w="850" w:type="dxa"/>
          </w:tcPr>
          <w:p>
            <w:pPr>
              <w:pStyle w:val="yTableNAm"/>
            </w:pPr>
          </w:p>
        </w:tc>
        <w:tc>
          <w:tcPr>
            <w:tcW w:w="4236" w:type="dxa"/>
          </w:tcPr>
          <w:p>
            <w:pPr>
              <w:pStyle w:val="yTableNAm"/>
              <w:tabs>
                <w:tab w:val="right" w:leader="dot" w:pos="4253"/>
              </w:tabs>
            </w:pPr>
            <w:r>
              <w:t>In respect of all land in a drainage area as referred to in by</w:t>
            </w:r>
            <w:r>
              <w:noBreakHyphen/>
              <w:t>law 27 that is classified as residential or semi</w:t>
            </w:r>
            <w:r>
              <w:noBreakHyphen/>
              <w:t xml:space="preserve">rural residential land </w:t>
            </w:r>
            <w:r>
              <w:tab/>
            </w:r>
          </w:p>
        </w:tc>
        <w:tc>
          <w:tcPr>
            <w:tcW w:w="1434" w:type="dxa"/>
            <w:vAlign w:val="bottom"/>
          </w:tcPr>
          <w:p>
            <w:pPr>
              <w:pStyle w:val="yTableNAm"/>
              <w:tabs>
                <w:tab w:val="left" w:pos="194"/>
                <w:tab w:val="right" w:leader="dot" w:pos="4253"/>
              </w:tabs>
            </w:pPr>
            <w:r>
              <w:br/>
            </w:r>
            <w:r>
              <w:br/>
              <w:t>0.514 cents/</w:t>
            </w:r>
            <w:r>
              <w:br/>
              <w:t>$ of GRV</w:t>
            </w:r>
          </w:p>
        </w:tc>
      </w:tr>
      <w:tr>
        <w:trPr>
          <w:cantSplit/>
        </w:trPr>
        <w:tc>
          <w:tcPr>
            <w:tcW w:w="850" w:type="dxa"/>
          </w:tcPr>
          <w:p>
            <w:pPr>
              <w:pStyle w:val="yTableNAm"/>
            </w:pPr>
          </w:p>
        </w:tc>
        <w:tc>
          <w:tcPr>
            <w:tcW w:w="4236" w:type="dxa"/>
          </w:tcPr>
          <w:p>
            <w:pPr>
              <w:pStyle w:val="yTableNAm"/>
              <w:tabs>
                <w:tab w:val="right" w:leader="dot" w:pos="4253"/>
              </w:tabs>
            </w:pPr>
            <w:r>
              <w:t xml:space="preserve">subject to a minimum in respect of any land the subject of a separate assessment of </w:t>
            </w:r>
            <w:r>
              <w:tab/>
            </w:r>
          </w:p>
        </w:tc>
        <w:tc>
          <w:tcPr>
            <w:tcW w:w="1434" w:type="dxa"/>
            <w:vAlign w:val="bottom"/>
          </w:tcPr>
          <w:p>
            <w:pPr>
              <w:pStyle w:val="yTableNAm"/>
              <w:tabs>
                <w:tab w:val="left" w:pos="194"/>
                <w:tab w:val="right" w:leader="dot" w:pos="4253"/>
              </w:tabs>
            </w:pPr>
            <w:r>
              <w:t>$88.30</w:t>
            </w:r>
          </w:p>
        </w:tc>
      </w:tr>
      <w:tr>
        <w:trPr>
          <w:cantSplit/>
        </w:trPr>
        <w:tc>
          <w:tcPr>
            <w:tcW w:w="850" w:type="dxa"/>
          </w:tcPr>
          <w:p>
            <w:pPr>
              <w:pStyle w:val="yTableNAm"/>
              <w:keepNext/>
              <w:rPr>
                <w:b/>
              </w:rPr>
            </w:pPr>
            <w:r>
              <w:rPr>
                <w:b/>
              </w:rPr>
              <w:lastRenderedPageBreak/>
              <w:t>4.</w:t>
            </w:r>
          </w:p>
        </w:tc>
        <w:tc>
          <w:tcPr>
            <w:tcW w:w="5670" w:type="dxa"/>
            <w:gridSpan w:val="2"/>
          </w:tcPr>
          <w:p>
            <w:pPr>
              <w:pStyle w:val="yTableNAm"/>
              <w:keepNext/>
              <w:keepLines/>
              <w:tabs>
                <w:tab w:val="right" w:leader="dot" w:pos="4253"/>
              </w:tabs>
              <w:rPr>
                <w:b/>
                <w:bCs/>
              </w:rPr>
            </w:pPr>
            <w:r>
              <w:rPr>
                <w:b/>
                <w:bCs/>
              </w:rPr>
              <w:t>Land in a drainage area classified as vacant land</w:t>
            </w:r>
          </w:p>
        </w:tc>
      </w:tr>
      <w:tr>
        <w:trPr>
          <w:cantSplit/>
        </w:trPr>
        <w:tc>
          <w:tcPr>
            <w:tcW w:w="850" w:type="dxa"/>
          </w:tcPr>
          <w:p>
            <w:pPr>
              <w:pStyle w:val="yTableNAm"/>
              <w:keepNext/>
              <w:keepLines/>
              <w:tabs>
                <w:tab w:val="right" w:leader="dot" w:pos="4253"/>
              </w:tabs>
            </w:pPr>
          </w:p>
        </w:tc>
        <w:tc>
          <w:tcPr>
            <w:tcW w:w="4236" w:type="dxa"/>
          </w:tcPr>
          <w:p>
            <w:pPr>
              <w:pStyle w:val="yTableNAm"/>
              <w:keepNext/>
              <w:keepLines/>
              <w:tabs>
                <w:tab w:val="right" w:leader="dot" w:pos="4253"/>
              </w:tabs>
            </w:pPr>
            <w:r>
              <w:t xml:space="preserve">In respect of all land in a drainage area classified as vacant land </w:t>
            </w:r>
            <w:r>
              <w:tab/>
            </w:r>
          </w:p>
        </w:tc>
        <w:tc>
          <w:tcPr>
            <w:tcW w:w="1434" w:type="dxa"/>
            <w:vAlign w:val="bottom"/>
          </w:tcPr>
          <w:p>
            <w:pPr>
              <w:pStyle w:val="yTableNAm"/>
              <w:keepNext/>
              <w:keepLines/>
              <w:tabs>
                <w:tab w:val="left" w:pos="194"/>
                <w:tab w:val="right" w:leader="dot" w:pos="4253"/>
              </w:tabs>
              <w:rPr>
                <w:sz w:val="20"/>
              </w:rPr>
            </w:pPr>
            <w:r>
              <w:br/>
            </w:r>
            <w:r>
              <w:br/>
              <w:t>0.687 cents/</w:t>
            </w:r>
            <w:r>
              <w:br/>
              <w:t>$ of GRV</w:t>
            </w:r>
          </w:p>
        </w:tc>
      </w:tr>
      <w:tr>
        <w:trPr>
          <w:cantSplit/>
        </w:trPr>
        <w:tc>
          <w:tcPr>
            <w:tcW w:w="850" w:type="dxa"/>
          </w:tcPr>
          <w:p>
            <w:pPr>
              <w:pStyle w:val="yTableNAm"/>
              <w:tabs>
                <w:tab w:val="right" w:leader="dot" w:pos="4253"/>
              </w:tabs>
            </w:pPr>
          </w:p>
        </w:tc>
        <w:tc>
          <w:tcPr>
            <w:tcW w:w="4236" w:type="dxa"/>
          </w:tcPr>
          <w:p>
            <w:pPr>
              <w:pStyle w:val="yTableNAm"/>
              <w:keepNext/>
              <w:keepLines/>
              <w:tabs>
                <w:tab w:val="right" w:leader="dot" w:pos="4253"/>
              </w:tabs>
            </w:pPr>
            <w:r>
              <w:t xml:space="preserve">subject to a minimum in respect of any land the subject of a separate assessment of </w:t>
            </w:r>
            <w:r>
              <w:tab/>
            </w:r>
          </w:p>
        </w:tc>
        <w:tc>
          <w:tcPr>
            <w:tcW w:w="1434" w:type="dxa"/>
            <w:vAlign w:val="bottom"/>
          </w:tcPr>
          <w:p>
            <w:pPr>
              <w:pStyle w:val="yTableNAm"/>
              <w:keepNext/>
              <w:keepLines/>
              <w:tabs>
                <w:tab w:val="left" w:pos="194"/>
                <w:tab w:val="right" w:leader="dot" w:pos="4253"/>
              </w:tabs>
              <w:rPr>
                <w:sz w:val="20"/>
              </w:rPr>
            </w:pPr>
            <w:r>
              <w:t>$88.30</w:t>
            </w:r>
          </w:p>
        </w:tc>
      </w:tr>
      <w:tr>
        <w:trPr>
          <w:cantSplit/>
        </w:trPr>
        <w:tc>
          <w:tcPr>
            <w:tcW w:w="850" w:type="dxa"/>
          </w:tcPr>
          <w:p>
            <w:pPr>
              <w:pStyle w:val="yTableNAm"/>
              <w:rPr>
                <w:b/>
              </w:rPr>
            </w:pPr>
            <w:r>
              <w:rPr>
                <w:b/>
              </w:rPr>
              <w:t>5.</w:t>
            </w:r>
          </w:p>
        </w:tc>
        <w:tc>
          <w:tcPr>
            <w:tcW w:w="5670" w:type="dxa"/>
            <w:gridSpan w:val="2"/>
          </w:tcPr>
          <w:p>
            <w:pPr>
              <w:pStyle w:val="yTableNAm"/>
              <w:tabs>
                <w:tab w:val="right" w:leader="dot" w:pos="4253"/>
              </w:tabs>
              <w:rPr>
                <w:b/>
                <w:bCs/>
              </w:rPr>
            </w:pPr>
            <w:r>
              <w:rPr>
                <w:b/>
                <w:bCs/>
              </w:rPr>
              <w:t>Land in a drainage area as referred to in by</w:t>
            </w:r>
            <w:r>
              <w:rPr>
                <w:b/>
                <w:bCs/>
              </w:rPr>
              <w:noBreakHyphen/>
              <w:t>law 27 other than land to which item 1, 2, 3 or 4 applies</w:t>
            </w:r>
          </w:p>
        </w:tc>
      </w:tr>
      <w:tr>
        <w:trPr>
          <w:cantSplit/>
        </w:trPr>
        <w:tc>
          <w:tcPr>
            <w:tcW w:w="850" w:type="dxa"/>
          </w:tcPr>
          <w:p>
            <w:pPr>
              <w:pStyle w:val="yTableNAm"/>
              <w:tabs>
                <w:tab w:val="right" w:leader="dot" w:pos="4253"/>
              </w:tabs>
            </w:pPr>
          </w:p>
        </w:tc>
        <w:tc>
          <w:tcPr>
            <w:tcW w:w="4236" w:type="dxa"/>
          </w:tcPr>
          <w:p>
            <w:pPr>
              <w:pStyle w:val="yTableNAm"/>
              <w:tabs>
                <w:tab w:val="right" w:leader="dot" w:pos="4253"/>
              </w:tabs>
            </w:pPr>
            <w:r>
              <w:t>In respect of all land in a drainage area as referred to in by</w:t>
            </w:r>
            <w:r>
              <w:noBreakHyphen/>
              <w:t xml:space="preserve">law 27 other than land to which item 1, 2, 3 or 4 applies </w:t>
            </w:r>
            <w:r>
              <w:tab/>
            </w:r>
          </w:p>
        </w:tc>
        <w:tc>
          <w:tcPr>
            <w:tcW w:w="1434" w:type="dxa"/>
            <w:vAlign w:val="bottom"/>
          </w:tcPr>
          <w:p>
            <w:pPr>
              <w:pStyle w:val="yTableNAm"/>
              <w:tabs>
                <w:tab w:val="left" w:pos="194"/>
                <w:tab w:val="right" w:leader="dot" w:pos="4253"/>
              </w:tabs>
              <w:rPr>
                <w:sz w:val="20"/>
              </w:rPr>
            </w:pPr>
            <w:r>
              <w:br/>
            </w:r>
            <w:r>
              <w:br/>
              <w:t>0.268 cents/</w:t>
            </w:r>
            <w:r>
              <w:br/>
              <w:t>$ of GRV</w:t>
            </w:r>
          </w:p>
        </w:tc>
      </w:tr>
      <w:tr>
        <w:trPr>
          <w:cantSplit/>
        </w:trPr>
        <w:tc>
          <w:tcPr>
            <w:tcW w:w="850" w:type="dxa"/>
          </w:tcPr>
          <w:p>
            <w:pPr>
              <w:pStyle w:val="yTableNAm"/>
              <w:keepNext/>
              <w:keepLines/>
              <w:tabs>
                <w:tab w:val="right" w:leader="dot" w:pos="4253"/>
              </w:tabs>
            </w:pPr>
          </w:p>
        </w:tc>
        <w:tc>
          <w:tcPr>
            <w:tcW w:w="4236" w:type="dxa"/>
          </w:tcPr>
          <w:p>
            <w:pPr>
              <w:pStyle w:val="yTableNAm"/>
              <w:keepNext/>
              <w:keepLines/>
              <w:tabs>
                <w:tab w:val="right" w:leader="dot" w:pos="4253"/>
              </w:tabs>
            </w:pPr>
            <w:r>
              <w:t xml:space="preserve">subject to a minimum in respect of any land the subject of a separate assessment of </w:t>
            </w:r>
            <w:r>
              <w:tab/>
            </w:r>
          </w:p>
        </w:tc>
        <w:tc>
          <w:tcPr>
            <w:tcW w:w="1434" w:type="dxa"/>
            <w:vAlign w:val="bottom"/>
          </w:tcPr>
          <w:p>
            <w:pPr>
              <w:pStyle w:val="yTableNAm"/>
              <w:keepNext/>
              <w:keepLines/>
              <w:tabs>
                <w:tab w:val="left" w:pos="194"/>
                <w:tab w:val="right" w:leader="dot" w:pos="4253"/>
              </w:tabs>
              <w:rPr>
                <w:sz w:val="20"/>
              </w:rPr>
            </w:pPr>
            <w:r>
              <w:t>$88.30</w:t>
            </w:r>
          </w:p>
        </w:tc>
      </w:tr>
    </w:tbl>
    <w:p>
      <w:pPr>
        <w:pStyle w:val="yFootnotesection"/>
      </w:pPr>
      <w:r>
        <w:tab/>
        <w:t>[Division 2 inserted in Gazette 20 Jun 2012 p. 2750</w:t>
      </w:r>
      <w:r>
        <w:noBreakHyphen/>
        <w:t>1.]</w:t>
      </w:r>
    </w:p>
    <w:p>
      <w:pPr>
        <w:pStyle w:val="yScheduleHeading"/>
      </w:pPr>
      <w:bookmarkStart w:id="90" w:name="_Toc84428013"/>
      <w:r>
        <w:rPr>
          <w:rStyle w:val="CharSchNo"/>
        </w:rPr>
        <w:lastRenderedPageBreak/>
        <w:t>Schedule 5</w:t>
      </w:r>
      <w:r>
        <w:t> — </w:t>
      </w:r>
      <w:r>
        <w:rPr>
          <w:rStyle w:val="CharSchText"/>
        </w:rPr>
        <w:t>Charges for irrigation for 2012/2013</w:t>
      </w:r>
      <w:bookmarkEnd w:id="90"/>
    </w:p>
    <w:p>
      <w:pPr>
        <w:pStyle w:val="yShoulderClause"/>
      </w:pPr>
      <w:r>
        <w:t>[bl. 31]</w:t>
      </w:r>
    </w:p>
    <w:p>
      <w:pPr>
        <w:pStyle w:val="yFootnoteheading"/>
        <w:spacing w:after="60"/>
      </w:pPr>
      <w:r>
        <w:tab/>
        <w:t>[Heading inserted in Gazette 20 Jun 2012 p. 2751.]</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tabs>
                <w:tab w:val="right" w:leader="dot" w:pos="4253"/>
              </w:tabs>
              <w:rPr>
                <w:b/>
              </w:rPr>
            </w:pPr>
            <w:r>
              <w:rPr>
                <w:b/>
              </w:rPr>
              <w:t>1.</w:t>
            </w:r>
          </w:p>
        </w:tc>
        <w:tc>
          <w:tcPr>
            <w:tcW w:w="5670" w:type="dxa"/>
            <w:gridSpan w:val="2"/>
          </w:tcPr>
          <w:p>
            <w:pPr>
              <w:pStyle w:val="yTableNAm"/>
              <w:tabs>
                <w:tab w:val="right" w:leader="dot" w:pos="4253"/>
              </w:tabs>
              <w:rPr>
                <w:b/>
                <w:bCs/>
              </w:rPr>
            </w:pPr>
            <w:r>
              <w:rPr>
                <w:b/>
                <w:bCs/>
              </w:rPr>
              <w:t>Ord Irrigation District</w:t>
            </w:r>
          </w:p>
        </w:tc>
      </w:tr>
      <w:tr>
        <w:trPr>
          <w:cantSplit/>
        </w:trPr>
        <w:tc>
          <w:tcPr>
            <w:tcW w:w="850" w:type="dxa"/>
          </w:tcPr>
          <w:p>
            <w:pPr>
              <w:pStyle w:val="yTableNAm"/>
              <w:tabs>
                <w:tab w:val="right" w:leader="dot" w:pos="4253"/>
              </w:tabs>
            </w:pPr>
          </w:p>
        </w:tc>
        <w:tc>
          <w:tcPr>
            <w:tcW w:w="4235" w:type="dxa"/>
          </w:tcPr>
          <w:p>
            <w:pPr>
              <w:pStyle w:val="yTableNAm"/>
              <w:tabs>
                <w:tab w:val="right" w:leader="dot" w:pos="4253"/>
              </w:tabs>
            </w:pPr>
            <w:r>
              <w:t xml:space="preserve">Charges by way of rate for land in the Ord Irrigation District where under the </w:t>
            </w:r>
            <w:r>
              <w:rPr>
                <w:i/>
              </w:rPr>
              <w:t>Ord Irrigation District By</w:t>
            </w:r>
            <w:r>
              <w:rPr>
                <w:i/>
              </w:rPr>
              <w:noBreakHyphen/>
              <w:t>laws 1963</w:t>
            </w:r>
            <w:r>
              <w:t xml:space="preserve"> by</w:t>
            </w:r>
            <w:r>
              <w:noBreakHyphen/>
              <w:t>law 31A, the land is irrigated by pumping from works, an amount per hectare of land so irrigated of —</w:t>
            </w:r>
          </w:p>
        </w:tc>
        <w:tc>
          <w:tcPr>
            <w:tcW w:w="1435" w:type="dxa"/>
          </w:tcPr>
          <w:p>
            <w:pPr>
              <w:pStyle w:val="yTableNAm"/>
              <w:tabs>
                <w:tab w:val="right" w:leader="dot" w:pos="4253"/>
              </w:tabs>
              <w:rPr>
                <w:sz w:val="20"/>
              </w:rPr>
            </w:pPr>
          </w:p>
        </w:tc>
      </w:tr>
      <w:tr>
        <w:trPr>
          <w:cantSplit/>
        </w:trPr>
        <w:tc>
          <w:tcPr>
            <w:tcW w:w="850" w:type="dxa"/>
          </w:tcPr>
          <w:p>
            <w:pPr>
              <w:pStyle w:val="yTableNAm"/>
              <w:tabs>
                <w:tab w:val="right" w:leader="dot" w:pos="4253"/>
              </w:tabs>
            </w:pPr>
          </w:p>
        </w:tc>
        <w:tc>
          <w:tcPr>
            <w:tcW w:w="4235" w:type="dxa"/>
          </w:tcPr>
          <w:p>
            <w:pPr>
              <w:pStyle w:val="yTableNAm"/>
              <w:tabs>
                <w:tab w:val="clear" w:pos="567"/>
                <w:tab w:val="left" w:pos="317"/>
                <w:tab w:val="left" w:pos="743"/>
                <w:tab w:val="right" w:leader="dot" w:pos="4253"/>
              </w:tabs>
              <w:ind w:left="743" w:hanging="743"/>
            </w:pPr>
            <w:r>
              <w:tab/>
              <w:t>(a)</w:t>
            </w:r>
            <w:r>
              <w:tab/>
              <w:t xml:space="preserve">where the supply is assured </w:t>
            </w:r>
            <w:r>
              <w:tab/>
            </w:r>
          </w:p>
        </w:tc>
        <w:tc>
          <w:tcPr>
            <w:tcW w:w="1435" w:type="dxa"/>
          </w:tcPr>
          <w:p>
            <w:pPr>
              <w:pStyle w:val="yTableNAm"/>
              <w:tabs>
                <w:tab w:val="right" w:leader="dot" w:pos="4253"/>
              </w:tabs>
            </w:pPr>
            <w:r>
              <w:t>$139.00</w:t>
            </w:r>
          </w:p>
        </w:tc>
      </w:tr>
      <w:tr>
        <w:trPr>
          <w:cantSplit/>
        </w:trPr>
        <w:tc>
          <w:tcPr>
            <w:tcW w:w="850" w:type="dxa"/>
          </w:tcPr>
          <w:p>
            <w:pPr>
              <w:pStyle w:val="yTableNAm"/>
              <w:tabs>
                <w:tab w:val="right" w:leader="dot" w:pos="4253"/>
              </w:tabs>
            </w:pPr>
          </w:p>
        </w:tc>
        <w:tc>
          <w:tcPr>
            <w:tcW w:w="4235" w:type="dxa"/>
          </w:tcPr>
          <w:p>
            <w:pPr>
              <w:pStyle w:val="yTableNAm"/>
              <w:tabs>
                <w:tab w:val="clear" w:pos="567"/>
                <w:tab w:val="left" w:pos="317"/>
                <w:tab w:val="left" w:pos="743"/>
                <w:tab w:val="right" w:leader="dot" w:pos="4253"/>
              </w:tabs>
              <w:ind w:left="743" w:hanging="743"/>
            </w:pPr>
            <w:r>
              <w:tab/>
              <w:t>(b)</w:t>
            </w:r>
            <w:r>
              <w:tab/>
              <w:t xml:space="preserve">where the supply is not assured </w:t>
            </w:r>
            <w:r>
              <w:tab/>
            </w:r>
          </w:p>
        </w:tc>
        <w:tc>
          <w:tcPr>
            <w:tcW w:w="1435" w:type="dxa"/>
          </w:tcPr>
          <w:p>
            <w:pPr>
              <w:pStyle w:val="yTableNAm"/>
              <w:tabs>
                <w:tab w:val="right" w:leader="dot" w:pos="4253"/>
              </w:tabs>
            </w:pPr>
            <w:r>
              <w:t>$105.00</w:t>
            </w:r>
          </w:p>
        </w:tc>
      </w:tr>
    </w:tbl>
    <w:p>
      <w:pPr>
        <w:pStyle w:val="yFootnotesection"/>
      </w:pPr>
      <w:r>
        <w:tab/>
        <w:t>[Schedule 5 inserted in Gazette 20 Jun 2012 p. 2751.]</w:t>
      </w:r>
    </w:p>
    <w:p>
      <w:pPr>
        <w:pStyle w:val="yScheduleHeading"/>
        <w:outlineLvl w:val="0"/>
      </w:pPr>
      <w:bookmarkStart w:id="91" w:name="_Toc84428014"/>
      <w:r>
        <w:rPr>
          <w:rStyle w:val="CharSchNo"/>
        </w:rPr>
        <w:lastRenderedPageBreak/>
        <w:t>Schedule 6</w:t>
      </w:r>
      <w:r>
        <w:t xml:space="preserve"> — </w:t>
      </w:r>
      <w:r>
        <w:rPr>
          <w:rStyle w:val="CharSchText"/>
        </w:rPr>
        <w:t>Formula for calculating AGRV</w:t>
      </w:r>
      <w:bookmarkEnd w:id="91"/>
    </w:p>
    <w:p>
      <w:pPr>
        <w:pStyle w:val="yShoulderClause"/>
      </w:pPr>
      <w:r>
        <w:t>[bl. 14(2) and 24(2)]</w:t>
      </w:r>
    </w:p>
    <w:p>
      <w:pPr>
        <w:pStyle w:val="yFootnotesection"/>
      </w:pPr>
      <w:r>
        <w:tab/>
        <w:t>[Heading inserted in Gazette 29 Jun 2001 p. 3224.]</w:t>
      </w:r>
    </w:p>
    <w:p>
      <w:pPr>
        <w:pStyle w:val="yHeading5"/>
      </w:pPr>
      <w:bookmarkStart w:id="92" w:name="_Toc84428015"/>
      <w:r>
        <w:rPr>
          <w:rStyle w:val="CharSClsNo"/>
        </w:rPr>
        <w:t>1</w:t>
      </w:r>
      <w:r>
        <w:t>.</w:t>
      </w:r>
      <w:r>
        <w:tab/>
        <w:t>Term used: relevant general valuation</w:t>
      </w:r>
      <w:bookmarkEnd w:id="92"/>
    </w:p>
    <w:p>
      <w:pPr>
        <w:pStyle w:val="ySubsection"/>
      </w:pPr>
      <w:r>
        <w:tab/>
      </w:r>
      <w:r>
        <w:tab/>
        <w:t>In this Schedule —</w:t>
      </w:r>
    </w:p>
    <w:p>
      <w:pPr>
        <w:pStyle w:val="yDefstart"/>
      </w:pPr>
      <w:r>
        <w:tab/>
      </w:r>
      <w:r>
        <w:rPr>
          <w:rStyle w:val="CharDefText"/>
        </w:rPr>
        <w:t>relevant general valuation</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t>before the commencement of the period for which the charge is to be imposed.</w:t>
      </w:r>
    </w:p>
    <w:p>
      <w:pPr>
        <w:pStyle w:val="yHeading5"/>
      </w:pPr>
      <w:bookmarkStart w:id="93" w:name="_Toc84428016"/>
      <w:r>
        <w:rPr>
          <w:rStyle w:val="CharSClsNo"/>
        </w:rPr>
        <w:t>2</w:t>
      </w:r>
      <w:r>
        <w:t>.</w:t>
      </w:r>
      <w:r>
        <w:tab/>
        <w:t>Formula for calculating AGRV</w:t>
      </w:r>
      <w:bookmarkEnd w:id="93"/>
    </w:p>
    <w:p>
      <w:pPr>
        <w:pStyle w:val="ySubsection"/>
      </w:pPr>
      <w:r>
        <w:tab/>
      </w:r>
      <w:r>
        <w:tab/>
        <w:t>If the relevant general valuation was conducted in the previous year, then —</w:t>
      </w:r>
    </w:p>
    <w:p>
      <w:pPr>
        <w:pStyle w:val="ySubsection"/>
        <w:rPr>
          <w:b/>
          <w:bCs/>
        </w:rPr>
      </w:pPr>
      <w:r>
        <w:tab/>
      </w:r>
      <w:r>
        <w:tab/>
      </w:r>
      <w:r>
        <w:rPr>
          <w:b/>
          <w:bCs/>
        </w:rPr>
        <w:t xml:space="preserve">AGRV = GRV </w:t>
      </w:r>
      <w:r>
        <w:rPr>
          <w:b/>
          <w:bCs/>
        </w:rPr>
        <w:sym w:font="Symbol" w:char="F0B4"/>
      </w:r>
      <w:r>
        <w:rPr>
          <w:b/>
          <w:bCs/>
        </w:rPr>
        <w:t xml:space="preserve"> A</w:t>
      </w:r>
    </w:p>
    <w:p>
      <w:pPr>
        <w:pStyle w:val="ySubsection"/>
      </w:pPr>
      <w:r>
        <w:tab/>
      </w:r>
      <w:r>
        <w:tab/>
        <w:t>or if the relevant general valuation was conducted in any earlier year —</w:t>
      </w:r>
    </w:p>
    <w:p>
      <w:pPr>
        <w:pStyle w:val="ySubsection"/>
        <w:rPr>
          <w:b/>
          <w:bCs/>
        </w:rPr>
      </w:pPr>
      <w:r>
        <w:tab/>
      </w:r>
      <w:r>
        <w:tab/>
      </w:r>
      <w:r>
        <w:rPr>
          <w:b/>
          <w:bCs/>
        </w:rPr>
        <w:t xml:space="preserve">AGRV = GRV </w:t>
      </w:r>
      <w:r>
        <w:rPr>
          <w:b/>
          <w:bCs/>
        </w:rPr>
        <w:sym w:font="Symbol" w:char="F0B4"/>
      </w:r>
      <w:r>
        <w:rPr>
          <w:b/>
          <w:bCs/>
        </w:rPr>
        <w:t xml:space="preserve"> A </w:t>
      </w:r>
      <w:r>
        <w:rPr>
          <w:b/>
          <w:bCs/>
        </w:rPr>
        <w:sym w:font="Symbol" w:char="F0B4"/>
      </w:r>
      <w:r>
        <w:rPr>
          <w:b/>
          <w:bCs/>
        </w:rPr>
        <w:t xml:space="preserve"> B</w:t>
      </w:r>
    </w:p>
    <w:p>
      <w:pPr>
        <w:pStyle w:val="ySubsection"/>
      </w:pPr>
      <w:r>
        <w:tab/>
      </w:r>
      <w:r>
        <w:tab/>
        <w:t>where —</w:t>
      </w:r>
    </w:p>
    <w:p>
      <w:pPr>
        <w:pStyle w:val="yIndenta"/>
      </w:pPr>
      <w:r>
        <w:rPr>
          <w:b/>
        </w:rPr>
        <w:tab/>
        <w:t xml:space="preserve">A  </w:t>
      </w:r>
      <w:r>
        <w:t>=</w:t>
      </w:r>
      <w:r>
        <w:tab/>
        <w:t>1.00; and</w:t>
      </w:r>
    </w:p>
    <w:p>
      <w:pPr>
        <w:pStyle w:val="yIndenta"/>
      </w:pPr>
      <w:r>
        <w:rPr>
          <w:b/>
        </w:rPr>
        <w:tab/>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sectPr>
          <w:headerReference w:type="even" r:id="rId27"/>
          <w:headerReference w:type="default" r:id="rId28"/>
          <w:headerReference w:type="first" r:id="rId29"/>
          <w:pgSz w:w="11907" w:h="16840" w:code="9"/>
          <w:pgMar w:top="2604" w:right="2405" w:bottom="3542" w:left="2405" w:header="706" w:footer="3380" w:gutter="0"/>
          <w:cols w:space="720"/>
          <w:noEndnote/>
          <w:docGrid w:linePitch="326"/>
        </w:sectPr>
      </w:pPr>
    </w:p>
    <w:p>
      <w:pPr>
        <w:pStyle w:val="yScheduleHeading"/>
      </w:pPr>
      <w:bookmarkStart w:id="94" w:name="_Toc84428017"/>
      <w:r>
        <w:rPr>
          <w:rStyle w:val="CharSchNo"/>
        </w:rPr>
        <w:lastRenderedPageBreak/>
        <w:t>Schedule 7</w:t>
      </w:r>
      <w:r>
        <w:t> — </w:t>
      </w:r>
      <w:r>
        <w:rPr>
          <w:rStyle w:val="CharSchText"/>
        </w:rPr>
        <w:t>Discounts and additional charges</w:t>
      </w:r>
      <w:bookmarkEnd w:id="94"/>
    </w:p>
    <w:p>
      <w:pPr>
        <w:pStyle w:val="yShoulderClause"/>
      </w:pPr>
      <w:r>
        <w:t>[bl. 7, 8, 8A and 9]</w:t>
      </w:r>
    </w:p>
    <w:p>
      <w:pPr>
        <w:pStyle w:val="yFootnoteheading"/>
        <w:spacing w:after="60"/>
      </w:pPr>
      <w:r>
        <w:tab/>
        <w:t>[Heading inserted in Gazette 20 Jun 2012 p. 2752.]</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tabs>
                <w:tab w:val="right" w:leader="dot" w:pos="4253"/>
              </w:tabs>
              <w:rPr>
                <w:b/>
              </w:rPr>
            </w:pPr>
            <w:r>
              <w:rPr>
                <w:b/>
              </w:rPr>
              <w:t>1.</w:t>
            </w:r>
          </w:p>
        </w:tc>
        <w:tc>
          <w:tcPr>
            <w:tcW w:w="5670" w:type="dxa"/>
            <w:gridSpan w:val="2"/>
          </w:tcPr>
          <w:p>
            <w:pPr>
              <w:pStyle w:val="yTableNAm"/>
              <w:keepNext/>
              <w:keepLines/>
              <w:tabs>
                <w:tab w:val="right" w:leader="dot" w:pos="4253"/>
              </w:tabs>
              <w:rPr>
                <w:b/>
                <w:bCs/>
              </w:rPr>
            </w:pPr>
            <w:r>
              <w:rPr>
                <w:b/>
                <w:bCs/>
              </w:rPr>
              <w:t>Discount</w:t>
            </w:r>
          </w:p>
        </w:tc>
      </w:tr>
      <w:tr>
        <w:tc>
          <w:tcPr>
            <w:tcW w:w="850" w:type="dxa"/>
          </w:tcPr>
          <w:p>
            <w:pPr>
              <w:pStyle w:val="yTableNAm"/>
              <w:tabs>
                <w:tab w:val="right" w:leader="dot" w:pos="4253"/>
              </w:tabs>
            </w:pPr>
          </w:p>
        </w:tc>
        <w:tc>
          <w:tcPr>
            <w:tcW w:w="4235" w:type="dxa"/>
          </w:tcPr>
          <w:p>
            <w:pPr>
              <w:pStyle w:val="yTableNAm"/>
              <w:keepNext/>
              <w:keepLines/>
              <w:tabs>
                <w:tab w:val="right" w:leader="dot" w:pos="4253"/>
              </w:tabs>
            </w:pPr>
            <w:r>
              <w:t>By</w:t>
            </w:r>
            <w:r>
              <w:noBreakHyphen/>
              <w:t xml:space="preserve">law 7(4)(a)(i) </w:t>
            </w:r>
            <w:r>
              <w:tab/>
            </w:r>
          </w:p>
        </w:tc>
        <w:tc>
          <w:tcPr>
            <w:tcW w:w="1435" w:type="dxa"/>
          </w:tcPr>
          <w:p>
            <w:pPr>
              <w:pStyle w:val="yTableNAm"/>
              <w:keepNext/>
              <w:keepLines/>
              <w:tabs>
                <w:tab w:val="right" w:leader="dot" w:pos="4253"/>
              </w:tabs>
            </w:pPr>
            <w:r>
              <w:t>$1.50</w:t>
            </w:r>
          </w:p>
        </w:tc>
      </w:tr>
      <w:tr>
        <w:tc>
          <w:tcPr>
            <w:tcW w:w="850" w:type="dxa"/>
          </w:tcPr>
          <w:p>
            <w:pPr>
              <w:pStyle w:val="yTableNAm"/>
              <w:tabs>
                <w:tab w:val="right" w:leader="dot" w:pos="4253"/>
              </w:tabs>
              <w:rPr>
                <w:b/>
              </w:rPr>
            </w:pPr>
            <w:r>
              <w:rPr>
                <w:b/>
              </w:rPr>
              <w:t>2.</w:t>
            </w:r>
          </w:p>
        </w:tc>
        <w:tc>
          <w:tcPr>
            <w:tcW w:w="4235" w:type="dxa"/>
          </w:tcPr>
          <w:p>
            <w:pPr>
              <w:pStyle w:val="yTableNAm"/>
              <w:tabs>
                <w:tab w:val="right" w:leader="dot" w:pos="4253"/>
              </w:tabs>
              <w:rPr>
                <w:b/>
                <w:bCs/>
              </w:rPr>
            </w:pPr>
            <w:r>
              <w:rPr>
                <w:b/>
                <w:bCs/>
              </w:rPr>
              <w:t>Additional charges</w:t>
            </w:r>
          </w:p>
        </w:tc>
        <w:tc>
          <w:tcPr>
            <w:tcW w:w="1435" w:type="dxa"/>
          </w:tcPr>
          <w:p>
            <w:pPr>
              <w:pStyle w:val="yTableNAm"/>
              <w:tabs>
                <w:tab w:val="right" w:leader="dot" w:pos="4253"/>
              </w:tabs>
              <w:rPr>
                <w:b/>
                <w:bCs/>
              </w:rPr>
            </w:pPr>
          </w:p>
        </w:tc>
      </w:tr>
      <w:tr>
        <w:tc>
          <w:tcPr>
            <w:tcW w:w="850" w:type="dxa"/>
          </w:tcPr>
          <w:p>
            <w:pPr>
              <w:pStyle w:val="yTableNAm"/>
              <w:tabs>
                <w:tab w:val="right" w:leader="dot" w:pos="4253"/>
              </w:tabs>
            </w:pPr>
          </w:p>
        </w:tc>
        <w:tc>
          <w:tcPr>
            <w:tcW w:w="4235" w:type="dxa"/>
          </w:tcPr>
          <w:p>
            <w:pPr>
              <w:pStyle w:val="yTableNAm"/>
              <w:tabs>
                <w:tab w:val="right" w:leader="dot" w:pos="4253"/>
              </w:tabs>
            </w:pPr>
            <w:r>
              <w:t>By</w:t>
            </w:r>
            <w:r>
              <w:noBreakHyphen/>
              <w:t xml:space="preserve">law 7(4)(b)(i) </w:t>
            </w:r>
            <w:r>
              <w:tab/>
            </w:r>
          </w:p>
        </w:tc>
        <w:tc>
          <w:tcPr>
            <w:tcW w:w="1435" w:type="dxa"/>
          </w:tcPr>
          <w:p>
            <w:pPr>
              <w:pStyle w:val="yTableNAm"/>
              <w:tabs>
                <w:tab w:val="right" w:leader="dot" w:pos="4253"/>
              </w:tabs>
            </w:pPr>
            <w:r>
              <w:t>$3.00</w:t>
            </w:r>
          </w:p>
        </w:tc>
      </w:tr>
      <w:tr>
        <w:tc>
          <w:tcPr>
            <w:tcW w:w="850" w:type="dxa"/>
          </w:tcPr>
          <w:p>
            <w:pPr>
              <w:pStyle w:val="yTableNAm"/>
              <w:keepNext/>
              <w:keepLines/>
              <w:tabs>
                <w:tab w:val="right" w:leader="dot" w:pos="4253"/>
              </w:tabs>
              <w:rPr>
                <w:b/>
              </w:rPr>
            </w:pPr>
            <w:r>
              <w:rPr>
                <w:b/>
              </w:rPr>
              <w:t>3.</w:t>
            </w:r>
          </w:p>
        </w:tc>
        <w:tc>
          <w:tcPr>
            <w:tcW w:w="4235" w:type="dxa"/>
          </w:tcPr>
          <w:p>
            <w:pPr>
              <w:pStyle w:val="yTableNAm"/>
              <w:keepNext/>
              <w:keepLines/>
              <w:tabs>
                <w:tab w:val="right" w:leader="dot" w:pos="4253"/>
              </w:tabs>
              <w:rPr>
                <w:b/>
                <w:bCs/>
              </w:rPr>
            </w:pPr>
            <w:r>
              <w:rPr>
                <w:b/>
                <w:bCs/>
              </w:rPr>
              <w:t>Rates of interest</w:t>
            </w:r>
          </w:p>
        </w:tc>
        <w:tc>
          <w:tcPr>
            <w:tcW w:w="1435" w:type="dxa"/>
          </w:tcPr>
          <w:p>
            <w:pPr>
              <w:pStyle w:val="yTableNAm"/>
              <w:keepNext/>
              <w:keepLines/>
              <w:tabs>
                <w:tab w:val="right" w:leader="dot" w:pos="4253"/>
              </w:tabs>
              <w:rPr>
                <w:b/>
                <w:bCs/>
              </w:rPr>
            </w:pPr>
          </w:p>
        </w:tc>
      </w:tr>
      <w:tr>
        <w:tc>
          <w:tcPr>
            <w:tcW w:w="850" w:type="dxa"/>
          </w:tcPr>
          <w:p>
            <w:pPr>
              <w:pStyle w:val="yTableNAm"/>
              <w:keepNext/>
              <w:keepLines/>
              <w:tabs>
                <w:tab w:val="right" w:leader="dot" w:pos="4253"/>
              </w:tabs>
            </w:pPr>
          </w:p>
        </w:tc>
        <w:tc>
          <w:tcPr>
            <w:tcW w:w="4235" w:type="dxa"/>
          </w:tcPr>
          <w:p>
            <w:pPr>
              <w:pStyle w:val="yTableNAm"/>
              <w:keepNext/>
              <w:keepLines/>
              <w:tabs>
                <w:tab w:val="right" w:leader="dot" w:pos="4253"/>
              </w:tabs>
            </w:pPr>
            <w:r>
              <w:t>By</w:t>
            </w:r>
            <w:r>
              <w:noBreakHyphen/>
              <w:t xml:space="preserve">law 7(4)(a)(ii) </w:t>
            </w:r>
            <w:r>
              <w:tab/>
            </w:r>
          </w:p>
        </w:tc>
        <w:tc>
          <w:tcPr>
            <w:tcW w:w="1435" w:type="dxa"/>
          </w:tcPr>
          <w:p>
            <w:pPr>
              <w:pStyle w:val="yTableNAm"/>
              <w:keepNext/>
              <w:keepLines/>
              <w:tabs>
                <w:tab w:val="right" w:leader="dot" w:pos="4253"/>
              </w:tabs>
            </w:pPr>
            <w:r>
              <w:t>2.19% per annum</w:t>
            </w:r>
          </w:p>
        </w:tc>
      </w:tr>
      <w:tr>
        <w:tc>
          <w:tcPr>
            <w:tcW w:w="850" w:type="dxa"/>
          </w:tcPr>
          <w:p>
            <w:pPr>
              <w:pStyle w:val="yTableNAm"/>
              <w:tabs>
                <w:tab w:val="right" w:leader="dot" w:pos="4253"/>
              </w:tabs>
            </w:pPr>
          </w:p>
        </w:tc>
        <w:tc>
          <w:tcPr>
            <w:tcW w:w="4235" w:type="dxa"/>
          </w:tcPr>
          <w:p>
            <w:pPr>
              <w:pStyle w:val="yTableNAm"/>
              <w:tabs>
                <w:tab w:val="right" w:leader="dot" w:pos="4253"/>
              </w:tabs>
            </w:pPr>
            <w:r>
              <w:t>By</w:t>
            </w:r>
            <w:r>
              <w:noBreakHyphen/>
              <w:t xml:space="preserve">law 7(4)(b)(ii) </w:t>
            </w:r>
            <w:r>
              <w:tab/>
            </w:r>
          </w:p>
        </w:tc>
        <w:tc>
          <w:tcPr>
            <w:tcW w:w="1435" w:type="dxa"/>
          </w:tcPr>
          <w:p>
            <w:pPr>
              <w:pStyle w:val="yTableNAm"/>
              <w:tabs>
                <w:tab w:val="right" w:leader="dot" w:pos="4253"/>
              </w:tabs>
            </w:pPr>
            <w:r>
              <w:t>3.19% per annum</w:t>
            </w:r>
          </w:p>
        </w:tc>
      </w:tr>
      <w:tr>
        <w:tc>
          <w:tcPr>
            <w:tcW w:w="850" w:type="dxa"/>
          </w:tcPr>
          <w:p>
            <w:pPr>
              <w:pStyle w:val="yTableNAm"/>
              <w:tabs>
                <w:tab w:val="right" w:leader="dot" w:pos="4253"/>
              </w:tabs>
              <w:rPr>
                <w:b/>
              </w:rPr>
            </w:pPr>
            <w:r>
              <w:rPr>
                <w:b/>
              </w:rPr>
              <w:t>4.</w:t>
            </w:r>
          </w:p>
        </w:tc>
        <w:tc>
          <w:tcPr>
            <w:tcW w:w="4235" w:type="dxa"/>
          </w:tcPr>
          <w:p>
            <w:pPr>
              <w:pStyle w:val="yTableNAm"/>
              <w:tabs>
                <w:tab w:val="right" w:leader="dot" w:pos="4253"/>
              </w:tabs>
              <w:rPr>
                <w:b/>
                <w:bCs/>
              </w:rPr>
            </w:pPr>
            <w:r>
              <w:rPr>
                <w:b/>
                <w:bCs/>
              </w:rPr>
              <w:t>Concession (by</w:t>
            </w:r>
            <w:r>
              <w:rPr>
                <w:b/>
                <w:bCs/>
              </w:rPr>
              <w:noBreakHyphen/>
              <w:t>law 8A(2))</w:t>
            </w:r>
          </w:p>
        </w:tc>
        <w:tc>
          <w:tcPr>
            <w:tcW w:w="1435" w:type="dxa"/>
          </w:tcPr>
          <w:p>
            <w:pPr>
              <w:pStyle w:val="yTableNAm"/>
              <w:tabs>
                <w:tab w:val="right" w:leader="dot" w:pos="4253"/>
              </w:tabs>
              <w:rPr>
                <w:b/>
                <w:bCs/>
              </w:rPr>
            </w:pPr>
          </w:p>
        </w:tc>
      </w:tr>
      <w:tr>
        <w:tc>
          <w:tcPr>
            <w:tcW w:w="850" w:type="dxa"/>
          </w:tcPr>
          <w:p>
            <w:pPr>
              <w:pStyle w:val="yTableNAm"/>
              <w:tabs>
                <w:tab w:val="right" w:leader="dot" w:pos="4253"/>
              </w:tabs>
            </w:pPr>
          </w:p>
        </w:tc>
        <w:tc>
          <w:tcPr>
            <w:tcW w:w="4235" w:type="dxa"/>
          </w:tcPr>
          <w:p>
            <w:pPr>
              <w:pStyle w:val="yTableNAm"/>
              <w:tabs>
                <w:tab w:val="right" w:leader="dot" w:pos="4253"/>
              </w:tabs>
            </w:pPr>
            <w:r>
              <w:t xml:space="preserve">Charge for water supply </w:t>
            </w:r>
            <w:r>
              <w:tab/>
            </w:r>
          </w:p>
        </w:tc>
        <w:tc>
          <w:tcPr>
            <w:tcW w:w="1435" w:type="dxa"/>
          </w:tcPr>
          <w:p>
            <w:pPr>
              <w:pStyle w:val="yTableNAm"/>
              <w:tabs>
                <w:tab w:val="right" w:leader="dot" w:pos="4253"/>
              </w:tabs>
            </w:pPr>
            <w:r>
              <w:t>$89.75</w:t>
            </w:r>
          </w:p>
        </w:tc>
      </w:tr>
      <w:tr>
        <w:tc>
          <w:tcPr>
            <w:tcW w:w="850" w:type="dxa"/>
          </w:tcPr>
          <w:p>
            <w:pPr>
              <w:pStyle w:val="yTableNAm"/>
              <w:tabs>
                <w:tab w:val="right" w:leader="dot" w:pos="4253"/>
              </w:tabs>
            </w:pPr>
          </w:p>
        </w:tc>
        <w:tc>
          <w:tcPr>
            <w:tcW w:w="4235" w:type="dxa"/>
          </w:tcPr>
          <w:p>
            <w:pPr>
              <w:pStyle w:val="yTableNAm"/>
              <w:tabs>
                <w:tab w:val="right" w:leader="dot" w:pos="4253"/>
              </w:tabs>
            </w:pPr>
            <w:r>
              <w:t xml:space="preserve">Charge for sewerage </w:t>
            </w:r>
            <w:r>
              <w:tab/>
            </w:r>
          </w:p>
        </w:tc>
        <w:tc>
          <w:tcPr>
            <w:tcW w:w="1435" w:type="dxa"/>
          </w:tcPr>
          <w:p>
            <w:pPr>
              <w:pStyle w:val="yTableNAm"/>
              <w:tabs>
                <w:tab w:val="right" w:leader="dot" w:pos="4253"/>
              </w:tabs>
            </w:pPr>
            <w:r>
              <w:t>$184.70</w:t>
            </w:r>
          </w:p>
        </w:tc>
      </w:tr>
      <w:tr>
        <w:tc>
          <w:tcPr>
            <w:tcW w:w="850" w:type="dxa"/>
          </w:tcPr>
          <w:p>
            <w:pPr>
              <w:pStyle w:val="yTableNAm"/>
              <w:tabs>
                <w:tab w:val="right" w:leader="dot" w:pos="4253"/>
              </w:tabs>
            </w:pPr>
          </w:p>
        </w:tc>
        <w:tc>
          <w:tcPr>
            <w:tcW w:w="4235" w:type="dxa"/>
          </w:tcPr>
          <w:p>
            <w:pPr>
              <w:pStyle w:val="yTableNAm"/>
              <w:tabs>
                <w:tab w:val="right" w:leader="dot" w:pos="4253"/>
              </w:tabs>
            </w:pPr>
            <w:r>
              <w:t xml:space="preserve">Charge for drainage </w:t>
            </w:r>
            <w:r>
              <w:tab/>
            </w:r>
          </w:p>
        </w:tc>
        <w:tc>
          <w:tcPr>
            <w:tcW w:w="1435" w:type="dxa"/>
          </w:tcPr>
          <w:p>
            <w:pPr>
              <w:pStyle w:val="yTableNAm"/>
              <w:tabs>
                <w:tab w:val="right" w:leader="dot" w:pos="4253"/>
              </w:tabs>
            </w:pPr>
            <w:r>
              <w:t>$24.05</w:t>
            </w:r>
          </w:p>
        </w:tc>
      </w:tr>
      <w:tr>
        <w:tc>
          <w:tcPr>
            <w:tcW w:w="850" w:type="dxa"/>
          </w:tcPr>
          <w:p>
            <w:pPr>
              <w:pStyle w:val="yTableNAm"/>
              <w:tabs>
                <w:tab w:val="right" w:leader="dot" w:pos="4253"/>
              </w:tabs>
              <w:rPr>
                <w:b/>
              </w:rPr>
            </w:pPr>
            <w:r>
              <w:rPr>
                <w:b/>
              </w:rPr>
              <w:t>5.</w:t>
            </w:r>
          </w:p>
        </w:tc>
        <w:tc>
          <w:tcPr>
            <w:tcW w:w="4235" w:type="dxa"/>
          </w:tcPr>
          <w:p>
            <w:pPr>
              <w:pStyle w:val="yTableNAm"/>
              <w:tabs>
                <w:tab w:val="right" w:leader="dot" w:pos="4253"/>
              </w:tabs>
              <w:rPr>
                <w:b/>
                <w:bCs/>
              </w:rPr>
            </w:pPr>
            <w:r>
              <w:rPr>
                <w:b/>
                <w:bCs/>
              </w:rPr>
              <w:t>Interest on overdue amounts (by</w:t>
            </w:r>
            <w:r>
              <w:rPr>
                <w:b/>
                <w:bCs/>
              </w:rPr>
              <w:noBreakHyphen/>
              <w:t>law 9)</w:t>
            </w:r>
          </w:p>
        </w:tc>
        <w:tc>
          <w:tcPr>
            <w:tcW w:w="1435" w:type="dxa"/>
          </w:tcPr>
          <w:p>
            <w:pPr>
              <w:pStyle w:val="yTableNAm"/>
              <w:tabs>
                <w:tab w:val="right" w:leader="dot" w:pos="4253"/>
              </w:tabs>
              <w:rPr>
                <w:b/>
                <w:bCs/>
              </w:rPr>
            </w:pPr>
          </w:p>
        </w:tc>
      </w:tr>
      <w:tr>
        <w:tc>
          <w:tcPr>
            <w:tcW w:w="850" w:type="dxa"/>
          </w:tcPr>
          <w:p>
            <w:pPr>
              <w:pStyle w:val="yTableNAm"/>
              <w:tabs>
                <w:tab w:val="right" w:leader="dot" w:pos="4253"/>
              </w:tabs>
            </w:pPr>
          </w:p>
        </w:tc>
        <w:tc>
          <w:tcPr>
            <w:tcW w:w="4235" w:type="dxa"/>
          </w:tcPr>
          <w:p>
            <w:pPr>
              <w:pStyle w:val="yTableNAm"/>
              <w:tabs>
                <w:tab w:val="right" w:leader="dot" w:pos="4253"/>
              </w:tabs>
            </w:pPr>
            <w:r>
              <w:t>Interest on overdue amounts (by</w:t>
            </w:r>
            <w:r>
              <w:noBreakHyphen/>
              <w:t xml:space="preserve">law 9) </w:t>
            </w:r>
            <w:r>
              <w:tab/>
            </w:r>
          </w:p>
        </w:tc>
        <w:tc>
          <w:tcPr>
            <w:tcW w:w="1435" w:type="dxa"/>
          </w:tcPr>
          <w:p>
            <w:pPr>
              <w:pStyle w:val="yTableNAm"/>
              <w:tabs>
                <w:tab w:val="right" w:leader="dot" w:pos="4253"/>
              </w:tabs>
            </w:pPr>
            <w:r>
              <w:t>13.39% per annum</w:t>
            </w:r>
          </w:p>
        </w:tc>
      </w:tr>
    </w:tbl>
    <w:p>
      <w:pPr>
        <w:pStyle w:val="yFootnotesection"/>
      </w:pPr>
      <w:r>
        <w:tab/>
        <w:t>[Schedule 7 inserted in Gazette 20 Jun 2012 p. 2752.]</w:t>
      </w:r>
    </w:p>
    <w:p>
      <w:pPr>
        <w:pStyle w:val="yScheduleHeading"/>
      </w:pPr>
      <w:bookmarkStart w:id="95" w:name="_Toc84428018"/>
      <w:r>
        <w:rPr>
          <w:rStyle w:val="CharSchNo"/>
        </w:rPr>
        <w:lastRenderedPageBreak/>
        <w:t>Schedule 8</w:t>
      </w:r>
      <w:r>
        <w:t> — </w:t>
      </w:r>
      <w:r>
        <w:rPr>
          <w:rStyle w:val="CharSchText"/>
        </w:rPr>
        <w:t>Water supply charges for Government trading organisations and non</w:t>
      </w:r>
      <w:r>
        <w:rPr>
          <w:rStyle w:val="CharSchText"/>
        </w:rPr>
        <w:noBreakHyphen/>
        <w:t>commercial Government property</w:t>
      </w:r>
      <w:bookmarkEnd w:id="95"/>
    </w:p>
    <w:p>
      <w:pPr>
        <w:pStyle w:val="yShoulderClause"/>
      </w:pPr>
      <w:r>
        <w:t>[bl. 8B]</w:t>
      </w:r>
    </w:p>
    <w:p>
      <w:pPr>
        <w:pStyle w:val="yFootnoteheading"/>
        <w:spacing w:after="60"/>
      </w:pPr>
      <w:r>
        <w:tab/>
        <w:t>[Heading inserted in Gazette 20 Jun 2012 p. 2753.]</w:t>
      </w:r>
    </w:p>
    <w:p>
      <w:pPr>
        <w:pStyle w:val="yMiscellaneousHeading"/>
        <w:tabs>
          <w:tab w:val="left" w:pos="993"/>
        </w:tabs>
        <w:ind w:left="480"/>
        <w:jc w:val="left"/>
        <w:rPr>
          <w:b/>
        </w:rPr>
      </w:pPr>
      <w:r>
        <w:rPr>
          <w:b/>
        </w:rPr>
        <w:t>1.</w:t>
      </w:r>
      <w:r>
        <w:rPr>
          <w:b/>
        </w:rPr>
        <w:tab/>
        <w:t>Annual charge (based on meter size)</w:t>
      </w:r>
    </w:p>
    <w:tbl>
      <w:tblPr>
        <w:tblW w:w="0" w:type="auto"/>
        <w:tblInd w:w="1166" w:type="dxa"/>
        <w:tblLayout w:type="fixed"/>
        <w:tblCellMar>
          <w:left w:w="284" w:type="dxa"/>
          <w:right w:w="284" w:type="dxa"/>
        </w:tblCellMar>
        <w:tblLook w:val="0000" w:firstRow="0" w:lastRow="0" w:firstColumn="0" w:lastColumn="0" w:noHBand="0" w:noVBand="0"/>
      </w:tblPr>
      <w:tblGrid>
        <w:gridCol w:w="3087"/>
        <w:gridCol w:w="2960"/>
        <w:gridCol w:w="17"/>
      </w:tblGrid>
      <w:tr>
        <w:trPr>
          <w:cantSplit/>
          <w:tblHeader/>
        </w:trPr>
        <w:tc>
          <w:tcPr>
            <w:tcW w:w="3087" w:type="dxa"/>
            <w:tcBorders>
              <w:top w:val="single" w:sz="4" w:space="0" w:color="auto"/>
              <w:bottom w:val="single" w:sz="4" w:space="0" w:color="auto"/>
            </w:tcBorders>
          </w:tcPr>
          <w:p>
            <w:pPr>
              <w:pStyle w:val="yTableNAm"/>
              <w:ind w:right="-142"/>
              <w:jc w:val="center"/>
              <w:rPr>
                <w:b/>
                <w:bCs/>
              </w:rPr>
            </w:pPr>
            <w:r>
              <w:rPr>
                <w:b/>
                <w:bCs/>
              </w:rPr>
              <w:t>Meter size</w:t>
            </w:r>
            <w:r>
              <w:rPr>
                <w:b/>
                <w:bCs/>
              </w:rPr>
              <w:br/>
              <w:t>mm</w:t>
            </w:r>
          </w:p>
        </w:tc>
        <w:tc>
          <w:tcPr>
            <w:tcW w:w="2977" w:type="dxa"/>
            <w:gridSpan w:val="2"/>
            <w:tcBorders>
              <w:top w:val="single" w:sz="4" w:space="0" w:color="auto"/>
              <w:bottom w:val="single" w:sz="4" w:space="0" w:color="auto"/>
            </w:tcBorders>
          </w:tcPr>
          <w:p>
            <w:pPr>
              <w:pStyle w:val="yTableNAm"/>
              <w:tabs>
                <w:tab w:val="clear" w:pos="567"/>
              </w:tabs>
              <w:ind w:right="-284"/>
              <w:jc w:val="center"/>
              <w:rPr>
                <w:b/>
                <w:bCs/>
              </w:rPr>
            </w:pPr>
            <w:r>
              <w:rPr>
                <w:b/>
                <w:bCs/>
              </w:rPr>
              <w:t>Charge</w:t>
            </w:r>
            <w:r>
              <w:rPr>
                <w:b/>
                <w:bCs/>
              </w:rPr>
              <w:br/>
              <w:t>$</w:t>
            </w:r>
          </w:p>
        </w:tc>
      </w:tr>
      <w:tr>
        <w:trPr>
          <w:cantSplit/>
        </w:trPr>
        <w:tc>
          <w:tcPr>
            <w:tcW w:w="3087" w:type="dxa"/>
          </w:tcPr>
          <w:p>
            <w:pPr>
              <w:pStyle w:val="yTableNAm"/>
              <w:ind w:right="-142"/>
              <w:jc w:val="center"/>
              <w:rPr>
                <w:spacing w:val="-2"/>
              </w:rPr>
            </w:pPr>
            <w:r>
              <w:rPr>
                <w:spacing w:val="-2"/>
              </w:rPr>
              <w:t>20 or less</w:t>
            </w:r>
          </w:p>
        </w:tc>
        <w:tc>
          <w:tcPr>
            <w:tcW w:w="2977" w:type="dxa"/>
            <w:gridSpan w:val="2"/>
            <w:vAlign w:val="bottom"/>
          </w:tcPr>
          <w:p>
            <w:pPr>
              <w:pStyle w:val="yTableNAm"/>
              <w:ind w:right="-142"/>
              <w:jc w:val="center"/>
              <w:rPr>
                <w:spacing w:val="-2"/>
              </w:rPr>
            </w:pPr>
            <w:r>
              <w:rPr>
                <w:spacing w:val="-2"/>
              </w:rPr>
              <w:t>188.10</w:t>
            </w:r>
          </w:p>
        </w:tc>
      </w:tr>
      <w:tr>
        <w:trPr>
          <w:cantSplit/>
        </w:trPr>
        <w:tc>
          <w:tcPr>
            <w:tcW w:w="3087" w:type="dxa"/>
          </w:tcPr>
          <w:p>
            <w:pPr>
              <w:pStyle w:val="yTableNAm"/>
              <w:ind w:right="-142"/>
              <w:jc w:val="center"/>
              <w:rPr>
                <w:spacing w:val="-2"/>
              </w:rPr>
            </w:pPr>
            <w:r>
              <w:rPr>
                <w:spacing w:val="-2"/>
              </w:rPr>
              <w:t>25</w:t>
            </w:r>
          </w:p>
        </w:tc>
        <w:tc>
          <w:tcPr>
            <w:tcW w:w="2977" w:type="dxa"/>
            <w:gridSpan w:val="2"/>
            <w:vAlign w:val="bottom"/>
          </w:tcPr>
          <w:p>
            <w:pPr>
              <w:pStyle w:val="yTableNAm"/>
              <w:ind w:right="-142"/>
              <w:jc w:val="center"/>
              <w:rPr>
                <w:spacing w:val="-2"/>
              </w:rPr>
            </w:pPr>
            <w:r>
              <w:rPr>
                <w:spacing w:val="-2"/>
              </w:rPr>
              <w:t>293.90</w:t>
            </w:r>
          </w:p>
        </w:tc>
      </w:tr>
      <w:tr>
        <w:trPr>
          <w:cantSplit/>
        </w:trPr>
        <w:tc>
          <w:tcPr>
            <w:tcW w:w="3087" w:type="dxa"/>
          </w:tcPr>
          <w:p>
            <w:pPr>
              <w:pStyle w:val="yTableNAm"/>
              <w:ind w:right="-142"/>
              <w:jc w:val="center"/>
              <w:rPr>
                <w:spacing w:val="-2"/>
              </w:rPr>
            </w:pPr>
            <w:r>
              <w:rPr>
                <w:spacing w:val="-2"/>
              </w:rPr>
              <w:t>30</w:t>
            </w:r>
          </w:p>
        </w:tc>
        <w:tc>
          <w:tcPr>
            <w:tcW w:w="2977" w:type="dxa"/>
            <w:gridSpan w:val="2"/>
            <w:vAlign w:val="bottom"/>
          </w:tcPr>
          <w:p>
            <w:pPr>
              <w:pStyle w:val="yTableNAm"/>
              <w:ind w:right="-142"/>
              <w:jc w:val="center"/>
              <w:rPr>
                <w:spacing w:val="-2"/>
              </w:rPr>
            </w:pPr>
            <w:r>
              <w:rPr>
                <w:spacing w:val="-2"/>
              </w:rPr>
              <w:t>423.20</w:t>
            </w:r>
          </w:p>
        </w:tc>
      </w:tr>
      <w:tr>
        <w:trPr>
          <w:cantSplit/>
        </w:trPr>
        <w:tc>
          <w:tcPr>
            <w:tcW w:w="3087" w:type="dxa"/>
          </w:tcPr>
          <w:p>
            <w:pPr>
              <w:pStyle w:val="yTableNAm"/>
              <w:ind w:right="-142"/>
              <w:jc w:val="center"/>
              <w:rPr>
                <w:spacing w:val="-2"/>
              </w:rPr>
            </w:pPr>
            <w:r>
              <w:rPr>
                <w:spacing w:val="-2"/>
              </w:rPr>
              <w:t>40</w:t>
            </w:r>
          </w:p>
        </w:tc>
        <w:tc>
          <w:tcPr>
            <w:tcW w:w="2977" w:type="dxa"/>
            <w:gridSpan w:val="2"/>
            <w:vAlign w:val="bottom"/>
          </w:tcPr>
          <w:p>
            <w:pPr>
              <w:pStyle w:val="yTableNAm"/>
              <w:ind w:right="-142"/>
              <w:jc w:val="center"/>
              <w:rPr>
                <w:spacing w:val="-2"/>
              </w:rPr>
            </w:pPr>
            <w:r>
              <w:rPr>
                <w:spacing w:val="-2"/>
              </w:rPr>
              <w:t>752.40</w:t>
            </w:r>
          </w:p>
        </w:tc>
      </w:tr>
      <w:tr>
        <w:trPr>
          <w:cantSplit/>
        </w:trPr>
        <w:tc>
          <w:tcPr>
            <w:tcW w:w="3087" w:type="dxa"/>
          </w:tcPr>
          <w:p>
            <w:pPr>
              <w:pStyle w:val="yTableNAm"/>
              <w:ind w:right="-142"/>
              <w:jc w:val="center"/>
              <w:rPr>
                <w:spacing w:val="-2"/>
              </w:rPr>
            </w:pPr>
            <w:r>
              <w:rPr>
                <w:spacing w:val="-2"/>
              </w:rPr>
              <w:t>50</w:t>
            </w:r>
          </w:p>
        </w:tc>
        <w:tc>
          <w:tcPr>
            <w:tcW w:w="2977" w:type="dxa"/>
            <w:gridSpan w:val="2"/>
            <w:vAlign w:val="bottom"/>
          </w:tcPr>
          <w:p>
            <w:pPr>
              <w:pStyle w:val="yTableNAm"/>
              <w:ind w:right="-142"/>
              <w:jc w:val="center"/>
              <w:rPr>
                <w:spacing w:val="-2"/>
              </w:rPr>
            </w:pPr>
            <w:r>
              <w:rPr>
                <w:spacing w:val="-2"/>
              </w:rPr>
              <w:t>1 175.60</w:t>
            </w:r>
          </w:p>
        </w:tc>
      </w:tr>
      <w:tr>
        <w:trPr>
          <w:cantSplit/>
        </w:trPr>
        <w:tc>
          <w:tcPr>
            <w:tcW w:w="3087" w:type="dxa"/>
          </w:tcPr>
          <w:p>
            <w:pPr>
              <w:pStyle w:val="yTableNAm"/>
              <w:ind w:right="-142"/>
              <w:jc w:val="center"/>
              <w:rPr>
                <w:spacing w:val="-2"/>
              </w:rPr>
            </w:pPr>
            <w:r>
              <w:rPr>
                <w:spacing w:val="-2"/>
              </w:rPr>
              <w:t>70, 75, 80</w:t>
            </w:r>
          </w:p>
        </w:tc>
        <w:tc>
          <w:tcPr>
            <w:tcW w:w="2977" w:type="dxa"/>
            <w:gridSpan w:val="2"/>
            <w:vAlign w:val="bottom"/>
          </w:tcPr>
          <w:p>
            <w:pPr>
              <w:pStyle w:val="yTableNAm"/>
              <w:ind w:right="-142"/>
              <w:jc w:val="center"/>
              <w:rPr>
                <w:spacing w:val="-2"/>
              </w:rPr>
            </w:pPr>
            <w:r>
              <w:rPr>
                <w:spacing w:val="-2"/>
              </w:rPr>
              <w:t>3 009.60</w:t>
            </w:r>
          </w:p>
        </w:tc>
      </w:tr>
      <w:tr>
        <w:trPr>
          <w:cantSplit/>
        </w:trPr>
        <w:tc>
          <w:tcPr>
            <w:tcW w:w="3087" w:type="dxa"/>
          </w:tcPr>
          <w:p>
            <w:pPr>
              <w:pStyle w:val="yTableNAm"/>
              <w:ind w:right="-142"/>
              <w:jc w:val="center"/>
              <w:rPr>
                <w:spacing w:val="-2"/>
              </w:rPr>
            </w:pPr>
            <w:r>
              <w:rPr>
                <w:spacing w:val="-2"/>
              </w:rPr>
              <w:t>100</w:t>
            </w:r>
          </w:p>
        </w:tc>
        <w:tc>
          <w:tcPr>
            <w:tcW w:w="2977" w:type="dxa"/>
            <w:gridSpan w:val="2"/>
            <w:vAlign w:val="bottom"/>
          </w:tcPr>
          <w:p>
            <w:pPr>
              <w:pStyle w:val="yTableNAm"/>
              <w:ind w:right="-142"/>
              <w:jc w:val="center"/>
              <w:rPr>
                <w:spacing w:val="-2"/>
              </w:rPr>
            </w:pPr>
            <w:r>
              <w:rPr>
                <w:spacing w:val="-2"/>
              </w:rPr>
              <w:t>4 702.50</w:t>
            </w:r>
          </w:p>
        </w:tc>
      </w:tr>
      <w:tr>
        <w:trPr>
          <w:cantSplit/>
        </w:trPr>
        <w:tc>
          <w:tcPr>
            <w:tcW w:w="3087" w:type="dxa"/>
          </w:tcPr>
          <w:p>
            <w:pPr>
              <w:pStyle w:val="yTableNAm"/>
              <w:ind w:right="-142"/>
              <w:jc w:val="center"/>
              <w:rPr>
                <w:spacing w:val="-2"/>
              </w:rPr>
            </w:pPr>
            <w:r>
              <w:rPr>
                <w:spacing w:val="-2"/>
              </w:rPr>
              <w:t>140, 150</w:t>
            </w:r>
          </w:p>
        </w:tc>
        <w:tc>
          <w:tcPr>
            <w:tcW w:w="2977" w:type="dxa"/>
            <w:gridSpan w:val="2"/>
            <w:vAlign w:val="bottom"/>
          </w:tcPr>
          <w:p>
            <w:pPr>
              <w:pStyle w:val="yTableNAm"/>
              <w:ind w:right="-142"/>
              <w:jc w:val="center"/>
              <w:rPr>
                <w:spacing w:val="-2"/>
              </w:rPr>
            </w:pPr>
            <w:r>
              <w:rPr>
                <w:spacing w:val="-2"/>
              </w:rPr>
              <w:t>10 580.60</w:t>
            </w:r>
          </w:p>
        </w:tc>
      </w:tr>
      <w:tr>
        <w:trPr>
          <w:cantSplit/>
        </w:trPr>
        <w:tc>
          <w:tcPr>
            <w:tcW w:w="3087" w:type="dxa"/>
          </w:tcPr>
          <w:p>
            <w:pPr>
              <w:pStyle w:val="yTableNAm"/>
              <w:ind w:right="-142"/>
              <w:jc w:val="center"/>
              <w:rPr>
                <w:spacing w:val="-2"/>
              </w:rPr>
            </w:pPr>
            <w:r>
              <w:rPr>
                <w:spacing w:val="-2"/>
              </w:rPr>
              <w:t>200</w:t>
            </w:r>
          </w:p>
        </w:tc>
        <w:tc>
          <w:tcPr>
            <w:tcW w:w="2977" w:type="dxa"/>
            <w:gridSpan w:val="2"/>
            <w:vAlign w:val="bottom"/>
          </w:tcPr>
          <w:p>
            <w:pPr>
              <w:pStyle w:val="yTableNAm"/>
              <w:ind w:right="-142"/>
              <w:jc w:val="center"/>
              <w:rPr>
                <w:spacing w:val="-2"/>
              </w:rPr>
            </w:pPr>
            <w:r>
              <w:rPr>
                <w:spacing w:val="-2"/>
              </w:rPr>
              <w:t>18 810.00</w:t>
            </w:r>
          </w:p>
        </w:tc>
      </w:tr>
      <w:tr>
        <w:trPr>
          <w:cantSplit/>
        </w:trPr>
        <w:tc>
          <w:tcPr>
            <w:tcW w:w="3087" w:type="dxa"/>
          </w:tcPr>
          <w:p>
            <w:pPr>
              <w:pStyle w:val="yTableNAm"/>
              <w:ind w:right="-142"/>
              <w:jc w:val="center"/>
              <w:rPr>
                <w:spacing w:val="-2"/>
              </w:rPr>
            </w:pPr>
            <w:r>
              <w:rPr>
                <w:spacing w:val="-2"/>
              </w:rPr>
              <w:t>250</w:t>
            </w:r>
          </w:p>
        </w:tc>
        <w:tc>
          <w:tcPr>
            <w:tcW w:w="2977" w:type="dxa"/>
            <w:gridSpan w:val="2"/>
            <w:vAlign w:val="bottom"/>
          </w:tcPr>
          <w:p>
            <w:pPr>
              <w:pStyle w:val="yTableNAm"/>
              <w:ind w:right="-142"/>
              <w:jc w:val="center"/>
              <w:rPr>
                <w:spacing w:val="-2"/>
              </w:rPr>
            </w:pPr>
            <w:r>
              <w:rPr>
                <w:spacing w:val="-2"/>
              </w:rPr>
              <w:t>29 390.60</w:t>
            </w:r>
          </w:p>
        </w:tc>
      </w:tr>
      <w:tr>
        <w:trPr>
          <w:cantSplit/>
        </w:trPr>
        <w:tc>
          <w:tcPr>
            <w:tcW w:w="3087" w:type="dxa"/>
          </w:tcPr>
          <w:p>
            <w:pPr>
              <w:pStyle w:val="yTableNAm"/>
              <w:ind w:right="-142"/>
              <w:jc w:val="center"/>
              <w:rPr>
                <w:spacing w:val="-2"/>
              </w:rPr>
            </w:pPr>
            <w:r>
              <w:rPr>
                <w:spacing w:val="-2"/>
              </w:rPr>
              <w:t>300</w:t>
            </w:r>
          </w:p>
        </w:tc>
        <w:tc>
          <w:tcPr>
            <w:tcW w:w="2977" w:type="dxa"/>
            <w:gridSpan w:val="2"/>
            <w:vAlign w:val="bottom"/>
          </w:tcPr>
          <w:p>
            <w:pPr>
              <w:pStyle w:val="yTableNAm"/>
              <w:ind w:right="-142"/>
              <w:jc w:val="center"/>
              <w:rPr>
                <w:spacing w:val="-2"/>
              </w:rPr>
            </w:pPr>
            <w:r>
              <w:rPr>
                <w:spacing w:val="-2"/>
              </w:rPr>
              <w:t>42 322.50</w:t>
            </w:r>
          </w:p>
        </w:tc>
      </w:tr>
      <w:tr>
        <w:trPr>
          <w:cantSplit/>
        </w:trPr>
        <w:tc>
          <w:tcPr>
            <w:tcW w:w="3087" w:type="dxa"/>
          </w:tcPr>
          <w:p>
            <w:pPr>
              <w:pStyle w:val="yTableNAm"/>
              <w:ind w:right="-142"/>
              <w:jc w:val="center"/>
              <w:rPr>
                <w:spacing w:val="-2"/>
              </w:rPr>
            </w:pPr>
            <w:r>
              <w:rPr>
                <w:spacing w:val="-2"/>
              </w:rPr>
              <w:t>350</w:t>
            </w:r>
          </w:p>
        </w:tc>
        <w:tc>
          <w:tcPr>
            <w:tcW w:w="2977" w:type="dxa"/>
            <w:gridSpan w:val="2"/>
            <w:vAlign w:val="bottom"/>
          </w:tcPr>
          <w:p>
            <w:pPr>
              <w:pStyle w:val="yTableNAm"/>
              <w:ind w:right="-142"/>
              <w:jc w:val="center"/>
              <w:rPr>
                <w:spacing w:val="-2"/>
              </w:rPr>
            </w:pPr>
            <w:r>
              <w:rPr>
                <w:spacing w:val="-2"/>
              </w:rPr>
              <w:t>57 605.60</w:t>
            </w:r>
          </w:p>
        </w:tc>
      </w:tr>
      <w:tr>
        <w:tblPrEx>
          <w:tblCellMar>
            <w:left w:w="142" w:type="dxa"/>
            <w:right w:w="142" w:type="dxa"/>
          </w:tblCellMar>
        </w:tblPrEx>
        <w:trPr>
          <w:gridAfter w:val="1"/>
          <w:wAfter w:w="17" w:type="dxa"/>
          <w:cantSplit/>
        </w:trPr>
        <w:tc>
          <w:tcPr>
            <w:tcW w:w="3087" w:type="dxa"/>
            <w:tcBorders>
              <w:bottom w:val="single" w:sz="4" w:space="0" w:color="auto"/>
            </w:tcBorders>
          </w:tcPr>
          <w:p>
            <w:pPr>
              <w:pStyle w:val="yTableNAm"/>
              <w:tabs>
                <w:tab w:val="right" w:leader="dot" w:pos="4253"/>
              </w:tabs>
              <w:ind w:right="-142"/>
            </w:pPr>
            <w:r>
              <w:t xml:space="preserve">subject to a minimum charge, where property is served but not metered by the Corporation, of </w:t>
            </w:r>
          </w:p>
        </w:tc>
        <w:tc>
          <w:tcPr>
            <w:tcW w:w="2960" w:type="dxa"/>
            <w:tcBorders>
              <w:bottom w:val="single" w:sz="4" w:space="0" w:color="auto"/>
            </w:tcBorders>
            <w:vAlign w:val="bottom"/>
          </w:tcPr>
          <w:p>
            <w:pPr>
              <w:pStyle w:val="yTableNAm"/>
              <w:ind w:right="-142"/>
              <w:jc w:val="center"/>
              <w:rPr>
                <w:spacing w:val="-2"/>
              </w:rPr>
            </w:pPr>
            <w:r>
              <w:rPr>
                <w:spacing w:val="-2"/>
              </w:rPr>
              <w:t>188.10</w:t>
            </w:r>
          </w:p>
        </w:tc>
      </w:tr>
    </w:tbl>
    <w:p>
      <w:pPr>
        <w:pStyle w:val="yMiscellaneousBody"/>
        <w:spacing w:before="0"/>
      </w:pPr>
    </w:p>
    <w:tbl>
      <w:tblPr>
        <w:tblW w:w="0" w:type="auto"/>
        <w:tblInd w:w="534" w:type="dxa"/>
        <w:tblLayout w:type="fixed"/>
        <w:tblLook w:val="0000" w:firstRow="0" w:lastRow="0" w:firstColumn="0" w:lastColumn="0" w:noHBand="0" w:noVBand="0"/>
      </w:tblPr>
      <w:tblGrid>
        <w:gridCol w:w="425"/>
        <w:gridCol w:w="4678"/>
        <w:gridCol w:w="1417"/>
      </w:tblGrid>
      <w:tr>
        <w:trPr>
          <w:cantSplit/>
        </w:trPr>
        <w:tc>
          <w:tcPr>
            <w:tcW w:w="425" w:type="dxa"/>
          </w:tcPr>
          <w:p>
            <w:pPr>
              <w:pStyle w:val="yTableNAm"/>
              <w:ind w:right="-97"/>
              <w:rPr>
                <w:rStyle w:val="CharSClsNo"/>
                <w:b/>
                <w:bCs/>
                <w:szCs w:val="22"/>
              </w:rPr>
            </w:pPr>
            <w:r>
              <w:rPr>
                <w:b/>
                <w:szCs w:val="22"/>
              </w:rPr>
              <w:t>2.</w:t>
            </w:r>
          </w:p>
        </w:tc>
        <w:tc>
          <w:tcPr>
            <w:tcW w:w="6095" w:type="dxa"/>
            <w:gridSpan w:val="2"/>
          </w:tcPr>
          <w:p>
            <w:pPr>
              <w:pStyle w:val="yTableNAm"/>
              <w:tabs>
                <w:tab w:val="right" w:leader="dot" w:pos="4253"/>
              </w:tabs>
              <w:rPr>
                <w:b/>
                <w:bCs/>
                <w:spacing w:val="-1"/>
                <w:szCs w:val="22"/>
              </w:rPr>
            </w:pPr>
            <w:r>
              <w:rPr>
                <w:b/>
                <w:bCs/>
                <w:szCs w:val="22"/>
              </w:rPr>
              <w:t>Volume charge (c/kL)</w:t>
            </w:r>
          </w:p>
        </w:tc>
      </w:tr>
      <w:tr>
        <w:tc>
          <w:tcPr>
            <w:tcW w:w="425" w:type="dxa"/>
          </w:tcPr>
          <w:p>
            <w:pPr>
              <w:pStyle w:val="yTableNAm"/>
              <w:tabs>
                <w:tab w:val="clear" w:pos="567"/>
                <w:tab w:val="left" w:pos="601"/>
                <w:tab w:val="right" w:leader="dot" w:pos="4253"/>
              </w:tabs>
              <w:ind w:left="601" w:hanging="601"/>
              <w:rPr>
                <w:szCs w:val="22"/>
              </w:rPr>
            </w:pPr>
          </w:p>
        </w:tc>
        <w:tc>
          <w:tcPr>
            <w:tcW w:w="4678" w:type="dxa"/>
          </w:tcPr>
          <w:p>
            <w:pPr>
              <w:pStyle w:val="yTableNAm"/>
              <w:tabs>
                <w:tab w:val="clear" w:pos="567"/>
                <w:tab w:val="left" w:pos="459"/>
                <w:tab w:val="right" w:leader="dot" w:pos="4570"/>
              </w:tabs>
              <w:ind w:left="459" w:hanging="459"/>
              <w:rPr>
                <w:spacing w:val="-1"/>
                <w:szCs w:val="22"/>
              </w:rPr>
            </w:pPr>
            <w:r>
              <w:rPr>
                <w:szCs w:val="22"/>
              </w:rPr>
              <w:t>(1)</w:t>
            </w:r>
            <w:r>
              <w:rPr>
                <w:szCs w:val="22"/>
              </w:rPr>
              <w:tab/>
              <w:t xml:space="preserve">Metropolitan </w:t>
            </w:r>
            <w:r>
              <w:rPr>
                <w:szCs w:val="22"/>
              </w:rPr>
              <w:tab/>
            </w:r>
          </w:p>
        </w:tc>
        <w:tc>
          <w:tcPr>
            <w:tcW w:w="1417" w:type="dxa"/>
          </w:tcPr>
          <w:p>
            <w:pPr>
              <w:pStyle w:val="yTableNAm"/>
              <w:tabs>
                <w:tab w:val="right" w:leader="dot" w:pos="4253"/>
              </w:tabs>
              <w:rPr>
                <w:spacing w:val="-2"/>
                <w:szCs w:val="22"/>
              </w:rPr>
            </w:pPr>
            <w:r>
              <w:rPr>
                <w:spacing w:val="-2"/>
                <w:szCs w:val="22"/>
              </w:rPr>
              <w:t>204.1 cents</w:t>
            </w:r>
          </w:p>
        </w:tc>
      </w:tr>
      <w:tr>
        <w:tc>
          <w:tcPr>
            <w:tcW w:w="425" w:type="dxa"/>
          </w:tcPr>
          <w:p>
            <w:pPr>
              <w:pStyle w:val="yTableNAm"/>
              <w:keepNext/>
              <w:tabs>
                <w:tab w:val="clear" w:pos="567"/>
                <w:tab w:val="left" w:pos="601"/>
                <w:tab w:val="right" w:leader="dot" w:pos="4253"/>
              </w:tabs>
              <w:ind w:left="601" w:hanging="601"/>
              <w:rPr>
                <w:szCs w:val="22"/>
              </w:rPr>
            </w:pPr>
          </w:p>
        </w:tc>
        <w:tc>
          <w:tcPr>
            <w:tcW w:w="4678" w:type="dxa"/>
          </w:tcPr>
          <w:p>
            <w:pPr>
              <w:pStyle w:val="yTableNAm"/>
              <w:keepNext/>
              <w:tabs>
                <w:tab w:val="clear" w:pos="567"/>
                <w:tab w:val="left" w:pos="459"/>
                <w:tab w:val="right" w:leader="dot" w:pos="4253"/>
                <w:tab w:val="right" w:leader="dot" w:pos="4536"/>
              </w:tabs>
              <w:ind w:left="459" w:hanging="459"/>
              <w:rPr>
                <w:szCs w:val="22"/>
              </w:rPr>
            </w:pPr>
            <w:r>
              <w:rPr>
                <w:szCs w:val="22"/>
              </w:rPr>
              <w:t>(2)</w:t>
            </w:r>
            <w:r>
              <w:rPr>
                <w:szCs w:val="22"/>
              </w:rPr>
              <w:tab/>
              <w:t>Country (according to the non</w:t>
            </w:r>
            <w:r>
              <w:rPr>
                <w:szCs w:val="22"/>
              </w:rPr>
              <w:noBreakHyphen/>
              <w:t>residential classification of the town/area in which that property is situated, as set out in Schedule 10) —</w:t>
            </w:r>
          </w:p>
        </w:tc>
        <w:tc>
          <w:tcPr>
            <w:tcW w:w="1417" w:type="dxa"/>
          </w:tcPr>
          <w:p>
            <w:pPr>
              <w:pStyle w:val="yTableNAm"/>
              <w:keepNext/>
              <w:tabs>
                <w:tab w:val="right" w:leader="dot" w:pos="4253"/>
              </w:tabs>
              <w:rPr>
                <w:szCs w:val="22"/>
              </w:rPr>
            </w:pPr>
          </w:p>
        </w:tc>
      </w:tr>
    </w:tbl>
    <w:p>
      <w:pPr>
        <w:pStyle w:val="yMiscellaneousBody"/>
        <w:spacing w:before="0"/>
      </w:pPr>
    </w:p>
    <w:tbl>
      <w:tblPr>
        <w:tblW w:w="6520" w:type="dxa"/>
        <w:tblInd w:w="454" w:type="dxa"/>
        <w:tblLayout w:type="fixed"/>
        <w:tblCellMar>
          <w:left w:w="28" w:type="dxa"/>
          <w:right w:w="28" w:type="dxa"/>
        </w:tblCellMar>
        <w:tblLook w:val="0000" w:firstRow="0" w:lastRow="0" w:firstColumn="0" w:lastColumn="0" w:noHBand="0" w:noVBand="0"/>
      </w:tblPr>
      <w:tblGrid>
        <w:gridCol w:w="2409"/>
        <w:gridCol w:w="2055"/>
        <w:gridCol w:w="2056"/>
      </w:tblGrid>
      <w:tr>
        <w:trPr>
          <w:cantSplit/>
          <w:trHeight w:val="217"/>
          <w:tblHeader/>
        </w:trPr>
        <w:tc>
          <w:tcPr>
            <w:tcW w:w="2409" w:type="dxa"/>
            <w:vMerge w:val="restart"/>
            <w:tcBorders>
              <w:top w:val="single" w:sz="4" w:space="0" w:color="auto"/>
            </w:tcBorders>
          </w:tcPr>
          <w:p>
            <w:pPr>
              <w:pStyle w:val="yTableNAm"/>
              <w:jc w:val="center"/>
              <w:rPr>
                <w:b/>
                <w:bCs/>
              </w:rPr>
            </w:pPr>
            <w:r>
              <w:rPr>
                <w:b/>
                <w:bCs/>
              </w:rPr>
              <w:t>Class</w:t>
            </w:r>
          </w:p>
        </w:tc>
        <w:tc>
          <w:tcPr>
            <w:tcW w:w="4111" w:type="dxa"/>
            <w:gridSpan w:val="2"/>
            <w:tcBorders>
              <w:top w:val="single" w:sz="4" w:space="0" w:color="auto"/>
            </w:tcBorders>
          </w:tcPr>
          <w:p>
            <w:pPr>
              <w:pStyle w:val="yTableNAm"/>
              <w:jc w:val="center"/>
              <w:rPr>
                <w:b/>
                <w:bCs/>
              </w:rPr>
            </w:pPr>
            <w:r>
              <w:rPr>
                <w:b/>
                <w:bCs/>
              </w:rPr>
              <w:t>Consumption (kL)</w:t>
            </w:r>
          </w:p>
        </w:tc>
      </w:tr>
      <w:tr>
        <w:trPr>
          <w:cantSplit/>
          <w:trHeight w:val="217"/>
          <w:tblHeader/>
        </w:trPr>
        <w:tc>
          <w:tcPr>
            <w:tcW w:w="2409" w:type="dxa"/>
            <w:vMerge/>
            <w:tcBorders>
              <w:bottom w:val="single" w:sz="4" w:space="0" w:color="auto"/>
            </w:tcBorders>
          </w:tcPr>
          <w:p>
            <w:pPr>
              <w:pStyle w:val="yTableNAm"/>
              <w:rPr>
                <w:b/>
                <w:bCs/>
              </w:rPr>
            </w:pPr>
          </w:p>
        </w:tc>
        <w:tc>
          <w:tcPr>
            <w:tcW w:w="2055" w:type="dxa"/>
            <w:tcBorders>
              <w:bottom w:val="single" w:sz="4" w:space="0" w:color="auto"/>
            </w:tcBorders>
          </w:tcPr>
          <w:p>
            <w:pPr>
              <w:pStyle w:val="yTableNAm"/>
              <w:jc w:val="center"/>
              <w:rPr>
                <w:b/>
                <w:bCs/>
              </w:rPr>
            </w:pPr>
            <w:r>
              <w:rPr>
                <w:b/>
                <w:bCs/>
              </w:rPr>
              <w:t>Up to 300</w:t>
            </w:r>
          </w:p>
        </w:tc>
        <w:tc>
          <w:tcPr>
            <w:tcW w:w="2056" w:type="dxa"/>
            <w:tcBorders>
              <w:bottom w:val="single" w:sz="4" w:space="0" w:color="auto"/>
            </w:tcBorders>
          </w:tcPr>
          <w:p>
            <w:pPr>
              <w:pStyle w:val="yTableNAm"/>
              <w:jc w:val="center"/>
              <w:rPr>
                <w:b/>
                <w:bCs/>
              </w:rPr>
            </w:pPr>
            <w:r>
              <w:rPr>
                <w:b/>
                <w:bCs/>
              </w:rPr>
              <w:t>Over 300</w:t>
            </w:r>
          </w:p>
        </w:tc>
      </w:tr>
      <w:tr>
        <w:tc>
          <w:tcPr>
            <w:tcW w:w="2409" w:type="dxa"/>
            <w:tcBorders>
              <w:top w:val="single" w:sz="4" w:space="0" w:color="auto"/>
            </w:tcBorders>
          </w:tcPr>
          <w:p>
            <w:pPr>
              <w:pStyle w:val="yTableNAm"/>
            </w:pPr>
            <w:r>
              <w:t>Class 1 (c/kL)</w:t>
            </w:r>
          </w:p>
        </w:tc>
        <w:tc>
          <w:tcPr>
            <w:tcW w:w="2055" w:type="dxa"/>
            <w:tcBorders>
              <w:top w:val="single" w:sz="4" w:space="0" w:color="auto"/>
            </w:tcBorders>
            <w:vAlign w:val="bottom"/>
          </w:tcPr>
          <w:p>
            <w:pPr>
              <w:pStyle w:val="yTableNAm"/>
              <w:jc w:val="center"/>
            </w:pPr>
            <w:r>
              <w:t>174.7</w:t>
            </w:r>
          </w:p>
        </w:tc>
        <w:tc>
          <w:tcPr>
            <w:tcW w:w="2056" w:type="dxa"/>
            <w:tcBorders>
              <w:top w:val="single" w:sz="4" w:space="0" w:color="auto"/>
            </w:tcBorders>
            <w:vAlign w:val="bottom"/>
          </w:tcPr>
          <w:p>
            <w:pPr>
              <w:pStyle w:val="yTableNAm"/>
              <w:jc w:val="center"/>
            </w:pPr>
            <w:r>
              <w:t>192.6</w:t>
            </w:r>
          </w:p>
        </w:tc>
      </w:tr>
      <w:tr>
        <w:tc>
          <w:tcPr>
            <w:tcW w:w="2409" w:type="dxa"/>
          </w:tcPr>
          <w:p>
            <w:pPr>
              <w:pStyle w:val="yTableNAm"/>
            </w:pPr>
            <w:r>
              <w:t>Class 2 (c/kL)</w:t>
            </w:r>
          </w:p>
        </w:tc>
        <w:tc>
          <w:tcPr>
            <w:tcW w:w="2055" w:type="dxa"/>
            <w:vAlign w:val="bottom"/>
          </w:tcPr>
          <w:p>
            <w:pPr>
              <w:pStyle w:val="yTableNAm"/>
              <w:jc w:val="center"/>
            </w:pPr>
            <w:r>
              <w:t>191.6</w:t>
            </w:r>
          </w:p>
        </w:tc>
        <w:tc>
          <w:tcPr>
            <w:tcW w:w="2056" w:type="dxa"/>
            <w:vAlign w:val="bottom"/>
          </w:tcPr>
          <w:p>
            <w:pPr>
              <w:pStyle w:val="yTableNAm"/>
              <w:jc w:val="center"/>
            </w:pPr>
            <w:r>
              <w:t>209.8</w:t>
            </w:r>
          </w:p>
        </w:tc>
      </w:tr>
      <w:tr>
        <w:tc>
          <w:tcPr>
            <w:tcW w:w="2409" w:type="dxa"/>
          </w:tcPr>
          <w:p>
            <w:pPr>
              <w:pStyle w:val="yTableNAm"/>
            </w:pPr>
            <w:r>
              <w:t>Class 3 (c/kL)</w:t>
            </w:r>
          </w:p>
        </w:tc>
        <w:tc>
          <w:tcPr>
            <w:tcW w:w="2055" w:type="dxa"/>
            <w:vAlign w:val="bottom"/>
          </w:tcPr>
          <w:p>
            <w:pPr>
              <w:pStyle w:val="yTableNAm"/>
              <w:jc w:val="center"/>
            </w:pPr>
            <w:r>
              <w:t>209.8</w:t>
            </w:r>
          </w:p>
        </w:tc>
        <w:tc>
          <w:tcPr>
            <w:tcW w:w="2056" w:type="dxa"/>
            <w:vAlign w:val="bottom"/>
          </w:tcPr>
          <w:p>
            <w:pPr>
              <w:pStyle w:val="yTableNAm"/>
              <w:jc w:val="center"/>
            </w:pPr>
            <w:r>
              <w:t>228.2</w:t>
            </w:r>
          </w:p>
        </w:tc>
      </w:tr>
      <w:tr>
        <w:tc>
          <w:tcPr>
            <w:tcW w:w="2409" w:type="dxa"/>
          </w:tcPr>
          <w:p>
            <w:pPr>
              <w:pStyle w:val="yTableNAm"/>
            </w:pPr>
            <w:r>
              <w:t>Class 4 (c/kL)</w:t>
            </w:r>
          </w:p>
        </w:tc>
        <w:tc>
          <w:tcPr>
            <w:tcW w:w="2055" w:type="dxa"/>
            <w:vAlign w:val="bottom"/>
          </w:tcPr>
          <w:p>
            <w:pPr>
              <w:pStyle w:val="yTableNAm"/>
              <w:jc w:val="center"/>
            </w:pPr>
            <w:r>
              <w:t>230.0</w:t>
            </w:r>
          </w:p>
        </w:tc>
        <w:tc>
          <w:tcPr>
            <w:tcW w:w="2056" w:type="dxa"/>
            <w:vAlign w:val="bottom"/>
          </w:tcPr>
          <w:p>
            <w:pPr>
              <w:pStyle w:val="yTableNAm"/>
              <w:jc w:val="center"/>
            </w:pPr>
            <w:r>
              <w:t>248.6</w:t>
            </w:r>
          </w:p>
        </w:tc>
      </w:tr>
      <w:tr>
        <w:tc>
          <w:tcPr>
            <w:tcW w:w="2409" w:type="dxa"/>
          </w:tcPr>
          <w:p>
            <w:pPr>
              <w:pStyle w:val="yTableNAm"/>
            </w:pPr>
            <w:r>
              <w:t>Class 5 (c/kL)</w:t>
            </w:r>
          </w:p>
        </w:tc>
        <w:tc>
          <w:tcPr>
            <w:tcW w:w="2055" w:type="dxa"/>
            <w:vAlign w:val="bottom"/>
          </w:tcPr>
          <w:p>
            <w:pPr>
              <w:pStyle w:val="yTableNAm"/>
              <w:jc w:val="center"/>
            </w:pPr>
            <w:r>
              <w:t>252.2</w:t>
            </w:r>
          </w:p>
        </w:tc>
        <w:tc>
          <w:tcPr>
            <w:tcW w:w="2056" w:type="dxa"/>
            <w:vAlign w:val="bottom"/>
          </w:tcPr>
          <w:p>
            <w:pPr>
              <w:pStyle w:val="yTableNAm"/>
              <w:jc w:val="center"/>
            </w:pPr>
            <w:r>
              <w:t>270.7</w:t>
            </w:r>
          </w:p>
        </w:tc>
      </w:tr>
      <w:tr>
        <w:tc>
          <w:tcPr>
            <w:tcW w:w="2409" w:type="dxa"/>
          </w:tcPr>
          <w:p>
            <w:pPr>
              <w:pStyle w:val="yTableNAm"/>
            </w:pPr>
            <w:r>
              <w:t>Class 6 (c/kL)</w:t>
            </w:r>
          </w:p>
        </w:tc>
        <w:tc>
          <w:tcPr>
            <w:tcW w:w="2055" w:type="dxa"/>
            <w:vAlign w:val="bottom"/>
          </w:tcPr>
          <w:p>
            <w:pPr>
              <w:pStyle w:val="yTableNAm"/>
              <w:jc w:val="center"/>
            </w:pPr>
            <w:r>
              <w:t>274.4</w:t>
            </w:r>
          </w:p>
        </w:tc>
        <w:tc>
          <w:tcPr>
            <w:tcW w:w="2056" w:type="dxa"/>
            <w:vAlign w:val="bottom"/>
          </w:tcPr>
          <w:p>
            <w:pPr>
              <w:pStyle w:val="yTableNAm"/>
              <w:jc w:val="center"/>
            </w:pPr>
            <w:r>
              <w:t>294.8</w:t>
            </w:r>
          </w:p>
        </w:tc>
      </w:tr>
      <w:tr>
        <w:tc>
          <w:tcPr>
            <w:tcW w:w="2409" w:type="dxa"/>
          </w:tcPr>
          <w:p>
            <w:pPr>
              <w:pStyle w:val="yTableNAm"/>
            </w:pPr>
            <w:r>
              <w:t>Class 7 (c/kL)</w:t>
            </w:r>
          </w:p>
        </w:tc>
        <w:tc>
          <w:tcPr>
            <w:tcW w:w="2055" w:type="dxa"/>
            <w:vAlign w:val="bottom"/>
          </w:tcPr>
          <w:p>
            <w:pPr>
              <w:pStyle w:val="yTableNAm"/>
              <w:jc w:val="center"/>
            </w:pPr>
            <w:r>
              <w:t>298.6</w:t>
            </w:r>
          </w:p>
        </w:tc>
        <w:tc>
          <w:tcPr>
            <w:tcW w:w="2056" w:type="dxa"/>
            <w:vAlign w:val="bottom"/>
          </w:tcPr>
          <w:p>
            <w:pPr>
              <w:pStyle w:val="yTableNAm"/>
              <w:jc w:val="center"/>
            </w:pPr>
            <w:r>
              <w:t>321.1</w:t>
            </w:r>
          </w:p>
        </w:tc>
      </w:tr>
      <w:tr>
        <w:tc>
          <w:tcPr>
            <w:tcW w:w="2409" w:type="dxa"/>
          </w:tcPr>
          <w:p>
            <w:pPr>
              <w:pStyle w:val="yTableNAm"/>
            </w:pPr>
            <w:r>
              <w:t>Class 8 (c/kL)</w:t>
            </w:r>
          </w:p>
        </w:tc>
        <w:tc>
          <w:tcPr>
            <w:tcW w:w="2055" w:type="dxa"/>
            <w:vAlign w:val="bottom"/>
          </w:tcPr>
          <w:p>
            <w:pPr>
              <w:pStyle w:val="yTableNAm"/>
              <w:jc w:val="center"/>
            </w:pPr>
            <w:r>
              <w:t>324.2</w:t>
            </w:r>
          </w:p>
        </w:tc>
        <w:tc>
          <w:tcPr>
            <w:tcW w:w="2056" w:type="dxa"/>
            <w:vAlign w:val="bottom"/>
          </w:tcPr>
          <w:p>
            <w:pPr>
              <w:pStyle w:val="yTableNAm"/>
              <w:jc w:val="center"/>
            </w:pPr>
            <w:r>
              <w:t>349.6</w:t>
            </w:r>
          </w:p>
        </w:tc>
      </w:tr>
      <w:tr>
        <w:tc>
          <w:tcPr>
            <w:tcW w:w="2409" w:type="dxa"/>
          </w:tcPr>
          <w:p>
            <w:pPr>
              <w:pStyle w:val="yTableNAm"/>
            </w:pPr>
            <w:r>
              <w:t>Class 9 (c/kL)</w:t>
            </w:r>
          </w:p>
        </w:tc>
        <w:tc>
          <w:tcPr>
            <w:tcW w:w="2055" w:type="dxa"/>
            <w:vAlign w:val="bottom"/>
          </w:tcPr>
          <w:p>
            <w:pPr>
              <w:pStyle w:val="yTableNAm"/>
              <w:jc w:val="center"/>
            </w:pPr>
            <w:r>
              <w:t>352.0</w:t>
            </w:r>
          </w:p>
        </w:tc>
        <w:tc>
          <w:tcPr>
            <w:tcW w:w="2056" w:type="dxa"/>
            <w:vAlign w:val="bottom"/>
          </w:tcPr>
          <w:p>
            <w:pPr>
              <w:pStyle w:val="yTableNAm"/>
              <w:jc w:val="center"/>
            </w:pPr>
            <w:r>
              <w:t>380.7</w:t>
            </w:r>
          </w:p>
        </w:tc>
      </w:tr>
      <w:tr>
        <w:tc>
          <w:tcPr>
            <w:tcW w:w="2409" w:type="dxa"/>
          </w:tcPr>
          <w:p>
            <w:pPr>
              <w:pStyle w:val="yTableNAm"/>
            </w:pPr>
            <w:r>
              <w:t>Class 10 (c/kL)</w:t>
            </w:r>
          </w:p>
        </w:tc>
        <w:tc>
          <w:tcPr>
            <w:tcW w:w="2055" w:type="dxa"/>
            <w:vAlign w:val="bottom"/>
          </w:tcPr>
          <w:p>
            <w:pPr>
              <w:pStyle w:val="yTableNAm"/>
              <w:jc w:val="center"/>
            </w:pPr>
            <w:r>
              <w:t>379.0</w:t>
            </w:r>
          </w:p>
        </w:tc>
        <w:tc>
          <w:tcPr>
            <w:tcW w:w="2056" w:type="dxa"/>
            <w:vAlign w:val="bottom"/>
          </w:tcPr>
          <w:p>
            <w:pPr>
              <w:pStyle w:val="yTableNAm"/>
              <w:jc w:val="center"/>
            </w:pPr>
            <w:r>
              <w:t>414.6</w:t>
            </w:r>
          </w:p>
        </w:tc>
      </w:tr>
      <w:tr>
        <w:tc>
          <w:tcPr>
            <w:tcW w:w="2409" w:type="dxa"/>
          </w:tcPr>
          <w:p>
            <w:pPr>
              <w:pStyle w:val="yTableNAm"/>
            </w:pPr>
            <w:r>
              <w:t>Class 11 (c/kL)</w:t>
            </w:r>
          </w:p>
        </w:tc>
        <w:tc>
          <w:tcPr>
            <w:tcW w:w="2055" w:type="dxa"/>
            <w:vAlign w:val="bottom"/>
          </w:tcPr>
          <w:p>
            <w:pPr>
              <w:pStyle w:val="yTableNAm"/>
              <w:jc w:val="center"/>
            </w:pPr>
            <w:r>
              <w:t>413.5</w:t>
            </w:r>
          </w:p>
        </w:tc>
        <w:tc>
          <w:tcPr>
            <w:tcW w:w="2056" w:type="dxa"/>
            <w:vAlign w:val="bottom"/>
          </w:tcPr>
          <w:p>
            <w:pPr>
              <w:pStyle w:val="yTableNAm"/>
              <w:jc w:val="center"/>
            </w:pPr>
            <w:r>
              <w:t>451.4</w:t>
            </w:r>
          </w:p>
        </w:tc>
      </w:tr>
      <w:tr>
        <w:tc>
          <w:tcPr>
            <w:tcW w:w="2409" w:type="dxa"/>
          </w:tcPr>
          <w:p>
            <w:pPr>
              <w:pStyle w:val="yTableNAm"/>
            </w:pPr>
            <w:r>
              <w:t>Class 12 (c/kL)</w:t>
            </w:r>
          </w:p>
        </w:tc>
        <w:tc>
          <w:tcPr>
            <w:tcW w:w="2055" w:type="dxa"/>
            <w:vAlign w:val="bottom"/>
          </w:tcPr>
          <w:p>
            <w:pPr>
              <w:pStyle w:val="yTableNAm"/>
              <w:jc w:val="center"/>
            </w:pPr>
            <w:r>
              <w:t>451.3</w:t>
            </w:r>
          </w:p>
        </w:tc>
        <w:tc>
          <w:tcPr>
            <w:tcW w:w="2056" w:type="dxa"/>
            <w:vAlign w:val="bottom"/>
          </w:tcPr>
          <w:p>
            <w:pPr>
              <w:pStyle w:val="yTableNAm"/>
              <w:jc w:val="center"/>
            </w:pPr>
            <w:r>
              <w:t>491.6</w:t>
            </w:r>
          </w:p>
        </w:tc>
      </w:tr>
      <w:tr>
        <w:tc>
          <w:tcPr>
            <w:tcW w:w="2409" w:type="dxa"/>
          </w:tcPr>
          <w:p>
            <w:pPr>
              <w:pStyle w:val="yTableNAm"/>
            </w:pPr>
            <w:r>
              <w:t>Class 13 (c/kL)</w:t>
            </w:r>
          </w:p>
        </w:tc>
        <w:tc>
          <w:tcPr>
            <w:tcW w:w="2055" w:type="dxa"/>
            <w:vAlign w:val="bottom"/>
          </w:tcPr>
          <w:p>
            <w:pPr>
              <w:pStyle w:val="yTableNAm"/>
              <w:jc w:val="center"/>
            </w:pPr>
            <w:r>
              <w:t>492.4</w:t>
            </w:r>
          </w:p>
        </w:tc>
        <w:tc>
          <w:tcPr>
            <w:tcW w:w="2056" w:type="dxa"/>
            <w:vAlign w:val="bottom"/>
          </w:tcPr>
          <w:p>
            <w:pPr>
              <w:pStyle w:val="yTableNAm"/>
              <w:jc w:val="center"/>
            </w:pPr>
            <w:r>
              <w:t>535.3</w:t>
            </w:r>
          </w:p>
        </w:tc>
      </w:tr>
      <w:tr>
        <w:tc>
          <w:tcPr>
            <w:tcW w:w="2409" w:type="dxa"/>
          </w:tcPr>
          <w:p>
            <w:pPr>
              <w:pStyle w:val="yTableNAm"/>
            </w:pPr>
            <w:r>
              <w:t>Class 14 (c/kL)</w:t>
            </w:r>
          </w:p>
        </w:tc>
        <w:tc>
          <w:tcPr>
            <w:tcW w:w="2055" w:type="dxa"/>
            <w:vAlign w:val="bottom"/>
          </w:tcPr>
          <w:p>
            <w:pPr>
              <w:pStyle w:val="yTableNAm"/>
              <w:jc w:val="center"/>
            </w:pPr>
            <w:r>
              <w:t>537.3</w:t>
            </w:r>
          </w:p>
        </w:tc>
        <w:tc>
          <w:tcPr>
            <w:tcW w:w="2056" w:type="dxa"/>
            <w:vAlign w:val="bottom"/>
          </w:tcPr>
          <w:p>
            <w:pPr>
              <w:pStyle w:val="yTableNAm"/>
              <w:jc w:val="center"/>
            </w:pPr>
            <w:r>
              <w:t>582.9</w:t>
            </w:r>
          </w:p>
        </w:tc>
      </w:tr>
      <w:tr>
        <w:tc>
          <w:tcPr>
            <w:tcW w:w="2409" w:type="dxa"/>
            <w:tcBorders>
              <w:bottom w:val="single" w:sz="4" w:space="0" w:color="auto"/>
            </w:tcBorders>
          </w:tcPr>
          <w:p>
            <w:pPr>
              <w:pStyle w:val="yTableNAm"/>
            </w:pPr>
            <w:r>
              <w:t>Class 15 (c/kL)</w:t>
            </w:r>
          </w:p>
        </w:tc>
        <w:tc>
          <w:tcPr>
            <w:tcW w:w="2055" w:type="dxa"/>
            <w:tcBorders>
              <w:bottom w:val="single" w:sz="4" w:space="0" w:color="auto"/>
            </w:tcBorders>
            <w:vAlign w:val="bottom"/>
          </w:tcPr>
          <w:p>
            <w:pPr>
              <w:pStyle w:val="yTableNAm"/>
              <w:jc w:val="center"/>
            </w:pPr>
            <w:r>
              <w:t>586.2</w:t>
            </w:r>
          </w:p>
        </w:tc>
        <w:tc>
          <w:tcPr>
            <w:tcW w:w="2056" w:type="dxa"/>
            <w:tcBorders>
              <w:bottom w:val="single" w:sz="4" w:space="0" w:color="auto"/>
            </w:tcBorders>
            <w:vAlign w:val="bottom"/>
          </w:tcPr>
          <w:p>
            <w:pPr>
              <w:pStyle w:val="yTableNAm"/>
              <w:jc w:val="center"/>
            </w:pPr>
            <w:r>
              <w:t>634.7</w:t>
            </w:r>
          </w:p>
        </w:tc>
      </w:tr>
    </w:tbl>
    <w:p>
      <w:pPr>
        <w:pStyle w:val="yFootnotesection"/>
      </w:pPr>
      <w:r>
        <w:tab/>
        <w:t>[Schedule 8 inserted in Gazette 20 Jun 2012 p. 2753</w:t>
      </w:r>
      <w:r>
        <w:noBreakHyphen/>
        <w:t>4.]</w:t>
      </w:r>
    </w:p>
    <w:p>
      <w:pPr>
        <w:tabs>
          <w:tab w:val="left" w:pos="416"/>
          <w:tab w:val="left" w:pos="697"/>
          <w:tab w:val="left" w:pos="776"/>
          <w:tab w:val="left" w:pos="840"/>
          <w:tab w:val="left" w:pos="896"/>
          <w:tab w:val="left" w:pos="1016"/>
          <w:tab w:val="left" w:pos="1057"/>
          <w:tab w:val="decimal" w:pos="1172"/>
          <w:tab w:val="right" w:pos="1212"/>
          <w:tab w:val="left" w:pos="1452"/>
          <w:tab w:val="left" w:pos="1856"/>
          <w:tab w:val="left" w:leader="dot" w:pos="4212"/>
          <w:tab w:val="right" w:leader="dot" w:pos="4253"/>
          <w:tab w:val="left" w:leader="dot" w:pos="4584"/>
          <w:tab w:val="left" w:pos="5387"/>
        </w:tabs>
        <w:spacing w:before="180"/>
        <w:ind w:left="896" w:right="116" w:hanging="896"/>
        <w:rPr>
          <w:b/>
          <w:bCs/>
        </w:rPr>
        <w:sectPr>
          <w:headerReference w:type="even" r:id="rId30"/>
          <w:pgSz w:w="11907" w:h="16840" w:code="9"/>
          <w:pgMar w:top="2604" w:right="2405" w:bottom="3542" w:left="2405" w:header="706" w:footer="3380" w:gutter="0"/>
          <w:cols w:space="720"/>
          <w:noEndnote/>
          <w:docGrid w:linePitch="326"/>
        </w:sectPr>
      </w:pPr>
    </w:p>
    <w:p>
      <w:pPr>
        <w:pStyle w:val="yScheduleHeading"/>
      </w:pPr>
      <w:bookmarkStart w:id="96" w:name="_Toc84428019"/>
      <w:r>
        <w:rPr>
          <w:rStyle w:val="CharSchNo"/>
        </w:rPr>
        <w:lastRenderedPageBreak/>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96"/>
    </w:p>
    <w:p>
      <w:pPr>
        <w:pStyle w:val="yShoulderClause"/>
      </w:pPr>
      <w:r>
        <w:t>[bl. 17D(3)]</w:t>
      </w:r>
    </w:p>
    <w:p>
      <w:pPr>
        <w:pStyle w:val="yFootnoteheading"/>
        <w:spacing w:after="60"/>
      </w:pPr>
      <w:r>
        <w:tab/>
        <w:t>[Heading inserted in Gazette 20 Jun 2012 p. 2755.]</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800"/>
      </w:tblGrid>
      <w:tr>
        <w:trPr>
          <w:tblHeader/>
        </w:trPr>
        <w:tc>
          <w:tcPr>
            <w:tcW w:w="2920" w:type="dxa"/>
            <w:tcBorders>
              <w:top w:val="single" w:sz="4" w:space="0" w:color="auto"/>
              <w:left w:val="nil"/>
              <w:bottom w:val="single" w:sz="4" w:space="0" w:color="auto"/>
              <w:right w:val="nil"/>
            </w:tcBorders>
          </w:tcPr>
          <w:p>
            <w:pPr>
              <w:pStyle w:val="yTableNAm"/>
              <w:jc w:val="center"/>
              <w:rPr>
                <w:b/>
                <w:bCs/>
              </w:rPr>
            </w:pPr>
            <w:r>
              <w:rPr>
                <w:b/>
                <w:bCs/>
              </w:rPr>
              <w:t>Town/area</w:t>
            </w:r>
          </w:p>
        </w:tc>
        <w:tc>
          <w:tcPr>
            <w:tcW w:w="1800" w:type="dxa"/>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00" w:type="dxa"/>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c>
          <w:tcPr>
            <w:tcW w:w="2920" w:type="dxa"/>
            <w:tcBorders>
              <w:top w:val="single" w:sz="4" w:space="0" w:color="auto"/>
              <w:left w:val="nil"/>
              <w:bottom w:val="nil"/>
              <w:right w:val="nil"/>
            </w:tcBorders>
            <w:vAlign w:val="center"/>
          </w:tcPr>
          <w:p>
            <w:pPr>
              <w:pStyle w:val="yTableNAm"/>
              <w:rPr>
                <w:szCs w:val="22"/>
              </w:rPr>
            </w:pPr>
            <w:r>
              <w:rPr>
                <w:szCs w:val="22"/>
              </w:rPr>
              <w:t>Albany</w:t>
            </w:r>
          </w:p>
        </w:tc>
        <w:tc>
          <w:tcPr>
            <w:tcW w:w="1800" w:type="dxa"/>
            <w:tcBorders>
              <w:top w:val="single" w:sz="4" w:space="0" w:color="auto"/>
              <w:left w:val="nil"/>
              <w:bottom w:val="nil"/>
              <w:right w:val="nil"/>
            </w:tcBorders>
            <w:vAlign w:val="bottom"/>
          </w:tcPr>
          <w:p>
            <w:pPr>
              <w:pStyle w:val="yTableNAm"/>
              <w:jc w:val="center"/>
              <w:rPr>
                <w:szCs w:val="22"/>
              </w:rPr>
            </w:pPr>
            <w:r>
              <w:rPr>
                <w:szCs w:val="22"/>
              </w:rPr>
              <w:t>3</w:t>
            </w:r>
          </w:p>
        </w:tc>
        <w:tc>
          <w:tcPr>
            <w:tcW w:w="1800" w:type="dxa"/>
            <w:tcBorders>
              <w:top w:val="single" w:sz="4" w:space="0" w:color="auto"/>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Albany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Allanooka Farmlands</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Allanson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Arrino</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Arrowsmith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Augusta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Australind/Eaton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Badgingarra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Bakers Hill</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Balingup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Ballidu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Beacon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Bencubbin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Beverley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Bindi Bindi</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Bindoon/Chittering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Binningup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Bodallin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Boddington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Bolgart</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Borden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lastRenderedPageBreak/>
              <w:t>Boyanup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Boyup Brook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Bremer Bay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Bridgetown/Hester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Broad Arrow</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Brookton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Broome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Broomehill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Bruce Rock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Brunswick/Burekup/Roelands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Bullaring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Bullfinch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Bunjil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Buntine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Burracoppin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Calingiri</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Camballin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Capel</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Carnamah</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Carnarvon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Caron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Cervantes</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Collie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Collie Farmlands</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Condingup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lastRenderedPageBreak/>
              <w:t>Coolgardie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Coomberdale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Coorow</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Coral Bay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N/A</w:t>
            </w:r>
          </w:p>
        </w:tc>
      </w:tr>
      <w:tr>
        <w:tc>
          <w:tcPr>
            <w:tcW w:w="2920" w:type="dxa"/>
            <w:tcBorders>
              <w:top w:val="nil"/>
              <w:left w:val="nil"/>
              <w:bottom w:val="nil"/>
              <w:right w:val="nil"/>
            </w:tcBorders>
            <w:vAlign w:val="center"/>
          </w:tcPr>
          <w:p>
            <w:pPr>
              <w:pStyle w:val="yTableNAm"/>
              <w:rPr>
                <w:szCs w:val="22"/>
              </w:rPr>
            </w:pPr>
            <w:r>
              <w:rPr>
                <w:szCs w:val="22"/>
              </w:rPr>
              <w:t>Corrigin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Cowaramup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Cranbrook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Cuballing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Cue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Cunderdin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Dalwallinu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Dalyellup</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Dandaragan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tcPr>
          <w:p>
            <w:pPr>
              <w:pStyle w:val="yTableNAm"/>
              <w:rPr>
                <w:szCs w:val="22"/>
              </w:rPr>
            </w:pPr>
            <w:r>
              <w:rPr>
                <w:szCs w:val="22"/>
              </w:rPr>
              <w:t>Dardanup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Darkan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Dathagnoorara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Denham (Saline)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Denmark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Derby</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Dongara/Denison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Donnybrook</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Doodlakine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Dowerin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Dudinin/Harrismith/Jitarning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Dumbleyung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lastRenderedPageBreak/>
              <w:t>Dunsborough/Yallingup</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Dwellingup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Eneabba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Eradu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Esperance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Exmouth</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Fitzroy Crossing</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Frankland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Gabbadah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Gascoyne Junction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Geraldton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Gibson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Gingin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Gnarabup</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Gnowangerup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Goomalling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Grass Patch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Grass Valley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Greenbushes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Greenhead</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Guilderton</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Halls Creek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Hamel/Waroona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Harvey/Wokalup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Highbury/Piesseville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lastRenderedPageBreak/>
              <w:t>Hines Hill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Hopetoun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Horrocks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Hyden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Jerramungup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Jurien Bay</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Kalannie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Kalbarri</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r>
              <w:rPr>
                <w:szCs w:val="22"/>
              </w:rPr>
              <w:t>Kalgoorlie/Boulder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Kambalda</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7</w:t>
            </w:r>
          </w:p>
        </w:tc>
      </w:tr>
      <w:tr>
        <w:tc>
          <w:tcPr>
            <w:tcW w:w="2920" w:type="dxa"/>
            <w:tcBorders>
              <w:top w:val="nil"/>
              <w:left w:val="nil"/>
              <w:bottom w:val="nil"/>
              <w:right w:val="nil"/>
            </w:tcBorders>
            <w:vAlign w:val="center"/>
          </w:tcPr>
          <w:p>
            <w:pPr>
              <w:pStyle w:val="yTableNAm"/>
              <w:rPr>
                <w:szCs w:val="22"/>
              </w:rPr>
            </w:pPr>
            <w:r>
              <w:rPr>
                <w:szCs w:val="22"/>
              </w:rPr>
              <w:t>Karakin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Karlgarin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Karratha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Katanning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Katanning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Kellerberrin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Kendenup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Kendenup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Kirup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Kojonup/Muradup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Kondinin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Koorda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Kukerin/Moulyinning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Kulin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Kununoppin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tcPr>
          <w:p>
            <w:pPr>
              <w:pStyle w:val="yTableNAm"/>
              <w:rPr>
                <w:szCs w:val="22"/>
              </w:rPr>
            </w:pPr>
            <w:r>
              <w:rPr>
                <w:szCs w:val="22"/>
              </w:rPr>
              <w:lastRenderedPageBreak/>
              <w:t>Kununurra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r>
              <w:rPr>
                <w:szCs w:val="22"/>
              </w:rPr>
              <w:t>Lake Argyle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Lake Grace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Lake King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Lancelin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Latham</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Laverton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Ledge Point</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Leeman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Leonora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Mandurah</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Manjimup</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Marble Bar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Margaret River</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Marvel Loch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Meckering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Meekatharra</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Menzies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Merredin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Merredin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Miling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Mingenew</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Moora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Moorine Rock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Morawa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lastRenderedPageBreak/>
              <w:t>Mount Barker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Mount Magnet</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Mount Roe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Mukinbudin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Mullalyup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Mullewa</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Mullewa Farmlands</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Munglinup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Muntadgin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Myalup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Nabawa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Nannup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Narembeen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Narngulu</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Narrikup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Narrogin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Narrogin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New Norcia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Newdegate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Newman</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Nilgen</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Norseman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North Dandalup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Northam</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Northam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lastRenderedPageBreak/>
              <w:t>Northampton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Northcliffe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Nullagine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Nungarin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Nyabing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Ongerup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Onslow</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Ora Banda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Park Ridge</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Pemberton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Peppermint Grove Beach</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Perenjori</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Pingaring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Pingelly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Pingrup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Pinjarra</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Pithara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Point Samson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Popanyinning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Porongurup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Porongurup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Port Hedland</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Preston Beach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Quairading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Quinninup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lastRenderedPageBreak/>
              <w:t>Ravensthorpe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Rocky Gully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Roebourne</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Salmon Gums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Sandstone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Seabird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South Hedland</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Southern Cross</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Tambellup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Tammin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Three Springs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Tincurrin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Toodyay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Trayning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Varley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Wagin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Walkaway</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Walpole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Wandering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Watheroo</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Wellstead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Westonia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Wickepin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Wickham</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Widgiemooltha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lastRenderedPageBreak/>
              <w:t>Williams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Wiluna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Wongan Hills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Woodanilling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Woodridge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Wubin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Wundowie</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Wyalkatchem</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Wyndham</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Yalgoo</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Yarloop/Wagerup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Yealering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Yerecoin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York</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Yuna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bl>
    <w:p>
      <w:pPr>
        <w:pStyle w:val="yFootnotesection"/>
      </w:pPr>
      <w:r>
        <w:tab/>
        <w:t>[Schedule 9 inserted in Gazette 20 Jun 2012 p. 2755</w:t>
      </w:r>
      <w:r>
        <w:noBreakHyphen/>
        <w:t>64.]</w:t>
      </w:r>
    </w:p>
    <w:p>
      <w:pPr>
        <w:pStyle w:val="yScheduleHeading"/>
      </w:pPr>
      <w:bookmarkStart w:id="97" w:name="_Toc84428020"/>
      <w:r>
        <w:rPr>
          <w:rStyle w:val="CharSchNo"/>
        </w:rPr>
        <w:lastRenderedPageBreak/>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97"/>
    </w:p>
    <w:p>
      <w:pPr>
        <w:pStyle w:val="yShoulderClause"/>
      </w:pPr>
      <w:r>
        <w:t>[bl. 17D(3)]</w:t>
      </w:r>
    </w:p>
    <w:p>
      <w:pPr>
        <w:pStyle w:val="yFootnoteheading"/>
        <w:spacing w:after="60"/>
      </w:pPr>
      <w:r>
        <w:tab/>
        <w:t>[Heading inserted in Gazette 20 Jun 2012 p. 2765.]</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800"/>
      </w:tblGrid>
      <w:tr>
        <w:trPr>
          <w:tblHeader/>
        </w:trPr>
        <w:tc>
          <w:tcPr>
            <w:tcW w:w="2920" w:type="dxa"/>
            <w:tcBorders>
              <w:top w:val="single" w:sz="4" w:space="0" w:color="auto"/>
              <w:left w:val="nil"/>
              <w:bottom w:val="single" w:sz="4" w:space="0" w:color="auto"/>
              <w:right w:val="nil"/>
            </w:tcBorders>
          </w:tcPr>
          <w:p>
            <w:pPr>
              <w:pStyle w:val="yTableNAm"/>
              <w:jc w:val="center"/>
              <w:rPr>
                <w:b/>
                <w:bCs/>
              </w:rPr>
            </w:pPr>
            <w:r>
              <w:rPr>
                <w:b/>
                <w:bCs/>
              </w:rPr>
              <w:t>Town/area</w:t>
            </w:r>
          </w:p>
        </w:tc>
        <w:tc>
          <w:tcPr>
            <w:tcW w:w="1800" w:type="dxa"/>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00" w:type="dxa"/>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c>
          <w:tcPr>
            <w:tcW w:w="2920" w:type="dxa"/>
            <w:tcBorders>
              <w:top w:val="single" w:sz="4" w:space="0" w:color="auto"/>
              <w:left w:val="nil"/>
              <w:bottom w:val="nil"/>
              <w:right w:val="nil"/>
            </w:tcBorders>
            <w:vAlign w:val="center"/>
          </w:tcPr>
          <w:p>
            <w:pPr>
              <w:pStyle w:val="yTableNAm"/>
              <w:rPr>
                <w:szCs w:val="22"/>
              </w:rPr>
            </w:pPr>
            <w:r>
              <w:rPr>
                <w:szCs w:val="22"/>
              </w:rPr>
              <w:t>Albany</w:t>
            </w:r>
          </w:p>
        </w:tc>
        <w:tc>
          <w:tcPr>
            <w:tcW w:w="1800" w:type="dxa"/>
            <w:tcBorders>
              <w:top w:val="single" w:sz="4" w:space="0" w:color="auto"/>
              <w:left w:val="nil"/>
              <w:bottom w:val="nil"/>
              <w:right w:val="nil"/>
            </w:tcBorders>
            <w:vAlign w:val="bottom"/>
          </w:tcPr>
          <w:p>
            <w:pPr>
              <w:pStyle w:val="yTableNAm"/>
              <w:jc w:val="center"/>
              <w:rPr>
                <w:szCs w:val="22"/>
              </w:rPr>
            </w:pPr>
            <w:r>
              <w:rPr>
                <w:szCs w:val="22"/>
              </w:rPr>
              <w:t>3</w:t>
            </w:r>
          </w:p>
        </w:tc>
        <w:tc>
          <w:tcPr>
            <w:tcW w:w="1800" w:type="dxa"/>
            <w:tcBorders>
              <w:top w:val="single" w:sz="4" w:space="0" w:color="auto"/>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Albany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Allanooka Farmlands</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Allanson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Arrino</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Arrowsmith Farmlands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Augusta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Australind/Eaton</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Badgingarra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Bakers Hill</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Balingup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Ballidu</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Beacon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Bencubbin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Beverley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Bindi Bindi</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Bindoon/Chittering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Binningup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Bodallin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Boddington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Bolgart</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lastRenderedPageBreak/>
              <w:t>Borden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Boyanup</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Boyup Brook</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Bremer Bay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Bridgetown/Hester</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Broad Arrow</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Brookton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Broome</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Broomehill</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Bruce Rock</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Brunswick/Burekup/Roelands</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Bullaring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Bullfinch</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Bunjil</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Buntine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Burracoppin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Calingiri</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Camballin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Capel</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5</w:t>
            </w:r>
          </w:p>
        </w:tc>
      </w:tr>
      <w:tr>
        <w:tc>
          <w:tcPr>
            <w:tcW w:w="2920" w:type="dxa"/>
            <w:tcBorders>
              <w:top w:val="nil"/>
              <w:left w:val="nil"/>
              <w:bottom w:val="nil"/>
              <w:right w:val="nil"/>
            </w:tcBorders>
            <w:vAlign w:val="center"/>
          </w:tcPr>
          <w:p>
            <w:pPr>
              <w:pStyle w:val="yTableNAm"/>
              <w:rPr>
                <w:szCs w:val="22"/>
              </w:rPr>
            </w:pPr>
            <w:r>
              <w:rPr>
                <w:szCs w:val="22"/>
              </w:rPr>
              <w:t>Carnamah</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Carnarvon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Caron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Cervantes</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Collie</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Collie Farmlands</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lastRenderedPageBreak/>
              <w:t>Condingup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Coolgardie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Coomberdale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Coorow</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Coral Bay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N/A</w:t>
            </w:r>
          </w:p>
        </w:tc>
      </w:tr>
      <w:tr>
        <w:tc>
          <w:tcPr>
            <w:tcW w:w="2920" w:type="dxa"/>
            <w:tcBorders>
              <w:top w:val="nil"/>
              <w:left w:val="nil"/>
              <w:bottom w:val="nil"/>
              <w:right w:val="nil"/>
            </w:tcBorders>
            <w:vAlign w:val="center"/>
          </w:tcPr>
          <w:p>
            <w:pPr>
              <w:pStyle w:val="yTableNAm"/>
              <w:rPr>
                <w:szCs w:val="22"/>
              </w:rPr>
            </w:pPr>
            <w:r>
              <w:rPr>
                <w:szCs w:val="22"/>
              </w:rPr>
              <w:t>Corrigin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Cowaramup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Cranbrook</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Cuballing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Cue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Cunderdin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Dalwallinu</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Dalyellup</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4</w:t>
            </w:r>
          </w:p>
        </w:tc>
      </w:tr>
      <w:tr>
        <w:tc>
          <w:tcPr>
            <w:tcW w:w="2920" w:type="dxa"/>
            <w:tcBorders>
              <w:top w:val="nil"/>
              <w:left w:val="nil"/>
              <w:bottom w:val="nil"/>
              <w:right w:val="nil"/>
            </w:tcBorders>
            <w:vAlign w:val="center"/>
          </w:tcPr>
          <w:p>
            <w:pPr>
              <w:pStyle w:val="yTableNAm"/>
              <w:rPr>
                <w:szCs w:val="22"/>
              </w:rPr>
            </w:pPr>
            <w:r>
              <w:rPr>
                <w:szCs w:val="22"/>
              </w:rPr>
              <w:t>Dandaragan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tcPr>
          <w:p>
            <w:pPr>
              <w:pStyle w:val="yTableNAm"/>
              <w:rPr>
                <w:szCs w:val="22"/>
              </w:rPr>
            </w:pPr>
            <w:r>
              <w:rPr>
                <w:szCs w:val="22"/>
              </w:rPr>
              <w:t>Dardanup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Darkan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Dathagnoorara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Denham (Saline)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Denmark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Derby</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Dongara/Denison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Donnybrook</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Doodlakine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Dowerin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Dudinin/Harrismith/Jitarning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15</w:t>
            </w:r>
          </w:p>
        </w:tc>
      </w:tr>
      <w:tr>
        <w:tc>
          <w:tcPr>
            <w:tcW w:w="2920" w:type="dxa"/>
            <w:tcBorders>
              <w:top w:val="nil"/>
              <w:left w:val="nil"/>
              <w:bottom w:val="nil"/>
              <w:right w:val="nil"/>
            </w:tcBorders>
            <w:vAlign w:val="center"/>
          </w:tcPr>
          <w:p>
            <w:pPr>
              <w:pStyle w:val="yTableNAm"/>
              <w:rPr>
                <w:szCs w:val="22"/>
              </w:rPr>
            </w:pPr>
            <w:r>
              <w:rPr>
                <w:szCs w:val="22"/>
              </w:rPr>
              <w:lastRenderedPageBreak/>
              <w:t>Dumbleyung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15</w:t>
            </w:r>
          </w:p>
        </w:tc>
      </w:tr>
      <w:tr>
        <w:tc>
          <w:tcPr>
            <w:tcW w:w="2920" w:type="dxa"/>
            <w:tcBorders>
              <w:top w:val="nil"/>
              <w:left w:val="nil"/>
              <w:bottom w:val="nil"/>
              <w:right w:val="nil"/>
            </w:tcBorders>
            <w:vAlign w:val="center"/>
          </w:tcPr>
          <w:p>
            <w:pPr>
              <w:pStyle w:val="yTableNAm"/>
              <w:rPr>
                <w:szCs w:val="22"/>
              </w:rPr>
            </w:pPr>
            <w:r>
              <w:rPr>
                <w:szCs w:val="22"/>
              </w:rPr>
              <w:t>Dunsborough/Yallingup</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Dwellingup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Eneabba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Eradu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Esperance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Exmouth</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Fitzroy Crossing</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r>
              <w:rPr>
                <w:szCs w:val="22"/>
              </w:rPr>
              <w:t>Frankland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Gabbadah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Gascoyne Junction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Geraldton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Gibson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Gingin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Gnarabup</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Gnowangerup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Goomalling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Grass Patch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15</w:t>
            </w:r>
          </w:p>
        </w:tc>
      </w:tr>
      <w:tr>
        <w:tc>
          <w:tcPr>
            <w:tcW w:w="2920" w:type="dxa"/>
            <w:tcBorders>
              <w:top w:val="nil"/>
              <w:left w:val="nil"/>
              <w:bottom w:val="nil"/>
              <w:right w:val="nil"/>
            </w:tcBorders>
            <w:vAlign w:val="center"/>
          </w:tcPr>
          <w:p>
            <w:pPr>
              <w:pStyle w:val="yTableNAm"/>
              <w:rPr>
                <w:szCs w:val="22"/>
              </w:rPr>
            </w:pPr>
            <w:r>
              <w:rPr>
                <w:szCs w:val="22"/>
              </w:rPr>
              <w:t>Grass Valley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Greenbushes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Greenhead</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Guilderton</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Halls Creek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Hamel/Waroona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Harvey/Wokalup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lastRenderedPageBreak/>
              <w:t>Highbury/Piesseville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Hines Hill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Hopetoun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Horrocks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Hyden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Jerramungup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Jurien Bay</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Kalannie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Kalbarri</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r>
              <w:rPr>
                <w:szCs w:val="22"/>
              </w:rPr>
              <w:t>Kalgoorlie/Boulder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Kambalda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Karakin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Karlgarin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15</w:t>
            </w:r>
          </w:p>
        </w:tc>
      </w:tr>
      <w:tr>
        <w:tc>
          <w:tcPr>
            <w:tcW w:w="2920" w:type="dxa"/>
            <w:tcBorders>
              <w:top w:val="nil"/>
              <w:left w:val="nil"/>
              <w:bottom w:val="nil"/>
              <w:right w:val="nil"/>
            </w:tcBorders>
            <w:vAlign w:val="center"/>
          </w:tcPr>
          <w:p>
            <w:pPr>
              <w:pStyle w:val="yTableNAm"/>
              <w:rPr>
                <w:szCs w:val="22"/>
              </w:rPr>
            </w:pPr>
            <w:r>
              <w:rPr>
                <w:szCs w:val="22"/>
              </w:rPr>
              <w:t>Karratha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Katanning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Katanning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Kellerberrin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Kendenup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Kendenup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Kirup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Kojonup/Muradup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Kondinin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Koorda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Kukerin/Moulyinning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15</w:t>
            </w:r>
          </w:p>
        </w:tc>
      </w:tr>
      <w:tr>
        <w:tc>
          <w:tcPr>
            <w:tcW w:w="2920" w:type="dxa"/>
            <w:tcBorders>
              <w:top w:val="nil"/>
              <w:left w:val="nil"/>
              <w:bottom w:val="nil"/>
              <w:right w:val="nil"/>
            </w:tcBorders>
            <w:vAlign w:val="center"/>
          </w:tcPr>
          <w:p>
            <w:pPr>
              <w:pStyle w:val="yTableNAm"/>
              <w:rPr>
                <w:szCs w:val="22"/>
              </w:rPr>
            </w:pPr>
            <w:r>
              <w:rPr>
                <w:szCs w:val="22"/>
              </w:rPr>
              <w:t>Kulin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lastRenderedPageBreak/>
              <w:t>Kununoppin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tcPr>
          <w:p>
            <w:pPr>
              <w:pStyle w:val="yTableNAm"/>
              <w:rPr>
                <w:szCs w:val="22"/>
              </w:rPr>
            </w:pPr>
            <w:r>
              <w:rPr>
                <w:szCs w:val="22"/>
              </w:rPr>
              <w:t>Kununurra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r>
              <w:rPr>
                <w:szCs w:val="22"/>
              </w:rPr>
              <w:t>Lake Grace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Lake King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Lancelin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Latham</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Laverton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Ledge Point</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Leeman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Leonora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Mandurah</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3</w:t>
            </w:r>
          </w:p>
        </w:tc>
      </w:tr>
      <w:tr>
        <w:tc>
          <w:tcPr>
            <w:tcW w:w="2920" w:type="dxa"/>
            <w:tcBorders>
              <w:top w:val="nil"/>
              <w:left w:val="nil"/>
              <w:bottom w:val="nil"/>
              <w:right w:val="nil"/>
            </w:tcBorders>
            <w:vAlign w:val="center"/>
          </w:tcPr>
          <w:p>
            <w:pPr>
              <w:pStyle w:val="yTableNAm"/>
              <w:rPr>
                <w:szCs w:val="22"/>
              </w:rPr>
            </w:pPr>
            <w:r>
              <w:rPr>
                <w:szCs w:val="22"/>
              </w:rPr>
              <w:t>Manjimup</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Marble Bar</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Margaret River</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4</w:t>
            </w:r>
          </w:p>
        </w:tc>
      </w:tr>
      <w:tr>
        <w:tc>
          <w:tcPr>
            <w:tcW w:w="2920" w:type="dxa"/>
            <w:tcBorders>
              <w:top w:val="nil"/>
              <w:left w:val="nil"/>
              <w:bottom w:val="nil"/>
              <w:right w:val="nil"/>
            </w:tcBorders>
            <w:vAlign w:val="center"/>
          </w:tcPr>
          <w:p>
            <w:pPr>
              <w:pStyle w:val="yTableNAm"/>
              <w:rPr>
                <w:szCs w:val="22"/>
              </w:rPr>
            </w:pPr>
            <w:r>
              <w:rPr>
                <w:szCs w:val="22"/>
              </w:rPr>
              <w:t>Marvel Loch</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Meckering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Meekatharra</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Menzies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Merredin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Merredin Farmlands</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9</w:t>
            </w:r>
          </w:p>
        </w:tc>
      </w:tr>
      <w:tr>
        <w:tc>
          <w:tcPr>
            <w:tcW w:w="2920" w:type="dxa"/>
            <w:tcBorders>
              <w:top w:val="nil"/>
              <w:left w:val="nil"/>
              <w:bottom w:val="nil"/>
              <w:right w:val="nil"/>
            </w:tcBorders>
            <w:vAlign w:val="center"/>
          </w:tcPr>
          <w:p>
            <w:pPr>
              <w:pStyle w:val="yTableNAm"/>
              <w:rPr>
                <w:szCs w:val="22"/>
              </w:rPr>
            </w:pPr>
            <w:r>
              <w:rPr>
                <w:szCs w:val="22"/>
              </w:rPr>
              <w:t>Miling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Mingenew</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Moora</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3</w:t>
            </w:r>
          </w:p>
        </w:tc>
      </w:tr>
      <w:tr>
        <w:tc>
          <w:tcPr>
            <w:tcW w:w="2920" w:type="dxa"/>
            <w:tcBorders>
              <w:top w:val="nil"/>
              <w:left w:val="nil"/>
              <w:bottom w:val="nil"/>
              <w:right w:val="nil"/>
            </w:tcBorders>
            <w:vAlign w:val="center"/>
          </w:tcPr>
          <w:p>
            <w:pPr>
              <w:pStyle w:val="yTableNAm"/>
              <w:rPr>
                <w:szCs w:val="22"/>
              </w:rPr>
            </w:pPr>
            <w:r>
              <w:rPr>
                <w:szCs w:val="22"/>
              </w:rPr>
              <w:t>Moorine Rock</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Morawa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lastRenderedPageBreak/>
              <w:t>Mount Barker</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Mount Magnet</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Mount Roe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Mukinbudin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Mullalyup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Mullewa</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Mullewa Farmlands</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Munglinup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Muntadgin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Myalup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Nabawa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Nannup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Narembeen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Narngulu</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Narrikup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Narrogin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Narrogin Farmlands</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8</w:t>
            </w:r>
          </w:p>
        </w:tc>
      </w:tr>
      <w:tr>
        <w:tc>
          <w:tcPr>
            <w:tcW w:w="2920" w:type="dxa"/>
            <w:tcBorders>
              <w:top w:val="nil"/>
              <w:left w:val="nil"/>
              <w:bottom w:val="nil"/>
              <w:right w:val="nil"/>
            </w:tcBorders>
            <w:vAlign w:val="center"/>
          </w:tcPr>
          <w:p>
            <w:pPr>
              <w:pStyle w:val="yTableNAm"/>
              <w:rPr>
                <w:szCs w:val="22"/>
              </w:rPr>
            </w:pPr>
            <w:r>
              <w:rPr>
                <w:szCs w:val="22"/>
              </w:rPr>
              <w:t>New Norcia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Newdegate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Newman</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Nilgen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7</w:t>
            </w:r>
          </w:p>
        </w:tc>
      </w:tr>
      <w:tr>
        <w:tc>
          <w:tcPr>
            <w:tcW w:w="2920" w:type="dxa"/>
            <w:tcBorders>
              <w:top w:val="nil"/>
              <w:left w:val="nil"/>
              <w:bottom w:val="nil"/>
              <w:right w:val="nil"/>
            </w:tcBorders>
            <w:vAlign w:val="center"/>
          </w:tcPr>
          <w:p>
            <w:pPr>
              <w:pStyle w:val="yTableNAm"/>
              <w:rPr>
                <w:szCs w:val="22"/>
              </w:rPr>
            </w:pPr>
            <w:r>
              <w:rPr>
                <w:szCs w:val="22"/>
              </w:rPr>
              <w:t>Norseman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13</w:t>
            </w:r>
          </w:p>
        </w:tc>
      </w:tr>
      <w:tr>
        <w:tc>
          <w:tcPr>
            <w:tcW w:w="2920" w:type="dxa"/>
            <w:tcBorders>
              <w:top w:val="nil"/>
              <w:left w:val="nil"/>
              <w:bottom w:val="nil"/>
              <w:right w:val="nil"/>
            </w:tcBorders>
            <w:vAlign w:val="center"/>
          </w:tcPr>
          <w:p>
            <w:pPr>
              <w:pStyle w:val="yTableNAm"/>
              <w:rPr>
                <w:szCs w:val="22"/>
              </w:rPr>
            </w:pPr>
            <w:r>
              <w:rPr>
                <w:szCs w:val="22"/>
              </w:rPr>
              <w:t>North Dandalup</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9</w:t>
            </w:r>
          </w:p>
        </w:tc>
      </w:tr>
      <w:tr>
        <w:tc>
          <w:tcPr>
            <w:tcW w:w="2920" w:type="dxa"/>
            <w:tcBorders>
              <w:top w:val="nil"/>
              <w:left w:val="nil"/>
              <w:bottom w:val="nil"/>
              <w:right w:val="nil"/>
            </w:tcBorders>
            <w:vAlign w:val="center"/>
          </w:tcPr>
          <w:p>
            <w:pPr>
              <w:pStyle w:val="yTableNAm"/>
              <w:rPr>
                <w:szCs w:val="22"/>
              </w:rPr>
            </w:pPr>
            <w:r>
              <w:rPr>
                <w:szCs w:val="22"/>
              </w:rPr>
              <w:t>Northam</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Northam Farmlands</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9</w:t>
            </w:r>
          </w:p>
        </w:tc>
      </w:tr>
      <w:tr>
        <w:tc>
          <w:tcPr>
            <w:tcW w:w="2920" w:type="dxa"/>
            <w:tcBorders>
              <w:top w:val="nil"/>
              <w:left w:val="nil"/>
              <w:bottom w:val="nil"/>
              <w:right w:val="nil"/>
            </w:tcBorders>
            <w:vAlign w:val="center"/>
          </w:tcPr>
          <w:p>
            <w:pPr>
              <w:pStyle w:val="yTableNAm"/>
              <w:rPr>
                <w:szCs w:val="22"/>
              </w:rPr>
            </w:pPr>
            <w:r>
              <w:rPr>
                <w:szCs w:val="22"/>
              </w:rPr>
              <w:lastRenderedPageBreak/>
              <w:t>Northampton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Northcliffe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Nullagine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Nungarin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Nyabing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Ongerup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Onslow</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Ora Banda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Park Ridge</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Pemberton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Peppermint Grove Beach</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Perenjori</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Pingaring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Pingelly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Pingrup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Pinjarra</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Pithara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Point Samson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Popanyinning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Porongurup</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4</w:t>
            </w:r>
          </w:p>
        </w:tc>
      </w:tr>
      <w:tr>
        <w:tc>
          <w:tcPr>
            <w:tcW w:w="2920" w:type="dxa"/>
            <w:tcBorders>
              <w:top w:val="nil"/>
              <w:left w:val="nil"/>
              <w:bottom w:val="nil"/>
              <w:right w:val="nil"/>
            </w:tcBorders>
            <w:vAlign w:val="center"/>
          </w:tcPr>
          <w:p>
            <w:pPr>
              <w:pStyle w:val="yTableNAm"/>
              <w:rPr>
                <w:szCs w:val="22"/>
              </w:rPr>
            </w:pPr>
            <w:r>
              <w:rPr>
                <w:szCs w:val="22"/>
              </w:rPr>
              <w:t>Porongurup Farmlands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Port Hedland</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5</w:t>
            </w:r>
          </w:p>
        </w:tc>
      </w:tr>
      <w:tr>
        <w:tc>
          <w:tcPr>
            <w:tcW w:w="2920" w:type="dxa"/>
            <w:tcBorders>
              <w:top w:val="nil"/>
              <w:left w:val="nil"/>
              <w:bottom w:val="nil"/>
              <w:right w:val="nil"/>
            </w:tcBorders>
            <w:vAlign w:val="center"/>
          </w:tcPr>
          <w:p>
            <w:pPr>
              <w:pStyle w:val="yTableNAm"/>
              <w:rPr>
                <w:szCs w:val="22"/>
              </w:rPr>
            </w:pPr>
            <w:r>
              <w:rPr>
                <w:szCs w:val="22"/>
              </w:rPr>
              <w:t>Preston Beach</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Quairading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Quinninup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lastRenderedPageBreak/>
              <w:t>Ravensthorpe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Rocky Gully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Roebourne</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Salmon Gums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Sandstone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Seabird</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South Hedland</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5</w:t>
            </w:r>
          </w:p>
        </w:tc>
      </w:tr>
      <w:tr>
        <w:tc>
          <w:tcPr>
            <w:tcW w:w="2920" w:type="dxa"/>
            <w:tcBorders>
              <w:top w:val="nil"/>
              <w:left w:val="nil"/>
              <w:bottom w:val="nil"/>
              <w:right w:val="nil"/>
            </w:tcBorders>
            <w:vAlign w:val="center"/>
          </w:tcPr>
          <w:p>
            <w:pPr>
              <w:pStyle w:val="yTableNAm"/>
              <w:rPr>
                <w:szCs w:val="22"/>
              </w:rPr>
            </w:pPr>
            <w:r>
              <w:rPr>
                <w:szCs w:val="22"/>
              </w:rPr>
              <w:t>Southern Cross</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9</w:t>
            </w:r>
          </w:p>
        </w:tc>
      </w:tr>
      <w:tr>
        <w:tc>
          <w:tcPr>
            <w:tcW w:w="2920" w:type="dxa"/>
            <w:tcBorders>
              <w:top w:val="nil"/>
              <w:left w:val="nil"/>
              <w:bottom w:val="nil"/>
              <w:right w:val="nil"/>
            </w:tcBorders>
            <w:vAlign w:val="center"/>
          </w:tcPr>
          <w:p>
            <w:pPr>
              <w:pStyle w:val="yTableNAm"/>
              <w:rPr>
                <w:szCs w:val="22"/>
              </w:rPr>
            </w:pPr>
            <w:r>
              <w:rPr>
                <w:szCs w:val="22"/>
              </w:rPr>
              <w:t>Tambellup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Tammin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Three Springs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Tincurrin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Toodyay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Trayning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Varley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Wagin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Walkaway</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Walpole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Wandering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Watheroo</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Wellstead</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Westonia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Wickepin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Wickham</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Widgiemooltha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lastRenderedPageBreak/>
              <w:t>Williams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Wiluna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Wongan Hills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Woodanilling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Woodridge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Wubin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Wundowie</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Wyalkatchem</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Wyndham</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Yalgoo</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Yarloop/Wagerup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Yealering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Yerecoin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York</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Yuna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bl>
    <w:p>
      <w:pPr>
        <w:pStyle w:val="yFootnotesection"/>
      </w:pPr>
      <w:r>
        <w:tab/>
        <w:t>[Schedule 10 inserted in Gazette 20 Jun 2012 p. 2765</w:t>
      </w:r>
      <w:r>
        <w:noBreakHyphen/>
        <w:t>74.]</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98" w:name="_Toc84428021"/>
      <w:r>
        <w:lastRenderedPageBreak/>
        <w:t>Notes</w:t>
      </w:r>
      <w:bookmarkEnd w:id="98"/>
    </w:p>
    <w:p>
      <w:pPr>
        <w:pStyle w:val="nNote"/>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pPr>
      <w:bookmarkStart w:id="99" w:name="_Toc84428022"/>
      <w:r>
        <w:t>Compilation table</w:t>
      </w:r>
      <w:bookmarkEnd w:id="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rPr>
                <w:vertAlign w:val="superscript"/>
              </w:rPr>
            </w:pPr>
            <w:r>
              <w:rPr>
                <w:i/>
              </w:rPr>
              <w:t>Water Authority (Charges) By</w:t>
            </w:r>
            <w:r>
              <w:rPr>
                <w:i/>
              </w:rPr>
              <w:noBreakHyphen/>
              <w:t>laws 1987</w:t>
            </w:r>
            <w:r>
              <w:rPr>
                <w:vertAlign w:val="superscript"/>
              </w:rPr>
              <w:t> 12</w:t>
            </w:r>
          </w:p>
        </w:tc>
        <w:tc>
          <w:tcPr>
            <w:tcW w:w="1276" w:type="dxa"/>
            <w:tcBorders>
              <w:top w:val="single" w:sz="8" w:space="0" w:color="auto"/>
            </w:tcBorders>
          </w:tcPr>
          <w:p>
            <w:pPr>
              <w:pStyle w:val="nTable"/>
              <w:spacing w:after="40"/>
            </w:pPr>
            <w:r>
              <w:t>14 Jul 1987 p. 2658</w:t>
            </w:r>
            <w:r>
              <w:noBreakHyphen/>
              <w:t>72</w:t>
            </w:r>
            <w:r>
              <w:br/>
              <w:t>(errata 24 Jul 1987 p. 2841)</w:t>
            </w:r>
          </w:p>
        </w:tc>
        <w:tc>
          <w:tcPr>
            <w:tcW w:w="2693" w:type="dxa"/>
            <w:tcBorders>
              <w:top w:val="single" w:sz="8" w:space="0" w:color="auto"/>
            </w:tcBorders>
          </w:tcPr>
          <w:p>
            <w:pPr>
              <w:pStyle w:val="nTable"/>
              <w:spacing w:after="40"/>
            </w:pPr>
            <w:r>
              <w:t>14 Jul 1987</w:t>
            </w:r>
          </w:p>
        </w:tc>
      </w:tr>
      <w:tr>
        <w:trPr>
          <w:cantSplit/>
        </w:trPr>
        <w:tc>
          <w:tcPr>
            <w:tcW w:w="3118" w:type="dxa"/>
          </w:tcPr>
          <w:p>
            <w:pPr>
              <w:pStyle w:val="nTable"/>
              <w:spacing w:after="40"/>
              <w:ind w:right="113"/>
            </w:pPr>
            <w:r>
              <w:rPr>
                <w:i/>
              </w:rPr>
              <w:t>Water Authority (Charges) Amendment By</w:t>
            </w:r>
            <w:r>
              <w:rPr>
                <w:i/>
              </w:rPr>
              <w:noBreakHyphen/>
              <w:t>laws 1987</w:t>
            </w:r>
          </w:p>
        </w:tc>
        <w:tc>
          <w:tcPr>
            <w:tcW w:w="1276" w:type="dxa"/>
          </w:tcPr>
          <w:p>
            <w:pPr>
              <w:pStyle w:val="nTable"/>
              <w:spacing w:after="40"/>
            </w:pPr>
            <w:r>
              <w:t>31 Jul 1987 p. 2884</w:t>
            </w:r>
          </w:p>
        </w:tc>
        <w:tc>
          <w:tcPr>
            <w:tcW w:w="2693" w:type="dxa"/>
          </w:tcPr>
          <w:p>
            <w:pPr>
              <w:pStyle w:val="nTable"/>
              <w:spacing w:after="40"/>
            </w:pPr>
            <w:r>
              <w:t>31 Jul 1987</w:t>
            </w:r>
          </w:p>
        </w:tc>
      </w:tr>
      <w:tr>
        <w:trPr>
          <w:cantSplit/>
        </w:trPr>
        <w:tc>
          <w:tcPr>
            <w:tcW w:w="3118" w:type="dxa"/>
          </w:tcPr>
          <w:p>
            <w:pPr>
              <w:pStyle w:val="nTable"/>
              <w:spacing w:after="40"/>
              <w:ind w:right="113"/>
            </w:pPr>
            <w:r>
              <w:rPr>
                <w:i/>
              </w:rPr>
              <w:t>Water Authority (Charges) Amendment By</w:t>
            </w:r>
            <w:r>
              <w:rPr>
                <w:i/>
              </w:rPr>
              <w:noBreakHyphen/>
              <w:t>laws 1988</w:t>
            </w:r>
          </w:p>
        </w:tc>
        <w:tc>
          <w:tcPr>
            <w:tcW w:w="1276" w:type="dxa"/>
          </w:tcPr>
          <w:p>
            <w:pPr>
              <w:pStyle w:val="nTable"/>
              <w:spacing w:after="40"/>
            </w:pPr>
            <w:r>
              <w:t>29 Jun 1988 p. 2112</w:t>
            </w:r>
            <w:r>
              <w:noBreakHyphen/>
              <w:t>22</w:t>
            </w:r>
          </w:p>
        </w:tc>
        <w:tc>
          <w:tcPr>
            <w:tcW w:w="2693" w:type="dxa"/>
          </w:tcPr>
          <w:p>
            <w:pPr>
              <w:pStyle w:val="nTable"/>
              <w:spacing w:after="40"/>
            </w:pPr>
            <w:r>
              <w:t>29 Jun 1988</w:t>
            </w:r>
          </w:p>
        </w:tc>
      </w:tr>
      <w:tr>
        <w:trPr>
          <w:cantSplit/>
        </w:trPr>
        <w:tc>
          <w:tcPr>
            <w:tcW w:w="3118" w:type="dxa"/>
          </w:tcPr>
          <w:p>
            <w:pPr>
              <w:pStyle w:val="nTable"/>
              <w:spacing w:after="40"/>
              <w:ind w:right="113"/>
            </w:pPr>
            <w:r>
              <w:rPr>
                <w:i/>
              </w:rPr>
              <w:t>Water Authority (Charges) Amendment By</w:t>
            </w:r>
            <w:r>
              <w:rPr>
                <w:i/>
              </w:rPr>
              <w:noBreakHyphen/>
              <w:t>laws (No. 2) 1988</w:t>
            </w:r>
          </w:p>
        </w:tc>
        <w:tc>
          <w:tcPr>
            <w:tcW w:w="1276" w:type="dxa"/>
          </w:tcPr>
          <w:p>
            <w:pPr>
              <w:pStyle w:val="nTable"/>
              <w:spacing w:after="40"/>
            </w:pPr>
            <w:r>
              <w:t>4 Jul 1988 p. 2178</w:t>
            </w:r>
          </w:p>
        </w:tc>
        <w:tc>
          <w:tcPr>
            <w:tcW w:w="2693" w:type="dxa"/>
          </w:tcPr>
          <w:p>
            <w:pPr>
              <w:pStyle w:val="nTable"/>
              <w:spacing w:after="40"/>
            </w:pPr>
            <w:r>
              <w:t>4 Jul 1988</w:t>
            </w:r>
          </w:p>
        </w:tc>
      </w:tr>
      <w:tr>
        <w:trPr>
          <w:cantSplit/>
        </w:trPr>
        <w:tc>
          <w:tcPr>
            <w:tcW w:w="3118" w:type="dxa"/>
          </w:tcPr>
          <w:p>
            <w:pPr>
              <w:pStyle w:val="nTable"/>
              <w:spacing w:after="40"/>
              <w:ind w:right="113"/>
            </w:pPr>
            <w:r>
              <w:rPr>
                <w:i/>
              </w:rPr>
              <w:t>Water Authority (Charges) Amendment By</w:t>
            </w:r>
            <w:r>
              <w:rPr>
                <w:i/>
              </w:rPr>
              <w:noBreakHyphen/>
              <w:t>laws (No. 3) 1988</w:t>
            </w:r>
          </w:p>
        </w:tc>
        <w:tc>
          <w:tcPr>
            <w:tcW w:w="1276" w:type="dxa"/>
          </w:tcPr>
          <w:p>
            <w:pPr>
              <w:pStyle w:val="nTable"/>
              <w:spacing w:after="40"/>
            </w:pPr>
            <w:r>
              <w:t>8 Jul 1988 p. 2387</w:t>
            </w:r>
          </w:p>
        </w:tc>
        <w:tc>
          <w:tcPr>
            <w:tcW w:w="2693" w:type="dxa"/>
          </w:tcPr>
          <w:p>
            <w:pPr>
              <w:pStyle w:val="nTable"/>
              <w:spacing w:after="40"/>
            </w:pPr>
            <w:r>
              <w:t>8 Jul 1988</w:t>
            </w:r>
          </w:p>
        </w:tc>
      </w:tr>
      <w:tr>
        <w:trPr>
          <w:cantSplit/>
        </w:trPr>
        <w:tc>
          <w:tcPr>
            <w:tcW w:w="3118" w:type="dxa"/>
          </w:tcPr>
          <w:p>
            <w:pPr>
              <w:pStyle w:val="nTable"/>
              <w:spacing w:after="40"/>
              <w:ind w:right="113"/>
            </w:pPr>
            <w:r>
              <w:rPr>
                <w:i/>
              </w:rPr>
              <w:t>Water Authority (Charges) Amendment By</w:t>
            </w:r>
            <w:r>
              <w:rPr>
                <w:i/>
              </w:rPr>
              <w:noBreakHyphen/>
              <w:t>laws (No. 4) 1988</w:t>
            </w:r>
          </w:p>
        </w:tc>
        <w:tc>
          <w:tcPr>
            <w:tcW w:w="1276" w:type="dxa"/>
          </w:tcPr>
          <w:p>
            <w:pPr>
              <w:pStyle w:val="nTable"/>
              <w:spacing w:after="40"/>
            </w:pPr>
            <w:r>
              <w:t>14 Oct 1988 p. 4174</w:t>
            </w:r>
          </w:p>
        </w:tc>
        <w:tc>
          <w:tcPr>
            <w:tcW w:w="2693" w:type="dxa"/>
          </w:tcPr>
          <w:p>
            <w:pPr>
              <w:pStyle w:val="nTable"/>
              <w:spacing w:after="40"/>
            </w:pPr>
            <w:r>
              <w:t>14 Oct 1988</w:t>
            </w:r>
          </w:p>
        </w:tc>
      </w:tr>
      <w:tr>
        <w:trPr>
          <w:cantSplit/>
        </w:trPr>
        <w:tc>
          <w:tcPr>
            <w:tcW w:w="3118" w:type="dxa"/>
          </w:tcPr>
          <w:p>
            <w:pPr>
              <w:pStyle w:val="nTable"/>
              <w:spacing w:after="40"/>
              <w:ind w:right="113"/>
            </w:pPr>
            <w:r>
              <w:rPr>
                <w:i/>
              </w:rPr>
              <w:t>Water Authority (Charges) Amendment By</w:t>
            </w:r>
            <w:r>
              <w:rPr>
                <w:i/>
              </w:rPr>
              <w:noBreakHyphen/>
              <w:t>laws (No. 5) 1988</w:t>
            </w:r>
          </w:p>
        </w:tc>
        <w:tc>
          <w:tcPr>
            <w:tcW w:w="1276" w:type="dxa"/>
          </w:tcPr>
          <w:p>
            <w:pPr>
              <w:pStyle w:val="nTable"/>
              <w:spacing w:after="40"/>
            </w:pPr>
            <w:r>
              <w:t>20 Jan 1989 p. 121</w:t>
            </w:r>
          </w:p>
        </w:tc>
        <w:tc>
          <w:tcPr>
            <w:tcW w:w="2693" w:type="dxa"/>
          </w:tcPr>
          <w:p>
            <w:pPr>
              <w:pStyle w:val="nTable"/>
              <w:spacing w:after="40"/>
            </w:pPr>
            <w:r>
              <w:t>20 Jan 1989</w:t>
            </w:r>
          </w:p>
        </w:tc>
      </w:tr>
      <w:tr>
        <w:trPr>
          <w:cantSplit/>
        </w:trPr>
        <w:tc>
          <w:tcPr>
            <w:tcW w:w="3118" w:type="dxa"/>
          </w:tcPr>
          <w:p>
            <w:pPr>
              <w:pStyle w:val="nTable"/>
              <w:spacing w:after="40"/>
              <w:ind w:right="113"/>
            </w:pPr>
            <w:r>
              <w:rPr>
                <w:i/>
              </w:rPr>
              <w:t>Water Authority (Charges) Amendment By</w:t>
            </w:r>
            <w:r>
              <w:rPr>
                <w:i/>
              </w:rPr>
              <w:noBreakHyphen/>
              <w:t>laws 1989</w:t>
            </w:r>
          </w:p>
        </w:tc>
        <w:tc>
          <w:tcPr>
            <w:tcW w:w="1276" w:type="dxa"/>
          </w:tcPr>
          <w:p>
            <w:pPr>
              <w:pStyle w:val="nTable"/>
              <w:spacing w:after="40"/>
            </w:pPr>
            <w:r>
              <w:t>10 Mar 1989 p. 712</w:t>
            </w:r>
          </w:p>
        </w:tc>
        <w:tc>
          <w:tcPr>
            <w:tcW w:w="2693" w:type="dxa"/>
          </w:tcPr>
          <w:p>
            <w:pPr>
              <w:pStyle w:val="nTable"/>
              <w:spacing w:after="40"/>
            </w:pPr>
            <w:r>
              <w:t>10 Mar 1989</w:t>
            </w:r>
          </w:p>
        </w:tc>
      </w:tr>
      <w:tr>
        <w:trPr>
          <w:cantSplit/>
        </w:trPr>
        <w:tc>
          <w:tcPr>
            <w:tcW w:w="3118" w:type="dxa"/>
          </w:tcPr>
          <w:p>
            <w:pPr>
              <w:pStyle w:val="nTable"/>
              <w:spacing w:after="40"/>
              <w:ind w:right="113"/>
            </w:pPr>
            <w:r>
              <w:rPr>
                <w:i/>
              </w:rPr>
              <w:t>Water Authority (Charges) Amendment By</w:t>
            </w:r>
            <w:r>
              <w:rPr>
                <w:i/>
              </w:rPr>
              <w:noBreakHyphen/>
              <w:t>laws (No. 2) 1989</w:t>
            </w:r>
          </w:p>
        </w:tc>
        <w:tc>
          <w:tcPr>
            <w:tcW w:w="1276" w:type="dxa"/>
          </w:tcPr>
          <w:p>
            <w:pPr>
              <w:pStyle w:val="nTable"/>
              <w:spacing w:after="40"/>
            </w:pPr>
            <w:r>
              <w:t>23 Jun 1989 p. 1824</w:t>
            </w:r>
          </w:p>
        </w:tc>
        <w:tc>
          <w:tcPr>
            <w:tcW w:w="2693" w:type="dxa"/>
          </w:tcPr>
          <w:p>
            <w:pPr>
              <w:pStyle w:val="nTable"/>
              <w:spacing w:after="40"/>
            </w:pPr>
            <w:r>
              <w:t>23 Jun 1989</w:t>
            </w:r>
          </w:p>
        </w:tc>
      </w:tr>
      <w:tr>
        <w:trPr>
          <w:cantSplit/>
        </w:trPr>
        <w:tc>
          <w:tcPr>
            <w:tcW w:w="3118" w:type="dxa"/>
          </w:tcPr>
          <w:p>
            <w:pPr>
              <w:pStyle w:val="nTable"/>
              <w:spacing w:after="40"/>
              <w:ind w:right="113"/>
              <w:rPr>
                <w:vertAlign w:val="superscript"/>
              </w:rPr>
            </w:pPr>
            <w:r>
              <w:rPr>
                <w:i/>
              </w:rPr>
              <w:t>Water Authority (Charges) Amendment By</w:t>
            </w:r>
            <w:r>
              <w:rPr>
                <w:i/>
              </w:rPr>
              <w:noBreakHyphen/>
              <w:t>laws (No. 3) 1989</w:t>
            </w:r>
            <w:r>
              <w:rPr>
                <w:vertAlign w:val="superscript"/>
              </w:rPr>
              <w:t> 13</w:t>
            </w:r>
          </w:p>
        </w:tc>
        <w:tc>
          <w:tcPr>
            <w:tcW w:w="1276" w:type="dxa"/>
          </w:tcPr>
          <w:p>
            <w:pPr>
              <w:pStyle w:val="nTable"/>
              <w:spacing w:after="40"/>
            </w:pPr>
            <w:r>
              <w:t>29 Jun 1989 p. 1870</w:t>
            </w:r>
            <w:r>
              <w:noBreakHyphen/>
              <w:t>82</w:t>
            </w:r>
            <w:r>
              <w:br/>
              <w:t>(errata 7 Jul 1989 p. 2075)</w:t>
            </w:r>
          </w:p>
        </w:tc>
        <w:tc>
          <w:tcPr>
            <w:tcW w:w="2693" w:type="dxa"/>
          </w:tcPr>
          <w:p>
            <w:pPr>
              <w:pStyle w:val="nTable"/>
              <w:spacing w:after="40"/>
            </w:pPr>
            <w:r>
              <w:t>29 Jun 1989</w:t>
            </w:r>
          </w:p>
        </w:tc>
      </w:tr>
      <w:tr>
        <w:trPr>
          <w:cantSplit/>
        </w:trPr>
        <w:tc>
          <w:tcPr>
            <w:tcW w:w="3118" w:type="dxa"/>
          </w:tcPr>
          <w:p>
            <w:pPr>
              <w:pStyle w:val="nTable"/>
              <w:spacing w:after="40"/>
              <w:ind w:right="113"/>
            </w:pPr>
            <w:r>
              <w:rPr>
                <w:i/>
              </w:rPr>
              <w:t>Water Authority (Charges) Amendment By</w:t>
            </w:r>
            <w:r>
              <w:rPr>
                <w:i/>
              </w:rPr>
              <w:noBreakHyphen/>
              <w:t>laws (No. 4) 1989</w:t>
            </w:r>
          </w:p>
        </w:tc>
        <w:tc>
          <w:tcPr>
            <w:tcW w:w="1276" w:type="dxa"/>
          </w:tcPr>
          <w:p>
            <w:pPr>
              <w:pStyle w:val="nTable"/>
              <w:spacing w:after="40"/>
            </w:pPr>
            <w:r>
              <w:t>7 Jul 1989 p. 2077</w:t>
            </w:r>
          </w:p>
        </w:tc>
        <w:tc>
          <w:tcPr>
            <w:tcW w:w="2693" w:type="dxa"/>
          </w:tcPr>
          <w:p>
            <w:pPr>
              <w:pStyle w:val="nTable"/>
              <w:spacing w:after="40"/>
            </w:pPr>
            <w:r>
              <w:t>7 Jul 1989</w:t>
            </w:r>
          </w:p>
        </w:tc>
      </w:tr>
      <w:tr>
        <w:trPr>
          <w:cantSplit/>
        </w:trPr>
        <w:tc>
          <w:tcPr>
            <w:tcW w:w="3118" w:type="dxa"/>
          </w:tcPr>
          <w:p>
            <w:pPr>
              <w:pStyle w:val="nTable"/>
              <w:spacing w:after="40"/>
              <w:ind w:right="113"/>
            </w:pPr>
            <w:r>
              <w:rPr>
                <w:i/>
              </w:rPr>
              <w:t>Water Authority (Charges) Amendment By</w:t>
            </w:r>
            <w:r>
              <w:rPr>
                <w:i/>
              </w:rPr>
              <w:noBreakHyphen/>
              <w:t>laws (No. 5) 1989</w:t>
            </w:r>
          </w:p>
        </w:tc>
        <w:tc>
          <w:tcPr>
            <w:tcW w:w="1276" w:type="dxa"/>
          </w:tcPr>
          <w:p>
            <w:pPr>
              <w:pStyle w:val="nTable"/>
              <w:spacing w:after="40"/>
            </w:pPr>
            <w:r>
              <w:t>7 Jul 1989 p. 2078</w:t>
            </w:r>
          </w:p>
        </w:tc>
        <w:tc>
          <w:tcPr>
            <w:tcW w:w="2693" w:type="dxa"/>
          </w:tcPr>
          <w:p>
            <w:pPr>
              <w:pStyle w:val="nTable"/>
              <w:spacing w:after="40"/>
            </w:pPr>
            <w:r>
              <w:t>7 Jul 1989</w:t>
            </w:r>
          </w:p>
        </w:tc>
      </w:tr>
      <w:tr>
        <w:trPr>
          <w:cantSplit/>
        </w:trPr>
        <w:tc>
          <w:tcPr>
            <w:tcW w:w="3118" w:type="dxa"/>
          </w:tcPr>
          <w:p>
            <w:pPr>
              <w:pStyle w:val="nTable"/>
              <w:spacing w:after="40"/>
              <w:ind w:right="113"/>
            </w:pPr>
            <w:r>
              <w:rPr>
                <w:i/>
              </w:rPr>
              <w:t>Water Authority (Charges) Amendment By</w:t>
            </w:r>
            <w:r>
              <w:rPr>
                <w:i/>
              </w:rPr>
              <w:noBreakHyphen/>
              <w:t>laws (No. 6) 1989</w:t>
            </w:r>
          </w:p>
        </w:tc>
        <w:tc>
          <w:tcPr>
            <w:tcW w:w="1276" w:type="dxa"/>
          </w:tcPr>
          <w:p>
            <w:pPr>
              <w:pStyle w:val="nTable"/>
              <w:spacing w:after="40"/>
            </w:pPr>
            <w:r>
              <w:t>27 Oct 1989 p. 3898</w:t>
            </w:r>
            <w:r>
              <w:noBreakHyphen/>
              <w:t>9</w:t>
            </w:r>
          </w:p>
        </w:tc>
        <w:tc>
          <w:tcPr>
            <w:tcW w:w="2693" w:type="dxa"/>
          </w:tcPr>
          <w:p>
            <w:pPr>
              <w:pStyle w:val="nTable"/>
              <w:spacing w:after="40"/>
            </w:pPr>
            <w:r>
              <w:t>27 Oct 1989</w:t>
            </w:r>
          </w:p>
        </w:tc>
      </w:tr>
      <w:tr>
        <w:trPr>
          <w:cantSplit/>
        </w:trPr>
        <w:tc>
          <w:tcPr>
            <w:tcW w:w="3118" w:type="dxa"/>
          </w:tcPr>
          <w:p>
            <w:pPr>
              <w:pStyle w:val="nTable"/>
              <w:spacing w:after="40"/>
              <w:ind w:right="113"/>
            </w:pPr>
            <w:r>
              <w:rPr>
                <w:i/>
              </w:rPr>
              <w:lastRenderedPageBreak/>
              <w:t>Water Authority (Charges) Amendment By</w:t>
            </w:r>
            <w:r>
              <w:rPr>
                <w:i/>
              </w:rPr>
              <w:noBreakHyphen/>
              <w:t>laws (No. 7) 1989</w:t>
            </w:r>
          </w:p>
        </w:tc>
        <w:tc>
          <w:tcPr>
            <w:tcW w:w="1276" w:type="dxa"/>
          </w:tcPr>
          <w:p>
            <w:pPr>
              <w:pStyle w:val="nTable"/>
              <w:spacing w:after="40"/>
            </w:pPr>
            <w:r>
              <w:t>17 Nov 1989 p. 4117</w:t>
            </w:r>
          </w:p>
        </w:tc>
        <w:tc>
          <w:tcPr>
            <w:tcW w:w="2693" w:type="dxa"/>
          </w:tcPr>
          <w:p>
            <w:pPr>
              <w:pStyle w:val="nTable"/>
              <w:spacing w:after="40"/>
            </w:pPr>
            <w:r>
              <w:t>17 Nov 1989</w:t>
            </w:r>
          </w:p>
        </w:tc>
      </w:tr>
      <w:tr>
        <w:trPr>
          <w:cantSplit/>
        </w:trPr>
        <w:tc>
          <w:tcPr>
            <w:tcW w:w="3118" w:type="dxa"/>
          </w:tcPr>
          <w:p>
            <w:pPr>
              <w:pStyle w:val="nTable"/>
              <w:spacing w:after="40"/>
              <w:ind w:right="113"/>
              <w:rPr>
                <w:vertAlign w:val="superscript"/>
              </w:rPr>
            </w:pPr>
            <w:r>
              <w:rPr>
                <w:i/>
              </w:rPr>
              <w:t>Water Authority (Charges) Amendment By</w:t>
            </w:r>
            <w:r>
              <w:rPr>
                <w:i/>
              </w:rPr>
              <w:noBreakHyphen/>
              <w:t>laws 1990</w:t>
            </w:r>
            <w:r>
              <w:rPr>
                <w:vertAlign w:val="superscript"/>
              </w:rPr>
              <w:t> 14</w:t>
            </w:r>
          </w:p>
        </w:tc>
        <w:tc>
          <w:tcPr>
            <w:tcW w:w="1276" w:type="dxa"/>
          </w:tcPr>
          <w:p>
            <w:pPr>
              <w:pStyle w:val="nTable"/>
              <w:spacing w:after="40"/>
            </w:pPr>
            <w:r>
              <w:t>29 Jun 1990 p. 3226</w:t>
            </w:r>
            <w:r>
              <w:noBreakHyphen/>
              <w:t>40</w:t>
            </w:r>
            <w:r>
              <w:br/>
              <w:t>(errata 6 Jul 1990 p. 3317)</w:t>
            </w:r>
          </w:p>
        </w:tc>
        <w:tc>
          <w:tcPr>
            <w:tcW w:w="2693" w:type="dxa"/>
          </w:tcPr>
          <w:p>
            <w:pPr>
              <w:pStyle w:val="nTable"/>
              <w:spacing w:after="40"/>
            </w:pPr>
            <w:r>
              <w:t>29 Jun 1990</w:t>
            </w:r>
          </w:p>
        </w:tc>
      </w:tr>
      <w:tr>
        <w:trPr>
          <w:cantSplit/>
        </w:trPr>
        <w:tc>
          <w:tcPr>
            <w:tcW w:w="3118" w:type="dxa"/>
          </w:tcPr>
          <w:p>
            <w:pPr>
              <w:pStyle w:val="nTable"/>
              <w:spacing w:after="40"/>
              <w:ind w:right="113"/>
              <w:rPr>
                <w:vertAlign w:val="superscript"/>
              </w:rPr>
            </w:pPr>
            <w:r>
              <w:rPr>
                <w:i/>
              </w:rPr>
              <w:t>Water Authority (Charges) Amendment By</w:t>
            </w:r>
            <w:r>
              <w:rPr>
                <w:i/>
              </w:rPr>
              <w:noBreakHyphen/>
              <w:t>laws 1991</w:t>
            </w:r>
            <w:r>
              <w:rPr>
                <w:i/>
                <w:vertAlign w:val="superscript"/>
              </w:rPr>
              <w:t> </w:t>
            </w:r>
            <w:r>
              <w:rPr>
                <w:vertAlign w:val="superscript"/>
              </w:rPr>
              <w:t>15</w:t>
            </w:r>
          </w:p>
        </w:tc>
        <w:tc>
          <w:tcPr>
            <w:tcW w:w="1276" w:type="dxa"/>
          </w:tcPr>
          <w:p>
            <w:pPr>
              <w:pStyle w:val="nTable"/>
              <w:spacing w:after="40"/>
            </w:pPr>
            <w:r>
              <w:t>28 Jun 1991 p. 3267</w:t>
            </w:r>
            <w:r>
              <w:noBreakHyphen/>
              <w:t>80</w:t>
            </w:r>
            <w:r>
              <w:br/>
              <w:t>(errata 5 Jul 1991 p. 3379)</w:t>
            </w:r>
          </w:p>
        </w:tc>
        <w:tc>
          <w:tcPr>
            <w:tcW w:w="2693" w:type="dxa"/>
          </w:tcPr>
          <w:p>
            <w:pPr>
              <w:pStyle w:val="nTable"/>
              <w:spacing w:after="40"/>
            </w:pPr>
            <w:r>
              <w:t>28 Jun 1991</w:t>
            </w:r>
          </w:p>
        </w:tc>
      </w:tr>
      <w:tr>
        <w:trPr>
          <w:cantSplit/>
        </w:trPr>
        <w:tc>
          <w:tcPr>
            <w:tcW w:w="3118" w:type="dxa"/>
          </w:tcPr>
          <w:p>
            <w:pPr>
              <w:pStyle w:val="nTable"/>
              <w:spacing w:after="40"/>
              <w:ind w:right="113"/>
            </w:pPr>
            <w:r>
              <w:rPr>
                <w:i/>
              </w:rPr>
              <w:t>Water Authority (Charges) Amendment By</w:t>
            </w:r>
            <w:r>
              <w:rPr>
                <w:i/>
              </w:rPr>
              <w:noBreakHyphen/>
              <w:t>laws (No. 2) 1991</w:t>
            </w:r>
          </w:p>
        </w:tc>
        <w:tc>
          <w:tcPr>
            <w:tcW w:w="1276" w:type="dxa"/>
          </w:tcPr>
          <w:p>
            <w:pPr>
              <w:pStyle w:val="nTable"/>
              <w:spacing w:after="40"/>
            </w:pPr>
            <w:r>
              <w:t>20 Sep 1991 p. 4952</w:t>
            </w:r>
            <w:r>
              <w:noBreakHyphen/>
              <w:t>3</w:t>
            </w:r>
          </w:p>
        </w:tc>
        <w:tc>
          <w:tcPr>
            <w:tcW w:w="2693" w:type="dxa"/>
          </w:tcPr>
          <w:p>
            <w:pPr>
              <w:pStyle w:val="nTable"/>
              <w:spacing w:after="40"/>
            </w:pPr>
            <w:r>
              <w:t>20 Sep 1991</w:t>
            </w:r>
          </w:p>
        </w:tc>
      </w:tr>
      <w:tr>
        <w:trPr>
          <w:cantSplit/>
        </w:trPr>
        <w:tc>
          <w:tcPr>
            <w:tcW w:w="3118" w:type="dxa"/>
          </w:tcPr>
          <w:p>
            <w:pPr>
              <w:pStyle w:val="nTable"/>
              <w:spacing w:after="40"/>
              <w:ind w:right="113"/>
            </w:pPr>
            <w:r>
              <w:rPr>
                <w:i/>
              </w:rPr>
              <w:t>Water Authority (Charges) Amendment By</w:t>
            </w:r>
            <w:r>
              <w:rPr>
                <w:i/>
              </w:rPr>
              <w:noBreakHyphen/>
              <w:t>laws (No. 3) 1991</w:t>
            </w:r>
          </w:p>
        </w:tc>
        <w:tc>
          <w:tcPr>
            <w:tcW w:w="1276" w:type="dxa"/>
          </w:tcPr>
          <w:p>
            <w:pPr>
              <w:pStyle w:val="nTable"/>
              <w:spacing w:after="40"/>
            </w:pPr>
            <w:r>
              <w:t>20 Sep 1991 p. 4954</w:t>
            </w:r>
            <w:r>
              <w:noBreakHyphen/>
              <w:t>5</w:t>
            </w:r>
          </w:p>
        </w:tc>
        <w:tc>
          <w:tcPr>
            <w:tcW w:w="2693" w:type="dxa"/>
          </w:tcPr>
          <w:p>
            <w:pPr>
              <w:pStyle w:val="nTable"/>
              <w:spacing w:after="40"/>
            </w:pPr>
            <w:r>
              <w:t>20 Sep 1991</w:t>
            </w:r>
          </w:p>
        </w:tc>
      </w:tr>
      <w:tr>
        <w:trPr>
          <w:cantSplit/>
        </w:trPr>
        <w:tc>
          <w:tcPr>
            <w:tcW w:w="3118" w:type="dxa"/>
          </w:tcPr>
          <w:p>
            <w:pPr>
              <w:pStyle w:val="nTable"/>
              <w:spacing w:after="40"/>
              <w:ind w:right="113"/>
              <w:rPr>
                <w:vertAlign w:val="superscript"/>
              </w:rPr>
            </w:pPr>
            <w:r>
              <w:rPr>
                <w:i/>
              </w:rPr>
              <w:t>Water Authority (Charges) Amendment By</w:t>
            </w:r>
            <w:r>
              <w:rPr>
                <w:i/>
              </w:rPr>
              <w:noBreakHyphen/>
              <w:t>laws 1992</w:t>
            </w:r>
            <w:r>
              <w:rPr>
                <w:i/>
                <w:vertAlign w:val="superscript"/>
              </w:rPr>
              <w:t> </w:t>
            </w:r>
            <w:r>
              <w:rPr>
                <w:vertAlign w:val="superscript"/>
              </w:rPr>
              <w:t>16</w:t>
            </w:r>
          </w:p>
        </w:tc>
        <w:tc>
          <w:tcPr>
            <w:tcW w:w="1276" w:type="dxa"/>
          </w:tcPr>
          <w:p>
            <w:pPr>
              <w:pStyle w:val="nTable"/>
              <w:spacing w:after="40"/>
            </w:pPr>
            <w:r>
              <w:t>28 Feb 1992 p. 1024</w:t>
            </w:r>
          </w:p>
        </w:tc>
        <w:tc>
          <w:tcPr>
            <w:tcW w:w="2693" w:type="dxa"/>
          </w:tcPr>
          <w:p>
            <w:pPr>
              <w:pStyle w:val="nTable"/>
              <w:spacing w:after="40"/>
            </w:pPr>
            <w:r>
              <w:t>28 Feb 1992</w:t>
            </w:r>
          </w:p>
        </w:tc>
      </w:tr>
      <w:tr>
        <w:trPr>
          <w:cantSplit/>
        </w:trPr>
        <w:tc>
          <w:tcPr>
            <w:tcW w:w="3118" w:type="dxa"/>
          </w:tcPr>
          <w:p>
            <w:pPr>
              <w:pStyle w:val="nTable"/>
              <w:spacing w:after="40"/>
              <w:ind w:right="113"/>
            </w:pPr>
            <w:r>
              <w:rPr>
                <w:i/>
              </w:rPr>
              <w:t>Water Authority (Charges) Amendment By</w:t>
            </w:r>
            <w:r>
              <w:rPr>
                <w:i/>
              </w:rPr>
              <w:noBreakHyphen/>
              <w:t>laws (No. 2) 1992</w:t>
            </w:r>
          </w:p>
        </w:tc>
        <w:tc>
          <w:tcPr>
            <w:tcW w:w="1276" w:type="dxa"/>
          </w:tcPr>
          <w:p>
            <w:pPr>
              <w:pStyle w:val="nTable"/>
              <w:spacing w:after="40"/>
            </w:pPr>
            <w:r>
              <w:t>28 Feb 1992 p. 1025</w:t>
            </w:r>
          </w:p>
        </w:tc>
        <w:tc>
          <w:tcPr>
            <w:tcW w:w="2693" w:type="dxa"/>
          </w:tcPr>
          <w:p>
            <w:pPr>
              <w:pStyle w:val="nTable"/>
              <w:spacing w:after="40"/>
            </w:pPr>
            <w:r>
              <w:t>28 Feb 1992</w:t>
            </w:r>
          </w:p>
        </w:tc>
      </w:tr>
      <w:tr>
        <w:trPr>
          <w:cantSplit/>
        </w:trPr>
        <w:tc>
          <w:tcPr>
            <w:tcW w:w="3118" w:type="dxa"/>
          </w:tcPr>
          <w:p>
            <w:pPr>
              <w:pStyle w:val="nTable"/>
              <w:spacing w:after="40"/>
              <w:ind w:right="113"/>
            </w:pPr>
            <w:r>
              <w:rPr>
                <w:i/>
              </w:rPr>
              <w:t>Water Authority (Charges) Amendment By</w:t>
            </w:r>
            <w:r>
              <w:rPr>
                <w:i/>
              </w:rPr>
              <w:noBreakHyphen/>
              <w:t>laws (No. 3) 1992</w:t>
            </w:r>
          </w:p>
        </w:tc>
        <w:tc>
          <w:tcPr>
            <w:tcW w:w="1276" w:type="dxa"/>
          </w:tcPr>
          <w:p>
            <w:pPr>
              <w:pStyle w:val="nTable"/>
              <w:spacing w:after="40"/>
            </w:pPr>
            <w:r>
              <w:t>1 May 1992 p. 1864</w:t>
            </w:r>
          </w:p>
        </w:tc>
        <w:tc>
          <w:tcPr>
            <w:tcW w:w="2693" w:type="dxa"/>
          </w:tcPr>
          <w:p>
            <w:pPr>
              <w:pStyle w:val="nTable"/>
              <w:spacing w:after="40"/>
            </w:pPr>
            <w:r>
              <w:t>1 May 1992</w:t>
            </w:r>
          </w:p>
        </w:tc>
      </w:tr>
      <w:tr>
        <w:trPr>
          <w:cantSplit/>
        </w:trPr>
        <w:tc>
          <w:tcPr>
            <w:tcW w:w="3118" w:type="dxa"/>
          </w:tcPr>
          <w:p>
            <w:pPr>
              <w:pStyle w:val="nTable"/>
              <w:spacing w:after="40"/>
              <w:ind w:right="113"/>
              <w:rPr>
                <w:vertAlign w:val="superscript"/>
              </w:rPr>
            </w:pPr>
            <w:r>
              <w:rPr>
                <w:i/>
              </w:rPr>
              <w:t>Water Authority (Charges) Amendment By</w:t>
            </w:r>
            <w:r>
              <w:rPr>
                <w:i/>
              </w:rPr>
              <w:noBreakHyphen/>
              <w:t>laws (No. 4) 1992</w:t>
            </w:r>
            <w:r>
              <w:rPr>
                <w:vertAlign w:val="superscript"/>
              </w:rPr>
              <w:t> 17</w:t>
            </w:r>
          </w:p>
        </w:tc>
        <w:tc>
          <w:tcPr>
            <w:tcW w:w="1276" w:type="dxa"/>
          </w:tcPr>
          <w:p>
            <w:pPr>
              <w:pStyle w:val="nTable"/>
              <w:spacing w:after="40"/>
            </w:pPr>
            <w:r>
              <w:t>1 May 1992 p. 1865</w:t>
            </w:r>
          </w:p>
        </w:tc>
        <w:tc>
          <w:tcPr>
            <w:tcW w:w="2693" w:type="dxa"/>
          </w:tcPr>
          <w:p>
            <w:pPr>
              <w:pStyle w:val="nTable"/>
              <w:spacing w:after="40"/>
            </w:pPr>
            <w:r>
              <w:t>1 May 1992</w:t>
            </w:r>
          </w:p>
        </w:tc>
      </w:tr>
      <w:tr>
        <w:trPr>
          <w:cantSplit/>
        </w:trPr>
        <w:tc>
          <w:tcPr>
            <w:tcW w:w="3118" w:type="dxa"/>
          </w:tcPr>
          <w:p>
            <w:pPr>
              <w:pStyle w:val="nTable"/>
              <w:keepNext/>
              <w:keepLines/>
              <w:spacing w:after="40"/>
              <w:ind w:right="113"/>
            </w:pPr>
            <w:r>
              <w:rPr>
                <w:i/>
              </w:rPr>
              <w:t>Water Authority (Charges) Amendment By</w:t>
            </w:r>
            <w:r>
              <w:rPr>
                <w:i/>
              </w:rPr>
              <w:noBreakHyphen/>
              <w:t>laws (No. 5) 1992</w:t>
            </w:r>
          </w:p>
        </w:tc>
        <w:tc>
          <w:tcPr>
            <w:tcW w:w="1276" w:type="dxa"/>
          </w:tcPr>
          <w:p>
            <w:pPr>
              <w:pStyle w:val="nTable"/>
              <w:keepNext/>
              <w:keepLines/>
              <w:spacing w:after="40"/>
            </w:pPr>
            <w:r>
              <w:t>26 Jun 1992 p. 2812</w:t>
            </w:r>
            <w:r>
              <w:noBreakHyphen/>
              <w:t>31</w:t>
            </w:r>
          </w:p>
        </w:tc>
        <w:tc>
          <w:tcPr>
            <w:tcW w:w="2693" w:type="dxa"/>
          </w:tcPr>
          <w:p>
            <w:pPr>
              <w:pStyle w:val="nTable"/>
              <w:keepNext/>
              <w:keepLines/>
              <w:spacing w:after="40"/>
            </w:pPr>
            <w:r>
              <w:t>1 Jul 1992 (see bl. 2)</w:t>
            </w:r>
          </w:p>
        </w:tc>
      </w:tr>
      <w:tr>
        <w:trPr>
          <w:cantSplit/>
        </w:trPr>
        <w:tc>
          <w:tcPr>
            <w:tcW w:w="3118" w:type="dxa"/>
          </w:tcPr>
          <w:p>
            <w:pPr>
              <w:pStyle w:val="nTable"/>
              <w:spacing w:after="40"/>
              <w:ind w:right="113"/>
            </w:pPr>
            <w:r>
              <w:rPr>
                <w:i/>
              </w:rPr>
              <w:t>Water Authority (Charges) Amendment By</w:t>
            </w:r>
            <w:r>
              <w:rPr>
                <w:i/>
              </w:rPr>
              <w:noBreakHyphen/>
              <w:t>laws (No. 6) 1992</w:t>
            </w:r>
          </w:p>
        </w:tc>
        <w:tc>
          <w:tcPr>
            <w:tcW w:w="1276" w:type="dxa"/>
          </w:tcPr>
          <w:p>
            <w:pPr>
              <w:pStyle w:val="nTable"/>
              <w:spacing w:after="40"/>
            </w:pPr>
            <w:r>
              <w:t>26 Jun 1992 p. 2831</w:t>
            </w:r>
            <w:r>
              <w:noBreakHyphen/>
              <w:t>2</w:t>
            </w:r>
          </w:p>
        </w:tc>
        <w:tc>
          <w:tcPr>
            <w:tcW w:w="2693" w:type="dxa"/>
          </w:tcPr>
          <w:p>
            <w:pPr>
              <w:pStyle w:val="nTable"/>
              <w:spacing w:after="40"/>
            </w:pPr>
            <w:r>
              <w:t>1 Jul 1992 (see bl. 2)</w:t>
            </w:r>
          </w:p>
        </w:tc>
      </w:tr>
      <w:tr>
        <w:trPr>
          <w:cantSplit/>
        </w:trPr>
        <w:tc>
          <w:tcPr>
            <w:tcW w:w="3118" w:type="dxa"/>
          </w:tcPr>
          <w:p>
            <w:pPr>
              <w:pStyle w:val="nTable"/>
              <w:spacing w:after="40"/>
              <w:ind w:right="113"/>
            </w:pPr>
            <w:r>
              <w:rPr>
                <w:i/>
              </w:rPr>
              <w:t>Water Authority (Charges) Amendment By</w:t>
            </w:r>
            <w:r>
              <w:rPr>
                <w:i/>
              </w:rPr>
              <w:noBreakHyphen/>
              <w:t>laws (No. 7) 1992</w:t>
            </w:r>
          </w:p>
        </w:tc>
        <w:tc>
          <w:tcPr>
            <w:tcW w:w="1276" w:type="dxa"/>
          </w:tcPr>
          <w:p>
            <w:pPr>
              <w:pStyle w:val="nTable"/>
              <w:spacing w:after="40"/>
            </w:pPr>
            <w:r>
              <w:t>6 Jul 1992 p. 3079</w:t>
            </w:r>
          </w:p>
        </w:tc>
        <w:tc>
          <w:tcPr>
            <w:tcW w:w="2693" w:type="dxa"/>
          </w:tcPr>
          <w:p>
            <w:pPr>
              <w:pStyle w:val="nTable"/>
              <w:spacing w:after="40"/>
            </w:pPr>
            <w:r>
              <w:t>6 Jul 1992</w:t>
            </w:r>
          </w:p>
        </w:tc>
      </w:tr>
      <w:tr>
        <w:trPr>
          <w:cantSplit/>
        </w:trPr>
        <w:tc>
          <w:tcPr>
            <w:tcW w:w="3118" w:type="dxa"/>
          </w:tcPr>
          <w:p>
            <w:pPr>
              <w:pStyle w:val="nTable"/>
              <w:spacing w:after="40"/>
              <w:ind w:right="113"/>
            </w:pPr>
            <w:r>
              <w:rPr>
                <w:i/>
              </w:rPr>
              <w:t>Water Authority (Charges) Amendment By</w:t>
            </w:r>
            <w:r>
              <w:rPr>
                <w:i/>
              </w:rPr>
              <w:noBreakHyphen/>
              <w:t>laws (No. 8) 1992</w:t>
            </w:r>
          </w:p>
        </w:tc>
        <w:tc>
          <w:tcPr>
            <w:tcW w:w="1276" w:type="dxa"/>
          </w:tcPr>
          <w:p>
            <w:pPr>
              <w:pStyle w:val="nTable"/>
              <w:spacing w:after="40"/>
            </w:pPr>
            <w:r>
              <w:t>24 Jul 1992 p. 3660</w:t>
            </w:r>
            <w:r>
              <w:noBreakHyphen/>
              <w:t>1</w:t>
            </w:r>
          </w:p>
        </w:tc>
        <w:tc>
          <w:tcPr>
            <w:tcW w:w="2693" w:type="dxa"/>
          </w:tcPr>
          <w:p>
            <w:pPr>
              <w:pStyle w:val="nTable"/>
              <w:spacing w:after="40"/>
            </w:pPr>
            <w:r>
              <w:t>24 Jul 1992</w:t>
            </w:r>
          </w:p>
        </w:tc>
      </w:tr>
      <w:tr>
        <w:trPr>
          <w:cantSplit/>
        </w:trPr>
        <w:tc>
          <w:tcPr>
            <w:tcW w:w="3118" w:type="dxa"/>
          </w:tcPr>
          <w:p>
            <w:pPr>
              <w:pStyle w:val="nTable"/>
              <w:spacing w:after="40"/>
              <w:ind w:right="113"/>
            </w:pPr>
            <w:r>
              <w:rPr>
                <w:i/>
              </w:rPr>
              <w:t>Water Authority (Charges) Amendment By</w:t>
            </w:r>
            <w:r>
              <w:rPr>
                <w:i/>
              </w:rPr>
              <w:noBreakHyphen/>
              <w:t>laws (No. 9) 1992</w:t>
            </w:r>
          </w:p>
        </w:tc>
        <w:tc>
          <w:tcPr>
            <w:tcW w:w="1276" w:type="dxa"/>
          </w:tcPr>
          <w:p>
            <w:pPr>
              <w:pStyle w:val="nTable"/>
              <w:spacing w:after="40"/>
            </w:pPr>
            <w:r>
              <w:t>31 Dec 1992 p. 6412</w:t>
            </w:r>
            <w:r>
              <w:noBreakHyphen/>
              <w:t>13</w:t>
            </w:r>
          </w:p>
        </w:tc>
        <w:tc>
          <w:tcPr>
            <w:tcW w:w="2693" w:type="dxa"/>
          </w:tcPr>
          <w:p>
            <w:pPr>
              <w:pStyle w:val="nTable"/>
              <w:spacing w:after="40"/>
            </w:pPr>
            <w:r>
              <w:t>31 Dec 1992</w:t>
            </w:r>
          </w:p>
        </w:tc>
      </w:tr>
      <w:tr>
        <w:trPr>
          <w:cantSplit/>
        </w:trPr>
        <w:tc>
          <w:tcPr>
            <w:tcW w:w="3118" w:type="dxa"/>
          </w:tcPr>
          <w:p>
            <w:pPr>
              <w:pStyle w:val="nTable"/>
              <w:spacing w:after="40"/>
              <w:ind w:right="113"/>
            </w:pPr>
            <w:r>
              <w:rPr>
                <w:i/>
              </w:rPr>
              <w:t>Water Authority (Charges) Amendment By</w:t>
            </w:r>
            <w:r>
              <w:rPr>
                <w:i/>
              </w:rPr>
              <w:noBreakHyphen/>
              <w:t>laws 1993</w:t>
            </w:r>
          </w:p>
        </w:tc>
        <w:tc>
          <w:tcPr>
            <w:tcW w:w="1276" w:type="dxa"/>
          </w:tcPr>
          <w:p>
            <w:pPr>
              <w:pStyle w:val="nTable"/>
              <w:spacing w:after="40"/>
            </w:pPr>
            <w:r>
              <w:t>1 Jul 1993 p. 3214</w:t>
            </w:r>
            <w:r>
              <w:noBreakHyphen/>
              <w:t>36</w:t>
            </w:r>
          </w:p>
        </w:tc>
        <w:tc>
          <w:tcPr>
            <w:tcW w:w="2693" w:type="dxa"/>
          </w:tcPr>
          <w:p>
            <w:pPr>
              <w:pStyle w:val="nTable"/>
              <w:spacing w:after="40"/>
            </w:pPr>
            <w:r>
              <w:t>1 Jul 1993</w:t>
            </w:r>
          </w:p>
        </w:tc>
      </w:tr>
      <w:tr>
        <w:trPr>
          <w:cantSplit/>
        </w:trPr>
        <w:tc>
          <w:tcPr>
            <w:tcW w:w="3118" w:type="dxa"/>
          </w:tcPr>
          <w:p>
            <w:pPr>
              <w:pStyle w:val="nTable"/>
              <w:spacing w:after="40"/>
              <w:ind w:right="113"/>
            </w:pPr>
            <w:r>
              <w:rPr>
                <w:i/>
              </w:rPr>
              <w:t>Water Authority (Charges) Amendment By</w:t>
            </w:r>
            <w:r>
              <w:rPr>
                <w:i/>
              </w:rPr>
              <w:noBreakHyphen/>
              <w:t>laws (No. 2) 1993</w:t>
            </w:r>
          </w:p>
        </w:tc>
        <w:tc>
          <w:tcPr>
            <w:tcW w:w="1276" w:type="dxa"/>
          </w:tcPr>
          <w:p>
            <w:pPr>
              <w:pStyle w:val="nTable"/>
              <w:spacing w:after="40"/>
            </w:pPr>
            <w:r>
              <w:t>1 Jul 1993 p. 3236</w:t>
            </w:r>
            <w:r>
              <w:noBreakHyphen/>
              <w:t>7</w:t>
            </w:r>
          </w:p>
        </w:tc>
        <w:tc>
          <w:tcPr>
            <w:tcW w:w="2693" w:type="dxa"/>
          </w:tcPr>
          <w:p>
            <w:pPr>
              <w:pStyle w:val="nTable"/>
              <w:spacing w:after="40"/>
            </w:pPr>
            <w:r>
              <w:t>1 Jul 1993 (see bl. 2)</w:t>
            </w:r>
          </w:p>
        </w:tc>
      </w:tr>
      <w:tr>
        <w:trPr>
          <w:cantSplit/>
        </w:trPr>
        <w:tc>
          <w:tcPr>
            <w:tcW w:w="3118" w:type="dxa"/>
          </w:tcPr>
          <w:p>
            <w:pPr>
              <w:pStyle w:val="nTable"/>
              <w:spacing w:after="40"/>
              <w:ind w:right="113"/>
            </w:pPr>
            <w:r>
              <w:rPr>
                <w:i/>
              </w:rPr>
              <w:lastRenderedPageBreak/>
              <w:t>Water Authority (Charges) Amendment By</w:t>
            </w:r>
            <w:r>
              <w:rPr>
                <w:i/>
              </w:rPr>
              <w:noBreakHyphen/>
              <w:t>laws (No. 3) 1993</w:t>
            </w:r>
          </w:p>
        </w:tc>
        <w:tc>
          <w:tcPr>
            <w:tcW w:w="1276" w:type="dxa"/>
          </w:tcPr>
          <w:p>
            <w:pPr>
              <w:pStyle w:val="nTable"/>
              <w:spacing w:after="40"/>
            </w:pPr>
            <w:r>
              <w:t>27 Jul 1993 p. 4096</w:t>
            </w:r>
            <w:r>
              <w:noBreakHyphen/>
              <w:t>7</w:t>
            </w:r>
          </w:p>
        </w:tc>
        <w:tc>
          <w:tcPr>
            <w:tcW w:w="2693" w:type="dxa"/>
          </w:tcPr>
          <w:p>
            <w:pPr>
              <w:pStyle w:val="nTable"/>
              <w:spacing w:after="40"/>
            </w:pPr>
            <w:r>
              <w:t>27 Jul 1993</w:t>
            </w:r>
          </w:p>
        </w:tc>
      </w:tr>
      <w:tr>
        <w:trPr>
          <w:cantSplit/>
        </w:trPr>
        <w:tc>
          <w:tcPr>
            <w:tcW w:w="3118" w:type="dxa"/>
          </w:tcPr>
          <w:p>
            <w:pPr>
              <w:pStyle w:val="nTable"/>
              <w:spacing w:after="40"/>
              <w:ind w:right="113"/>
            </w:pPr>
            <w:r>
              <w:rPr>
                <w:i/>
              </w:rPr>
              <w:t>Water Authority (Charges) Amendment By</w:t>
            </w:r>
            <w:r>
              <w:rPr>
                <w:i/>
              </w:rPr>
              <w:noBreakHyphen/>
              <w:t>laws (No. 4) 1993</w:t>
            </w:r>
          </w:p>
        </w:tc>
        <w:tc>
          <w:tcPr>
            <w:tcW w:w="1276" w:type="dxa"/>
          </w:tcPr>
          <w:p>
            <w:pPr>
              <w:pStyle w:val="nTable"/>
              <w:spacing w:after="40"/>
            </w:pPr>
            <w:r>
              <w:t>28 Sep 1993 p. 5328</w:t>
            </w:r>
          </w:p>
        </w:tc>
        <w:tc>
          <w:tcPr>
            <w:tcW w:w="2693" w:type="dxa"/>
          </w:tcPr>
          <w:p>
            <w:pPr>
              <w:pStyle w:val="nTable"/>
              <w:spacing w:after="40"/>
            </w:pPr>
            <w:r>
              <w:t>28 Sep 1993</w:t>
            </w:r>
          </w:p>
        </w:tc>
      </w:tr>
      <w:tr>
        <w:trPr>
          <w:cantSplit/>
        </w:trPr>
        <w:tc>
          <w:tcPr>
            <w:tcW w:w="3118" w:type="dxa"/>
          </w:tcPr>
          <w:p>
            <w:pPr>
              <w:pStyle w:val="nTable"/>
              <w:spacing w:after="40"/>
              <w:ind w:right="113"/>
            </w:pPr>
            <w:r>
              <w:rPr>
                <w:i/>
              </w:rPr>
              <w:t>Water Authority (Charges) Amendment By</w:t>
            </w:r>
            <w:r>
              <w:rPr>
                <w:i/>
              </w:rPr>
              <w:noBreakHyphen/>
              <w:t>laws 1994</w:t>
            </w:r>
          </w:p>
        </w:tc>
        <w:tc>
          <w:tcPr>
            <w:tcW w:w="1276" w:type="dxa"/>
          </w:tcPr>
          <w:p>
            <w:pPr>
              <w:pStyle w:val="nTable"/>
              <w:spacing w:after="40"/>
            </w:pPr>
            <w:r>
              <w:t>4 Mar 1994 p. 900</w:t>
            </w:r>
            <w:r>
              <w:noBreakHyphen/>
              <w:t>1</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2) 1994</w:t>
            </w:r>
          </w:p>
        </w:tc>
        <w:tc>
          <w:tcPr>
            <w:tcW w:w="1276" w:type="dxa"/>
          </w:tcPr>
          <w:p>
            <w:pPr>
              <w:pStyle w:val="nTable"/>
              <w:spacing w:after="40"/>
            </w:pPr>
            <w:r>
              <w:t>4 Mar 1994 p. 901</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3) 1994</w:t>
            </w:r>
          </w:p>
        </w:tc>
        <w:tc>
          <w:tcPr>
            <w:tcW w:w="1276" w:type="dxa"/>
          </w:tcPr>
          <w:p>
            <w:pPr>
              <w:pStyle w:val="nTable"/>
              <w:spacing w:after="40"/>
            </w:pPr>
            <w:r>
              <w:t>4 Mar 1994 p. 902</w:t>
            </w:r>
            <w:r>
              <w:noBreakHyphen/>
              <w:t>3</w:t>
            </w:r>
          </w:p>
        </w:tc>
        <w:tc>
          <w:tcPr>
            <w:tcW w:w="2693" w:type="dxa"/>
          </w:tcPr>
          <w:p>
            <w:pPr>
              <w:pStyle w:val="nTable"/>
              <w:spacing w:after="40"/>
            </w:pPr>
            <w:r>
              <w:t>1 Jul 1994 (see bl. 2)</w:t>
            </w:r>
          </w:p>
        </w:tc>
      </w:tr>
      <w:tr>
        <w:trPr>
          <w:cantSplit/>
        </w:trPr>
        <w:tc>
          <w:tcPr>
            <w:tcW w:w="3118" w:type="dxa"/>
          </w:tcPr>
          <w:p>
            <w:pPr>
              <w:pStyle w:val="nTable"/>
              <w:spacing w:after="40"/>
              <w:ind w:right="113"/>
            </w:pPr>
            <w:r>
              <w:rPr>
                <w:i/>
              </w:rPr>
              <w:t>Water Authority (Charges) Amendment By</w:t>
            </w:r>
            <w:r>
              <w:rPr>
                <w:i/>
              </w:rPr>
              <w:noBreakHyphen/>
              <w:t>laws (No. 6) 1994</w:t>
            </w:r>
          </w:p>
        </w:tc>
        <w:tc>
          <w:tcPr>
            <w:tcW w:w="1276" w:type="dxa"/>
          </w:tcPr>
          <w:p>
            <w:pPr>
              <w:pStyle w:val="nTable"/>
              <w:spacing w:after="40"/>
            </w:pPr>
            <w:r>
              <w:t>4 Mar 1994 p. 904</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7) 1994</w:t>
            </w:r>
          </w:p>
        </w:tc>
        <w:tc>
          <w:tcPr>
            <w:tcW w:w="1276" w:type="dxa"/>
          </w:tcPr>
          <w:p>
            <w:pPr>
              <w:pStyle w:val="nTable"/>
              <w:spacing w:after="40"/>
            </w:pPr>
            <w:r>
              <w:t>6 May 1994 p. 1934</w:t>
            </w:r>
          </w:p>
        </w:tc>
        <w:tc>
          <w:tcPr>
            <w:tcW w:w="2693" w:type="dxa"/>
          </w:tcPr>
          <w:p>
            <w:pPr>
              <w:pStyle w:val="nTable"/>
              <w:spacing w:after="40"/>
            </w:pPr>
            <w:r>
              <w:t>6 May 1994</w:t>
            </w:r>
          </w:p>
        </w:tc>
      </w:tr>
      <w:tr>
        <w:trPr>
          <w:cantSplit/>
        </w:trPr>
        <w:tc>
          <w:tcPr>
            <w:tcW w:w="3118" w:type="dxa"/>
          </w:tcPr>
          <w:p>
            <w:pPr>
              <w:pStyle w:val="nTable"/>
              <w:spacing w:after="40"/>
              <w:ind w:right="113"/>
            </w:pPr>
            <w:r>
              <w:rPr>
                <w:i/>
              </w:rPr>
              <w:t>Water Authority (Charges) Amendment By</w:t>
            </w:r>
            <w:r>
              <w:rPr>
                <w:i/>
              </w:rPr>
              <w:noBreakHyphen/>
              <w:t>laws (No. 8) 1994</w:t>
            </w:r>
          </w:p>
        </w:tc>
        <w:tc>
          <w:tcPr>
            <w:tcW w:w="1276" w:type="dxa"/>
          </w:tcPr>
          <w:p>
            <w:pPr>
              <w:pStyle w:val="nTable"/>
              <w:spacing w:after="40"/>
            </w:pPr>
            <w:r>
              <w:t>29 Jun 1994 p. 3171</w:t>
            </w:r>
            <w:r>
              <w:noBreakHyphen/>
              <w:t>200</w:t>
            </w:r>
          </w:p>
        </w:tc>
        <w:tc>
          <w:tcPr>
            <w:tcW w:w="2693" w:type="dxa"/>
          </w:tcPr>
          <w:p>
            <w:pPr>
              <w:pStyle w:val="nTable"/>
              <w:spacing w:after="40"/>
            </w:pPr>
            <w:r>
              <w:t>1 Jul 1994 (see bl. 2)</w:t>
            </w:r>
          </w:p>
        </w:tc>
      </w:tr>
      <w:tr>
        <w:trPr>
          <w:cantSplit/>
        </w:trPr>
        <w:tc>
          <w:tcPr>
            <w:tcW w:w="3118" w:type="dxa"/>
          </w:tcPr>
          <w:p>
            <w:pPr>
              <w:pStyle w:val="nTable"/>
              <w:spacing w:after="40"/>
              <w:ind w:right="113"/>
            </w:pPr>
            <w:r>
              <w:rPr>
                <w:i/>
              </w:rPr>
              <w:t>Water Authority (Charges) Amendment By</w:t>
            </w:r>
            <w:r>
              <w:rPr>
                <w:i/>
              </w:rPr>
              <w:noBreakHyphen/>
              <w:t>laws (No. 9) 1994</w:t>
            </w:r>
          </w:p>
        </w:tc>
        <w:tc>
          <w:tcPr>
            <w:tcW w:w="1276" w:type="dxa"/>
          </w:tcPr>
          <w:p>
            <w:pPr>
              <w:pStyle w:val="nTable"/>
              <w:spacing w:after="40"/>
            </w:pPr>
            <w:r>
              <w:t>16 Sep 1994 p. 4806</w:t>
            </w:r>
            <w:r>
              <w:noBreakHyphen/>
              <w:t>7</w:t>
            </w:r>
          </w:p>
        </w:tc>
        <w:tc>
          <w:tcPr>
            <w:tcW w:w="2693" w:type="dxa"/>
          </w:tcPr>
          <w:p>
            <w:pPr>
              <w:pStyle w:val="nTable"/>
              <w:spacing w:after="40"/>
            </w:pPr>
            <w:r>
              <w:t>16 Sep 1994</w:t>
            </w:r>
          </w:p>
        </w:tc>
      </w:tr>
      <w:tr>
        <w:trPr>
          <w:cantSplit/>
        </w:trPr>
        <w:tc>
          <w:tcPr>
            <w:tcW w:w="3118" w:type="dxa"/>
          </w:tcPr>
          <w:p>
            <w:pPr>
              <w:pStyle w:val="nTable"/>
              <w:spacing w:after="40"/>
              <w:ind w:right="113"/>
            </w:pPr>
            <w:r>
              <w:rPr>
                <w:i/>
              </w:rPr>
              <w:t>Water Authority (Charges) Amendment By</w:t>
            </w:r>
            <w:r>
              <w:rPr>
                <w:i/>
              </w:rPr>
              <w:noBreakHyphen/>
              <w:t>laws (No. 10) 1994</w:t>
            </w:r>
          </w:p>
        </w:tc>
        <w:tc>
          <w:tcPr>
            <w:tcW w:w="1276" w:type="dxa"/>
          </w:tcPr>
          <w:p>
            <w:pPr>
              <w:pStyle w:val="nTable"/>
              <w:spacing w:after="40"/>
            </w:pPr>
            <w:r>
              <w:t>28 Oct 1994 p. 5556</w:t>
            </w:r>
            <w:r>
              <w:noBreakHyphen/>
              <w:t>7</w:t>
            </w:r>
          </w:p>
        </w:tc>
        <w:tc>
          <w:tcPr>
            <w:tcW w:w="2693" w:type="dxa"/>
          </w:tcPr>
          <w:p>
            <w:pPr>
              <w:pStyle w:val="nTable"/>
              <w:spacing w:after="40"/>
            </w:pPr>
            <w:r>
              <w:t>28 Oct 1994</w:t>
            </w:r>
          </w:p>
        </w:tc>
      </w:tr>
      <w:tr>
        <w:trPr>
          <w:cantSplit/>
        </w:trPr>
        <w:tc>
          <w:tcPr>
            <w:tcW w:w="3118" w:type="dxa"/>
          </w:tcPr>
          <w:p>
            <w:pPr>
              <w:pStyle w:val="nTable"/>
              <w:spacing w:after="40"/>
              <w:ind w:right="113"/>
            </w:pPr>
            <w:r>
              <w:rPr>
                <w:i/>
              </w:rPr>
              <w:t>Water Authority (Charges) Amendment By</w:t>
            </w:r>
            <w:r>
              <w:rPr>
                <w:i/>
              </w:rPr>
              <w:noBreakHyphen/>
              <w:t>laws (No. 11) 1994</w:t>
            </w:r>
          </w:p>
        </w:tc>
        <w:tc>
          <w:tcPr>
            <w:tcW w:w="1276" w:type="dxa"/>
          </w:tcPr>
          <w:p>
            <w:pPr>
              <w:pStyle w:val="nTable"/>
              <w:spacing w:after="40"/>
            </w:pPr>
            <w:r>
              <w:t>30 Dec 1994 p. 7351</w:t>
            </w:r>
            <w:r>
              <w:noBreakHyphen/>
              <w:t>3</w:t>
            </w:r>
          </w:p>
        </w:tc>
        <w:tc>
          <w:tcPr>
            <w:tcW w:w="2693" w:type="dxa"/>
          </w:tcPr>
          <w:p>
            <w:pPr>
              <w:pStyle w:val="nTable"/>
              <w:spacing w:after="40"/>
            </w:pPr>
            <w:r>
              <w:t>30 Dec 1994</w:t>
            </w:r>
          </w:p>
        </w:tc>
      </w:tr>
      <w:tr>
        <w:trPr>
          <w:cantSplit/>
        </w:trPr>
        <w:tc>
          <w:tcPr>
            <w:tcW w:w="3118" w:type="dxa"/>
          </w:tcPr>
          <w:p>
            <w:pPr>
              <w:pStyle w:val="nTable"/>
              <w:spacing w:after="40"/>
              <w:ind w:right="113"/>
            </w:pPr>
            <w:r>
              <w:rPr>
                <w:i/>
              </w:rPr>
              <w:t>Water Authority (Charges) Amendment By</w:t>
            </w:r>
            <w:r>
              <w:rPr>
                <w:i/>
              </w:rPr>
              <w:noBreakHyphen/>
              <w:t>Laws 1995</w:t>
            </w:r>
          </w:p>
        </w:tc>
        <w:tc>
          <w:tcPr>
            <w:tcW w:w="1276" w:type="dxa"/>
          </w:tcPr>
          <w:p>
            <w:pPr>
              <w:pStyle w:val="nTable"/>
              <w:spacing w:after="40"/>
            </w:pPr>
            <w:r>
              <w:t>2 Jun 1995 p. 2215</w:t>
            </w:r>
          </w:p>
        </w:tc>
        <w:tc>
          <w:tcPr>
            <w:tcW w:w="2693" w:type="dxa"/>
          </w:tcPr>
          <w:p>
            <w:pPr>
              <w:pStyle w:val="nTable"/>
              <w:spacing w:after="40"/>
            </w:pPr>
            <w:r>
              <w:t>2 Jun 1995</w:t>
            </w:r>
          </w:p>
        </w:tc>
      </w:tr>
      <w:tr>
        <w:trPr>
          <w:cantSplit/>
        </w:trPr>
        <w:tc>
          <w:tcPr>
            <w:tcW w:w="3118" w:type="dxa"/>
          </w:tcPr>
          <w:p>
            <w:pPr>
              <w:pStyle w:val="nTable"/>
              <w:spacing w:after="40"/>
              <w:ind w:right="113"/>
            </w:pPr>
            <w:r>
              <w:rPr>
                <w:i/>
              </w:rPr>
              <w:t>Water Authority (Charges) Amendment By</w:t>
            </w:r>
            <w:r>
              <w:rPr>
                <w:i/>
              </w:rPr>
              <w:noBreakHyphen/>
              <w:t>laws (No. 2) 1995</w:t>
            </w:r>
          </w:p>
        </w:tc>
        <w:tc>
          <w:tcPr>
            <w:tcW w:w="1276" w:type="dxa"/>
          </w:tcPr>
          <w:p>
            <w:pPr>
              <w:pStyle w:val="nTable"/>
              <w:spacing w:after="40"/>
            </w:pPr>
            <w:r>
              <w:t>30 Jun 1995 p. 2735</w:t>
            </w:r>
            <w:r>
              <w:noBreakHyphen/>
              <w:t>66</w:t>
            </w:r>
          </w:p>
        </w:tc>
        <w:tc>
          <w:tcPr>
            <w:tcW w:w="2693" w:type="dxa"/>
          </w:tcPr>
          <w:p>
            <w:pPr>
              <w:pStyle w:val="nTable"/>
              <w:spacing w:after="40"/>
            </w:pPr>
            <w:r>
              <w:t>1 Jul 1995 (see bl. 2)</w:t>
            </w:r>
          </w:p>
        </w:tc>
      </w:tr>
      <w:tr>
        <w:trPr>
          <w:cantSplit/>
        </w:trPr>
        <w:tc>
          <w:tcPr>
            <w:tcW w:w="3118" w:type="dxa"/>
          </w:tcPr>
          <w:p>
            <w:pPr>
              <w:pStyle w:val="nTable"/>
              <w:spacing w:after="40"/>
              <w:ind w:right="113"/>
            </w:pPr>
            <w:r>
              <w:rPr>
                <w:i/>
              </w:rPr>
              <w:t>Water Authority (Charges) Amendment By</w:t>
            </w:r>
            <w:r>
              <w:rPr>
                <w:i/>
              </w:rPr>
              <w:noBreakHyphen/>
              <w:t>laws (No. 3) 1995</w:t>
            </w:r>
          </w:p>
        </w:tc>
        <w:tc>
          <w:tcPr>
            <w:tcW w:w="1276" w:type="dxa"/>
          </w:tcPr>
          <w:p>
            <w:pPr>
              <w:pStyle w:val="nTable"/>
              <w:spacing w:after="40"/>
            </w:pPr>
            <w:r>
              <w:t>17 Nov 1995 p. 5344</w:t>
            </w:r>
            <w:r>
              <w:noBreakHyphen/>
              <w:t>5</w:t>
            </w:r>
          </w:p>
        </w:tc>
        <w:tc>
          <w:tcPr>
            <w:tcW w:w="2693" w:type="dxa"/>
          </w:tcPr>
          <w:p>
            <w:pPr>
              <w:pStyle w:val="nTable"/>
              <w:spacing w:after="40"/>
            </w:pPr>
            <w:r>
              <w:t>17 Nov 1995</w:t>
            </w:r>
          </w:p>
        </w:tc>
      </w:tr>
      <w:tr>
        <w:trPr>
          <w:cantSplit/>
        </w:trPr>
        <w:tc>
          <w:tcPr>
            <w:tcW w:w="3118" w:type="dxa"/>
          </w:tcPr>
          <w:p>
            <w:pPr>
              <w:pStyle w:val="nTable"/>
              <w:spacing w:after="40"/>
              <w:ind w:right="113"/>
            </w:pPr>
            <w:r>
              <w:rPr>
                <w:i/>
              </w:rPr>
              <w:t>Water Authority (Charges) Amendment By</w:t>
            </w:r>
            <w:r>
              <w:rPr>
                <w:i/>
              </w:rPr>
              <w:noBreakHyphen/>
              <w:t>laws (No. 4) 1995</w:t>
            </w:r>
          </w:p>
        </w:tc>
        <w:tc>
          <w:tcPr>
            <w:tcW w:w="1276" w:type="dxa"/>
          </w:tcPr>
          <w:p>
            <w:pPr>
              <w:pStyle w:val="nTable"/>
              <w:spacing w:after="40"/>
            </w:pPr>
            <w:r>
              <w:t>17 Nov 1995 p. 5345</w:t>
            </w:r>
            <w:r>
              <w:noBreakHyphen/>
              <w:t>6</w:t>
            </w:r>
          </w:p>
        </w:tc>
        <w:tc>
          <w:tcPr>
            <w:tcW w:w="2693" w:type="dxa"/>
          </w:tcPr>
          <w:p>
            <w:pPr>
              <w:pStyle w:val="nTable"/>
              <w:spacing w:after="40"/>
            </w:pPr>
            <w:r>
              <w:t>17 Nov 1995</w:t>
            </w:r>
          </w:p>
        </w:tc>
      </w:tr>
      <w:tr>
        <w:trPr>
          <w:cantSplit/>
        </w:trPr>
        <w:tc>
          <w:tcPr>
            <w:tcW w:w="3118" w:type="dxa"/>
          </w:tcPr>
          <w:p>
            <w:pPr>
              <w:pStyle w:val="nTable"/>
              <w:spacing w:after="40"/>
              <w:ind w:right="113"/>
            </w:pPr>
            <w:r>
              <w:rPr>
                <w:i/>
              </w:rPr>
              <w:t>Water Authority (Charges) Amendment By</w:t>
            </w:r>
            <w:r>
              <w:rPr>
                <w:i/>
              </w:rPr>
              <w:noBreakHyphen/>
              <w:t>laws (No. 5) 1995</w:t>
            </w:r>
          </w:p>
        </w:tc>
        <w:tc>
          <w:tcPr>
            <w:tcW w:w="1276" w:type="dxa"/>
          </w:tcPr>
          <w:p>
            <w:pPr>
              <w:pStyle w:val="nTable"/>
              <w:spacing w:after="40"/>
            </w:pPr>
            <w:r>
              <w:t>17 Nov 1995 p. 5346</w:t>
            </w:r>
          </w:p>
        </w:tc>
        <w:tc>
          <w:tcPr>
            <w:tcW w:w="2693" w:type="dxa"/>
          </w:tcPr>
          <w:p>
            <w:pPr>
              <w:pStyle w:val="nTable"/>
              <w:spacing w:after="40"/>
            </w:pPr>
            <w:r>
              <w:t>17 Nov 1995</w:t>
            </w:r>
          </w:p>
        </w:tc>
      </w:tr>
      <w:tr>
        <w:trPr>
          <w:cantSplit/>
        </w:trPr>
        <w:tc>
          <w:tcPr>
            <w:tcW w:w="3118" w:type="dxa"/>
          </w:tcPr>
          <w:p>
            <w:pPr>
              <w:pStyle w:val="nTable"/>
              <w:spacing w:after="40"/>
              <w:ind w:right="113"/>
              <w:rPr>
                <w:i/>
              </w:rPr>
            </w:pPr>
            <w:r>
              <w:rPr>
                <w:i/>
              </w:rPr>
              <w:t>Water Agencies (Amendment and Repeal) By</w:t>
            </w:r>
            <w:r>
              <w:rPr>
                <w:i/>
              </w:rPr>
              <w:noBreakHyphen/>
              <w:t xml:space="preserve">laws 1995 </w:t>
            </w:r>
            <w:r>
              <w:t>Pt. 11</w:t>
            </w:r>
          </w:p>
        </w:tc>
        <w:tc>
          <w:tcPr>
            <w:tcW w:w="1276" w:type="dxa"/>
          </w:tcPr>
          <w:p>
            <w:pPr>
              <w:pStyle w:val="nTable"/>
              <w:spacing w:after="40"/>
              <w:ind w:right="113"/>
            </w:pPr>
            <w:r>
              <w:t>29 Dec 1995 p. 6305-32</w:t>
            </w:r>
          </w:p>
        </w:tc>
        <w:tc>
          <w:tcPr>
            <w:tcW w:w="2693" w:type="dxa"/>
          </w:tcPr>
          <w:p>
            <w:pPr>
              <w:pStyle w:val="nTable"/>
              <w:spacing w:after="40"/>
              <w:ind w:right="113"/>
            </w:pPr>
            <w:r>
              <w:t xml:space="preserve">1 Jan 1996 (see bl. 2 and </w:t>
            </w:r>
            <w:r>
              <w:rPr>
                <w:i/>
              </w:rPr>
              <w:t>Gazette</w:t>
            </w:r>
            <w:r>
              <w:t xml:space="preserve"> 29 Dec 1995 p. 6291)</w:t>
            </w:r>
          </w:p>
        </w:tc>
      </w:tr>
      <w:tr>
        <w:trPr>
          <w:cantSplit/>
        </w:trPr>
        <w:tc>
          <w:tcPr>
            <w:tcW w:w="3118" w:type="dxa"/>
          </w:tcPr>
          <w:p>
            <w:pPr>
              <w:pStyle w:val="nTable"/>
              <w:spacing w:after="40"/>
              <w:ind w:right="113"/>
            </w:pPr>
            <w:r>
              <w:rPr>
                <w:i/>
              </w:rPr>
              <w:t>Water Agencies (Charges) Amendment By</w:t>
            </w:r>
            <w:r>
              <w:rPr>
                <w:i/>
              </w:rPr>
              <w:noBreakHyphen/>
              <w:t>laws 1996</w:t>
            </w:r>
          </w:p>
        </w:tc>
        <w:tc>
          <w:tcPr>
            <w:tcW w:w="1276" w:type="dxa"/>
          </w:tcPr>
          <w:p>
            <w:pPr>
              <w:pStyle w:val="nTable"/>
              <w:spacing w:after="40"/>
            </w:pPr>
            <w:r>
              <w:t>21 May 1996 p. 2139</w:t>
            </w:r>
          </w:p>
        </w:tc>
        <w:tc>
          <w:tcPr>
            <w:tcW w:w="2693" w:type="dxa"/>
          </w:tcPr>
          <w:p>
            <w:pPr>
              <w:pStyle w:val="nTable"/>
              <w:spacing w:after="40"/>
            </w:pPr>
            <w:r>
              <w:t xml:space="preserve">21 May 1996 (see bl. 2 and </w:t>
            </w:r>
            <w:r>
              <w:rPr>
                <w:i/>
              </w:rPr>
              <w:t>Gazette</w:t>
            </w:r>
            <w:r>
              <w:t xml:space="preserve"> 21 May 1996 p. 2140)</w:t>
            </w:r>
          </w:p>
        </w:tc>
      </w:tr>
      <w:tr>
        <w:trPr>
          <w:cantSplit/>
        </w:trPr>
        <w:tc>
          <w:tcPr>
            <w:tcW w:w="3118" w:type="dxa"/>
          </w:tcPr>
          <w:p>
            <w:pPr>
              <w:pStyle w:val="nTable"/>
              <w:keepNext/>
              <w:spacing w:after="40"/>
              <w:ind w:right="113"/>
            </w:pPr>
            <w:r>
              <w:rPr>
                <w:i/>
              </w:rPr>
              <w:lastRenderedPageBreak/>
              <w:t>Water Agencies (Charges) Amendment By</w:t>
            </w:r>
            <w:r>
              <w:rPr>
                <w:i/>
              </w:rPr>
              <w:noBreakHyphen/>
              <w:t>laws (No. 2) 1996</w:t>
            </w:r>
          </w:p>
        </w:tc>
        <w:tc>
          <w:tcPr>
            <w:tcW w:w="1276" w:type="dxa"/>
          </w:tcPr>
          <w:p>
            <w:pPr>
              <w:pStyle w:val="nTable"/>
              <w:keepNext/>
              <w:spacing w:after="40"/>
            </w:pPr>
            <w:r>
              <w:t>28 Jun 1996 p. 3103</w:t>
            </w:r>
            <w:r>
              <w:noBreakHyphen/>
              <w:t>30</w:t>
            </w:r>
            <w:r>
              <w:br/>
              <w:t>(correction 9 Jul 1996 p. 3281)</w:t>
            </w:r>
          </w:p>
        </w:tc>
        <w:tc>
          <w:tcPr>
            <w:tcW w:w="2693" w:type="dxa"/>
          </w:tcPr>
          <w:p>
            <w:pPr>
              <w:pStyle w:val="nTable"/>
              <w:keepNext/>
              <w:spacing w:after="40"/>
            </w:pPr>
            <w:r>
              <w:t>1 Jul 1996 (see bl. 2)</w:t>
            </w:r>
          </w:p>
        </w:tc>
      </w:tr>
      <w:tr>
        <w:trPr>
          <w:cantSplit/>
        </w:trPr>
        <w:tc>
          <w:tcPr>
            <w:tcW w:w="3118" w:type="dxa"/>
          </w:tcPr>
          <w:p>
            <w:pPr>
              <w:pStyle w:val="nTable"/>
              <w:spacing w:after="40"/>
              <w:ind w:right="113"/>
            </w:pPr>
            <w:r>
              <w:rPr>
                <w:i/>
              </w:rPr>
              <w:t>Water Agencies (Charges) Amendment By</w:t>
            </w:r>
            <w:r>
              <w:rPr>
                <w:i/>
              </w:rPr>
              <w:noBreakHyphen/>
              <w:t>laws (No. 3) 1996</w:t>
            </w:r>
          </w:p>
        </w:tc>
        <w:tc>
          <w:tcPr>
            <w:tcW w:w="1276" w:type="dxa"/>
          </w:tcPr>
          <w:p>
            <w:pPr>
              <w:pStyle w:val="nTable"/>
              <w:spacing w:after="40"/>
            </w:pPr>
            <w:r>
              <w:t>5 Jul 1996 p. 3255</w:t>
            </w:r>
          </w:p>
        </w:tc>
        <w:tc>
          <w:tcPr>
            <w:tcW w:w="2693" w:type="dxa"/>
          </w:tcPr>
          <w:p>
            <w:pPr>
              <w:pStyle w:val="nTable"/>
              <w:spacing w:after="40"/>
            </w:pPr>
            <w:r>
              <w:t>5 Jul 1996</w:t>
            </w:r>
          </w:p>
        </w:tc>
      </w:tr>
      <w:tr>
        <w:trPr>
          <w:cantSplit/>
        </w:trPr>
        <w:tc>
          <w:tcPr>
            <w:tcW w:w="3118" w:type="dxa"/>
          </w:tcPr>
          <w:p>
            <w:pPr>
              <w:pStyle w:val="nTable"/>
              <w:spacing w:after="40"/>
              <w:ind w:right="113"/>
            </w:pPr>
            <w:r>
              <w:rPr>
                <w:i/>
              </w:rPr>
              <w:t>Water Agencies (Charges) Amendment By</w:t>
            </w:r>
            <w:r>
              <w:rPr>
                <w:i/>
              </w:rPr>
              <w:noBreakHyphen/>
              <w:t>laws (No. 4) 1996</w:t>
            </w:r>
          </w:p>
        </w:tc>
        <w:tc>
          <w:tcPr>
            <w:tcW w:w="1276" w:type="dxa"/>
          </w:tcPr>
          <w:p>
            <w:pPr>
              <w:pStyle w:val="nTable"/>
              <w:spacing w:after="40"/>
            </w:pPr>
            <w:r>
              <w:t>19 Jul 1996 p. 3489</w:t>
            </w:r>
            <w:r>
              <w:noBreakHyphen/>
              <w:t>90</w:t>
            </w:r>
          </w:p>
        </w:tc>
        <w:tc>
          <w:tcPr>
            <w:tcW w:w="2693" w:type="dxa"/>
          </w:tcPr>
          <w:p>
            <w:pPr>
              <w:pStyle w:val="nTable"/>
              <w:spacing w:after="40"/>
            </w:pPr>
            <w:r>
              <w:t>19 Jul 1996</w:t>
            </w:r>
          </w:p>
        </w:tc>
      </w:tr>
      <w:tr>
        <w:trPr>
          <w:cantSplit/>
        </w:trPr>
        <w:tc>
          <w:tcPr>
            <w:tcW w:w="3118" w:type="dxa"/>
          </w:tcPr>
          <w:p>
            <w:pPr>
              <w:pStyle w:val="nTable"/>
              <w:spacing w:after="40"/>
              <w:ind w:right="113"/>
            </w:pPr>
            <w:r>
              <w:rPr>
                <w:i/>
              </w:rPr>
              <w:t>Water Agencies (Charges) Amendment By</w:t>
            </w:r>
            <w:r>
              <w:rPr>
                <w:i/>
              </w:rPr>
              <w:noBreakHyphen/>
              <w:t>laws (No. 5) 1996</w:t>
            </w:r>
          </w:p>
        </w:tc>
        <w:tc>
          <w:tcPr>
            <w:tcW w:w="1276" w:type="dxa"/>
          </w:tcPr>
          <w:p>
            <w:pPr>
              <w:pStyle w:val="nTable"/>
              <w:spacing w:after="40"/>
            </w:pPr>
            <w:r>
              <w:t>23 Aug 1996 p. 4128</w:t>
            </w:r>
            <w:r>
              <w:noBreakHyphen/>
              <w:t>9</w:t>
            </w:r>
          </w:p>
        </w:tc>
        <w:tc>
          <w:tcPr>
            <w:tcW w:w="2693" w:type="dxa"/>
          </w:tcPr>
          <w:p>
            <w:pPr>
              <w:pStyle w:val="nTable"/>
              <w:spacing w:after="40"/>
            </w:pPr>
            <w:r>
              <w:t>23 Aug 1996</w:t>
            </w:r>
          </w:p>
        </w:tc>
      </w:tr>
      <w:tr>
        <w:trPr>
          <w:cantSplit/>
        </w:trPr>
        <w:tc>
          <w:tcPr>
            <w:tcW w:w="3118" w:type="dxa"/>
          </w:tcPr>
          <w:p>
            <w:pPr>
              <w:pStyle w:val="nTable"/>
              <w:spacing w:after="40"/>
              <w:ind w:right="113"/>
            </w:pPr>
            <w:r>
              <w:rPr>
                <w:i/>
              </w:rPr>
              <w:t>Water Agencies (Charges) Amendment By</w:t>
            </w:r>
            <w:r>
              <w:rPr>
                <w:i/>
              </w:rPr>
              <w:noBreakHyphen/>
              <w:t>laws (No. 6) 1996</w:t>
            </w:r>
          </w:p>
        </w:tc>
        <w:tc>
          <w:tcPr>
            <w:tcW w:w="1276" w:type="dxa"/>
          </w:tcPr>
          <w:p>
            <w:pPr>
              <w:pStyle w:val="nTable"/>
              <w:spacing w:after="40"/>
            </w:pPr>
            <w:r>
              <w:t>13 Sep 1996 p. 4606</w:t>
            </w:r>
          </w:p>
        </w:tc>
        <w:tc>
          <w:tcPr>
            <w:tcW w:w="2693" w:type="dxa"/>
          </w:tcPr>
          <w:p>
            <w:pPr>
              <w:pStyle w:val="nTable"/>
              <w:spacing w:after="40"/>
            </w:pPr>
            <w:r>
              <w:t>13 Sep 1996</w:t>
            </w:r>
          </w:p>
        </w:tc>
      </w:tr>
      <w:tr>
        <w:trPr>
          <w:cantSplit/>
        </w:trPr>
        <w:tc>
          <w:tcPr>
            <w:tcW w:w="3118" w:type="dxa"/>
          </w:tcPr>
          <w:p>
            <w:pPr>
              <w:pStyle w:val="nTable"/>
              <w:spacing w:after="40"/>
              <w:ind w:right="113"/>
            </w:pPr>
            <w:r>
              <w:rPr>
                <w:i/>
              </w:rPr>
              <w:t>Water Agencies (Charges) Amendment By</w:t>
            </w:r>
            <w:r>
              <w:rPr>
                <w:i/>
              </w:rPr>
              <w:noBreakHyphen/>
              <w:t>laws (No. 7) 1996</w:t>
            </w:r>
          </w:p>
        </w:tc>
        <w:tc>
          <w:tcPr>
            <w:tcW w:w="1276" w:type="dxa"/>
          </w:tcPr>
          <w:p>
            <w:pPr>
              <w:pStyle w:val="nTable"/>
              <w:spacing w:after="40"/>
            </w:pPr>
            <w:r>
              <w:t>7 Jan 1997 p. 63</w:t>
            </w:r>
          </w:p>
        </w:tc>
        <w:tc>
          <w:tcPr>
            <w:tcW w:w="2693" w:type="dxa"/>
          </w:tcPr>
          <w:p>
            <w:pPr>
              <w:pStyle w:val="nTable"/>
              <w:spacing w:after="40"/>
            </w:pPr>
            <w:r>
              <w:t>7 Jan 1997</w:t>
            </w:r>
          </w:p>
        </w:tc>
      </w:tr>
      <w:tr>
        <w:trPr>
          <w:cantSplit/>
        </w:trPr>
        <w:tc>
          <w:tcPr>
            <w:tcW w:w="3118" w:type="dxa"/>
          </w:tcPr>
          <w:p>
            <w:pPr>
              <w:pStyle w:val="nTable"/>
              <w:spacing w:after="40"/>
              <w:ind w:right="113"/>
            </w:pPr>
            <w:r>
              <w:rPr>
                <w:i/>
              </w:rPr>
              <w:t>Water Agencies (Charges) Amendment By</w:t>
            </w:r>
            <w:r>
              <w:rPr>
                <w:i/>
              </w:rPr>
              <w:noBreakHyphen/>
              <w:t>laws 1997</w:t>
            </w:r>
          </w:p>
        </w:tc>
        <w:tc>
          <w:tcPr>
            <w:tcW w:w="1276" w:type="dxa"/>
          </w:tcPr>
          <w:p>
            <w:pPr>
              <w:pStyle w:val="nTable"/>
              <w:spacing w:after="40"/>
            </w:pPr>
            <w:r>
              <w:t>7 Feb 1997 p. 779</w:t>
            </w:r>
          </w:p>
        </w:tc>
        <w:tc>
          <w:tcPr>
            <w:tcW w:w="2693" w:type="dxa"/>
          </w:tcPr>
          <w:p>
            <w:pPr>
              <w:pStyle w:val="nTable"/>
              <w:spacing w:after="40"/>
            </w:pPr>
            <w:r>
              <w:t>7 Feb 1997</w:t>
            </w:r>
          </w:p>
        </w:tc>
      </w:tr>
      <w:tr>
        <w:trPr>
          <w:cantSplit/>
        </w:trPr>
        <w:tc>
          <w:tcPr>
            <w:tcW w:w="3118" w:type="dxa"/>
          </w:tcPr>
          <w:p>
            <w:pPr>
              <w:pStyle w:val="nTable"/>
              <w:spacing w:after="40"/>
              <w:ind w:right="113"/>
            </w:pPr>
            <w:r>
              <w:rPr>
                <w:i/>
              </w:rPr>
              <w:t>Water Agencies (Charges) Amendment By</w:t>
            </w:r>
            <w:r>
              <w:rPr>
                <w:i/>
              </w:rPr>
              <w:noBreakHyphen/>
              <w:t>laws (No. 2) 1997</w:t>
            </w:r>
          </w:p>
        </w:tc>
        <w:tc>
          <w:tcPr>
            <w:tcW w:w="1276" w:type="dxa"/>
          </w:tcPr>
          <w:p>
            <w:pPr>
              <w:pStyle w:val="nTable"/>
              <w:spacing w:after="40"/>
            </w:pPr>
            <w:r>
              <w:t>13 May 1997 p. 2350</w:t>
            </w:r>
            <w:r>
              <w:noBreakHyphen/>
              <w:t>3</w:t>
            </w:r>
          </w:p>
        </w:tc>
        <w:tc>
          <w:tcPr>
            <w:tcW w:w="2693" w:type="dxa"/>
          </w:tcPr>
          <w:p>
            <w:pPr>
              <w:pStyle w:val="nTable"/>
              <w:spacing w:after="40"/>
            </w:pPr>
            <w:r>
              <w:t>13 May 1997</w:t>
            </w:r>
          </w:p>
        </w:tc>
      </w:tr>
      <w:tr>
        <w:trPr>
          <w:cantSplit/>
        </w:trPr>
        <w:tc>
          <w:tcPr>
            <w:tcW w:w="3118" w:type="dxa"/>
          </w:tcPr>
          <w:p>
            <w:pPr>
              <w:pStyle w:val="nTable"/>
              <w:spacing w:after="40"/>
              <w:ind w:right="113"/>
            </w:pPr>
            <w:r>
              <w:rPr>
                <w:i/>
              </w:rPr>
              <w:t>Water Agencies (Charges) Amendment By</w:t>
            </w:r>
            <w:r>
              <w:rPr>
                <w:i/>
              </w:rPr>
              <w:noBreakHyphen/>
              <w:t>laws (No. 4) 1997</w:t>
            </w:r>
          </w:p>
        </w:tc>
        <w:tc>
          <w:tcPr>
            <w:tcW w:w="1276" w:type="dxa"/>
          </w:tcPr>
          <w:p>
            <w:pPr>
              <w:pStyle w:val="nTable"/>
              <w:spacing w:after="40"/>
            </w:pPr>
            <w:r>
              <w:t>10 Jun 1997 p. 2669</w:t>
            </w:r>
            <w:r>
              <w:noBreakHyphen/>
              <w:t>70</w:t>
            </w:r>
          </w:p>
        </w:tc>
        <w:tc>
          <w:tcPr>
            <w:tcW w:w="2693" w:type="dxa"/>
          </w:tcPr>
          <w:p>
            <w:pPr>
              <w:pStyle w:val="nTable"/>
              <w:spacing w:after="40"/>
            </w:pPr>
            <w:r>
              <w:t>10 Jun 1997</w:t>
            </w:r>
          </w:p>
        </w:tc>
      </w:tr>
      <w:tr>
        <w:trPr>
          <w:cantSplit/>
        </w:trPr>
        <w:tc>
          <w:tcPr>
            <w:tcW w:w="3118" w:type="dxa"/>
          </w:tcPr>
          <w:p>
            <w:pPr>
              <w:pStyle w:val="nTable"/>
              <w:spacing w:after="40"/>
              <w:ind w:right="113"/>
            </w:pPr>
            <w:r>
              <w:rPr>
                <w:i/>
              </w:rPr>
              <w:t>Water Agencies (Charges) Amendment By</w:t>
            </w:r>
            <w:r>
              <w:rPr>
                <w:i/>
              </w:rPr>
              <w:noBreakHyphen/>
              <w:t>laws (No. 3) 1997</w:t>
            </w:r>
          </w:p>
        </w:tc>
        <w:tc>
          <w:tcPr>
            <w:tcW w:w="1276" w:type="dxa"/>
          </w:tcPr>
          <w:p>
            <w:pPr>
              <w:pStyle w:val="nTable"/>
              <w:spacing w:after="40"/>
            </w:pPr>
            <w:r>
              <w:t>27 Jun 1997 p. 3175</w:t>
            </w:r>
            <w:r>
              <w:noBreakHyphen/>
              <w:t>203</w:t>
            </w:r>
          </w:p>
        </w:tc>
        <w:tc>
          <w:tcPr>
            <w:tcW w:w="2693" w:type="dxa"/>
          </w:tcPr>
          <w:p>
            <w:pPr>
              <w:pStyle w:val="nTable"/>
              <w:spacing w:after="40"/>
            </w:pPr>
            <w:r>
              <w:t>1 Jul 1997 (see bl. 2)</w:t>
            </w:r>
          </w:p>
        </w:tc>
      </w:tr>
      <w:tr>
        <w:trPr>
          <w:cantSplit/>
        </w:trPr>
        <w:tc>
          <w:tcPr>
            <w:tcW w:w="7087" w:type="dxa"/>
            <w:gridSpan w:val="3"/>
          </w:tcPr>
          <w:p>
            <w:pPr>
              <w:pStyle w:val="nTable"/>
              <w:spacing w:after="40"/>
            </w:pPr>
            <w:r>
              <w:rPr>
                <w:b/>
              </w:rPr>
              <w:t xml:space="preserve">Reprint of the </w:t>
            </w:r>
            <w:r>
              <w:rPr>
                <w:b/>
                <w:i/>
              </w:rPr>
              <w:t>Water Agencies (Charges) By</w:t>
            </w:r>
            <w:r>
              <w:rPr>
                <w:b/>
                <w:bCs/>
                <w:i/>
              </w:rPr>
              <w:noBreakHyphen/>
            </w:r>
            <w:r>
              <w:rPr>
                <w:b/>
                <w:i/>
              </w:rPr>
              <w:t>laws 1987</w:t>
            </w:r>
            <w:r>
              <w:rPr>
                <w:b/>
              </w:rPr>
              <w:t xml:space="preserve"> as at 25 Aug 1997</w:t>
            </w:r>
            <w:r>
              <w:t xml:space="preserve"> </w:t>
            </w:r>
            <w:r>
              <w:br/>
              <w:t>(includes amendments listed above)</w:t>
            </w:r>
          </w:p>
        </w:tc>
      </w:tr>
      <w:tr>
        <w:trPr>
          <w:cantSplit/>
        </w:trPr>
        <w:tc>
          <w:tcPr>
            <w:tcW w:w="3118" w:type="dxa"/>
          </w:tcPr>
          <w:p>
            <w:pPr>
              <w:pStyle w:val="nTable"/>
              <w:spacing w:after="40"/>
              <w:ind w:right="113"/>
              <w:rPr>
                <w:vertAlign w:val="superscript"/>
              </w:rPr>
            </w:pPr>
            <w:r>
              <w:rPr>
                <w:i/>
              </w:rPr>
              <w:t>Water Agencies (Charges) Amendment By</w:t>
            </w:r>
            <w:r>
              <w:rPr>
                <w:i/>
              </w:rPr>
              <w:noBreakHyphen/>
              <w:t>laws (No. 5) 1997</w:t>
            </w:r>
            <w:r>
              <w:rPr>
                <w:i/>
                <w:vertAlign w:val="superscript"/>
              </w:rPr>
              <w:t xml:space="preserve"> </w:t>
            </w:r>
            <w:r>
              <w:rPr>
                <w:vertAlign w:val="superscript"/>
              </w:rPr>
              <w:t>18</w:t>
            </w:r>
          </w:p>
        </w:tc>
        <w:tc>
          <w:tcPr>
            <w:tcW w:w="1276" w:type="dxa"/>
          </w:tcPr>
          <w:p>
            <w:pPr>
              <w:pStyle w:val="nTable"/>
              <w:spacing w:after="40"/>
            </w:pPr>
            <w:r>
              <w:t>6 Jan 1998 p. 39</w:t>
            </w:r>
            <w:r>
              <w:noBreakHyphen/>
              <w:t>41</w:t>
            </w:r>
          </w:p>
        </w:tc>
        <w:tc>
          <w:tcPr>
            <w:tcW w:w="2693" w:type="dxa"/>
          </w:tcPr>
          <w:p>
            <w:pPr>
              <w:pStyle w:val="nTable"/>
              <w:spacing w:after="40"/>
            </w:pPr>
            <w:r>
              <w:t>6 Jan 1998</w:t>
            </w:r>
          </w:p>
        </w:tc>
      </w:tr>
      <w:tr>
        <w:trPr>
          <w:cantSplit/>
        </w:trPr>
        <w:tc>
          <w:tcPr>
            <w:tcW w:w="3118" w:type="dxa"/>
          </w:tcPr>
          <w:p>
            <w:pPr>
              <w:pStyle w:val="nTable"/>
              <w:spacing w:after="40"/>
              <w:ind w:right="113"/>
            </w:pPr>
            <w:r>
              <w:rPr>
                <w:i/>
              </w:rPr>
              <w:t>Water Agencies (Charges) Amendment By</w:t>
            </w:r>
            <w:r>
              <w:rPr>
                <w:i/>
              </w:rPr>
              <w:noBreakHyphen/>
              <w:t>laws 1998</w:t>
            </w:r>
          </w:p>
        </w:tc>
        <w:tc>
          <w:tcPr>
            <w:tcW w:w="1276" w:type="dxa"/>
          </w:tcPr>
          <w:p>
            <w:pPr>
              <w:pStyle w:val="nTable"/>
              <w:spacing w:after="40"/>
            </w:pPr>
            <w:r>
              <w:t>9 Apr 1998 p. 2035</w:t>
            </w:r>
          </w:p>
        </w:tc>
        <w:tc>
          <w:tcPr>
            <w:tcW w:w="2693" w:type="dxa"/>
          </w:tcPr>
          <w:p>
            <w:pPr>
              <w:pStyle w:val="nTable"/>
              <w:spacing w:after="40"/>
            </w:pPr>
            <w:r>
              <w:t>14 Apr 1998 (see bl. 2)</w:t>
            </w:r>
          </w:p>
        </w:tc>
      </w:tr>
      <w:tr>
        <w:trPr>
          <w:cantSplit/>
        </w:trPr>
        <w:tc>
          <w:tcPr>
            <w:tcW w:w="3118" w:type="dxa"/>
          </w:tcPr>
          <w:p>
            <w:pPr>
              <w:pStyle w:val="nTable"/>
              <w:keepNext/>
              <w:spacing w:after="40"/>
              <w:ind w:right="113"/>
            </w:pPr>
            <w:r>
              <w:rPr>
                <w:i/>
              </w:rPr>
              <w:t>Water Agencies (Charges) Amendment By</w:t>
            </w:r>
            <w:r>
              <w:rPr>
                <w:i/>
              </w:rPr>
              <w:noBreakHyphen/>
              <w:t>laws (No. 2) 1998</w:t>
            </w:r>
          </w:p>
        </w:tc>
        <w:tc>
          <w:tcPr>
            <w:tcW w:w="1276" w:type="dxa"/>
          </w:tcPr>
          <w:p>
            <w:pPr>
              <w:pStyle w:val="nTable"/>
              <w:keepNext/>
              <w:spacing w:after="40"/>
            </w:pPr>
            <w:r>
              <w:t>26 Jun 1998 p. 3399</w:t>
            </w:r>
            <w:r>
              <w:noBreakHyphen/>
              <w:t>415</w:t>
            </w:r>
          </w:p>
        </w:tc>
        <w:tc>
          <w:tcPr>
            <w:tcW w:w="2693" w:type="dxa"/>
          </w:tcPr>
          <w:p>
            <w:pPr>
              <w:pStyle w:val="nTable"/>
              <w:keepNext/>
              <w:spacing w:after="40"/>
            </w:pPr>
            <w:r>
              <w:t xml:space="preserve">1 Jul 1998 (see bl. 2) </w:t>
            </w:r>
          </w:p>
        </w:tc>
      </w:tr>
      <w:tr>
        <w:trPr>
          <w:cantSplit/>
        </w:trPr>
        <w:tc>
          <w:tcPr>
            <w:tcW w:w="3118" w:type="dxa"/>
          </w:tcPr>
          <w:p>
            <w:pPr>
              <w:pStyle w:val="nTable"/>
              <w:spacing w:after="40"/>
              <w:ind w:right="113"/>
            </w:pPr>
            <w:r>
              <w:rPr>
                <w:i/>
              </w:rPr>
              <w:t>Water Agencies (Charges) Amendment By</w:t>
            </w:r>
            <w:r>
              <w:rPr>
                <w:i/>
              </w:rPr>
              <w:noBreakHyphen/>
              <w:t>laws (No. 3) 1998</w:t>
            </w:r>
          </w:p>
        </w:tc>
        <w:tc>
          <w:tcPr>
            <w:tcW w:w="1276" w:type="dxa"/>
          </w:tcPr>
          <w:p>
            <w:pPr>
              <w:pStyle w:val="nTable"/>
              <w:spacing w:after="40"/>
            </w:pPr>
            <w:r>
              <w:t>26 Jun 1998 p. 3415</w:t>
            </w:r>
            <w:r>
              <w:noBreakHyphen/>
              <w:t>16</w:t>
            </w:r>
          </w:p>
        </w:tc>
        <w:tc>
          <w:tcPr>
            <w:tcW w:w="2693" w:type="dxa"/>
          </w:tcPr>
          <w:p>
            <w:pPr>
              <w:pStyle w:val="nTable"/>
              <w:spacing w:after="40"/>
            </w:pPr>
            <w:r>
              <w:t>26 Jun 1998</w:t>
            </w:r>
          </w:p>
        </w:tc>
      </w:tr>
      <w:tr>
        <w:trPr>
          <w:cantSplit/>
        </w:trPr>
        <w:tc>
          <w:tcPr>
            <w:tcW w:w="3118" w:type="dxa"/>
          </w:tcPr>
          <w:p>
            <w:pPr>
              <w:pStyle w:val="nTable"/>
              <w:spacing w:after="40"/>
              <w:ind w:right="113"/>
            </w:pPr>
            <w:r>
              <w:rPr>
                <w:i/>
              </w:rPr>
              <w:t>Water Agencies (Charges) Amendment By</w:t>
            </w:r>
            <w:r>
              <w:rPr>
                <w:i/>
              </w:rPr>
              <w:noBreakHyphen/>
              <w:t>laws (No. 4) 1998</w:t>
            </w:r>
          </w:p>
        </w:tc>
        <w:tc>
          <w:tcPr>
            <w:tcW w:w="1276" w:type="dxa"/>
          </w:tcPr>
          <w:p>
            <w:pPr>
              <w:pStyle w:val="nTable"/>
              <w:spacing w:after="40"/>
            </w:pPr>
            <w:r>
              <w:t>1 Jul 1998 p. 3561</w:t>
            </w:r>
          </w:p>
        </w:tc>
        <w:tc>
          <w:tcPr>
            <w:tcW w:w="2693" w:type="dxa"/>
          </w:tcPr>
          <w:p>
            <w:pPr>
              <w:pStyle w:val="nTable"/>
              <w:spacing w:after="40"/>
            </w:pPr>
            <w:r>
              <w:t xml:space="preserve">1 Jul 1998 (see bl. 2 and </w:t>
            </w:r>
            <w:r>
              <w:rPr>
                <w:i/>
              </w:rPr>
              <w:t>Gazette</w:t>
            </w:r>
            <w:r>
              <w:t xml:space="preserve"> 26 Jun 1998 p. 3399)</w:t>
            </w:r>
          </w:p>
        </w:tc>
      </w:tr>
      <w:tr>
        <w:trPr>
          <w:cantSplit/>
        </w:trPr>
        <w:tc>
          <w:tcPr>
            <w:tcW w:w="3118" w:type="dxa"/>
          </w:tcPr>
          <w:p>
            <w:pPr>
              <w:pStyle w:val="nTable"/>
              <w:spacing w:after="40"/>
              <w:ind w:right="113"/>
              <w:rPr>
                <w:i/>
              </w:rPr>
            </w:pPr>
            <w:r>
              <w:rPr>
                <w:i/>
              </w:rPr>
              <w:t>Water Agencies (Charges) Amendment By</w:t>
            </w:r>
            <w:r>
              <w:rPr>
                <w:i/>
              </w:rPr>
              <w:noBreakHyphen/>
              <w:t>laws (No. 5) 1998</w:t>
            </w:r>
          </w:p>
        </w:tc>
        <w:tc>
          <w:tcPr>
            <w:tcW w:w="1276" w:type="dxa"/>
          </w:tcPr>
          <w:p>
            <w:pPr>
              <w:pStyle w:val="nTable"/>
              <w:spacing w:after="40"/>
            </w:pPr>
            <w:r>
              <w:t>30 Oct 1998 p. 6017</w:t>
            </w:r>
            <w:r>
              <w:noBreakHyphen/>
              <w:t>18</w:t>
            </w:r>
          </w:p>
        </w:tc>
        <w:tc>
          <w:tcPr>
            <w:tcW w:w="2693" w:type="dxa"/>
          </w:tcPr>
          <w:p>
            <w:pPr>
              <w:pStyle w:val="nTable"/>
              <w:spacing w:after="40"/>
            </w:pPr>
            <w:r>
              <w:t>30 Oct 1998</w:t>
            </w:r>
          </w:p>
        </w:tc>
      </w:tr>
      <w:tr>
        <w:trPr>
          <w:cantSplit/>
        </w:trPr>
        <w:tc>
          <w:tcPr>
            <w:tcW w:w="3118" w:type="dxa"/>
          </w:tcPr>
          <w:p>
            <w:pPr>
              <w:pStyle w:val="nTable"/>
              <w:spacing w:after="40"/>
              <w:ind w:right="113"/>
              <w:rPr>
                <w:i/>
              </w:rPr>
            </w:pPr>
            <w:r>
              <w:rPr>
                <w:i/>
              </w:rPr>
              <w:t>Water Agencies (Charges) Amendment By</w:t>
            </w:r>
            <w:r>
              <w:rPr>
                <w:i/>
              </w:rPr>
              <w:noBreakHyphen/>
              <w:t>laws 1999</w:t>
            </w:r>
          </w:p>
        </w:tc>
        <w:tc>
          <w:tcPr>
            <w:tcW w:w="1276" w:type="dxa"/>
          </w:tcPr>
          <w:p>
            <w:pPr>
              <w:pStyle w:val="nTable"/>
              <w:spacing w:after="40"/>
            </w:pPr>
            <w:r>
              <w:t>7 May 1999 p. 1859</w:t>
            </w:r>
            <w:r>
              <w:noBreakHyphen/>
              <w:t>61</w:t>
            </w:r>
          </w:p>
        </w:tc>
        <w:tc>
          <w:tcPr>
            <w:tcW w:w="2693" w:type="dxa"/>
          </w:tcPr>
          <w:p>
            <w:pPr>
              <w:pStyle w:val="nTable"/>
              <w:spacing w:after="40"/>
            </w:pPr>
            <w:r>
              <w:t>7 May 1999</w:t>
            </w:r>
          </w:p>
        </w:tc>
      </w:tr>
      <w:tr>
        <w:trPr>
          <w:cantSplit/>
        </w:trPr>
        <w:tc>
          <w:tcPr>
            <w:tcW w:w="3118" w:type="dxa"/>
          </w:tcPr>
          <w:p>
            <w:pPr>
              <w:pStyle w:val="nTable"/>
              <w:spacing w:after="40"/>
              <w:ind w:right="113"/>
              <w:rPr>
                <w:i/>
              </w:rPr>
            </w:pPr>
            <w:r>
              <w:rPr>
                <w:i/>
              </w:rPr>
              <w:lastRenderedPageBreak/>
              <w:t>Water Agencies (Charges) Amendment By</w:t>
            </w:r>
            <w:r>
              <w:rPr>
                <w:i/>
              </w:rPr>
              <w:noBreakHyphen/>
              <w:t>laws (No. 3) 1999</w:t>
            </w:r>
          </w:p>
        </w:tc>
        <w:tc>
          <w:tcPr>
            <w:tcW w:w="1276" w:type="dxa"/>
          </w:tcPr>
          <w:p>
            <w:pPr>
              <w:pStyle w:val="nTable"/>
              <w:spacing w:after="40"/>
            </w:pPr>
            <w:r>
              <w:t>25 Jun 1999 p. 2742</w:t>
            </w:r>
          </w:p>
        </w:tc>
        <w:tc>
          <w:tcPr>
            <w:tcW w:w="2693" w:type="dxa"/>
          </w:tcPr>
          <w:p>
            <w:pPr>
              <w:pStyle w:val="nTable"/>
              <w:spacing w:after="40"/>
            </w:pPr>
            <w:r>
              <w:t>25 Jun 1999</w:t>
            </w:r>
          </w:p>
        </w:tc>
      </w:tr>
      <w:tr>
        <w:trPr>
          <w:cantSplit/>
        </w:trPr>
        <w:tc>
          <w:tcPr>
            <w:tcW w:w="3118" w:type="dxa"/>
          </w:tcPr>
          <w:p>
            <w:pPr>
              <w:pStyle w:val="nTable"/>
              <w:spacing w:after="40"/>
              <w:ind w:right="113"/>
              <w:rPr>
                <w:vertAlign w:val="superscript"/>
              </w:rPr>
            </w:pPr>
            <w:r>
              <w:rPr>
                <w:i/>
              </w:rPr>
              <w:t>Water Agencies (Charges) Amendment By</w:t>
            </w:r>
            <w:r>
              <w:rPr>
                <w:i/>
              </w:rPr>
              <w:noBreakHyphen/>
              <w:t>laws (No. 2) 1999</w:t>
            </w:r>
            <w:r>
              <w:rPr>
                <w:vertAlign w:val="superscript"/>
              </w:rPr>
              <w:t> 19</w:t>
            </w:r>
          </w:p>
        </w:tc>
        <w:tc>
          <w:tcPr>
            <w:tcW w:w="1276" w:type="dxa"/>
          </w:tcPr>
          <w:p>
            <w:pPr>
              <w:pStyle w:val="nTable"/>
              <w:spacing w:after="40"/>
            </w:pPr>
            <w:r>
              <w:t>29 Jun 1999 p. 2789</w:t>
            </w:r>
            <w:r>
              <w:noBreakHyphen/>
              <w:t>828</w:t>
            </w:r>
          </w:p>
        </w:tc>
        <w:tc>
          <w:tcPr>
            <w:tcW w:w="2693" w:type="dxa"/>
          </w:tcPr>
          <w:p>
            <w:pPr>
              <w:pStyle w:val="nTable"/>
              <w:spacing w:after="40"/>
            </w:pPr>
            <w:r>
              <w:t>1 Jul 1999 (see bl. 2)</w:t>
            </w:r>
          </w:p>
        </w:tc>
      </w:tr>
      <w:tr>
        <w:trPr>
          <w:cantSplit/>
        </w:trPr>
        <w:tc>
          <w:tcPr>
            <w:tcW w:w="3118" w:type="dxa"/>
          </w:tcPr>
          <w:p>
            <w:pPr>
              <w:pStyle w:val="nTable"/>
              <w:spacing w:after="40"/>
              <w:ind w:right="113"/>
              <w:rPr>
                <w:i/>
              </w:rPr>
            </w:pPr>
            <w:r>
              <w:rPr>
                <w:i/>
              </w:rPr>
              <w:t>Water Agencies (Charges) Amendment By</w:t>
            </w:r>
            <w:r>
              <w:rPr>
                <w:i/>
              </w:rPr>
              <w:noBreakHyphen/>
              <w:t>laws (No. 4) 1999</w:t>
            </w:r>
          </w:p>
        </w:tc>
        <w:tc>
          <w:tcPr>
            <w:tcW w:w="1276" w:type="dxa"/>
          </w:tcPr>
          <w:p>
            <w:pPr>
              <w:pStyle w:val="nTable"/>
              <w:spacing w:after="40"/>
            </w:pPr>
            <w:r>
              <w:t xml:space="preserve">1 Jul 1999 </w:t>
            </w:r>
            <w:r>
              <w:br/>
              <w:t>p. 2907</w:t>
            </w:r>
          </w:p>
        </w:tc>
        <w:tc>
          <w:tcPr>
            <w:tcW w:w="2693" w:type="dxa"/>
          </w:tcPr>
          <w:p>
            <w:pPr>
              <w:pStyle w:val="nTable"/>
              <w:spacing w:after="40"/>
            </w:pPr>
            <w:r>
              <w:t>1 Jul 1999 (see bl. 2)</w:t>
            </w:r>
          </w:p>
        </w:tc>
      </w:tr>
      <w:tr>
        <w:trPr>
          <w:cantSplit/>
        </w:trPr>
        <w:tc>
          <w:tcPr>
            <w:tcW w:w="3118" w:type="dxa"/>
          </w:tcPr>
          <w:p>
            <w:pPr>
              <w:pStyle w:val="nTable"/>
              <w:spacing w:after="40"/>
              <w:ind w:right="113"/>
              <w:rPr>
                <w:i/>
              </w:rPr>
            </w:pPr>
            <w:r>
              <w:rPr>
                <w:i/>
              </w:rPr>
              <w:t>Water Agencies (Charges) Amendment By</w:t>
            </w:r>
            <w:r>
              <w:rPr>
                <w:i/>
              </w:rPr>
              <w:noBreakHyphen/>
              <w:t>laws 2000</w:t>
            </w:r>
          </w:p>
        </w:tc>
        <w:tc>
          <w:tcPr>
            <w:tcW w:w="1276" w:type="dxa"/>
          </w:tcPr>
          <w:p>
            <w:pPr>
              <w:pStyle w:val="nTable"/>
              <w:spacing w:after="40"/>
            </w:pPr>
            <w:r>
              <w:t>15 Feb 2000 p. 524</w:t>
            </w:r>
            <w:r>
              <w:noBreakHyphen/>
              <w:t>5</w:t>
            </w:r>
          </w:p>
        </w:tc>
        <w:tc>
          <w:tcPr>
            <w:tcW w:w="2693" w:type="dxa"/>
          </w:tcPr>
          <w:p>
            <w:pPr>
              <w:pStyle w:val="nTable"/>
              <w:spacing w:after="40"/>
            </w:pPr>
            <w:r>
              <w:t>15 Feb 2000</w:t>
            </w:r>
          </w:p>
        </w:tc>
      </w:tr>
      <w:tr>
        <w:trPr>
          <w:cantSplit/>
        </w:trPr>
        <w:tc>
          <w:tcPr>
            <w:tcW w:w="3118" w:type="dxa"/>
          </w:tcPr>
          <w:p>
            <w:pPr>
              <w:pStyle w:val="nTable"/>
              <w:spacing w:after="40"/>
              <w:ind w:right="113"/>
              <w:rPr>
                <w:i/>
              </w:rPr>
            </w:pPr>
            <w:r>
              <w:rPr>
                <w:i/>
              </w:rPr>
              <w:t>Water Agencies (Charges) Amendment By</w:t>
            </w:r>
            <w:r>
              <w:rPr>
                <w:i/>
              </w:rPr>
              <w:noBreakHyphen/>
              <w:t>laws (No. 2) 2000</w:t>
            </w:r>
          </w:p>
        </w:tc>
        <w:tc>
          <w:tcPr>
            <w:tcW w:w="1276" w:type="dxa"/>
          </w:tcPr>
          <w:p>
            <w:pPr>
              <w:pStyle w:val="nTable"/>
              <w:spacing w:after="40"/>
            </w:pPr>
            <w:r>
              <w:t>29 Jun 2000 p. 3323</w:t>
            </w:r>
            <w:r>
              <w:noBreakHyphen/>
              <w:t>63</w:t>
            </w:r>
          </w:p>
        </w:tc>
        <w:tc>
          <w:tcPr>
            <w:tcW w:w="2693" w:type="dxa"/>
          </w:tcPr>
          <w:p>
            <w:pPr>
              <w:pStyle w:val="nTable"/>
              <w:spacing w:after="40"/>
            </w:pPr>
            <w:r>
              <w:t>1 Jul 2000 (see bl. 2)</w:t>
            </w:r>
          </w:p>
        </w:tc>
      </w:tr>
      <w:tr>
        <w:trPr>
          <w:cantSplit/>
        </w:trPr>
        <w:tc>
          <w:tcPr>
            <w:tcW w:w="3118" w:type="dxa"/>
          </w:tcPr>
          <w:p>
            <w:pPr>
              <w:pStyle w:val="nTable"/>
              <w:spacing w:after="40"/>
              <w:ind w:right="113"/>
              <w:rPr>
                <w:i/>
              </w:rPr>
            </w:pPr>
            <w:r>
              <w:rPr>
                <w:i/>
              </w:rPr>
              <w:t>Water Agencies (Charges) Amendment By</w:t>
            </w:r>
            <w:r>
              <w:rPr>
                <w:i/>
              </w:rPr>
              <w:noBreakHyphen/>
              <w:t>laws 2001</w:t>
            </w:r>
          </w:p>
        </w:tc>
        <w:tc>
          <w:tcPr>
            <w:tcW w:w="1276" w:type="dxa"/>
          </w:tcPr>
          <w:p>
            <w:pPr>
              <w:pStyle w:val="nTable"/>
              <w:spacing w:after="40"/>
            </w:pPr>
            <w:r>
              <w:t>13 Feb 2001 p. 892</w:t>
            </w:r>
          </w:p>
        </w:tc>
        <w:tc>
          <w:tcPr>
            <w:tcW w:w="2693" w:type="dxa"/>
          </w:tcPr>
          <w:p>
            <w:pPr>
              <w:pStyle w:val="nTable"/>
              <w:spacing w:after="40"/>
            </w:pPr>
            <w:r>
              <w:t>13 Feb 2001</w:t>
            </w:r>
          </w:p>
        </w:tc>
      </w:tr>
      <w:tr>
        <w:trPr>
          <w:cantSplit/>
        </w:trPr>
        <w:tc>
          <w:tcPr>
            <w:tcW w:w="7087" w:type="dxa"/>
            <w:gridSpan w:val="3"/>
          </w:tcPr>
          <w:p>
            <w:pPr>
              <w:pStyle w:val="nTable"/>
              <w:spacing w:after="40"/>
            </w:pPr>
            <w:r>
              <w:rPr>
                <w:b/>
              </w:rPr>
              <w:t xml:space="preserve">Reprint of the </w:t>
            </w:r>
            <w:r>
              <w:rPr>
                <w:b/>
                <w:i/>
              </w:rPr>
              <w:t>Water Agencies (Charges) By</w:t>
            </w:r>
            <w:r>
              <w:rPr>
                <w:b/>
                <w:bCs/>
                <w:i/>
              </w:rPr>
              <w:noBreakHyphen/>
            </w:r>
            <w:r>
              <w:rPr>
                <w:b/>
                <w:i/>
              </w:rPr>
              <w:t>laws 1987</w:t>
            </w:r>
            <w:r>
              <w:rPr>
                <w:b/>
              </w:rPr>
              <w:t xml:space="preserve"> as at 16 Feb 2001</w:t>
            </w:r>
            <w:r>
              <w:rPr>
                <w:b/>
              </w:rPr>
              <w:br/>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2) 2001</w:t>
            </w:r>
          </w:p>
        </w:tc>
        <w:tc>
          <w:tcPr>
            <w:tcW w:w="1276" w:type="dxa"/>
          </w:tcPr>
          <w:p>
            <w:pPr>
              <w:pStyle w:val="nTable"/>
              <w:spacing w:after="40"/>
            </w:pPr>
            <w:r>
              <w:t>29 Jun 2001 p. 3187</w:t>
            </w:r>
            <w:r>
              <w:noBreakHyphen/>
              <w:t>229</w:t>
            </w:r>
          </w:p>
        </w:tc>
        <w:tc>
          <w:tcPr>
            <w:tcW w:w="2693" w:type="dxa"/>
          </w:tcPr>
          <w:p>
            <w:pPr>
              <w:pStyle w:val="nTable"/>
              <w:spacing w:after="40"/>
            </w:pPr>
            <w:r>
              <w:t>1 Jul 2001 (see bl. 2)</w:t>
            </w:r>
          </w:p>
        </w:tc>
      </w:tr>
      <w:tr>
        <w:trPr>
          <w:cantSplit/>
        </w:trPr>
        <w:tc>
          <w:tcPr>
            <w:tcW w:w="3118" w:type="dxa"/>
          </w:tcPr>
          <w:p>
            <w:pPr>
              <w:pStyle w:val="nTable"/>
              <w:spacing w:after="40"/>
              <w:ind w:right="113"/>
              <w:rPr>
                <w:i/>
              </w:rPr>
            </w:pPr>
            <w:r>
              <w:rPr>
                <w:i/>
              </w:rPr>
              <w:t>Water Agencies (Charges) Amendment By</w:t>
            </w:r>
            <w:r>
              <w:rPr>
                <w:i/>
              </w:rPr>
              <w:noBreakHyphen/>
              <w:t>laws (No. 3) 2001</w:t>
            </w:r>
          </w:p>
        </w:tc>
        <w:tc>
          <w:tcPr>
            <w:tcW w:w="1276" w:type="dxa"/>
          </w:tcPr>
          <w:p>
            <w:pPr>
              <w:pStyle w:val="nTable"/>
              <w:spacing w:after="40"/>
            </w:pPr>
            <w:r>
              <w:t>7 Aug 2001 p. 4037</w:t>
            </w:r>
            <w:r>
              <w:noBreakHyphen/>
              <w:t>8</w:t>
            </w:r>
          </w:p>
        </w:tc>
        <w:tc>
          <w:tcPr>
            <w:tcW w:w="2693" w:type="dxa"/>
          </w:tcPr>
          <w:p>
            <w:pPr>
              <w:pStyle w:val="nTable"/>
              <w:spacing w:after="40"/>
            </w:pPr>
            <w:r>
              <w:t>7 Aug 2001</w:t>
            </w:r>
          </w:p>
        </w:tc>
      </w:tr>
      <w:tr>
        <w:trPr>
          <w:cantSplit/>
        </w:trPr>
        <w:tc>
          <w:tcPr>
            <w:tcW w:w="3118" w:type="dxa"/>
          </w:tcPr>
          <w:p>
            <w:pPr>
              <w:pStyle w:val="nTable"/>
              <w:spacing w:after="40"/>
              <w:ind w:right="113"/>
              <w:rPr>
                <w:i/>
              </w:rPr>
            </w:pPr>
            <w:r>
              <w:rPr>
                <w:i/>
              </w:rPr>
              <w:t>Water Agencies (Charges) Amendment By</w:t>
            </w:r>
            <w:r>
              <w:rPr>
                <w:i/>
              </w:rPr>
              <w:noBreakHyphen/>
              <w:t>laws (No. 4) 2001</w:t>
            </w:r>
          </w:p>
        </w:tc>
        <w:tc>
          <w:tcPr>
            <w:tcW w:w="1276" w:type="dxa"/>
          </w:tcPr>
          <w:p>
            <w:pPr>
              <w:pStyle w:val="nTable"/>
              <w:spacing w:after="40"/>
            </w:pPr>
            <w:r>
              <w:t>5 Oct 2001 p. 5478</w:t>
            </w:r>
            <w:r>
              <w:noBreakHyphen/>
              <w:t>9</w:t>
            </w:r>
          </w:p>
        </w:tc>
        <w:tc>
          <w:tcPr>
            <w:tcW w:w="2693" w:type="dxa"/>
          </w:tcPr>
          <w:p>
            <w:pPr>
              <w:pStyle w:val="nTable"/>
              <w:spacing w:after="40"/>
            </w:pPr>
            <w:r>
              <w:t>5 Oct 2001</w:t>
            </w:r>
          </w:p>
        </w:tc>
      </w:tr>
      <w:tr>
        <w:trPr>
          <w:cantSplit/>
        </w:trPr>
        <w:tc>
          <w:tcPr>
            <w:tcW w:w="3118" w:type="dxa"/>
          </w:tcPr>
          <w:p>
            <w:pPr>
              <w:pStyle w:val="nTable"/>
              <w:spacing w:after="40"/>
              <w:ind w:right="113"/>
              <w:rPr>
                <w:vertAlign w:val="superscript"/>
              </w:rPr>
            </w:pPr>
            <w:r>
              <w:rPr>
                <w:i/>
              </w:rPr>
              <w:t>Water Agencies (Charges) Amendment By</w:t>
            </w:r>
            <w:r>
              <w:rPr>
                <w:i/>
              </w:rPr>
              <w:noBreakHyphen/>
              <w:t>Laws (No. 5) 2001</w:t>
            </w:r>
            <w:r>
              <w:rPr>
                <w:vertAlign w:val="superscript"/>
              </w:rPr>
              <w:t> 20</w:t>
            </w:r>
          </w:p>
        </w:tc>
        <w:tc>
          <w:tcPr>
            <w:tcW w:w="1276" w:type="dxa"/>
          </w:tcPr>
          <w:p>
            <w:pPr>
              <w:pStyle w:val="nTable"/>
              <w:spacing w:after="40"/>
            </w:pPr>
            <w:r>
              <w:t>22 Feb 2002 p. 767</w:t>
            </w:r>
            <w:r>
              <w:noBreakHyphen/>
              <w:t>9</w:t>
            </w:r>
          </w:p>
        </w:tc>
        <w:tc>
          <w:tcPr>
            <w:tcW w:w="2693" w:type="dxa"/>
          </w:tcPr>
          <w:p>
            <w:pPr>
              <w:pStyle w:val="nTable"/>
              <w:spacing w:after="40"/>
            </w:pPr>
            <w:r>
              <w:t>22 Feb 2002</w:t>
            </w:r>
          </w:p>
        </w:tc>
      </w:tr>
      <w:tr>
        <w:trPr>
          <w:cantSplit/>
        </w:trPr>
        <w:tc>
          <w:tcPr>
            <w:tcW w:w="3118" w:type="dxa"/>
          </w:tcPr>
          <w:p>
            <w:pPr>
              <w:pStyle w:val="nTable"/>
              <w:spacing w:after="40"/>
              <w:ind w:right="113"/>
              <w:rPr>
                <w:vertAlign w:val="superscript"/>
              </w:rPr>
            </w:pPr>
            <w:r>
              <w:rPr>
                <w:i/>
              </w:rPr>
              <w:t>Water Agencies (Charges) Amendment By</w:t>
            </w:r>
            <w:r>
              <w:rPr>
                <w:i/>
              </w:rPr>
              <w:noBreakHyphen/>
              <w:t>laws 2002</w:t>
            </w:r>
            <w:r>
              <w:rPr>
                <w:vertAlign w:val="superscript"/>
              </w:rPr>
              <w:t> 21</w:t>
            </w:r>
          </w:p>
        </w:tc>
        <w:tc>
          <w:tcPr>
            <w:tcW w:w="1276" w:type="dxa"/>
          </w:tcPr>
          <w:p>
            <w:pPr>
              <w:pStyle w:val="nTable"/>
              <w:spacing w:after="40"/>
            </w:pPr>
            <w:r>
              <w:t>1 Mar 2002 p. 869</w:t>
            </w:r>
            <w:r>
              <w:noBreakHyphen/>
              <w:t>70</w:t>
            </w:r>
          </w:p>
        </w:tc>
        <w:tc>
          <w:tcPr>
            <w:tcW w:w="2693" w:type="dxa"/>
          </w:tcPr>
          <w:p>
            <w:pPr>
              <w:pStyle w:val="nTable"/>
              <w:spacing w:after="40"/>
            </w:pPr>
            <w:r>
              <w:t>1 Mar 2002</w:t>
            </w:r>
          </w:p>
        </w:tc>
      </w:tr>
      <w:tr>
        <w:trPr>
          <w:cantSplit/>
        </w:trPr>
        <w:tc>
          <w:tcPr>
            <w:tcW w:w="3118" w:type="dxa"/>
          </w:tcPr>
          <w:p>
            <w:pPr>
              <w:pStyle w:val="nTable"/>
              <w:spacing w:after="40"/>
              <w:ind w:right="113"/>
              <w:rPr>
                <w:i/>
              </w:rPr>
            </w:pPr>
            <w:r>
              <w:rPr>
                <w:i/>
              </w:rPr>
              <w:t>Water Agencies (Charges) Amendment By</w:t>
            </w:r>
            <w:r>
              <w:rPr>
                <w:i/>
              </w:rPr>
              <w:noBreakHyphen/>
              <w:t>laws (No. 2) 2002</w:t>
            </w:r>
          </w:p>
        </w:tc>
        <w:tc>
          <w:tcPr>
            <w:tcW w:w="1276" w:type="dxa"/>
          </w:tcPr>
          <w:p>
            <w:pPr>
              <w:pStyle w:val="nTable"/>
              <w:spacing w:after="40"/>
            </w:pPr>
            <w:r>
              <w:t>1 Mar 2002 p. 870</w:t>
            </w:r>
          </w:p>
        </w:tc>
        <w:tc>
          <w:tcPr>
            <w:tcW w:w="2693" w:type="dxa"/>
          </w:tcPr>
          <w:p>
            <w:pPr>
              <w:pStyle w:val="nTable"/>
              <w:spacing w:after="40"/>
            </w:pPr>
            <w:r>
              <w:t xml:space="preserve">1 Mar 2002 </w:t>
            </w:r>
          </w:p>
        </w:tc>
      </w:tr>
      <w:tr>
        <w:trPr>
          <w:cantSplit/>
        </w:trPr>
        <w:tc>
          <w:tcPr>
            <w:tcW w:w="3118" w:type="dxa"/>
          </w:tcPr>
          <w:p>
            <w:pPr>
              <w:pStyle w:val="nTable"/>
              <w:spacing w:after="40"/>
              <w:ind w:right="113"/>
              <w:rPr>
                <w:i/>
              </w:rPr>
            </w:pPr>
            <w:r>
              <w:rPr>
                <w:i/>
              </w:rPr>
              <w:t>Water Agencies (Charges) Amendment By</w:t>
            </w:r>
            <w:r>
              <w:rPr>
                <w:i/>
              </w:rPr>
              <w:noBreakHyphen/>
              <w:t>laws (No. 3) 2002</w:t>
            </w:r>
          </w:p>
        </w:tc>
        <w:tc>
          <w:tcPr>
            <w:tcW w:w="1276" w:type="dxa"/>
          </w:tcPr>
          <w:p>
            <w:pPr>
              <w:pStyle w:val="nTable"/>
              <w:spacing w:after="40"/>
            </w:pPr>
            <w:r>
              <w:t>1 Jul 2002 p. 3155</w:t>
            </w:r>
            <w:r>
              <w:noBreakHyphen/>
              <w:t>201</w:t>
            </w:r>
          </w:p>
        </w:tc>
        <w:tc>
          <w:tcPr>
            <w:tcW w:w="2693" w:type="dxa"/>
          </w:tcPr>
          <w:p>
            <w:pPr>
              <w:pStyle w:val="nTable"/>
              <w:spacing w:after="40"/>
            </w:pPr>
            <w:r>
              <w:t>1 Jul 2002</w:t>
            </w:r>
          </w:p>
        </w:tc>
      </w:tr>
      <w:tr>
        <w:trPr>
          <w:cantSplit/>
        </w:trPr>
        <w:tc>
          <w:tcPr>
            <w:tcW w:w="3118" w:type="dxa"/>
          </w:tcPr>
          <w:p>
            <w:pPr>
              <w:pStyle w:val="nTable"/>
              <w:spacing w:after="40"/>
              <w:ind w:right="113"/>
              <w:rPr>
                <w:i/>
              </w:rPr>
            </w:pPr>
            <w:r>
              <w:rPr>
                <w:i/>
              </w:rPr>
              <w:t>Water Agencies (Charges) Amendment By</w:t>
            </w:r>
            <w:r>
              <w:rPr>
                <w:i/>
              </w:rPr>
              <w:noBreakHyphen/>
              <w:t>laws 2003</w:t>
            </w:r>
          </w:p>
        </w:tc>
        <w:tc>
          <w:tcPr>
            <w:tcW w:w="1276" w:type="dxa"/>
          </w:tcPr>
          <w:p>
            <w:pPr>
              <w:pStyle w:val="nTable"/>
              <w:spacing w:after="40"/>
            </w:pPr>
            <w:r>
              <w:t>29 Apr 2003 p. 1293-4</w:t>
            </w:r>
          </w:p>
        </w:tc>
        <w:tc>
          <w:tcPr>
            <w:tcW w:w="2693" w:type="dxa"/>
          </w:tcPr>
          <w:p>
            <w:pPr>
              <w:pStyle w:val="nTable"/>
              <w:spacing w:after="40"/>
            </w:pPr>
            <w:r>
              <w:t>29 Apr 2003</w:t>
            </w:r>
          </w:p>
        </w:tc>
      </w:tr>
      <w:tr>
        <w:trPr>
          <w:cantSplit/>
        </w:trPr>
        <w:tc>
          <w:tcPr>
            <w:tcW w:w="7087" w:type="dxa"/>
            <w:gridSpan w:val="3"/>
          </w:tcPr>
          <w:p>
            <w:pPr>
              <w:pStyle w:val="nTable"/>
              <w:spacing w:after="40"/>
            </w:pPr>
            <w:r>
              <w:rPr>
                <w:b/>
              </w:rPr>
              <w:t xml:space="preserve">Reprint 3:  The </w:t>
            </w:r>
            <w:r>
              <w:rPr>
                <w:b/>
                <w:i/>
              </w:rPr>
              <w:t>Water Agencies (Charges) By</w:t>
            </w:r>
            <w:r>
              <w:rPr>
                <w:b/>
                <w:bCs/>
                <w:i/>
              </w:rPr>
              <w:noBreakHyphen/>
            </w:r>
            <w:r>
              <w:rPr>
                <w:b/>
                <w:i/>
              </w:rPr>
              <w:t>laws 1987</w:t>
            </w:r>
            <w:r>
              <w:rPr>
                <w:b/>
              </w:rPr>
              <w:t xml:space="preserve"> as at 9 May 2003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2) 2003</w:t>
            </w:r>
          </w:p>
        </w:tc>
        <w:tc>
          <w:tcPr>
            <w:tcW w:w="1276" w:type="dxa"/>
          </w:tcPr>
          <w:p>
            <w:pPr>
              <w:pStyle w:val="nTable"/>
              <w:spacing w:after="40"/>
            </w:pPr>
            <w:r>
              <w:t>24 Jun 2003 p. 2273</w:t>
            </w:r>
          </w:p>
        </w:tc>
        <w:tc>
          <w:tcPr>
            <w:tcW w:w="2693" w:type="dxa"/>
          </w:tcPr>
          <w:p>
            <w:pPr>
              <w:pStyle w:val="nTable"/>
              <w:spacing w:after="40"/>
            </w:pPr>
            <w:r>
              <w:t>24 Jun 2003</w:t>
            </w:r>
          </w:p>
        </w:tc>
      </w:tr>
      <w:tr>
        <w:trPr>
          <w:cantSplit/>
        </w:trPr>
        <w:tc>
          <w:tcPr>
            <w:tcW w:w="3118" w:type="dxa"/>
          </w:tcPr>
          <w:p>
            <w:pPr>
              <w:pStyle w:val="nTable"/>
              <w:spacing w:after="40"/>
              <w:ind w:right="113"/>
              <w:rPr>
                <w:i/>
              </w:rPr>
            </w:pPr>
            <w:r>
              <w:rPr>
                <w:i/>
              </w:rPr>
              <w:t>Water Agencies (Charges) Amendment By</w:t>
            </w:r>
            <w:r>
              <w:rPr>
                <w:i/>
              </w:rPr>
              <w:noBreakHyphen/>
              <w:t>laws (No. 3) 2003</w:t>
            </w:r>
          </w:p>
        </w:tc>
        <w:tc>
          <w:tcPr>
            <w:tcW w:w="1276" w:type="dxa"/>
          </w:tcPr>
          <w:p>
            <w:pPr>
              <w:pStyle w:val="nTable"/>
              <w:spacing w:after="40"/>
            </w:pPr>
            <w:r>
              <w:t>27 Jun 2003 p. 2283-340</w:t>
            </w:r>
          </w:p>
        </w:tc>
        <w:tc>
          <w:tcPr>
            <w:tcW w:w="2693" w:type="dxa"/>
          </w:tcPr>
          <w:p>
            <w:pPr>
              <w:pStyle w:val="nTable"/>
              <w:spacing w:after="40"/>
            </w:pPr>
            <w:r>
              <w:t>1 Jul 2003 (see bl. 2)</w:t>
            </w:r>
          </w:p>
        </w:tc>
      </w:tr>
      <w:tr>
        <w:trPr>
          <w:cantSplit/>
        </w:trPr>
        <w:tc>
          <w:tcPr>
            <w:tcW w:w="3118" w:type="dxa"/>
          </w:tcPr>
          <w:p>
            <w:pPr>
              <w:pStyle w:val="nTable"/>
              <w:spacing w:after="40"/>
              <w:ind w:right="113"/>
              <w:rPr>
                <w:i/>
              </w:rPr>
            </w:pPr>
            <w:r>
              <w:rPr>
                <w:i/>
              </w:rPr>
              <w:t>Water Agencies (Charges) Amendment By</w:t>
            </w:r>
            <w:r>
              <w:rPr>
                <w:i/>
              </w:rPr>
              <w:noBreakHyphen/>
              <w:t>laws (No. 4) 2003</w:t>
            </w:r>
          </w:p>
        </w:tc>
        <w:tc>
          <w:tcPr>
            <w:tcW w:w="1276" w:type="dxa"/>
          </w:tcPr>
          <w:p>
            <w:pPr>
              <w:pStyle w:val="nTable"/>
              <w:spacing w:after="40"/>
            </w:pPr>
            <w:r>
              <w:t>9 Dec 2003 p. 5007-8</w:t>
            </w:r>
          </w:p>
        </w:tc>
        <w:tc>
          <w:tcPr>
            <w:tcW w:w="2693" w:type="dxa"/>
          </w:tcPr>
          <w:p>
            <w:pPr>
              <w:pStyle w:val="nTable"/>
              <w:spacing w:after="40"/>
            </w:pPr>
            <w:r>
              <w:t>9 Dec 2003</w:t>
            </w:r>
          </w:p>
        </w:tc>
      </w:tr>
      <w:tr>
        <w:trPr>
          <w:cantSplit/>
        </w:trPr>
        <w:tc>
          <w:tcPr>
            <w:tcW w:w="3118" w:type="dxa"/>
          </w:tcPr>
          <w:p>
            <w:pPr>
              <w:pStyle w:val="nTable"/>
              <w:spacing w:after="40"/>
              <w:ind w:right="113"/>
              <w:rPr>
                <w:i/>
              </w:rPr>
            </w:pPr>
            <w:r>
              <w:rPr>
                <w:i/>
              </w:rPr>
              <w:lastRenderedPageBreak/>
              <w:t>Water Agencies (Charges) Amendment By</w:t>
            </w:r>
            <w:r>
              <w:rPr>
                <w:i/>
              </w:rPr>
              <w:noBreakHyphen/>
              <w:t>laws 2004</w:t>
            </w:r>
          </w:p>
        </w:tc>
        <w:tc>
          <w:tcPr>
            <w:tcW w:w="1276" w:type="dxa"/>
          </w:tcPr>
          <w:p>
            <w:pPr>
              <w:pStyle w:val="nTable"/>
              <w:spacing w:after="40"/>
            </w:pPr>
            <w:r>
              <w:t>29 Jun 2004 p. 2467-96</w:t>
            </w:r>
          </w:p>
        </w:tc>
        <w:tc>
          <w:tcPr>
            <w:tcW w:w="2693" w:type="dxa"/>
          </w:tcPr>
          <w:p>
            <w:pPr>
              <w:pStyle w:val="nTable"/>
              <w:spacing w:after="40"/>
            </w:pPr>
            <w:r>
              <w:t>1 Jul 2004 (see bl. 2)</w:t>
            </w:r>
          </w:p>
        </w:tc>
      </w:tr>
      <w:tr>
        <w:trPr>
          <w:cantSplit/>
        </w:trPr>
        <w:tc>
          <w:tcPr>
            <w:tcW w:w="3118" w:type="dxa"/>
          </w:tcPr>
          <w:p>
            <w:pPr>
              <w:pStyle w:val="nTable"/>
              <w:spacing w:after="40"/>
              <w:ind w:right="113"/>
              <w:rPr>
                <w:i/>
              </w:rPr>
            </w:pPr>
            <w:r>
              <w:rPr>
                <w:i/>
              </w:rPr>
              <w:t>Water Agencies (Charges) Amendment By</w:t>
            </w:r>
            <w:r>
              <w:rPr>
                <w:i/>
              </w:rPr>
              <w:noBreakHyphen/>
              <w:t>laws (No. 2) 2004</w:t>
            </w:r>
          </w:p>
        </w:tc>
        <w:tc>
          <w:tcPr>
            <w:tcW w:w="1276" w:type="dxa"/>
          </w:tcPr>
          <w:p>
            <w:pPr>
              <w:pStyle w:val="nTable"/>
              <w:spacing w:after="40"/>
            </w:pPr>
            <w:r>
              <w:t>24 Dec 2004 p. 6157-8</w:t>
            </w:r>
          </w:p>
        </w:tc>
        <w:tc>
          <w:tcPr>
            <w:tcW w:w="2693" w:type="dxa"/>
          </w:tcPr>
          <w:p>
            <w:pPr>
              <w:pStyle w:val="nTable"/>
              <w:spacing w:after="40"/>
            </w:pPr>
            <w:r>
              <w:t>24 Dec 2004</w:t>
            </w:r>
          </w:p>
        </w:tc>
      </w:tr>
      <w:tr>
        <w:trPr>
          <w:cantSplit/>
        </w:trPr>
        <w:tc>
          <w:tcPr>
            <w:tcW w:w="3118" w:type="dxa"/>
          </w:tcPr>
          <w:p>
            <w:pPr>
              <w:pStyle w:val="nTable"/>
              <w:spacing w:after="40"/>
              <w:ind w:right="113"/>
              <w:rPr>
                <w:i/>
              </w:rPr>
            </w:pPr>
            <w:r>
              <w:rPr>
                <w:i/>
              </w:rPr>
              <w:t>Water Agencies (Charges) Amendment By</w:t>
            </w:r>
            <w:r>
              <w:rPr>
                <w:i/>
              </w:rPr>
              <w:noBreakHyphen/>
              <w:t>laws 2005</w:t>
            </w:r>
          </w:p>
        </w:tc>
        <w:tc>
          <w:tcPr>
            <w:tcW w:w="1276" w:type="dxa"/>
          </w:tcPr>
          <w:p>
            <w:pPr>
              <w:pStyle w:val="nTable"/>
              <w:spacing w:after="40"/>
            </w:pPr>
            <w:r>
              <w:t>13 May 2005 p. 2088</w:t>
            </w:r>
          </w:p>
        </w:tc>
        <w:tc>
          <w:tcPr>
            <w:tcW w:w="2693" w:type="dxa"/>
          </w:tcPr>
          <w:p>
            <w:pPr>
              <w:pStyle w:val="nTable"/>
              <w:spacing w:after="40"/>
            </w:pPr>
            <w:r>
              <w:t>13 May 2005</w:t>
            </w:r>
          </w:p>
        </w:tc>
      </w:tr>
      <w:tr>
        <w:trPr>
          <w:cantSplit/>
        </w:trPr>
        <w:tc>
          <w:tcPr>
            <w:tcW w:w="3118" w:type="dxa"/>
          </w:tcPr>
          <w:p>
            <w:pPr>
              <w:pStyle w:val="nTable"/>
              <w:spacing w:after="40"/>
              <w:ind w:right="113"/>
              <w:rPr>
                <w:i/>
              </w:rPr>
            </w:pPr>
            <w:r>
              <w:rPr>
                <w:i/>
              </w:rPr>
              <w:t>Water Agencies (Charges) Amendment By</w:t>
            </w:r>
            <w:r>
              <w:rPr>
                <w:i/>
              </w:rPr>
              <w:noBreakHyphen/>
              <w:t>laws (No. 3) 2005</w:t>
            </w:r>
          </w:p>
        </w:tc>
        <w:tc>
          <w:tcPr>
            <w:tcW w:w="1276" w:type="dxa"/>
          </w:tcPr>
          <w:p>
            <w:pPr>
              <w:pStyle w:val="nTable"/>
              <w:spacing w:after="40"/>
            </w:pPr>
            <w:r>
              <w:t>1 Jul 2005 p. 3008-9</w:t>
            </w:r>
          </w:p>
        </w:tc>
        <w:tc>
          <w:tcPr>
            <w:tcW w:w="2693" w:type="dxa"/>
          </w:tcPr>
          <w:p>
            <w:pPr>
              <w:pStyle w:val="nTable"/>
              <w:spacing w:after="40"/>
            </w:pPr>
            <w:r>
              <w:t>1 Jul 2005 (see bl. 2)</w:t>
            </w:r>
          </w:p>
        </w:tc>
      </w:tr>
      <w:tr>
        <w:trPr>
          <w:cantSplit/>
        </w:trPr>
        <w:tc>
          <w:tcPr>
            <w:tcW w:w="3118" w:type="dxa"/>
          </w:tcPr>
          <w:p>
            <w:pPr>
              <w:pStyle w:val="nTable"/>
              <w:spacing w:after="40"/>
              <w:ind w:right="113"/>
              <w:rPr>
                <w:i/>
              </w:rPr>
            </w:pPr>
            <w:r>
              <w:rPr>
                <w:i/>
              </w:rPr>
              <w:t>Water Agencies (Charges) Amendment By</w:t>
            </w:r>
            <w:r>
              <w:rPr>
                <w:i/>
              </w:rPr>
              <w:noBreakHyphen/>
              <w:t>laws (No. 2) 2005</w:t>
            </w:r>
          </w:p>
        </w:tc>
        <w:tc>
          <w:tcPr>
            <w:tcW w:w="1276" w:type="dxa"/>
          </w:tcPr>
          <w:p>
            <w:pPr>
              <w:pStyle w:val="nTable"/>
              <w:spacing w:after="40"/>
            </w:pPr>
            <w:r>
              <w:t>1 Jul 2005 p. 3031-78</w:t>
            </w:r>
          </w:p>
        </w:tc>
        <w:tc>
          <w:tcPr>
            <w:tcW w:w="2693" w:type="dxa"/>
          </w:tcPr>
          <w:p>
            <w:pPr>
              <w:pStyle w:val="nTable"/>
              <w:spacing w:after="40"/>
            </w:pPr>
            <w:r>
              <w:t>1 Jul 2005 (see bl. 2)</w:t>
            </w:r>
          </w:p>
        </w:tc>
      </w:tr>
      <w:tr>
        <w:trPr>
          <w:cantSplit/>
        </w:trPr>
        <w:tc>
          <w:tcPr>
            <w:tcW w:w="3118" w:type="dxa"/>
          </w:tcPr>
          <w:p>
            <w:pPr>
              <w:pStyle w:val="nTable"/>
              <w:spacing w:after="40"/>
              <w:ind w:right="113"/>
              <w:rPr>
                <w:i/>
              </w:rPr>
            </w:pPr>
            <w:r>
              <w:rPr>
                <w:i/>
              </w:rPr>
              <w:t>Water Agencies (Charges) Amendment By</w:t>
            </w:r>
            <w:r>
              <w:rPr>
                <w:i/>
              </w:rPr>
              <w:noBreakHyphen/>
              <w:t>laws (No. 4) 2005</w:t>
            </w:r>
          </w:p>
        </w:tc>
        <w:tc>
          <w:tcPr>
            <w:tcW w:w="1276" w:type="dxa"/>
          </w:tcPr>
          <w:p>
            <w:pPr>
              <w:pStyle w:val="nTable"/>
              <w:spacing w:after="40"/>
            </w:pPr>
            <w:r>
              <w:t>4 Nov 2005 p. 5321</w:t>
            </w:r>
          </w:p>
        </w:tc>
        <w:tc>
          <w:tcPr>
            <w:tcW w:w="2693" w:type="dxa"/>
          </w:tcPr>
          <w:p>
            <w:pPr>
              <w:pStyle w:val="nTable"/>
              <w:spacing w:after="40"/>
            </w:pPr>
            <w:r>
              <w:t>4 Nov 2005</w:t>
            </w:r>
          </w:p>
        </w:tc>
      </w:tr>
      <w:tr>
        <w:trPr>
          <w:cantSplit/>
        </w:trPr>
        <w:tc>
          <w:tcPr>
            <w:tcW w:w="7087" w:type="dxa"/>
            <w:gridSpan w:val="3"/>
          </w:tcPr>
          <w:p>
            <w:pPr>
              <w:pStyle w:val="nTable"/>
              <w:spacing w:after="40"/>
            </w:pPr>
            <w:r>
              <w:rPr>
                <w:b/>
              </w:rPr>
              <w:t xml:space="preserve">Reprint 4:  The </w:t>
            </w:r>
            <w:r>
              <w:rPr>
                <w:b/>
                <w:i/>
              </w:rPr>
              <w:t>Water Agencies (Charges) By</w:t>
            </w:r>
            <w:r>
              <w:rPr>
                <w:b/>
                <w:bCs/>
                <w:i/>
              </w:rPr>
              <w:noBreakHyphen/>
            </w:r>
            <w:r>
              <w:rPr>
                <w:b/>
                <w:i/>
              </w:rPr>
              <w:t>laws 1987</w:t>
            </w:r>
            <w:r>
              <w:rPr>
                <w:b/>
              </w:rPr>
              <w:t xml:space="preserve"> as at 31 Mar 2006 </w:t>
            </w:r>
            <w:r>
              <w:t>(includes amendments listed above)</w:t>
            </w:r>
          </w:p>
        </w:tc>
      </w:tr>
      <w:tr>
        <w:trPr>
          <w:cantSplit/>
        </w:trPr>
        <w:tc>
          <w:tcPr>
            <w:tcW w:w="3118" w:type="dxa"/>
          </w:tcPr>
          <w:p>
            <w:pPr>
              <w:pStyle w:val="nTable"/>
              <w:spacing w:after="40"/>
              <w:ind w:right="113"/>
            </w:pPr>
            <w:r>
              <w:rPr>
                <w:i/>
              </w:rPr>
              <w:t>Electricity Corporations (Consequential Amendments) Regulations 2006</w:t>
            </w:r>
            <w:r>
              <w:t xml:space="preserve"> r. 89</w:t>
            </w:r>
          </w:p>
        </w:tc>
        <w:tc>
          <w:tcPr>
            <w:tcW w:w="1276" w:type="dxa"/>
          </w:tcPr>
          <w:p>
            <w:pPr>
              <w:pStyle w:val="nTable"/>
              <w:spacing w:after="40"/>
            </w:pPr>
            <w:r>
              <w:t>31 Mar 2006 p. 1299-357</w:t>
            </w:r>
          </w:p>
        </w:tc>
        <w:tc>
          <w:tcPr>
            <w:tcW w:w="2693" w:type="dxa"/>
          </w:tcPr>
          <w:p>
            <w:pPr>
              <w:pStyle w:val="nTable"/>
              <w:spacing w:after="40"/>
            </w:pPr>
            <w:r>
              <w:t>1 Apr 2006 (see r. 2)</w:t>
            </w:r>
          </w:p>
        </w:tc>
      </w:tr>
      <w:tr>
        <w:trPr>
          <w:cantSplit/>
        </w:trPr>
        <w:tc>
          <w:tcPr>
            <w:tcW w:w="3118" w:type="dxa"/>
          </w:tcPr>
          <w:p>
            <w:pPr>
              <w:pStyle w:val="nTable"/>
              <w:spacing w:after="40"/>
              <w:ind w:right="113"/>
              <w:rPr>
                <w:i/>
              </w:rPr>
            </w:pPr>
            <w:r>
              <w:rPr>
                <w:i/>
              </w:rPr>
              <w:t>Water Agencies (Charges) Amendment By</w:t>
            </w:r>
            <w:r>
              <w:rPr>
                <w:i/>
              </w:rPr>
              <w:noBreakHyphen/>
              <w:t xml:space="preserve">laws 2006 </w:t>
            </w:r>
          </w:p>
        </w:tc>
        <w:tc>
          <w:tcPr>
            <w:tcW w:w="1276" w:type="dxa"/>
          </w:tcPr>
          <w:p>
            <w:pPr>
              <w:pStyle w:val="nTable"/>
              <w:spacing w:after="40"/>
            </w:pPr>
            <w:r>
              <w:t>30 Jun 2006 p. 2413</w:t>
            </w:r>
            <w:r>
              <w:noBreakHyphen/>
              <w:t>61</w:t>
            </w:r>
          </w:p>
        </w:tc>
        <w:tc>
          <w:tcPr>
            <w:tcW w:w="2693" w:type="dxa"/>
          </w:tcPr>
          <w:p>
            <w:pPr>
              <w:pStyle w:val="nTable"/>
              <w:spacing w:after="40"/>
            </w:pPr>
            <w:r>
              <w:t>1 Jul 2006 (see bl. 2)</w:t>
            </w:r>
          </w:p>
        </w:tc>
      </w:tr>
      <w:tr>
        <w:trPr>
          <w:cantSplit/>
        </w:trPr>
        <w:tc>
          <w:tcPr>
            <w:tcW w:w="3118" w:type="dxa"/>
          </w:tcPr>
          <w:p>
            <w:pPr>
              <w:pStyle w:val="nTable"/>
              <w:spacing w:after="40"/>
              <w:ind w:right="113"/>
              <w:rPr>
                <w:i/>
              </w:rPr>
            </w:pPr>
            <w:r>
              <w:rPr>
                <w:i/>
              </w:rPr>
              <w:t>Water Agencies (Charges) Amendment By</w:t>
            </w:r>
            <w:r>
              <w:rPr>
                <w:i/>
              </w:rPr>
              <w:noBreakHyphen/>
              <w:t>laws (No. 3) 2006</w:t>
            </w:r>
          </w:p>
        </w:tc>
        <w:tc>
          <w:tcPr>
            <w:tcW w:w="1276" w:type="dxa"/>
          </w:tcPr>
          <w:p>
            <w:pPr>
              <w:pStyle w:val="nTable"/>
              <w:spacing w:after="40"/>
            </w:pPr>
            <w:r>
              <w:t>14 Nov 2006 p. 4738</w:t>
            </w:r>
          </w:p>
        </w:tc>
        <w:tc>
          <w:tcPr>
            <w:tcW w:w="2693" w:type="dxa"/>
          </w:tcPr>
          <w:p>
            <w:pPr>
              <w:pStyle w:val="nTable"/>
              <w:spacing w:after="40"/>
            </w:pPr>
            <w:r>
              <w:t>14 Nov 2006</w:t>
            </w:r>
          </w:p>
        </w:tc>
      </w:tr>
      <w:tr>
        <w:trPr>
          <w:cantSplit/>
        </w:trPr>
        <w:tc>
          <w:tcPr>
            <w:tcW w:w="3118" w:type="dxa"/>
          </w:tcPr>
          <w:p>
            <w:pPr>
              <w:pStyle w:val="nTable"/>
              <w:spacing w:after="40"/>
              <w:ind w:right="113"/>
              <w:rPr>
                <w:i/>
              </w:rPr>
            </w:pPr>
            <w:r>
              <w:rPr>
                <w:i/>
              </w:rPr>
              <w:t>Water Agencies (Charges) Amendment By</w:t>
            </w:r>
            <w:r>
              <w:rPr>
                <w:i/>
              </w:rPr>
              <w:noBreakHyphen/>
              <w:t>laws 2007</w:t>
            </w:r>
          </w:p>
        </w:tc>
        <w:tc>
          <w:tcPr>
            <w:tcW w:w="1276" w:type="dxa"/>
          </w:tcPr>
          <w:p>
            <w:pPr>
              <w:pStyle w:val="nTable"/>
              <w:spacing w:after="40"/>
            </w:pPr>
            <w:r>
              <w:t>13 Apr 2007 p. 1686-8</w:t>
            </w:r>
          </w:p>
        </w:tc>
        <w:tc>
          <w:tcPr>
            <w:tcW w:w="2693" w:type="dxa"/>
          </w:tcPr>
          <w:p>
            <w:pPr>
              <w:pStyle w:val="nTable"/>
              <w:spacing w:after="40"/>
            </w:pPr>
            <w:r>
              <w:t>13 Apr 2007</w:t>
            </w:r>
          </w:p>
        </w:tc>
      </w:tr>
      <w:tr>
        <w:trPr>
          <w:cantSplit/>
        </w:trPr>
        <w:tc>
          <w:tcPr>
            <w:tcW w:w="3118" w:type="dxa"/>
          </w:tcPr>
          <w:p>
            <w:pPr>
              <w:pStyle w:val="nTable"/>
              <w:spacing w:after="40"/>
              <w:ind w:right="113"/>
              <w:rPr>
                <w:i/>
              </w:rPr>
            </w:pPr>
            <w:r>
              <w:rPr>
                <w:i/>
              </w:rPr>
              <w:t>Water Agencies (Charges) Amendment By</w:t>
            </w:r>
            <w:r>
              <w:rPr>
                <w:i/>
              </w:rPr>
              <w:noBreakHyphen/>
              <w:t>laws (No. 2) 2007</w:t>
            </w:r>
          </w:p>
        </w:tc>
        <w:tc>
          <w:tcPr>
            <w:tcW w:w="1276" w:type="dxa"/>
          </w:tcPr>
          <w:p>
            <w:pPr>
              <w:pStyle w:val="nTable"/>
              <w:spacing w:after="40"/>
            </w:pPr>
            <w:r>
              <w:t>29 Jun 2007 p. 3245-88</w:t>
            </w:r>
          </w:p>
        </w:tc>
        <w:tc>
          <w:tcPr>
            <w:tcW w:w="2693" w:type="dxa"/>
          </w:tcPr>
          <w:p>
            <w:pPr>
              <w:pStyle w:val="nTable"/>
              <w:spacing w:after="40"/>
            </w:pPr>
            <w:r>
              <w:t>bl. 1 and 2: 29 Jun 2007 (see bl. 2(a));</w:t>
            </w:r>
            <w:r>
              <w:br/>
              <w:t>By-laws other than bl. 1 and 2: 1 Jul 2007 (see bl. 2(b))</w:t>
            </w:r>
          </w:p>
        </w:tc>
      </w:tr>
      <w:tr>
        <w:trPr>
          <w:cantSplit/>
        </w:trPr>
        <w:tc>
          <w:tcPr>
            <w:tcW w:w="7087" w:type="dxa"/>
            <w:gridSpan w:val="3"/>
          </w:tcPr>
          <w:p>
            <w:pPr>
              <w:pStyle w:val="nTable"/>
              <w:spacing w:after="40"/>
            </w:pPr>
            <w:r>
              <w:rPr>
                <w:b/>
              </w:rPr>
              <w:t xml:space="preserve">Reprint 5:  The </w:t>
            </w:r>
            <w:r>
              <w:rPr>
                <w:b/>
                <w:i/>
              </w:rPr>
              <w:t>Water Agencies (Charges) By</w:t>
            </w:r>
            <w:r>
              <w:rPr>
                <w:b/>
                <w:bCs/>
                <w:i/>
              </w:rPr>
              <w:noBreakHyphen/>
            </w:r>
            <w:r>
              <w:rPr>
                <w:b/>
                <w:i/>
              </w:rPr>
              <w:t>laws 1987</w:t>
            </w:r>
            <w:r>
              <w:rPr>
                <w:b/>
              </w:rPr>
              <w:t xml:space="preserve"> as at 5 Oct 2007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4) 2007</w:t>
            </w:r>
          </w:p>
        </w:tc>
        <w:tc>
          <w:tcPr>
            <w:tcW w:w="1276" w:type="dxa"/>
          </w:tcPr>
          <w:p>
            <w:pPr>
              <w:pStyle w:val="nTable"/>
              <w:spacing w:after="40"/>
            </w:pPr>
            <w:r>
              <w:t>21 Dec 2007 p. 6349</w:t>
            </w:r>
          </w:p>
        </w:tc>
        <w:tc>
          <w:tcPr>
            <w:tcW w:w="2693" w:type="dxa"/>
          </w:tcPr>
          <w:p>
            <w:pPr>
              <w:pStyle w:val="nTable"/>
              <w:spacing w:before="0" w:after="40"/>
            </w:pPr>
            <w:r>
              <w:t>bl. 1 and 2: 21 Dec 2007 (see bl. 2(a));</w:t>
            </w:r>
            <w:r>
              <w:br/>
              <w:t>By-laws other than bl. 1 and 2: 22 Dec 2007 (see bl. 2(b))</w:t>
            </w:r>
          </w:p>
        </w:tc>
      </w:tr>
      <w:tr>
        <w:trPr>
          <w:cantSplit/>
        </w:trPr>
        <w:tc>
          <w:tcPr>
            <w:tcW w:w="3118" w:type="dxa"/>
          </w:tcPr>
          <w:p>
            <w:pPr>
              <w:pStyle w:val="nTable"/>
              <w:spacing w:after="40"/>
              <w:ind w:right="113"/>
              <w:rPr>
                <w:i/>
              </w:rPr>
            </w:pPr>
            <w:r>
              <w:rPr>
                <w:i/>
              </w:rPr>
              <w:t>Water Agencies (Charges) Amendment By</w:t>
            </w:r>
            <w:r>
              <w:rPr>
                <w:i/>
              </w:rPr>
              <w:noBreakHyphen/>
              <w:t>laws 2008</w:t>
            </w:r>
          </w:p>
        </w:tc>
        <w:tc>
          <w:tcPr>
            <w:tcW w:w="1276" w:type="dxa"/>
          </w:tcPr>
          <w:p>
            <w:pPr>
              <w:pStyle w:val="nTable"/>
              <w:spacing w:after="40"/>
            </w:pPr>
            <w:r>
              <w:t>27 Jun 2008 p. 2981</w:t>
            </w:r>
            <w:r>
              <w:noBreakHyphen/>
              <w:t>3048</w:t>
            </w:r>
          </w:p>
        </w:tc>
        <w:tc>
          <w:tcPr>
            <w:tcW w:w="2693" w:type="dxa"/>
          </w:tcPr>
          <w:p>
            <w:pPr>
              <w:pStyle w:val="nTable"/>
              <w:spacing w:before="0" w:after="40"/>
            </w:pPr>
            <w:r>
              <w:t>bl. 1 and 2: 27 Jun 2008 (see bl. 2(a));</w:t>
            </w:r>
            <w:r>
              <w:br/>
              <w:t>By-laws other than bl. 1 and 2: 1 Jul 2008 (see bl. 2(b))</w:t>
            </w:r>
          </w:p>
        </w:tc>
      </w:tr>
      <w:tr>
        <w:trPr>
          <w:cantSplit/>
        </w:trPr>
        <w:tc>
          <w:tcPr>
            <w:tcW w:w="3118" w:type="dxa"/>
          </w:tcPr>
          <w:p>
            <w:pPr>
              <w:pStyle w:val="nTable"/>
              <w:spacing w:after="40"/>
              <w:ind w:right="113"/>
              <w:rPr>
                <w:i/>
              </w:rPr>
            </w:pPr>
            <w:r>
              <w:rPr>
                <w:i/>
              </w:rPr>
              <w:lastRenderedPageBreak/>
              <w:t>Water Agencies (Charges) Amendment By</w:t>
            </w:r>
            <w:r>
              <w:rPr>
                <w:i/>
              </w:rPr>
              <w:noBreakHyphen/>
              <w:t>laws 2009</w:t>
            </w:r>
          </w:p>
        </w:tc>
        <w:tc>
          <w:tcPr>
            <w:tcW w:w="1276" w:type="dxa"/>
          </w:tcPr>
          <w:p>
            <w:pPr>
              <w:pStyle w:val="nTable"/>
              <w:spacing w:after="40"/>
            </w:pPr>
            <w:r>
              <w:t>19 Jun 2009 p. 2319-92</w:t>
            </w:r>
          </w:p>
        </w:tc>
        <w:tc>
          <w:tcPr>
            <w:tcW w:w="2693" w:type="dxa"/>
          </w:tcPr>
          <w:p>
            <w:pPr>
              <w:pStyle w:val="nTable"/>
              <w:spacing w:before="0" w:after="40"/>
            </w:pPr>
            <w:r>
              <w:t>bl. 1 and 2: 19 Jun 2009 (see bl. 2(a));</w:t>
            </w:r>
            <w:r>
              <w:br/>
              <w:t>By-laws other than bl. 1 and 2: 1 Jul 2009 (see bl. 2(b))</w:t>
            </w:r>
          </w:p>
        </w:tc>
      </w:tr>
      <w:tr>
        <w:trPr>
          <w:cantSplit/>
        </w:trPr>
        <w:tc>
          <w:tcPr>
            <w:tcW w:w="7087" w:type="dxa"/>
            <w:gridSpan w:val="3"/>
          </w:tcPr>
          <w:p>
            <w:pPr>
              <w:pStyle w:val="nTable"/>
              <w:spacing w:before="0" w:after="40"/>
            </w:pPr>
            <w:r>
              <w:rPr>
                <w:b/>
              </w:rPr>
              <w:t xml:space="preserve">Reprint 6:  The </w:t>
            </w:r>
            <w:r>
              <w:rPr>
                <w:b/>
                <w:i/>
              </w:rPr>
              <w:t>Water Agencies (Charges) By</w:t>
            </w:r>
            <w:r>
              <w:rPr>
                <w:b/>
                <w:bCs/>
                <w:i/>
              </w:rPr>
              <w:noBreakHyphen/>
            </w:r>
            <w:r>
              <w:rPr>
                <w:b/>
                <w:i/>
              </w:rPr>
              <w:t>laws 1987</w:t>
            </w:r>
            <w:r>
              <w:rPr>
                <w:b/>
              </w:rPr>
              <w:t xml:space="preserve"> as at 7 Aug 2009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2010</w:t>
            </w:r>
          </w:p>
        </w:tc>
        <w:tc>
          <w:tcPr>
            <w:tcW w:w="1276" w:type="dxa"/>
          </w:tcPr>
          <w:p>
            <w:pPr>
              <w:pStyle w:val="nTable"/>
              <w:spacing w:after="40"/>
            </w:pPr>
            <w:r>
              <w:t>25 Jun 2010 p. 2901</w:t>
            </w:r>
            <w:r>
              <w:noBreakHyphen/>
              <w:t>81</w:t>
            </w:r>
          </w:p>
        </w:tc>
        <w:tc>
          <w:tcPr>
            <w:tcW w:w="2693" w:type="dxa"/>
          </w:tcPr>
          <w:p>
            <w:pPr>
              <w:pStyle w:val="nTable"/>
              <w:spacing w:before="0" w:after="40"/>
            </w:pPr>
            <w:r>
              <w:t>bl. 1 and 2: 25 Jun 2010 (see bl. 2(a));</w:t>
            </w:r>
            <w:r>
              <w:br/>
              <w:t>By-laws other than bl. 1 and 2: 1 Jul 2010 (see bl. 2(b))</w:t>
            </w:r>
          </w:p>
        </w:tc>
      </w:tr>
      <w:tr>
        <w:trPr>
          <w:cantSplit/>
        </w:trPr>
        <w:tc>
          <w:tcPr>
            <w:tcW w:w="3118" w:type="dxa"/>
          </w:tcPr>
          <w:p>
            <w:pPr>
              <w:pStyle w:val="nTable"/>
              <w:spacing w:after="40"/>
              <w:ind w:right="113"/>
              <w:rPr>
                <w:i/>
              </w:rPr>
            </w:pPr>
            <w:r>
              <w:rPr>
                <w:i/>
              </w:rPr>
              <w:t>Water Agencies (Charges) Amendment By</w:t>
            </w:r>
            <w:r>
              <w:rPr>
                <w:i/>
              </w:rPr>
              <w:noBreakHyphen/>
              <w:t>laws (No. 2) 2010</w:t>
            </w:r>
          </w:p>
        </w:tc>
        <w:tc>
          <w:tcPr>
            <w:tcW w:w="1276" w:type="dxa"/>
          </w:tcPr>
          <w:p>
            <w:pPr>
              <w:pStyle w:val="nTable"/>
              <w:spacing w:after="40"/>
            </w:pPr>
            <w:r>
              <w:t>10 Sep 2010 p. 4350-1</w:t>
            </w:r>
          </w:p>
        </w:tc>
        <w:tc>
          <w:tcPr>
            <w:tcW w:w="2693" w:type="dxa"/>
          </w:tcPr>
          <w:p>
            <w:pPr>
              <w:pStyle w:val="nTable"/>
              <w:spacing w:before="0" w:after="40"/>
            </w:pPr>
            <w:r>
              <w:t>bl. 1 and 2: 10 Sep 2010 (see bl. 2(a));</w:t>
            </w:r>
            <w:r>
              <w:br/>
              <w:t>By-laws other than bl. 1 and 2: 11 Sep 2010 (see bl. 2(b))</w:t>
            </w:r>
          </w:p>
        </w:tc>
      </w:tr>
      <w:tr>
        <w:trPr>
          <w:cantSplit/>
        </w:trPr>
        <w:tc>
          <w:tcPr>
            <w:tcW w:w="3118" w:type="dxa"/>
          </w:tcPr>
          <w:p>
            <w:pPr>
              <w:pStyle w:val="nTable"/>
              <w:spacing w:after="40"/>
              <w:ind w:right="113"/>
              <w:rPr>
                <w:i/>
              </w:rPr>
            </w:pPr>
            <w:r>
              <w:rPr>
                <w:i/>
              </w:rPr>
              <w:t>Water Agencies (Charges) Amendment By</w:t>
            </w:r>
            <w:r>
              <w:rPr>
                <w:i/>
              </w:rPr>
              <w:noBreakHyphen/>
              <w:t>laws 2011</w:t>
            </w:r>
          </w:p>
        </w:tc>
        <w:tc>
          <w:tcPr>
            <w:tcW w:w="1276" w:type="dxa"/>
          </w:tcPr>
          <w:p>
            <w:pPr>
              <w:pStyle w:val="nTable"/>
              <w:spacing w:after="40"/>
            </w:pPr>
            <w:r>
              <w:t>23 Jun 2011 p. 2417-93</w:t>
            </w:r>
          </w:p>
        </w:tc>
        <w:tc>
          <w:tcPr>
            <w:tcW w:w="2693" w:type="dxa"/>
          </w:tcPr>
          <w:p>
            <w:pPr>
              <w:pStyle w:val="nTable"/>
              <w:spacing w:before="0" w:after="40"/>
            </w:pPr>
            <w:r>
              <w:t>bl. 1 and 2: 23 Jun 2011 (see bl. 2(a));</w:t>
            </w:r>
            <w:r>
              <w:br/>
              <w:t>By-laws other than bl. 1 and 2: 1 Jul 2011 (see bl. 2(b))</w:t>
            </w:r>
          </w:p>
        </w:tc>
      </w:tr>
      <w:tr>
        <w:trPr>
          <w:cantSplit/>
        </w:trPr>
        <w:tc>
          <w:tcPr>
            <w:tcW w:w="3118" w:type="dxa"/>
            <w:tcBorders>
              <w:bottom w:val="single" w:sz="4" w:space="0" w:color="auto"/>
            </w:tcBorders>
          </w:tcPr>
          <w:p>
            <w:pPr>
              <w:pStyle w:val="nTable"/>
              <w:spacing w:after="40"/>
              <w:ind w:right="113"/>
              <w:rPr>
                <w:i/>
              </w:rPr>
            </w:pPr>
            <w:r>
              <w:rPr>
                <w:i/>
              </w:rPr>
              <w:t>Water Agencies (Charges) Amendment By</w:t>
            </w:r>
            <w:r>
              <w:rPr>
                <w:i/>
              </w:rPr>
              <w:noBreakHyphen/>
              <w:t>laws 2012</w:t>
            </w:r>
          </w:p>
        </w:tc>
        <w:tc>
          <w:tcPr>
            <w:tcW w:w="1276" w:type="dxa"/>
            <w:tcBorders>
              <w:bottom w:val="single" w:sz="4" w:space="0" w:color="auto"/>
            </w:tcBorders>
          </w:tcPr>
          <w:p>
            <w:pPr>
              <w:pStyle w:val="nTable"/>
              <w:spacing w:after="40"/>
            </w:pPr>
            <w:r>
              <w:t>20 Jun 2012 p. 2693</w:t>
            </w:r>
            <w:r>
              <w:noBreakHyphen/>
              <w:t>774</w:t>
            </w:r>
          </w:p>
        </w:tc>
        <w:tc>
          <w:tcPr>
            <w:tcW w:w="2693" w:type="dxa"/>
            <w:tcBorders>
              <w:bottom w:val="single" w:sz="4" w:space="0" w:color="auto"/>
            </w:tcBorders>
          </w:tcPr>
          <w:p>
            <w:pPr>
              <w:pStyle w:val="nTable"/>
              <w:spacing w:before="0" w:after="40"/>
            </w:pPr>
            <w:r>
              <w:rPr>
                <w:snapToGrid w:val="0"/>
                <w:spacing w:val="-2"/>
              </w:rPr>
              <w:t>bl. 1 and 2: 20 Jun 2012 (see bl. 2(a));</w:t>
            </w:r>
            <w:r>
              <w:rPr>
                <w:snapToGrid w:val="0"/>
                <w:spacing w:val="-2"/>
              </w:rPr>
              <w:br/>
              <w:t>By-laws other than bl. 1 and 2: 1 Jul 2012 (see bl. 2(b))</w:t>
            </w:r>
          </w:p>
        </w:tc>
      </w:tr>
    </w:tbl>
    <w:p>
      <w:pPr>
        <w:pStyle w:val="nNote"/>
        <w:tabs>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0" w:name="_Toc84428023"/>
      <w:r>
        <w:t>Provisions that have not come into operation</w:t>
      </w:r>
      <w:bookmarkEnd w:id="100"/>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c>
          <w:tcPr>
            <w:tcW w:w="2319"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319" w:type="dxa"/>
          </w:tcPr>
          <w:p>
            <w:pPr>
              <w:pStyle w:val="nTable"/>
              <w:spacing w:after="40"/>
              <w:rPr>
                <w:snapToGrid w:val="0"/>
              </w:rPr>
            </w:pPr>
            <w:r>
              <w:rPr>
                <w:i/>
                <w:snapToGrid w:val="0"/>
              </w:rPr>
              <w:t>Water Services Legislation Amendment and Repeal Act 2012</w:t>
            </w:r>
            <w:r>
              <w:rPr>
                <w:snapToGrid w:val="0"/>
              </w:rPr>
              <w:t xml:space="preserve"> s. 202(b)</w:t>
            </w:r>
            <w:r>
              <w:rPr>
                <w:snapToGrid w:val="0"/>
                <w:vertAlign w:val="superscript"/>
              </w:rPr>
              <w:t> 22</w:t>
            </w:r>
          </w:p>
        </w:tc>
        <w:tc>
          <w:tcPr>
            <w:tcW w:w="1118"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To be proclaimed (see s. 2(b))</w:t>
            </w:r>
          </w:p>
        </w:tc>
      </w:tr>
    </w:tbl>
    <w:p>
      <w:pPr>
        <w:pStyle w:val="nNote"/>
        <w:rPr>
          <w:snapToGrid w:val="0"/>
          <w:vertAlign w:val="superscript"/>
        </w:rPr>
      </w:pPr>
    </w:p>
    <w:p>
      <w:pPr>
        <w:pStyle w:val="nNote"/>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Note"/>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Note"/>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Note"/>
        <w:spacing w:before="60"/>
        <w:rPr>
          <w:snapToGrid w:val="0"/>
        </w:rPr>
      </w:pPr>
      <w:r>
        <w:rPr>
          <w:snapToGrid w:val="0"/>
          <w:vertAlign w:val="superscript"/>
        </w:rPr>
        <w:lastRenderedPageBreak/>
        <w:t>5</w:t>
      </w:r>
      <w:r>
        <w:rPr>
          <w:snapToGrid w:val="0"/>
        </w:rPr>
        <w:tab/>
        <w:t xml:space="preserve">Repealed by the </w:t>
      </w:r>
      <w:r>
        <w:rPr>
          <w:i/>
          <w:snapToGrid w:val="0"/>
        </w:rPr>
        <w:t>Western Australian Land Authority Act 1992</w:t>
      </w:r>
      <w:r>
        <w:rPr>
          <w:snapToGrid w:val="0"/>
        </w:rPr>
        <w:t>.</w:t>
      </w:r>
    </w:p>
    <w:p>
      <w:pPr>
        <w:pStyle w:val="nNote"/>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Note"/>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Note"/>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Note"/>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Note"/>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Note"/>
        <w:rPr>
          <w:snapToGrid w:val="0"/>
        </w:rPr>
      </w:pPr>
      <w:r>
        <w:rPr>
          <w:snapToGrid w:val="0"/>
          <w:vertAlign w:val="superscript"/>
        </w:rPr>
        <w:t>11</w:t>
      </w:r>
      <w:r>
        <w:rPr>
          <w:snapToGrid w:val="0"/>
        </w:rPr>
        <w:tab/>
        <w:t xml:space="preserve">Repealed by the </w:t>
      </w:r>
      <w:r>
        <w:rPr>
          <w:i/>
          <w:color w:val="000000"/>
        </w:rPr>
        <w:t>Racing and Gambling Legislation Amendment and Repeal Act 2003</w:t>
      </w:r>
      <w:r>
        <w:rPr>
          <w:snapToGrid w:val="0"/>
        </w:rPr>
        <w:t>.</w:t>
      </w:r>
    </w:p>
    <w:p>
      <w:pPr>
        <w:pStyle w:val="nNote"/>
        <w:spacing w:before="60"/>
        <w:rPr>
          <w:snapToGrid w:val="0"/>
        </w:rPr>
      </w:pPr>
      <w:r>
        <w:rPr>
          <w:snapToGrid w:val="0"/>
          <w:vertAlign w:val="superscript"/>
        </w:rPr>
        <w:t>12</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Note"/>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Note"/>
        <w:rPr>
          <w:snapToGrid w:val="0"/>
        </w:rPr>
      </w:pPr>
      <w:r>
        <w:rPr>
          <w:snapToGrid w:val="0"/>
          <w:vertAlign w:val="superscript"/>
        </w:rPr>
        <w:t>14</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Note"/>
      </w:pPr>
      <w:r>
        <w:rPr>
          <w:vertAlign w:val="superscript"/>
        </w:rPr>
        <w:t>15</w:t>
      </w:r>
      <w:r>
        <w:tab/>
        <w:t xml:space="preserve">The </w:t>
      </w:r>
      <w:r>
        <w:rPr>
          <w:i/>
        </w:rPr>
        <w:t>Water Authority (Charges) Amendment By</w:t>
      </w:r>
      <w:r>
        <w:rPr>
          <w:i/>
        </w:rPr>
        <w:noBreakHyphen/>
        <w:t>laws 1991</w:t>
      </w:r>
      <w:r>
        <w:t xml:space="preserve"> bl. 3 and 7 are application provisions that are of no further effect.</w:t>
      </w:r>
    </w:p>
    <w:p>
      <w:pPr>
        <w:pStyle w:val="nNote"/>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Note"/>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Note"/>
        <w:keepNext/>
        <w:rPr>
          <w:snapToGrid w:val="0"/>
        </w:rPr>
      </w:pPr>
      <w:r>
        <w:rPr>
          <w:snapToGrid w:val="0"/>
          <w:vertAlign w:val="superscript"/>
        </w:rPr>
        <w:t>18</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Note"/>
      </w:pPr>
      <w:r>
        <w:rPr>
          <w:vertAlign w:val="superscript"/>
        </w:rPr>
        <w:t>19</w:t>
      </w:r>
      <w:r>
        <w:tab/>
        <w:t xml:space="preserve">The </w:t>
      </w:r>
      <w:r>
        <w:rPr>
          <w:i/>
        </w:rPr>
        <w:t>Water Agencies (Charges) Amendment By</w:t>
      </w:r>
      <w:r>
        <w:rPr>
          <w:i/>
        </w:rPr>
        <w:noBreakHyphen/>
        <w:t>laws (No. 2) 1999</w:t>
      </w:r>
      <w:r>
        <w:t xml:space="preserve"> bl. 32(2) is a transitional provision that is of no further effect.</w:t>
      </w:r>
    </w:p>
    <w:p>
      <w:pPr>
        <w:pStyle w:val="nNote"/>
        <w:rPr>
          <w:snapToGrid w:val="0"/>
        </w:rPr>
      </w:pPr>
      <w:r>
        <w:rPr>
          <w:vertAlign w:val="superscript"/>
        </w:rPr>
        <w:t>20</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Note"/>
        <w:keepNext/>
        <w:keepLines/>
      </w:pPr>
      <w:r>
        <w:rPr>
          <w:vertAlign w:val="superscript"/>
        </w:rPr>
        <w:t>21</w:t>
      </w:r>
      <w:r>
        <w:tab/>
        <w:t xml:space="preserve">The </w:t>
      </w:r>
      <w:r>
        <w:rPr>
          <w:i/>
        </w:rPr>
        <w:t>Water Agencies (Charges) Amendment By</w:t>
      </w:r>
      <w:r>
        <w:rPr>
          <w:i/>
        </w:rPr>
        <w:noBreakHyphen/>
        <w:t xml:space="preserve">laws 2002 </w:t>
      </w:r>
      <w:r>
        <w:t>bl. 3</w:t>
      </w:r>
      <w:r>
        <w:rPr>
          <w:i/>
        </w:rPr>
        <w:t xml:space="preserve"> </w:t>
      </w:r>
      <w:r>
        <w:t>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w:t>
      </w:r>
      <w:r>
        <w:lastRenderedPageBreak/>
        <w:t xml:space="preserve">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pStyle w:val="nNote"/>
        <w:rPr>
          <w:snapToGrid w:val="0"/>
        </w:rPr>
      </w:pPr>
      <w:r>
        <w:rPr>
          <w:snapToGrid w:val="0"/>
          <w:vertAlign w:val="superscript"/>
        </w:rPr>
        <w:t>22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202(b) had not come into operation.  It reads as follows:</w:t>
      </w:r>
    </w:p>
    <w:p>
      <w:pPr>
        <w:pStyle w:val="BlankOpen"/>
      </w:pPr>
    </w:p>
    <w:p>
      <w:pPr>
        <w:pStyle w:val="nzHeading5"/>
      </w:pPr>
      <w:r>
        <w:rPr>
          <w:rStyle w:val="CharSectno"/>
        </w:rPr>
        <w:t>202</w:t>
      </w:r>
      <w:r>
        <w:t>.</w:t>
      </w:r>
      <w:r>
        <w:tab/>
        <w:t>Other legislation repealed</w:t>
      </w:r>
    </w:p>
    <w:p>
      <w:pPr>
        <w:pStyle w:val="nzSubsection"/>
      </w:pPr>
      <w:r>
        <w:tab/>
      </w:r>
      <w:r>
        <w:tab/>
        <w:t>These written laws are repealed:</w:t>
      </w:r>
    </w:p>
    <w:p>
      <w:pPr>
        <w:pStyle w:val="nzIndenta"/>
      </w:pPr>
      <w:r>
        <w:tab/>
        <w:t>(b)</w:t>
      </w:r>
      <w:r>
        <w:tab/>
        <w:t xml:space="preserve">the </w:t>
      </w:r>
      <w:r>
        <w:rPr>
          <w:i/>
        </w:rPr>
        <w:t>Water Agencies (Charges) By</w:t>
      </w:r>
      <w:r>
        <w:rPr>
          <w:i/>
        </w:rPr>
        <w:noBreakHyphen/>
        <w:t>laws 1987</w:t>
      </w:r>
      <w:r>
        <w:t>;</w:t>
      </w: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01" w:name="_Toc84428024"/>
      <w:r>
        <w:rPr>
          <w:sz w:val="28"/>
        </w:rPr>
        <w:lastRenderedPageBreak/>
        <w:t>Defined Terms</w:t>
      </w:r>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2" w:name="DefinedTerms"/>
      <w:bookmarkEnd w:id="102"/>
      <w:r>
        <w:t>&gt;</w:t>
      </w:r>
      <w:r>
        <w:tab/>
        <w:t>2(3)</w:t>
      </w:r>
    </w:p>
    <w:p>
      <w:pPr>
        <w:pStyle w:val="DefinedTerms"/>
      </w:pPr>
      <w:r>
        <w:t>≤</w:t>
      </w:r>
      <w:r>
        <w:tab/>
        <w:t>2(3)</w:t>
      </w:r>
    </w:p>
    <w:p>
      <w:pPr>
        <w:pStyle w:val="DefinedTerms"/>
      </w:pPr>
      <w:r>
        <w:t>aged home</w:t>
      </w:r>
      <w:r>
        <w:tab/>
        <w:t>2(1)</w:t>
      </w:r>
    </w:p>
    <w:p>
      <w:pPr>
        <w:pStyle w:val="DefinedTerms"/>
      </w:pPr>
      <w:r>
        <w:t>AGRV</w:t>
      </w:r>
      <w:r>
        <w:tab/>
        <w:t>14(2), 24(2)</w:t>
      </w:r>
    </w:p>
    <w:p>
      <w:pPr>
        <w:pStyle w:val="DefinedTerms"/>
      </w:pPr>
      <w:r>
        <w:t>caravan bay</w:t>
      </w:r>
      <w:r>
        <w:tab/>
        <w:t>2(1)</w:t>
      </w:r>
    </w:p>
    <w:p>
      <w:pPr>
        <w:pStyle w:val="DefinedTerms"/>
      </w:pPr>
      <w:r>
        <w:t>charge</w:t>
      </w:r>
      <w:r>
        <w:tab/>
        <w:t>7(1)</w:t>
      </w:r>
    </w:p>
    <w:p>
      <w:pPr>
        <w:pStyle w:val="DefinedTerms"/>
      </w:pPr>
      <w:r>
        <w:t>charitable purposes</w:t>
      </w:r>
      <w:r>
        <w:tab/>
        <w:t>4(3)</w:t>
      </w:r>
    </w:p>
    <w:p>
      <w:pPr>
        <w:pStyle w:val="DefinedTerms"/>
      </w:pPr>
      <w:r>
        <w:t>consumption year</w:t>
      </w:r>
      <w:r>
        <w:tab/>
        <w:t>2(1)</w:t>
      </w:r>
    </w:p>
    <w:p>
      <w:pPr>
        <w:pStyle w:val="DefinedTerms"/>
      </w:pPr>
      <w:r>
        <w:t>country non</w:t>
      </w:r>
      <w:r>
        <w:noBreakHyphen/>
        <w:t>residential or commercial residential property</w:t>
      </w:r>
      <w:r>
        <w:tab/>
        <w:t>21A</w:t>
      </w:r>
    </w:p>
    <w:p>
      <w:pPr>
        <w:pStyle w:val="DefinedTerms"/>
      </w:pPr>
      <w:r>
        <w:t>country sewerage area</w:t>
      </w:r>
      <w:r>
        <w:tab/>
        <w:t>2(1)</w:t>
      </w:r>
    </w:p>
    <w:p>
      <w:pPr>
        <w:pStyle w:val="DefinedTerms"/>
      </w:pPr>
      <w:r>
        <w:t>current year</w:t>
      </w:r>
      <w:r>
        <w:tab/>
        <w:t>2(1)</w:t>
      </w:r>
    </w:p>
    <w:p>
      <w:pPr>
        <w:pStyle w:val="DefinedTerms"/>
      </w:pPr>
      <w:r>
        <w:t>customer</w:t>
      </w:r>
      <w:r>
        <w:tab/>
        <w:t>33(1)</w:t>
      </w:r>
    </w:p>
    <w:p>
      <w:pPr>
        <w:pStyle w:val="DefinedTerms"/>
      </w:pPr>
      <w:r>
        <w:t>development</w:t>
      </w:r>
      <w:r>
        <w:tab/>
        <w:t>28(3)</w:t>
      </w:r>
    </w:p>
    <w:p>
      <w:pPr>
        <w:pStyle w:val="DefinedTerms"/>
      </w:pPr>
      <w:r>
        <w:t>discharge charge</w:t>
      </w:r>
      <w:r>
        <w:tab/>
        <w:t>2(1)</w:t>
      </w:r>
    </w:p>
    <w:p>
      <w:pPr>
        <w:pStyle w:val="DefinedTerms"/>
      </w:pPr>
      <w:r>
        <w:t>discharge factor</w:t>
      </w:r>
      <w:r>
        <w:tab/>
        <w:t>2(1)</w:t>
      </w:r>
    </w:p>
    <w:p>
      <w:pPr>
        <w:pStyle w:val="DefinedTerms"/>
      </w:pPr>
      <w:r>
        <w:t>discharge period</w:t>
      </w:r>
      <w:r>
        <w:tab/>
        <w:t>2(1)</w:t>
      </w:r>
    </w:p>
    <w:p>
      <w:pPr>
        <w:pStyle w:val="DefinedTerms"/>
      </w:pPr>
      <w:r>
        <w:t>discharge volume</w:t>
      </w:r>
      <w:r>
        <w:tab/>
        <w:t>2(1)</w:t>
      </w:r>
    </w:p>
    <w:p>
      <w:pPr>
        <w:pStyle w:val="DefinedTerms"/>
      </w:pPr>
      <w:r>
        <w:t>eligible pensioner</w:t>
      </w:r>
      <w:r>
        <w:tab/>
        <w:t>18(1), 18A(1), 18B(1)</w:t>
      </w:r>
    </w:p>
    <w:p>
      <w:pPr>
        <w:pStyle w:val="DefinedTerms"/>
      </w:pPr>
      <w:r>
        <w:t>exempt land</w:t>
      </w:r>
      <w:r>
        <w:tab/>
        <w:t>5A</w:t>
      </w:r>
    </w:p>
    <w:p>
      <w:pPr>
        <w:pStyle w:val="DefinedTerms"/>
      </w:pPr>
      <w:r>
        <w:t>formula</w:t>
      </w:r>
      <w:r>
        <w:tab/>
        <w:t>21A</w:t>
      </w:r>
    </w:p>
    <w:p>
      <w:pPr>
        <w:pStyle w:val="DefinedTerms"/>
      </w:pPr>
      <w:r>
        <w:t>Government trading organisation</w:t>
      </w:r>
      <w:r>
        <w:tab/>
        <w:t>2(1)</w:t>
      </w:r>
    </w:p>
    <w:p>
      <w:pPr>
        <w:pStyle w:val="DefinedTerms"/>
      </w:pPr>
      <w:r>
        <w:t>GRV</w:t>
      </w:r>
      <w:r>
        <w:tab/>
        <w:t>2(1)</w:t>
      </w:r>
    </w:p>
    <w:p>
      <w:pPr>
        <w:pStyle w:val="DefinedTerms"/>
      </w:pPr>
      <w:r>
        <w:t>holiday accommodation</w:t>
      </w:r>
      <w:r>
        <w:tab/>
        <w:t>2(1)</w:t>
      </w:r>
    </w:p>
    <w:p>
      <w:pPr>
        <w:pStyle w:val="DefinedTerms"/>
      </w:pPr>
      <w:r>
        <w:t>irrigation district</w:t>
      </w:r>
      <w:r>
        <w:tab/>
        <w:t>2(1)</w:t>
      </w:r>
    </w:p>
    <w:p>
      <w:pPr>
        <w:pStyle w:val="DefinedTerms"/>
      </w:pPr>
      <w:r>
        <w:t>land</w:t>
      </w:r>
      <w:r>
        <w:tab/>
        <w:t>19A(1)</w:t>
      </w:r>
    </w:p>
    <w:p>
      <w:pPr>
        <w:pStyle w:val="DefinedTerms"/>
      </w:pPr>
      <w:r>
        <w:t>long term residential caravan bay</w:t>
      </w:r>
      <w:r>
        <w:tab/>
        <w:t>2(1)</w:t>
      </w:r>
    </w:p>
    <w:p>
      <w:pPr>
        <w:pStyle w:val="DefinedTerms"/>
      </w:pPr>
      <w:r>
        <w:t>lot</w:t>
      </w:r>
      <w:r>
        <w:tab/>
        <w:t>28(3)</w:t>
      </w:r>
    </w:p>
    <w:p>
      <w:pPr>
        <w:pStyle w:val="DefinedTerms"/>
      </w:pPr>
      <w:r>
        <w:t>major fixture</w:t>
      </w:r>
      <w:r>
        <w:tab/>
        <w:t>2(1)</w:t>
      </w:r>
    </w:p>
    <w:p>
      <w:pPr>
        <w:pStyle w:val="DefinedTerms"/>
      </w:pPr>
      <w:r>
        <w:t>metropolitan area</w:t>
      </w:r>
      <w:r>
        <w:tab/>
        <w:t>2(1)</w:t>
      </w:r>
    </w:p>
    <w:p>
      <w:pPr>
        <w:pStyle w:val="DefinedTerms"/>
      </w:pPr>
      <w:r>
        <w:t>metropolitan non</w:t>
      </w:r>
      <w:r>
        <w:noBreakHyphen/>
        <w:t>residential property</w:t>
      </w:r>
      <w:r>
        <w:tab/>
        <w:t>21A</w:t>
      </w:r>
    </w:p>
    <w:p>
      <w:pPr>
        <w:pStyle w:val="DefinedTerms"/>
      </w:pPr>
      <w:r>
        <w:t>non</w:t>
      </w:r>
      <w:r>
        <w:noBreakHyphen/>
        <w:t>commercial Government property</w:t>
      </w:r>
      <w:r>
        <w:tab/>
        <w:t>2(1)</w:t>
      </w:r>
    </w:p>
    <w:p>
      <w:pPr>
        <w:pStyle w:val="DefinedTerms"/>
      </w:pPr>
      <w:r>
        <w:t>option A</w:t>
      </w:r>
      <w:r>
        <w:tab/>
        <w:t>33(2)(a)</w:t>
      </w:r>
    </w:p>
    <w:p>
      <w:pPr>
        <w:pStyle w:val="DefinedTerms"/>
      </w:pPr>
      <w:r>
        <w:t>option B</w:t>
      </w:r>
      <w:r>
        <w:tab/>
        <w:t>33(2)(b)</w:t>
      </w:r>
    </w:p>
    <w:p>
      <w:pPr>
        <w:pStyle w:val="DefinedTerms"/>
      </w:pPr>
      <w:r>
        <w:t>P</w:t>
      </w:r>
      <w:r>
        <w:tab/>
        <w:t>Sch. 3 cl. 18 and 36</w:t>
      </w:r>
    </w:p>
    <w:p>
      <w:pPr>
        <w:pStyle w:val="DefinedTerms"/>
      </w:pPr>
      <w:r>
        <w:t>previous year</w:t>
      </w:r>
      <w:r>
        <w:tab/>
        <w:t>2(1)</w:t>
      </w:r>
    </w:p>
    <w:p>
      <w:pPr>
        <w:pStyle w:val="DefinedTerms"/>
      </w:pPr>
      <w:r>
        <w:t>Q</w:t>
      </w:r>
      <w:r>
        <w:tab/>
        <w:t>Sch. 3 cl. 19 and 37</w:t>
      </w:r>
    </w:p>
    <w:p>
      <w:pPr>
        <w:pStyle w:val="DefinedTerms"/>
      </w:pPr>
      <w:r>
        <w:t>quantity charge</w:t>
      </w:r>
      <w:r>
        <w:tab/>
        <w:t>2(1)</w:t>
      </w:r>
    </w:p>
    <w:p>
      <w:pPr>
        <w:pStyle w:val="DefinedTerms"/>
      </w:pPr>
      <w:r>
        <w:t>R</w:t>
      </w:r>
      <w:r>
        <w:tab/>
        <w:t>Sch. 3 cl. 35</w:t>
      </w:r>
    </w:p>
    <w:p>
      <w:pPr>
        <w:pStyle w:val="DefinedTerms"/>
      </w:pPr>
      <w:r>
        <w:t>registered</w:t>
      </w:r>
      <w:r>
        <w:tab/>
        <w:t>18B(1)</w:t>
      </w:r>
    </w:p>
    <w:p>
      <w:pPr>
        <w:pStyle w:val="DefinedTerms"/>
      </w:pPr>
      <w:r>
        <w:lastRenderedPageBreak/>
        <w:t>relevant general valuation</w:t>
      </w:r>
      <w:r>
        <w:tab/>
        <w:t>Sch. 6 cl. 1</w:t>
      </w:r>
    </w:p>
    <w:p>
      <w:pPr>
        <w:pStyle w:val="DefinedTerms"/>
      </w:pPr>
      <w:r>
        <w:t>residence</w:t>
      </w:r>
      <w:r>
        <w:tab/>
        <w:t>2(1)</w:t>
      </w:r>
    </w:p>
    <w:p>
      <w:pPr>
        <w:pStyle w:val="DefinedTerms"/>
      </w:pPr>
      <w:r>
        <w:t>residential property</w:t>
      </w:r>
      <w:r>
        <w:tab/>
        <w:t>2(1)</w:t>
      </w:r>
    </w:p>
    <w:p>
      <w:pPr>
        <w:pStyle w:val="DefinedTerms"/>
      </w:pPr>
      <w:r>
        <w:t>retirement village</w:t>
      </w:r>
      <w:r>
        <w:tab/>
        <w:t>8A(3)</w:t>
      </w:r>
    </w:p>
    <w:p>
      <w:pPr>
        <w:pStyle w:val="DefinedTerms"/>
      </w:pPr>
      <w:r>
        <w:t>rural land</w:t>
      </w:r>
      <w:r>
        <w:tab/>
        <w:t>28(3)</w:t>
      </w:r>
    </w:p>
    <w:p>
      <w:pPr>
        <w:pStyle w:val="DefinedTerms"/>
      </w:pPr>
      <w:r>
        <w:t>single capital infrastructure charge</w:t>
      </w:r>
      <w:r>
        <w:tab/>
        <w:t>2(1)</w:t>
      </w:r>
    </w:p>
    <w:p>
      <w:pPr>
        <w:pStyle w:val="DefinedTerms"/>
      </w:pPr>
      <w:r>
        <w:t>site</w:t>
      </w:r>
      <w:r>
        <w:tab/>
        <w:t>2(1)</w:t>
      </w:r>
    </w:p>
    <w:p>
      <w:pPr>
        <w:pStyle w:val="DefinedTerms"/>
      </w:pPr>
      <w:r>
        <w:t>Table</w:t>
      </w:r>
      <w:r>
        <w:tab/>
        <w:t>21A</w:t>
      </w:r>
    </w:p>
    <w:p>
      <w:pPr>
        <w:pStyle w:val="DefinedTerms"/>
      </w:pPr>
      <w:r>
        <w:t>UV</w:t>
      </w:r>
      <w:r>
        <w:tab/>
        <w:t>2(1)</w:t>
      </w:r>
    </w:p>
    <w:p>
      <w:pPr>
        <w:pStyle w:val="DefinedTerms"/>
      </w:pPr>
      <w:r>
        <w:t>water supply</w:t>
      </w:r>
      <w:r>
        <w:tab/>
        <w:t>2(1)</w:t>
      </w:r>
    </w:p>
    <w:p>
      <w:pPr>
        <w:pStyle w:val="DefinedTerms"/>
      </w:pPr>
      <w:r>
        <w:t>water supply connection</w:t>
      </w:r>
      <w:r>
        <w:tab/>
        <w:t>12(1)</w:t>
      </w:r>
    </w:p>
    <w:p>
      <w:pPr>
        <w:pStyle w:val="DefinedTerms"/>
      </w:pPr>
      <w:r>
        <w:t>year</w:t>
      </w:r>
      <w:r>
        <w:tab/>
        <w:t>2(1)</w:t>
      </w: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sectPr>
      <w:headerReference w:type="even" r:id="rId39"/>
      <w:headerReference w:type="default" r:id="rId40"/>
      <w:type w:val="continuous"/>
      <w:pgSz w:w="11907" w:h="16840"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Sep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vi</w:t>
    </w:r>
    <w:r>
      <w:rP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Sep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06-f0-02</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v</w:t>
    </w:r>
    <w:r>
      <w:rP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06-f0-02</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i</w:t>
    </w:r>
    <w:r>
      <w:rP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Sep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06-f0-02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144</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06-f0-02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144</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1632"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680" w:type="dxa"/>
        </w:tcPr>
        <w:p>
          <w:pPr>
            <w:pStyle w:val="Header"/>
            <w:spacing w:before="40"/>
          </w:pPr>
          <w:r>
            <w:fldChar w:fldCharType="begin"/>
          </w:r>
          <w:r>
            <w:instrText xml:space="preserve"> styleref CharPartText </w:instrText>
          </w:r>
          <w:r>
            <w:fldChar w:fldCharType="end"/>
          </w:r>
        </w:p>
      </w:tc>
    </w:tr>
    <w:tr>
      <w:tc>
        <w:tcPr>
          <w:tcW w:w="1632"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680"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60"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60"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302"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bCs/>
            </w:rPr>
            <w:fldChar w:fldCharType="begin"/>
          </w:r>
          <w:r>
            <w:rPr>
              <w:b/>
              <w:bCs/>
            </w:rPr>
            <w:instrText xml:space="preserve"> STYLEREF CharSDivNo \* charformat</w:instrText>
          </w:r>
          <w:r>
            <w:rPr>
              <w:b/>
              <w:bCs/>
            </w:rPr>
            <w:fldChar w:fldCharType="separate"/>
          </w:r>
          <w:r>
            <w:rPr>
              <w:b/>
              <w:bCs/>
            </w:rPr>
            <w:t>Division 1</w:t>
          </w:r>
          <w:r>
            <w:rPr>
              <w:b/>
              <w:bCs/>
            </w:rPr>
            <w:fldChar w:fldCharType="end"/>
          </w:r>
        </w:p>
      </w:tc>
      <w:tc>
        <w:tcPr>
          <w:tcW w:w="5715" w:type="dxa"/>
        </w:tcPr>
        <w:p>
          <w:pPr>
            <w:pStyle w:val="Header"/>
            <w:spacing w:before="40"/>
          </w:pPr>
          <w:r>
            <w:fldChar w:fldCharType="begin"/>
          </w:r>
          <w:r>
            <w:instrText>styleref CharSDivText</w:instrText>
          </w:r>
          <w:r>
            <w:fldChar w:fldCharType="separate"/>
          </w:r>
          <w:r>
            <w:t>Fixed charges</w:t>
          </w:r>
          <w:r>
            <w:fldChar w:fldCharType="end"/>
          </w:r>
          <w:r>
            <w:tab/>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Formula for calculating AGRV</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6</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6</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Charges by way of rate</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rPr>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Formula for calculating AGRV</w:t>
          </w:r>
          <w:r>
            <w:fldChar w:fldCharType="end"/>
          </w:r>
        </w:p>
      </w:tc>
    </w:tr>
    <w:tr>
      <w:tc>
        <w:tcPr>
          <w:tcW w:w="1548" w:type="dxa"/>
        </w:tcPr>
        <w:p>
          <w:pPr>
            <w:pStyle w:val="Header"/>
            <w:spacing w:before="40"/>
          </w:pPr>
          <w:r>
            <w:rPr>
              <w:b/>
              <w:bCs/>
            </w:rPr>
            <w:fldChar w:fldCharType="begin"/>
          </w:r>
          <w:r>
            <w:rPr>
              <w:b/>
              <w:bCs/>
            </w:rPr>
            <w:instrText xml:space="preserve"> STYLEREF CharSDivNo \* charformat</w:instrText>
          </w:r>
          <w:r>
            <w:rPr>
              <w:b/>
              <w:bCs/>
            </w:rPr>
            <w:fldChar w:fldCharType="separate"/>
          </w:r>
          <w:r>
            <w:rPr>
              <w:b/>
              <w:bCs/>
            </w:rPr>
            <w:t>Division 2</w:t>
          </w:r>
          <w:r>
            <w:rPr>
              <w:b/>
              <w:bCs/>
            </w:rPr>
            <w:fldChar w:fldCharType="end"/>
          </w:r>
        </w:p>
      </w:tc>
      <w:tc>
        <w:tcPr>
          <w:tcW w:w="5715" w:type="dxa"/>
        </w:tcPr>
        <w:p>
          <w:pPr>
            <w:pStyle w:val="Header"/>
            <w:spacing w:before="40"/>
          </w:pPr>
          <w:r>
            <w:fldChar w:fldCharType="begin"/>
          </w:r>
          <w:r>
            <w:instrText>styleref CharSDivText</w:instrText>
          </w:r>
          <w:r>
            <w:fldChar w:fldCharType="separate"/>
          </w:r>
          <w:r>
            <w:t>Charges by way of rate</w:t>
          </w:r>
          <w:r>
            <w:fldChar w:fldCharType="end"/>
          </w:r>
          <w:r>
            <w:tab/>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8</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8</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Water supply charges for Government trading organisations and non-commercial Government property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Charges by way of rate</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Water supply charges for Government trading organisations and non-commercial Government property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8</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8</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Charges by way of rate</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1"/>
  </w:num>
  <w:num w:numId="15">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6154350"/>
    <w:docVar w:name="WAFER_202110061543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6154350_GUID" w:val="a6a9bd24-c1f1-4478-863d-b46dc573bd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5:docId w15:val="{43F9E1A1-CBE2-4CBA-9CB8-40DD68312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3.wmf"/><Relationship Id="rId39" Type="http://schemas.openxmlformats.org/officeDocument/2006/relationships/header" Target="header21.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wmf"/><Relationship Id="rId33" Type="http://schemas.openxmlformats.org/officeDocument/2006/relationships/header" Target="header15.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29031</Words>
  <Characters>134126</Characters>
  <Application>Microsoft Office Word</Application>
  <DocSecurity>0</DocSecurity>
  <Lines>7451</Lines>
  <Paragraphs>5626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1987 - 06-f0-02</dc:title>
  <dc:subject/>
  <dc:creator/>
  <cp:keywords/>
  <dc:description/>
  <cp:lastModifiedBy>Master Repository Process</cp:lastModifiedBy>
  <cp:revision>4</cp:revision>
  <cp:lastPrinted>2009-08-27T02:26:00Z</cp:lastPrinted>
  <dcterms:created xsi:type="dcterms:W3CDTF">2021-10-06T07:56:00Z</dcterms:created>
  <dcterms:modified xsi:type="dcterms:W3CDTF">2021-10-06T07:56:00Z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20120903</vt:lpwstr>
  </property>
  <property fmtid="{D5CDD505-2E9C-101B-9397-08002B2CF9AE}" pid="4" name="DocumentType">
    <vt:lpwstr>Reg</vt:lpwstr>
  </property>
  <property fmtid="{D5CDD505-2E9C-101B-9397-08002B2CF9AE}" pid="5" name="OwlsUID">
    <vt:i4>4852</vt:i4>
  </property>
  <property fmtid="{D5CDD505-2E9C-101B-9397-08002B2CF9AE}" pid="6" name="ReprintNo">
    <vt:lpwstr>6</vt:lpwstr>
  </property>
  <property fmtid="{D5CDD505-2E9C-101B-9397-08002B2CF9AE}" pid="7" name="AsAtDate">
    <vt:lpwstr>03 Sep 2012</vt:lpwstr>
  </property>
  <property fmtid="{D5CDD505-2E9C-101B-9397-08002B2CF9AE}" pid="8" name="Suffix">
    <vt:lpwstr>06-f0-02</vt:lpwstr>
  </property>
</Properties>
</file>