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Hospitals and Health Services Act 1927</w:t>
      </w:r>
    </w:p>
    <w:p>
      <w:pPr>
        <w:pStyle w:val="NameofActRegPage1"/>
        <w:spacing w:before="18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Fremantle Hospital By-laws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Fremantle Hospital By-laws 1992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_Toc335663389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_Toc335663390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_Toc335663391 \h </w:instrText>
      </w:r>
      <w:r>
        <w:fldChar w:fldCharType="separate"/>
      </w:r>
      <w:r>
        <w:t>1</w:t>
      </w:r>
      <w:r>
        <w:fldChar w:fldCharType="end"/>
      </w:r>
    </w:p>
    <w:p>
      <w:pPr>
        <w:pStyle w:val="TOC2"/>
        <w:tabs>
          <w:tab w:val="right" w:leader="dot" w:pos="7086"/>
        </w:tabs>
        <w:rPr>
          <w:b w:val="0"/>
          <w:sz w:val="24"/>
          <w:szCs w:val="24"/>
          <w:lang w:val="en-US"/>
        </w:rPr>
      </w:pPr>
      <w:r>
        <w:t>Part 2 — Trespass and order</w:t>
      </w:r>
    </w:p>
    <w:p>
      <w:pPr>
        <w:pStyle w:val="TOC8"/>
        <w:rPr>
          <w:sz w:val="24"/>
          <w:szCs w:val="24"/>
          <w:lang w:val="en-US"/>
        </w:rPr>
      </w:pPr>
      <w:r>
        <w:t>4</w:t>
      </w:r>
      <w:r>
        <w:rPr>
          <w:snapToGrid w:val="0"/>
        </w:rPr>
        <w:t>.</w:t>
      </w:r>
      <w:r>
        <w:rPr>
          <w:snapToGrid w:val="0"/>
        </w:rPr>
        <w:tab/>
        <w:t>No entry without cause</w:t>
      </w:r>
      <w:r>
        <w:tab/>
      </w:r>
      <w:r>
        <w:fldChar w:fldCharType="begin"/>
      </w:r>
      <w:r>
        <w:instrText xml:space="preserve"> PAGEREF _Toc335663393 \h </w:instrText>
      </w:r>
      <w:r>
        <w:fldChar w:fldCharType="separate"/>
      </w:r>
      <w:r>
        <w:t>4</w:t>
      </w:r>
      <w:r>
        <w:fldChar w:fldCharType="end"/>
      </w:r>
    </w:p>
    <w:p>
      <w:pPr>
        <w:pStyle w:val="TOC8"/>
        <w:rPr>
          <w:sz w:val="24"/>
          <w:szCs w:val="24"/>
          <w:lang w:val="en-US"/>
        </w:rPr>
      </w:pPr>
      <w:r>
        <w:t>5</w:t>
      </w:r>
      <w:r>
        <w:rPr>
          <w:snapToGrid w:val="0"/>
        </w:rPr>
        <w:t>.</w:t>
      </w:r>
      <w:r>
        <w:rPr>
          <w:snapToGrid w:val="0"/>
        </w:rPr>
        <w:tab/>
        <w:t>Directions as to use of certain areas</w:t>
      </w:r>
      <w:r>
        <w:tab/>
      </w:r>
      <w:r>
        <w:fldChar w:fldCharType="begin"/>
      </w:r>
      <w:r>
        <w:instrText xml:space="preserve"> PAGEREF _Toc335663394 \h </w:instrText>
      </w:r>
      <w:r>
        <w:fldChar w:fldCharType="separate"/>
      </w:r>
      <w:r>
        <w:t>4</w:t>
      </w:r>
      <w:r>
        <w:fldChar w:fldCharType="end"/>
      </w:r>
    </w:p>
    <w:p>
      <w:pPr>
        <w:pStyle w:val="TOC8"/>
        <w:rPr>
          <w:sz w:val="24"/>
          <w:szCs w:val="24"/>
          <w:lang w:val="en-US"/>
        </w:rPr>
      </w:pPr>
      <w:r>
        <w:t>6</w:t>
      </w:r>
      <w:r>
        <w:rPr>
          <w:snapToGrid w:val="0"/>
        </w:rPr>
        <w:t>.</w:t>
      </w:r>
      <w:r>
        <w:rPr>
          <w:snapToGrid w:val="0"/>
        </w:rPr>
        <w:tab/>
        <w:t>Liquor</w:t>
      </w:r>
      <w:r>
        <w:tab/>
      </w:r>
      <w:r>
        <w:fldChar w:fldCharType="begin"/>
      </w:r>
      <w:r>
        <w:instrText xml:space="preserve"> PAGEREF _Toc335663395 \h </w:instrText>
      </w:r>
      <w:r>
        <w:fldChar w:fldCharType="separate"/>
      </w:r>
      <w:r>
        <w:t>4</w:t>
      </w:r>
      <w:r>
        <w:fldChar w:fldCharType="end"/>
      </w:r>
    </w:p>
    <w:p>
      <w:pPr>
        <w:pStyle w:val="TOC8"/>
        <w:rPr>
          <w:sz w:val="24"/>
          <w:szCs w:val="24"/>
          <w:lang w:val="en-US"/>
        </w:rPr>
      </w:pPr>
      <w:r>
        <w:t>7.</w:t>
      </w:r>
      <w:r>
        <w:tab/>
        <w:t>Smoking</w:t>
      </w:r>
      <w:r>
        <w:tab/>
      </w:r>
      <w:r>
        <w:fldChar w:fldCharType="begin"/>
      </w:r>
      <w:r>
        <w:instrText xml:space="preserve"> PAGEREF _Toc335663396 \h </w:instrText>
      </w:r>
      <w:r>
        <w:fldChar w:fldCharType="separate"/>
      </w:r>
      <w:r>
        <w:t>4</w:t>
      </w:r>
      <w:r>
        <w:fldChar w:fldCharType="end"/>
      </w:r>
    </w:p>
    <w:p>
      <w:pPr>
        <w:pStyle w:val="TOC8"/>
        <w:rPr>
          <w:sz w:val="24"/>
          <w:szCs w:val="24"/>
          <w:lang w:val="en-US"/>
        </w:rPr>
      </w:pPr>
      <w:r>
        <w:t>8</w:t>
      </w:r>
      <w:r>
        <w:rPr>
          <w:snapToGrid w:val="0"/>
        </w:rPr>
        <w:t>.</w:t>
      </w:r>
      <w:r>
        <w:rPr>
          <w:snapToGrid w:val="0"/>
        </w:rPr>
        <w:tab/>
        <w:t>Disorderly persons may be removed from site</w:t>
      </w:r>
      <w:r>
        <w:tab/>
      </w:r>
      <w:r>
        <w:fldChar w:fldCharType="begin"/>
      </w:r>
      <w:r>
        <w:instrText xml:space="preserve"> PAGEREF _Toc335663397 \h </w:instrText>
      </w:r>
      <w:r>
        <w:fldChar w:fldCharType="separate"/>
      </w:r>
      <w:r>
        <w:t>5</w:t>
      </w:r>
      <w:r>
        <w:fldChar w:fldCharType="end"/>
      </w:r>
    </w:p>
    <w:p>
      <w:pPr>
        <w:pStyle w:val="TOC2"/>
        <w:tabs>
          <w:tab w:val="right" w:leader="dot" w:pos="7086"/>
        </w:tabs>
        <w:rPr>
          <w:b w:val="0"/>
          <w:sz w:val="24"/>
          <w:szCs w:val="24"/>
          <w:lang w:val="en-US"/>
        </w:rPr>
      </w:pPr>
      <w:r>
        <w:t>Part 3 — Traffic control</w:t>
      </w:r>
    </w:p>
    <w:p>
      <w:pPr>
        <w:pStyle w:val="TOC4"/>
        <w:tabs>
          <w:tab w:val="right" w:leader="dot" w:pos="7086"/>
        </w:tabs>
        <w:rPr>
          <w:b w:val="0"/>
          <w:sz w:val="24"/>
          <w:szCs w:val="24"/>
          <w:lang w:val="en-US"/>
        </w:rPr>
      </w:pPr>
      <w:r>
        <w:t>Division 1</w:t>
      </w:r>
      <w:r>
        <w:rPr>
          <w:snapToGrid w:val="0"/>
        </w:rPr>
        <w:t> — </w:t>
      </w:r>
      <w:r>
        <w:t>Driving and use of vehicles</w:t>
      </w:r>
    </w:p>
    <w:p>
      <w:pPr>
        <w:pStyle w:val="TOC8"/>
        <w:rPr>
          <w:sz w:val="24"/>
          <w:szCs w:val="24"/>
          <w:lang w:val="en-US"/>
        </w:rPr>
      </w:pPr>
      <w:r>
        <w:t>9</w:t>
      </w:r>
      <w:r>
        <w:rPr>
          <w:snapToGrid w:val="0"/>
        </w:rPr>
        <w:t>.</w:t>
      </w:r>
      <w:r>
        <w:rPr>
          <w:snapToGrid w:val="0"/>
        </w:rPr>
        <w:tab/>
        <w:t>Driving of vehicles</w:t>
      </w:r>
      <w:r>
        <w:tab/>
      </w:r>
      <w:r>
        <w:fldChar w:fldCharType="begin"/>
      </w:r>
      <w:r>
        <w:instrText xml:space="preserve"> PAGEREF _Toc335663400 \h </w:instrText>
      </w:r>
      <w:r>
        <w:fldChar w:fldCharType="separate"/>
      </w:r>
      <w:r>
        <w:t>6</w:t>
      </w:r>
      <w:r>
        <w:fldChar w:fldCharType="end"/>
      </w:r>
    </w:p>
    <w:p>
      <w:pPr>
        <w:pStyle w:val="TOC8"/>
        <w:rPr>
          <w:sz w:val="24"/>
          <w:szCs w:val="24"/>
          <w:lang w:val="en-US"/>
        </w:rPr>
      </w:pPr>
      <w:r>
        <w:t>10</w:t>
      </w:r>
      <w:r>
        <w:rPr>
          <w:snapToGrid w:val="0"/>
        </w:rPr>
        <w:t>.</w:t>
      </w:r>
      <w:r>
        <w:rPr>
          <w:snapToGrid w:val="0"/>
        </w:rPr>
        <w:tab/>
        <w:t>Driver to obey reasonable direction</w:t>
      </w:r>
      <w:r>
        <w:tab/>
      </w:r>
      <w:r>
        <w:fldChar w:fldCharType="begin"/>
      </w:r>
      <w:r>
        <w:instrText xml:space="preserve"> PAGEREF _Toc335663401 \h </w:instrText>
      </w:r>
      <w:r>
        <w:fldChar w:fldCharType="separate"/>
      </w:r>
      <w:r>
        <w:t>6</w:t>
      </w:r>
      <w:r>
        <w:fldChar w:fldCharType="end"/>
      </w:r>
    </w:p>
    <w:p>
      <w:pPr>
        <w:pStyle w:val="TOC8"/>
        <w:rPr>
          <w:sz w:val="24"/>
          <w:szCs w:val="24"/>
          <w:lang w:val="en-US"/>
        </w:rPr>
      </w:pPr>
      <w:r>
        <w:t>11</w:t>
      </w:r>
      <w:r>
        <w:rPr>
          <w:snapToGrid w:val="0"/>
        </w:rPr>
        <w:t>.</w:t>
      </w:r>
      <w:r>
        <w:rPr>
          <w:snapToGrid w:val="0"/>
        </w:rPr>
        <w:tab/>
        <w:t>Speed limits</w:t>
      </w:r>
      <w:r>
        <w:tab/>
      </w:r>
      <w:r>
        <w:fldChar w:fldCharType="begin"/>
      </w:r>
      <w:r>
        <w:instrText xml:space="preserve"> PAGEREF _Toc335663402 \h </w:instrText>
      </w:r>
      <w:r>
        <w:fldChar w:fldCharType="separate"/>
      </w:r>
      <w:r>
        <w:t>6</w:t>
      </w:r>
      <w:r>
        <w:fldChar w:fldCharType="end"/>
      </w:r>
    </w:p>
    <w:p>
      <w:pPr>
        <w:pStyle w:val="TOC8"/>
        <w:rPr>
          <w:sz w:val="24"/>
          <w:szCs w:val="24"/>
          <w:lang w:val="en-US"/>
        </w:rPr>
      </w:pPr>
      <w:r>
        <w:t>12</w:t>
      </w:r>
      <w:r>
        <w:rPr>
          <w:snapToGrid w:val="0"/>
        </w:rPr>
        <w:t>.</w:t>
      </w:r>
      <w:r>
        <w:rPr>
          <w:snapToGrid w:val="0"/>
        </w:rPr>
        <w:tab/>
        <w:t>Giving way</w:t>
      </w:r>
      <w:r>
        <w:tab/>
      </w:r>
      <w:r>
        <w:fldChar w:fldCharType="begin"/>
      </w:r>
      <w:r>
        <w:instrText xml:space="preserve"> PAGEREF _Toc335663403 \h </w:instrText>
      </w:r>
      <w:r>
        <w:fldChar w:fldCharType="separate"/>
      </w:r>
      <w:r>
        <w:t>7</w:t>
      </w:r>
      <w:r>
        <w:fldChar w:fldCharType="end"/>
      </w:r>
    </w:p>
    <w:p>
      <w:pPr>
        <w:pStyle w:val="TOC8"/>
        <w:rPr>
          <w:sz w:val="24"/>
          <w:szCs w:val="24"/>
          <w:lang w:val="en-US"/>
        </w:rPr>
      </w:pPr>
      <w:r>
        <w:t>13</w:t>
      </w:r>
      <w:r>
        <w:rPr>
          <w:snapToGrid w:val="0"/>
        </w:rPr>
        <w:t>.</w:t>
      </w:r>
      <w:r>
        <w:rPr>
          <w:snapToGrid w:val="0"/>
        </w:rPr>
        <w:tab/>
        <w:t>No instruction or repairs on site</w:t>
      </w:r>
      <w:r>
        <w:tab/>
      </w:r>
      <w:r>
        <w:fldChar w:fldCharType="begin"/>
      </w:r>
      <w:r>
        <w:instrText xml:space="preserve"> PAGEREF _Toc335663404 \h </w:instrText>
      </w:r>
      <w:r>
        <w:fldChar w:fldCharType="separate"/>
      </w:r>
      <w:r>
        <w:t>7</w:t>
      </w:r>
      <w:r>
        <w:fldChar w:fldCharType="end"/>
      </w:r>
    </w:p>
    <w:p>
      <w:pPr>
        <w:pStyle w:val="TOC4"/>
        <w:tabs>
          <w:tab w:val="right" w:leader="dot" w:pos="7086"/>
        </w:tabs>
        <w:rPr>
          <w:b w:val="0"/>
          <w:sz w:val="24"/>
          <w:szCs w:val="24"/>
          <w:lang w:val="en-US"/>
        </w:rPr>
      </w:pPr>
      <w:r>
        <w:t>Division 2</w:t>
      </w:r>
      <w:r>
        <w:rPr>
          <w:snapToGrid w:val="0"/>
        </w:rPr>
        <w:t> — </w:t>
      </w:r>
      <w:r>
        <w:t>Parking</w:t>
      </w:r>
    </w:p>
    <w:p>
      <w:pPr>
        <w:pStyle w:val="TOC8"/>
        <w:rPr>
          <w:sz w:val="24"/>
          <w:szCs w:val="24"/>
          <w:lang w:val="en-US"/>
        </w:rPr>
      </w:pPr>
      <w:r>
        <w:t>14</w:t>
      </w:r>
      <w:r>
        <w:rPr>
          <w:snapToGrid w:val="0"/>
        </w:rPr>
        <w:t>.</w:t>
      </w:r>
      <w:r>
        <w:rPr>
          <w:snapToGrid w:val="0"/>
        </w:rPr>
        <w:tab/>
        <w:t>Parking to be in parking spaces only</w:t>
      </w:r>
      <w:r>
        <w:tab/>
      </w:r>
      <w:r>
        <w:fldChar w:fldCharType="begin"/>
      </w:r>
      <w:r>
        <w:instrText xml:space="preserve"> PAGEREF _Toc335663406 \h </w:instrText>
      </w:r>
      <w:r>
        <w:fldChar w:fldCharType="separate"/>
      </w:r>
      <w:r>
        <w:t>7</w:t>
      </w:r>
      <w:r>
        <w:fldChar w:fldCharType="end"/>
      </w:r>
    </w:p>
    <w:p>
      <w:pPr>
        <w:pStyle w:val="TOC8"/>
        <w:rPr>
          <w:sz w:val="24"/>
          <w:szCs w:val="24"/>
          <w:lang w:val="en-US"/>
        </w:rPr>
      </w:pPr>
      <w:r>
        <w:t>15</w:t>
      </w:r>
      <w:r>
        <w:rPr>
          <w:snapToGrid w:val="0"/>
        </w:rPr>
        <w:t>.</w:t>
      </w:r>
      <w:r>
        <w:rPr>
          <w:snapToGrid w:val="0"/>
        </w:rPr>
        <w:tab/>
        <w:t>Signs to be obeyed</w:t>
      </w:r>
      <w:r>
        <w:tab/>
      </w:r>
      <w:r>
        <w:fldChar w:fldCharType="begin"/>
      </w:r>
      <w:r>
        <w:instrText xml:space="preserve"> PAGEREF _Toc335663407 \h </w:instrText>
      </w:r>
      <w:r>
        <w:fldChar w:fldCharType="separate"/>
      </w:r>
      <w:r>
        <w:t>7</w:t>
      </w:r>
      <w:r>
        <w:fldChar w:fldCharType="end"/>
      </w:r>
    </w:p>
    <w:p>
      <w:pPr>
        <w:pStyle w:val="TOC8"/>
        <w:rPr>
          <w:sz w:val="24"/>
          <w:szCs w:val="24"/>
          <w:lang w:val="en-US"/>
        </w:rPr>
      </w:pPr>
      <w:r>
        <w:t>16</w:t>
      </w:r>
      <w:r>
        <w:rPr>
          <w:snapToGrid w:val="0"/>
        </w:rPr>
        <w:t>.</w:t>
      </w:r>
      <w:r>
        <w:rPr>
          <w:snapToGrid w:val="0"/>
        </w:rPr>
        <w:tab/>
        <w:t>Parking in parking spaces</w:t>
      </w:r>
      <w:r>
        <w:tab/>
      </w:r>
      <w:r>
        <w:fldChar w:fldCharType="begin"/>
      </w:r>
      <w:r>
        <w:instrText xml:space="preserve"> PAGEREF _Toc335663408 \h </w:instrText>
      </w:r>
      <w:r>
        <w:fldChar w:fldCharType="separate"/>
      </w:r>
      <w:r>
        <w:t>7</w:t>
      </w:r>
      <w:r>
        <w:fldChar w:fldCharType="end"/>
      </w:r>
    </w:p>
    <w:p>
      <w:pPr>
        <w:pStyle w:val="TOC8"/>
        <w:rPr>
          <w:sz w:val="24"/>
          <w:szCs w:val="24"/>
          <w:lang w:val="en-US"/>
        </w:rPr>
      </w:pPr>
      <w:r>
        <w:t>17</w:t>
      </w:r>
      <w:r>
        <w:rPr>
          <w:snapToGrid w:val="0"/>
        </w:rPr>
        <w:t>.</w:t>
      </w:r>
      <w:r>
        <w:rPr>
          <w:snapToGrid w:val="0"/>
        </w:rPr>
        <w:tab/>
        <w:t>Permit</w:t>
      </w:r>
      <w:r>
        <w:tab/>
      </w:r>
      <w:r>
        <w:fldChar w:fldCharType="begin"/>
      </w:r>
      <w:r>
        <w:instrText xml:space="preserve"> PAGEREF _Toc335663409 \h </w:instrText>
      </w:r>
      <w:r>
        <w:fldChar w:fldCharType="separate"/>
      </w:r>
      <w:r>
        <w:t>9</w:t>
      </w:r>
      <w:r>
        <w:fldChar w:fldCharType="end"/>
      </w:r>
    </w:p>
    <w:p>
      <w:pPr>
        <w:pStyle w:val="TOC8"/>
        <w:rPr>
          <w:sz w:val="24"/>
          <w:szCs w:val="24"/>
          <w:lang w:val="en-US"/>
        </w:rPr>
      </w:pPr>
      <w:r>
        <w:t>18</w:t>
      </w:r>
      <w:r>
        <w:rPr>
          <w:snapToGrid w:val="0"/>
        </w:rPr>
        <w:t>.</w:t>
      </w:r>
      <w:r>
        <w:rPr>
          <w:snapToGrid w:val="0"/>
        </w:rPr>
        <w:tab/>
        <w:t>Refund of permit fees</w:t>
      </w:r>
      <w:r>
        <w:tab/>
      </w:r>
      <w:r>
        <w:fldChar w:fldCharType="begin"/>
      </w:r>
      <w:r>
        <w:instrText xml:space="preserve"> PAGEREF _Toc335663410 \h </w:instrText>
      </w:r>
      <w:r>
        <w:fldChar w:fldCharType="separate"/>
      </w:r>
      <w:r>
        <w:t>10</w:t>
      </w:r>
      <w:r>
        <w:fldChar w:fldCharType="end"/>
      </w:r>
    </w:p>
    <w:p>
      <w:pPr>
        <w:pStyle w:val="TOC2"/>
        <w:tabs>
          <w:tab w:val="right" w:leader="dot" w:pos="7086"/>
        </w:tabs>
        <w:rPr>
          <w:b w:val="0"/>
          <w:sz w:val="24"/>
          <w:szCs w:val="24"/>
          <w:lang w:val="en-US"/>
        </w:rPr>
      </w:pPr>
      <w:r>
        <w:t>Part 4 — Infringement notices</w:t>
      </w:r>
    </w:p>
    <w:p>
      <w:pPr>
        <w:pStyle w:val="TOC8"/>
        <w:rPr>
          <w:sz w:val="24"/>
          <w:szCs w:val="24"/>
          <w:lang w:val="en-US"/>
        </w:rPr>
      </w:pPr>
      <w:r>
        <w:t>19</w:t>
      </w:r>
      <w:r>
        <w:rPr>
          <w:snapToGrid w:val="0"/>
        </w:rPr>
        <w:t>.</w:t>
      </w:r>
      <w:r>
        <w:rPr>
          <w:snapToGrid w:val="0"/>
        </w:rPr>
        <w:tab/>
        <w:t>Terms used</w:t>
      </w:r>
      <w:r>
        <w:tab/>
      </w:r>
      <w:r>
        <w:fldChar w:fldCharType="begin"/>
      </w:r>
      <w:r>
        <w:instrText xml:space="preserve"> PAGEREF _Toc335663412 \h </w:instrText>
      </w:r>
      <w:r>
        <w:fldChar w:fldCharType="separate"/>
      </w:r>
      <w:r>
        <w:t>12</w:t>
      </w:r>
      <w:r>
        <w:fldChar w:fldCharType="end"/>
      </w:r>
    </w:p>
    <w:p>
      <w:pPr>
        <w:pStyle w:val="TOC8"/>
        <w:rPr>
          <w:sz w:val="24"/>
          <w:szCs w:val="24"/>
          <w:lang w:val="en-US"/>
        </w:rPr>
      </w:pPr>
      <w:r>
        <w:t>20</w:t>
      </w:r>
      <w:r>
        <w:rPr>
          <w:snapToGrid w:val="0"/>
        </w:rPr>
        <w:t>.</w:t>
      </w:r>
      <w:r>
        <w:rPr>
          <w:snapToGrid w:val="0"/>
        </w:rPr>
        <w:tab/>
        <w:t>Infringement notices</w:t>
      </w:r>
      <w:r>
        <w:tab/>
      </w:r>
      <w:r>
        <w:fldChar w:fldCharType="begin"/>
      </w:r>
      <w:r>
        <w:instrText xml:space="preserve"> PAGEREF _Toc335663413 \h </w:instrText>
      </w:r>
      <w:r>
        <w:fldChar w:fldCharType="separate"/>
      </w:r>
      <w:r>
        <w:t>12</w:t>
      </w:r>
      <w:r>
        <w:fldChar w:fldCharType="end"/>
      </w:r>
    </w:p>
    <w:p>
      <w:pPr>
        <w:pStyle w:val="TOC8"/>
        <w:rPr>
          <w:sz w:val="24"/>
          <w:szCs w:val="24"/>
          <w:lang w:val="en-US"/>
        </w:rPr>
      </w:pPr>
      <w:r>
        <w:t>21</w:t>
      </w:r>
      <w:r>
        <w:rPr>
          <w:snapToGrid w:val="0"/>
        </w:rPr>
        <w:t>.</w:t>
      </w:r>
      <w:r>
        <w:rPr>
          <w:snapToGrid w:val="0"/>
        </w:rPr>
        <w:tab/>
        <w:t>Withdrawal of infringement notice</w:t>
      </w:r>
      <w:r>
        <w:tab/>
      </w:r>
      <w:r>
        <w:fldChar w:fldCharType="begin"/>
      </w:r>
      <w:r>
        <w:instrText xml:space="preserve"> PAGEREF _Toc335663414 \h </w:instrText>
      </w:r>
      <w:r>
        <w:fldChar w:fldCharType="separate"/>
      </w:r>
      <w:r>
        <w:t>13</w:t>
      </w:r>
      <w:r>
        <w:fldChar w:fldCharType="end"/>
      </w:r>
    </w:p>
    <w:p>
      <w:pPr>
        <w:pStyle w:val="TOC8"/>
        <w:rPr>
          <w:sz w:val="24"/>
          <w:szCs w:val="24"/>
          <w:lang w:val="en-US"/>
        </w:rPr>
      </w:pPr>
      <w:r>
        <w:t>22</w:t>
      </w:r>
      <w:r>
        <w:rPr>
          <w:snapToGrid w:val="0"/>
        </w:rPr>
        <w:t>.</w:t>
      </w:r>
      <w:r>
        <w:rPr>
          <w:snapToGrid w:val="0"/>
        </w:rPr>
        <w:tab/>
        <w:t>Authorised person to have certificate</w:t>
      </w:r>
      <w:r>
        <w:tab/>
      </w:r>
      <w:r>
        <w:fldChar w:fldCharType="begin"/>
      </w:r>
      <w:r>
        <w:instrText xml:space="preserve"> PAGEREF _Toc335663415 \h </w:instrText>
      </w:r>
      <w:r>
        <w:fldChar w:fldCharType="separate"/>
      </w:r>
      <w:r>
        <w:t>13</w:t>
      </w:r>
      <w:r>
        <w:fldChar w:fldCharType="end"/>
      </w:r>
    </w:p>
    <w:p>
      <w:pPr>
        <w:pStyle w:val="TOC8"/>
        <w:rPr>
          <w:sz w:val="24"/>
          <w:szCs w:val="24"/>
          <w:lang w:val="en-US"/>
        </w:rPr>
      </w:pPr>
      <w:r>
        <w:t>23</w:t>
      </w:r>
      <w:r>
        <w:rPr>
          <w:snapToGrid w:val="0"/>
        </w:rPr>
        <w:t>.</w:t>
      </w:r>
      <w:r>
        <w:rPr>
          <w:snapToGrid w:val="0"/>
        </w:rPr>
        <w:tab/>
        <w:t>Authorised persons only to endorse and alter infringement notices</w:t>
      </w:r>
      <w:r>
        <w:tab/>
      </w:r>
      <w:r>
        <w:fldChar w:fldCharType="begin"/>
      </w:r>
      <w:r>
        <w:instrText xml:space="preserve"> PAGEREF _Toc335663416 \h </w:instrText>
      </w:r>
      <w:r>
        <w:fldChar w:fldCharType="separate"/>
      </w:r>
      <w:r>
        <w:t>14</w:t>
      </w:r>
      <w:r>
        <w:fldChar w:fldCharType="end"/>
      </w:r>
    </w:p>
    <w:p>
      <w:pPr>
        <w:pStyle w:val="TOC8"/>
        <w:rPr>
          <w:sz w:val="24"/>
          <w:szCs w:val="24"/>
          <w:lang w:val="en-US"/>
        </w:rPr>
      </w:pPr>
      <w:r>
        <w:t>24</w:t>
      </w:r>
      <w:r>
        <w:rPr>
          <w:snapToGrid w:val="0"/>
        </w:rPr>
        <w:t>.</w:t>
      </w:r>
      <w:r>
        <w:rPr>
          <w:snapToGrid w:val="0"/>
        </w:rPr>
        <w:tab/>
        <w:t>Restriction on removal of infringement notices</w:t>
      </w:r>
      <w:r>
        <w:tab/>
      </w:r>
      <w:r>
        <w:fldChar w:fldCharType="begin"/>
      </w:r>
      <w:r>
        <w:instrText xml:space="preserve"> PAGEREF _Toc335663417 \h </w:instrText>
      </w:r>
      <w:r>
        <w:fldChar w:fldCharType="separate"/>
      </w:r>
      <w:r>
        <w:t>14</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25</w:t>
      </w:r>
      <w:r>
        <w:rPr>
          <w:snapToGrid w:val="0"/>
        </w:rPr>
        <w:t>.</w:t>
      </w:r>
      <w:r>
        <w:rPr>
          <w:snapToGrid w:val="0"/>
        </w:rPr>
        <w:tab/>
        <w:t>Removal of vehicles</w:t>
      </w:r>
      <w:r>
        <w:tab/>
      </w:r>
      <w:r>
        <w:fldChar w:fldCharType="begin"/>
      </w:r>
      <w:r>
        <w:instrText xml:space="preserve"> PAGEREF _Toc335663419 \h </w:instrText>
      </w:r>
      <w:r>
        <w:fldChar w:fldCharType="separate"/>
      </w:r>
      <w:r>
        <w:t>15</w:t>
      </w:r>
      <w:r>
        <w:fldChar w:fldCharType="end"/>
      </w:r>
    </w:p>
    <w:p>
      <w:pPr>
        <w:pStyle w:val="TOC8"/>
        <w:rPr>
          <w:sz w:val="24"/>
          <w:szCs w:val="24"/>
          <w:lang w:val="en-US"/>
        </w:rPr>
      </w:pPr>
      <w:r>
        <w:t>26</w:t>
      </w:r>
      <w:r>
        <w:rPr>
          <w:snapToGrid w:val="0"/>
        </w:rPr>
        <w:t>.</w:t>
      </w:r>
      <w:r>
        <w:rPr>
          <w:snapToGrid w:val="0"/>
        </w:rPr>
        <w:tab/>
        <w:t>Registered owner may be treated as being driver or person in charge of vehicle at time of offence</w:t>
      </w:r>
      <w:r>
        <w:tab/>
      </w:r>
      <w:r>
        <w:fldChar w:fldCharType="begin"/>
      </w:r>
      <w:r>
        <w:instrText xml:space="preserve"> PAGEREF _Toc335663420 \h </w:instrText>
      </w:r>
      <w:r>
        <w:fldChar w:fldCharType="separate"/>
      </w:r>
      <w:r>
        <w:t>15</w:t>
      </w:r>
      <w:r>
        <w:fldChar w:fldCharType="end"/>
      </w:r>
    </w:p>
    <w:p>
      <w:pPr>
        <w:pStyle w:val="TOC8"/>
        <w:rPr>
          <w:sz w:val="24"/>
          <w:szCs w:val="24"/>
          <w:lang w:val="en-US"/>
        </w:rPr>
      </w:pPr>
      <w:r>
        <w:t>27</w:t>
      </w:r>
      <w:r>
        <w:rPr>
          <w:snapToGrid w:val="0"/>
        </w:rPr>
        <w:t>.</w:t>
      </w:r>
      <w:r>
        <w:rPr>
          <w:snapToGrid w:val="0"/>
        </w:rPr>
        <w:tab/>
        <w:t>Other offences</w:t>
      </w:r>
      <w:r>
        <w:tab/>
      </w:r>
      <w:r>
        <w:fldChar w:fldCharType="begin"/>
      </w:r>
      <w:r>
        <w:instrText xml:space="preserve"> PAGEREF _Toc335663421 \h </w:instrText>
      </w:r>
      <w:r>
        <w:fldChar w:fldCharType="separate"/>
      </w:r>
      <w:r>
        <w:t>16</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Schedule 2 — Infringement notices and modified penalties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_Toc335663426 \h </w:instrText>
      </w:r>
      <w:r>
        <w:fldChar w:fldCharType="separate"/>
      </w:r>
      <w:r>
        <w:t>23</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1" w:name="_Toc190578183"/>
      <w:bookmarkStart w:id="2" w:name="_Toc278466806"/>
      <w:bookmarkStart w:id="3" w:name="_Toc281462636"/>
      <w:bookmarkStart w:id="4" w:name="_Toc312828105"/>
      <w:bookmarkStart w:id="5" w:name="_Toc329591726"/>
      <w:bookmarkStart w:id="6" w:name="_Toc329593180"/>
      <w:bookmarkStart w:id="7" w:name="_Toc330555954"/>
      <w:bookmarkStart w:id="8" w:name="_Toc330556106"/>
      <w:bookmarkStart w:id="9" w:name="_Toc33566338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335663389"/>
      <w:r>
        <w:rPr>
          <w:rStyle w:val="CharSectno"/>
        </w:rPr>
        <w:t>1</w:t>
      </w:r>
      <w:r>
        <w:rPr>
          <w:snapToGrid w:val="0"/>
        </w:rPr>
        <w:t>.</w:t>
      </w:r>
      <w:r>
        <w:rPr>
          <w:snapToGrid w:val="0"/>
        </w:rPr>
        <w:tab/>
        <w:t>Citation</w:t>
      </w:r>
      <w:bookmarkEnd w:id="10"/>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p>
    <w:p>
      <w:pPr>
        <w:pStyle w:val="Heading5"/>
        <w:rPr>
          <w:snapToGrid w:val="0"/>
        </w:rPr>
      </w:pPr>
      <w:bookmarkStart w:id="11" w:name="_Toc335663390"/>
      <w:r>
        <w:rPr>
          <w:rStyle w:val="CharSectno"/>
        </w:rPr>
        <w:t>2</w:t>
      </w:r>
      <w:r>
        <w:rPr>
          <w:snapToGrid w:val="0"/>
        </w:rPr>
        <w:t>.</w:t>
      </w:r>
      <w:r>
        <w:rPr>
          <w:snapToGrid w:val="0"/>
        </w:rPr>
        <w:tab/>
        <w:t>Commencement</w:t>
      </w:r>
      <w:bookmarkEnd w:id="11"/>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12" w:name="_Toc335663391"/>
      <w:r>
        <w:rPr>
          <w:rStyle w:val="CharSectno"/>
        </w:rPr>
        <w:t>3</w:t>
      </w:r>
      <w:r>
        <w:rPr>
          <w:snapToGrid w:val="0"/>
        </w:rPr>
        <w:t>.</w:t>
      </w:r>
      <w:r>
        <w:rPr>
          <w:snapToGrid w:val="0"/>
        </w:rPr>
        <w:tab/>
        <w:t>Terms used</w:t>
      </w:r>
      <w:bookmarkEnd w:id="12"/>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grounds of the </w:t>
      </w:r>
      <w:smartTag w:uri="urn:schemas-microsoft-com:office:smarttags" w:element="PlaceName">
        <w:r>
          <w:t>Fremantle</w:t>
        </w:r>
      </w:smartTag>
      <w:r>
        <w:t xml:space="preserve"> </w:t>
      </w:r>
      <w:smartTag w:uri="urn:schemas-microsoft-com:office:smarttags" w:element="PlaceType">
        <w:r>
          <w:t>Hospital</w:t>
        </w:r>
      </w:smartTag>
      <w:r>
        <w:t xml:space="preserve"> and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w:t>
      </w:r>
    </w:p>
    <w:p>
      <w:pPr>
        <w:pStyle w:val="Heading2"/>
      </w:pPr>
      <w:bookmarkStart w:id="13" w:name="_Toc190578187"/>
      <w:bookmarkStart w:id="14" w:name="_Toc278466810"/>
      <w:bookmarkStart w:id="15" w:name="_Toc281462640"/>
      <w:bookmarkStart w:id="16" w:name="_Toc312828109"/>
      <w:bookmarkStart w:id="17" w:name="_Toc329591730"/>
      <w:bookmarkStart w:id="18" w:name="_Toc329593184"/>
      <w:bookmarkStart w:id="19" w:name="_Toc330555958"/>
      <w:bookmarkStart w:id="20" w:name="_Toc330556110"/>
      <w:bookmarkStart w:id="21" w:name="_Toc335663392"/>
      <w:r>
        <w:rPr>
          <w:rStyle w:val="CharPartNo"/>
        </w:rPr>
        <w:t>Part 2</w:t>
      </w:r>
      <w:r>
        <w:rPr>
          <w:rStyle w:val="CharDivNo"/>
        </w:rPr>
        <w:t> </w:t>
      </w:r>
      <w:r>
        <w:t>—</w:t>
      </w:r>
      <w:r>
        <w:rPr>
          <w:rStyle w:val="CharDivText"/>
        </w:rPr>
        <w:t> </w:t>
      </w:r>
      <w:r>
        <w:rPr>
          <w:rStyle w:val="CharPartText"/>
        </w:rPr>
        <w:t>Trespass and order</w:t>
      </w:r>
      <w:bookmarkEnd w:id="13"/>
      <w:bookmarkEnd w:id="14"/>
      <w:bookmarkEnd w:id="15"/>
      <w:bookmarkEnd w:id="16"/>
      <w:bookmarkEnd w:id="17"/>
      <w:bookmarkEnd w:id="18"/>
      <w:bookmarkEnd w:id="19"/>
      <w:bookmarkEnd w:id="20"/>
      <w:bookmarkEnd w:id="21"/>
    </w:p>
    <w:p>
      <w:pPr>
        <w:pStyle w:val="Heading5"/>
        <w:rPr>
          <w:snapToGrid w:val="0"/>
        </w:rPr>
      </w:pPr>
      <w:bookmarkStart w:id="22" w:name="_Toc335663393"/>
      <w:r>
        <w:rPr>
          <w:rStyle w:val="CharSectno"/>
        </w:rPr>
        <w:t>4</w:t>
      </w:r>
      <w:r>
        <w:rPr>
          <w:snapToGrid w:val="0"/>
        </w:rPr>
        <w:t>.</w:t>
      </w:r>
      <w:r>
        <w:rPr>
          <w:snapToGrid w:val="0"/>
        </w:rPr>
        <w:tab/>
        <w:t>No entry without cause</w:t>
      </w:r>
      <w:bookmarkEnd w:id="22"/>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23" w:name="_Toc335663394"/>
      <w:r>
        <w:rPr>
          <w:rStyle w:val="CharSectno"/>
        </w:rPr>
        <w:t>5</w:t>
      </w:r>
      <w:r>
        <w:rPr>
          <w:snapToGrid w:val="0"/>
        </w:rPr>
        <w:t>.</w:t>
      </w:r>
      <w:r>
        <w:rPr>
          <w:snapToGrid w:val="0"/>
        </w:rPr>
        <w:tab/>
        <w:t>Directions as to use of certain areas</w:t>
      </w:r>
      <w:bookmarkEnd w:id="23"/>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p>
    <w:p>
      <w:pPr>
        <w:pStyle w:val="Penstart"/>
        <w:rPr>
          <w:snapToGrid w:val="0"/>
        </w:rPr>
      </w:pPr>
      <w:r>
        <w:rPr>
          <w:snapToGrid w:val="0"/>
        </w:rPr>
        <w:tab/>
        <w:t>Penalty: $50.</w:t>
      </w:r>
    </w:p>
    <w:p>
      <w:pPr>
        <w:pStyle w:val="Heading5"/>
        <w:rPr>
          <w:snapToGrid w:val="0"/>
        </w:rPr>
      </w:pPr>
      <w:bookmarkStart w:id="24" w:name="_Toc335663395"/>
      <w:r>
        <w:rPr>
          <w:rStyle w:val="CharSectno"/>
        </w:rPr>
        <w:t>6</w:t>
      </w:r>
      <w:r>
        <w:rPr>
          <w:snapToGrid w:val="0"/>
        </w:rPr>
        <w:t>.</w:t>
      </w:r>
      <w:r>
        <w:rPr>
          <w:snapToGrid w:val="0"/>
        </w:rPr>
        <w:tab/>
        <w:t>Liquor</w:t>
      </w:r>
      <w:bookmarkEnd w:id="24"/>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25" w:name="_Toc335663396"/>
      <w:r>
        <w:rPr>
          <w:rStyle w:val="CharSectno"/>
        </w:rPr>
        <w:t>7</w:t>
      </w:r>
      <w:r>
        <w:t>.</w:t>
      </w:r>
      <w:r>
        <w:tab/>
        <w:t>Smoking</w:t>
      </w:r>
      <w:bookmarkEnd w:id="25"/>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[By-law 7 inserted in Gazette 12 Feb 2008 p. 340.]</w:t>
      </w:r>
    </w:p>
    <w:p>
      <w:pPr>
        <w:pStyle w:val="Heading5"/>
        <w:rPr>
          <w:snapToGrid w:val="0"/>
        </w:rPr>
      </w:pPr>
      <w:bookmarkStart w:id="26" w:name="_Toc335663397"/>
      <w:r>
        <w:rPr>
          <w:rStyle w:val="CharSectno"/>
        </w:rPr>
        <w:t>8</w:t>
      </w:r>
      <w:r>
        <w:rPr>
          <w:snapToGrid w:val="0"/>
        </w:rPr>
        <w:t>.</w:t>
      </w:r>
      <w:r>
        <w:rPr>
          <w:snapToGrid w:val="0"/>
        </w:rPr>
        <w:tab/>
        <w:t>Disorderly persons may be removed from site</w:t>
      </w:r>
      <w:bookmarkEnd w:id="2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uses abusive language; or</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27" w:name="_Toc190578193"/>
      <w:bookmarkStart w:id="28" w:name="_Toc278466816"/>
      <w:bookmarkStart w:id="29" w:name="_Toc281462646"/>
      <w:bookmarkStart w:id="30" w:name="_Toc312828115"/>
      <w:bookmarkStart w:id="31" w:name="_Toc329591736"/>
      <w:bookmarkStart w:id="32" w:name="_Toc329593190"/>
      <w:bookmarkStart w:id="33" w:name="_Toc330555964"/>
      <w:bookmarkStart w:id="34" w:name="_Toc330556116"/>
      <w:bookmarkStart w:id="35" w:name="_Toc335663398"/>
      <w:r>
        <w:rPr>
          <w:rStyle w:val="CharPartNo"/>
        </w:rPr>
        <w:t>Part 3</w:t>
      </w:r>
      <w:r>
        <w:t> — </w:t>
      </w:r>
      <w:r>
        <w:rPr>
          <w:rStyle w:val="CharPartText"/>
        </w:rPr>
        <w:t>Traffic control</w:t>
      </w:r>
      <w:bookmarkEnd w:id="27"/>
      <w:bookmarkEnd w:id="28"/>
      <w:bookmarkEnd w:id="29"/>
      <w:bookmarkEnd w:id="30"/>
      <w:bookmarkEnd w:id="31"/>
      <w:bookmarkEnd w:id="32"/>
      <w:bookmarkEnd w:id="33"/>
      <w:bookmarkEnd w:id="34"/>
      <w:bookmarkEnd w:id="35"/>
    </w:p>
    <w:p>
      <w:pPr>
        <w:pStyle w:val="Heading3"/>
      </w:pPr>
      <w:bookmarkStart w:id="36" w:name="_Toc190578194"/>
      <w:bookmarkStart w:id="37" w:name="_Toc278466817"/>
      <w:bookmarkStart w:id="38" w:name="_Toc281462647"/>
      <w:bookmarkStart w:id="39" w:name="_Toc312828116"/>
      <w:bookmarkStart w:id="40" w:name="_Toc329591737"/>
      <w:bookmarkStart w:id="41" w:name="_Toc329593191"/>
      <w:bookmarkStart w:id="42" w:name="_Toc330555965"/>
      <w:bookmarkStart w:id="43" w:name="_Toc330556117"/>
      <w:bookmarkStart w:id="44" w:name="_Toc335663399"/>
      <w:r>
        <w:rPr>
          <w:rStyle w:val="CharDivNo"/>
        </w:rPr>
        <w:t>Division 1</w:t>
      </w:r>
      <w:r>
        <w:rPr>
          <w:snapToGrid w:val="0"/>
        </w:rPr>
        <w:t> — </w:t>
      </w:r>
      <w:r>
        <w:rPr>
          <w:rStyle w:val="CharDivText"/>
        </w:rPr>
        <w:t>Driving and use of vehicles</w:t>
      </w:r>
      <w:bookmarkEnd w:id="36"/>
      <w:bookmarkEnd w:id="37"/>
      <w:bookmarkEnd w:id="38"/>
      <w:bookmarkEnd w:id="39"/>
      <w:bookmarkEnd w:id="40"/>
      <w:bookmarkEnd w:id="41"/>
      <w:bookmarkEnd w:id="42"/>
      <w:bookmarkEnd w:id="43"/>
      <w:bookmarkEnd w:id="44"/>
    </w:p>
    <w:p>
      <w:pPr>
        <w:pStyle w:val="Heading5"/>
        <w:rPr>
          <w:snapToGrid w:val="0"/>
        </w:rPr>
      </w:pPr>
      <w:bookmarkStart w:id="45" w:name="_Toc335663400"/>
      <w:r>
        <w:rPr>
          <w:rStyle w:val="CharSectno"/>
        </w:rPr>
        <w:t>9</w:t>
      </w:r>
      <w:r>
        <w:rPr>
          <w:snapToGrid w:val="0"/>
        </w:rPr>
        <w:t>.</w:t>
      </w:r>
      <w:r>
        <w:rPr>
          <w:snapToGrid w:val="0"/>
        </w:rPr>
        <w:tab/>
        <w:t>Driving of vehicles</w:t>
      </w:r>
      <w:bookmarkEnd w:id="45"/>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t>Penalty: $50.</w:t>
      </w:r>
    </w:p>
    <w:p>
      <w:pPr>
        <w:pStyle w:val="Heading5"/>
        <w:rPr>
          <w:snapToGrid w:val="0"/>
        </w:rPr>
      </w:pPr>
      <w:bookmarkStart w:id="46" w:name="_Toc335663401"/>
      <w:r>
        <w:rPr>
          <w:rStyle w:val="CharSectno"/>
        </w:rPr>
        <w:t>10</w:t>
      </w:r>
      <w:r>
        <w:rPr>
          <w:snapToGrid w:val="0"/>
        </w:rPr>
        <w:t>.</w:t>
      </w:r>
      <w:r>
        <w:rPr>
          <w:snapToGrid w:val="0"/>
        </w:rPr>
        <w:tab/>
        <w:t>Driver to obey reasonable direction</w:t>
      </w:r>
      <w:bookmarkEnd w:id="46"/>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Penalty: $50.</w:t>
      </w:r>
    </w:p>
    <w:p>
      <w:pPr>
        <w:pStyle w:val="Heading5"/>
        <w:rPr>
          <w:snapToGrid w:val="0"/>
        </w:rPr>
      </w:pPr>
      <w:bookmarkStart w:id="47" w:name="_Toc335663402"/>
      <w:r>
        <w:rPr>
          <w:rStyle w:val="CharSectno"/>
        </w:rPr>
        <w:t>11</w:t>
      </w:r>
      <w:r>
        <w:rPr>
          <w:snapToGrid w:val="0"/>
        </w:rPr>
        <w:t>.</w:t>
      </w:r>
      <w:r>
        <w:rPr>
          <w:snapToGrid w:val="0"/>
        </w:rPr>
        <w:tab/>
        <w:t>Speed limits</w:t>
      </w:r>
      <w:bookmarkEnd w:id="47"/>
    </w:p>
    <w:p>
      <w:pPr>
        <w:pStyle w:val="Subsection"/>
        <w:rPr>
          <w:snapToGrid w:val="0"/>
        </w:rPr>
      </w:pPr>
      <w:r>
        <w:rPr>
          <w:snapToGrid w:val="0"/>
        </w:rPr>
        <w:tab/>
        <w:t>(1)</w:t>
      </w:r>
      <w:r>
        <w:rPr>
          <w:snapToGrid w:val="0"/>
        </w:rPr>
        <w:tab/>
        <w:t>A person must not drive a vehicle on a roadway or parking facility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48" w:name="_Toc335663403"/>
      <w:r>
        <w:rPr>
          <w:rStyle w:val="CharSectno"/>
        </w:rPr>
        <w:t>12</w:t>
      </w:r>
      <w:r>
        <w:rPr>
          <w:snapToGrid w:val="0"/>
        </w:rPr>
        <w:t>.</w:t>
      </w:r>
      <w:r>
        <w:rPr>
          <w:snapToGrid w:val="0"/>
        </w:rPr>
        <w:tab/>
        <w:t>Giving way</w:t>
      </w:r>
      <w:bookmarkEnd w:id="48"/>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49" w:name="_Toc335663404"/>
      <w:r>
        <w:rPr>
          <w:rStyle w:val="CharSectno"/>
        </w:rPr>
        <w:t>13</w:t>
      </w:r>
      <w:r>
        <w:rPr>
          <w:snapToGrid w:val="0"/>
        </w:rPr>
        <w:t>.</w:t>
      </w:r>
      <w:r>
        <w:rPr>
          <w:snapToGrid w:val="0"/>
        </w:rPr>
        <w:tab/>
        <w:t>No instruction or repairs on site</w:t>
      </w:r>
      <w:bookmarkEnd w:id="49"/>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50" w:name="_Toc190578200"/>
      <w:bookmarkStart w:id="51" w:name="_Toc278466823"/>
      <w:bookmarkStart w:id="52" w:name="_Toc281462653"/>
      <w:bookmarkStart w:id="53" w:name="_Toc312828122"/>
      <w:bookmarkStart w:id="54" w:name="_Toc329591743"/>
      <w:bookmarkStart w:id="55" w:name="_Toc329593197"/>
      <w:bookmarkStart w:id="56" w:name="_Toc330555971"/>
      <w:bookmarkStart w:id="57" w:name="_Toc330556123"/>
      <w:bookmarkStart w:id="58" w:name="_Toc335663405"/>
      <w:r>
        <w:rPr>
          <w:rStyle w:val="CharDivNo"/>
        </w:rPr>
        <w:t>Division 2</w:t>
      </w:r>
      <w:r>
        <w:rPr>
          <w:snapToGrid w:val="0"/>
        </w:rPr>
        <w:t> — </w:t>
      </w:r>
      <w:r>
        <w:rPr>
          <w:rStyle w:val="CharDivText"/>
        </w:rPr>
        <w:t>Parking</w:t>
      </w:r>
      <w:bookmarkEnd w:id="50"/>
      <w:bookmarkEnd w:id="51"/>
      <w:bookmarkEnd w:id="52"/>
      <w:bookmarkEnd w:id="53"/>
      <w:bookmarkEnd w:id="54"/>
      <w:bookmarkEnd w:id="55"/>
      <w:bookmarkEnd w:id="56"/>
      <w:bookmarkEnd w:id="57"/>
      <w:bookmarkEnd w:id="58"/>
    </w:p>
    <w:p>
      <w:pPr>
        <w:pStyle w:val="Heading5"/>
        <w:rPr>
          <w:snapToGrid w:val="0"/>
        </w:rPr>
      </w:pPr>
      <w:bookmarkStart w:id="59" w:name="_Toc335663406"/>
      <w:r>
        <w:rPr>
          <w:rStyle w:val="CharSectno"/>
        </w:rPr>
        <w:t>14</w:t>
      </w:r>
      <w:r>
        <w:rPr>
          <w:snapToGrid w:val="0"/>
        </w:rPr>
        <w:t>.</w:t>
      </w:r>
      <w:r>
        <w:rPr>
          <w:snapToGrid w:val="0"/>
        </w:rPr>
        <w:tab/>
        <w:t>Parking to be in parking spaces only</w:t>
      </w:r>
      <w:bookmarkEnd w:id="59"/>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60" w:name="_Toc335663407"/>
      <w:r>
        <w:rPr>
          <w:rStyle w:val="CharSectno"/>
        </w:rPr>
        <w:t>15</w:t>
      </w:r>
      <w:r>
        <w:rPr>
          <w:snapToGrid w:val="0"/>
        </w:rPr>
        <w:t>.</w:t>
      </w:r>
      <w:r>
        <w:rPr>
          <w:snapToGrid w:val="0"/>
        </w:rPr>
        <w:tab/>
        <w:t>Signs to be obeyed</w:t>
      </w:r>
      <w:bookmarkEnd w:id="60"/>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61" w:name="_Toc335663408"/>
      <w:r>
        <w:rPr>
          <w:rStyle w:val="CharSectno"/>
        </w:rPr>
        <w:t>16</w:t>
      </w:r>
      <w:r>
        <w:rPr>
          <w:snapToGrid w:val="0"/>
        </w:rPr>
        <w:t>.</w:t>
      </w:r>
      <w:r>
        <w:rPr>
          <w:snapToGrid w:val="0"/>
        </w:rPr>
        <w:tab/>
        <w:t>Parking in parking spaces</w:t>
      </w:r>
      <w:bookmarkEnd w:id="61"/>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Penalty: $50.00.</w:t>
      </w:r>
    </w:p>
    <w:p>
      <w:pPr>
        <w:pStyle w:val="Subsection"/>
      </w:pPr>
      <w:r>
        <w:tab/>
        <w:t>(5)</w:t>
      </w:r>
      <w:r>
        <w:tab/>
        <w:t>For the purposes of sub</w:t>
      </w:r>
      <w:r>
        <w:noBreakHyphen/>
        <w:t>bylaw (4), the prescribed charge is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w:t>
      </w:r>
    </w:p>
    <w:p>
      <w:pPr>
        <w:pStyle w:val="Heading5"/>
        <w:rPr>
          <w:snapToGrid w:val="0"/>
        </w:rPr>
      </w:pPr>
      <w:bookmarkStart w:id="62" w:name="_Toc335663409"/>
      <w:r>
        <w:rPr>
          <w:rStyle w:val="CharSectno"/>
        </w:rPr>
        <w:t>17</w:t>
      </w:r>
      <w:r>
        <w:rPr>
          <w:snapToGrid w:val="0"/>
        </w:rPr>
        <w:t>.</w:t>
      </w:r>
      <w:r>
        <w:rPr>
          <w:snapToGrid w:val="0"/>
        </w:rPr>
        <w:tab/>
        <w:t>Permit</w:t>
      </w:r>
      <w:bookmarkEnd w:id="62"/>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(2)</w:t>
      </w:r>
      <w:r>
        <w:rPr>
          <w:snapToGrid w:val="0"/>
        </w:rPr>
        <w:tab/>
        <w:t>An application under sub</w:t>
      </w:r>
      <w:r>
        <w:rPr>
          <w:snapToGrid w:val="0"/>
        </w:rPr>
        <w:noBreakHyphen/>
        <w:t>bylaw (1) — </w:t>
      </w:r>
    </w:p>
    <w:p>
      <w:pPr>
        <w:pStyle w:val="Indenta"/>
        <w:rPr>
          <w:snapToGrid w:val="0"/>
        </w:rPr>
      </w:pPr>
      <w:r>
        <w:rPr>
          <w:snapToGrid w:val="0"/>
        </w:rPr>
        <w:tab/>
        <w:t>(a)</w:t>
      </w:r>
      <w:r>
        <w:rPr>
          <w:snapToGrid w:val="0"/>
        </w:rPr>
        <w:tab/>
        <w:t>is to be in a form approved by the chief executive officer; and</w:t>
      </w:r>
    </w:p>
    <w:p>
      <w:pPr>
        <w:pStyle w:val="Indenta"/>
        <w:rPr>
          <w:snapToGrid w:val="0"/>
        </w:rPr>
      </w:pPr>
      <w:r>
        <w:rPr>
          <w:snapToGrid w:val="0"/>
        </w:rPr>
        <w:tab/>
        <w:t>(b)</w:t>
      </w:r>
      <w:r>
        <w:rPr>
          <w:snapToGrid w:val="0"/>
        </w:rPr>
        <w:tab/>
        <w:t>is to be accompanied by the fee set out in Schedule 1 that corresponds to the type of permit for which the application is made.</w:t>
      </w:r>
    </w:p>
    <w:p>
      <w:pPr>
        <w:pStyle w:val="Subsection"/>
        <w:rPr>
          <w:snapToGrid w:val="0"/>
        </w:rPr>
      </w:pPr>
      <w:r>
        <w:rPr>
          <w:snapToGrid w:val="0"/>
        </w:rPr>
        <w:tab/>
        <w:t>(3)</w:t>
      </w:r>
      <w:r>
        <w:rPr>
          <w:snapToGrid w:val="0"/>
        </w:rPr>
        <w:tab/>
        <w:t>The chief executive officer may waive the fee under sub</w:t>
      </w:r>
      <w:r>
        <w:rPr>
          <w:snapToGrid w:val="0"/>
        </w:rPr>
        <w:noBreakHyphen/>
        <w:t>bylaw (2)(b)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(5)</w:t>
      </w:r>
      <w:r>
        <w:rPr>
          <w:snapToGrid w:val="0"/>
        </w:rPr>
        <w:tab/>
        <w:t>A permit may be of general application or be issued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w:t>
      </w:r>
      <w:r>
        <w:rPr>
          <w:snapToGrid w:val="0"/>
        </w:rPr>
        <w:t>may cancel a permit if —</w:t>
      </w:r>
    </w:p>
    <w:p>
      <w:pPr>
        <w:pStyle w:val="Indenta"/>
        <w:rPr>
          <w:snapToGrid w:val="0"/>
        </w:rPr>
      </w:pPr>
      <w:r>
        <w:rPr>
          <w:snapToGrid w:val="0"/>
        </w:rPr>
        <w:tab/>
        <w:t>(a)</w:t>
      </w:r>
      <w:r>
        <w:rPr>
          <w:snapToGrid w:val="0"/>
        </w:rPr>
        <w:tab/>
        <w:t>a vehicle in respect of which the permit is issued is parked on the site in contravention of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w:t>
      </w:r>
      <w:r>
        <w:noBreakHyphen/>
        <w:t>law 17 amended in Gazette 29 Aug 1995 p. 3900; 23 Dec 2011 p. 5425</w:t>
      </w:r>
      <w:r>
        <w:noBreakHyphen/>
        <w:t>6 (disallowed in Gazette 18 Sep 2012 p. 4411).]</w:t>
      </w:r>
    </w:p>
    <w:p>
      <w:pPr>
        <w:pStyle w:val="Heading5"/>
        <w:rPr>
          <w:snapToGrid w:val="0"/>
        </w:rPr>
      </w:pPr>
      <w:bookmarkStart w:id="63" w:name="_Toc335663410"/>
      <w:r>
        <w:rPr>
          <w:rStyle w:val="CharSectno"/>
        </w:rPr>
        <w:t>18</w:t>
      </w:r>
      <w:r>
        <w:rPr>
          <w:snapToGrid w:val="0"/>
        </w:rPr>
        <w:t>.</w:t>
      </w:r>
      <w:r>
        <w:rPr>
          <w:snapToGrid w:val="0"/>
        </w:rPr>
        <w:tab/>
        <w:t>Refund of permit fees</w:t>
      </w:r>
      <w:bookmarkEnd w:id="63"/>
    </w:p>
    <w:p>
      <w:pPr>
        <w:pStyle w:val="Subsection"/>
        <w:rPr>
          <w:snapToGrid w:val="0"/>
        </w:rPr>
      </w:pPr>
      <w:r>
        <w:rPr>
          <w:snapToGrid w:val="0"/>
        </w:rPr>
        <w:tab/>
        <w:t>(1)</w:t>
      </w:r>
      <w:r>
        <w:rPr>
          <w:snapToGrid w:val="0"/>
        </w:rPr>
        <w:tab/>
        <w:t>A fee paid in advance for a permit may be refunded in the manner set out in sub</w:t>
      </w:r>
      <w:r>
        <w:rPr>
          <w:snapToGrid w:val="0"/>
        </w:rPr>
        <w:noBreakHyphen/>
        <w:t>bylaw (2) to a person —</w:t>
      </w:r>
    </w:p>
    <w:p>
      <w:pPr>
        <w:pStyle w:val="Indenta"/>
        <w:spacing w:before="70"/>
        <w:rPr>
          <w:snapToGrid w:val="0"/>
        </w:rPr>
      </w:pPr>
      <w:r>
        <w:rPr>
          <w:snapToGrid w:val="0"/>
        </w:rPr>
        <w:tab/>
        <w:t>(a)</w:t>
      </w:r>
      <w:r>
        <w:rPr>
          <w:snapToGrid w:val="0"/>
        </w:rPr>
        <w:tab/>
        <w:t>who no longer wishes to use the permit; or</w:t>
      </w:r>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p>
    <w:p>
      <w:pPr>
        <w:pStyle w:val="Indenti"/>
        <w:spacing w:before="70"/>
        <w:rPr>
          <w:snapToGrid w:val="0"/>
        </w:rPr>
      </w:pPr>
      <w:r>
        <w:rPr>
          <w:snapToGrid w:val="0"/>
        </w:rPr>
        <w:tab/>
        <w:t>(i)</w:t>
      </w:r>
      <w:r>
        <w:rPr>
          <w:snapToGrid w:val="0"/>
        </w:rPr>
        <w:tab/>
        <w:t>long service leave; or</w:t>
      </w:r>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rPr>
          <w:snapToGrid w:val="0"/>
        </w:rPr>
      </w:pPr>
      <w:r>
        <w:rPr>
          <w:snapToGrid w:val="0"/>
        </w:rPr>
        <w:tab/>
        <w:t>(2)</w:t>
      </w:r>
      <w:r>
        <w:rPr>
          <w:snapToGrid w:val="0"/>
        </w:rPr>
        <w:tab/>
        <w:t>The refund is to be — </w:t>
      </w:r>
    </w:p>
    <w:p>
      <w:pPr>
        <w:pStyle w:val="Indenta"/>
        <w:rPr>
          <w:snapToGrid w:val="0"/>
        </w:rPr>
      </w:pPr>
      <w:r>
        <w:rPr>
          <w:snapToGrid w:val="0"/>
        </w:rPr>
        <w:tab/>
        <w:t>(a)</w:t>
      </w:r>
      <w:r>
        <w:rPr>
          <w:snapToGrid w:val="0"/>
        </w:rPr>
        <w:tab/>
        <w:t>in the case of a person to whom sub</w:t>
      </w:r>
      <w:r>
        <w:rPr>
          <w:snapToGrid w:val="0"/>
        </w:rPr>
        <w:noBreakHyphen/>
        <w:t>bylaw (1)(a) or (b) applies, an amount in the same proportion to the amount of fee paid as is represented by the period of the permit that remains unexpired after the last day the person uses the permit or the last day of employment at the Hospital (as the case may be), in proportion to the period for which the permit was issued; or</w:t>
      </w:r>
    </w:p>
    <w:p>
      <w:pPr>
        <w:pStyle w:val="Indenta"/>
        <w:rPr>
          <w:snapToGrid w:val="0"/>
        </w:rPr>
      </w:pPr>
      <w:r>
        <w:rPr>
          <w:snapToGrid w:val="0"/>
        </w:rPr>
        <w:tab/>
        <w:t>(b)</w:t>
      </w:r>
      <w:r>
        <w:rPr>
          <w:snapToGrid w:val="0"/>
        </w:rPr>
        <w:tab/>
        <w:t>in the case of a person to whom sub</w:t>
      </w:r>
      <w:r>
        <w:rPr>
          <w:snapToGrid w:val="0"/>
        </w:rPr>
        <w:noBreakHyphen/>
        <w:t>bylaw (1)(c) applies, an amount in the same proportion to the amount of fee paid as is represented by the period of leave in proportion to the period for which the permit was issued.</w:t>
      </w:r>
    </w:p>
    <w:p>
      <w:pPr>
        <w:pStyle w:val="Footnotesection"/>
      </w:pPr>
      <w:r>
        <w:tab/>
        <w:t>[By-law 18 amended in Gazette 23 Dec 2011 p. 5426 (disallowed in Gazette 18 Sep 2012 p. 4411).]</w:t>
      </w:r>
    </w:p>
    <w:p>
      <w:pPr>
        <w:pStyle w:val="Heading2"/>
      </w:pPr>
      <w:bookmarkStart w:id="64" w:name="_Toc190578206"/>
      <w:bookmarkStart w:id="65" w:name="_Toc278466829"/>
      <w:bookmarkStart w:id="66" w:name="_Toc281462659"/>
      <w:bookmarkStart w:id="67" w:name="_Toc312828128"/>
      <w:bookmarkStart w:id="68" w:name="_Toc329591749"/>
      <w:bookmarkStart w:id="69" w:name="_Toc329593203"/>
      <w:bookmarkStart w:id="70" w:name="_Toc330555977"/>
      <w:bookmarkStart w:id="71" w:name="_Toc330556129"/>
      <w:bookmarkStart w:id="72" w:name="_Toc335663411"/>
      <w:r>
        <w:rPr>
          <w:rStyle w:val="CharPartNo"/>
        </w:rPr>
        <w:t>Part 4</w:t>
      </w:r>
      <w:r>
        <w:rPr>
          <w:rStyle w:val="CharDivNo"/>
        </w:rPr>
        <w:t> </w:t>
      </w:r>
      <w:r>
        <w:t>—</w:t>
      </w:r>
      <w:r>
        <w:rPr>
          <w:rStyle w:val="CharDivText"/>
        </w:rPr>
        <w:t> </w:t>
      </w:r>
      <w:r>
        <w:rPr>
          <w:rStyle w:val="CharPartText"/>
        </w:rPr>
        <w:t>Infringement notices</w:t>
      </w:r>
      <w:bookmarkEnd w:id="64"/>
      <w:bookmarkEnd w:id="65"/>
      <w:bookmarkEnd w:id="66"/>
      <w:bookmarkEnd w:id="67"/>
      <w:bookmarkEnd w:id="68"/>
      <w:bookmarkEnd w:id="69"/>
      <w:bookmarkEnd w:id="70"/>
      <w:bookmarkEnd w:id="71"/>
      <w:bookmarkEnd w:id="72"/>
    </w:p>
    <w:p>
      <w:pPr>
        <w:pStyle w:val="Heading5"/>
        <w:rPr>
          <w:snapToGrid w:val="0"/>
        </w:rPr>
      </w:pPr>
      <w:bookmarkStart w:id="73" w:name="_Toc335663412"/>
      <w:r>
        <w:rPr>
          <w:rStyle w:val="CharSectno"/>
        </w:rPr>
        <w:t>19</w:t>
      </w:r>
      <w:r>
        <w:rPr>
          <w:snapToGrid w:val="0"/>
        </w:rPr>
        <w:t>.</w:t>
      </w:r>
      <w:r>
        <w:rPr>
          <w:snapToGrid w:val="0"/>
        </w:rPr>
        <w:tab/>
        <w:t>Terms used</w:t>
      </w:r>
      <w:bookmarkEnd w:id="73"/>
    </w:p>
    <w:p>
      <w:pPr>
        <w:pStyle w:val="Subsection"/>
        <w:rPr>
          <w:snapToGrid w:val="0"/>
        </w:rPr>
      </w:pPr>
      <w:r>
        <w:rPr>
          <w:snapToGrid w:val="0"/>
        </w:rPr>
        <w:tab/>
      </w:r>
      <w:r>
        <w:rPr>
          <w:snapToGrid w:val="0"/>
        </w:rPr>
        <w:tab/>
        <w:t>In this Part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74" w:name="_Toc335663413"/>
      <w:r>
        <w:rPr>
          <w:rStyle w:val="CharSectno"/>
        </w:rPr>
        <w:t>20</w:t>
      </w:r>
      <w:r>
        <w:rPr>
          <w:snapToGrid w:val="0"/>
        </w:rPr>
        <w:t>.</w:t>
      </w:r>
      <w:r>
        <w:rPr>
          <w:snapToGrid w:val="0"/>
        </w:rPr>
        <w:tab/>
        <w:t>Infringement notices</w:t>
      </w:r>
      <w:bookmarkEnd w:id="74"/>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have the alleged offence heard and determined by a court, the amount of money specified in the notice as being the modified penalty for the offence may be paid to the cashier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 (disallowed in Gazette 18 Sep 2012 p. 4411).]</w:t>
      </w:r>
    </w:p>
    <w:p>
      <w:pPr>
        <w:pStyle w:val="Heading5"/>
        <w:rPr>
          <w:snapToGrid w:val="0"/>
        </w:rPr>
      </w:pPr>
      <w:bookmarkStart w:id="75" w:name="_Toc335663414"/>
      <w:r>
        <w:rPr>
          <w:rStyle w:val="CharSectno"/>
        </w:rPr>
        <w:t>21</w:t>
      </w:r>
      <w:r>
        <w:rPr>
          <w:snapToGrid w:val="0"/>
        </w:rPr>
        <w:t>.</w:t>
      </w:r>
      <w:r>
        <w:rPr>
          <w:snapToGrid w:val="0"/>
        </w:rPr>
        <w:tab/>
        <w:t>Withdrawal of infringement notice</w:t>
      </w:r>
      <w:bookmarkEnd w:id="75"/>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76" w:name="_Toc335663415"/>
      <w:r>
        <w:rPr>
          <w:rStyle w:val="CharSectno"/>
        </w:rPr>
        <w:t>22</w:t>
      </w:r>
      <w:r>
        <w:rPr>
          <w:snapToGrid w:val="0"/>
        </w:rPr>
        <w:t>.</w:t>
      </w:r>
      <w:r>
        <w:rPr>
          <w:snapToGrid w:val="0"/>
        </w:rPr>
        <w:tab/>
        <w:t>Authorised person to have certificate</w:t>
      </w:r>
      <w:bookmarkEnd w:id="76"/>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77" w:name="_Toc335663416"/>
      <w:r>
        <w:rPr>
          <w:rStyle w:val="CharSectno"/>
        </w:rPr>
        <w:t>23</w:t>
      </w:r>
      <w:r>
        <w:rPr>
          <w:snapToGrid w:val="0"/>
        </w:rPr>
        <w:t>.</w:t>
      </w:r>
      <w:r>
        <w:rPr>
          <w:snapToGrid w:val="0"/>
        </w:rPr>
        <w:tab/>
        <w:t>Authorised persons only to endorse and alter infringement notices</w:t>
      </w:r>
      <w:bookmarkEnd w:id="77"/>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78" w:name="_Toc335663417"/>
      <w:r>
        <w:rPr>
          <w:rStyle w:val="CharSectno"/>
        </w:rPr>
        <w:t>24</w:t>
      </w:r>
      <w:r>
        <w:rPr>
          <w:snapToGrid w:val="0"/>
        </w:rPr>
        <w:t>.</w:t>
      </w:r>
      <w:r>
        <w:rPr>
          <w:snapToGrid w:val="0"/>
        </w:rPr>
        <w:tab/>
        <w:t>Restriction on removal of infringement notices</w:t>
      </w:r>
      <w:bookmarkEnd w:id="78"/>
    </w:p>
    <w:p>
      <w:pPr>
        <w:pStyle w:val="Subsection"/>
        <w:rPr>
          <w:snapToGrid w:val="0"/>
        </w:rPr>
      </w:pPr>
      <w:r>
        <w:rPr>
          <w:snapToGrid w:val="0"/>
        </w:rPr>
        <w:tab/>
      </w:r>
      <w:r>
        <w:rPr>
          <w:snapToGrid w:val="0"/>
        </w:rPr>
        <w:tab/>
        <w:t>A person must not remove an infringement notice that is attached to a vehicle unless the person is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79" w:name="_Toc190578213"/>
      <w:bookmarkStart w:id="80" w:name="_Toc278466836"/>
      <w:bookmarkStart w:id="81" w:name="_Toc281462666"/>
      <w:bookmarkStart w:id="82" w:name="_Toc312828135"/>
      <w:bookmarkStart w:id="83" w:name="_Toc329591756"/>
      <w:bookmarkStart w:id="84" w:name="_Toc329593210"/>
      <w:bookmarkStart w:id="85" w:name="_Toc330555984"/>
      <w:bookmarkStart w:id="86" w:name="_Toc330556136"/>
      <w:bookmarkStart w:id="87" w:name="_Toc335663418"/>
      <w:r>
        <w:rPr>
          <w:rStyle w:val="CharPartNo"/>
        </w:rPr>
        <w:t>Part 5</w:t>
      </w:r>
      <w:r>
        <w:rPr>
          <w:rStyle w:val="CharDivNo"/>
        </w:rPr>
        <w:t> </w:t>
      </w:r>
      <w:r>
        <w:t>—</w:t>
      </w:r>
      <w:r>
        <w:rPr>
          <w:rStyle w:val="CharDivText"/>
        </w:rPr>
        <w:t> </w:t>
      </w:r>
      <w:r>
        <w:rPr>
          <w:rStyle w:val="CharPartText"/>
        </w:rPr>
        <w:t>General</w:t>
      </w:r>
      <w:bookmarkEnd w:id="79"/>
      <w:bookmarkEnd w:id="80"/>
      <w:bookmarkEnd w:id="81"/>
      <w:bookmarkEnd w:id="82"/>
      <w:bookmarkEnd w:id="83"/>
      <w:bookmarkEnd w:id="84"/>
      <w:bookmarkEnd w:id="85"/>
      <w:bookmarkEnd w:id="86"/>
      <w:bookmarkEnd w:id="87"/>
    </w:p>
    <w:p>
      <w:pPr>
        <w:pStyle w:val="Heading5"/>
        <w:rPr>
          <w:snapToGrid w:val="0"/>
        </w:rPr>
      </w:pPr>
      <w:bookmarkStart w:id="88" w:name="_Toc335663419"/>
      <w:r>
        <w:rPr>
          <w:rStyle w:val="CharSectno"/>
        </w:rPr>
        <w:t>25</w:t>
      </w:r>
      <w:r>
        <w:rPr>
          <w:snapToGrid w:val="0"/>
        </w:rPr>
        <w:t>.</w:t>
      </w:r>
      <w:r>
        <w:rPr>
          <w:snapToGrid w:val="0"/>
        </w:rPr>
        <w:tab/>
        <w:t>Removal of vehicles</w:t>
      </w:r>
      <w:bookmarkEnd w:id="88"/>
    </w:p>
    <w:p>
      <w:pPr>
        <w:pStyle w:val="Subsection"/>
        <w:rPr>
          <w:snapToGrid w:val="0"/>
        </w:rPr>
      </w:pPr>
      <w:r>
        <w:rPr>
          <w:snapToGrid w:val="0"/>
        </w:rPr>
        <w:tab/>
        <w:t>(1)</w:t>
      </w:r>
      <w:r>
        <w:rPr>
          <w:snapToGrid w:val="0"/>
        </w:rPr>
        <w:tab/>
        <w:t>The chief executive officer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Fremantle Hospital, fees to recover the vehicle at the rate of $50 for the first 24 hours or part thereof and $5 for each 7 days or part thereof thereafter.</w:t>
      </w:r>
    </w:p>
    <w:p>
      <w:pPr>
        <w:pStyle w:val="Footnotesection"/>
      </w:pPr>
      <w:r>
        <w:tab/>
        <w:t>[By</w:t>
      </w:r>
      <w:r>
        <w:noBreakHyphen/>
        <w:t>law 25 amended in Gazette 23 Dec 2011 p. 5426</w:t>
      </w:r>
      <w:r>
        <w:noBreakHyphen/>
        <w:t>7 (disallowed in Gazette 18 Sep 2012 p. 4411).]</w:t>
      </w:r>
    </w:p>
    <w:p>
      <w:pPr>
        <w:pStyle w:val="Heading5"/>
        <w:rPr>
          <w:snapToGrid w:val="0"/>
        </w:rPr>
      </w:pPr>
      <w:bookmarkStart w:id="89" w:name="_Toc335663420"/>
      <w:r>
        <w:rPr>
          <w:rStyle w:val="CharSectno"/>
        </w:rPr>
        <w:t>26</w:t>
      </w:r>
      <w:r>
        <w:rPr>
          <w:snapToGrid w:val="0"/>
        </w:rPr>
        <w:t>.</w:t>
      </w:r>
      <w:r>
        <w:rPr>
          <w:snapToGrid w:val="0"/>
        </w:rPr>
        <w:tab/>
        <w:t>Registered owner may be treated as being driver or person in charge of vehicle at time of offence</w:t>
      </w:r>
      <w:bookmarkEnd w:id="89"/>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90" w:name="_Toc335663421"/>
      <w:r>
        <w:rPr>
          <w:rStyle w:val="CharSectno"/>
        </w:rPr>
        <w:t>27</w:t>
      </w:r>
      <w:r>
        <w:rPr>
          <w:snapToGrid w:val="0"/>
        </w:rPr>
        <w:t>.</w:t>
      </w:r>
      <w:r>
        <w:rPr>
          <w:snapToGrid w:val="0"/>
        </w:rPr>
        <w:tab/>
        <w:t>Other offences</w:t>
      </w:r>
      <w:bookmarkEnd w:id="90"/>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Ednotepart"/>
      </w:pPr>
      <w:r>
        <w:t>[Part 6 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91" w:name="_Toc281462670"/>
      <w:bookmarkStart w:id="92" w:name="_Toc335663422"/>
      <w:bookmarkStart w:id="93" w:name="_Toc190578218"/>
      <w:bookmarkStart w:id="94" w:name="_Toc278466841"/>
      <w:bookmarkStart w:id="95" w:name="_Toc281462671"/>
      <w:bookmarkStart w:id="96" w:name="_Toc312828139"/>
      <w:bookmarkStart w:id="97" w:name="_Toc329591760"/>
      <w:bookmarkStart w:id="98" w:name="_Toc329593214"/>
      <w:bookmarkStart w:id="99" w:name="_Toc330555988"/>
      <w:bookmarkStart w:id="100" w:name="_Toc330556140"/>
      <w:r>
        <w:rPr>
          <w:rStyle w:val="CharSchNo"/>
        </w:rPr>
        <w:t>Schedule 1</w:t>
      </w:r>
      <w:r>
        <w:t> — </w:t>
      </w:r>
      <w:r>
        <w:rPr>
          <w:rStyle w:val="CharSchText"/>
        </w:rPr>
        <w:t>Fees</w:t>
      </w:r>
      <w:bookmarkEnd w:id="91"/>
      <w:bookmarkEnd w:id="92"/>
    </w:p>
    <w:p>
      <w:pPr>
        <w:pStyle w:val="yShoulderClause"/>
      </w:pPr>
      <w:r>
        <w:t>[bl. 17(2)(b)]</w:t>
      </w:r>
    </w:p>
    <w:p>
      <w:pPr>
        <w:pStyle w:val="yFootnoteheading"/>
        <w:spacing w:after="60"/>
      </w:pPr>
      <w:r>
        <w:tab/>
        <w:t>[Heading inserted in Gazette 26 Nov 2010 p. 5938.]</w:t>
      </w:r>
    </w:p>
    <w:tbl>
      <w:tblPr>
        <w:tblW w:w="0" w:type="auto"/>
        <w:tblInd w:w="786" w:type="dxa"/>
        <w:tblBorders>
          <w:bottom w:val="single" w:sz="4" w:space="0" w:color="auto"/>
        </w:tblBorders>
        <w:tblLayout w:type="fixed"/>
        <w:tblCellMar>
          <w:left w:w="360" w:type="dxa"/>
          <w:right w:w="360" w:type="dxa"/>
        </w:tblCellMar>
        <w:tblLook w:val="0000" w:firstRow="0" w:lastRow="0" w:firstColumn="0" w:lastColumn="0" w:noHBand="0" w:noVBand="0"/>
      </w:tblPr>
      <w:tblGrid>
        <w:gridCol w:w="4394"/>
        <w:gridCol w:w="2126"/>
      </w:tblGrid>
      <w:tr>
        <w:tc>
          <w:tcPr>
            <w:tcW w:w="4394" w:type="dxa"/>
            <w:tcBorders>
              <w:top w:val="single" w:sz="4" w:space="0" w:color="auto"/>
              <w:bottom w:val="single" w:sz="4" w:space="0" w:color="auto"/>
            </w:tcBorders>
          </w:tcPr>
          <w:p>
            <w:pPr>
              <w:pStyle w:val="yTableNAm"/>
              <w:rPr>
                <w:b/>
                <w:bCs/>
              </w:rPr>
            </w:pPr>
            <w:r>
              <w:rPr>
                <w:b/>
                <w:bCs/>
              </w:rPr>
              <w:t>Type of permit</w:t>
            </w:r>
          </w:p>
        </w:tc>
        <w:tc>
          <w:tcPr>
            <w:tcW w:w="2126" w:type="dxa"/>
            <w:tcBorders>
              <w:top w:val="single" w:sz="4" w:space="0" w:color="auto"/>
              <w:bottom w:val="single" w:sz="4" w:space="0" w:color="auto"/>
            </w:tcBorders>
          </w:tcPr>
          <w:p>
            <w:pPr>
              <w:pStyle w:val="yTableNAm"/>
              <w:rPr>
                <w:b/>
                <w:bCs/>
              </w:rPr>
            </w:pPr>
            <w:r>
              <w:rPr>
                <w:b/>
                <w:bCs/>
              </w:rPr>
              <w:t>Fee</w:t>
            </w:r>
          </w:p>
        </w:tc>
      </w:tr>
      <w:tr>
        <w:tc>
          <w:tcPr>
            <w:tcW w:w="4394" w:type="dxa"/>
            <w:tcBorders>
              <w:top w:val="single" w:sz="4" w:space="0" w:color="auto"/>
            </w:tcBorders>
          </w:tcPr>
          <w:p>
            <w:pPr>
              <w:pStyle w:val="yTableNAm"/>
            </w:pPr>
            <w:r>
              <w:t xml:space="preserve">All types of parking permit (per week or part of a week) at </w:t>
            </w:r>
            <w:smartTag w:uri="urn:schemas-microsoft-com:office:smarttags" w:element="PlaceName">
              <w:r>
                <w:t>Fremantle</w:t>
              </w:r>
            </w:smartTag>
            <w:r>
              <w:t xml:space="preserve"> </w:t>
            </w:r>
            <w:smartTag w:uri="urn:schemas-microsoft-com:office:smarttags" w:element="PlaceType">
              <w:r>
                <w:t>Hospital</w:t>
              </w:r>
            </w:smartTag>
            <w:r>
              <w:t xml:space="preserve"> (excluding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tc>
        <w:tc>
          <w:tcPr>
            <w:tcW w:w="2126" w:type="dxa"/>
            <w:tcBorders>
              <w:top w:val="single" w:sz="4" w:space="0" w:color="auto"/>
            </w:tcBorders>
          </w:tcPr>
          <w:p>
            <w:pPr>
              <w:pStyle w:val="yTableNAm"/>
              <w:rPr>
                <w:rStyle w:val="DraftersNotes"/>
              </w:rPr>
            </w:pPr>
            <w:r>
              <w:t>17.00</w:t>
            </w:r>
          </w:p>
        </w:tc>
      </w:tr>
      <w:tr>
        <w:tc>
          <w:tcPr>
            <w:tcW w:w="4394" w:type="dxa"/>
          </w:tcPr>
          <w:p>
            <w:pPr>
              <w:pStyle w:val="yTableNAm"/>
            </w:pPr>
            <w:r>
              <w:t xml:space="preserve">All types of parking permit (per week or part of a week) at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p>
        </w:tc>
        <w:tc>
          <w:tcPr>
            <w:tcW w:w="2126" w:type="dxa"/>
          </w:tcPr>
          <w:p>
            <w:pPr>
              <w:pStyle w:val="yTableNAm"/>
            </w:pPr>
            <w:r>
              <w:t>$2.00</w:t>
            </w:r>
          </w:p>
        </w:tc>
      </w:tr>
    </w:tbl>
    <w:p>
      <w:pPr>
        <w:pStyle w:val="yFootnotesection"/>
      </w:pPr>
      <w:r>
        <w:tab/>
        <w:t>[Schedule 1 inserted in Gazette 26 Nov 2010 p. 5938; amended in Gazette 24 Jun 2011 p. 2505; 23 Dec 2011 p. 5427 (disallowed in Gazette 18 Sep 2012 p. 4411).]</w:t>
      </w:r>
    </w:p>
    <w:p>
      <w:pPr>
        <w:pStyle w:val="yScheduleHeading"/>
      </w:pPr>
      <w:bookmarkStart w:id="101" w:name="_Toc335663423"/>
      <w:r>
        <w:rPr>
          <w:rStyle w:val="CharSchNo"/>
        </w:rPr>
        <w:t>Schedule 2 </w:t>
      </w:r>
      <w:r>
        <w:t>— </w:t>
      </w:r>
      <w:r>
        <w:rPr>
          <w:rStyle w:val="CharSchText"/>
        </w:rPr>
        <w:t>Infringement notices and modified penalties</w:t>
      </w:r>
      <w:bookmarkEnd w:id="93"/>
      <w:bookmarkEnd w:id="94"/>
      <w:bookmarkEnd w:id="95"/>
      <w:bookmarkEnd w:id="96"/>
      <w:bookmarkEnd w:id="97"/>
      <w:bookmarkEnd w:id="98"/>
      <w:bookmarkEnd w:id="99"/>
      <w:bookmarkEnd w:id="100"/>
      <w:bookmarkEnd w:id="101"/>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r>
              <w:t>45</w:t>
            </w:r>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r>
              <w:t>20</w:t>
            </w:r>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r>
              <w:t>20</w:t>
            </w:r>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r>
              <w:t>20</w:t>
            </w:r>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r>
              <w:t>30</w:t>
            </w:r>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rPr>
                <w:lang w:val="en-US"/>
              </w:rPr>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5427</w:t>
      </w:r>
      <w:r>
        <w:noBreakHyphen/>
        <w:t>8 (disallowed in Gazette 18 Sep 2012 p. 4411).]</w:t>
      </w:r>
    </w:p>
    <w:p>
      <w:pPr>
        <w:pStyle w:val="yScheduleHeading"/>
      </w:pPr>
      <w:bookmarkStart w:id="102" w:name="_Toc190578219"/>
      <w:bookmarkStart w:id="103" w:name="_Toc278466842"/>
      <w:bookmarkStart w:id="104" w:name="_Toc281462672"/>
      <w:bookmarkStart w:id="105" w:name="_Toc312828140"/>
      <w:bookmarkStart w:id="106" w:name="_Toc329591761"/>
      <w:bookmarkStart w:id="107" w:name="_Toc329593215"/>
      <w:bookmarkStart w:id="108" w:name="_Toc330555989"/>
      <w:bookmarkStart w:id="109" w:name="_Toc330556141"/>
      <w:bookmarkStart w:id="110" w:name="_Toc335663424"/>
      <w:r>
        <w:rPr>
          <w:rStyle w:val="CharSchNo"/>
        </w:rPr>
        <w:t>Schedule 3</w:t>
      </w:r>
      <w:bookmarkEnd w:id="102"/>
      <w:bookmarkEnd w:id="103"/>
      <w:bookmarkEnd w:id="104"/>
      <w:bookmarkEnd w:id="105"/>
      <w:bookmarkEnd w:id="106"/>
      <w:bookmarkEnd w:id="107"/>
      <w:bookmarkEnd w:id="108"/>
      <w:bookmarkEnd w:id="109"/>
      <w:bookmarkEnd w:id="110"/>
      <w:r>
        <w:rPr>
          <w:rStyle w:val="CharSchText"/>
        </w:rPr>
        <w:t xml:space="preserve"> </w:t>
      </w:r>
    </w:p>
    <w:p>
      <w:pPr>
        <w:pStyle w:val="yShoulderClause"/>
        <w:rPr>
          <w:snapToGrid w:val="0"/>
        </w:rPr>
      </w:pPr>
      <w:r>
        <w:rPr>
          <w:snapToGrid w:val="0"/>
        </w:rPr>
        <w:t>[By</w:t>
      </w:r>
      <w:r>
        <w:rPr>
          <w:snapToGrid w:val="0"/>
        </w:rPr>
        <w:noBreakHyphen/>
        <w:t>laws 20(3) and 21]</w:t>
      </w:r>
    </w:p>
    <w:p>
      <w:pPr>
        <w:pStyle w:val="MiscellaneousHeading"/>
        <w:rPr>
          <w:snapToGrid w:val="0"/>
        </w:rPr>
      </w:pPr>
      <w:r>
        <w:rPr>
          <w:snapToGrid w:val="0"/>
        </w:rPr>
        <w:t>FORM 1</w:t>
      </w:r>
    </w:p>
    <w:p>
      <w:pPr>
        <w:pStyle w:val="yShoulderClause"/>
        <w:spacing w:before="0"/>
        <w:rPr>
          <w:snapToGrid w:val="0"/>
        </w:rPr>
      </w:pPr>
      <w:r>
        <w:rPr>
          <w:snapToGrid w:val="0"/>
        </w:rPr>
        <w:t>[By</w:t>
      </w:r>
      <w:r>
        <w:rPr>
          <w:snapToGrid w:val="0"/>
        </w:rPr>
        <w:noBreakHyphen/>
        <w:t>law 20(3)]</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tabs>
          <w:tab w:val="left" w:pos="1701"/>
          <w:tab w:val="left" w:pos="5103"/>
        </w:tabs>
        <w:rPr>
          <w:snapToGrid w:val="0"/>
        </w:rPr>
      </w:pPr>
      <w:r>
        <w:rPr>
          <w:snapToGrid w:val="0"/>
        </w:rPr>
        <w:tab/>
      </w:r>
      <w:r>
        <w:rPr>
          <w:b/>
          <w:snapToGrid w:val="0"/>
        </w:rPr>
        <w:t>INFRINGEMENT NOTICE</w:t>
      </w:r>
      <w:r>
        <w:rPr>
          <w:snapToGrid w:val="0"/>
        </w:rPr>
        <w:tab/>
        <w:t>No. .............</w:t>
      </w:r>
    </w:p>
    <w:p>
      <w:pPr>
        <w:pStyle w:val="yTable"/>
        <w:jc w:val="right"/>
        <w:rPr>
          <w:snapToGrid w:val="0"/>
        </w:rPr>
      </w:pPr>
      <w:r>
        <w:rPr>
          <w:snapToGrid w:val="0"/>
        </w:rPr>
        <w:t>Date of service ....../....../......</w:t>
      </w:r>
    </w:p>
    <w:p>
      <w:pPr>
        <w:pStyle w:val="yTable"/>
        <w:rPr>
          <w:snapToGrid w:val="0"/>
        </w:rPr>
      </w:pPr>
      <w:r>
        <w:rPr>
          <w:snapToGrid w:val="0"/>
        </w:rPr>
        <w:t>TO: THE OWNER / DRIVER / PERSON IN CHARGE OF VEHICLE</w:t>
      </w:r>
    </w:p>
    <w:p>
      <w:pPr>
        <w:pStyle w:val="yTable"/>
        <w:rPr>
          <w:snapToGrid w:val="0"/>
        </w:rPr>
      </w:pPr>
      <w:r>
        <w:rPr>
          <w:snapToGrid w:val="0"/>
        </w:rPr>
        <w:t>MAKE .................................................. TYPE ......................................................</w:t>
      </w:r>
    </w:p>
    <w:p>
      <w:pPr>
        <w:pStyle w:val="yTable"/>
        <w:rPr>
          <w:snapToGrid w:val="0"/>
        </w:rPr>
      </w:pPr>
      <w:r>
        <w:rPr>
          <w:snapToGrid w:val="0"/>
        </w:rPr>
        <w:t>PLATE NO. ........................................... COLOUR ..............................................</w:t>
      </w:r>
    </w:p>
    <w:p>
      <w:pPr>
        <w:pStyle w:val="yTable"/>
        <w:rPr>
          <w:snapToGrid w:val="0"/>
        </w:rPr>
      </w:pPr>
      <w:r>
        <w:rPr>
          <w:snapToGrid w:val="0"/>
        </w:rPr>
        <w:t>IT IS ALLEGED THAT AT ABOUT ....... HRS ON THE ................... DAY OF ............................, 20....... YOU CONTRAVENED THE BY</w:t>
      </w:r>
      <w:r>
        <w:rPr>
          <w:snapToGrid w:val="0"/>
        </w:rPr>
        <w:noBreakHyphen/>
        <w:t>LAW SPECIFIED AND BRIEFLY DESCRIBED AS FOLLOWS:</w:t>
      </w:r>
    </w:p>
    <w:p>
      <w:pPr>
        <w:pStyle w:val="yTable"/>
        <w:rPr>
          <w:snapToGrid w:val="0"/>
        </w:rPr>
      </w:pPr>
    </w:p>
    <w:p>
      <w:pPr>
        <w:pStyle w:val="yTable"/>
        <w:rPr>
          <w:snapToGrid w:val="0"/>
        </w:rPr>
      </w:pP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 xml:space="preserve">Authorised person </w:t>
      </w:r>
    </w:p>
    <w:p>
      <w:pPr>
        <w:pStyle w:val="yTable"/>
        <w:rPr>
          <w:snapToGrid w:val="0"/>
        </w:rPr>
      </w:pPr>
      <w:r>
        <w:rPr>
          <w:snapToGrid w:val="0"/>
        </w:rPr>
        <w:t>BY</w:t>
      </w:r>
      <w:r>
        <w:rPr>
          <w:snapToGrid w:val="0"/>
        </w:rPr>
        <w:noBreakHyphen/>
        <w:t>LAW NO. ........................................................................................................</w:t>
      </w:r>
    </w:p>
    <w:p>
      <w:pPr>
        <w:pStyle w:val="yTable"/>
        <w:rPr>
          <w:snapToGrid w:val="0"/>
        </w:rPr>
      </w:pPr>
      <w:r>
        <w:rPr>
          <w:snapToGrid w:val="0"/>
        </w:rPr>
        <w:t>DESCRIPTION OF OFFENCE .............................................................................</w:t>
      </w:r>
    </w:p>
    <w:p>
      <w:pPr>
        <w:pStyle w:val="yTable"/>
        <w:spacing w:before="0"/>
        <w:rPr>
          <w:snapToGrid w:val="0"/>
        </w:rPr>
      </w:pPr>
      <w:r>
        <w:rPr>
          <w:snapToGrid w:val="0"/>
        </w:rPr>
        <w:t>.................................................................................................................................</w:t>
      </w:r>
    </w:p>
    <w:p>
      <w:pPr>
        <w:pStyle w:val="yTable"/>
        <w:rPr>
          <w:snapToGrid w:val="0"/>
        </w:rPr>
      </w:pPr>
      <w:r>
        <w:rPr>
          <w:snapToGrid w:val="0"/>
        </w:rPr>
        <w:t>MODIFIED PENALTY .........................................................................................</w:t>
      </w:r>
    </w:p>
    <w:p>
      <w:pPr>
        <w:pStyle w:val="yTable"/>
        <w:rPr>
          <w:snapToGrid w:val="0"/>
        </w:rPr>
      </w:pPr>
      <w:r>
        <w:rPr>
          <w:snapToGrid w:val="0"/>
        </w:rPr>
        <w:t>You may dispose of this matter either — </w:t>
      </w:r>
    </w:p>
    <w:p>
      <w:pPr>
        <w:pStyle w:val="yTable"/>
        <w:ind w:left="567" w:hanging="567"/>
        <w:rPr>
          <w:snapToGrid w:val="0"/>
        </w:rPr>
      </w:pPr>
      <w:r>
        <w:rPr>
          <w:snapToGrid w:val="0"/>
        </w:rPr>
        <w:t>(a)</w:t>
      </w:r>
      <w:r>
        <w:rPr>
          <w:snapToGrid w:val="0"/>
        </w:rPr>
        <w:tab/>
        <w:t>by paying the modified penalty within 28 days of the date you received this notice, or such further time as an authorised person allows, to the Cashier/Security and Parking Section, Fremantle Hospital, ‘F’ Block, Level 3; or</w:t>
      </w:r>
    </w:p>
    <w:p>
      <w:pPr>
        <w:pStyle w:val="yTable"/>
        <w:ind w:left="567" w:hanging="567"/>
        <w:rPr>
          <w:snapToGrid w:val="0"/>
        </w:rPr>
      </w:pPr>
      <w:r>
        <w:rPr>
          <w:snapToGrid w:val="0"/>
        </w:rPr>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keepNext/>
        <w:rPr>
          <w:snapToGrid w:val="0"/>
        </w:rPr>
      </w:pPr>
      <w:r>
        <w:rPr>
          <w:snapToGrid w:val="0"/>
        </w:rPr>
        <w:t>Payment of the modified penalty is not to be regarded as an admission for the purposes of any proceedings, whether civil or criminal. Retain the receipt for proof of payment.</w:t>
      </w:r>
    </w:p>
    <w:p>
      <w:pPr>
        <w:pStyle w:val="yTable"/>
        <w:keepNext/>
        <w:rPr>
          <w:snapToGrid w:val="0"/>
        </w:rPr>
      </w:pPr>
      <w:r>
        <w:rPr>
          <w:snapToGrid w:val="0"/>
        </w:rPr>
        <w:t>Date ......./......./.......</w:t>
      </w:r>
    </w:p>
    <w:p>
      <w:pPr>
        <w:pStyle w:val="yTable"/>
        <w:rPr>
          <w:snapToGrid w:val="0"/>
        </w:rPr>
      </w:pPr>
      <w:r>
        <w:rPr>
          <w:snapToGrid w:val="0"/>
        </w:rPr>
        <w:t>Received from ........................................................................................................</w:t>
      </w:r>
      <w:r>
        <w:rPr>
          <w:snapToGrid w:val="0"/>
        </w:rPr>
        <w:br/>
        <w:t>of ............................................................................................................................</w:t>
      </w:r>
      <w:r>
        <w:rPr>
          <w:snapToGrid w:val="0"/>
        </w:rPr>
        <w:br/>
        <w:t>the sum of $................. in payment of the modified penalty referred to above.</w:t>
      </w:r>
    </w:p>
    <w:p>
      <w:pPr>
        <w:pStyle w:val="yTable"/>
        <w:jc w:val="right"/>
        <w:rPr>
          <w:snapToGrid w:val="0"/>
        </w:rPr>
      </w:pPr>
      <w:r>
        <w:rPr>
          <w:snapToGrid w:val="0"/>
        </w:rPr>
        <w:t>.................................................................................</w:t>
      </w:r>
    </w:p>
    <w:p>
      <w:pPr>
        <w:pStyle w:val="yFootnotesection"/>
      </w:pPr>
      <w:r>
        <w:tab/>
        <w:t>[Form 1 inserted in Gazette 23 Dec 2011 p. 5428</w:t>
      </w:r>
      <w:r>
        <w:noBreakHyphen/>
        <w:t>9 (disallowed in Gazette 18 Sep 2012 p. 4411).]</w:t>
      </w:r>
    </w:p>
    <w:p>
      <w:pPr>
        <w:pStyle w:val="yMiscellaneousHeading"/>
        <w:pageBreakBefore/>
        <w:rPr>
          <w:snapToGrid w:val="0"/>
        </w:rPr>
      </w:pPr>
      <w:r>
        <w:rPr>
          <w:snapToGrid w:val="0"/>
        </w:rPr>
        <w:t>FORM 2</w:t>
      </w:r>
    </w:p>
    <w:p>
      <w:pPr>
        <w:pStyle w:val="yShoulderClause"/>
        <w:spacing w:before="0"/>
        <w:rPr>
          <w:snapToGrid w:val="0"/>
        </w:rPr>
      </w:pPr>
      <w:r>
        <w:rPr>
          <w:snapToGrid w:val="0"/>
        </w:rPr>
        <w:t>[By</w:t>
      </w:r>
      <w:r>
        <w:rPr>
          <w:snapToGrid w:val="0"/>
        </w:rPr>
        <w:noBreakHyphen/>
        <w:t>law 21]</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rPr>
          <w:b/>
          <w:snapToGrid w:val="0"/>
        </w:rPr>
      </w:pPr>
      <w:r>
        <w:rPr>
          <w:b/>
          <w:snapToGrid w:val="0"/>
        </w:rPr>
        <w:t>WITHDRAWAL OF INFRINGEMENT NOTICE</w:t>
      </w:r>
    </w:p>
    <w:p>
      <w:pPr>
        <w:pStyle w:val="yMiscellaneousBody"/>
        <w:rPr>
          <w:snapToGrid w:val="0"/>
        </w:rPr>
      </w:pPr>
      <w:r>
        <w:rPr>
          <w:snapToGrid w:val="0"/>
        </w:rPr>
        <w:t>Date ....../....../......</w:t>
      </w:r>
    </w:p>
    <w:p>
      <w:pPr>
        <w:pStyle w:val="yMiscellaneousBody"/>
        <w:rPr>
          <w:snapToGrid w:val="0"/>
        </w:rPr>
      </w:pPr>
      <w:r>
        <w:rPr>
          <w:snapToGrid w:val="0"/>
        </w:rPr>
        <w:t>To: ..........................................................................................................................</w:t>
      </w:r>
    </w:p>
    <w:p>
      <w:pPr>
        <w:pStyle w:val="yMiscellaneousBody"/>
        <w:rPr>
          <w:snapToGrid w:val="0"/>
        </w:rPr>
      </w:pPr>
      <w:r>
        <w:rPr>
          <w:snapToGrid w:val="0"/>
        </w:rPr>
        <w:t>of ............................................................................................................................</w:t>
      </w:r>
    </w:p>
    <w:p>
      <w:pPr>
        <w:pStyle w:val="yMiscellaneousBody"/>
        <w:rPr>
          <w:snapToGrid w:val="0"/>
        </w:rPr>
      </w:pPr>
      <w:r>
        <w:rPr>
          <w:snapToGrid w:val="0"/>
        </w:rPr>
        <w:t>Infringement notice no. ................. served on you on the ......... day of ..............., ................. for the alleged offence of ..................................................................... ................................................................................................................................ is hereby withdrawn and no further action will be taken against you in respect of the alleged offence.</w:t>
      </w:r>
    </w:p>
    <w:p>
      <w:pPr>
        <w:pStyle w:val="yMiscellaneousBody"/>
        <w:rPr>
          <w:snapToGrid w:val="0"/>
        </w:rPr>
      </w:pPr>
      <w:r>
        <w:rPr>
          <w:snapToGrid w:val="0"/>
        </w:rPr>
        <w:t xml:space="preserve">If you have paid the modified penalty before receiving this notice, the amount of the payment will be refunded to you on presentation of the receipt issued by the cashier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for the payment.</w:t>
      </w:r>
    </w:p>
    <w:p>
      <w:pPr>
        <w:pStyle w:val="yMiscellaneousBody"/>
        <w:jc w:val="right"/>
        <w:rPr>
          <w:snapToGrid w:val="0"/>
        </w:rPr>
      </w:pPr>
      <w:r>
        <w:rPr>
          <w:snapToGrid w:val="0"/>
        </w:rPr>
        <w:t>.....................................................................</w:t>
      </w:r>
      <w:r>
        <w:rPr>
          <w:snapToGrid w:val="0"/>
        </w:rPr>
        <w:br/>
        <w:t>Authorised person under by</w:t>
      </w:r>
      <w:r>
        <w:rPr>
          <w:snapToGrid w:val="0"/>
        </w:rPr>
        <w:noBreakHyphen/>
        <w:t>law 21</w:t>
      </w:r>
    </w:p>
    <w:p>
      <w:pPr>
        <w:pStyle w:val="yFootnotesection"/>
      </w:pPr>
      <w:r>
        <w:tab/>
        <w:t>[Form 2 amended in Gazette 29 Aug 1995 p. 3901.]</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11" w:name="_Toc190578220"/>
      <w:bookmarkStart w:id="112" w:name="_Toc278466843"/>
      <w:bookmarkStart w:id="113" w:name="_Toc281462673"/>
      <w:bookmarkStart w:id="114" w:name="_Toc312828141"/>
      <w:bookmarkStart w:id="115" w:name="_Toc329591762"/>
      <w:bookmarkStart w:id="116" w:name="_Toc329593216"/>
      <w:bookmarkStart w:id="117" w:name="_Toc330555990"/>
      <w:bookmarkStart w:id="118" w:name="_Toc330556142"/>
      <w:bookmarkStart w:id="119" w:name="_Toc335663425"/>
      <w:r>
        <w:t>Notes</w:t>
      </w:r>
      <w:bookmarkEnd w:id="111"/>
      <w:bookmarkEnd w:id="112"/>
      <w:bookmarkEnd w:id="113"/>
      <w:bookmarkEnd w:id="114"/>
      <w:bookmarkEnd w:id="115"/>
      <w:bookmarkEnd w:id="116"/>
      <w:bookmarkEnd w:id="117"/>
      <w:bookmarkEnd w:id="118"/>
      <w:bookmarkEnd w:id="119"/>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Fremantle</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By</w:t>
      </w:r>
      <w:r>
        <w:rPr>
          <w:i/>
          <w:noProof/>
          <w:snapToGrid w:val="0"/>
        </w:rPr>
        <w:noBreakHyphen/>
        <w:t>laws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0" w:name="_Toc335663426"/>
      <w:r>
        <w:rPr>
          <w:snapToGrid w:val="0"/>
        </w:rPr>
        <w:t>Compilation table</w:t>
      </w:r>
      <w:bookmarkEnd w:id="1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By</w:t>
            </w:r>
            <w:r>
              <w:rPr>
                <w:i/>
                <w:sz w:val="19"/>
              </w:rPr>
              <w:noBreakHyphen/>
              <w:t>laws 1992</w:t>
            </w:r>
          </w:p>
        </w:tc>
        <w:tc>
          <w:tcPr>
            <w:tcW w:w="1276" w:type="dxa"/>
          </w:tcPr>
          <w:p>
            <w:pPr>
              <w:pStyle w:val="nTable"/>
              <w:spacing w:after="40"/>
              <w:rPr>
                <w:sz w:val="19"/>
              </w:rPr>
            </w:pPr>
            <w:r>
              <w:rPr>
                <w:sz w:val="19"/>
              </w:rPr>
              <w:t>28 Jul 1992 p. 3680</w:t>
            </w:r>
            <w:r>
              <w:rPr>
                <w:sz w:val="19"/>
              </w:rPr>
              <w:noBreakHyphen/>
              <w:t>91</w:t>
            </w:r>
          </w:p>
        </w:tc>
        <w:tc>
          <w:tcPr>
            <w:tcW w:w="2693" w:type="dxa"/>
          </w:tcPr>
          <w:p>
            <w:pPr>
              <w:pStyle w:val="nTable"/>
              <w:spacing w:after="40"/>
              <w:rPr>
                <w:sz w:val="19"/>
              </w:rPr>
            </w:pPr>
            <w:r>
              <w:rPr>
                <w:sz w:val="19"/>
              </w:rPr>
              <w:t>1 Aug 1992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1992</w:t>
            </w:r>
          </w:p>
        </w:tc>
        <w:tc>
          <w:tcPr>
            <w:tcW w:w="1276" w:type="dxa"/>
          </w:tcPr>
          <w:p>
            <w:pPr>
              <w:pStyle w:val="nTable"/>
              <w:spacing w:after="40"/>
              <w:rPr>
                <w:sz w:val="19"/>
              </w:rPr>
            </w:pPr>
            <w:r>
              <w:rPr>
                <w:sz w:val="19"/>
              </w:rPr>
              <w:t>8 Dec 1992 p. 5934</w:t>
            </w:r>
          </w:p>
        </w:tc>
        <w:tc>
          <w:tcPr>
            <w:tcW w:w="2693" w:type="dxa"/>
          </w:tcPr>
          <w:p>
            <w:pPr>
              <w:pStyle w:val="nTable"/>
              <w:spacing w:after="40"/>
              <w:rPr>
                <w:sz w:val="19"/>
              </w:rPr>
            </w:pPr>
            <w:r>
              <w:rPr>
                <w:sz w:val="19"/>
              </w:rPr>
              <w:t>1 Jan 1993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1995</w:t>
            </w:r>
          </w:p>
        </w:tc>
        <w:tc>
          <w:tcPr>
            <w:tcW w:w="1276" w:type="dxa"/>
          </w:tcPr>
          <w:p>
            <w:pPr>
              <w:pStyle w:val="nTable"/>
              <w:spacing w:after="40"/>
              <w:rPr>
                <w:sz w:val="19"/>
              </w:rPr>
            </w:pPr>
            <w:r>
              <w:rPr>
                <w:sz w:val="19"/>
              </w:rPr>
              <w:t>29 Aug 1995 p. 3899</w:t>
            </w:r>
            <w:r>
              <w:rPr>
                <w:sz w:val="19"/>
              </w:rPr>
              <w:noBreakHyphen/>
              <w:t>901</w:t>
            </w:r>
          </w:p>
        </w:tc>
        <w:tc>
          <w:tcPr>
            <w:tcW w:w="2693" w:type="dxa"/>
          </w:tcPr>
          <w:p>
            <w:pPr>
              <w:pStyle w:val="nTable"/>
              <w:spacing w:after="40"/>
              <w:rPr>
                <w:sz w:val="19"/>
              </w:rPr>
            </w:pPr>
            <w:r>
              <w:rPr>
                <w:sz w:val="19"/>
              </w:rPr>
              <w:t>1 Sep 1995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1998</w:t>
            </w:r>
          </w:p>
        </w:tc>
        <w:tc>
          <w:tcPr>
            <w:tcW w:w="1276" w:type="dxa"/>
          </w:tcPr>
          <w:p>
            <w:pPr>
              <w:pStyle w:val="nTable"/>
              <w:spacing w:after="40"/>
              <w:rPr>
                <w:sz w:val="19"/>
              </w:rPr>
            </w:pPr>
            <w:r>
              <w:rPr>
                <w:sz w:val="19"/>
              </w:rPr>
              <w:t>10 Jul 1998 p. 3634</w:t>
            </w:r>
          </w:p>
        </w:tc>
        <w:tc>
          <w:tcPr>
            <w:tcW w:w="2693" w:type="dxa"/>
          </w:tcPr>
          <w:p>
            <w:pPr>
              <w:pStyle w:val="nTable"/>
              <w:spacing w:after="40"/>
              <w:rPr>
                <w:sz w:val="19"/>
              </w:rPr>
            </w:pPr>
            <w:r>
              <w:rPr>
                <w:sz w:val="19"/>
              </w:rPr>
              <w:t>10 Jul 1998</w:t>
            </w:r>
          </w:p>
        </w:tc>
      </w:tr>
      <w:tr>
        <w:trPr>
          <w:cantSplit/>
        </w:trPr>
        <w:tc>
          <w:tcPr>
            <w:tcW w:w="7088" w:type="dxa"/>
            <w:gridSpan w:val="3"/>
          </w:tcPr>
          <w:p>
            <w:pPr>
              <w:pStyle w:val="nTable"/>
              <w:spacing w:after="40"/>
              <w:rPr>
                <w:sz w:val="19"/>
              </w:rPr>
            </w:pPr>
            <w:r>
              <w:rPr>
                <w:b/>
                <w:sz w:val="19"/>
              </w:rPr>
              <w:t xml:space="preserve">Reprint 1: The </w:t>
            </w:r>
            <w:smartTag w:uri="urn:schemas-microsoft-com:office:smarttags" w:element="place">
              <w:smartTag w:uri="urn:schemas-microsoft-com:office:smarttags" w:element="PlaceName">
                <w:r>
                  <w:rPr>
                    <w:b/>
                    <w:i/>
                    <w:sz w:val="19"/>
                  </w:rPr>
                  <w:t>Fremantle</w:t>
                </w:r>
              </w:smartTag>
              <w:r>
                <w:rPr>
                  <w:b/>
                  <w:i/>
                  <w:sz w:val="19"/>
                </w:rPr>
                <w:t xml:space="preserve"> </w:t>
              </w:r>
              <w:smartTag w:uri="urn:schemas-microsoft-com:office:smarttags" w:element="PlaceType">
                <w:r>
                  <w:rPr>
                    <w:b/>
                    <w:i/>
                    <w:sz w:val="19"/>
                  </w:rPr>
                  <w:t>Hospital</w:t>
                </w:r>
              </w:smartTag>
            </w:smartTag>
            <w:r>
              <w:rPr>
                <w:b/>
                <w:i/>
                <w:sz w:val="19"/>
              </w:rPr>
              <w:t xml:space="preserve"> By</w:t>
            </w:r>
            <w:r>
              <w:rPr>
                <w:b/>
                <w:i/>
                <w:sz w:val="19"/>
              </w:rPr>
              <w:noBreakHyphen/>
              <w:t xml:space="preserve">laws 1992 </w:t>
            </w:r>
            <w:r>
              <w:rPr>
                <w:b/>
                <w:sz w:val="19"/>
              </w:rPr>
              <w:t>as at 25 Jul 2003</w:t>
            </w:r>
            <w:r>
              <w:rPr>
                <w:sz w:val="19"/>
              </w:rPr>
              <w:t xml:space="preserve"> (includes amendments listed above)</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2004</w:t>
            </w:r>
          </w:p>
        </w:tc>
        <w:tc>
          <w:tcPr>
            <w:tcW w:w="1276" w:type="dxa"/>
          </w:tcPr>
          <w:p>
            <w:pPr>
              <w:pStyle w:val="nTable"/>
              <w:spacing w:after="40"/>
              <w:rPr>
                <w:sz w:val="19"/>
              </w:rPr>
            </w:pPr>
            <w:r>
              <w:rPr>
                <w:sz w:val="19"/>
              </w:rPr>
              <w:t>29 Jun 2004 p. 2528-9</w:t>
            </w:r>
          </w:p>
        </w:tc>
        <w:tc>
          <w:tcPr>
            <w:tcW w:w="2693" w:type="dxa"/>
          </w:tcPr>
          <w:p>
            <w:pPr>
              <w:pStyle w:val="nTable"/>
              <w:spacing w:after="40"/>
              <w:rPr>
                <w:sz w:val="19"/>
              </w:rPr>
            </w:pPr>
            <w:r>
              <w:rPr>
                <w:sz w:val="19"/>
              </w:rPr>
              <w:t>1 Jul 2004 (see bl. 2)</w:t>
            </w:r>
          </w:p>
        </w:tc>
      </w:tr>
      <w:tr>
        <w:tc>
          <w:tcPr>
            <w:tcW w:w="3119" w:type="dxa"/>
          </w:tcPr>
          <w:p>
            <w:pPr>
              <w:pStyle w:val="nTable"/>
              <w:spacing w:after="40"/>
              <w:rPr>
                <w:i/>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2008</w:t>
            </w:r>
          </w:p>
        </w:tc>
        <w:tc>
          <w:tcPr>
            <w:tcW w:w="1276" w:type="dxa"/>
          </w:tcPr>
          <w:p>
            <w:pPr>
              <w:pStyle w:val="nTable"/>
              <w:spacing w:after="40"/>
              <w:rPr>
                <w:sz w:val="19"/>
              </w:rPr>
            </w:pPr>
            <w:r>
              <w:rPr>
                <w:sz w:val="19"/>
              </w:rPr>
              <w:t>12 Feb 2008 p. 340</w:t>
            </w:r>
          </w:p>
        </w:tc>
        <w:tc>
          <w:tcPr>
            <w:tcW w:w="2693" w:type="dxa"/>
          </w:tcPr>
          <w:p>
            <w:pPr>
              <w:pStyle w:val="nTable"/>
              <w:spacing w:after="40"/>
              <w:rPr>
                <w:sz w:val="19"/>
              </w:rPr>
            </w:pPr>
            <w:r>
              <w:rPr>
                <w:snapToGrid w:val="0"/>
                <w:sz w:val="19"/>
                <w:lang w:val="en-US"/>
              </w:rPr>
              <w:t>bl. 1 and 2: 12 Feb 2008 (see bl. 2(a));</w:t>
            </w:r>
            <w:r>
              <w:rPr>
                <w:snapToGrid w:val="0"/>
                <w:sz w:val="19"/>
                <w:lang w:val="en-US"/>
              </w:rPr>
              <w:br/>
              <w:t>By</w:t>
            </w:r>
            <w:r>
              <w:rPr>
                <w:snapToGrid w:val="0"/>
                <w:sz w:val="19"/>
                <w:lang w:val="en-US"/>
              </w:rPr>
              <w:noBreakHyphen/>
              <w:t>laws other than bl. 1 and 2: 13 Feb 2008 (see bl. 2(b))</w:t>
            </w:r>
          </w:p>
        </w:tc>
      </w:tr>
      <w:tr>
        <w:tc>
          <w:tcPr>
            <w:tcW w:w="3119" w:type="dxa"/>
          </w:tcPr>
          <w:p>
            <w:pPr>
              <w:pStyle w:val="nTable"/>
              <w:spacing w:after="40"/>
              <w:rPr>
                <w:iCs/>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2010</w:t>
            </w:r>
            <w:r>
              <w:rPr>
                <w:iCs/>
                <w:sz w:val="19"/>
              </w:rPr>
              <w:t xml:space="preserve"> </w:t>
            </w:r>
          </w:p>
        </w:tc>
        <w:tc>
          <w:tcPr>
            <w:tcW w:w="1276" w:type="dxa"/>
          </w:tcPr>
          <w:p>
            <w:pPr>
              <w:pStyle w:val="nTable"/>
              <w:spacing w:after="40"/>
              <w:rPr>
                <w:sz w:val="19"/>
              </w:rPr>
            </w:pPr>
            <w:r>
              <w:rPr>
                <w:sz w:val="19"/>
              </w:rPr>
              <w:t>26 Nov 2010 p. 5937-8</w:t>
            </w:r>
          </w:p>
        </w:tc>
        <w:tc>
          <w:tcPr>
            <w:tcW w:w="2693" w:type="dxa"/>
          </w:tcPr>
          <w:p>
            <w:pPr>
              <w:pStyle w:val="nTable"/>
              <w:spacing w:after="40"/>
              <w:rPr>
                <w:sz w:val="19"/>
              </w:rPr>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r>
        <w:tc>
          <w:tcPr>
            <w:tcW w:w="3119" w:type="dxa"/>
          </w:tcPr>
          <w:p>
            <w:pPr>
              <w:pStyle w:val="nTable"/>
              <w:spacing w:after="40"/>
              <w:rPr>
                <w:i/>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2011</w:t>
            </w:r>
          </w:p>
        </w:tc>
        <w:tc>
          <w:tcPr>
            <w:tcW w:w="1276" w:type="dxa"/>
          </w:tcPr>
          <w:p>
            <w:pPr>
              <w:pStyle w:val="nTable"/>
              <w:spacing w:after="40"/>
              <w:rPr>
                <w:sz w:val="19"/>
              </w:rPr>
            </w:pPr>
            <w:r>
              <w:rPr>
                <w:sz w:val="19"/>
              </w:rPr>
              <w:t>24 Jun 2011 p. 2504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bl. 1 and 2: 24 Jun 2011 (see bl. 2(a));</w:t>
            </w:r>
            <w:r>
              <w:rPr>
                <w:snapToGrid w:val="0"/>
                <w:spacing w:val="-2"/>
                <w:sz w:val="19"/>
                <w:lang w:val="en-US"/>
              </w:rPr>
              <w:br/>
              <w:t xml:space="preserve">By-laws other than bl. 1 and 2: </w:t>
            </w:r>
            <w:r>
              <w:rPr>
                <w:snapToGrid w:val="0"/>
                <w:sz w:val="19"/>
                <w:lang w:val="en-US"/>
              </w:rPr>
              <w:t>1 Jul 2011 (see bl. 2(b))</w:t>
            </w:r>
          </w:p>
        </w:tc>
      </w:tr>
      <w:tr>
        <w:tc>
          <w:tcPr>
            <w:tcW w:w="3119" w:type="dxa"/>
            <w:shd w:val="clear" w:color="auto" w:fill="auto"/>
          </w:tcPr>
          <w:p>
            <w:pPr>
              <w:pStyle w:val="nTable"/>
              <w:spacing w:after="40"/>
              <w:rPr>
                <w:i/>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(No. 2) 2011</w:t>
            </w:r>
            <w:r>
              <w:rPr>
                <w:i/>
                <w:sz w:val="19"/>
                <w:vertAlign w:val="superscript"/>
              </w:rPr>
              <w:t> 2</w:t>
            </w:r>
          </w:p>
        </w:tc>
        <w:tc>
          <w:tcPr>
            <w:tcW w:w="1276" w:type="dxa"/>
            <w:shd w:val="clear" w:color="auto" w:fill="auto"/>
          </w:tcPr>
          <w:p>
            <w:pPr>
              <w:pStyle w:val="nTable"/>
              <w:spacing w:after="40"/>
              <w:rPr>
                <w:sz w:val="19"/>
              </w:rPr>
            </w:pPr>
            <w:r>
              <w:rPr>
                <w:sz w:val="19"/>
              </w:rPr>
              <w:t>23 Dec 2011 p. 5425</w:t>
            </w:r>
            <w:r>
              <w:rPr>
                <w:sz w:val="19"/>
              </w:rPr>
              <w:noBreakHyphen/>
              <w:t>9</w:t>
            </w:r>
          </w:p>
        </w:tc>
        <w:tc>
          <w:tcPr>
            <w:tcW w:w="2693" w:type="dxa"/>
            <w:shd w:val="clear" w:color="auto" w:fill="auto"/>
          </w:tcPr>
          <w:p>
            <w:pPr>
              <w:pStyle w:val="nTable"/>
              <w:spacing w:after="40"/>
              <w:rPr>
                <w:snapToGrid w:val="0"/>
                <w:spacing w:val="-2"/>
                <w:sz w:val="19"/>
                <w:lang w:val="en-US"/>
              </w:rPr>
            </w:pPr>
            <w:r>
              <w:rPr>
                <w:snapToGrid w:val="0"/>
                <w:spacing w:val="-2"/>
                <w:sz w:val="19"/>
                <w:lang w:val="en-US"/>
              </w:rPr>
              <w:t>bl. 1 and 2: 23 Dec 2011 (see bl. 2(a));</w:t>
            </w:r>
            <w:r>
              <w:rPr>
                <w:snapToGrid w:val="0"/>
                <w:spacing w:val="-2"/>
                <w:sz w:val="19"/>
                <w:lang w:val="en-US"/>
              </w:rPr>
              <w:br/>
              <w:t>By-laws other than bl. 1 and 2: 1 Jan 2012 (see bl. 2(b))</w:t>
            </w:r>
          </w:p>
        </w:tc>
      </w:tr>
      <w:tr>
        <w:tc>
          <w:tcPr>
            <w:tcW w:w="7088" w:type="dxa"/>
            <w:gridSpan w:val="3"/>
            <w:tcBorders>
              <w:bottom w:val="single" w:sz="8" w:space="0" w:color="auto"/>
            </w:tcBorders>
            <w:shd w:val="clear" w:color="auto" w:fill="auto"/>
          </w:tcPr>
          <w:p>
            <w:pPr>
              <w:pStyle w:val="nTable"/>
              <w:spacing w:after="40"/>
              <w:rPr>
                <w:snapToGrid w:val="0"/>
                <w:spacing w:val="-2"/>
                <w:sz w:val="19"/>
                <w:lang w:val="en-US"/>
              </w:rPr>
            </w:pPr>
            <w:r>
              <w:rPr>
                <w:b/>
                <w:sz w:val="19"/>
              </w:rPr>
              <w:t xml:space="preserve">Reprint 2: The </w:t>
            </w:r>
            <w:smartTag w:uri="urn:schemas-microsoft-com:office:smarttags" w:element="place">
              <w:smartTag w:uri="urn:schemas-microsoft-com:office:smarttags" w:element="PlaceName">
                <w:r>
                  <w:rPr>
                    <w:b/>
                    <w:i/>
                    <w:sz w:val="19"/>
                  </w:rPr>
                  <w:t>Fremantle</w:t>
                </w:r>
              </w:smartTag>
              <w:r>
                <w:rPr>
                  <w:b/>
                  <w:i/>
                  <w:sz w:val="19"/>
                </w:rPr>
                <w:t xml:space="preserve"> </w:t>
              </w:r>
              <w:smartTag w:uri="urn:schemas-microsoft-com:office:smarttags" w:element="PlaceType">
                <w:r>
                  <w:rPr>
                    <w:b/>
                    <w:i/>
                    <w:sz w:val="19"/>
                  </w:rPr>
                  <w:t>Hospital</w:t>
                </w:r>
              </w:smartTag>
            </w:smartTag>
            <w:r>
              <w:rPr>
                <w:b/>
                <w:i/>
                <w:sz w:val="19"/>
              </w:rPr>
              <w:t xml:space="preserve"> By</w:t>
            </w:r>
            <w:r>
              <w:rPr>
                <w:b/>
                <w:i/>
                <w:sz w:val="19"/>
              </w:rPr>
              <w:noBreakHyphen/>
              <w:t xml:space="preserve">laws 1992 </w:t>
            </w:r>
            <w:r>
              <w:rPr>
                <w:b/>
                <w:sz w:val="19"/>
              </w:rPr>
              <w:t>as at 27 Jul 2012</w:t>
            </w:r>
            <w:r>
              <w:rPr>
                <w:sz w:val="19"/>
              </w:rPr>
              <w:t xml:space="preserve"> (includes amendments listed above)</w:t>
            </w:r>
          </w:p>
        </w:tc>
      </w:tr>
    </w:tbl>
    <w:p>
      <w:pPr>
        <w:spacing w:before="40" w:after="40"/>
      </w:pPr>
    </w:p>
    <w:p>
      <w:pPr>
        <w:pStyle w:val="nSubsection"/>
      </w:pPr>
      <w:r>
        <w:rPr>
          <w:vertAlign w:val="superscript"/>
        </w:rPr>
        <w:t>2</w:t>
      </w:r>
      <w:r>
        <w:tab/>
      </w:r>
      <w:r>
        <w:rPr>
          <w:rFonts w:ascii="Times" w:hAnsi="Times"/>
          <w:sz w:val="19"/>
        </w:rPr>
        <w:t xml:space="preserve">Disallowed on 11 Sep 2012, see </w:t>
      </w:r>
      <w:r>
        <w:rPr>
          <w:rFonts w:ascii="Times" w:hAnsi="Times"/>
          <w:i/>
          <w:sz w:val="19"/>
        </w:rPr>
        <w:t>Gazette</w:t>
      </w:r>
      <w:r>
        <w:rPr>
          <w:rFonts w:ascii="Times" w:hAnsi="Times"/>
          <w:sz w:val="19"/>
        </w:rPr>
        <w:t xml:space="preserve"> 18 Sep 2012 p. 4411.</w:t>
      </w:r>
    </w:p>
    <w:p>
      <w:pPr>
        <w:spacing w:before="40" w:after="40"/>
      </w:pPr>
    </w:p>
    <w:p>
      <w:pPr>
        <w:spacing w:before="40" w:after="40"/>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21" w:name="_Toc329593218"/>
      <w:bookmarkStart w:id="122" w:name="_Toc330555992"/>
      <w:bookmarkStart w:id="123" w:name="_Toc330556144"/>
      <w:bookmarkStart w:id="124" w:name="_Toc335663427"/>
      <w:r>
        <w:rPr>
          <w:sz w:val="28"/>
        </w:rPr>
        <w:t>Defined Terms</w:t>
      </w:r>
      <w:bookmarkEnd w:id="121"/>
      <w:bookmarkEnd w:id="122"/>
      <w:bookmarkEnd w:id="123"/>
      <w:bookmarkEnd w:id="1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5" w:name="DefinedTerms"/>
      <w:bookmarkEnd w:id="125"/>
      <w:r>
        <w:t>alleged offender</w:t>
      </w:r>
      <w:r>
        <w:tab/>
        <w:t>19</w:t>
      </w:r>
    </w:p>
    <w:p>
      <w:pPr>
        <w:pStyle w:val="DefinedTerms"/>
      </w:pPr>
      <w:r>
        <w:t>authorised person</w:t>
      </w:r>
      <w:r>
        <w:tab/>
        <w:t>3(1)</w:t>
      </w:r>
    </w:p>
    <w:p>
      <w:pPr>
        <w:pStyle w:val="DefinedTerms"/>
      </w:pPr>
      <w:r>
        <w:t>Board</w:t>
      </w:r>
      <w:r>
        <w:tab/>
        <w:t>3(1)</w:t>
      </w:r>
    </w:p>
    <w:p>
      <w:pPr>
        <w:pStyle w:val="DefinedTerms"/>
      </w:pPr>
      <w:r>
        <w:t>chief executive officer</w:t>
      </w:r>
      <w:r>
        <w:tab/>
        <w:t>3(1)</w:t>
      </w:r>
    </w:p>
    <w:p>
      <w:pPr>
        <w:pStyle w:val="DefinedTerms"/>
      </w:pPr>
      <w:r>
        <w:t>driver</w:t>
      </w:r>
      <w:r>
        <w:tab/>
        <w:t>3(1)</w:t>
      </w:r>
    </w:p>
    <w:p>
      <w:pPr>
        <w:pStyle w:val="DefinedTerms"/>
      </w:pPr>
      <w:r>
        <w:t>infringement notice</w:t>
      </w:r>
      <w:r>
        <w:tab/>
        <w:t>19</w:t>
      </w:r>
    </w:p>
    <w:p>
      <w:pPr>
        <w:pStyle w:val="DefinedTerms"/>
      </w:pPr>
      <w:r>
        <w:t>modified penalty</w:t>
      </w:r>
      <w:r>
        <w:tab/>
        <w:t>19</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registered owner</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5(4), 16(2), 17(8)</w:t>
      </w:r>
    </w:p>
    <w:p>
      <w:pPr>
        <w:pStyle w:val="DefinedTerms"/>
      </w:pPr>
      <w:r>
        <w:t>speed restriction sign</w:t>
      </w:r>
      <w:r>
        <w:tab/>
        <w:t>3(1)</w:t>
      </w:r>
    </w:p>
    <w:p>
      <w:pPr>
        <w:pStyle w:val="DefinedTerms"/>
      </w:pPr>
      <w:r>
        <w:t>ticket vending machine</w:t>
      </w:r>
      <w:r>
        <w:tab/>
        <w:t>3(1)</w:t>
      </w:r>
    </w:p>
    <w:p>
      <w:pPr>
        <w:pStyle w:val="DefinedTerms"/>
      </w:pPr>
      <w:r>
        <w:t>vehicle</w:t>
      </w:r>
      <w:r>
        <w:tab/>
        <w:t>3(1)</w:t>
      </w:r>
    </w:p>
    <w:p>
      <w:pPr>
        <w:pStyle w:val="DefinedTerms"/>
      </w:pPr>
      <w:r>
        <w:t>visitor’s ticket</w:t>
      </w:r>
      <w:r>
        <w:tab/>
        <w:t>3(1)</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Fremantle Hospital By-laws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Fremantle Hospital By-laws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24"/>
  </w:num>
  <w:num w:numId="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508"/>
    <w:docVar w:name="WAFER_20151211141508" w:val="RemoveTrackChanges"/>
    <w:docVar w:name="WAFER_20151211141508_GUID" w:val="5cc1cf9f-a3de-4b1b-9343-8de296fcf8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rPr>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rPr>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4686</Words>
  <Characters>23010</Characters>
  <Application>Microsoft Office Word</Application>
  <DocSecurity>0</DocSecurity>
  <Lines>742</Lines>
  <Paragraphs>532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1992 - 02-b0-02</dc:title>
  <dc:subject/>
  <dc:creator/>
  <cp:keywords/>
  <dc:description/>
  <cp:lastModifiedBy>svcMRProcess</cp:lastModifiedBy>
  <cp:revision>4</cp:revision>
  <cp:lastPrinted>2012-07-20T06:19:00Z</cp:lastPrinted>
  <dcterms:created xsi:type="dcterms:W3CDTF">2018-09-12T01:10:00Z</dcterms:created>
  <dcterms:modified xsi:type="dcterms:W3CDTF">2018-09-12T01:10:00Z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CommencementDate">
    <vt:lpwstr>20120911</vt:lpwstr>
  </property>
  <property fmtid="{D5CDD505-2E9C-101B-9397-08002B2CF9AE}" pid="4" name="DocumentType">
    <vt:lpwstr>Reg</vt:lpwstr>
  </property>
  <property fmtid="{D5CDD505-2E9C-101B-9397-08002B2CF9AE}" pid="5" name="OwlsUID">
    <vt:i4>4456</vt:i4>
  </property>
  <property fmtid="{D5CDD505-2E9C-101B-9397-08002B2CF9AE}" pid="6" name="AsAtDate">
    <vt:lpwstr>11 Sep 2012</vt:lpwstr>
  </property>
  <property fmtid="{D5CDD505-2E9C-101B-9397-08002B2CF9AE}" pid="7" name="Suffix">
    <vt:lpwstr>02-b0-02</vt:lpwstr>
  </property>
  <property fmtid="{D5CDD505-2E9C-101B-9397-08002B2CF9AE}" pid="8" name="ReprintNo">
    <vt:lpwstr>2</vt:lpwstr>
  </property>
  <property fmtid="{D5CDD505-2E9C-101B-9397-08002B2CF9AE}" pid="9" name="ReprintedAsAt">
    <vt:filetime>2012-07-26T16:00:00Z</vt:filetime>
  </property>
</Properties>
</file>