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Surveillance Devices Act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Surveillance Devices Act 1998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_Toc336264881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_Toc336264882 \h </w:instrText>
      </w:r>
      <w:r>
        <w:fldChar w:fldCharType="separate"/>
      </w:r>
      <w:r>
        <w:t>2</w:t>
      </w:r>
      <w:r>
        <w:fldChar w:fldCharType="end"/>
      </w:r>
    </w:p>
    <w:p>
      <w:pPr>
        <w:pStyle w:val="TOC8"/>
        <w:rPr>
          <w:sz w:val="24"/>
          <w:szCs w:val="24"/>
          <w:lang w:val="en-US"/>
        </w:rPr>
      </w:pPr>
      <w:r>
        <w:t>3.</w:t>
      </w:r>
      <w:r>
        <w:tab/>
        <w:t>Interpretation</w:t>
      </w:r>
      <w:r>
        <w:tab/>
      </w:r>
      <w:r>
        <w:fldChar w:fldCharType="begin"/>
      </w:r>
      <w:r>
        <w:instrText xml:space="preserve"> PAGEREF _Toc336264883 \h </w:instrText>
      </w:r>
      <w:r>
        <w:fldChar w:fldCharType="separate"/>
      </w:r>
      <w:r>
        <w:t>2</w:t>
      </w:r>
      <w:r>
        <w:fldChar w:fldCharType="end"/>
      </w:r>
    </w:p>
    <w:p>
      <w:pPr>
        <w:pStyle w:val="TOC8"/>
        <w:rPr>
          <w:sz w:val="24"/>
          <w:szCs w:val="24"/>
          <w:lang w:val="en-US"/>
        </w:rPr>
      </w:pPr>
      <w:r>
        <w:t>4.</w:t>
      </w:r>
      <w:r>
        <w:tab/>
        <w:t>Application</w:t>
      </w:r>
      <w:r>
        <w:tab/>
      </w:r>
      <w:r>
        <w:fldChar w:fldCharType="begin"/>
      </w:r>
      <w:r>
        <w:instrText xml:space="preserve"> PAGEREF _Toc336264884 \h </w:instrText>
      </w:r>
      <w:r>
        <w:fldChar w:fldCharType="separate"/>
      </w:r>
      <w:r>
        <w:t>8</w:t>
      </w:r>
      <w:r>
        <w:fldChar w:fldCharType="end"/>
      </w:r>
    </w:p>
    <w:p>
      <w:pPr>
        <w:pStyle w:val="TOC8"/>
        <w:rPr>
          <w:sz w:val="24"/>
          <w:szCs w:val="24"/>
          <w:lang w:val="en-US"/>
        </w:rPr>
      </w:pPr>
      <w:r>
        <w:t>4AA.</w:t>
      </w:r>
      <w:r>
        <w:tab/>
        <w:t>Authority required for some investigations</w:t>
      </w:r>
      <w:r>
        <w:tab/>
      </w:r>
      <w:r>
        <w:fldChar w:fldCharType="begin"/>
      </w:r>
      <w:r>
        <w:instrText xml:space="preserve"> PAGEREF _Toc336264885 \h </w:instrText>
      </w:r>
      <w:r>
        <w:fldChar w:fldCharType="separate"/>
      </w:r>
      <w:r>
        <w:t>8</w:t>
      </w:r>
      <w:r>
        <w:fldChar w:fldCharType="end"/>
      </w:r>
    </w:p>
    <w:p>
      <w:pPr>
        <w:pStyle w:val="TOC8"/>
        <w:rPr>
          <w:sz w:val="24"/>
          <w:szCs w:val="24"/>
          <w:lang w:val="en-US"/>
        </w:rPr>
      </w:pPr>
      <w:r>
        <w:t>4A.</w:t>
      </w:r>
      <w:r>
        <w:tab/>
        <w:t>State police working for Australian Crime Commission</w:t>
      </w:r>
      <w:r>
        <w:tab/>
      </w:r>
      <w:r>
        <w:fldChar w:fldCharType="begin"/>
      </w:r>
      <w:r>
        <w:instrText xml:space="preserve"> PAGEREF _Toc336264886 \h </w:instrText>
      </w:r>
      <w:r>
        <w:fldChar w:fldCharType="separate"/>
      </w:r>
      <w:r>
        <w:t>8</w:t>
      </w:r>
      <w:r>
        <w:fldChar w:fldCharType="end"/>
      </w:r>
    </w:p>
    <w:p>
      <w:pPr>
        <w:pStyle w:val="TOC2"/>
        <w:tabs>
          <w:tab w:val="right" w:leader="dot" w:pos="7086"/>
        </w:tabs>
        <w:rPr>
          <w:b w:val="0"/>
          <w:sz w:val="24"/>
          <w:szCs w:val="24"/>
          <w:lang w:val="en-US"/>
        </w:rPr>
      </w:pPr>
      <w:r>
        <w:t>Part 2 — Regulation of installation and use of surveillance devices</w:t>
      </w:r>
    </w:p>
    <w:p>
      <w:pPr>
        <w:pStyle w:val="TOC8"/>
        <w:rPr>
          <w:sz w:val="24"/>
          <w:szCs w:val="24"/>
          <w:lang w:val="en-US"/>
        </w:rPr>
      </w:pPr>
      <w:r>
        <w:t>5.</w:t>
      </w:r>
      <w:r>
        <w:tab/>
        <w:t>Regulation of use, installation and maintenance of listening devices</w:t>
      </w:r>
      <w:r>
        <w:tab/>
      </w:r>
      <w:r>
        <w:fldChar w:fldCharType="begin"/>
      </w:r>
      <w:r>
        <w:instrText xml:space="preserve"> PAGEREF _Toc336264888 \h </w:instrText>
      </w:r>
      <w:r>
        <w:fldChar w:fldCharType="separate"/>
      </w:r>
      <w:r>
        <w:t>9</w:t>
      </w:r>
      <w:r>
        <w:fldChar w:fldCharType="end"/>
      </w:r>
    </w:p>
    <w:p>
      <w:pPr>
        <w:pStyle w:val="TOC8"/>
        <w:rPr>
          <w:sz w:val="24"/>
          <w:szCs w:val="24"/>
          <w:lang w:val="en-US"/>
        </w:rPr>
      </w:pPr>
      <w:r>
        <w:t>6.</w:t>
      </w:r>
      <w:r>
        <w:tab/>
        <w:t>Regulation of use, installation and maintenance of optical surveillance devices</w:t>
      </w:r>
      <w:r>
        <w:tab/>
      </w:r>
      <w:r>
        <w:fldChar w:fldCharType="begin"/>
      </w:r>
      <w:r>
        <w:instrText xml:space="preserve"> PAGEREF _Toc336264889 \h </w:instrText>
      </w:r>
      <w:r>
        <w:fldChar w:fldCharType="separate"/>
      </w:r>
      <w:r>
        <w:t>10</w:t>
      </w:r>
      <w:r>
        <w:fldChar w:fldCharType="end"/>
      </w:r>
    </w:p>
    <w:p>
      <w:pPr>
        <w:pStyle w:val="TOC8"/>
        <w:rPr>
          <w:sz w:val="24"/>
          <w:szCs w:val="24"/>
          <w:lang w:val="en-US"/>
        </w:rPr>
      </w:pPr>
      <w:r>
        <w:t>7.</w:t>
      </w:r>
      <w:r>
        <w:tab/>
        <w:t>Regulation of use, installation and maintenance of tracking devices</w:t>
      </w:r>
      <w:r>
        <w:tab/>
      </w:r>
      <w:r>
        <w:fldChar w:fldCharType="begin"/>
      </w:r>
      <w:r>
        <w:instrText xml:space="preserve"> PAGEREF _Toc336264890 \h </w:instrText>
      </w:r>
      <w:r>
        <w:fldChar w:fldCharType="separate"/>
      </w:r>
      <w:r>
        <w:t>12</w:t>
      </w:r>
      <w:r>
        <w:fldChar w:fldCharType="end"/>
      </w:r>
    </w:p>
    <w:p>
      <w:pPr>
        <w:pStyle w:val="TOC8"/>
        <w:rPr>
          <w:sz w:val="24"/>
          <w:szCs w:val="24"/>
          <w:lang w:val="en-US"/>
        </w:rPr>
      </w:pPr>
      <w:r>
        <w:t>8.</w:t>
      </w:r>
      <w:r>
        <w:tab/>
        <w:t>Technical assistance</w:t>
      </w:r>
      <w:r>
        <w:tab/>
      </w:r>
      <w:r>
        <w:fldChar w:fldCharType="begin"/>
      </w:r>
      <w:r>
        <w:instrText xml:space="preserve"> PAGEREF _Toc336264891 \h </w:instrText>
      </w:r>
      <w:r>
        <w:fldChar w:fldCharType="separate"/>
      </w:r>
      <w:r>
        <w:t>13</w:t>
      </w:r>
      <w:r>
        <w:fldChar w:fldCharType="end"/>
      </w:r>
    </w:p>
    <w:p>
      <w:pPr>
        <w:pStyle w:val="TOC2"/>
        <w:tabs>
          <w:tab w:val="right" w:leader="dot" w:pos="7086"/>
        </w:tabs>
        <w:rPr>
          <w:b w:val="0"/>
          <w:sz w:val="24"/>
          <w:szCs w:val="24"/>
          <w:lang w:val="en-US"/>
        </w:rPr>
      </w:pPr>
      <w:r>
        <w:t>Part 3 — Restriction on publication or communication of private conversations and activities</w:t>
      </w:r>
    </w:p>
    <w:p>
      <w:pPr>
        <w:pStyle w:val="TOC8"/>
        <w:rPr>
          <w:sz w:val="24"/>
          <w:szCs w:val="24"/>
          <w:lang w:val="en-US"/>
        </w:rPr>
      </w:pPr>
      <w:r>
        <w:t>9.</w:t>
      </w:r>
      <w:r>
        <w:tab/>
        <w:t>Prohibition of publication or communication of private conversations or activities</w:t>
      </w:r>
      <w:r>
        <w:tab/>
      </w:r>
      <w:r>
        <w:fldChar w:fldCharType="begin"/>
      </w:r>
      <w:r>
        <w:instrText xml:space="preserve"> PAGEREF _Toc336264893 \h </w:instrText>
      </w:r>
      <w:r>
        <w:fldChar w:fldCharType="separate"/>
      </w:r>
      <w:r>
        <w:t>14</w:t>
      </w:r>
      <w:r>
        <w:fldChar w:fldCharType="end"/>
      </w:r>
    </w:p>
    <w:p>
      <w:pPr>
        <w:pStyle w:val="TOC8"/>
        <w:rPr>
          <w:sz w:val="24"/>
          <w:szCs w:val="24"/>
          <w:lang w:val="en-US"/>
        </w:rPr>
      </w:pPr>
      <w:r>
        <w:t>10.</w:t>
      </w:r>
      <w:r>
        <w:tab/>
        <w:t>Admissibility in criminal proceedings of information inadvertently obtained</w:t>
      </w:r>
      <w:r>
        <w:tab/>
      </w:r>
      <w:r>
        <w:fldChar w:fldCharType="begin"/>
      </w:r>
      <w:r>
        <w:instrText xml:space="preserve"> PAGEREF _Toc336264894 \h </w:instrText>
      </w:r>
      <w:r>
        <w:fldChar w:fldCharType="separate"/>
      </w:r>
      <w:r>
        <w:t>16</w:t>
      </w:r>
      <w:r>
        <w:fldChar w:fldCharType="end"/>
      </w:r>
    </w:p>
    <w:p>
      <w:pPr>
        <w:pStyle w:val="TOC8"/>
        <w:rPr>
          <w:sz w:val="24"/>
          <w:szCs w:val="24"/>
          <w:lang w:val="en-US"/>
        </w:rPr>
      </w:pPr>
      <w:r>
        <w:t>11.</w:t>
      </w:r>
      <w:r>
        <w:tab/>
        <w:t>Presumption as to evidence obtained under warrant or emergency authorisation</w:t>
      </w:r>
      <w:r>
        <w:tab/>
      </w:r>
      <w:r>
        <w:fldChar w:fldCharType="begin"/>
      </w:r>
      <w:r>
        <w:instrText xml:space="preserve"> PAGEREF _Toc336264895 \h </w:instrText>
      </w:r>
      <w:r>
        <w:fldChar w:fldCharType="separate"/>
      </w:r>
      <w:r>
        <w:t>17</w:t>
      </w:r>
      <w:r>
        <w:fldChar w:fldCharType="end"/>
      </w:r>
    </w:p>
    <w:p>
      <w:pPr>
        <w:pStyle w:val="TOC2"/>
        <w:tabs>
          <w:tab w:val="right" w:leader="dot" w:pos="7086"/>
        </w:tabs>
        <w:rPr>
          <w:b w:val="0"/>
          <w:sz w:val="24"/>
          <w:szCs w:val="24"/>
          <w:lang w:val="en-US"/>
        </w:rPr>
      </w:pPr>
      <w:r>
        <w:t>Part 4 — Warrants and emergency authorisations</w:t>
      </w:r>
    </w:p>
    <w:p>
      <w:pPr>
        <w:pStyle w:val="TOC4"/>
        <w:tabs>
          <w:tab w:val="right" w:leader="dot" w:pos="7086"/>
        </w:tabs>
        <w:rPr>
          <w:b w:val="0"/>
          <w:sz w:val="24"/>
          <w:szCs w:val="24"/>
          <w:lang w:val="en-US"/>
        </w:rPr>
      </w:pPr>
      <w:r>
        <w:t>Division 1 — Judicial warrants</w:t>
      </w:r>
    </w:p>
    <w:p>
      <w:pPr>
        <w:pStyle w:val="TOC8"/>
        <w:rPr>
          <w:sz w:val="24"/>
          <w:szCs w:val="24"/>
          <w:lang w:val="en-US"/>
        </w:rPr>
      </w:pPr>
      <w:r>
        <w:t>12.</w:t>
      </w:r>
      <w:r>
        <w:tab/>
        <w:t>Interpretation of “court”</w:t>
      </w:r>
      <w:r>
        <w:tab/>
      </w:r>
      <w:r>
        <w:fldChar w:fldCharType="begin"/>
      </w:r>
      <w:r>
        <w:instrText xml:space="preserve"> PAGEREF _Toc336264898 \h </w:instrText>
      </w:r>
      <w:r>
        <w:fldChar w:fldCharType="separate"/>
      </w:r>
      <w:r>
        <w:t>18</w:t>
      </w:r>
      <w:r>
        <w:fldChar w:fldCharType="end"/>
      </w:r>
    </w:p>
    <w:p>
      <w:pPr>
        <w:pStyle w:val="TOC8"/>
        <w:rPr>
          <w:sz w:val="24"/>
          <w:szCs w:val="24"/>
          <w:lang w:val="en-US"/>
        </w:rPr>
      </w:pPr>
      <w:r>
        <w:t>13.</w:t>
      </w:r>
      <w:r>
        <w:tab/>
        <w:t>Warrants for use etc. of surveillance devices</w:t>
      </w:r>
      <w:r>
        <w:tab/>
      </w:r>
      <w:r>
        <w:fldChar w:fldCharType="begin"/>
      </w:r>
      <w:r>
        <w:instrText xml:space="preserve"> PAGEREF _Toc336264899 \h </w:instrText>
      </w:r>
      <w:r>
        <w:fldChar w:fldCharType="separate"/>
      </w:r>
      <w:r>
        <w:t>18</w:t>
      </w:r>
      <w:r>
        <w:fldChar w:fldCharType="end"/>
      </w:r>
    </w:p>
    <w:p>
      <w:pPr>
        <w:pStyle w:val="TOC8"/>
        <w:rPr>
          <w:sz w:val="24"/>
          <w:szCs w:val="24"/>
          <w:lang w:val="en-US"/>
        </w:rPr>
      </w:pPr>
      <w:r>
        <w:t>14.</w:t>
      </w:r>
      <w:r>
        <w:tab/>
        <w:t>Warrants for maintenance and retrieval of certain tracking devices</w:t>
      </w:r>
      <w:r>
        <w:tab/>
      </w:r>
      <w:r>
        <w:fldChar w:fldCharType="begin"/>
      </w:r>
      <w:r>
        <w:instrText xml:space="preserve"> PAGEREF _Toc336264900 \h </w:instrText>
      </w:r>
      <w:r>
        <w:fldChar w:fldCharType="separate"/>
      </w:r>
      <w:r>
        <w:t>22</w:t>
      </w:r>
      <w:r>
        <w:fldChar w:fldCharType="end"/>
      </w:r>
    </w:p>
    <w:p>
      <w:pPr>
        <w:pStyle w:val="TOC8"/>
        <w:rPr>
          <w:sz w:val="24"/>
          <w:szCs w:val="24"/>
          <w:lang w:val="en-US"/>
        </w:rPr>
      </w:pPr>
      <w:r>
        <w:t>15.</w:t>
      </w:r>
      <w:r>
        <w:tab/>
        <w:t>Applications for warrants</w:t>
      </w:r>
      <w:r>
        <w:tab/>
      </w:r>
      <w:r>
        <w:fldChar w:fldCharType="begin"/>
      </w:r>
      <w:r>
        <w:instrText xml:space="preserve"> PAGEREF _Toc336264901 \h </w:instrText>
      </w:r>
      <w:r>
        <w:fldChar w:fldCharType="separate"/>
      </w:r>
      <w:r>
        <w:t>23</w:t>
      </w:r>
      <w:r>
        <w:fldChar w:fldCharType="end"/>
      </w:r>
    </w:p>
    <w:p>
      <w:pPr>
        <w:pStyle w:val="TOC8"/>
        <w:rPr>
          <w:sz w:val="24"/>
          <w:szCs w:val="24"/>
          <w:lang w:val="en-US"/>
        </w:rPr>
      </w:pPr>
      <w:r>
        <w:t>16.</w:t>
      </w:r>
      <w:r>
        <w:tab/>
        <w:t>Radio/telephone applications for warrants</w:t>
      </w:r>
      <w:r>
        <w:tab/>
      </w:r>
      <w:r>
        <w:fldChar w:fldCharType="begin"/>
      </w:r>
      <w:r>
        <w:instrText xml:space="preserve"> PAGEREF _Toc336264902 \h </w:instrText>
      </w:r>
      <w:r>
        <w:fldChar w:fldCharType="separate"/>
      </w:r>
      <w:r>
        <w:t>25</w:t>
      </w:r>
      <w:r>
        <w:fldChar w:fldCharType="end"/>
      </w:r>
    </w:p>
    <w:p>
      <w:pPr>
        <w:pStyle w:val="TOC8"/>
        <w:rPr>
          <w:sz w:val="24"/>
          <w:szCs w:val="24"/>
          <w:lang w:val="en-US"/>
        </w:rPr>
      </w:pPr>
      <w:r>
        <w:t>17.</w:t>
      </w:r>
      <w:r>
        <w:tab/>
        <w:t>Warrants issued following radio/telephone applications</w:t>
      </w:r>
      <w:r>
        <w:tab/>
      </w:r>
      <w:r>
        <w:fldChar w:fldCharType="begin"/>
      </w:r>
      <w:r>
        <w:instrText xml:space="preserve"> PAGEREF _Toc336264903 \h </w:instrText>
      </w:r>
      <w:r>
        <w:fldChar w:fldCharType="separate"/>
      </w:r>
      <w:r>
        <w:t>26</w:t>
      </w:r>
      <w:r>
        <w:fldChar w:fldCharType="end"/>
      </w:r>
    </w:p>
    <w:p>
      <w:pPr>
        <w:pStyle w:val="TOC8"/>
        <w:rPr>
          <w:sz w:val="24"/>
          <w:szCs w:val="24"/>
          <w:lang w:val="en-US"/>
        </w:rPr>
      </w:pPr>
      <w:r>
        <w:t>18.</w:t>
      </w:r>
      <w:r>
        <w:tab/>
        <w:t>Restriction on further radio/telephone applications</w:t>
      </w:r>
      <w:r>
        <w:tab/>
      </w:r>
      <w:r>
        <w:fldChar w:fldCharType="begin"/>
      </w:r>
      <w:r>
        <w:instrText xml:space="preserve"> PAGEREF _Toc336264904 \h </w:instrText>
      </w:r>
      <w:r>
        <w:fldChar w:fldCharType="separate"/>
      </w:r>
      <w:r>
        <w:t>27</w:t>
      </w:r>
      <w:r>
        <w:fldChar w:fldCharType="end"/>
      </w:r>
    </w:p>
    <w:p>
      <w:pPr>
        <w:pStyle w:val="TOC8"/>
        <w:rPr>
          <w:sz w:val="24"/>
          <w:szCs w:val="24"/>
          <w:lang w:val="en-US"/>
        </w:rPr>
      </w:pPr>
      <w:r>
        <w:t>18A.</w:t>
      </w:r>
      <w:r>
        <w:tab/>
        <w:t>Enhanced powers concerning surveillance devices</w:t>
      </w:r>
      <w:r>
        <w:tab/>
      </w:r>
      <w:r>
        <w:fldChar w:fldCharType="begin"/>
      </w:r>
      <w:r>
        <w:instrText xml:space="preserve"> PAGEREF _Toc336264905 \h </w:instrText>
      </w:r>
      <w:r>
        <w:fldChar w:fldCharType="separate"/>
      </w:r>
      <w:r>
        <w:t>28</w:t>
      </w:r>
      <w:r>
        <w:fldChar w:fldCharType="end"/>
      </w:r>
    </w:p>
    <w:p>
      <w:pPr>
        <w:pStyle w:val="TOC8"/>
        <w:rPr>
          <w:sz w:val="24"/>
          <w:szCs w:val="24"/>
          <w:lang w:val="en-US"/>
        </w:rPr>
      </w:pPr>
      <w:r>
        <w:t>19.</w:t>
      </w:r>
      <w:r>
        <w:tab/>
        <w:t>Extension of warrants</w:t>
      </w:r>
      <w:r>
        <w:tab/>
      </w:r>
      <w:r>
        <w:fldChar w:fldCharType="begin"/>
      </w:r>
      <w:r>
        <w:instrText xml:space="preserve"> PAGEREF _Toc336264906 \h </w:instrText>
      </w:r>
      <w:r>
        <w:fldChar w:fldCharType="separate"/>
      </w:r>
      <w:r>
        <w:t>29</w:t>
      </w:r>
      <w:r>
        <w:fldChar w:fldCharType="end"/>
      </w:r>
    </w:p>
    <w:p>
      <w:pPr>
        <w:pStyle w:val="TOC4"/>
        <w:tabs>
          <w:tab w:val="right" w:leader="dot" w:pos="7086"/>
        </w:tabs>
        <w:rPr>
          <w:b w:val="0"/>
          <w:sz w:val="24"/>
          <w:szCs w:val="24"/>
          <w:lang w:val="en-US"/>
        </w:rPr>
      </w:pPr>
      <w:r>
        <w:t>Division 2 — Emergency authorisations</w:t>
      </w:r>
    </w:p>
    <w:p>
      <w:pPr>
        <w:pStyle w:val="TOC8"/>
        <w:rPr>
          <w:sz w:val="24"/>
          <w:szCs w:val="24"/>
          <w:lang w:val="en-US"/>
        </w:rPr>
      </w:pPr>
      <w:r>
        <w:t>20.</w:t>
      </w:r>
      <w:r>
        <w:tab/>
        <w:t>Emergency use of surveillance devices</w:t>
      </w:r>
      <w:r>
        <w:tab/>
      </w:r>
      <w:r>
        <w:fldChar w:fldCharType="begin"/>
      </w:r>
      <w:r>
        <w:instrText xml:space="preserve"> PAGEREF _Toc336264908 \h </w:instrText>
      </w:r>
      <w:r>
        <w:fldChar w:fldCharType="separate"/>
      </w:r>
      <w:r>
        <w:t>29</w:t>
      </w:r>
      <w:r>
        <w:fldChar w:fldCharType="end"/>
      </w:r>
    </w:p>
    <w:p>
      <w:pPr>
        <w:pStyle w:val="TOC8"/>
        <w:rPr>
          <w:sz w:val="24"/>
          <w:szCs w:val="24"/>
          <w:lang w:val="en-US"/>
        </w:rPr>
      </w:pPr>
      <w:r>
        <w:t>21.</w:t>
      </w:r>
      <w:r>
        <w:tab/>
        <w:t>Emergency authorisations</w:t>
      </w:r>
      <w:r>
        <w:tab/>
      </w:r>
      <w:r>
        <w:fldChar w:fldCharType="begin"/>
      </w:r>
      <w:r>
        <w:instrText xml:space="preserve"> PAGEREF _Toc336264909 \h </w:instrText>
      </w:r>
      <w:r>
        <w:fldChar w:fldCharType="separate"/>
      </w:r>
      <w:r>
        <w:t>31</w:t>
      </w:r>
      <w:r>
        <w:fldChar w:fldCharType="end"/>
      </w:r>
    </w:p>
    <w:p>
      <w:pPr>
        <w:pStyle w:val="TOC8"/>
        <w:rPr>
          <w:sz w:val="24"/>
          <w:szCs w:val="24"/>
          <w:lang w:val="en-US"/>
        </w:rPr>
      </w:pPr>
      <w:r>
        <w:t>22.</w:t>
      </w:r>
      <w:r>
        <w:tab/>
        <w:t>Retrieval of surveillance devices installed under emergency authorisations</w:t>
      </w:r>
      <w:r>
        <w:tab/>
      </w:r>
      <w:r>
        <w:fldChar w:fldCharType="begin"/>
      </w:r>
      <w:r>
        <w:instrText xml:space="preserve"> PAGEREF _Toc336264910 \h </w:instrText>
      </w:r>
      <w:r>
        <w:fldChar w:fldCharType="separate"/>
      </w:r>
      <w:r>
        <w:t>34</w:t>
      </w:r>
      <w:r>
        <w:fldChar w:fldCharType="end"/>
      </w:r>
    </w:p>
    <w:p>
      <w:pPr>
        <w:pStyle w:val="TOC4"/>
        <w:tabs>
          <w:tab w:val="right" w:leader="dot" w:pos="7086"/>
        </w:tabs>
        <w:rPr>
          <w:b w:val="0"/>
          <w:sz w:val="24"/>
          <w:szCs w:val="24"/>
          <w:lang w:val="en-US"/>
        </w:rPr>
      </w:pPr>
      <w:r>
        <w:t>Division 3 — Confidentiality</w:t>
      </w:r>
    </w:p>
    <w:p>
      <w:pPr>
        <w:pStyle w:val="TOC8"/>
        <w:rPr>
          <w:sz w:val="24"/>
          <w:szCs w:val="24"/>
          <w:lang w:val="en-US"/>
        </w:rPr>
      </w:pPr>
      <w:r>
        <w:t>23.</w:t>
      </w:r>
      <w:r>
        <w:tab/>
        <w:t>Confidentiality</w:t>
      </w:r>
      <w:r>
        <w:tab/>
      </w:r>
      <w:r>
        <w:fldChar w:fldCharType="begin"/>
      </w:r>
      <w:r>
        <w:instrText xml:space="preserve"> PAGEREF _Toc336264912 \h </w:instrText>
      </w:r>
      <w:r>
        <w:fldChar w:fldCharType="separate"/>
      </w:r>
      <w:r>
        <w:t>35</w:t>
      </w:r>
      <w:r>
        <w:fldChar w:fldCharType="end"/>
      </w:r>
    </w:p>
    <w:p>
      <w:pPr>
        <w:pStyle w:val="TOC2"/>
        <w:tabs>
          <w:tab w:val="right" w:leader="dot" w:pos="7086"/>
        </w:tabs>
        <w:rPr>
          <w:b w:val="0"/>
          <w:sz w:val="24"/>
          <w:szCs w:val="24"/>
          <w:lang w:val="en-US"/>
        </w:rPr>
      </w:pPr>
      <w:r>
        <w:t>Part 5 — Use of surveillance devices in the public interest</w:t>
      </w:r>
    </w:p>
    <w:p>
      <w:pPr>
        <w:pStyle w:val="TOC4"/>
        <w:tabs>
          <w:tab w:val="right" w:leader="dot" w:pos="7086"/>
        </w:tabs>
        <w:rPr>
          <w:b w:val="0"/>
          <w:sz w:val="24"/>
          <w:szCs w:val="24"/>
          <w:lang w:val="en-US"/>
        </w:rPr>
      </w:pPr>
      <w:r>
        <w:t>Division 1 — General</w:t>
      </w:r>
    </w:p>
    <w:p>
      <w:pPr>
        <w:pStyle w:val="TOC8"/>
        <w:rPr>
          <w:sz w:val="24"/>
          <w:szCs w:val="24"/>
          <w:lang w:val="en-US"/>
        </w:rPr>
      </w:pPr>
      <w:r>
        <w:t>24.</w:t>
      </w:r>
      <w:r>
        <w:tab/>
        <w:t>Interpretation</w:t>
      </w:r>
      <w:r>
        <w:tab/>
      </w:r>
      <w:r>
        <w:fldChar w:fldCharType="begin"/>
      </w:r>
      <w:r>
        <w:instrText xml:space="preserve"> PAGEREF _Toc336264915 \h </w:instrText>
      </w:r>
      <w:r>
        <w:fldChar w:fldCharType="separate"/>
      </w:r>
      <w:r>
        <w:t>36</w:t>
      </w:r>
      <w:r>
        <w:fldChar w:fldCharType="end"/>
      </w:r>
    </w:p>
    <w:p>
      <w:pPr>
        <w:pStyle w:val="TOC8"/>
        <w:rPr>
          <w:sz w:val="24"/>
          <w:szCs w:val="24"/>
          <w:lang w:val="en-US"/>
        </w:rPr>
      </w:pPr>
      <w:r>
        <w:t>25.</w:t>
      </w:r>
      <w:r>
        <w:tab/>
        <w:t>Unlawful act</w:t>
      </w:r>
      <w:r>
        <w:tab/>
      </w:r>
      <w:r>
        <w:fldChar w:fldCharType="begin"/>
      </w:r>
      <w:r>
        <w:instrText xml:space="preserve"> PAGEREF _Toc336264916 \h </w:instrText>
      </w:r>
      <w:r>
        <w:fldChar w:fldCharType="separate"/>
      </w:r>
      <w:r>
        <w:t>36</w:t>
      </w:r>
      <w:r>
        <w:fldChar w:fldCharType="end"/>
      </w:r>
    </w:p>
    <w:p>
      <w:pPr>
        <w:pStyle w:val="TOC4"/>
        <w:tabs>
          <w:tab w:val="right" w:leader="dot" w:pos="7086"/>
        </w:tabs>
        <w:rPr>
          <w:b w:val="0"/>
          <w:sz w:val="24"/>
          <w:szCs w:val="24"/>
          <w:lang w:val="en-US"/>
        </w:rPr>
      </w:pPr>
      <w:r>
        <w:t>Division 2 — Use of listening devices and optical surveillance devices in the public interest</w:t>
      </w:r>
    </w:p>
    <w:p>
      <w:pPr>
        <w:pStyle w:val="TOC8"/>
        <w:rPr>
          <w:sz w:val="24"/>
          <w:szCs w:val="24"/>
          <w:lang w:val="en-US"/>
        </w:rPr>
      </w:pPr>
      <w:r>
        <w:t>26.</w:t>
      </w:r>
      <w:r>
        <w:tab/>
        <w:t>Use of listening devices in the public interest</w:t>
      </w:r>
      <w:r>
        <w:tab/>
      </w:r>
      <w:r>
        <w:fldChar w:fldCharType="begin"/>
      </w:r>
      <w:r>
        <w:instrText xml:space="preserve"> PAGEREF _Toc336264918 \h </w:instrText>
      </w:r>
      <w:r>
        <w:fldChar w:fldCharType="separate"/>
      </w:r>
      <w:r>
        <w:t>36</w:t>
      </w:r>
      <w:r>
        <w:fldChar w:fldCharType="end"/>
      </w:r>
    </w:p>
    <w:p>
      <w:pPr>
        <w:pStyle w:val="TOC8"/>
        <w:rPr>
          <w:sz w:val="24"/>
          <w:szCs w:val="24"/>
          <w:lang w:val="en-US"/>
        </w:rPr>
      </w:pPr>
      <w:r>
        <w:t>27.</w:t>
      </w:r>
      <w:r>
        <w:tab/>
        <w:t>Use of optical surveillance devices in the public interest</w:t>
      </w:r>
      <w:r>
        <w:tab/>
      </w:r>
      <w:r>
        <w:fldChar w:fldCharType="begin"/>
      </w:r>
      <w:r>
        <w:instrText xml:space="preserve"> PAGEREF _Toc336264919 \h </w:instrText>
      </w:r>
      <w:r>
        <w:fldChar w:fldCharType="separate"/>
      </w:r>
      <w:r>
        <w:t>37</w:t>
      </w:r>
      <w:r>
        <w:fldChar w:fldCharType="end"/>
      </w:r>
    </w:p>
    <w:p>
      <w:pPr>
        <w:pStyle w:val="TOC4"/>
        <w:tabs>
          <w:tab w:val="right" w:leader="dot" w:pos="7086"/>
        </w:tabs>
        <w:rPr>
          <w:b w:val="0"/>
          <w:sz w:val="24"/>
          <w:szCs w:val="24"/>
          <w:lang w:val="en-US"/>
        </w:rPr>
      </w:pPr>
      <w:r>
        <w:t>Division 3 — Emergency use of listening devices and optical surveillance devices in the public interest</w:t>
      </w:r>
    </w:p>
    <w:p>
      <w:pPr>
        <w:pStyle w:val="TOC8"/>
        <w:rPr>
          <w:sz w:val="24"/>
          <w:szCs w:val="24"/>
          <w:lang w:val="en-US"/>
        </w:rPr>
      </w:pPr>
      <w:r>
        <w:t>28.</w:t>
      </w:r>
      <w:r>
        <w:tab/>
        <w:t>Emergency use of listening devices in the public interest</w:t>
      </w:r>
      <w:r>
        <w:tab/>
      </w:r>
      <w:r>
        <w:fldChar w:fldCharType="begin"/>
      </w:r>
      <w:r>
        <w:instrText xml:space="preserve"> PAGEREF _Toc336264921 \h </w:instrText>
      </w:r>
      <w:r>
        <w:fldChar w:fldCharType="separate"/>
      </w:r>
      <w:r>
        <w:t>38</w:t>
      </w:r>
      <w:r>
        <w:fldChar w:fldCharType="end"/>
      </w:r>
    </w:p>
    <w:p>
      <w:pPr>
        <w:pStyle w:val="TOC8"/>
        <w:rPr>
          <w:sz w:val="24"/>
          <w:szCs w:val="24"/>
          <w:lang w:val="en-US"/>
        </w:rPr>
      </w:pPr>
      <w:r>
        <w:t>29.</w:t>
      </w:r>
      <w:r>
        <w:tab/>
        <w:t>Emergency use of optical surveillance devices in the public interest</w:t>
      </w:r>
      <w:r>
        <w:tab/>
      </w:r>
      <w:r>
        <w:fldChar w:fldCharType="begin"/>
      </w:r>
      <w:r>
        <w:instrText xml:space="preserve"> PAGEREF _Toc336264922 \h </w:instrText>
      </w:r>
      <w:r>
        <w:fldChar w:fldCharType="separate"/>
      </w:r>
      <w:r>
        <w:t>38</w:t>
      </w:r>
      <w:r>
        <w:fldChar w:fldCharType="end"/>
      </w:r>
    </w:p>
    <w:p>
      <w:pPr>
        <w:pStyle w:val="TOC8"/>
        <w:rPr>
          <w:sz w:val="24"/>
          <w:szCs w:val="24"/>
          <w:lang w:val="en-US"/>
        </w:rPr>
      </w:pPr>
      <w:r>
        <w:t>30.</w:t>
      </w:r>
      <w:r>
        <w:tab/>
        <w:t>Report to a judge</w:t>
      </w:r>
      <w:r>
        <w:tab/>
      </w:r>
      <w:r>
        <w:fldChar w:fldCharType="begin"/>
      </w:r>
      <w:r>
        <w:instrText xml:space="preserve"> PAGEREF _Toc336264923 \h </w:instrText>
      </w:r>
      <w:r>
        <w:fldChar w:fldCharType="separate"/>
      </w:r>
      <w:r>
        <w:t>38</w:t>
      </w:r>
      <w:r>
        <w:fldChar w:fldCharType="end"/>
      </w:r>
    </w:p>
    <w:p>
      <w:pPr>
        <w:pStyle w:val="TOC4"/>
        <w:tabs>
          <w:tab w:val="right" w:leader="dot" w:pos="7086"/>
        </w:tabs>
        <w:rPr>
          <w:b w:val="0"/>
          <w:sz w:val="24"/>
          <w:szCs w:val="24"/>
          <w:lang w:val="en-US"/>
        </w:rPr>
      </w:pPr>
      <w:r>
        <w:t>Division 4 — Publication or communication in the public interest</w:t>
      </w:r>
    </w:p>
    <w:p>
      <w:pPr>
        <w:pStyle w:val="TOC8"/>
        <w:rPr>
          <w:sz w:val="24"/>
          <w:szCs w:val="24"/>
          <w:lang w:val="en-US"/>
        </w:rPr>
      </w:pPr>
      <w:r>
        <w:t>31.</w:t>
      </w:r>
      <w:r>
        <w:tab/>
        <w:t>Order allowing publication or communication in the public interest</w:t>
      </w:r>
      <w:r>
        <w:tab/>
      </w:r>
      <w:r>
        <w:fldChar w:fldCharType="begin"/>
      </w:r>
      <w:r>
        <w:instrText xml:space="preserve"> PAGEREF _Toc336264925 \h </w:instrText>
      </w:r>
      <w:r>
        <w:fldChar w:fldCharType="separate"/>
      </w:r>
      <w:r>
        <w:t>40</w:t>
      </w:r>
      <w:r>
        <w:fldChar w:fldCharType="end"/>
      </w:r>
    </w:p>
    <w:p>
      <w:pPr>
        <w:pStyle w:val="TOC8"/>
        <w:rPr>
          <w:sz w:val="24"/>
          <w:szCs w:val="24"/>
          <w:lang w:val="en-US"/>
        </w:rPr>
      </w:pPr>
      <w:r>
        <w:t>32.</w:t>
      </w:r>
      <w:r>
        <w:tab/>
        <w:t>Application for a publication order</w:t>
      </w:r>
      <w:r>
        <w:tab/>
      </w:r>
      <w:r>
        <w:fldChar w:fldCharType="begin"/>
      </w:r>
      <w:r>
        <w:instrText xml:space="preserve"> PAGEREF _Toc336264926 \h </w:instrText>
      </w:r>
      <w:r>
        <w:fldChar w:fldCharType="separate"/>
      </w:r>
      <w:r>
        <w:t>41</w:t>
      </w:r>
      <w:r>
        <w:fldChar w:fldCharType="end"/>
      </w:r>
    </w:p>
    <w:p>
      <w:pPr>
        <w:pStyle w:val="TOC8"/>
        <w:rPr>
          <w:sz w:val="24"/>
          <w:szCs w:val="24"/>
          <w:lang w:val="en-US"/>
        </w:rPr>
      </w:pPr>
      <w:r>
        <w:t>33.</w:t>
      </w:r>
      <w:r>
        <w:tab/>
        <w:t>Confidentiality</w:t>
      </w:r>
      <w:r>
        <w:tab/>
      </w:r>
      <w:r>
        <w:fldChar w:fldCharType="begin"/>
      </w:r>
      <w:r>
        <w:instrText xml:space="preserve"> PAGEREF _Toc336264927 \h </w:instrText>
      </w:r>
      <w:r>
        <w:fldChar w:fldCharType="separate"/>
      </w:r>
      <w:r>
        <w:t>41</w:t>
      </w:r>
      <w:r>
        <w:fldChar w:fldCharType="end"/>
      </w:r>
    </w:p>
    <w:p>
      <w:pPr>
        <w:pStyle w:val="TOC2"/>
        <w:tabs>
          <w:tab w:val="right" w:leader="dot" w:pos="7086"/>
        </w:tabs>
        <w:rPr>
          <w:b w:val="0"/>
          <w:sz w:val="24"/>
          <w:szCs w:val="24"/>
          <w:lang w:val="en-US"/>
        </w:rPr>
      </w:pPr>
      <w:r>
        <w:t>Part 6 — Offences and enforcement provisions</w:t>
      </w:r>
    </w:p>
    <w:p>
      <w:pPr>
        <w:pStyle w:val="TOC8"/>
        <w:rPr>
          <w:sz w:val="24"/>
          <w:szCs w:val="24"/>
          <w:lang w:val="en-US"/>
        </w:rPr>
      </w:pPr>
      <w:r>
        <w:t>34.</w:t>
      </w:r>
      <w:r>
        <w:tab/>
        <w:t>Possession of surveillance device for unlawful use</w:t>
      </w:r>
      <w:r>
        <w:tab/>
      </w:r>
      <w:r>
        <w:fldChar w:fldCharType="begin"/>
      </w:r>
      <w:r>
        <w:instrText xml:space="preserve"> PAGEREF _Toc336264929 \h </w:instrText>
      </w:r>
      <w:r>
        <w:fldChar w:fldCharType="separate"/>
      </w:r>
      <w:r>
        <w:t>43</w:t>
      </w:r>
      <w:r>
        <w:fldChar w:fldCharType="end"/>
      </w:r>
    </w:p>
    <w:p>
      <w:pPr>
        <w:pStyle w:val="TOC8"/>
        <w:rPr>
          <w:sz w:val="24"/>
          <w:szCs w:val="24"/>
          <w:lang w:val="en-US"/>
        </w:rPr>
      </w:pPr>
      <w:r>
        <w:t>35.</w:t>
      </w:r>
      <w:r>
        <w:tab/>
        <w:t>Unlawful removal or retrieval of surveillance device</w:t>
      </w:r>
      <w:r>
        <w:tab/>
      </w:r>
      <w:r>
        <w:fldChar w:fldCharType="begin"/>
      </w:r>
      <w:r>
        <w:instrText xml:space="preserve"> PAGEREF _Toc336264930 \h </w:instrText>
      </w:r>
      <w:r>
        <w:fldChar w:fldCharType="separate"/>
      </w:r>
      <w:r>
        <w:t>43</w:t>
      </w:r>
      <w:r>
        <w:fldChar w:fldCharType="end"/>
      </w:r>
    </w:p>
    <w:p>
      <w:pPr>
        <w:pStyle w:val="TOC8"/>
        <w:rPr>
          <w:sz w:val="24"/>
          <w:szCs w:val="24"/>
          <w:lang w:val="en-US"/>
        </w:rPr>
      </w:pPr>
      <w:r>
        <w:t>36.</w:t>
      </w:r>
      <w:r>
        <w:tab/>
        <w:t>Power to search</w:t>
      </w:r>
      <w:r>
        <w:tab/>
      </w:r>
      <w:r>
        <w:fldChar w:fldCharType="begin"/>
      </w:r>
      <w:r>
        <w:instrText xml:space="preserve"> PAGEREF _Toc336264931 \h </w:instrText>
      </w:r>
      <w:r>
        <w:fldChar w:fldCharType="separate"/>
      </w:r>
      <w:r>
        <w:t>43</w:t>
      </w:r>
      <w:r>
        <w:fldChar w:fldCharType="end"/>
      </w:r>
    </w:p>
    <w:p>
      <w:pPr>
        <w:pStyle w:val="TOC8"/>
        <w:rPr>
          <w:sz w:val="24"/>
          <w:szCs w:val="24"/>
          <w:lang w:val="en-US"/>
        </w:rPr>
      </w:pPr>
      <w:r>
        <w:t>37.</w:t>
      </w:r>
      <w:r>
        <w:tab/>
        <w:t>Report of finding surveillance device</w:t>
      </w:r>
      <w:r>
        <w:tab/>
      </w:r>
      <w:r>
        <w:fldChar w:fldCharType="begin"/>
      </w:r>
      <w:r>
        <w:instrText xml:space="preserve"> PAGEREF _Toc336264932 \h </w:instrText>
      </w:r>
      <w:r>
        <w:fldChar w:fldCharType="separate"/>
      </w:r>
      <w:r>
        <w:t>44</w:t>
      </w:r>
      <w:r>
        <w:fldChar w:fldCharType="end"/>
      </w:r>
    </w:p>
    <w:p>
      <w:pPr>
        <w:pStyle w:val="TOC8"/>
        <w:rPr>
          <w:sz w:val="24"/>
          <w:szCs w:val="24"/>
          <w:lang w:val="en-US"/>
        </w:rPr>
      </w:pPr>
      <w:r>
        <w:t>38.</w:t>
      </w:r>
      <w:r>
        <w:tab/>
        <w:t>Time limit for prosecutions</w:t>
      </w:r>
      <w:r>
        <w:tab/>
      </w:r>
      <w:r>
        <w:fldChar w:fldCharType="begin"/>
      </w:r>
      <w:r>
        <w:instrText xml:space="preserve"> PAGEREF _Toc336264933 \h </w:instrText>
      </w:r>
      <w:r>
        <w:fldChar w:fldCharType="separate"/>
      </w:r>
      <w:r>
        <w:t>45</w:t>
      </w:r>
      <w:r>
        <w:fldChar w:fldCharType="end"/>
      </w:r>
    </w:p>
    <w:p>
      <w:pPr>
        <w:pStyle w:val="TOC8"/>
        <w:rPr>
          <w:sz w:val="24"/>
          <w:szCs w:val="24"/>
          <w:lang w:val="en-US"/>
        </w:rPr>
      </w:pPr>
      <w:r>
        <w:t>39.</w:t>
      </w:r>
      <w:r>
        <w:tab/>
        <w:t>Offences by bodies corporate</w:t>
      </w:r>
      <w:r>
        <w:tab/>
      </w:r>
      <w:r>
        <w:fldChar w:fldCharType="begin"/>
      </w:r>
      <w:r>
        <w:instrText xml:space="preserve"> PAGEREF _Toc336264934 \h </w:instrText>
      </w:r>
      <w:r>
        <w:fldChar w:fldCharType="separate"/>
      </w:r>
      <w:r>
        <w:t>45</w:t>
      </w:r>
      <w:r>
        <w:fldChar w:fldCharType="end"/>
      </w:r>
    </w:p>
    <w:p>
      <w:pPr>
        <w:pStyle w:val="TOC8"/>
        <w:rPr>
          <w:sz w:val="24"/>
          <w:szCs w:val="24"/>
          <w:lang w:val="en-US"/>
        </w:rPr>
      </w:pPr>
      <w:r>
        <w:t>40.</w:t>
      </w:r>
      <w:r>
        <w:tab/>
        <w:t>Forfeiture</w:t>
      </w:r>
      <w:r>
        <w:tab/>
      </w:r>
      <w:r>
        <w:fldChar w:fldCharType="begin"/>
      </w:r>
      <w:r>
        <w:instrText xml:space="preserve"> PAGEREF _Toc336264935 \h </w:instrText>
      </w:r>
      <w:r>
        <w:fldChar w:fldCharType="separate"/>
      </w:r>
      <w:r>
        <w:t>46</w:t>
      </w:r>
      <w:r>
        <w:fldChar w:fldCharType="end"/>
      </w:r>
    </w:p>
    <w:p>
      <w:pPr>
        <w:pStyle w:val="TOC2"/>
        <w:tabs>
          <w:tab w:val="right" w:leader="dot" w:pos="7086"/>
        </w:tabs>
        <w:rPr>
          <w:b w:val="0"/>
          <w:sz w:val="24"/>
          <w:szCs w:val="24"/>
          <w:lang w:val="en-US"/>
        </w:rPr>
      </w:pPr>
      <w:r>
        <w:t>Part 7 — Miscellaneous</w:t>
      </w:r>
    </w:p>
    <w:p>
      <w:pPr>
        <w:pStyle w:val="TOC8"/>
        <w:rPr>
          <w:sz w:val="24"/>
          <w:szCs w:val="24"/>
          <w:lang w:val="en-US"/>
        </w:rPr>
      </w:pPr>
      <w:r>
        <w:t>41.</w:t>
      </w:r>
      <w:r>
        <w:tab/>
        <w:t>Dealing with records obtained by surveillance devices</w:t>
      </w:r>
      <w:r>
        <w:tab/>
      </w:r>
      <w:r>
        <w:fldChar w:fldCharType="begin"/>
      </w:r>
      <w:r>
        <w:instrText xml:space="preserve"> PAGEREF _Toc336264937 \h </w:instrText>
      </w:r>
      <w:r>
        <w:fldChar w:fldCharType="separate"/>
      </w:r>
      <w:r>
        <w:t>47</w:t>
      </w:r>
      <w:r>
        <w:fldChar w:fldCharType="end"/>
      </w:r>
    </w:p>
    <w:p>
      <w:pPr>
        <w:pStyle w:val="TOC8"/>
        <w:rPr>
          <w:sz w:val="24"/>
          <w:szCs w:val="24"/>
          <w:lang w:val="en-US"/>
        </w:rPr>
      </w:pPr>
      <w:r>
        <w:t>42.</w:t>
      </w:r>
      <w:r>
        <w:tab/>
        <w:t>Exemption from personal liability</w:t>
      </w:r>
      <w:r>
        <w:tab/>
      </w:r>
      <w:r>
        <w:fldChar w:fldCharType="begin"/>
      </w:r>
      <w:r>
        <w:instrText xml:space="preserve"> PAGEREF _Toc336264938 \h </w:instrText>
      </w:r>
      <w:r>
        <w:fldChar w:fldCharType="separate"/>
      </w:r>
      <w:r>
        <w:t>48</w:t>
      </w:r>
      <w:r>
        <w:fldChar w:fldCharType="end"/>
      </w:r>
    </w:p>
    <w:p>
      <w:pPr>
        <w:pStyle w:val="TOC8"/>
        <w:rPr>
          <w:sz w:val="24"/>
          <w:szCs w:val="24"/>
          <w:lang w:val="en-US"/>
        </w:rPr>
      </w:pPr>
      <w:r>
        <w:t>43.</w:t>
      </w:r>
      <w:r>
        <w:tab/>
        <w:t>Annual reports</w:t>
      </w:r>
      <w:r>
        <w:tab/>
      </w:r>
      <w:r>
        <w:fldChar w:fldCharType="begin"/>
      </w:r>
      <w:r>
        <w:instrText xml:space="preserve"> PAGEREF _Toc336264939 \h </w:instrText>
      </w:r>
      <w:r>
        <w:fldChar w:fldCharType="separate"/>
      </w:r>
      <w:r>
        <w:t>48</w:t>
      </w:r>
      <w:r>
        <w:fldChar w:fldCharType="end"/>
      </w:r>
    </w:p>
    <w:p>
      <w:pPr>
        <w:pStyle w:val="TOC8"/>
        <w:rPr>
          <w:sz w:val="24"/>
          <w:szCs w:val="24"/>
          <w:lang w:val="en-US"/>
        </w:rPr>
      </w:pPr>
      <w:r>
        <w:t>43A.</w:t>
      </w:r>
      <w:r>
        <w:tab/>
        <w:t>Reports by Royal Commissions</w:t>
      </w:r>
      <w:r>
        <w:tab/>
      </w:r>
      <w:r>
        <w:fldChar w:fldCharType="begin"/>
      </w:r>
      <w:r>
        <w:instrText xml:space="preserve"> PAGEREF _Toc336264940 \h </w:instrText>
      </w:r>
      <w:r>
        <w:fldChar w:fldCharType="separate"/>
      </w:r>
      <w:r>
        <w:t>50</w:t>
      </w:r>
      <w:r>
        <w:fldChar w:fldCharType="end"/>
      </w:r>
    </w:p>
    <w:p>
      <w:pPr>
        <w:pStyle w:val="TOC8"/>
        <w:rPr>
          <w:sz w:val="24"/>
          <w:szCs w:val="24"/>
          <w:lang w:val="en-US"/>
        </w:rPr>
      </w:pPr>
      <w:r>
        <w:t>44.</w:t>
      </w:r>
      <w:r>
        <w:tab/>
        <w:t>Regulations</w:t>
      </w:r>
      <w:r>
        <w:tab/>
      </w:r>
      <w:r>
        <w:fldChar w:fldCharType="begin"/>
      </w:r>
      <w:r>
        <w:instrText xml:space="preserve"> PAGEREF _Toc336264941 \h </w:instrText>
      </w:r>
      <w:r>
        <w:fldChar w:fldCharType="separate"/>
      </w:r>
      <w:r>
        <w:t>50</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_Toc336264943 \h </w:instrText>
      </w:r>
      <w:r>
        <w:fldChar w:fldCharType="separate"/>
      </w:r>
      <w:r>
        <w:t>52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pPr>
      <w:r>
        <w:t>Surveillance Devices Act 1998</w:t>
      </w:r>
    </w:p>
    <w:p>
      <w:pPr>
        <w:pStyle w:val="LongTitle"/>
      </w:pPr>
      <w:r>
        <w:t xml:space="preserve">An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t xml:space="preserve"> </w:t>
      </w:r>
      <w:r>
        <w:rPr>
          <w:vertAlign w:val="superscript"/>
        </w:rPr>
        <w:t>2</w:t>
      </w:r>
      <w:r>
        <w:rPr>
          <w:iCs/>
        </w:rPr>
        <w:t xml:space="preserve">, </w:t>
      </w:r>
      <w:r>
        <w:t xml:space="preserve">to amend the </w:t>
      </w:r>
      <w:r>
        <w:rPr>
          <w:i/>
        </w:rPr>
        <w:t>Evidence Act 1906</w:t>
      </w:r>
      <w:r>
        <w:t xml:space="preserve"> </w:t>
      </w:r>
      <w:r>
        <w:rPr>
          <w:vertAlign w:val="superscript"/>
        </w:rPr>
        <w:t>3</w:t>
      </w:r>
      <w:r>
        <w:rPr>
          <w:i/>
        </w:rPr>
        <w:t xml:space="preserve"> </w:t>
      </w:r>
      <w:r>
        <w:t>with regard to transcripts of recordings, and for connected purposes.</w:t>
      </w:r>
    </w:p>
    <w:p>
      <w:pPr>
        <w:pStyle w:val="Heading2"/>
      </w:pPr>
      <w:bookmarkStart w:id="1" w:name="_Toc62006581"/>
      <w:bookmarkStart w:id="2" w:name="_Toc89515448"/>
      <w:bookmarkStart w:id="3" w:name="_Toc89755155"/>
      <w:bookmarkStart w:id="4" w:name="_Toc90093901"/>
      <w:bookmarkStart w:id="5" w:name="_Toc90717945"/>
      <w:bookmarkStart w:id="6" w:name="_Toc92605779"/>
      <w:bookmarkStart w:id="7" w:name="_Toc92605910"/>
      <w:bookmarkStart w:id="8" w:name="_Toc92798619"/>
      <w:bookmarkStart w:id="9" w:name="_Toc92798682"/>
      <w:bookmarkStart w:id="10" w:name="_Toc94587453"/>
      <w:bookmarkStart w:id="11" w:name="_Toc102534563"/>
      <w:bookmarkStart w:id="12" w:name="_Toc139953238"/>
      <w:bookmarkStart w:id="13" w:name="_Toc139953690"/>
      <w:bookmarkStart w:id="14" w:name="_Toc139966080"/>
      <w:bookmarkStart w:id="15" w:name="_Toc146020638"/>
      <w:bookmarkStart w:id="16" w:name="_Toc150246314"/>
      <w:bookmarkStart w:id="17" w:name="_Toc150311688"/>
      <w:bookmarkStart w:id="18" w:name="_Toc152492628"/>
      <w:bookmarkStart w:id="19" w:name="_Toc153679319"/>
      <w:bookmarkStart w:id="20" w:name="_Toc154201267"/>
      <w:bookmarkStart w:id="21" w:name="_Toc325551730"/>
      <w:bookmarkStart w:id="22" w:name="_Toc3362648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535376990"/>
      <w:bookmarkStart w:id="24" w:name="_Toc13119119"/>
      <w:bookmarkStart w:id="25" w:name="_Toc53543123"/>
      <w:bookmarkStart w:id="26" w:name="_Toc102534564"/>
      <w:bookmarkStart w:id="27" w:name="_Toc336264881"/>
      <w:r>
        <w:rPr>
          <w:rStyle w:val="CharSectno"/>
        </w:rPr>
        <w:t>1</w:t>
      </w:r>
      <w:r>
        <w:t>.</w:t>
      </w:r>
      <w:r>
        <w:tab/>
        <w:t>Short title</w:t>
      </w:r>
      <w:bookmarkEnd w:id="23"/>
      <w:bookmarkEnd w:id="24"/>
      <w:bookmarkEnd w:id="25"/>
      <w:bookmarkEnd w:id="26"/>
      <w:bookmarkEnd w:id="27"/>
    </w:p>
    <w:p>
      <w:pPr>
        <w:pStyle w:val="Subsection"/>
      </w:pPr>
      <w:r>
        <w:tab/>
      </w:r>
      <w:r>
        <w:tab/>
        <w:t xml:space="preserve">This Act may be cited as the </w:t>
      </w:r>
      <w:r>
        <w:rPr>
          <w:i/>
        </w:rPr>
        <w:t>Surveillance Devices Act 1998</w:t>
      </w:r>
      <w:r>
        <w:rPr>
          <w:vertAlign w:val="superscript"/>
        </w:rPr>
        <w:t> 1</w:t>
      </w:r>
      <w:r>
        <w:t>.</w:t>
      </w:r>
    </w:p>
    <w:p>
      <w:pPr>
        <w:pStyle w:val="Heading5"/>
      </w:pPr>
      <w:bookmarkStart w:id="28" w:name="_Toc535376991"/>
      <w:bookmarkStart w:id="29" w:name="_Toc13119120"/>
      <w:bookmarkStart w:id="30" w:name="_Toc53543124"/>
      <w:bookmarkStart w:id="31" w:name="_Toc102534565"/>
      <w:bookmarkStart w:id="32" w:name="_Toc336264882"/>
      <w:r>
        <w:rPr>
          <w:rStyle w:val="CharSectno"/>
        </w:rPr>
        <w:t>2</w:t>
      </w:r>
      <w:r>
        <w:t>.</w:t>
      </w:r>
      <w:r>
        <w:tab/>
        <w:t>Commencement</w:t>
      </w:r>
      <w:bookmarkEnd w:id="28"/>
      <w:bookmarkEnd w:id="29"/>
      <w:bookmarkEnd w:id="30"/>
      <w:bookmarkEnd w:id="31"/>
      <w:bookmarkEnd w:id="32"/>
    </w:p>
    <w:p>
      <w:pPr>
        <w:pStyle w:val="Subsection"/>
      </w:pPr>
      <w:r>
        <w:tab/>
      </w:r>
      <w:r>
        <w:tab/>
        <w:t>This Act comes into operation on such day as is, or days as are respectively, fixed by proclamation</w:t>
      </w:r>
      <w:r>
        <w:rPr>
          <w:vertAlign w:val="superscript"/>
        </w:rPr>
        <w:t> 1</w:t>
      </w:r>
      <w:r>
        <w:t>.</w:t>
      </w:r>
    </w:p>
    <w:p>
      <w:pPr>
        <w:pStyle w:val="Heading5"/>
      </w:pPr>
      <w:bookmarkStart w:id="33" w:name="_Toc535376992"/>
      <w:bookmarkStart w:id="34" w:name="_Toc13119121"/>
      <w:bookmarkStart w:id="35" w:name="_Toc53543125"/>
      <w:bookmarkStart w:id="36" w:name="_Toc102534566"/>
      <w:bookmarkStart w:id="37" w:name="_Toc336264883"/>
      <w:r>
        <w:rPr>
          <w:rStyle w:val="CharSectno"/>
        </w:rPr>
        <w:t>3</w:t>
      </w:r>
      <w:r>
        <w:t>.</w:t>
      </w:r>
      <w:r>
        <w:tab/>
        <w:t>Interpretation</w:t>
      </w:r>
      <w:bookmarkEnd w:id="33"/>
      <w:bookmarkEnd w:id="34"/>
      <w:bookmarkEnd w:id="35"/>
      <w:bookmarkEnd w:id="36"/>
      <w:bookmarkEnd w:id="37"/>
    </w:p>
    <w:p>
      <w:pPr>
        <w:pStyle w:val="Subsection"/>
      </w:pPr>
      <w:r>
        <w:tab/>
        <w:t>(1)</w:t>
      </w:r>
      <w:r>
        <w:tab/>
        <w:t xml:space="preserve">In this Act, unless the contrary intention appears — </w:t>
      </w:r>
    </w:p>
    <w:p>
      <w:pPr>
        <w:pStyle w:val="Defstart"/>
      </w:pPr>
      <w:r>
        <w:rPr>
          <w:b/>
        </w:rPr>
        <w:tab/>
      </w:r>
      <w:r>
        <w:rPr>
          <w:rStyle w:val="CharDefText"/>
        </w:rPr>
        <w:t>Attorney General</w:t>
      </w:r>
      <w:r>
        <w:t xml:space="preserve"> means the Attorney General of the State or, where there is a vacancy in the office of Attorney General, the Minister for Justice of the State;</w:t>
      </w:r>
    </w:p>
    <w:p>
      <w:pPr>
        <w:pStyle w:val="Defstart"/>
      </w:pPr>
      <w:r>
        <w:rPr>
          <w:b/>
        </w:rPr>
        <w:tab/>
      </w:r>
      <w:r>
        <w:rPr>
          <w:rStyle w:val="CharDefText"/>
        </w:rPr>
        <w:t>Australian Crime Commission</w:t>
      </w:r>
      <w:r>
        <w:t xml:space="preserve"> means the Australian Crime Commission established by the </w:t>
      </w:r>
      <w:r>
        <w:rPr>
          <w:i/>
        </w:rPr>
        <w:t>Australian Crime Commission Act 2002</w:t>
      </w:r>
      <w:r>
        <w:t xml:space="preserve"> of the Commonwealth;</w:t>
      </w:r>
    </w:p>
    <w:p>
      <w:pPr>
        <w:pStyle w:val="Defstart"/>
      </w:pPr>
      <w:r>
        <w:rPr>
          <w:b/>
        </w:rPr>
        <w:tab/>
      </w:r>
      <w:r>
        <w:rPr>
          <w:rStyle w:val="CharDefText"/>
        </w:rPr>
        <w:t>authorised person</w:t>
      </w:r>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in the case of the Corruption and Crime Commission, an officer of the Corruption and Crime Commission authorised for that purpose by the Commission;</w:t>
      </w:r>
    </w:p>
    <w:p>
      <w:pPr>
        <w:pStyle w:val="Defpara"/>
      </w:pPr>
      <w:r>
        <w:tab/>
        <w:t>(b)</w:t>
      </w:r>
      <w:r>
        <w:tab/>
        <w:t>in the case of a designated Commission, a person authorised for the purpose by the designated Commission; and</w:t>
      </w:r>
    </w:p>
    <w:p>
      <w:pPr>
        <w:pStyle w:val="Defpara"/>
      </w:pPr>
      <w:r>
        <w:tab/>
        <w:t>(c)</w:t>
      </w:r>
      <w:r>
        <w:tab/>
        <w:t>in the case of the Australian Crime Commission, a person authorised for the purpose by the Chair of the Board of the Australian Crime Commission;</w:t>
      </w:r>
    </w:p>
    <w:p>
      <w:pPr>
        <w:pStyle w:val="Defstart"/>
      </w:pPr>
      <w:r>
        <w:rPr>
          <w:b/>
        </w:rPr>
        <w:tab/>
      </w:r>
      <w:r>
        <w:rPr>
          <w:rStyle w:val="CharDefText"/>
        </w:rPr>
        <w:t>building</w:t>
      </w:r>
      <w:r>
        <w:t xml:space="preserve"> includes any structure;</w:t>
      </w:r>
    </w:p>
    <w:p>
      <w:pPr>
        <w:pStyle w:val="Defstart"/>
        <w:rPr>
          <w:b/>
        </w:rPr>
      </w:pPr>
      <w:r>
        <w:rPr>
          <w:b/>
        </w:rPr>
        <w:tab/>
      </w:r>
      <w:r>
        <w:rPr>
          <w:rStyle w:val="CharDefText"/>
        </w:rPr>
        <w:t>Chief Magistrate</w:t>
      </w:r>
      <w:r>
        <w:rPr>
          <w:b/>
        </w:rPr>
        <w:t xml:space="preserve"> </w:t>
      </w:r>
      <w:r>
        <w:t xml:space="preserve">means the Chief Magistrate of the </w:t>
      </w:r>
      <w:smartTag w:uri="urn:schemas-microsoft-com:office:smarttags" w:element="Street">
        <w:smartTag w:uri="urn:schemas-microsoft-com:office:smarttags" w:element="address">
          <w:r>
            <w:t>Magistrates Court</w:t>
          </w:r>
        </w:smartTag>
      </w:smartTag>
      <w:r>
        <w:t>;</w:t>
      </w:r>
    </w:p>
    <w:p>
      <w:pPr>
        <w:pStyle w:val="Defstart"/>
      </w:pPr>
      <w:r>
        <w:rPr>
          <w:b/>
        </w:rPr>
        <w:tab/>
      </w:r>
      <w:r>
        <w:rPr>
          <w:rStyle w:val="CharDefText"/>
        </w:rPr>
        <w:t>composite emergency authorisation</w:t>
      </w:r>
      <w:r>
        <w:t xml:space="preserve"> means an emergency authorisation issued under Division 2 of Part 4 in respect of more than one kind of surveillance device or a surveillance device that has more than one kind of function;</w:t>
      </w:r>
    </w:p>
    <w:p>
      <w:pPr>
        <w:pStyle w:val="Defstart"/>
      </w:pPr>
      <w:r>
        <w:rPr>
          <w:b/>
        </w:rPr>
        <w:tab/>
      </w:r>
      <w:r>
        <w:rPr>
          <w:rStyle w:val="CharDefText"/>
        </w:rPr>
        <w:t>composite warrant</w:t>
      </w:r>
      <w:r>
        <w:t xml:space="preserve"> means a warrant issued under section 13(10) or 22(4) in respect of more than one kind of surveillance device or a surveillance device that has more than one kind of function;</w:t>
      </w:r>
    </w:p>
    <w:p>
      <w:pPr>
        <w:pStyle w:val="Defstart"/>
      </w:pPr>
      <w:r>
        <w:rPr>
          <w:b/>
        </w:rPr>
        <w:tab/>
      </w:r>
      <w:r>
        <w:rPr>
          <w:rStyle w:val="CharDefText"/>
        </w:rPr>
        <w:t>connected device</w:t>
      </w:r>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r>
        <w:rPr>
          <w:rStyle w:val="CharDefText"/>
        </w:rPr>
        <w:t>Corruption and Crime Commission</w:t>
      </w:r>
      <w:r>
        <w:t xml:space="preserve"> has the meaning given to “Commission” in section 3 of the </w:t>
      </w:r>
      <w:r>
        <w:rPr>
          <w:i/>
        </w:rPr>
        <w:t>Corruption and Crime Commission Act 2003</w:t>
      </w:r>
      <w:r>
        <w:t>;</w:t>
      </w:r>
    </w:p>
    <w:p>
      <w:pPr>
        <w:pStyle w:val="Defstart"/>
      </w:pPr>
      <w:r>
        <w:tab/>
      </w:r>
      <w:r>
        <w:rPr>
          <w:rStyle w:val="CharDefText"/>
        </w:rPr>
        <w:t>designated Commission</w:t>
      </w:r>
      <w:r>
        <w:t xml:space="preserve"> means a Royal Commission under the </w:t>
      </w:r>
      <w:r>
        <w:rPr>
          <w:i/>
        </w:rPr>
        <w:t xml:space="preserve">Royal Commissions Act 1968 </w:t>
      </w:r>
      <w:r>
        <w:t>to which, by the terms of appointment or in an instrument made by the Governor, this Act is expressly declared to apply;</w:t>
      </w:r>
    </w:p>
    <w:p>
      <w:pPr>
        <w:pStyle w:val="Defstart"/>
      </w:pPr>
      <w:r>
        <w:rPr>
          <w:b/>
        </w:rPr>
        <w:tab/>
      </w:r>
      <w:r>
        <w:rPr>
          <w:rStyle w:val="CharDefText"/>
        </w:rPr>
        <w:t>emergency authorisation</w:t>
      </w:r>
      <w:r>
        <w:t xml:space="preserve"> means an authorisation issued by an authorised person to a member of the police force of the State, an officer of the Corruption and Crime Commission, an officer of a designated Commission or a member of the staff of the Australian Crime Commission under section 21;</w:t>
      </w:r>
    </w:p>
    <w:p>
      <w:pPr>
        <w:pStyle w:val="Defstart"/>
      </w:pPr>
      <w:r>
        <w:rPr>
          <w:b/>
        </w:rPr>
        <w:tab/>
      </w:r>
      <w:r>
        <w:rPr>
          <w:rStyle w:val="CharDefText"/>
        </w:rPr>
        <w:t>external indictable drug offence</w:t>
      </w:r>
      <w:r>
        <w:t xml:space="preserve"> means an offence under the law of a State (other than Western Australia) or a Territory that corresponds to an offence of a kind referred to in the definition of “indictable drug offence”;</w:t>
      </w:r>
    </w:p>
    <w:p>
      <w:pPr>
        <w:pStyle w:val="Defstart"/>
      </w:pPr>
      <w:r>
        <w:rPr>
          <w:b/>
        </w:rPr>
        <w:tab/>
      </w:r>
      <w:r>
        <w:rPr>
          <w:rStyle w:val="CharDefText"/>
        </w:rPr>
        <w:t>indictable drug offence</w:t>
      </w:r>
      <w:r>
        <w:t xml:space="preserve"> means an offence under section 6(1), 7(1), 33(1)(a), 33(2)(a) or 33(3)(a) of the </w:t>
      </w:r>
      <w:r>
        <w:rPr>
          <w:i/>
        </w:rPr>
        <w:t>Misuse of Drugs Act 1981</w:t>
      </w:r>
      <w:r>
        <w:t>;</w:t>
      </w:r>
    </w:p>
    <w:p>
      <w:pPr>
        <w:pStyle w:val="Defstart"/>
        <w:keepNext/>
      </w:pPr>
      <w:r>
        <w:rPr>
          <w:b/>
        </w:rPr>
        <w:tab/>
      </w:r>
      <w:r>
        <w:rPr>
          <w:rStyle w:val="CharDefText"/>
        </w:rPr>
        <w:t>law enforcement officer</w:t>
      </w:r>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Defpara"/>
      </w:pPr>
      <w:r>
        <w:tab/>
        <w:t>(b)</w:t>
      </w:r>
      <w:r>
        <w:tab/>
        <w:t>an officer of a designated Commission;</w:t>
      </w:r>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r>
      <w:r>
        <w:rPr>
          <w:rStyle w:val="CharDefText"/>
        </w:rPr>
        <w:t>listen to</w:t>
      </w:r>
      <w:r>
        <w:t xml:space="preserve"> includes hear;</w:t>
      </w:r>
    </w:p>
    <w:p>
      <w:pPr>
        <w:pStyle w:val="Defstart"/>
      </w:pPr>
      <w:r>
        <w:rPr>
          <w:b/>
        </w:rPr>
        <w:tab/>
      </w:r>
      <w:r>
        <w:rPr>
          <w:rStyle w:val="CharDefText"/>
        </w:rPr>
        <w:t>listening device</w:t>
      </w:r>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r>
      <w:r>
        <w:rPr>
          <w:rStyle w:val="CharDefText"/>
        </w:rPr>
        <w:t>listening device warrant</w:t>
      </w:r>
      <w:r>
        <w:t xml:space="preserve"> means a warrant issued under Part 4 by a judge to authorise the installation, use, maintenance, and retrieval of a listening device;</w:t>
      </w:r>
    </w:p>
    <w:p>
      <w:pPr>
        <w:pStyle w:val="Defstart"/>
      </w:pPr>
      <w:r>
        <w:rPr>
          <w:b/>
        </w:rPr>
        <w:tab/>
      </w:r>
      <w:r>
        <w:rPr>
          <w:rStyle w:val="CharDefText"/>
        </w:rPr>
        <w:t>maintain</w:t>
      </w:r>
      <w:r>
        <w:t>, in relation to a surveillance device, includes adjust, repair, reposition, and service;</w:t>
      </w:r>
    </w:p>
    <w:p>
      <w:pPr>
        <w:pStyle w:val="Defstart"/>
      </w:pPr>
      <w:r>
        <w:rPr>
          <w:b/>
        </w:rPr>
        <w:tab/>
      </w:r>
      <w:r>
        <w:rPr>
          <w:rStyle w:val="CharDefText"/>
        </w:rPr>
        <w:t>member of the staff of the Australian Crime Commission</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pPr>
      <w:r>
        <w:rPr>
          <w:b/>
        </w:rPr>
        <w:tab/>
      </w:r>
      <w:r>
        <w:rPr>
          <w:rStyle w:val="CharDefText"/>
        </w:rPr>
        <w:t>officer of a designated Commission</w:t>
      </w:r>
      <w:r>
        <w:t xml:space="preserve"> means — </w:t>
      </w:r>
    </w:p>
    <w:p>
      <w:pPr>
        <w:pStyle w:val="Defpara"/>
      </w:pPr>
      <w:r>
        <w:tab/>
        <w:t>(a)</w:t>
      </w:r>
      <w:r>
        <w:tab/>
        <w:t>a person appointed by the Attorney General to assist a designated Commission; or</w:t>
      </w:r>
    </w:p>
    <w:p>
      <w:pPr>
        <w:pStyle w:val="Defpara"/>
      </w:pPr>
      <w:r>
        <w:tab/>
        <w:t>(b)</w:t>
      </w:r>
      <w:r>
        <w:tab/>
        <w:t>any other person appointed, employed, seconded or engaged to assist a designated Commission;</w:t>
      </w:r>
    </w:p>
    <w:p>
      <w:pPr>
        <w:pStyle w:val="Defstart"/>
      </w:pPr>
      <w:r>
        <w:tab/>
      </w:r>
      <w:r>
        <w:rPr>
          <w:rStyle w:val="CharDefText"/>
        </w:rPr>
        <w:t>officer of the Corruption and Crime Commission</w:t>
      </w:r>
      <w:r>
        <w:t xml:space="preserve"> has the meaning given to “officer of the Commission” in section 3 of the </w:t>
      </w:r>
      <w:r>
        <w:rPr>
          <w:i/>
        </w:rPr>
        <w:t>Corruption and Crime Commission Act 2003</w:t>
      </w:r>
      <w:r>
        <w:t>;</w:t>
      </w:r>
    </w:p>
    <w:p>
      <w:pPr>
        <w:pStyle w:val="Defstart"/>
      </w:pPr>
      <w:r>
        <w:rPr>
          <w:b/>
        </w:rPr>
        <w:tab/>
      </w:r>
      <w:r>
        <w:rPr>
          <w:rStyle w:val="CharDefText"/>
        </w:rPr>
        <w:t>optical surveillance device</w:t>
      </w:r>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r>
      <w:r>
        <w:rPr>
          <w:rStyle w:val="CharDefText"/>
        </w:rPr>
        <w:t>optical surveillance device warrant</w:t>
      </w:r>
      <w:r>
        <w:t xml:space="preserve"> means a warrant issued under Part 4 by a judge to authorise the installation, use, maintenance, and retrieval of an optical surveillance device;</w:t>
      </w:r>
    </w:p>
    <w:p>
      <w:pPr>
        <w:pStyle w:val="Defstart"/>
      </w:pPr>
      <w:r>
        <w:rPr>
          <w:b/>
        </w:rPr>
        <w:tab/>
      </w:r>
      <w:r>
        <w:rPr>
          <w:rStyle w:val="CharDefText"/>
        </w:rPr>
        <w:t>party</w:t>
      </w:r>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r>
      <w:r>
        <w:rPr>
          <w:rStyle w:val="CharDefText"/>
        </w:rPr>
        <w:t>premises</w:t>
      </w:r>
      <w:r>
        <w:t xml:space="preserve"> includes all or part of any land, building, aircraft or vehicle, and any place whether built on or not;</w:t>
      </w:r>
    </w:p>
    <w:p>
      <w:pPr>
        <w:pStyle w:val="Defstart"/>
      </w:pPr>
      <w:r>
        <w:rPr>
          <w:b/>
        </w:rPr>
        <w:tab/>
      </w:r>
      <w:r>
        <w:rPr>
          <w:rStyle w:val="CharDefText"/>
        </w:rPr>
        <w:t>principal party</w:t>
      </w:r>
      <w:r>
        <w:t xml:space="preserve"> means — </w:t>
      </w:r>
    </w:p>
    <w:p>
      <w:pPr>
        <w:pStyle w:val="Defpara"/>
      </w:pPr>
      <w:r>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r>
      <w:r>
        <w:rPr>
          <w:rStyle w:val="CharDefText"/>
        </w:rPr>
        <w:t>private activity</w:t>
      </w:r>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r>
      <w:r>
        <w:rPr>
          <w:rStyle w:val="CharDefText"/>
        </w:rPr>
        <w:t>private conversation</w:t>
      </w:r>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r>
      <w:r>
        <w:rPr>
          <w:rStyle w:val="CharDefText"/>
        </w:rPr>
        <w:t>record</w:t>
      </w:r>
      <w:r>
        <w:t xml:space="preserve">, in relation to a private conversation, includes a statement prepared from such a record and </w:t>
      </w:r>
      <w:r>
        <w:rPr>
          <w:rStyle w:val="CharDefText"/>
        </w:rPr>
        <w:t>to record</w:t>
      </w:r>
      <w:r>
        <w:t xml:space="preserve"> includes visual and sound recording;</w:t>
      </w:r>
    </w:p>
    <w:p>
      <w:pPr>
        <w:pStyle w:val="Defstart"/>
      </w:pPr>
      <w:r>
        <w:rPr>
          <w:b/>
        </w:rPr>
        <w:tab/>
      </w:r>
      <w:r>
        <w:rPr>
          <w:rStyle w:val="CharDefText"/>
        </w:rPr>
        <w:t>report</w:t>
      </w:r>
      <w:r>
        <w:t>,</w:t>
      </w:r>
      <w:r>
        <w:rPr>
          <w:b/>
        </w:rPr>
        <w:t xml:space="preserve"> </w:t>
      </w:r>
      <w:r>
        <w:t>in relation to a private conversation, includes a report of the substance, meaning or purport of the conversation;</w:t>
      </w:r>
    </w:p>
    <w:p>
      <w:pPr>
        <w:pStyle w:val="Defstart"/>
      </w:pPr>
      <w:r>
        <w:rPr>
          <w:b/>
        </w:rPr>
        <w:tab/>
      </w:r>
      <w:r>
        <w:rPr>
          <w:rStyle w:val="CharDefText"/>
        </w:rPr>
        <w:t>surveillance device</w:t>
      </w:r>
      <w:r>
        <w:t xml:space="preserve"> means a listening device, an optical surveillance device or a tracking device;</w:t>
      </w:r>
    </w:p>
    <w:p>
      <w:pPr>
        <w:pStyle w:val="Defstart"/>
      </w:pPr>
      <w:r>
        <w:rPr>
          <w:b/>
        </w:rPr>
        <w:tab/>
      </w:r>
      <w:r>
        <w:rPr>
          <w:rStyle w:val="CharDefText"/>
        </w:rPr>
        <w:t>surveillance device (retrieval) warrant</w:t>
      </w:r>
      <w:r>
        <w:t xml:space="preserve"> means a warrant issued under section 22 by a judge to authorise the retrieval of a surveillance device that has been attached or installed in accordance with an emergency authorisation issued under section 21;</w:t>
      </w:r>
    </w:p>
    <w:p>
      <w:pPr>
        <w:pStyle w:val="Defstart"/>
      </w:pPr>
      <w:r>
        <w:rPr>
          <w:b/>
        </w:rPr>
        <w:tab/>
      </w:r>
      <w:r>
        <w:rPr>
          <w:rStyle w:val="CharDefText"/>
        </w:rPr>
        <w:t>tracking device</w:t>
      </w:r>
      <w:r>
        <w:t xml:space="preserve"> means any instrument, apparatus, equipment, or other device capable of being used to determine the geographical location of a person or object;</w:t>
      </w:r>
    </w:p>
    <w:p>
      <w:pPr>
        <w:pStyle w:val="Defstart"/>
      </w:pPr>
      <w:r>
        <w:rPr>
          <w:b/>
        </w:rPr>
        <w:tab/>
      </w:r>
      <w:r>
        <w:rPr>
          <w:rStyle w:val="CharDefText"/>
        </w:rPr>
        <w:t>tracking device (maintenance/retrieval) warrant</w:t>
      </w:r>
      <w:r>
        <w:t xml:space="preserve"> means a warrant issued under section 14 to authorise the maintenance or retrieval or the maintenance and retrieval of a tracking device or devices that have been attached or installed on a vehicle situated in a public place by a person referred to in section 7(2)(a);</w:t>
      </w:r>
    </w:p>
    <w:p>
      <w:pPr>
        <w:pStyle w:val="Defstart"/>
      </w:pPr>
      <w:r>
        <w:rPr>
          <w:b/>
        </w:rPr>
        <w:tab/>
      </w:r>
      <w:r>
        <w:rPr>
          <w:rStyle w:val="CharDefText"/>
        </w:rPr>
        <w:t>tracking device warrant</w:t>
      </w:r>
      <w:r>
        <w:t xml:space="preserve"> means a warrant issued under Part 4 to authorise the attachment, installation, use, maintenance and retrieval of a tracking device;</w:t>
      </w:r>
    </w:p>
    <w:p>
      <w:pPr>
        <w:pStyle w:val="Defstart"/>
      </w:pPr>
      <w:r>
        <w:rPr>
          <w:b/>
        </w:rPr>
        <w:tab/>
      </w:r>
      <w:r>
        <w:rPr>
          <w:rStyle w:val="CharDefText"/>
        </w:rPr>
        <w:t>vehicle</w:t>
      </w:r>
      <w:r>
        <w:t xml:space="preserve"> includes a vessel;</w:t>
      </w:r>
    </w:p>
    <w:p>
      <w:pPr>
        <w:pStyle w:val="Defstart"/>
      </w:pPr>
      <w:r>
        <w:rPr>
          <w:b/>
        </w:rPr>
        <w:tab/>
      </w:r>
      <w:r>
        <w:rPr>
          <w:rStyle w:val="CharDefText"/>
        </w:rPr>
        <w:t>warrant</w:t>
      </w:r>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Subsection"/>
      </w:pPr>
      <w:r>
        <w:tab/>
        <w:t>(3)</w:t>
      </w:r>
      <w:r>
        <w:tab/>
        <w:t xml:space="preserve">For the purposes of a designated Commission this Act operates as if — </w:t>
      </w:r>
    </w:p>
    <w:p>
      <w:pPr>
        <w:pStyle w:val="Indenta"/>
      </w:pPr>
      <w:r>
        <w:tab/>
        <w:t>(a)</w:t>
      </w:r>
      <w:r>
        <w:tab/>
        <w:t>a reference in section 5(3)(b) or 6(3)(b)(ii) to a suspected criminal offence included a reference to suspected misconduct;</w:t>
      </w:r>
    </w:p>
    <w:p>
      <w:pPr>
        <w:pStyle w:val="Indenta"/>
      </w:pPr>
      <w:r>
        <w:tab/>
        <w:t>(b)</w:t>
      </w:r>
      <w:r>
        <w:tab/>
        <w:t>a reference in section 13(1)(a) or (b), (2)(a) or (8)(a) or 17(1)(a) or (b) to an offence included a reference to an act of misconduct; and</w:t>
      </w:r>
    </w:p>
    <w:p>
      <w:pPr>
        <w:pStyle w:val="Indenta"/>
      </w:pPr>
      <w:r>
        <w:tab/>
        <w:t>(c)</w:t>
      </w:r>
      <w:r>
        <w:tab/>
        <w:t>a reference in section 13(1)(b), (2)(a) or (8)(a) or 17(1)(b) to a suspected offence included a reference to suspected misconduct.</w:t>
      </w:r>
    </w:p>
    <w:p>
      <w:pPr>
        <w:pStyle w:val="Subsection"/>
      </w:pPr>
      <w:r>
        <w:tab/>
        <w:t>(4)</w:t>
      </w:r>
      <w:r>
        <w:tab/>
        <w:t xml:space="preserve">In subsection (3) — </w:t>
      </w:r>
    </w:p>
    <w:p>
      <w:pPr>
        <w:pStyle w:val="Defstart"/>
      </w:pPr>
      <w:r>
        <w:tab/>
      </w:r>
      <w:r>
        <w:rPr>
          <w:rStyle w:val="CharDefText"/>
        </w:rPr>
        <w:t>misconduct</w:t>
      </w:r>
      <w:r>
        <w:t xml:space="preserve"> has the meaning given to that term by section 4 of the </w:t>
      </w:r>
      <w:r>
        <w:rPr>
          <w:i/>
        </w:rPr>
        <w:t>Corruption and Crime Commission Act 2003</w:t>
      </w:r>
      <w:r>
        <w:t>.</w:t>
      </w:r>
    </w:p>
    <w:p>
      <w:pPr>
        <w:pStyle w:val="Footnotesection"/>
      </w:pPr>
      <w:r>
        <w:tab/>
        <w:t>[Section 3 amended by No. 78 of 2003 s. 74; No. 59 of 2004 s. 141; No. 62 of 2004 s. 9(3); No. 74 of 2004 s. 72(2); No. 30 of 2006 s. 16.]</w:t>
      </w:r>
    </w:p>
    <w:p>
      <w:pPr>
        <w:pStyle w:val="Heading5"/>
      </w:pPr>
      <w:bookmarkStart w:id="38" w:name="_Toc535376993"/>
      <w:bookmarkStart w:id="39" w:name="_Toc13119122"/>
      <w:bookmarkStart w:id="40" w:name="_Toc53543126"/>
      <w:bookmarkStart w:id="41" w:name="_Toc102534567"/>
      <w:bookmarkStart w:id="42" w:name="_Toc336264884"/>
      <w:r>
        <w:rPr>
          <w:rStyle w:val="CharSectno"/>
        </w:rPr>
        <w:t>4</w:t>
      </w:r>
      <w:r>
        <w:t>.</w:t>
      </w:r>
      <w:r>
        <w:tab/>
        <w:t>Application</w:t>
      </w:r>
      <w:bookmarkEnd w:id="38"/>
      <w:bookmarkEnd w:id="39"/>
      <w:bookmarkEnd w:id="40"/>
      <w:bookmarkEnd w:id="41"/>
      <w:bookmarkEnd w:id="42"/>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pPr>
      <w:bookmarkStart w:id="43" w:name="_Toc325379886"/>
      <w:bookmarkStart w:id="44" w:name="_Toc336249882"/>
      <w:bookmarkStart w:id="45" w:name="_Toc336264885"/>
      <w:bookmarkStart w:id="46" w:name="_Toc535376994"/>
      <w:bookmarkStart w:id="47" w:name="_Toc13119123"/>
      <w:bookmarkStart w:id="48" w:name="_Toc53543127"/>
      <w:bookmarkStart w:id="49" w:name="_Toc102534568"/>
      <w:r>
        <w:rPr>
          <w:rStyle w:val="CharSectno"/>
        </w:rPr>
        <w:t>4AA</w:t>
      </w:r>
      <w:r>
        <w:t>.</w:t>
      </w:r>
      <w:r>
        <w:tab/>
        <w:t>Authority required for some investigations</w:t>
      </w:r>
      <w:bookmarkEnd w:id="43"/>
      <w:bookmarkEnd w:id="44"/>
      <w:bookmarkEnd w:id="45"/>
    </w:p>
    <w:p>
      <w:pPr>
        <w:pStyle w:val="Subsection"/>
      </w:pPr>
      <w:r>
        <w:tab/>
      </w:r>
      <w:r>
        <w:tab/>
        <w:t xml:space="preserve">This Act is subject to the </w:t>
      </w:r>
      <w:r>
        <w:rPr>
          <w:i/>
        </w:rPr>
        <w:t>Criminal Appeals Act 2004</w:t>
      </w:r>
      <w:r>
        <w:t xml:space="preserve"> section 46C.</w:t>
      </w:r>
    </w:p>
    <w:p>
      <w:pPr>
        <w:pStyle w:val="Footnotesection"/>
      </w:pPr>
      <w:r>
        <w:tab/>
        <w:t>[Section 4AA inserted by No. 9 of 2012 s. 11.]</w:t>
      </w:r>
    </w:p>
    <w:p>
      <w:pPr>
        <w:pStyle w:val="Heading5"/>
      </w:pPr>
      <w:bookmarkStart w:id="50" w:name="_Toc336264886"/>
      <w:r>
        <w:rPr>
          <w:rStyle w:val="CharSectno"/>
        </w:rPr>
        <w:t>4A</w:t>
      </w:r>
      <w:r>
        <w:t>.</w:t>
      </w:r>
      <w:r>
        <w:tab/>
        <w:t xml:space="preserve">State police working for </w:t>
      </w:r>
      <w:bookmarkEnd w:id="46"/>
      <w:bookmarkEnd w:id="47"/>
      <w:bookmarkEnd w:id="48"/>
      <w:r>
        <w:t>Australian Crime Commission</w:t>
      </w:r>
      <w:bookmarkEnd w:id="49"/>
      <w:bookmarkEnd w:id="50"/>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 by No. 35 of 2001 s. 4; amended by No. 74 of 2004 s. 72(3).]</w:t>
      </w:r>
    </w:p>
    <w:p>
      <w:pPr>
        <w:pStyle w:val="Ednotesection"/>
      </w:pPr>
      <w:r>
        <w:t>[</w:t>
      </w:r>
      <w:r>
        <w:rPr>
          <w:b/>
        </w:rPr>
        <w:t>4B.</w:t>
      </w:r>
      <w:r>
        <w:tab/>
        <w:t xml:space="preserve">Expired 16 Apr 2004 </w:t>
      </w:r>
      <w:r>
        <w:rPr>
          <w:vertAlign w:val="superscript"/>
        </w:rPr>
        <w:t>4</w:t>
      </w:r>
      <w:r>
        <w:t>.]</w:t>
      </w:r>
    </w:p>
    <w:p>
      <w:pPr>
        <w:pStyle w:val="Heading2"/>
      </w:pPr>
      <w:bookmarkStart w:id="51" w:name="_Toc62006588"/>
      <w:bookmarkStart w:id="52" w:name="_Toc89515454"/>
      <w:bookmarkStart w:id="53" w:name="_Toc89755161"/>
      <w:bookmarkStart w:id="54" w:name="_Toc90093907"/>
      <w:bookmarkStart w:id="55" w:name="_Toc90717951"/>
      <w:bookmarkStart w:id="56" w:name="_Toc92605785"/>
      <w:bookmarkStart w:id="57" w:name="_Toc92605916"/>
      <w:bookmarkStart w:id="58" w:name="_Toc92798625"/>
      <w:bookmarkStart w:id="59" w:name="_Toc92798688"/>
      <w:bookmarkStart w:id="60" w:name="_Toc94587459"/>
      <w:bookmarkStart w:id="61" w:name="_Toc102534569"/>
      <w:bookmarkStart w:id="62" w:name="_Toc139953244"/>
      <w:bookmarkStart w:id="63" w:name="_Toc139953696"/>
      <w:bookmarkStart w:id="64" w:name="_Toc139966086"/>
      <w:bookmarkStart w:id="65" w:name="_Toc146020644"/>
      <w:bookmarkStart w:id="66" w:name="_Toc150246320"/>
      <w:bookmarkStart w:id="67" w:name="_Toc150311694"/>
      <w:bookmarkStart w:id="68" w:name="_Toc152492634"/>
      <w:bookmarkStart w:id="69" w:name="_Toc153679325"/>
      <w:bookmarkStart w:id="70" w:name="_Toc154201273"/>
      <w:bookmarkStart w:id="71" w:name="_Toc325551736"/>
      <w:bookmarkStart w:id="72" w:name="_Toc336264887"/>
      <w:r>
        <w:rPr>
          <w:rStyle w:val="CharPartNo"/>
        </w:rPr>
        <w:t>Part 2</w:t>
      </w:r>
      <w:r>
        <w:rPr>
          <w:rStyle w:val="CharDivNo"/>
        </w:rPr>
        <w:t> </w:t>
      </w:r>
      <w:r>
        <w:t>—</w:t>
      </w:r>
      <w:r>
        <w:rPr>
          <w:rStyle w:val="CharDivText"/>
        </w:rPr>
        <w:t> </w:t>
      </w:r>
      <w:r>
        <w:rPr>
          <w:rStyle w:val="CharPartText"/>
        </w:rPr>
        <w:t>Regulation of installation and use of surveillance devices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535376995"/>
      <w:bookmarkStart w:id="74" w:name="_Toc13119125"/>
      <w:bookmarkStart w:id="75" w:name="_Toc53543129"/>
      <w:bookmarkStart w:id="76" w:name="_Toc102534570"/>
      <w:bookmarkStart w:id="77" w:name="_Toc336264888"/>
      <w:r>
        <w:rPr>
          <w:rStyle w:val="CharSectno"/>
        </w:rPr>
        <w:t>5</w:t>
      </w:r>
      <w:r>
        <w:t>.</w:t>
      </w:r>
      <w:r>
        <w:tab/>
        <w:t>Regulation of use, installation and maintenance of listening devices</w:t>
      </w:r>
      <w:bookmarkEnd w:id="73"/>
      <w:bookmarkEnd w:id="74"/>
      <w:bookmarkEnd w:id="75"/>
      <w:bookmarkEnd w:id="76"/>
      <w:bookmarkEnd w:id="77"/>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78" w:name="_Toc535376996"/>
      <w:bookmarkStart w:id="79" w:name="_Toc13119126"/>
      <w:bookmarkStart w:id="80" w:name="_Toc53543130"/>
      <w:bookmarkStart w:id="81" w:name="_Toc102534571"/>
      <w:bookmarkStart w:id="82" w:name="_Toc336264889"/>
      <w:r>
        <w:rPr>
          <w:rStyle w:val="CharSectno"/>
        </w:rPr>
        <w:t>6</w:t>
      </w:r>
      <w:r>
        <w:t>.</w:t>
      </w:r>
      <w:r>
        <w:tab/>
        <w:t>Regulation of use, installation and maintenance of optical surveillance devices</w:t>
      </w:r>
      <w:bookmarkEnd w:id="78"/>
      <w:bookmarkEnd w:id="79"/>
      <w:bookmarkEnd w:id="80"/>
      <w:bookmarkEnd w:id="81"/>
      <w:bookmarkEnd w:id="82"/>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83" w:name="_Toc535376997"/>
      <w:bookmarkStart w:id="84" w:name="_Toc13119127"/>
      <w:bookmarkStart w:id="85" w:name="_Toc53543131"/>
      <w:bookmarkStart w:id="86" w:name="_Toc102534572"/>
      <w:bookmarkStart w:id="87" w:name="_Toc336264890"/>
      <w:r>
        <w:rPr>
          <w:rStyle w:val="CharSectno"/>
        </w:rPr>
        <w:t>7</w:t>
      </w:r>
      <w:r>
        <w:t>.</w:t>
      </w:r>
      <w:r>
        <w:tab/>
        <w:t>Regulation of use, installation and maintenance of tracking devices</w:t>
      </w:r>
      <w:bookmarkEnd w:id="83"/>
      <w:bookmarkEnd w:id="84"/>
      <w:bookmarkEnd w:id="85"/>
      <w:bookmarkEnd w:id="86"/>
      <w:bookmarkEnd w:id="87"/>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88" w:name="_Toc535376998"/>
      <w:bookmarkStart w:id="89" w:name="_Toc13119128"/>
      <w:bookmarkStart w:id="90" w:name="_Toc53543132"/>
      <w:bookmarkStart w:id="91" w:name="_Toc102534573"/>
      <w:bookmarkStart w:id="92" w:name="_Toc336264891"/>
      <w:r>
        <w:rPr>
          <w:rStyle w:val="CharSectno"/>
        </w:rPr>
        <w:t>8</w:t>
      </w:r>
      <w:r>
        <w:t>.</w:t>
      </w:r>
      <w:r>
        <w:tab/>
        <w:t>Technical assistance</w:t>
      </w:r>
      <w:bookmarkEnd w:id="88"/>
      <w:bookmarkEnd w:id="89"/>
      <w:bookmarkEnd w:id="90"/>
      <w:bookmarkEnd w:id="91"/>
      <w:bookmarkEnd w:id="92"/>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93" w:name="_Toc62006593"/>
      <w:bookmarkStart w:id="94" w:name="_Toc89515459"/>
      <w:bookmarkStart w:id="95" w:name="_Toc89755166"/>
      <w:bookmarkStart w:id="96" w:name="_Toc90093912"/>
      <w:bookmarkStart w:id="97" w:name="_Toc90717956"/>
      <w:bookmarkStart w:id="98" w:name="_Toc92605790"/>
      <w:bookmarkStart w:id="99" w:name="_Toc92605921"/>
      <w:bookmarkStart w:id="100" w:name="_Toc92798630"/>
      <w:bookmarkStart w:id="101" w:name="_Toc92798693"/>
      <w:bookmarkStart w:id="102" w:name="_Toc94587464"/>
      <w:bookmarkStart w:id="103" w:name="_Toc102534574"/>
      <w:bookmarkStart w:id="104" w:name="_Toc139953249"/>
      <w:bookmarkStart w:id="105" w:name="_Toc139953701"/>
      <w:bookmarkStart w:id="106" w:name="_Toc139966091"/>
      <w:bookmarkStart w:id="107" w:name="_Toc146020649"/>
      <w:bookmarkStart w:id="108" w:name="_Toc150246325"/>
      <w:bookmarkStart w:id="109" w:name="_Toc150311699"/>
      <w:bookmarkStart w:id="110" w:name="_Toc152492639"/>
      <w:bookmarkStart w:id="111" w:name="_Toc153679330"/>
      <w:bookmarkStart w:id="112" w:name="_Toc154201278"/>
      <w:bookmarkStart w:id="113" w:name="_Toc325551741"/>
      <w:bookmarkStart w:id="114" w:name="_Toc336264892"/>
      <w:r>
        <w:rPr>
          <w:rStyle w:val="CharPartNo"/>
        </w:rPr>
        <w:t>Part 3</w:t>
      </w:r>
      <w:r>
        <w:t xml:space="preserve"> — </w:t>
      </w:r>
      <w:r>
        <w:rPr>
          <w:rStyle w:val="CharPartText"/>
        </w:rPr>
        <w:t>Restriction on publication or communication of private conversations and activities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535376999"/>
      <w:bookmarkStart w:id="116" w:name="_Toc13119129"/>
      <w:bookmarkStart w:id="117" w:name="_Toc53543133"/>
      <w:bookmarkStart w:id="118" w:name="_Toc102534575"/>
      <w:bookmarkStart w:id="119" w:name="_Toc336264893"/>
      <w:r>
        <w:rPr>
          <w:rStyle w:val="CharSectno"/>
        </w:rPr>
        <w:t>9</w:t>
      </w:r>
      <w:r>
        <w:t>.</w:t>
      </w:r>
      <w:r>
        <w:tab/>
        <w:t>Prohibition of publication or communication of private conversations or activities</w:t>
      </w:r>
      <w:bookmarkEnd w:id="115"/>
      <w:bookmarkEnd w:id="116"/>
      <w:bookmarkEnd w:id="117"/>
      <w:bookmarkEnd w:id="118"/>
      <w:bookmarkEnd w:id="119"/>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pPr>
      <w:r>
        <w:tab/>
        <w:t>(iiia)</w:t>
      </w:r>
      <w:r>
        <w:tab/>
        <w:t>to a designated Commission or to any person or persons authorised for the purpose by a designated Commission;</w:t>
      </w:r>
    </w:p>
    <w:p>
      <w:pPr>
        <w:pStyle w:val="Indenti"/>
      </w:pPr>
      <w:r>
        <w:tab/>
        <w:t>(iv)</w:t>
      </w:r>
      <w:r>
        <w:tab/>
        <w:t>by a law enforcement officer to the Director of Public Prosecutions of the State or of the Commonwealth or an authorised representative 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keepNext/>
        <w:keepLines/>
      </w:pPr>
      <w:r>
        <w:tab/>
        <w:t>(3)</w:t>
      </w:r>
      <w:r>
        <w:tab/>
        <w:t xml:space="preserve">Subsection (2) only provides a defence if the publication or communication — </w:t>
      </w:r>
    </w:p>
    <w:p>
      <w:pPr>
        <w:pStyle w:val="Indenta"/>
        <w:keepNext/>
        <w:keepLines/>
        <w:spacing w:before="120"/>
      </w:pPr>
      <w:r>
        <w:tab/>
        <w:t>(a)</w:t>
      </w:r>
      <w:r>
        <w:tab/>
        <w:t xml:space="preserve">is not more than is reasonably necessary — </w:t>
      </w:r>
    </w:p>
    <w:p>
      <w:pPr>
        <w:pStyle w:val="Indenti"/>
        <w:keepNext/>
        <w:keepLines/>
        <w:spacing w:before="100"/>
      </w:pPr>
      <w:r>
        <w:tab/>
        <w:t>(i)</w:t>
      </w:r>
      <w:r>
        <w:tab/>
        <w:t>in the public interest;</w:t>
      </w:r>
    </w:p>
    <w:p>
      <w:pPr>
        <w:pStyle w:val="Indenti"/>
        <w:keepNext/>
        <w:keepLines/>
        <w:spacing w:before="100"/>
      </w:pPr>
      <w:r>
        <w:tab/>
        <w:t>(ii)</w:t>
      </w:r>
      <w:r>
        <w:tab/>
        <w:t>in the performance of a duty of the person making the publication or communication; or</w:t>
      </w:r>
    </w:p>
    <w:p>
      <w:pPr>
        <w:pStyle w:val="Indenti"/>
        <w:spacing w:before="100"/>
      </w:pPr>
      <w:r>
        <w:tab/>
        <w:t>(iii)</w:t>
      </w:r>
      <w:r>
        <w:tab/>
        <w:t>for the protection of the lawful interests of the person making the publication or communication;</w:t>
      </w:r>
    </w:p>
    <w:p>
      <w:pPr>
        <w:pStyle w:val="Indenta"/>
        <w:spacing w:before="120"/>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spacing w:before="120"/>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spacing w:before="120"/>
      </w:pPr>
      <w:r>
        <w:tab/>
        <w:t>(d)</w:t>
      </w:r>
      <w:r>
        <w:tab/>
        <w:t>is made by an authorised person employed in connection with the security of the Commonwealth under an Act of the Commonwealth relating to the security of the Commonwealth.</w:t>
      </w:r>
    </w:p>
    <w:p>
      <w:pPr>
        <w:pStyle w:val="Footnotesection"/>
      </w:pPr>
      <w:bookmarkStart w:id="120" w:name="_Toc535377000"/>
      <w:bookmarkStart w:id="121" w:name="_Toc13119130"/>
      <w:bookmarkStart w:id="122" w:name="_Toc53543134"/>
      <w:r>
        <w:tab/>
        <w:t>[Section 9 amended by No. 78 of 2003 s. 74; No. 74 of 2004 s. 72(4); No. 30 of 2006 s. 17.]</w:t>
      </w:r>
    </w:p>
    <w:p>
      <w:pPr>
        <w:pStyle w:val="Heading5"/>
        <w:spacing w:before="260"/>
      </w:pPr>
      <w:bookmarkStart w:id="123" w:name="_Toc102534576"/>
      <w:bookmarkStart w:id="124" w:name="_Toc336264894"/>
      <w:r>
        <w:rPr>
          <w:rStyle w:val="CharSectno"/>
        </w:rPr>
        <w:t>10</w:t>
      </w:r>
      <w:r>
        <w:t>.</w:t>
      </w:r>
      <w:r>
        <w:tab/>
        <w:t>Admissibility in criminal proceedings of information inadvertently obtained</w:t>
      </w:r>
      <w:bookmarkEnd w:id="120"/>
      <w:bookmarkEnd w:id="121"/>
      <w:bookmarkEnd w:id="122"/>
      <w:bookmarkEnd w:id="123"/>
      <w:bookmarkEnd w:id="124"/>
    </w:p>
    <w:p>
      <w:pPr>
        <w:pStyle w:val="Subsection"/>
        <w:spacing w:before="200"/>
      </w:pPr>
      <w:r>
        <w:tab/>
        <w:t>(1)</w:t>
      </w:r>
      <w:r>
        <w:tab/>
        <w:t xml:space="preserve">Where a private conversation or a private activity has inadvertently or unexpectedly come to the knowledge of a person as a direct or indirect result of the use of a listening 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125" w:name="_Toc53543135"/>
      <w:bookmarkStart w:id="126" w:name="_Toc102534577"/>
      <w:bookmarkStart w:id="127" w:name="_Toc336264895"/>
      <w:r>
        <w:rPr>
          <w:rStyle w:val="CharSectno"/>
        </w:rPr>
        <w:t>11</w:t>
      </w:r>
      <w:r>
        <w:t>.</w:t>
      </w:r>
      <w:r>
        <w:tab/>
        <w:t>Presumption as to evidence obtained under warrant or emergency authorisation</w:t>
      </w:r>
      <w:bookmarkEnd w:id="125"/>
      <w:bookmarkEnd w:id="126"/>
      <w:bookmarkEnd w:id="127"/>
    </w:p>
    <w:p>
      <w:pPr>
        <w:pStyle w:val="Subsection"/>
      </w:pPr>
      <w:r>
        <w:tab/>
      </w:r>
      <w:r>
        <w:tab/>
        <w:t xml:space="preserve">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 an officer of a designated Commission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128" w:name="_Toc62006597"/>
      <w:r>
        <w:tab/>
        <w:t>[Section 11 amended by No. 78 of 2003 s. 74; No. 74 of 2004 s. 72(3); No. 30 of 2006 s. 18.]</w:t>
      </w:r>
    </w:p>
    <w:p>
      <w:pPr>
        <w:pStyle w:val="Heading2"/>
      </w:pPr>
      <w:bookmarkStart w:id="129" w:name="_Toc89515463"/>
      <w:bookmarkStart w:id="130" w:name="_Toc89755170"/>
      <w:bookmarkStart w:id="131" w:name="_Toc90093916"/>
      <w:bookmarkStart w:id="132" w:name="_Toc90717960"/>
      <w:bookmarkStart w:id="133" w:name="_Toc92605794"/>
      <w:bookmarkStart w:id="134" w:name="_Toc92605925"/>
      <w:bookmarkStart w:id="135" w:name="_Toc92798634"/>
      <w:bookmarkStart w:id="136" w:name="_Toc92798697"/>
      <w:bookmarkStart w:id="137" w:name="_Toc94587468"/>
      <w:bookmarkStart w:id="138" w:name="_Toc102534578"/>
      <w:bookmarkStart w:id="139" w:name="_Toc139953253"/>
      <w:bookmarkStart w:id="140" w:name="_Toc139953705"/>
      <w:bookmarkStart w:id="141" w:name="_Toc139966095"/>
      <w:bookmarkStart w:id="142" w:name="_Toc146020653"/>
      <w:bookmarkStart w:id="143" w:name="_Toc150246329"/>
      <w:bookmarkStart w:id="144" w:name="_Toc150311703"/>
      <w:bookmarkStart w:id="145" w:name="_Toc152492643"/>
      <w:bookmarkStart w:id="146" w:name="_Toc153679334"/>
      <w:bookmarkStart w:id="147" w:name="_Toc154201282"/>
      <w:bookmarkStart w:id="148" w:name="_Toc325551745"/>
      <w:bookmarkStart w:id="149" w:name="_Toc336264896"/>
      <w:r>
        <w:rPr>
          <w:rStyle w:val="CharPartNo"/>
        </w:rPr>
        <w:t>Part 4</w:t>
      </w:r>
      <w:r>
        <w:t xml:space="preserve"> — </w:t>
      </w:r>
      <w:r>
        <w:rPr>
          <w:rStyle w:val="CharPartText"/>
        </w:rPr>
        <w:t>Warrants and emergency authorisations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3"/>
      </w:pPr>
      <w:bookmarkStart w:id="150" w:name="_Toc62006598"/>
      <w:bookmarkStart w:id="151" w:name="_Toc89515464"/>
      <w:bookmarkStart w:id="152" w:name="_Toc89755171"/>
      <w:bookmarkStart w:id="153" w:name="_Toc90093917"/>
      <w:bookmarkStart w:id="154" w:name="_Toc90717961"/>
      <w:bookmarkStart w:id="155" w:name="_Toc92605795"/>
      <w:bookmarkStart w:id="156" w:name="_Toc92605926"/>
      <w:bookmarkStart w:id="157" w:name="_Toc92798635"/>
      <w:bookmarkStart w:id="158" w:name="_Toc92798698"/>
      <w:bookmarkStart w:id="159" w:name="_Toc94587469"/>
      <w:bookmarkStart w:id="160" w:name="_Toc102534579"/>
      <w:bookmarkStart w:id="161" w:name="_Toc139953254"/>
      <w:bookmarkStart w:id="162" w:name="_Toc139953706"/>
      <w:bookmarkStart w:id="163" w:name="_Toc139966096"/>
      <w:bookmarkStart w:id="164" w:name="_Toc146020654"/>
      <w:bookmarkStart w:id="165" w:name="_Toc150246330"/>
      <w:bookmarkStart w:id="166" w:name="_Toc150311704"/>
      <w:bookmarkStart w:id="167" w:name="_Toc152492644"/>
      <w:bookmarkStart w:id="168" w:name="_Toc153679335"/>
      <w:bookmarkStart w:id="169" w:name="_Toc154201283"/>
      <w:bookmarkStart w:id="170" w:name="_Toc325551746"/>
      <w:bookmarkStart w:id="171" w:name="_Toc336264897"/>
      <w:r>
        <w:rPr>
          <w:rStyle w:val="CharDivNo"/>
        </w:rPr>
        <w:t>Division 1</w:t>
      </w:r>
      <w:r>
        <w:t xml:space="preserve"> — </w:t>
      </w:r>
      <w:r>
        <w:rPr>
          <w:rStyle w:val="CharDivText"/>
        </w:rPr>
        <w:t>Judicial warrants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535377002"/>
      <w:bookmarkStart w:id="173" w:name="_Toc13119132"/>
      <w:bookmarkStart w:id="174" w:name="_Toc53543136"/>
      <w:bookmarkStart w:id="175" w:name="_Toc102534580"/>
      <w:bookmarkStart w:id="176" w:name="_Toc336264898"/>
      <w:r>
        <w:rPr>
          <w:rStyle w:val="CharSectno"/>
        </w:rPr>
        <w:t>12</w:t>
      </w:r>
      <w:r>
        <w:t>.</w:t>
      </w:r>
      <w:r>
        <w:tab/>
        <w:t>Interpretation of “court”</w:t>
      </w:r>
      <w:bookmarkEnd w:id="172"/>
      <w:bookmarkEnd w:id="173"/>
      <w:bookmarkEnd w:id="174"/>
      <w:bookmarkEnd w:id="175"/>
      <w:bookmarkEnd w:id="176"/>
    </w:p>
    <w:p>
      <w:pPr>
        <w:pStyle w:val="Subsection"/>
      </w:pPr>
      <w:r>
        <w:tab/>
      </w:r>
      <w:r>
        <w:tab/>
        <w:t xml:space="preserve">In this Part other than in section 17(6) or 23(2) — </w:t>
      </w:r>
    </w:p>
    <w:p>
      <w:pPr>
        <w:pStyle w:val="Defstart"/>
      </w:pPr>
      <w:r>
        <w:rPr>
          <w:b/>
        </w:rPr>
        <w:tab/>
      </w:r>
      <w:r>
        <w:rPr>
          <w:rStyle w:val="CharDefText"/>
        </w:rPr>
        <w:t>court</w:t>
      </w:r>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in relation to all matters concerning a listening device warrant or an optical surveillance device warrant to authorise the surveillance of a private conversation or a private activity and in relation to all matters concerning a surveillance device (retrieval) warrant, a judge; and</w:t>
      </w:r>
    </w:p>
    <w:p>
      <w:pPr>
        <w:pStyle w:val="Defpara"/>
      </w:pPr>
      <w:r>
        <w:tab/>
        <w:t>(b)</w:t>
      </w:r>
      <w:r>
        <w:tab/>
        <w:t>in relation to all matters concerning a tracking device warrant or a tracking device (maintenance/retrieval) warrant, a judge or a magistrate.</w:t>
      </w:r>
    </w:p>
    <w:p>
      <w:pPr>
        <w:pStyle w:val="Heading5"/>
      </w:pPr>
      <w:bookmarkStart w:id="177" w:name="_Toc535377003"/>
      <w:bookmarkStart w:id="178" w:name="_Toc13119133"/>
      <w:bookmarkStart w:id="179" w:name="_Toc53543137"/>
      <w:bookmarkStart w:id="180" w:name="_Toc102534581"/>
      <w:bookmarkStart w:id="181" w:name="_Toc336264899"/>
      <w:r>
        <w:rPr>
          <w:rStyle w:val="CharSectno"/>
        </w:rPr>
        <w:t>13</w:t>
      </w:r>
      <w:r>
        <w:t>.</w:t>
      </w:r>
      <w:r>
        <w:tab/>
        <w:t>Warrants for use etc. of surveillance devices</w:t>
      </w:r>
      <w:bookmarkEnd w:id="177"/>
      <w:bookmarkEnd w:id="178"/>
      <w:bookmarkEnd w:id="179"/>
      <w:bookmarkEnd w:id="180"/>
      <w:bookmarkEnd w:id="181"/>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t xml:space="preserve"> </w:t>
      </w:r>
      <w:r>
        <w:rPr>
          <w:vertAlign w:val="superscript"/>
        </w:rPr>
        <w:t>5</w:t>
      </w:r>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where practicable in the case of a listening device warrant or an optical surveillance device warrant and except in the case of a warrant issued under 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A court may issue one composite warrant having effect in accordance with its terms in respect of more than one kind of 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182" w:name="_Toc535377004"/>
      <w:bookmarkStart w:id="183" w:name="_Toc13119134"/>
      <w:bookmarkStart w:id="184" w:name="_Toc53543138"/>
      <w:bookmarkStart w:id="185" w:name="_Toc102534582"/>
      <w:bookmarkStart w:id="186" w:name="_Toc336264900"/>
      <w:r>
        <w:rPr>
          <w:rStyle w:val="CharSectno"/>
        </w:rPr>
        <w:t>14</w:t>
      </w:r>
      <w:r>
        <w:t>.</w:t>
      </w:r>
      <w:r>
        <w:tab/>
        <w:t>Warrants for maintenance and retrieval of certain tracking devices</w:t>
      </w:r>
      <w:bookmarkEnd w:id="182"/>
      <w:bookmarkEnd w:id="183"/>
      <w:bookmarkEnd w:id="184"/>
      <w:bookmarkEnd w:id="185"/>
      <w:bookmarkEnd w:id="186"/>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187" w:name="_Toc535377005"/>
      <w:bookmarkStart w:id="188" w:name="_Toc13119135"/>
      <w:bookmarkStart w:id="189" w:name="_Toc53543139"/>
      <w:bookmarkStart w:id="190" w:name="_Toc102534583"/>
      <w:bookmarkStart w:id="191" w:name="_Toc336264901"/>
      <w:r>
        <w:rPr>
          <w:rStyle w:val="CharSectno"/>
        </w:rPr>
        <w:t>15</w:t>
      </w:r>
      <w:r>
        <w:t>.</w:t>
      </w:r>
      <w:r>
        <w:tab/>
        <w:t>Applications for warrants</w:t>
      </w:r>
      <w:bookmarkEnd w:id="187"/>
      <w:bookmarkEnd w:id="188"/>
      <w:bookmarkEnd w:id="189"/>
      <w:bookmarkEnd w:id="190"/>
      <w:bookmarkEnd w:id="191"/>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w:t>
      </w:r>
    </w:p>
    <w:p>
      <w:pPr>
        <w:pStyle w:val="Indenta"/>
      </w:pPr>
      <w:r>
        <w:tab/>
        <w:t>(b)</w:t>
      </w:r>
      <w:r>
        <w:tab/>
        <w:t>in the case of a designated Commission, a person authorised by the designated Commission; or</w:t>
      </w:r>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Indenta"/>
      </w:pPr>
      <w:r>
        <w:tab/>
        <w:t>(b)</w:t>
      </w:r>
      <w:r>
        <w:tab/>
        <w:t>in the case of an application by an officer of a designated Commission, is required to attach an authorisation of the designated Commission or a person delegated by the designated Commission for the action proposed;</w:t>
      </w:r>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 an officer of a designated Commission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may request that the warrant authorise the use of a surveillance device in or on a specified object and request that the warrant authorise entry, by force if necessary, into or onto premises where the object is reasonably believed to be or is likely to be or other premises adjoining or providing access to those premises.</w:t>
      </w:r>
    </w:p>
    <w:p>
      <w:pPr>
        <w:pStyle w:val="Subsection"/>
        <w:spacing w:before="120"/>
      </w:pPr>
      <w:r>
        <w:tab/>
        <w:t>(4)</w:t>
      </w:r>
      <w:r>
        <w:tab/>
        <w:t>A court may require further information to be given, orally or by affidavit, in relation to an application for a warrant.</w:t>
      </w:r>
    </w:p>
    <w:p>
      <w:pPr>
        <w:pStyle w:val="Footnotesection"/>
      </w:pPr>
      <w:bookmarkStart w:id="192" w:name="_Toc535377006"/>
      <w:bookmarkStart w:id="193" w:name="_Toc13119136"/>
      <w:bookmarkStart w:id="194" w:name="_Toc53543140"/>
      <w:r>
        <w:tab/>
        <w:t>[Section 15 amended by No. 78 of 2003 s. 74; No. 74 of 2004 s. 72(3) and (4); No. 30 of 2006 s. 19.]</w:t>
      </w:r>
    </w:p>
    <w:p>
      <w:pPr>
        <w:pStyle w:val="Heading5"/>
      </w:pPr>
      <w:bookmarkStart w:id="195" w:name="_Toc102534584"/>
      <w:bookmarkStart w:id="196" w:name="_Toc336264902"/>
      <w:r>
        <w:rPr>
          <w:rStyle w:val="CharSectno"/>
        </w:rPr>
        <w:t>16</w:t>
      </w:r>
      <w:r>
        <w:t>.</w:t>
      </w:r>
      <w:r>
        <w:tab/>
        <w:t>Radio/telephone applications for warrants</w:t>
      </w:r>
      <w:bookmarkEnd w:id="192"/>
      <w:bookmarkEnd w:id="193"/>
      <w:bookmarkEnd w:id="194"/>
      <w:bookmarkEnd w:id="195"/>
      <w:bookmarkEnd w:id="196"/>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 an officer of a designated Commission or a member of the staff of the Australian Crime Commission.</w:t>
      </w:r>
    </w:p>
    <w:p>
      <w:pPr>
        <w:pStyle w:val="Footnotesection"/>
      </w:pPr>
      <w:bookmarkStart w:id="197" w:name="_Toc535377007"/>
      <w:bookmarkStart w:id="198" w:name="_Toc13119137"/>
      <w:bookmarkStart w:id="199" w:name="_Toc53543141"/>
      <w:r>
        <w:tab/>
        <w:t>[Section 16 amended by No. 78 of 2003 s. 74; No. 74 of 2004 s. 72(3); No. 30 of 2006 s. 20.]</w:t>
      </w:r>
    </w:p>
    <w:p>
      <w:pPr>
        <w:pStyle w:val="Heading5"/>
      </w:pPr>
      <w:bookmarkStart w:id="200" w:name="_Toc102534585"/>
      <w:bookmarkStart w:id="201" w:name="_Toc336264903"/>
      <w:r>
        <w:rPr>
          <w:rStyle w:val="CharSectno"/>
        </w:rPr>
        <w:t>17</w:t>
      </w:r>
      <w:r>
        <w:t>.</w:t>
      </w:r>
      <w:r>
        <w:tab/>
        <w:t>Warrants issued following radio/telephone applications</w:t>
      </w:r>
      <w:bookmarkEnd w:id="197"/>
      <w:bookmarkEnd w:id="198"/>
      <w:bookmarkEnd w:id="199"/>
      <w:bookmarkEnd w:id="200"/>
      <w:bookmarkEnd w:id="201"/>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keepNext/>
        <w:keepLines/>
      </w:pPr>
      <w:r>
        <w:tab/>
        <w:t>(c)</w:t>
      </w:r>
      <w:r>
        <w:tab/>
        <w:t>the applicant must complete, in duplicate, a form of warrant in the terms furnished by the court and write on it the name of the judge or magistrate who issued it and the date on which and the time at which it was issued; and</w:t>
      </w:r>
    </w:p>
    <w:p>
      <w:pPr>
        <w:pStyle w:val="Indenta"/>
        <w:keepNext/>
        <w:keepLines/>
      </w:pPr>
      <w:r>
        <w:tab/>
        <w:t>(d)</w:t>
      </w:r>
      <w:r>
        <w:tab/>
        <w:t xml:space="preserve">the court must cause a written record to be made of — </w:t>
      </w:r>
    </w:p>
    <w:p>
      <w:pPr>
        <w:pStyle w:val="Indenti"/>
        <w:keepNext/>
        <w:keepLines/>
      </w:pPr>
      <w:r>
        <w:tab/>
        <w:t>(</w:t>
      </w:r>
      <w:r>
        <w:rPr>
          <w:noProof/>
        </w:rPr>
        <w:t>i</w:t>
      </w:r>
      <w:r>
        <w:t>)</w:t>
      </w:r>
      <w:r>
        <w:tab/>
        <w:t>the name of the applicant;</w:t>
      </w:r>
    </w:p>
    <w:p>
      <w:pPr>
        <w:pStyle w:val="Indenti"/>
        <w:keepNext/>
        <w:keepLines/>
      </w:pPr>
      <w:r>
        <w:tab/>
        <w:t>(</w:t>
      </w:r>
      <w:r>
        <w:rPr>
          <w:noProof/>
        </w:rPr>
        <w:t>ii</w:t>
      </w:r>
      <w:r>
        <w:t>)</w:t>
      </w:r>
      <w:r>
        <w:tab/>
        <w:t>the name of the member of the police force of the State, officer of the Corruption and Crime Commission, the officer of a designated Commission or the member of the staff of the Australian Crime Commission who transmitted the application to the court;</w:t>
      </w:r>
    </w:p>
    <w:p>
      <w:pPr>
        <w:pStyle w:val="Indenti"/>
      </w:pPr>
      <w:r>
        <w:tab/>
        <w:t>(iii)</w:t>
      </w:r>
      <w:r>
        <w:tab/>
        <w:t>details of the application; and</w:t>
      </w:r>
    </w:p>
    <w:p>
      <w:pPr>
        <w:pStyle w:val="Indenti"/>
      </w:pPr>
      <w:r>
        <w:tab/>
        <w:t>(iv)</w:t>
      </w:r>
      <w:r>
        <w:tab/>
        <w:t>the date and time the warrant is granted.</w:t>
      </w:r>
    </w:p>
    <w:p>
      <w:pPr>
        <w:pStyle w:val="Subsection"/>
        <w:spacing w:before="120"/>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spacing w:before="120"/>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spacing w:before="120"/>
      </w:pPr>
      <w:r>
        <w:tab/>
        <w:t>(5)</w:t>
      </w:r>
      <w:r>
        <w:tab/>
        <w:t>A form of warrant completed in accordance with subsection (2) by the applicant is authority for the use it authorises if it accords with the terms of the warrant signed by the court.</w:t>
      </w:r>
    </w:p>
    <w:p>
      <w:pPr>
        <w:pStyle w:val="Subsection"/>
        <w:spacing w:before="120"/>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202" w:name="_Toc535377008"/>
      <w:bookmarkStart w:id="203" w:name="_Toc13119138"/>
      <w:bookmarkStart w:id="204" w:name="_Toc53543142"/>
      <w:r>
        <w:tab/>
        <w:t>[Section 17 amended by No. 78 of 2003 s. 74; No. 74 of 2004 s. 72(3); No. 30 of 2006 s. 21.]</w:t>
      </w:r>
    </w:p>
    <w:p>
      <w:pPr>
        <w:pStyle w:val="Heading5"/>
      </w:pPr>
      <w:bookmarkStart w:id="205" w:name="_Toc102534586"/>
      <w:bookmarkStart w:id="206" w:name="_Toc336264904"/>
      <w:r>
        <w:rPr>
          <w:rStyle w:val="CharSectno"/>
        </w:rPr>
        <w:t>18</w:t>
      </w:r>
      <w:r>
        <w:t>.</w:t>
      </w:r>
      <w:r>
        <w:tab/>
        <w:t>Restriction on further radio/telephone applications</w:t>
      </w:r>
      <w:bookmarkEnd w:id="202"/>
      <w:bookmarkEnd w:id="203"/>
      <w:bookmarkEnd w:id="204"/>
      <w:bookmarkEnd w:id="205"/>
      <w:bookmarkEnd w:id="206"/>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207" w:name="_Toc102534587"/>
      <w:bookmarkStart w:id="208" w:name="_Toc336264905"/>
      <w:bookmarkStart w:id="209" w:name="_Toc535377009"/>
      <w:bookmarkStart w:id="210" w:name="_Toc13119139"/>
      <w:bookmarkStart w:id="211" w:name="_Toc53543143"/>
      <w:r>
        <w:rPr>
          <w:rStyle w:val="CharSectno"/>
        </w:rPr>
        <w:t>18A</w:t>
      </w:r>
      <w:r>
        <w:t>.</w:t>
      </w:r>
      <w:r>
        <w:rPr>
          <w:b w:val="0"/>
        </w:rPr>
        <w:tab/>
      </w:r>
      <w:r>
        <w:t>Enhanced powers concerning surveillance devices</w:t>
      </w:r>
      <w:bookmarkEnd w:id="207"/>
      <w:bookmarkEnd w:id="208"/>
    </w:p>
    <w:p>
      <w:pPr>
        <w:pStyle w:val="Subsection"/>
      </w:pPr>
      <w:r>
        <w:tab/>
        <w:t>(1)</w:t>
      </w:r>
      <w:r>
        <w:tab/>
        <w:t xml:space="preserve">In this section — </w:t>
      </w:r>
    </w:p>
    <w:p>
      <w:pPr>
        <w:pStyle w:val="Defstart"/>
      </w:pPr>
      <w:r>
        <w:tab/>
      </w:r>
      <w:r>
        <w:rPr>
          <w:rStyle w:val="CharDefText"/>
        </w:rPr>
        <w:t>section 5 offence</w:t>
      </w:r>
      <w:r>
        <w:t xml:space="preserve"> has the meaning given by section 5 of the </w:t>
      </w:r>
      <w:r>
        <w:rPr>
          <w:i/>
        </w:rPr>
        <w:t>Corruption and Crime Commission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tab/>
        <w:t>[Section 18A inserted by No. 78 of 2003 s. 74(1).]</w:t>
      </w:r>
    </w:p>
    <w:p>
      <w:pPr>
        <w:pStyle w:val="Heading5"/>
      </w:pPr>
      <w:bookmarkStart w:id="212" w:name="_Toc102534588"/>
      <w:bookmarkStart w:id="213" w:name="_Toc336264906"/>
      <w:r>
        <w:rPr>
          <w:rStyle w:val="CharSectno"/>
        </w:rPr>
        <w:t>19</w:t>
      </w:r>
      <w:r>
        <w:t>.</w:t>
      </w:r>
      <w:r>
        <w:tab/>
        <w:t>Extension of warrants</w:t>
      </w:r>
      <w:bookmarkEnd w:id="209"/>
      <w:bookmarkEnd w:id="210"/>
      <w:bookmarkEnd w:id="211"/>
      <w:bookmarkEnd w:id="212"/>
      <w:bookmarkEnd w:id="213"/>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214" w:name="_Toc62006607"/>
      <w:bookmarkStart w:id="215" w:name="_Toc89515474"/>
      <w:bookmarkStart w:id="216" w:name="_Toc89755181"/>
      <w:bookmarkStart w:id="217" w:name="_Toc90093927"/>
      <w:bookmarkStart w:id="218" w:name="_Toc90717971"/>
      <w:bookmarkStart w:id="219" w:name="_Toc92605805"/>
      <w:bookmarkStart w:id="220" w:name="_Toc92605936"/>
      <w:bookmarkStart w:id="221" w:name="_Toc92798645"/>
      <w:bookmarkStart w:id="222" w:name="_Toc92798708"/>
      <w:bookmarkStart w:id="223" w:name="_Toc94587479"/>
      <w:bookmarkStart w:id="224" w:name="_Toc102534589"/>
      <w:bookmarkStart w:id="225" w:name="_Toc139953264"/>
      <w:bookmarkStart w:id="226" w:name="_Toc139953716"/>
      <w:bookmarkStart w:id="227" w:name="_Toc139966106"/>
      <w:bookmarkStart w:id="228" w:name="_Toc146020664"/>
      <w:bookmarkStart w:id="229" w:name="_Toc150246340"/>
      <w:bookmarkStart w:id="230" w:name="_Toc150311714"/>
      <w:bookmarkStart w:id="231" w:name="_Toc152492654"/>
      <w:bookmarkStart w:id="232" w:name="_Toc153679345"/>
      <w:bookmarkStart w:id="233" w:name="_Toc154201293"/>
      <w:bookmarkStart w:id="234" w:name="_Toc325551756"/>
      <w:bookmarkStart w:id="235" w:name="_Toc336264907"/>
      <w:r>
        <w:rPr>
          <w:rStyle w:val="CharDivNo"/>
        </w:rPr>
        <w:t>Division 2</w:t>
      </w:r>
      <w:r>
        <w:t xml:space="preserve"> — </w:t>
      </w:r>
      <w:r>
        <w:rPr>
          <w:rStyle w:val="CharDivText"/>
        </w:rPr>
        <w:t>Emergency authorisations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535377010"/>
      <w:bookmarkStart w:id="237" w:name="_Toc13119140"/>
      <w:bookmarkStart w:id="238" w:name="_Toc53543144"/>
      <w:bookmarkStart w:id="239" w:name="_Toc102534590"/>
      <w:bookmarkStart w:id="240" w:name="_Toc336264908"/>
      <w:r>
        <w:rPr>
          <w:rStyle w:val="CharSectno"/>
        </w:rPr>
        <w:t>20</w:t>
      </w:r>
      <w:r>
        <w:t>.</w:t>
      </w:r>
      <w:r>
        <w:tab/>
        <w:t>Emergency use of surveillance devices</w:t>
      </w:r>
      <w:bookmarkEnd w:id="236"/>
      <w:bookmarkEnd w:id="237"/>
      <w:bookmarkEnd w:id="238"/>
      <w:bookmarkEnd w:id="239"/>
      <w:bookmarkEnd w:id="240"/>
    </w:p>
    <w:p>
      <w:pPr>
        <w:pStyle w:val="Subsection"/>
      </w:pPr>
      <w:r>
        <w:tab/>
      </w:r>
      <w:r>
        <w:tab/>
        <w:t xml:space="preserve">A member of the police force of the State, an officer of the Corruption and Crime Commission, an officer of a designated Commission 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install, use, or maintain, or cause to be installed, used, or maintained, an optical surveillance device to record 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 the officer of a designated Commission or the member of the staff of the Australian Crime Commission to take such action in accordance with an emergency authorisation issued under section 21.</w:t>
      </w:r>
    </w:p>
    <w:p>
      <w:pPr>
        <w:pStyle w:val="Footnotesection"/>
      </w:pPr>
      <w:bookmarkStart w:id="241" w:name="_Toc53543145"/>
      <w:r>
        <w:tab/>
        <w:t>[Section 20 amended by No. 78 of 2003 s. 74; No. 74 of 2004 s. 72(3); No. 30 of 2006 s. 22.]</w:t>
      </w:r>
    </w:p>
    <w:p>
      <w:pPr>
        <w:pStyle w:val="Heading5"/>
      </w:pPr>
      <w:bookmarkStart w:id="242" w:name="_Toc102534591"/>
      <w:bookmarkStart w:id="243" w:name="_Toc336264909"/>
      <w:r>
        <w:rPr>
          <w:rStyle w:val="CharSectno"/>
        </w:rPr>
        <w:t>21</w:t>
      </w:r>
      <w:r>
        <w:t>.</w:t>
      </w:r>
      <w:r>
        <w:tab/>
        <w:t>Emergency authorisations</w:t>
      </w:r>
      <w:bookmarkEnd w:id="241"/>
      <w:bookmarkEnd w:id="242"/>
      <w:bookmarkEnd w:id="243"/>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pPr>
      <w:r>
        <w:tab/>
        <w:t>[(i)</w:t>
      </w:r>
      <w:r>
        <w:tab/>
        <w:t>deleted]</w:t>
      </w:r>
    </w:p>
    <w:p>
      <w:pPr>
        <w:pStyle w:val="Indenti"/>
      </w:pPr>
      <w:r>
        <w:tab/>
        <w:t>(ia)</w:t>
      </w:r>
      <w:r>
        <w:tab/>
        <w:t>an offence punishable by 2 or more year’s imprisonment has been or may have been, is being or is about to be, or is likely to be, committed;</w:t>
      </w:r>
    </w:p>
    <w:p>
      <w:pPr>
        <w:pStyle w:val="Indenti"/>
      </w:pPr>
      <w:r>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keepNext/>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judge — </w:t>
      </w:r>
    </w:p>
    <w:p>
      <w:pPr>
        <w:pStyle w:val="Indenta"/>
      </w:pPr>
      <w:r>
        <w:tab/>
        <w:t>(a)</w:t>
      </w:r>
      <w:r>
        <w:tab/>
        <w:t>stating whether a surveillance device was used under the authorisation;</w:t>
      </w:r>
    </w:p>
    <w:p>
      <w:pPr>
        <w:pStyle w:val="Indenta"/>
      </w:pPr>
      <w:r>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judge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Subject to necessary modifications, the provisions of section 13(8)(f), (g), (i) and (j), (9), (11) and (12) apply to 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Where a report is given to a judge under subsection (4), the judge may direct that any record of evidence or information obtained by the use of the surveillance device to which the report relates be brought before the judge.</w:t>
      </w:r>
    </w:p>
    <w:p>
      <w:pPr>
        <w:pStyle w:val="Subsection"/>
      </w:pPr>
      <w:r>
        <w:tab/>
        <w:t>(9)</w:t>
      </w:r>
      <w:r>
        <w:tab/>
        <w:t>A record of evidence or information brought before a judge under subsection (8) must be kept in the custody of the Supreme Court and the judge may order that it be returned, or made available to any person, or destroyed.</w:t>
      </w:r>
    </w:p>
    <w:p>
      <w:pPr>
        <w:pStyle w:val="Subsection"/>
      </w:pPr>
      <w:r>
        <w:tab/>
        <w:t>(10)</w:t>
      </w:r>
      <w:r>
        <w:tab/>
        <w:t>On consideration of a report under this section, a judge may direct that use of the surveillance device cease immediately.</w:t>
      </w:r>
    </w:p>
    <w:p>
      <w:pPr>
        <w:pStyle w:val="Footnotesection"/>
      </w:pPr>
      <w:bookmarkStart w:id="244" w:name="_Toc53543146"/>
      <w:r>
        <w:tab/>
        <w:t>[Section 21 amended by No. 78 of 2003 s. 74.]</w:t>
      </w:r>
    </w:p>
    <w:p>
      <w:pPr>
        <w:pStyle w:val="Heading5"/>
      </w:pPr>
      <w:bookmarkStart w:id="245" w:name="_Toc102534592"/>
      <w:bookmarkStart w:id="246" w:name="_Toc336264910"/>
      <w:r>
        <w:rPr>
          <w:rStyle w:val="CharSectno"/>
        </w:rPr>
        <w:t>22</w:t>
      </w:r>
      <w:r>
        <w:t>.</w:t>
      </w:r>
      <w:r>
        <w:tab/>
        <w:t>Retrieval of surveillance devices installed under emergency authorisations</w:t>
      </w:r>
      <w:bookmarkEnd w:id="244"/>
      <w:bookmarkEnd w:id="245"/>
      <w:bookmarkEnd w:id="246"/>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247" w:name="_Toc62006611"/>
      <w:bookmarkStart w:id="248" w:name="_Toc89515478"/>
      <w:bookmarkStart w:id="249" w:name="_Toc89755185"/>
      <w:bookmarkStart w:id="250" w:name="_Toc90093931"/>
      <w:bookmarkStart w:id="251" w:name="_Toc90717975"/>
      <w:bookmarkStart w:id="252" w:name="_Toc92605809"/>
      <w:bookmarkStart w:id="253" w:name="_Toc92605940"/>
      <w:bookmarkStart w:id="254" w:name="_Toc92798649"/>
      <w:bookmarkStart w:id="255" w:name="_Toc92798712"/>
      <w:bookmarkStart w:id="256" w:name="_Toc94587483"/>
      <w:bookmarkStart w:id="257" w:name="_Toc102534593"/>
      <w:bookmarkStart w:id="258" w:name="_Toc139953268"/>
      <w:bookmarkStart w:id="259" w:name="_Toc139953720"/>
      <w:bookmarkStart w:id="260" w:name="_Toc139966110"/>
      <w:bookmarkStart w:id="261" w:name="_Toc146020668"/>
      <w:bookmarkStart w:id="262" w:name="_Toc150246344"/>
      <w:bookmarkStart w:id="263" w:name="_Toc150311718"/>
      <w:bookmarkStart w:id="264" w:name="_Toc152492658"/>
      <w:bookmarkStart w:id="265" w:name="_Toc153679349"/>
      <w:bookmarkStart w:id="266" w:name="_Toc154201297"/>
      <w:bookmarkStart w:id="267" w:name="_Toc325551760"/>
      <w:bookmarkStart w:id="268" w:name="_Toc336264911"/>
      <w:r>
        <w:rPr>
          <w:rStyle w:val="CharDivNo"/>
        </w:rPr>
        <w:t>Division 3</w:t>
      </w:r>
      <w:r>
        <w:t xml:space="preserve"> — </w:t>
      </w:r>
      <w:r>
        <w:rPr>
          <w:rStyle w:val="CharDivText"/>
        </w:rPr>
        <w:t>Confidentiality</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535377013"/>
      <w:bookmarkStart w:id="270" w:name="_Toc13119143"/>
      <w:bookmarkStart w:id="271" w:name="_Toc53543147"/>
      <w:bookmarkStart w:id="272" w:name="_Toc102534594"/>
      <w:bookmarkStart w:id="273" w:name="_Toc336264912"/>
      <w:r>
        <w:rPr>
          <w:rStyle w:val="CharSectno"/>
        </w:rPr>
        <w:t>23</w:t>
      </w:r>
      <w:r>
        <w:t>.</w:t>
      </w:r>
      <w:r>
        <w:tab/>
        <w:t>Confidentiality</w:t>
      </w:r>
      <w:bookmarkEnd w:id="269"/>
      <w:bookmarkEnd w:id="270"/>
      <w:bookmarkEnd w:id="271"/>
      <w:bookmarkEnd w:id="272"/>
      <w:bookmarkEnd w:id="273"/>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judge,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any written report delivered to a judge under section 21(4);</w:t>
      </w:r>
    </w:p>
    <w:p>
      <w:pPr>
        <w:pStyle w:val="Indenta"/>
      </w:pPr>
      <w:r>
        <w:tab/>
        <w:t>(e)</w:t>
      </w:r>
      <w:r>
        <w:tab/>
        <w:t>any record of evidence or information brought before a judge under section 21(8).</w:t>
      </w:r>
    </w:p>
    <w:p>
      <w:pPr>
        <w:pStyle w:val="Subsection"/>
      </w:pPr>
      <w:r>
        <w:tab/>
        <w:t>(3)</w:t>
      </w:r>
      <w:r>
        <w:tab/>
        <w:t xml:space="preserve">A direction is not to be given under subsection (2) if, in the opinion of the judge or the Chief Magistrate as the case requires, it could result in the publication of any matter contrary to section 151 of the </w:t>
      </w:r>
      <w:r>
        <w:rPr>
          <w:i/>
        </w:rPr>
        <w:t>Corruption and Crime Commission Act 2003</w:t>
      </w:r>
      <w:r>
        <w:t>.</w:t>
      </w:r>
    </w:p>
    <w:p>
      <w:pPr>
        <w:pStyle w:val="Footnotesection"/>
      </w:pPr>
      <w:bookmarkStart w:id="274" w:name="_Toc62006613"/>
      <w:r>
        <w:tab/>
        <w:t>[Section 23 amended by No. 78 of 2003 s. 74; No. 59 of 2004 s. 141.]</w:t>
      </w:r>
    </w:p>
    <w:p>
      <w:pPr>
        <w:pStyle w:val="Heading2"/>
      </w:pPr>
      <w:bookmarkStart w:id="275" w:name="_Toc89515480"/>
      <w:bookmarkStart w:id="276" w:name="_Toc89755187"/>
      <w:bookmarkStart w:id="277" w:name="_Toc90093933"/>
      <w:bookmarkStart w:id="278" w:name="_Toc90717977"/>
      <w:bookmarkStart w:id="279" w:name="_Toc92605811"/>
      <w:bookmarkStart w:id="280" w:name="_Toc92605942"/>
      <w:bookmarkStart w:id="281" w:name="_Toc92798651"/>
      <w:bookmarkStart w:id="282" w:name="_Toc92798714"/>
      <w:bookmarkStart w:id="283" w:name="_Toc94587485"/>
      <w:bookmarkStart w:id="284" w:name="_Toc102534595"/>
      <w:bookmarkStart w:id="285" w:name="_Toc139953270"/>
      <w:bookmarkStart w:id="286" w:name="_Toc139953722"/>
      <w:bookmarkStart w:id="287" w:name="_Toc139966112"/>
      <w:bookmarkStart w:id="288" w:name="_Toc146020670"/>
      <w:bookmarkStart w:id="289" w:name="_Toc150246346"/>
      <w:bookmarkStart w:id="290" w:name="_Toc150311720"/>
      <w:bookmarkStart w:id="291" w:name="_Toc152492660"/>
      <w:bookmarkStart w:id="292" w:name="_Toc153679351"/>
      <w:bookmarkStart w:id="293" w:name="_Toc154201299"/>
      <w:bookmarkStart w:id="294" w:name="_Toc325551762"/>
      <w:bookmarkStart w:id="295" w:name="_Toc336264913"/>
      <w:r>
        <w:rPr>
          <w:rStyle w:val="CharPartNo"/>
        </w:rPr>
        <w:t>Part 5</w:t>
      </w:r>
      <w:r>
        <w:t xml:space="preserve"> — </w:t>
      </w:r>
      <w:r>
        <w:rPr>
          <w:rStyle w:val="CharPartText"/>
        </w:rPr>
        <w:t>Use of surveillance devices in the public interest</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3"/>
      </w:pPr>
      <w:bookmarkStart w:id="296" w:name="_Toc62006614"/>
      <w:bookmarkStart w:id="297" w:name="_Toc89515481"/>
      <w:bookmarkStart w:id="298" w:name="_Toc89755188"/>
      <w:bookmarkStart w:id="299" w:name="_Toc90093934"/>
      <w:bookmarkStart w:id="300" w:name="_Toc90717978"/>
      <w:bookmarkStart w:id="301" w:name="_Toc92605812"/>
      <w:bookmarkStart w:id="302" w:name="_Toc92605943"/>
      <w:bookmarkStart w:id="303" w:name="_Toc92798652"/>
      <w:bookmarkStart w:id="304" w:name="_Toc92798715"/>
      <w:bookmarkStart w:id="305" w:name="_Toc94587486"/>
      <w:bookmarkStart w:id="306" w:name="_Toc102534596"/>
      <w:bookmarkStart w:id="307" w:name="_Toc139953271"/>
      <w:bookmarkStart w:id="308" w:name="_Toc139953723"/>
      <w:bookmarkStart w:id="309" w:name="_Toc139966113"/>
      <w:bookmarkStart w:id="310" w:name="_Toc146020671"/>
      <w:bookmarkStart w:id="311" w:name="_Toc150246347"/>
      <w:bookmarkStart w:id="312" w:name="_Toc150311721"/>
      <w:bookmarkStart w:id="313" w:name="_Toc152492661"/>
      <w:bookmarkStart w:id="314" w:name="_Toc153679352"/>
      <w:bookmarkStart w:id="315" w:name="_Toc154201300"/>
      <w:bookmarkStart w:id="316" w:name="_Toc325551763"/>
      <w:bookmarkStart w:id="317" w:name="_Toc336264914"/>
      <w:r>
        <w:rPr>
          <w:rStyle w:val="CharDivNo"/>
        </w:rPr>
        <w:t>Division 1</w:t>
      </w:r>
      <w:r>
        <w:t xml:space="preserve"> — </w:t>
      </w:r>
      <w:r>
        <w:rPr>
          <w:rStyle w:val="CharDivText"/>
        </w:rPr>
        <w:t>General</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535377014"/>
      <w:bookmarkStart w:id="319" w:name="_Toc13119144"/>
      <w:bookmarkStart w:id="320" w:name="_Toc53543148"/>
      <w:bookmarkStart w:id="321" w:name="_Toc102534597"/>
      <w:bookmarkStart w:id="322" w:name="_Toc336264915"/>
      <w:r>
        <w:rPr>
          <w:rStyle w:val="CharSectno"/>
        </w:rPr>
        <w:t>24</w:t>
      </w:r>
      <w:r>
        <w:t>.</w:t>
      </w:r>
      <w:r>
        <w:tab/>
        <w:t>Interpretation</w:t>
      </w:r>
      <w:bookmarkEnd w:id="318"/>
      <w:bookmarkEnd w:id="319"/>
      <w:bookmarkEnd w:id="320"/>
      <w:bookmarkEnd w:id="321"/>
      <w:bookmarkEnd w:id="322"/>
    </w:p>
    <w:p>
      <w:pPr>
        <w:pStyle w:val="Subsection"/>
      </w:pPr>
      <w:r>
        <w:tab/>
      </w:r>
      <w:r>
        <w:tab/>
        <w:t xml:space="preserve">In this Part — </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mental illness</w:t>
      </w:r>
      <w:r>
        <w:t xml:space="preserve"> has the same meaning as in </w:t>
      </w:r>
      <w:r>
        <w:rPr>
          <w:i/>
        </w:rPr>
        <w:t>The Criminal Code</w:t>
      </w:r>
      <w:r>
        <w:t>;</w:t>
      </w:r>
    </w:p>
    <w:p>
      <w:pPr>
        <w:pStyle w:val="Defstart"/>
      </w:pPr>
      <w:r>
        <w:rPr>
          <w:b/>
        </w:rPr>
        <w:tab/>
      </w:r>
      <w:r>
        <w:rPr>
          <w:rStyle w:val="CharDefText"/>
        </w:rPr>
        <w:t>mental impairment</w:t>
      </w:r>
      <w:r>
        <w:t xml:space="preserve"> has the same meaning as in </w:t>
      </w:r>
      <w:r>
        <w:rPr>
          <w:i/>
        </w:rPr>
        <w:t>The Criminal Code</w:t>
      </w:r>
      <w:r>
        <w:t>;</w:t>
      </w:r>
    </w:p>
    <w:p>
      <w:pPr>
        <w:pStyle w:val="Defstart"/>
      </w:pPr>
      <w:r>
        <w:rPr>
          <w:b/>
        </w:rPr>
        <w:tab/>
      </w:r>
      <w:r>
        <w:rPr>
          <w:rStyle w:val="CharDefText"/>
        </w:rPr>
        <w:t>public interest</w:t>
      </w:r>
      <w:r>
        <w:t xml:space="preserve"> includes the interests of national security, public safety, the economic well</w:t>
      </w:r>
      <w:r>
        <w:noBreakHyphen/>
        <w:t xml:space="preserve">being of </w:t>
      </w:r>
      <w:smartTag w:uri="urn:schemas-microsoft-com:office:smarttags" w:element="place">
        <w:smartTag w:uri="urn:schemas-microsoft-com:office:smarttags" w:element="country-region">
          <w:r>
            <w:t>Australia</w:t>
          </w:r>
        </w:smartTag>
      </w:smartTag>
      <w:r>
        <w:t>, the protection of public health and morals and the protection of the rights and freedoms of citizens.</w:t>
      </w:r>
    </w:p>
    <w:p>
      <w:pPr>
        <w:pStyle w:val="Heading5"/>
      </w:pPr>
      <w:bookmarkStart w:id="323" w:name="_Toc535377015"/>
      <w:bookmarkStart w:id="324" w:name="_Toc13119145"/>
      <w:bookmarkStart w:id="325" w:name="_Toc53543149"/>
      <w:bookmarkStart w:id="326" w:name="_Toc102534598"/>
      <w:bookmarkStart w:id="327" w:name="_Toc336264916"/>
      <w:r>
        <w:rPr>
          <w:rStyle w:val="CharSectno"/>
        </w:rPr>
        <w:t>25</w:t>
      </w:r>
      <w:r>
        <w:t>.</w:t>
      </w:r>
      <w:r>
        <w:tab/>
        <w:t>Unlawful act</w:t>
      </w:r>
      <w:bookmarkEnd w:id="323"/>
      <w:bookmarkEnd w:id="324"/>
      <w:bookmarkEnd w:id="325"/>
      <w:bookmarkEnd w:id="326"/>
      <w:bookmarkEnd w:id="327"/>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328" w:name="_Toc62006617"/>
      <w:bookmarkStart w:id="329" w:name="_Toc89515484"/>
      <w:bookmarkStart w:id="330" w:name="_Toc89755191"/>
      <w:bookmarkStart w:id="331" w:name="_Toc90093937"/>
      <w:bookmarkStart w:id="332" w:name="_Toc90717981"/>
      <w:bookmarkStart w:id="333" w:name="_Toc92605815"/>
      <w:bookmarkStart w:id="334" w:name="_Toc92605946"/>
      <w:bookmarkStart w:id="335" w:name="_Toc92798655"/>
      <w:bookmarkStart w:id="336" w:name="_Toc92798718"/>
      <w:bookmarkStart w:id="337" w:name="_Toc94587489"/>
      <w:bookmarkStart w:id="338" w:name="_Toc102534599"/>
      <w:bookmarkStart w:id="339" w:name="_Toc139953274"/>
      <w:bookmarkStart w:id="340" w:name="_Toc139953726"/>
      <w:bookmarkStart w:id="341" w:name="_Toc139966116"/>
      <w:bookmarkStart w:id="342" w:name="_Toc146020674"/>
      <w:bookmarkStart w:id="343" w:name="_Toc150246350"/>
      <w:bookmarkStart w:id="344" w:name="_Toc150311724"/>
      <w:bookmarkStart w:id="345" w:name="_Toc152492664"/>
      <w:bookmarkStart w:id="346" w:name="_Toc153679355"/>
      <w:bookmarkStart w:id="347" w:name="_Toc154201303"/>
      <w:bookmarkStart w:id="348" w:name="_Toc325551766"/>
      <w:bookmarkStart w:id="349" w:name="_Toc336264917"/>
      <w:r>
        <w:rPr>
          <w:rStyle w:val="CharDivNo"/>
        </w:rPr>
        <w:t>Division 2</w:t>
      </w:r>
      <w:r>
        <w:t xml:space="preserve"> — </w:t>
      </w:r>
      <w:r>
        <w:rPr>
          <w:rStyle w:val="CharDivText"/>
        </w:rPr>
        <w:t>Use of listening devices and optical surveillance devices in the public interest</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535377016"/>
      <w:bookmarkStart w:id="351" w:name="_Toc13119146"/>
      <w:bookmarkStart w:id="352" w:name="_Toc53543150"/>
      <w:bookmarkStart w:id="353" w:name="_Toc102534600"/>
      <w:bookmarkStart w:id="354" w:name="_Toc336264918"/>
      <w:r>
        <w:rPr>
          <w:rStyle w:val="CharSectno"/>
        </w:rPr>
        <w:t>26</w:t>
      </w:r>
      <w:r>
        <w:t>.</w:t>
      </w:r>
      <w:r>
        <w:tab/>
        <w:t>Use of listening devices in the public interest</w:t>
      </w:r>
      <w:bookmarkEnd w:id="350"/>
      <w:bookmarkEnd w:id="351"/>
      <w:bookmarkEnd w:id="352"/>
      <w:bookmarkEnd w:id="353"/>
      <w:bookmarkEnd w:id="354"/>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A person who is acting on behalf of a party to a private conversation may use a listening device to record, monitor or listen to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 listening device.</w:t>
      </w:r>
    </w:p>
    <w:p>
      <w:pPr>
        <w:pStyle w:val="Heading5"/>
      </w:pPr>
      <w:bookmarkStart w:id="355" w:name="_Toc535377017"/>
      <w:bookmarkStart w:id="356" w:name="_Toc13119147"/>
      <w:bookmarkStart w:id="357" w:name="_Toc53543151"/>
      <w:bookmarkStart w:id="358" w:name="_Toc102534601"/>
      <w:bookmarkStart w:id="359" w:name="_Toc336264919"/>
      <w:r>
        <w:rPr>
          <w:rStyle w:val="CharSectno"/>
        </w:rPr>
        <w:t>27</w:t>
      </w:r>
      <w:r>
        <w:t>.</w:t>
      </w:r>
      <w:r>
        <w:tab/>
        <w:t>Use of optical surveillance devices in the public interest</w:t>
      </w:r>
      <w:bookmarkEnd w:id="355"/>
      <w:bookmarkEnd w:id="356"/>
      <w:bookmarkEnd w:id="357"/>
      <w:bookmarkEnd w:id="358"/>
      <w:bookmarkEnd w:id="359"/>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an optical surveillance device.</w:t>
      </w:r>
    </w:p>
    <w:p>
      <w:pPr>
        <w:pStyle w:val="Heading3"/>
      </w:pPr>
      <w:bookmarkStart w:id="360" w:name="_Toc62006620"/>
      <w:bookmarkStart w:id="361" w:name="_Toc89515487"/>
      <w:bookmarkStart w:id="362" w:name="_Toc89755194"/>
      <w:bookmarkStart w:id="363" w:name="_Toc90093940"/>
      <w:bookmarkStart w:id="364" w:name="_Toc90717984"/>
      <w:bookmarkStart w:id="365" w:name="_Toc92605818"/>
      <w:bookmarkStart w:id="366" w:name="_Toc92605949"/>
      <w:bookmarkStart w:id="367" w:name="_Toc92798658"/>
      <w:bookmarkStart w:id="368" w:name="_Toc92798721"/>
      <w:bookmarkStart w:id="369" w:name="_Toc94587492"/>
      <w:bookmarkStart w:id="370" w:name="_Toc102534602"/>
      <w:bookmarkStart w:id="371" w:name="_Toc139953277"/>
      <w:bookmarkStart w:id="372" w:name="_Toc139953729"/>
      <w:bookmarkStart w:id="373" w:name="_Toc139966119"/>
      <w:bookmarkStart w:id="374" w:name="_Toc146020677"/>
      <w:bookmarkStart w:id="375" w:name="_Toc150246353"/>
      <w:bookmarkStart w:id="376" w:name="_Toc150311727"/>
      <w:bookmarkStart w:id="377" w:name="_Toc152492667"/>
      <w:bookmarkStart w:id="378" w:name="_Toc153679358"/>
      <w:bookmarkStart w:id="379" w:name="_Toc154201306"/>
      <w:bookmarkStart w:id="380" w:name="_Toc325551769"/>
      <w:bookmarkStart w:id="381" w:name="_Toc336264920"/>
      <w:r>
        <w:rPr>
          <w:rStyle w:val="CharDivNo"/>
        </w:rPr>
        <w:t>Division 3</w:t>
      </w:r>
      <w:r>
        <w:t xml:space="preserve"> — </w:t>
      </w:r>
      <w:r>
        <w:rPr>
          <w:rStyle w:val="CharDivText"/>
        </w:rPr>
        <w:t>Emergency use of listening devices and optical surveillance devices in the public interest</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535377018"/>
      <w:bookmarkStart w:id="383" w:name="_Toc13119148"/>
      <w:bookmarkStart w:id="384" w:name="_Toc53543152"/>
      <w:bookmarkStart w:id="385" w:name="_Toc102534603"/>
      <w:bookmarkStart w:id="386" w:name="_Toc336264921"/>
      <w:r>
        <w:rPr>
          <w:rStyle w:val="CharSectno"/>
        </w:rPr>
        <w:t>28</w:t>
      </w:r>
      <w:r>
        <w:t>.</w:t>
      </w:r>
      <w:r>
        <w:tab/>
        <w:t>Emergency use of listening devices in the public interest</w:t>
      </w:r>
      <w:bookmarkEnd w:id="382"/>
      <w:bookmarkEnd w:id="383"/>
      <w:bookmarkEnd w:id="384"/>
      <w:bookmarkEnd w:id="385"/>
      <w:bookmarkEnd w:id="386"/>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387" w:name="_Toc535377019"/>
      <w:bookmarkStart w:id="388" w:name="_Toc13119149"/>
      <w:bookmarkStart w:id="389" w:name="_Toc53543153"/>
      <w:bookmarkStart w:id="390" w:name="_Toc102534604"/>
      <w:bookmarkStart w:id="391" w:name="_Toc336264922"/>
      <w:r>
        <w:rPr>
          <w:rStyle w:val="CharSectno"/>
        </w:rPr>
        <w:t>29</w:t>
      </w:r>
      <w:r>
        <w:t>.</w:t>
      </w:r>
      <w:r>
        <w:tab/>
        <w:t>Emergency use of optical surveillance devices in the public interest</w:t>
      </w:r>
      <w:bookmarkEnd w:id="387"/>
      <w:bookmarkEnd w:id="388"/>
      <w:bookmarkEnd w:id="389"/>
      <w:bookmarkEnd w:id="390"/>
      <w:bookmarkEnd w:id="391"/>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392" w:name="_Toc535377020"/>
      <w:bookmarkStart w:id="393" w:name="_Toc13119150"/>
      <w:bookmarkStart w:id="394" w:name="_Toc53543154"/>
      <w:bookmarkStart w:id="395" w:name="_Toc102534605"/>
      <w:bookmarkStart w:id="396" w:name="_Toc336264923"/>
      <w:r>
        <w:rPr>
          <w:rStyle w:val="CharSectno"/>
        </w:rPr>
        <w:t>30</w:t>
      </w:r>
      <w:r>
        <w:t>.</w:t>
      </w:r>
      <w:r>
        <w:tab/>
        <w:t>Report to a judge</w:t>
      </w:r>
      <w:bookmarkEnd w:id="392"/>
      <w:bookmarkEnd w:id="393"/>
      <w:bookmarkEnd w:id="394"/>
      <w:bookmarkEnd w:id="395"/>
      <w:bookmarkEnd w:id="396"/>
    </w:p>
    <w:p>
      <w:pPr>
        <w:pStyle w:val="Subsection"/>
      </w:pPr>
      <w:r>
        <w:tab/>
        <w:t>(1)</w:t>
      </w:r>
      <w:r>
        <w:tab/>
        <w:t xml:space="preserve">A person who uses a listening device or an optical surveillance device under section 28 or 29 must deliver without delay a written report to a judge — </w:t>
      </w:r>
    </w:p>
    <w:p>
      <w:pPr>
        <w:pStyle w:val="Indenta"/>
      </w:pPr>
      <w:r>
        <w:tab/>
        <w:t>(a)</w:t>
      </w:r>
      <w:r>
        <w:tab/>
        <w:t>giving particulars of the device used;</w:t>
      </w:r>
    </w:p>
    <w:p>
      <w:pPr>
        <w:pStyle w:val="Indenta"/>
      </w:pPr>
      <w:r>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Where a report is given to a judge under subsection (1), the judge may direct that any record of evidence or information obtained by the use of the surveillance device to which the report relates be brought before the judge.</w:t>
      </w:r>
    </w:p>
    <w:p>
      <w:pPr>
        <w:pStyle w:val="Subsection"/>
      </w:pPr>
      <w:r>
        <w:tab/>
        <w:t>(4)</w:t>
      </w:r>
      <w:r>
        <w:tab/>
        <w:t>A record of evidence or information brought before a judge under subsection (3) must be kept in the custody of the court and the judge may order that it be returned, or made available to any person, or destroyed.</w:t>
      </w:r>
    </w:p>
    <w:p>
      <w:pPr>
        <w:pStyle w:val="Heading3"/>
      </w:pPr>
      <w:bookmarkStart w:id="397" w:name="_Toc62006624"/>
      <w:bookmarkStart w:id="398" w:name="_Toc89515491"/>
      <w:bookmarkStart w:id="399" w:name="_Toc89755198"/>
      <w:bookmarkStart w:id="400" w:name="_Toc90093944"/>
      <w:bookmarkStart w:id="401" w:name="_Toc90717988"/>
      <w:bookmarkStart w:id="402" w:name="_Toc92605822"/>
      <w:bookmarkStart w:id="403" w:name="_Toc92605953"/>
      <w:bookmarkStart w:id="404" w:name="_Toc92798662"/>
      <w:bookmarkStart w:id="405" w:name="_Toc92798725"/>
      <w:bookmarkStart w:id="406" w:name="_Toc94587496"/>
      <w:bookmarkStart w:id="407" w:name="_Toc102534606"/>
      <w:bookmarkStart w:id="408" w:name="_Toc139953281"/>
      <w:bookmarkStart w:id="409" w:name="_Toc139953733"/>
      <w:bookmarkStart w:id="410" w:name="_Toc139966123"/>
      <w:bookmarkStart w:id="411" w:name="_Toc146020681"/>
      <w:bookmarkStart w:id="412" w:name="_Toc150246357"/>
      <w:bookmarkStart w:id="413" w:name="_Toc150311731"/>
      <w:bookmarkStart w:id="414" w:name="_Toc152492671"/>
      <w:bookmarkStart w:id="415" w:name="_Toc153679362"/>
      <w:bookmarkStart w:id="416" w:name="_Toc154201310"/>
      <w:bookmarkStart w:id="417" w:name="_Toc325551773"/>
      <w:bookmarkStart w:id="418" w:name="_Toc336264924"/>
      <w:r>
        <w:rPr>
          <w:rStyle w:val="CharDivNo"/>
        </w:rPr>
        <w:t>Division 4</w:t>
      </w:r>
      <w:r>
        <w:t xml:space="preserve"> — </w:t>
      </w:r>
      <w:r>
        <w:rPr>
          <w:rStyle w:val="CharDivText"/>
        </w:rPr>
        <w:t>Publication or communication in the public interest</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535377021"/>
      <w:bookmarkStart w:id="420" w:name="_Toc13119151"/>
      <w:bookmarkStart w:id="421" w:name="_Toc53543155"/>
      <w:bookmarkStart w:id="422" w:name="_Toc102534607"/>
      <w:bookmarkStart w:id="423" w:name="_Toc336264925"/>
      <w:r>
        <w:rPr>
          <w:rStyle w:val="CharSectno"/>
        </w:rPr>
        <w:t>31</w:t>
      </w:r>
      <w:r>
        <w:t>.</w:t>
      </w:r>
      <w:r>
        <w:tab/>
        <w:t>Order allowing publication or communication in the public interest</w:t>
      </w:r>
      <w:bookmarkEnd w:id="419"/>
      <w:bookmarkEnd w:id="420"/>
      <w:bookmarkEnd w:id="421"/>
      <w:bookmarkEnd w:id="422"/>
      <w:bookmarkEnd w:id="423"/>
    </w:p>
    <w:p>
      <w:pPr>
        <w:pStyle w:val="Subsection"/>
      </w:pPr>
      <w:r>
        <w:tab/>
        <w:t>(1)</w:t>
      </w:r>
      <w:r>
        <w:tab/>
        <w:t>A judge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judge is satisfied, upon application being made in accordance with section 32, that the publication or communication should be made to protect or further the public interest.</w:t>
      </w:r>
    </w:p>
    <w:p>
      <w:pPr>
        <w:pStyle w:val="Subsection"/>
      </w:pPr>
      <w:r>
        <w:tab/>
        <w:t>(2)</w:t>
      </w:r>
      <w:r>
        <w:tab/>
        <w:t>A judge, when making an order under subsection (1), may impose such conditions or restrictions as the judge considers necessary in the circumstances.</w:t>
      </w:r>
    </w:p>
    <w:p>
      <w:pPr>
        <w:pStyle w:val="Subsection"/>
      </w:pPr>
      <w:r>
        <w:tab/>
        <w:t>(3)</w:t>
      </w:r>
      <w:r>
        <w:tab/>
        <w:t xml:space="preserve">Upon an application made under section 32 a judge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Indenti"/>
      </w:pPr>
      <w:r>
        <w:tab/>
        <w:t>(ii)</w:t>
      </w:r>
      <w:r>
        <w:tab/>
        <w:t>a designated Commission;</w:t>
      </w:r>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tab/>
        <w:t>(c)</w:t>
      </w:r>
      <w:r>
        <w:tab/>
        <w:t>be kept in the custody of the court if the judge is satisfied that it is necessary to protect or further the public interest.</w:t>
      </w:r>
    </w:p>
    <w:p>
      <w:pPr>
        <w:pStyle w:val="Footnotesection"/>
      </w:pPr>
      <w:bookmarkStart w:id="424" w:name="_Toc535377022"/>
      <w:bookmarkStart w:id="425" w:name="_Toc13119152"/>
      <w:bookmarkStart w:id="426" w:name="_Toc53543156"/>
      <w:r>
        <w:tab/>
        <w:t>[Section 31 amended by No. 78 of 2003 s. 74; No. 74 of 2004 s. 72(3); No. 30 of 2006 s. 23.]</w:t>
      </w:r>
    </w:p>
    <w:p>
      <w:pPr>
        <w:pStyle w:val="Heading5"/>
      </w:pPr>
      <w:bookmarkStart w:id="427" w:name="_Toc102534608"/>
      <w:bookmarkStart w:id="428" w:name="_Toc336264926"/>
      <w:r>
        <w:rPr>
          <w:rStyle w:val="CharSectno"/>
        </w:rPr>
        <w:t>32</w:t>
      </w:r>
      <w:r>
        <w:t>.</w:t>
      </w:r>
      <w:r>
        <w:tab/>
        <w:t>Application for a publication order</w:t>
      </w:r>
      <w:bookmarkEnd w:id="424"/>
      <w:bookmarkEnd w:id="425"/>
      <w:bookmarkEnd w:id="426"/>
      <w:bookmarkEnd w:id="427"/>
      <w:bookmarkEnd w:id="428"/>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to include an affidavit of the person making the application deposing to the facts required by the judge to enable the judge to deal with the application in accordance with that section.</w:t>
      </w:r>
    </w:p>
    <w:p>
      <w:pPr>
        <w:pStyle w:val="Subsection"/>
      </w:pPr>
      <w:r>
        <w:tab/>
        <w:t>(2)</w:t>
      </w:r>
      <w:r>
        <w:tab/>
        <w:t xml:space="preserve">Subject to subsection (3), an application for an order under section 31 may be made upon notice or </w:t>
      </w:r>
      <w:r>
        <w:rPr>
          <w:iCs/>
        </w:rPr>
        <w:t xml:space="preserve">ex parte </w:t>
      </w:r>
      <w:r>
        <w:t>as the judge thinks fit.</w:t>
      </w:r>
    </w:p>
    <w:p>
      <w:pPr>
        <w:pStyle w:val="Subsection"/>
      </w:pPr>
      <w:r>
        <w:tab/>
        <w:t>(3)</w:t>
      </w:r>
      <w:r>
        <w:tab/>
        <w:t xml:space="preserve">An application by a law enforcement officer for an order under section 31 is to be made </w:t>
      </w:r>
      <w:r>
        <w:rPr>
          <w:iCs/>
        </w:rPr>
        <w:t>ex parte</w:t>
      </w:r>
      <w:r>
        <w:t>.</w:t>
      </w:r>
    </w:p>
    <w:p>
      <w:pPr>
        <w:pStyle w:val="Subsection"/>
      </w:pPr>
      <w:r>
        <w:tab/>
        <w:t>(4)</w:t>
      </w:r>
      <w:r>
        <w:tab/>
        <w:t>A judge may require further information to be given, orally or by affidavit, in relation to an application for an order under section 31.</w:t>
      </w:r>
    </w:p>
    <w:p>
      <w:pPr>
        <w:pStyle w:val="Heading5"/>
      </w:pPr>
      <w:bookmarkStart w:id="429" w:name="_Toc535377023"/>
      <w:bookmarkStart w:id="430" w:name="_Toc13119153"/>
      <w:bookmarkStart w:id="431" w:name="_Toc53543157"/>
      <w:bookmarkStart w:id="432" w:name="_Toc102534609"/>
      <w:bookmarkStart w:id="433" w:name="_Toc336264927"/>
      <w:r>
        <w:rPr>
          <w:rStyle w:val="CharSectno"/>
        </w:rPr>
        <w:t>33</w:t>
      </w:r>
      <w:r>
        <w:t>.</w:t>
      </w:r>
      <w:r>
        <w:tab/>
        <w:t>Confidentiality</w:t>
      </w:r>
      <w:bookmarkEnd w:id="429"/>
      <w:bookmarkEnd w:id="430"/>
      <w:bookmarkEnd w:id="431"/>
      <w:bookmarkEnd w:id="432"/>
      <w:bookmarkEnd w:id="433"/>
    </w:p>
    <w:p>
      <w:pPr>
        <w:pStyle w:val="Subsection"/>
      </w:pPr>
      <w:r>
        <w:tab/>
        <w:t>(1)</w:t>
      </w:r>
      <w:r>
        <w:tab/>
        <w:t>An application under this Part to a judge must not be heard in open court.</w:t>
      </w:r>
    </w:p>
    <w:p>
      <w:pPr>
        <w:pStyle w:val="Subsection"/>
      </w:pPr>
      <w:r>
        <w:tab/>
        <w:t>(2)</w:t>
      </w:r>
      <w:r>
        <w:tab/>
        <w:t xml:space="preserve">The following material must not be made available by a court for search by any person except on the direction of a judge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written report delivered to a judge under section 30;</w:t>
      </w:r>
    </w:p>
    <w:p>
      <w:pPr>
        <w:pStyle w:val="Indenta"/>
      </w:pPr>
      <w:r>
        <w:tab/>
        <w:t>(d)</w:t>
      </w:r>
      <w:r>
        <w:tab/>
        <w:t>any record of evidence or information brought before a judge under section 30(3).</w:t>
      </w:r>
    </w:p>
    <w:p>
      <w:pPr>
        <w:pStyle w:val="Subsection"/>
        <w:keepNext/>
        <w:keepLines/>
      </w:pPr>
      <w:r>
        <w:tab/>
        <w:t>(3)</w:t>
      </w:r>
      <w:r>
        <w:tab/>
        <w:t xml:space="preserve">A direction is not to be given under subsection (2) if, in the opinion of the judge, it could result in the publication of any matter contrary to section 151 of the </w:t>
      </w:r>
      <w:r>
        <w:rPr>
          <w:i/>
        </w:rPr>
        <w:t>Corruption and Crime Commission Act 2003</w:t>
      </w:r>
      <w:r>
        <w:t>.</w:t>
      </w:r>
    </w:p>
    <w:p>
      <w:pPr>
        <w:pStyle w:val="Footnotesection"/>
      </w:pPr>
      <w:bookmarkStart w:id="434" w:name="_Toc62006628"/>
      <w:r>
        <w:tab/>
        <w:t>[Section 33 amended by No. 78 of 2003 s. 74.]</w:t>
      </w:r>
    </w:p>
    <w:p>
      <w:pPr>
        <w:pStyle w:val="Heading2"/>
      </w:pPr>
      <w:bookmarkStart w:id="435" w:name="_Toc89515495"/>
      <w:bookmarkStart w:id="436" w:name="_Toc89755202"/>
      <w:bookmarkStart w:id="437" w:name="_Toc90093948"/>
      <w:bookmarkStart w:id="438" w:name="_Toc90717992"/>
      <w:bookmarkStart w:id="439" w:name="_Toc92605826"/>
      <w:bookmarkStart w:id="440" w:name="_Toc92605957"/>
      <w:bookmarkStart w:id="441" w:name="_Toc92798666"/>
      <w:bookmarkStart w:id="442" w:name="_Toc92798729"/>
      <w:bookmarkStart w:id="443" w:name="_Toc94587500"/>
      <w:bookmarkStart w:id="444" w:name="_Toc102534610"/>
      <w:bookmarkStart w:id="445" w:name="_Toc139953285"/>
      <w:bookmarkStart w:id="446" w:name="_Toc139953737"/>
      <w:bookmarkStart w:id="447" w:name="_Toc139966127"/>
      <w:bookmarkStart w:id="448" w:name="_Toc146020685"/>
      <w:bookmarkStart w:id="449" w:name="_Toc150246361"/>
      <w:bookmarkStart w:id="450" w:name="_Toc150311735"/>
      <w:bookmarkStart w:id="451" w:name="_Toc152492675"/>
      <w:bookmarkStart w:id="452" w:name="_Toc153679366"/>
      <w:bookmarkStart w:id="453" w:name="_Toc154201314"/>
      <w:bookmarkStart w:id="454" w:name="_Toc325551777"/>
      <w:bookmarkStart w:id="455" w:name="_Toc336264928"/>
      <w:r>
        <w:rPr>
          <w:rStyle w:val="CharPartNo"/>
        </w:rPr>
        <w:t>Part 6</w:t>
      </w:r>
      <w:r>
        <w:rPr>
          <w:rStyle w:val="CharDivNo"/>
        </w:rPr>
        <w:t> </w:t>
      </w:r>
      <w:r>
        <w:t>—</w:t>
      </w:r>
      <w:r>
        <w:rPr>
          <w:rStyle w:val="CharDivText"/>
        </w:rPr>
        <w:t xml:space="preserve"> </w:t>
      </w:r>
      <w:r>
        <w:rPr>
          <w:rStyle w:val="CharPartText"/>
        </w:rPr>
        <w:t>Offences and enforcement provisions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Toc535377024"/>
      <w:bookmarkStart w:id="457" w:name="_Toc13119154"/>
      <w:bookmarkStart w:id="458" w:name="_Toc53543158"/>
      <w:bookmarkStart w:id="459" w:name="_Toc102534611"/>
      <w:bookmarkStart w:id="460" w:name="_Toc336264929"/>
      <w:r>
        <w:rPr>
          <w:rStyle w:val="CharSectno"/>
        </w:rPr>
        <w:t>34</w:t>
      </w:r>
      <w:r>
        <w:t>.</w:t>
      </w:r>
      <w:r>
        <w:tab/>
        <w:t>Possession of surveillance device for unlawful use</w:t>
      </w:r>
      <w:bookmarkEnd w:id="456"/>
      <w:bookmarkEnd w:id="457"/>
      <w:bookmarkEnd w:id="458"/>
      <w:bookmarkEnd w:id="459"/>
      <w:bookmarkEnd w:id="460"/>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461" w:name="_Toc535377025"/>
      <w:bookmarkStart w:id="462" w:name="_Toc13119155"/>
      <w:bookmarkStart w:id="463" w:name="_Toc53543159"/>
      <w:bookmarkStart w:id="464" w:name="_Toc102534612"/>
      <w:bookmarkStart w:id="465" w:name="_Toc336264930"/>
      <w:r>
        <w:rPr>
          <w:rStyle w:val="CharSectno"/>
        </w:rPr>
        <w:t>35</w:t>
      </w:r>
      <w:r>
        <w:t>.</w:t>
      </w:r>
      <w:r>
        <w:tab/>
        <w:t>Unlawful removal or retrieval of surveillance device</w:t>
      </w:r>
      <w:bookmarkEnd w:id="461"/>
      <w:bookmarkEnd w:id="462"/>
      <w:bookmarkEnd w:id="463"/>
      <w:bookmarkEnd w:id="464"/>
      <w:bookmarkEnd w:id="465"/>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466" w:name="_Toc535377026"/>
      <w:bookmarkStart w:id="467" w:name="_Toc13119156"/>
      <w:bookmarkStart w:id="468" w:name="_Toc53543160"/>
      <w:bookmarkStart w:id="469" w:name="_Toc102534613"/>
      <w:bookmarkStart w:id="470" w:name="_Toc336264931"/>
      <w:r>
        <w:rPr>
          <w:rStyle w:val="CharSectno"/>
        </w:rPr>
        <w:t>36</w:t>
      </w:r>
      <w:r>
        <w:t>.</w:t>
      </w:r>
      <w:r>
        <w:tab/>
        <w:t>Power to search</w:t>
      </w:r>
      <w:bookmarkEnd w:id="466"/>
      <w:bookmarkEnd w:id="467"/>
      <w:bookmarkEnd w:id="468"/>
      <w:bookmarkEnd w:id="469"/>
      <w:bookmarkEnd w:id="470"/>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A surveillance device or connected device seized under subsection (2) may be retained until the final determination of 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471" w:name="_Toc535377027"/>
      <w:bookmarkStart w:id="472" w:name="_Toc13119157"/>
      <w:bookmarkStart w:id="473" w:name="_Toc53543161"/>
      <w:bookmarkStart w:id="474" w:name="_Toc102534614"/>
      <w:bookmarkStart w:id="475" w:name="_Toc336264932"/>
      <w:r>
        <w:rPr>
          <w:rStyle w:val="CharSectno"/>
        </w:rPr>
        <w:t>37</w:t>
      </w:r>
      <w:r>
        <w:t>.</w:t>
      </w:r>
      <w:r>
        <w:tab/>
        <w:t>Report of finding surveillance device</w:t>
      </w:r>
      <w:bookmarkEnd w:id="471"/>
      <w:bookmarkEnd w:id="472"/>
      <w:bookmarkEnd w:id="473"/>
      <w:bookmarkEnd w:id="474"/>
      <w:bookmarkEnd w:id="475"/>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(aa), (b) or (c) of the definition of “law enforcement officer” in section 3(1).</w:t>
      </w:r>
    </w:p>
    <w:p>
      <w:pPr>
        <w:pStyle w:val="Footnotesection"/>
      </w:pPr>
      <w:r>
        <w:tab/>
        <w:t>[Section 37 amended No. 30 of 2006 s. 24.]</w:t>
      </w:r>
    </w:p>
    <w:p>
      <w:pPr>
        <w:pStyle w:val="Heading5"/>
      </w:pPr>
      <w:bookmarkStart w:id="476" w:name="_Toc535377028"/>
      <w:bookmarkStart w:id="477" w:name="_Toc13119158"/>
      <w:bookmarkStart w:id="478" w:name="_Toc53543162"/>
      <w:bookmarkStart w:id="479" w:name="_Toc102534615"/>
      <w:bookmarkStart w:id="480" w:name="_Toc336264933"/>
      <w:r>
        <w:rPr>
          <w:rStyle w:val="CharSectno"/>
        </w:rPr>
        <w:t>38</w:t>
      </w:r>
      <w:r>
        <w:t>.</w:t>
      </w:r>
      <w:r>
        <w:tab/>
        <w:t>Time limit for prosecutions</w:t>
      </w:r>
      <w:bookmarkEnd w:id="476"/>
      <w:bookmarkEnd w:id="477"/>
      <w:bookmarkEnd w:id="478"/>
      <w:bookmarkEnd w:id="479"/>
      <w:bookmarkEnd w:id="480"/>
    </w:p>
    <w:p>
      <w:pPr>
        <w:pStyle w:val="Subsection"/>
      </w:pPr>
      <w:r>
        <w:tab/>
      </w:r>
      <w:r>
        <w:tab/>
        <w:t>A proceeding for an offence under this Act is required to be commenced within 2 years after the offence was committed.</w:t>
      </w:r>
    </w:p>
    <w:p>
      <w:pPr>
        <w:pStyle w:val="Heading5"/>
      </w:pPr>
      <w:bookmarkStart w:id="481" w:name="_Toc535377029"/>
      <w:bookmarkStart w:id="482" w:name="_Toc13119159"/>
      <w:bookmarkStart w:id="483" w:name="_Toc53543163"/>
      <w:bookmarkStart w:id="484" w:name="_Toc102534616"/>
      <w:bookmarkStart w:id="485" w:name="_Toc336264934"/>
      <w:r>
        <w:rPr>
          <w:rStyle w:val="CharSectno"/>
        </w:rPr>
        <w:t>39</w:t>
      </w:r>
      <w:r>
        <w:t>.</w:t>
      </w:r>
      <w:r>
        <w:tab/>
        <w:t>Offences by bodies corporate</w:t>
      </w:r>
      <w:bookmarkEnd w:id="481"/>
      <w:bookmarkEnd w:id="482"/>
      <w:bookmarkEnd w:id="483"/>
      <w:bookmarkEnd w:id="484"/>
      <w:bookmarkEnd w:id="485"/>
    </w:p>
    <w:p>
      <w:pPr>
        <w:pStyle w:val="Subsection"/>
      </w:pPr>
      <w:r>
        <w:tab/>
        <w:t>(1)</w:t>
      </w:r>
      <w:r>
        <w:tab/>
        <w:t xml:space="preserve">Where a body corporate contravenes a provision of this Act, whether by act or omission, each person who is a director of the body corporate or who is concerned in the management of the body corporate contravenes the same provision unless the person satisfies the court that — </w:t>
      </w:r>
    </w:p>
    <w:p>
      <w:pPr>
        <w:pStyle w:val="Indenta"/>
      </w:pPr>
      <w:r>
        <w:tab/>
        <w:t>(a)</w:t>
      </w:r>
      <w:r>
        <w:tab/>
        <w:t xml:space="preserve">the body corporate contravened the provision without the knowledge of the person; and </w:t>
      </w:r>
    </w:p>
    <w:p>
      <w:pPr>
        <w:pStyle w:val="Indenta"/>
      </w:pPr>
      <w:r>
        <w:tab/>
        <w:t>(b)</w:t>
      </w:r>
      <w:r>
        <w:tab/>
        <w:t xml:space="preserve">the person — </w:t>
      </w:r>
    </w:p>
    <w:p>
      <w:pPr>
        <w:pStyle w:val="Indenti"/>
      </w:pPr>
      <w:r>
        <w:tab/>
        <w:t>(</w:t>
      </w:r>
      <w:r>
        <w:rPr>
          <w:noProof/>
        </w:rPr>
        <w:t>i)</w:t>
      </w:r>
      <w:r>
        <w:rPr>
          <w:noProof/>
        </w:rPr>
        <w:tab/>
      </w:r>
      <w:r>
        <w:t>was not in a position to influence the conduct of the body corporate in relation to its contravention of the provision; or</w:t>
      </w:r>
    </w:p>
    <w:p>
      <w:pPr>
        <w:pStyle w:val="Indenti"/>
      </w:pPr>
      <w:r>
        <w:tab/>
        <w:t>(</w:t>
      </w:r>
      <w:r>
        <w:rPr>
          <w:noProof/>
        </w:rPr>
        <w:t>ii)</w:t>
      </w:r>
      <w:r>
        <w:rPr>
          <w:noProof/>
        </w:rPr>
        <w:tab/>
      </w:r>
      <w:r>
        <w:t>being in such a position, used all due diligence to prevent the contravention by the body corporate.</w:t>
      </w:r>
    </w:p>
    <w:p>
      <w:pPr>
        <w:pStyle w:val="Subsection"/>
      </w:pPr>
      <w:r>
        <w:tab/>
        <w:t>(2)</w:t>
      </w:r>
      <w:r>
        <w:tab/>
        <w:t>A person may be proceeded against and convicted under a provision because of subsection (1) whether or not the body corporate has been proceeded against or convicted under that provision.</w:t>
      </w:r>
    </w:p>
    <w:p>
      <w:pPr>
        <w:pStyle w:val="Subsection"/>
      </w:pPr>
      <w:r>
        <w:tab/>
        <w:t>(3)</w:t>
      </w:r>
      <w:r>
        <w:tab/>
        <w:t>Nothing in this section prejudices or affects any liability imposed by this Act on any body corporate by which an offence against this Act is actually committed.</w:t>
      </w:r>
    </w:p>
    <w:p>
      <w:pPr>
        <w:pStyle w:val="Heading5"/>
      </w:pPr>
      <w:bookmarkStart w:id="486" w:name="_Toc535377030"/>
      <w:bookmarkStart w:id="487" w:name="_Toc13119160"/>
      <w:bookmarkStart w:id="488" w:name="_Toc53543164"/>
      <w:bookmarkStart w:id="489" w:name="_Toc102534617"/>
      <w:bookmarkStart w:id="490" w:name="_Toc336264935"/>
      <w:r>
        <w:rPr>
          <w:rStyle w:val="CharSectno"/>
        </w:rPr>
        <w:t>40</w:t>
      </w:r>
      <w:r>
        <w:t>.</w:t>
      </w:r>
      <w:r>
        <w:tab/>
        <w:t>Forfeiture</w:t>
      </w:r>
      <w:bookmarkEnd w:id="486"/>
      <w:bookmarkEnd w:id="487"/>
      <w:bookmarkEnd w:id="488"/>
      <w:bookmarkEnd w:id="489"/>
      <w:bookmarkEnd w:id="490"/>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an order that any surveillance device or connected device used in connection with or for the purposes of the commission of the offence be forfeited to the State;</w:t>
      </w:r>
    </w:p>
    <w:p>
      <w:pPr>
        <w:pStyle w:val="Indenta"/>
      </w:pPr>
      <w:r>
        <w:tab/>
        <w:t>(b)</w:t>
      </w:r>
      <w:r>
        <w:tab/>
        <w:t>an order that any report or record of a private conversation or record of a private activity to which the offence relates and which was obtained by the use of a surveillance device to which the offence relates be forfeited to the State.</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Where an order of forfeiture is made under this section any member of the police force of the State, any officer of the Corruption and Crime Commission, any officer of a designated Commission or any member of the staff of the Australian Crime Commission may seize the item forfeited for the purpose of giving effect to the order and for that purpose may enter any premises, by force if necessary.</w:t>
      </w:r>
    </w:p>
    <w:p>
      <w:pPr>
        <w:pStyle w:val="Subsection"/>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491" w:name="_Toc62006636"/>
      <w:r>
        <w:tab/>
        <w:t>[Section 40 amended by No. 78 of 2003 s. 74; No. 74 of 2004 s. 72(3); No. 30 of 2006 s. 25.]</w:t>
      </w:r>
    </w:p>
    <w:p>
      <w:pPr>
        <w:pStyle w:val="Heading2"/>
      </w:pPr>
      <w:bookmarkStart w:id="492" w:name="_Toc89515503"/>
      <w:bookmarkStart w:id="493" w:name="_Toc89755210"/>
      <w:bookmarkStart w:id="494" w:name="_Toc90093956"/>
      <w:bookmarkStart w:id="495" w:name="_Toc90718000"/>
      <w:bookmarkStart w:id="496" w:name="_Toc92605834"/>
      <w:bookmarkStart w:id="497" w:name="_Toc92605965"/>
      <w:bookmarkStart w:id="498" w:name="_Toc92798674"/>
      <w:bookmarkStart w:id="499" w:name="_Toc92798737"/>
      <w:bookmarkStart w:id="500" w:name="_Toc94587508"/>
      <w:bookmarkStart w:id="501" w:name="_Toc102534618"/>
      <w:bookmarkStart w:id="502" w:name="_Toc139953293"/>
      <w:bookmarkStart w:id="503" w:name="_Toc139953745"/>
      <w:bookmarkStart w:id="504" w:name="_Toc139966135"/>
      <w:bookmarkStart w:id="505" w:name="_Toc146020693"/>
      <w:bookmarkStart w:id="506" w:name="_Toc150246369"/>
      <w:bookmarkStart w:id="507" w:name="_Toc150311743"/>
      <w:bookmarkStart w:id="508" w:name="_Toc152492683"/>
      <w:bookmarkStart w:id="509" w:name="_Toc153679374"/>
      <w:bookmarkStart w:id="510" w:name="_Toc154201322"/>
      <w:bookmarkStart w:id="511" w:name="_Toc325551785"/>
      <w:bookmarkStart w:id="512" w:name="_Toc336264936"/>
      <w:r>
        <w:rPr>
          <w:rStyle w:val="CharPartNo"/>
        </w:rPr>
        <w:t>Part 7</w:t>
      </w:r>
      <w:r>
        <w:t xml:space="preserve"> — </w:t>
      </w:r>
      <w:r>
        <w:rPr>
          <w:rStyle w:val="CharPartText"/>
        </w:rPr>
        <w:t>Miscellaneous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535377031"/>
      <w:bookmarkStart w:id="514" w:name="_Toc13119161"/>
      <w:bookmarkStart w:id="515" w:name="_Toc53543165"/>
      <w:bookmarkStart w:id="516" w:name="_Toc102534619"/>
      <w:bookmarkStart w:id="517" w:name="_Toc336264937"/>
      <w:r>
        <w:rPr>
          <w:rStyle w:val="CharSectno"/>
        </w:rPr>
        <w:t>41</w:t>
      </w:r>
      <w:r>
        <w:t>.</w:t>
      </w:r>
      <w:r>
        <w:tab/>
        <w:t>Dealing with records obtained by surveillance devices</w:t>
      </w:r>
      <w:bookmarkEnd w:id="513"/>
      <w:bookmarkEnd w:id="514"/>
      <w:bookmarkEnd w:id="515"/>
      <w:bookmarkEnd w:id="516"/>
      <w:bookmarkEnd w:id="517"/>
    </w:p>
    <w:p>
      <w:pPr>
        <w:pStyle w:val="Subsection"/>
      </w:pPr>
      <w:r>
        <w:tab/>
        <w:t>(1)</w:t>
      </w:r>
      <w:r>
        <w:tab/>
        <w:t xml:space="preserve">The Commissioner of Police, the Corruption and Crime Commission, a designated Commission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 an officer of the designated Commission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 the designated Commission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tab/>
        <w:t>(3)</w:t>
      </w:r>
      <w:r>
        <w:tab/>
        <w:t>The Commissioner of Police, the Corruption and Crime Commission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518" w:name="_Toc535377032"/>
      <w:bookmarkStart w:id="519" w:name="_Toc13119162"/>
      <w:bookmarkStart w:id="520" w:name="_Toc53543166"/>
      <w:r>
        <w:tab/>
        <w:t>[Section 41 amended by No. 78 of 2003 s. 74; No. 74 of 2004 s. 72(3); No. 30 of 2006 s. 26; No. 8 of 2009 s. 122.]</w:t>
      </w:r>
    </w:p>
    <w:p>
      <w:pPr>
        <w:pStyle w:val="Heading5"/>
      </w:pPr>
      <w:bookmarkStart w:id="521" w:name="_Toc102534620"/>
      <w:bookmarkStart w:id="522" w:name="_Toc336264938"/>
      <w:r>
        <w:rPr>
          <w:rStyle w:val="CharSectno"/>
        </w:rPr>
        <w:t>42</w:t>
      </w:r>
      <w:r>
        <w:t>.</w:t>
      </w:r>
      <w:r>
        <w:tab/>
        <w:t>Exemption from personal liability</w:t>
      </w:r>
      <w:bookmarkEnd w:id="518"/>
      <w:bookmarkEnd w:id="519"/>
      <w:bookmarkEnd w:id="520"/>
      <w:bookmarkEnd w:id="521"/>
      <w:bookmarkEnd w:id="522"/>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523" w:name="_Toc535377033"/>
      <w:bookmarkStart w:id="524" w:name="_Toc13119163"/>
      <w:bookmarkStart w:id="525" w:name="_Toc53543167"/>
      <w:bookmarkStart w:id="526" w:name="_Toc102534621"/>
      <w:bookmarkStart w:id="527" w:name="_Toc336264939"/>
      <w:r>
        <w:rPr>
          <w:rStyle w:val="CharSectno"/>
        </w:rPr>
        <w:t>43</w:t>
      </w:r>
      <w:r>
        <w:t>.</w:t>
      </w:r>
      <w:r>
        <w:tab/>
        <w:t>Annual reports</w:t>
      </w:r>
      <w:bookmarkEnd w:id="523"/>
      <w:bookmarkEnd w:id="524"/>
      <w:bookmarkEnd w:id="525"/>
      <w:bookmarkEnd w:id="526"/>
      <w:bookmarkEnd w:id="527"/>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t>deleted]</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528" w:name="_Toc535377034"/>
      <w:bookmarkStart w:id="529" w:name="_Toc13119164"/>
      <w:bookmarkStart w:id="530" w:name="_Toc53543168"/>
      <w:r>
        <w:tab/>
        <w:t>[Section 43 amended by No. 78 of 2003 s. 74; No. 74 of 2004 s. 72(3) and (4).]</w:t>
      </w:r>
    </w:p>
    <w:p>
      <w:pPr>
        <w:pStyle w:val="Heading5"/>
      </w:pPr>
      <w:bookmarkStart w:id="531" w:name="_Toc336264940"/>
      <w:bookmarkStart w:id="532" w:name="_Toc102534622"/>
      <w:r>
        <w:rPr>
          <w:rStyle w:val="CharSectno"/>
        </w:rPr>
        <w:t>43A</w:t>
      </w:r>
      <w:r>
        <w:t>.</w:t>
      </w:r>
      <w:r>
        <w:tab/>
        <w:t>Reports by Royal Commissions</w:t>
      </w:r>
      <w:bookmarkEnd w:id="531"/>
    </w:p>
    <w:p>
      <w:pPr>
        <w:pStyle w:val="Subsection"/>
      </w:pPr>
      <w:r>
        <w:tab/>
        <w:t>(1)</w:t>
      </w:r>
      <w:r>
        <w:tab/>
        <w:t xml:space="preserve">A designated Commission may furnish to the Attorney General a report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designated Commission considers appropriate.</w:t>
      </w:r>
    </w:p>
    <w:p>
      <w:pPr>
        <w:pStyle w:val="Subsection"/>
      </w:pPr>
      <w:r>
        <w:tab/>
        <w:t>(2)</w:t>
      </w:r>
      <w:r>
        <w:tab/>
        <w:t>The Attorney General shall cause a report furnished by a designated Commission under subsection (1) to be laid before each House of Parliament as soon as is practicable.</w:t>
      </w:r>
    </w:p>
    <w:p>
      <w:pPr>
        <w:pStyle w:val="Footnotesection"/>
      </w:pPr>
      <w:r>
        <w:tab/>
        <w:t>[Section 43A inserted by No. 30 of 2006 s. 27.]</w:t>
      </w:r>
    </w:p>
    <w:p>
      <w:pPr>
        <w:pStyle w:val="Heading5"/>
      </w:pPr>
      <w:bookmarkStart w:id="533" w:name="_Toc336264941"/>
      <w:r>
        <w:rPr>
          <w:rStyle w:val="CharSectno"/>
        </w:rPr>
        <w:t>44</w:t>
      </w:r>
      <w:r>
        <w:t>.</w:t>
      </w:r>
      <w:r>
        <w:tab/>
        <w:t>Regulations</w:t>
      </w:r>
      <w:bookmarkEnd w:id="528"/>
      <w:bookmarkEnd w:id="529"/>
      <w:bookmarkEnd w:id="530"/>
      <w:bookmarkEnd w:id="532"/>
      <w:bookmarkEnd w:id="533"/>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 or to enable a designated Commission to furnish a report under section 43A.</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 by No. 78 of 2003 s. 74; No. 74 of 2004 s. 72(4); No. 30 of 2006 s. 28.]</w:t>
      </w:r>
    </w:p>
    <w:p>
      <w:pPr>
        <w:pStyle w:val="Ednotepart"/>
      </w:pPr>
      <w:r>
        <w:t>[Part 8 omitted under the Reprints Act 1984 s. 7(4)(e) and (f).]</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34" w:name="_Toc62006641"/>
      <w:bookmarkStart w:id="535" w:name="_Toc89515508"/>
      <w:bookmarkStart w:id="536" w:name="_Toc89755215"/>
      <w:bookmarkStart w:id="537" w:name="_Toc90093961"/>
      <w:bookmarkStart w:id="538" w:name="_Toc90718005"/>
      <w:bookmarkStart w:id="539" w:name="_Toc92605839"/>
      <w:bookmarkStart w:id="540" w:name="_Toc92605970"/>
      <w:bookmarkStart w:id="541" w:name="_Toc92798679"/>
      <w:bookmarkStart w:id="542" w:name="_Toc92798742"/>
      <w:bookmarkStart w:id="543" w:name="_Toc94587513"/>
      <w:bookmarkStart w:id="544" w:name="_Toc102534623"/>
      <w:bookmarkStart w:id="545" w:name="_Toc139953298"/>
      <w:bookmarkStart w:id="546" w:name="_Toc139953750"/>
      <w:bookmarkStart w:id="547" w:name="_Toc139966140"/>
      <w:bookmarkStart w:id="548" w:name="_Toc146020699"/>
      <w:bookmarkStart w:id="549" w:name="_Toc150246375"/>
      <w:bookmarkStart w:id="550" w:name="_Toc150311749"/>
      <w:bookmarkStart w:id="551" w:name="_Toc152492689"/>
      <w:bookmarkStart w:id="552" w:name="_Toc153679380"/>
      <w:bookmarkStart w:id="553" w:name="_Toc154201328"/>
      <w:bookmarkStart w:id="554" w:name="_Toc325551791"/>
      <w:bookmarkStart w:id="555" w:name="_Toc336264942"/>
      <w:r>
        <w:t>Notes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Act 1998</w:t>
      </w:r>
      <w:r>
        <w:rPr>
          <w:snapToGrid w:val="0"/>
        </w:rPr>
        <w:t xml:space="preserve"> and includes the amendments made by the other written laws referred to in the following table.  The table also contains information about any reprint.</w:t>
      </w:r>
    </w:p>
    <w:p>
      <w:pPr>
        <w:pStyle w:val="nHeading3"/>
      </w:pPr>
      <w:bookmarkStart w:id="556" w:name="_Toc336264943"/>
      <w:r>
        <w:t>Compilation table</w:t>
      </w:r>
      <w:bookmarkEnd w:id="556"/>
    </w:p>
    <w:tbl>
      <w:tblPr>
        <w:tblW w:w="0" w:type="auto"/>
        <w:tblInd w:w="49"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After w:val="1"/>
          <w:wAfter w:w="7"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7" w:type="dxa"/>
          <w:cantSplit/>
        </w:trPr>
        <w:tc>
          <w:tcPr>
            <w:tcW w:w="2268" w:type="dxa"/>
            <w:gridSpan w:val="2"/>
            <w:tcBorders>
              <w:top w:val="nil"/>
              <w:bottom w:val="nil"/>
            </w:tcBorders>
          </w:tcPr>
          <w:p>
            <w:pPr>
              <w:pStyle w:val="nTable"/>
              <w:spacing w:after="40"/>
              <w:ind w:right="113"/>
              <w:rPr>
                <w:i/>
                <w:sz w:val="19"/>
              </w:rPr>
            </w:pPr>
            <w:r>
              <w:rPr>
                <w:i/>
                <w:snapToGrid w:val="0"/>
                <w:sz w:val="19"/>
              </w:rPr>
              <w:t>Surveillance Devices Act 1998</w:t>
            </w:r>
          </w:p>
        </w:tc>
        <w:tc>
          <w:tcPr>
            <w:tcW w:w="1134" w:type="dxa"/>
            <w:gridSpan w:val="2"/>
            <w:tcBorders>
              <w:top w:val="nil"/>
              <w:bottom w:val="nil"/>
            </w:tcBorders>
          </w:tcPr>
          <w:p>
            <w:pPr>
              <w:pStyle w:val="nTable"/>
              <w:spacing w:after="40"/>
              <w:rPr>
                <w:sz w:val="19"/>
              </w:rPr>
            </w:pPr>
            <w:r>
              <w:rPr>
                <w:sz w:val="19"/>
              </w:rPr>
              <w:t>56 of 1998</w:t>
            </w:r>
          </w:p>
        </w:tc>
        <w:tc>
          <w:tcPr>
            <w:tcW w:w="1134" w:type="dxa"/>
            <w:gridSpan w:val="2"/>
            <w:tcBorders>
              <w:top w:val="nil"/>
              <w:bottom w:val="nil"/>
            </w:tcBorders>
          </w:tcPr>
          <w:p>
            <w:pPr>
              <w:pStyle w:val="nTable"/>
              <w:spacing w:after="40"/>
              <w:rPr>
                <w:sz w:val="19"/>
              </w:rPr>
            </w:pPr>
            <w:r>
              <w:rPr>
                <w:sz w:val="19"/>
              </w:rPr>
              <w:t>11 Jan 1999</w:t>
            </w:r>
          </w:p>
        </w:tc>
        <w:tc>
          <w:tcPr>
            <w:tcW w:w="2551" w:type="dxa"/>
            <w:gridSpan w:val="2"/>
            <w:tcBorders>
              <w:top w:val="nil"/>
              <w:bottom w:val="nil"/>
            </w:tcBorders>
          </w:tcPr>
          <w:p>
            <w:pPr>
              <w:pStyle w:val="nTable"/>
              <w:spacing w:after="40"/>
              <w:rPr>
                <w:sz w:val="19"/>
              </w:rPr>
            </w:pPr>
            <w:r>
              <w:rPr>
                <w:sz w:val="19"/>
              </w:rPr>
              <w:t xml:space="preserve">22 Nov 1999 (see s. 2 and </w:t>
            </w:r>
            <w:r>
              <w:rPr>
                <w:i/>
                <w:sz w:val="19"/>
              </w:rPr>
              <w:t>Gazette</w:t>
            </w:r>
            <w:r>
              <w:rPr>
                <w:sz w:val="19"/>
              </w:rPr>
              <w:t xml:space="preserve"> 22 Nov 1999 p. 5843)</w:t>
            </w:r>
          </w:p>
        </w:tc>
      </w:tr>
      <w:tr>
        <w:trPr>
          <w:gridAfter w:val="1"/>
          <w:wAfter w:w="7" w:type="dxa"/>
          <w:cantSplit/>
        </w:trPr>
        <w:tc>
          <w:tcPr>
            <w:tcW w:w="2268" w:type="dxa"/>
            <w:gridSpan w:val="2"/>
            <w:tcBorders>
              <w:top w:val="nil"/>
              <w:bottom w:val="nil"/>
            </w:tcBorders>
          </w:tcPr>
          <w:p>
            <w:pPr>
              <w:pStyle w:val="nTable"/>
              <w:spacing w:after="40"/>
              <w:ind w:right="113"/>
              <w:rPr>
                <w:snapToGrid w:val="0"/>
                <w:sz w:val="19"/>
              </w:rPr>
            </w:pPr>
            <w:r>
              <w:rPr>
                <w:i/>
                <w:snapToGrid w:val="0"/>
                <w:sz w:val="19"/>
              </w:rPr>
              <w:t>Acts Amendment (Criminal Investigation) Act 2001</w:t>
            </w:r>
            <w:r>
              <w:rPr>
                <w:snapToGrid w:val="0"/>
                <w:sz w:val="19"/>
              </w:rPr>
              <w:t xml:space="preserve"> s. 4</w:t>
            </w:r>
          </w:p>
        </w:tc>
        <w:tc>
          <w:tcPr>
            <w:tcW w:w="1134" w:type="dxa"/>
            <w:gridSpan w:val="2"/>
            <w:tcBorders>
              <w:top w:val="nil"/>
              <w:bottom w:val="nil"/>
            </w:tcBorders>
          </w:tcPr>
          <w:p>
            <w:pPr>
              <w:pStyle w:val="nTable"/>
              <w:spacing w:after="40"/>
              <w:rPr>
                <w:sz w:val="19"/>
              </w:rPr>
            </w:pPr>
            <w:r>
              <w:rPr>
                <w:sz w:val="19"/>
              </w:rPr>
              <w:t>35 of 2001</w:t>
            </w:r>
          </w:p>
        </w:tc>
        <w:tc>
          <w:tcPr>
            <w:tcW w:w="1134" w:type="dxa"/>
            <w:gridSpan w:val="2"/>
            <w:tcBorders>
              <w:top w:val="nil"/>
              <w:bottom w:val="nil"/>
            </w:tcBorders>
          </w:tcPr>
          <w:p>
            <w:pPr>
              <w:pStyle w:val="nTable"/>
              <w:spacing w:after="40"/>
              <w:rPr>
                <w:sz w:val="19"/>
              </w:rPr>
            </w:pPr>
            <w:r>
              <w:rPr>
                <w:sz w:val="19"/>
              </w:rPr>
              <w:t>7 Jan 2002</w:t>
            </w:r>
          </w:p>
        </w:tc>
        <w:tc>
          <w:tcPr>
            <w:tcW w:w="2551" w:type="dxa"/>
            <w:gridSpan w:val="2"/>
            <w:tcBorders>
              <w:top w:val="nil"/>
              <w:bottom w:val="nil"/>
            </w:tcBorders>
          </w:tcPr>
          <w:p>
            <w:pPr>
              <w:pStyle w:val="nTable"/>
              <w:spacing w:after="40"/>
              <w:rPr>
                <w:sz w:val="19"/>
              </w:rPr>
            </w:pPr>
            <w:r>
              <w:rPr>
                <w:sz w:val="19"/>
              </w:rPr>
              <w:t>14 Jan 2002 (see s. 2)</w:t>
            </w:r>
          </w:p>
        </w:tc>
      </w:tr>
      <w:tr>
        <w:trPr>
          <w:gridAfter w:val="1"/>
          <w:wAfter w:w="7" w:type="dxa"/>
          <w:cantSplit/>
        </w:trPr>
        <w:tc>
          <w:tcPr>
            <w:tcW w:w="2268" w:type="dxa"/>
            <w:gridSpan w:val="2"/>
            <w:tcBorders>
              <w:top w:val="nil"/>
              <w:bottom w:val="nil"/>
            </w:tcBorders>
          </w:tcPr>
          <w:p>
            <w:pPr>
              <w:pStyle w:val="nTable"/>
              <w:spacing w:after="40"/>
              <w:ind w:right="113"/>
              <w:rPr>
                <w:i/>
                <w:snapToGrid w:val="0"/>
                <w:sz w:val="19"/>
                <w:vertAlign w:val="superscript"/>
              </w:rPr>
            </w:pPr>
            <w:r>
              <w:rPr>
                <w:i/>
                <w:snapToGrid w:val="0"/>
                <w:sz w:val="19"/>
              </w:rPr>
              <w:t>Royal Commission (Police) Act 2002</w:t>
            </w:r>
            <w:r>
              <w:rPr>
                <w:snapToGrid w:val="0"/>
                <w:sz w:val="19"/>
              </w:rPr>
              <w:t xml:space="preserve"> s. 3(3) </w:t>
            </w:r>
            <w:r>
              <w:rPr>
                <w:snapToGrid w:val="0"/>
                <w:sz w:val="19"/>
                <w:vertAlign w:val="superscript"/>
              </w:rPr>
              <w:t>4</w:t>
            </w:r>
            <w:r>
              <w:rPr>
                <w:snapToGrid w:val="0"/>
                <w:sz w:val="19"/>
              </w:rPr>
              <w:t xml:space="preserve"> &amp; Pt. 8</w:t>
            </w:r>
          </w:p>
        </w:tc>
        <w:tc>
          <w:tcPr>
            <w:tcW w:w="1134" w:type="dxa"/>
            <w:gridSpan w:val="2"/>
            <w:tcBorders>
              <w:top w:val="nil"/>
              <w:bottom w:val="nil"/>
            </w:tcBorders>
          </w:tcPr>
          <w:p>
            <w:pPr>
              <w:pStyle w:val="nTable"/>
              <w:spacing w:after="40"/>
              <w:rPr>
                <w:sz w:val="19"/>
              </w:rPr>
            </w:pPr>
            <w:r>
              <w:rPr>
                <w:sz w:val="19"/>
              </w:rPr>
              <w:t>10 of 2002</w:t>
            </w:r>
          </w:p>
        </w:tc>
        <w:tc>
          <w:tcPr>
            <w:tcW w:w="1134" w:type="dxa"/>
            <w:gridSpan w:val="2"/>
            <w:tcBorders>
              <w:top w:val="nil"/>
              <w:bottom w:val="nil"/>
            </w:tcBorders>
          </w:tcPr>
          <w:p>
            <w:pPr>
              <w:pStyle w:val="nTable"/>
              <w:spacing w:after="40"/>
              <w:rPr>
                <w:sz w:val="19"/>
              </w:rPr>
            </w:pPr>
            <w:r>
              <w:rPr>
                <w:sz w:val="19"/>
              </w:rPr>
              <w:t>28 Jun 2002</w:t>
            </w:r>
          </w:p>
        </w:tc>
        <w:tc>
          <w:tcPr>
            <w:tcW w:w="2551" w:type="dxa"/>
            <w:gridSpan w:val="2"/>
            <w:tcBorders>
              <w:top w:val="nil"/>
              <w:bottom w:val="nil"/>
            </w:tcBorders>
          </w:tcPr>
          <w:p>
            <w:pPr>
              <w:pStyle w:val="nTable"/>
              <w:spacing w:after="40"/>
              <w:rPr>
                <w:sz w:val="19"/>
              </w:rPr>
            </w:pPr>
            <w:r>
              <w:rPr>
                <w:sz w:val="19"/>
              </w:rPr>
              <w:t xml:space="preserve">Pt. 8: 28 Jun 2002 (see s. 2); s. 3(3): 16 Apr 2004 (see the </w:t>
            </w:r>
            <w:r>
              <w:rPr>
                <w:i/>
                <w:sz w:val="19"/>
              </w:rPr>
              <w:t>Royal Commission (Police) Order 2004</w:t>
            </w:r>
            <w:r>
              <w:rPr>
                <w:sz w:val="19"/>
              </w:rPr>
              <w:t xml:space="preserve"> published in </w:t>
            </w:r>
            <w:r>
              <w:rPr>
                <w:i/>
                <w:sz w:val="19"/>
              </w:rPr>
              <w:t>Gazette</w:t>
            </w:r>
            <w:r>
              <w:rPr>
                <w:sz w:val="19"/>
              </w:rPr>
              <w:t xml:space="preserve"> 16 Apr 2004 p. 1214)</w:t>
            </w:r>
          </w:p>
        </w:tc>
      </w:tr>
      <w:tr>
        <w:trPr>
          <w:gridAfter w:val="1"/>
          <w:wAfter w:w="7" w:type="dxa"/>
          <w:cantSplit/>
        </w:trPr>
        <w:tc>
          <w:tcPr>
            <w:tcW w:w="7087" w:type="dxa"/>
            <w:gridSpan w:val="8"/>
            <w:tcBorders>
              <w:top w:val="nil"/>
              <w:bottom w:val="nil"/>
            </w:tcBorders>
          </w:tcPr>
          <w:p>
            <w:pPr>
              <w:pStyle w:val="nTable"/>
              <w:spacing w:after="40"/>
              <w:rPr>
                <w:sz w:val="19"/>
              </w:rPr>
            </w:pPr>
            <w:r>
              <w:rPr>
                <w:b/>
                <w:sz w:val="19"/>
              </w:rPr>
              <w:t xml:space="preserve">Reprint 1: The </w:t>
            </w:r>
            <w:r>
              <w:rPr>
                <w:b/>
                <w:i/>
                <w:snapToGrid w:val="0"/>
                <w:sz w:val="19"/>
              </w:rPr>
              <w:t>Surveillance Devices Act 1998</w:t>
            </w:r>
            <w:r>
              <w:rPr>
                <w:b/>
                <w:snapToGrid w:val="0"/>
                <w:sz w:val="19"/>
              </w:rPr>
              <w:t xml:space="preserve"> as at 12 Sep 2003</w:t>
            </w:r>
            <w:r>
              <w:rPr>
                <w:snapToGrid w:val="0"/>
                <w:sz w:val="19"/>
              </w:rPr>
              <w:t xml:space="preserve"> (includes amendments listed above except s. 3(3) of the </w:t>
            </w:r>
            <w:r>
              <w:rPr>
                <w:i/>
                <w:snapToGrid w:val="0"/>
                <w:sz w:val="19"/>
              </w:rPr>
              <w:t>Royal Commission (Police) Act 2002</w:t>
            </w:r>
            <w:r>
              <w:rPr>
                <w:snapToGrid w:val="0"/>
                <w:sz w:val="19"/>
              </w:rPr>
              <w:t>)</w:t>
            </w:r>
          </w:p>
        </w:tc>
      </w:tr>
      <w:tr>
        <w:trPr>
          <w:gridAfter w:val="1"/>
          <w:wAfter w:w="7" w:type="dxa"/>
          <w:cantSplit/>
        </w:trPr>
        <w:tc>
          <w:tcPr>
            <w:tcW w:w="2268" w:type="dxa"/>
            <w:gridSpan w:val="2"/>
            <w:tcBorders>
              <w:top w:val="nil"/>
              <w:bottom w:val="nil"/>
            </w:tcBorders>
          </w:tcPr>
          <w:p>
            <w:pPr>
              <w:pStyle w:val="nTable"/>
              <w:spacing w:after="40"/>
              <w:ind w:right="113"/>
              <w:rPr>
                <w:snapToGrid w:val="0"/>
                <w:sz w:val="19"/>
                <w:vertAlign w:val="superscript"/>
              </w:rPr>
            </w:pPr>
            <w:r>
              <w:rPr>
                <w:i/>
                <w:snapToGrid w:val="0"/>
                <w:sz w:val="19"/>
              </w:rPr>
              <w:t>Corruption and Crime Commission Amendment and Repeal Act 2003</w:t>
            </w:r>
            <w:r>
              <w:rPr>
                <w:snapToGrid w:val="0"/>
                <w:sz w:val="19"/>
              </w:rPr>
              <w:t xml:space="preserve"> s. 74</w:t>
            </w:r>
            <w:r>
              <w:rPr>
                <w:snapToGrid w:val="0"/>
                <w:sz w:val="19"/>
                <w:vertAlign w:val="superscript"/>
              </w:rPr>
              <w:t> 6</w:t>
            </w:r>
          </w:p>
        </w:tc>
        <w:tc>
          <w:tcPr>
            <w:tcW w:w="1134" w:type="dxa"/>
            <w:gridSpan w:val="2"/>
            <w:tcBorders>
              <w:top w:val="nil"/>
              <w:bottom w:val="nil"/>
            </w:tcBorders>
          </w:tcPr>
          <w:p>
            <w:pPr>
              <w:pStyle w:val="nTable"/>
              <w:spacing w:after="40"/>
              <w:rPr>
                <w:sz w:val="19"/>
              </w:rPr>
            </w:pPr>
            <w:r>
              <w:rPr>
                <w:sz w:val="19"/>
              </w:rPr>
              <w:t>78 of 2003</w:t>
            </w:r>
          </w:p>
        </w:tc>
        <w:tc>
          <w:tcPr>
            <w:tcW w:w="1134" w:type="dxa"/>
            <w:gridSpan w:val="2"/>
            <w:tcBorders>
              <w:top w:val="nil"/>
              <w:bottom w:val="nil"/>
            </w:tcBorders>
          </w:tcPr>
          <w:p>
            <w:pPr>
              <w:pStyle w:val="nTable"/>
              <w:spacing w:after="40"/>
              <w:rPr>
                <w:sz w:val="19"/>
              </w:rPr>
            </w:pPr>
            <w:r>
              <w:rPr>
                <w:sz w:val="19"/>
              </w:rPr>
              <w:t>22 Dec 2003</w:t>
            </w:r>
          </w:p>
        </w:tc>
        <w:tc>
          <w:tcPr>
            <w:tcW w:w="2551" w:type="dxa"/>
            <w:gridSpan w:val="2"/>
            <w:tcBorders>
              <w:top w:val="nil"/>
              <w:bottom w:val="nil"/>
            </w:tcBorders>
          </w:tcPr>
          <w:p>
            <w:pPr>
              <w:pStyle w:val="nTable"/>
              <w:spacing w:after="40"/>
              <w:rPr>
                <w:sz w:val="19"/>
              </w:rPr>
            </w:pPr>
            <w:r>
              <w:rPr>
                <w:sz w:val="19"/>
              </w:rPr>
              <w:t xml:space="preserve">s. 74(1): 1 Jan 2004 (see s. 2 and </w:t>
            </w:r>
            <w:r>
              <w:rPr>
                <w:i/>
                <w:sz w:val="19"/>
              </w:rPr>
              <w:t>Gazette</w:t>
            </w:r>
            <w:r>
              <w:rPr>
                <w:sz w:val="19"/>
              </w:rPr>
              <w:t xml:space="preserve"> 30 Dec 2003 p. 5723);</w:t>
            </w:r>
            <w:r>
              <w:rPr>
                <w:sz w:val="19"/>
              </w:rPr>
              <w:br/>
              <w:t xml:space="preserve">s. 74(2): 7 Jul 2004 (see s. 2 and </w:t>
            </w:r>
            <w:r>
              <w:rPr>
                <w:i/>
                <w:sz w:val="19"/>
              </w:rPr>
              <w:t xml:space="preserve">Gazette </w:t>
            </w:r>
            <w:r>
              <w:rPr>
                <w:sz w:val="19"/>
              </w:rPr>
              <w:t>6 Jul 2004 p. 2697)</w:t>
            </w:r>
          </w:p>
        </w:tc>
      </w:tr>
      <w:tr>
        <w:trPr>
          <w:gridAfter w:val="1"/>
          <w:wAfter w:w="7" w:type="dxa"/>
          <w:cantSplit/>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2004</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23 Nov 2004</w:t>
            </w:r>
          </w:p>
        </w:tc>
        <w:tc>
          <w:tcPr>
            <w:tcW w:w="2551" w:type="dxa"/>
            <w:gridSpan w:val="2"/>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7" w:type="dxa"/>
          <w:cantSplit/>
        </w:trPr>
        <w:tc>
          <w:tcPr>
            <w:tcW w:w="2268" w:type="dxa"/>
            <w:gridSpan w:val="2"/>
            <w:tcBorders>
              <w:top w:val="nil"/>
              <w:bottom w:val="nil"/>
            </w:tcBorders>
          </w:tcPr>
          <w:p>
            <w:pPr>
              <w:pStyle w:val="nTable"/>
              <w:spacing w:after="40"/>
              <w:rPr>
                <w:snapToGrid w:val="0"/>
                <w:sz w:val="19"/>
                <w:vertAlign w:val="superscript"/>
                <w:lang w:val="en-US"/>
              </w:rPr>
            </w:pPr>
            <w:r>
              <w:rPr>
                <w:i/>
                <w:snapToGrid w:val="0"/>
                <w:sz w:val="19"/>
                <w:lang w:val="en-US"/>
              </w:rPr>
              <w:t xml:space="preserve">Misuse of Drugs Amendment Act 2004 </w:t>
            </w:r>
            <w:r>
              <w:rPr>
                <w:snapToGrid w:val="0"/>
                <w:sz w:val="19"/>
                <w:lang w:val="en-US"/>
              </w:rPr>
              <w:t>s. 9(3)</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 xml:space="preserve">62 of 2004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24 Nov 2004</w:t>
            </w:r>
          </w:p>
        </w:tc>
        <w:tc>
          <w:tcPr>
            <w:tcW w:w="2551" w:type="dxa"/>
            <w:gridSpan w:val="2"/>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10 Dec 2004 p. 5965)</w:t>
            </w:r>
          </w:p>
        </w:tc>
      </w:tr>
      <w:tr>
        <w:trPr>
          <w:gridAfter w:val="1"/>
          <w:wAfter w:w="7" w:type="dxa"/>
          <w:cantSplit/>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Australian Crime Commission (</w:t>
            </w:r>
            <w:smartTag w:uri="urn:schemas-microsoft-com:office:smarttags" w:element="State">
              <w:smartTag w:uri="urn:schemas-microsoft-com:office:smarttags" w:element="place">
                <w:r>
                  <w:rPr>
                    <w:i/>
                    <w:snapToGrid w:val="0"/>
                    <w:sz w:val="19"/>
                    <w:lang w:val="en-US"/>
                  </w:rPr>
                  <w:t>Western Australia</w:t>
                </w:r>
              </w:smartTag>
            </w:smartTag>
            <w:r>
              <w:rPr>
                <w:i/>
                <w:snapToGrid w:val="0"/>
                <w:sz w:val="19"/>
                <w:lang w:val="en-US"/>
              </w:rPr>
              <w:t xml:space="preserve">) Act 2004 </w:t>
            </w:r>
            <w:r>
              <w:rPr>
                <w:snapToGrid w:val="0"/>
                <w:sz w:val="19"/>
                <w:lang w:val="en-US"/>
              </w:rPr>
              <w:t>s. 72</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74 of 2004</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8 Dec 2004</w:t>
            </w:r>
          </w:p>
        </w:tc>
        <w:tc>
          <w:tcPr>
            <w:tcW w:w="2551" w:type="dxa"/>
            <w:gridSpan w:val="2"/>
            <w:tcBorders>
              <w:top w:val="nil"/>
              <w:bottom w:val="nil"/>
            </w:tcBorders>
          </w:tcPr>
          <w:p>
            <w:pPr>
              <w:pStyle w:val="nTable"/>
              <w:spacing w:after="40"/>
              <w:rPr>
                <w:sz w:val="19"/>
              </w:rPr>
            </w:pPr>
            <w:r>
              <w:rPr>
                <w:snapToGrid w:val="0"/>
                <w:sz w:val="19"/>
              </w:rPr>
              <w:t xml:space="preserve">1 Feb 2005 (see s. 2 and </w:t>
            </w:r>
            <w:r>
              <w:rPr>
                <w:i/>
                <w:snapToGrid w:val="0"/>
                <w:sz w:val="19"/>
              </w:rPr>
              <w:t xml:space="preserve">Gazette </w:t>
            </w:r>
            <w:r>
              <w:rPr>
                <w:snapToGrid w:val="0"/>
                <w:sz w:val="19"/>
              </w:rPr>
              <w:t>31 Dec 2004 p. 7130)</w:t>
            </w:r>
          </w:p>
        </w:tc>
      </w:tr>
      <w:tr>
        <w:trPr>
          <w:gridAfter w:val="1"/>
          <w:wAfter w:w="7" w:type="dxa"/>
          <w:cantSplit/>
        </w:trPr>
        <w:tc>
          <w:tcPr>
            <w:tcW w:w="2268" w:type="dxa"/>
            <w:gridSpan w:val="2"/>
            <w:tcBorders>
              <w:top w:val="nil"/>
              <w:bottom w:val="nil"/>
            </w:tcBorders>
          </w:tcPr>
          <w:p>
            <w:pPr>
              <w:pStyle w:val="nTable"/>
              <w:spacing w:after="40"/>
              <w:rPr>
                <w:iCs/>
                <w:snapToGrid w:val="0"/>
                <w:sz w:val="19"/>
                <w:lang w:val="en-US"/>
              </w:rPr>
            </w:pPr>
            <w:r>
              <w:rPr>
                <w:i/>
                <w:snapToGrid w:val="0"/>
                <w:sz w:val="19"/>
                <w:lang w:val="en-US"/>
              </w:rPr>
              <w:t>Royal Commissions (Powers) Amendment Act 2006</w:t>
            </w:r>
            <w:r>
              <w:rPr>
                <w:iCs/>
                <w:snapToGrid w:val="0"/>
                <w:sz w:val="19"/>
                <w:lang w:val="en-US"/>
              </w:rPr>
              <w:t xml:space="preserve"> Pt. 3</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30 of 2006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4 Jul 2006</w:t>
            </w:r>
          </w:p>
        </w:tc>
        <w:tc>
          <w:tcPr>
            <w:tcW w:w="2551" w:type="dxa"/>
            <w:gridSpan w:val="2"/>
            <w:tcBorders>
              <w:top w:val="nil"/>
              <w:bottom w:val="nil"/>
            </w:tcBorders>
          </w:tcPr>
          <w:p>
            <w:pPr>
              <w:pStyle w:val="nTable"/>
              <w:spacing w:after="40"/>
              <w:rPr>
                <w:snapToGrid w:val="0"/>
                <w:sz w:val="19"/>
              </w:rPr>
            </w:pPr>
            <w:r>
              <w:rPr>
                <w:snapToGrid w:val="0"/>
                <w:sz w:val="19"/>
              </w:rPr>
              <w:t xml:space="preserve">16 Sep 2006 (see s. 2 and </w:t>
            </w:r>
            <w:r>
              <w:rPr>
                <w:i/>
                <w:iCs/>
                <w:snapToGrid w:val="0"/>
                <w:sz w:val="19"/>
              </w:rPr>
              <w:t>Gazette</w:t>
            </w:r>
            <w:r>
              <w:rPr>
                <w:snapToGrid w:val="0"/>
                <w:sz w:val="19"/>
              </w:rPr>
              <w:t xml:space="preserve"> 15 Sep 2006 p. 3683)</w:t>
            </w:r>
          </w:p>
        </w:tc>
      </w:tr>
      <w:tr>
        <w:trPr>
          <w:gridAfter w:val="1"/>
          <w:wAfter w:w="7" w:type="dxa"/>
          <w:cantSplit/>
        </w:trPr>
        <w:tc>
          <w:tcPr>
            <w:tcW w:w="7087" w:type="dxa"/>
            <w:gridSpan w:val="8"/>
            <w:tcBorders>
              <w:top w:val="nil"/>
              <w:bottom w:val="nil"/>
            </w:tcBorders>
          </w:tcPr>
          <w:p>
            <w:pPr>
              <w:pStyle w:val="nTable"/>
              <w:spacing w:after="40"/>
              <w:rPr>
                <w:snapToGrid w:val="0"/>
                <w:sz w:val="19"/>
              </w:rPr>
            </w:pPr>
            <w:r>
              <w:rPr>
                <w:b/>
                <w:sz w:val="19"/>
              </w:rPr>
              <w:t xml:space="preserve">Reprint 2: The </w:t>
            </w:r>
            <w:r>
              <w:rPr>
                <w:b/>
                <w:i/>
                <w:snapToGrid w:val="0"/>
                <w:sz w:val="19"/>
              </w:rPr>
              <w:t>Surveillance Devices Act 1998</w:t>
            </w:r>
            <w:r>
              <w:rPr>
                <w:b/>
                <w:snapToGrid w:val="0"/>
                <w:sz w:val="19"/>
              </w:rPr>
              <w:t xml:space="preserve"> as at 8 Dec 2006</w:t>
            </w:r>
            <w:r>
              <w:rPr>
                <w:snapToGrid w:val="0"/>
                <w:sz w:val="19"/>
              </w:rP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122</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Borders>
              <w:bottom w:val="single" w:sz="8" w:space="0" w:color="auto"/>
            </w:tcBorders>
            <w:shd w:val="clear" w:color="auto" w:fill="auto"/>
          </w:tcPr>
          <w:p>
            <w:pPr>
              <w:pStyle w:val="nTable"/>
              <w:spacing w:after="40"/>
              <w:ind w:right="113"/>
              <w:rPr>
                <w:i/>
                <w:sz w:val="19"/>
              </w:rPr>
            </w:pPr>
            <w:r>
              <w:rPr>
                <w:i/>
                <w:snapToGrid w:val="0"/>
                <w:sz w:val="19"/>
                <w:szCs w:val="19"/>
              </w:rPr>
              <w:t>Criminal Appeals Amendment (Double Jeopardy) Act 2012</w:t>
            </w:r>
            <w:r>
              <w:rPr>
                <w:snapToGrid w:val="0"/>
                <w:sz w:val="19"/>
                <w:szCs w:val="19"/>
              </w:rPr>
              <w:t xml:space="preserve"> s. 11</w:t>
            </w:r>
          </w:p>
        </w:tc>
        <w:tc>
          <w:tcPr>
            <w:tcW w:w="1134" w:type="dxa"/>
            <w:gridSpan w:val="2"/>
            <w:tcBorders>
              <w:bottom w:val="single" w:sz="8" w:space="0" w:color="auto"/>
            </w:tcBorders>
            <w:shd w:val="clear" w:color="auto" w:fill="auto"/>
          </w:tcPr>
          <w:p>
            <w:pPr>
              <w:pStyle w:val="nTable"/>
              <w:spacing w:after="40"/>
              <w:rPr>
                <w:sz w:val="19"/>
              </w:rPr>
            </w:pPr>
            <w:r>
              <w:rPr>
                <w:snapToGrid w:val="0"/>
                <w:sz w:val="19"/>
                <w:lang w:val="en-US"/>
              </w:rPr>
              <w:t>9 of 2012</w:t>
            </w:r>
          </w:p>
        </w:tc>
        <w:tc>
          <w:tcPr>
            <w:tcW w:w="1134" w:type="dxa"/>
            <w:gridSpan w:val="2"/>
            <w:tcBorders>
              <w:bottom w:val="single" w:sz="8" w:space="0" w:color="auto"/>
            </w:tcBorders>
            <w:shd w:val="clear" w:color="auto" w:fill="auto"/>
          </w:tcPr>
          <w:p>
            <w:pPr>
              <w:pStyle w:val="nTable"/>
              <w:spacing w:after="40"/>
              <w:rPr>
                <w:b/>
                <w:sz w:val="19"/>
              </w:rPr>
            </w:pPr>
            <w:r>
              <w:rPr>
                <w:sz w:val="19"/>
              </w:rPr>
              <w:t>21 May 2012</w:t>
            </w:r>
          </w:p>
        </w:tc>
        <w:tc>
          <w:tcPr>
            <w:tcW w:w="2551" w:type="dxa"/>
            <w:gridSpan w:val="2"/>
            <w:tcBorders>
              <w:bottom w:val="single" w:sz="8" w:space="0" w:color="auto"/>
            </w:tcBorders>
            <w:shd w:val="clear" w:color="auto" w:fill="auto"/>
          </w:tcPr>
          <w:p>
            <w:pPr>
              <w:pStyle w:val="nTable"/>
              <w:spacing w:after="40"/>
              <w:rPr>
                <w:sz w:val="19"/>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bl>
    <w:p>
      <w:pPr>
        <w:pStyle w:val="nSubsection"/>
      </w:pPr>
      <w:r>
        <w:rPr>
          <w:vertAlign w:val="superscript"/>
        </w:rPr>
        <w:t>2</w:t>
      </w:r>
      <w:r>
        <w:tab/>
        <w:t xml:space="preserve">The provision in this Act repealing that Act has been omitted under the </w:t>
      </w:r>
      <w:r>
        <w:rPr>
          <w:i/>
        </w:rPr>
        <w:t xml:space="preserve">Reprints Act 1984 </w:t>
      </w:r>
      <w:r>
        <w:t>s. 7(4)(f).</w:t>
      </w:r>
    </w:p>
    <w:p>
      <w:pPr>
        <w:pStyle w:val="nSubsection"/>
      </w:pPr>
      <w:r>
        <w:rPr>
          <w:vertAlign w:val="superscript"/>
        </w:rPr>
        <w:t>3</w:t>
      </w:r>
      <w:r>
        <w:tab/>
        <w:t xml:space="preserve">The provision in this Act amending that Act has been omitted under the </w:t>
      </w:r>
      <w:r>
        <w:rPr>
          <w:i/>
        </w:rPr>
        <w:t>Reprints Act 1984</w:t>
      </w:r>
      <w:r>
        <w:t xml:space="preserve"> s. 7(4)(e).</w:t>
      </w:r>
    </w:p>
    <w:p>
      <w:pPr>
        <w:pStyle w:val="nSubsection"/>
      </w:pPr>
      <w:r>
        <w:rPr>
          <w:vertAlign w:val="superscript"/>
        </w:rPr>
        <w:t>4</w:t>
      </w:r>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p>
    <w:p>
      <w:pPr>
        <w:pStyle w:val="nSubsection"/>
      </w:pPr>
      <w:r>
        <w:rPr>
          <w:vertAlign w:val="superscript"/>
        </w:rPr>
        <w:t>5</w:t>
      </w:r>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pPr>
      <w:r>
        <w:rPr>
          <w:vertAlign w:val="superscript"/>
        </w:rPr>
        <w:t>6</w:t>
      </w:r>
      <w:r>
        <w:tab/>
        <w:t xml:space="preserve">The </w:t>
      </w:r>
      <w:r>
        <w:rPr>
          <w:i/>
        </w:rPr>
        <w:t xml:space="preserve">Corruption and Crime Commission Amendment and Repeal Act 2003 </w:t>
      </w:r>
      <w:r>
        <w:t>Sch. 2 cl. 15(16) (which refers to s. 41(3)) is not included because the section it sought to amend was previously amended by Sch. 1 cl. 8(21) of the same Act.</w:t>
      </w:r>
    </w:p>
    <w:p/>
    <w:p>
      <w:pPr>
        <w:sectPr>
          <w:headerReference w:type="even" r:id="rId27"/>
          <w:headerReference w:type="default" r:id="rId28"/>
          <w:headerReference w:type="first" r:id="rId29"/>
          <w:endnotePr>
            <w:numFmt w:val="decimal"/>
          </w:endnotePr>
          <w:pgSz w:w="11906" w:h="16838" w:code="9"/>
          <w:pgMar w:top="2376" w:right="2404" w:bottom="3544" w:left="2404" w:header="709"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Surveillance Devices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1EB3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A22C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189B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4A11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ED2F6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08D0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D8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5500C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BEB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6C487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05A6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95E801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605"/>
    <w:docVar w:name="WAFER_20151210154605" w:val="RemoveTrackChanges"/>
    <w:docVar w:name="WAFER_20151210154605_GUID" w:val="3b8c844d-8c37-41c7-a48a-d0a1cd8c54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14054</Words>
  <Characters>68443</Characters>
  <Application>Microsoft Office Word</Application>
  <DocSecurity>0</DocSecurity>
  <Lines>1801</Lines>
  <Paragraphs>824</Paragraphs>
  <ScaleCrop>false</ScaleCrop>
  <HeadingPairs>
    <vt:vector size="2" baseType="variant">
      <vt:variant>
        <vt:lpstr>Title</vt:lpstr>
      </vt:variant>
      <vt:variant>
        <vt:i4>1</vt:i4>
      </vt:variant>
    </vt:vector>
  </HeadingPairs>
  <TitlesOfParts>
    <vt:vector size="1" baseType="lpstr">
      <vt:lpstr>Surveillance Devices Act 1998</vt:lpstr>
    </vt:vector>
  </TitlesOfParts>
  <Manager/>
  <Company/>
  <LinksUpToDate>false</LinksUpToDate>
  <CharactersWithSpaces>81673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1998 - 02-d0-02</dc:title>
  <dc:subject/>
  <dc:creator/>
  <cp:keywords/>
  <dc:description/>
  <cp:lastModifiedBy>svcMRProcess</cp:lastModifiedBy>
  <cp:revision>4</cp:revision>
  <cp:lastPrinted>2006-12-12T01:34:00Z</cp:lastPrinted>
  <dcterms:created xsi:type="dcterms:W3CDTF">2018-09-08T23:57:00Z</dcterms:created>
  <dcterms:modified xsi:type="dcterms:W3CDTF">2018-09-08T23:57:00Z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CommencementDate">
    <vt:lpwstr>20120926</vt:lpwstr>
  </property>
  <property fmtid="{D5CDD505-2E9C-101B-9397-08002B2CF9AE}" pid="4" name="DocumentType">
    <vt:lpwstr>Act</vt:lpwstr>
  </property>
  <property fmtid="{D5CDD505-2E9C-101B-9397-08002B2CF9AE}" pid="5" name="OwlsUID">
    <vt:i4>1919</vt:i4>
  </property>
  <property fmtid="{D5CDD505-2E9C-101B-9397-08002B2CF9AE}" pid="6" name="ReprintNo">
    <vt:lpwstr>2</vt:lpwstr>
  </property>
  <property fmtid="{D5CDD505-2E9C-101B-9397-08002B2CF9AE}" pid="7" name="AsAtDate">
    <vt:lpwstr>26 Sep 2012</vt:lpwstr>
  </property>
  <property fmtid="{D5CDD505-2E9C-101B-9397-08002B2CF9AE}" pid="8" name="Suffix">
    <vt:lpwstr>02-d0-02</vt:lpwstr>
  </property>
</Properties>
</file>