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Public Interest Disclosure Act 2003</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Public Interest Disclosure Act 2003</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_Toc336955490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_Toc336955491 \h </w:instrText>
      </w:r>
      <w:r>
        <w:fldChar w:fldCharType="separate"/>
      </w:r>
      <w:r>
        <w:t>2</w:t>
      </w:r>
      <w:r>
        <w:fldChar w:fldCharType="end"/>
      </w:r>
    </w:p>
    <w:p>
      <w:pPr>
        <w:pStyle w:val="TOC8"/>
        <w:rPr>
          <w:sz w:val="24"/>
          <w:szCs w:val="24"/>
          <w:lang w:val="en-US"/>
        </w:rPr>
      </w:pPr>
      <w:r>
        <w:t>3.</w:t>
      </w:r>
      <w:r>
        <w:tab/>
        <w:t>Terms used in this Act</w:t>
      </w:r>
      <w:r>
        <w:tab/>
      </w:r>
      <w:r>
        <w:fldChar w:fldCharType="begin"/>
      </w:r>
      <w:r>
        <w:instrText xml:space="preserve"> PAGEREF _Toc336955492 \h </w:instrText>
      </w:r>
      <w:r>
        <w:fldChar w:fldCharType="separate"/>
      </w:r>
      <w:r>
        <w:t>2</w:t>
      </w:r>
      <w:r>
        <w:fldChar w:fldCharType="end"/>
      </w:r>
    </w:p>
    <w:p>
      <w:pPr>
        <w:pStyle w:val="TOC8"/>
        <w:rPr>
          <w:sz w:val="24"/>
          <w:szCs w:val="24"/>
          <w:lang w:val="en-US"/>
        </w:rPr>
      </w:pPr>
      <w:r>
        <w:t>4.</w:t>
      </w:r>
      <w:r>
        <w:tab/>
        <w:t>Application to the Crown</w:t>
      </w:r>
      <w:r>
        <w:tab/>
      </w:r>
      <w:r>
        <w:fldChar w:fldCharType="begin"/>
      </w:r>
      <w:r>
        <w:instrText xml:space="preserve"> PAGEREF _Toc336955493 \h </w:instrText>
      </w:r>
      <w:r>
        <w:fldChar w:fldCharType="separate"/>
      </w:r>
      <w:r>
        <w:t>5</w:t>
      </w:r>
      <w:r>
        <w:fldChar w:fldCharType="end"/>
      </w:r>
    </w:p>
    <w:p>
      <w:pPr>
        <w:pStyle w:val="TOC2"/>
        <w:tabs>
          <w:tab w:val="right" w:leader="dot" w:pos="7086"/>
        </w:tabs>
        <w:rPr>
          <w:b w:val="0"/>
          <w:sz w:val="24"/>
          <w:szCs w:val="24"/>
          <w:lang w:val="en-US"/>
        </w:rPr>
      </w:pPr>
      <w:r>
        <w:t>Part 2 — Public interest disclosures</w:t>
      </w:r>
    </w:p>
    <w:p>
      <w:pPr>
        <w:pStyle w:val="TOC4"/>
        <w:tabs>
          <w:tab w:val="right" w:leader="dot" w:pos="7086"/>
        </w:tabs>
        <w:rPr>
          <w:b w:val="0"/>
          <w:sz w:val="24"/>
          <w:szCs w:val="24"/>
          <w:lang w:val="en-US"/>
        </w:rPr>
      </w:pPr>
      <w:r>
        <w:t>Division 1 — Disclosures</w:t>
      </w:r>
    </w:p>
    <w:p>
      <w:pPr>
        <w:pStyle w:val="TOC8"/>
        <w:rPr>
          <w:sz w:val="24"/>
          <w:szCs w:val="24"/>
          <w:lang w:val="en-US"/>
        </w:rPr>
      </w:pPr>
      <w:r>
        <w:t>5.</w:t>
      </w:r>
      <w:r>
        <w:tab/>
        <w:t>Public interest disclosure</w:t>
      </w:r>
      <w:r>
        <w:tab/>
      </w:r>
      <w:r>
        <w:fldChar w:fldCharType="begin"/>
      </w:r>
      <w:r>
        <w:instrText xml:space="preserve"> PAGEREF _Toc336955496 \h </w:instrText>
      </w:r>
      <w:r>
        <w:fldChar w:fldCharType="separate"/>
      </w:r>
      <w:r>
        <w:t>6</w:t>
      </w:r>
      <w:r>
        <w:fldChar w:fldCharType="end"/>
      </w:r>
    </w:p>
    <w:p>
      <w:pPr>
        <w:pStyle w:val="TOC8"/>
        <w:rPr>
          <w:sz w:val="24"/>
          <w:szCs w:val="24"/>
          <w:lang w:val="en-US"/>
        </w:rPr>
      </w:pPr>
      <w:r>
        <w:t>6.</w:t>
      </w:r>
      <w:r>
        <w:tab/>
        <w:t>Liability of person disclosing unaffected</w:t>
      </w:r>
      <w:r>
        <w:tab/>
      </w:r>
      <w:r>
        <w:fldChar w:fldCharType="begin"/>
      </w:r>
      <w:r>
        <w:instrText xml:space="preserve"> PAGEREF _Toc336955497 \h </w:instrText>
      </w:r>
      <w:r>
        <w:fldChar w:fldCharType="separate"/>
      </w:r>
      <w:r>
        <w:t>8</w:t>
      </w:r>
      <w:r>
        <w:fldChar w:fldCharType="end"/>
      </w:r>
    </w:p>
    <w:p>
      <w:pPr>
        <w:pStyle w:val="TOC4"/>
        <w:tabs>
          <w:tab w:val="right" w:leader="dot" w:pos="7086"/>
        </w:tabs>
        <w:rPr>
          <w:b w:val="0"/>
          <w:sz w:val="24"/>
          <w:szCs w:val="24"/>
          <w:lang w:val="en-US"/>
        </w:rPr>
      </w:pPr>
      <w:r>
        <w:t>Division 2 — Obligations of a person to whom a disclosure is made</w:t>
      </w:r>
    </w:p>
    <w:p>
      <w:pPr>
        <w:pStyle w:val="TOC8"/>
        <w:rPr>
          <w:sz w:val="24"/>
          <w:szCs w:val="24"/>
          <w:lang w:val="en-US"/>
        </w:rPr>
      </w:pPr>
      <w:r>
        <w:t>7.</w:t>
      </w:r>
      <w:r>
        <w:tab/>
        <w:t>Term used in sections 8, 9 and 10</w:t>
      </w:r>
      <w:r>
        <w:tab/>
      </w:r>
      <w:r>
        <w:fldChar w:fldCharType="begin"/>
      </w:r>
      <w:r>
        <w:instrText xml:space="preserve"> PAGEREF _Toc336955499 \h </w:instrText>
      </w:r>
      <w:r>
        <w:fldChar w:fldCharType="separate"/>
      </w:r>
      <w:r>
        <w:t>8</w:t>
      </w:r>
      <w:r>
        <w:fldChar w:fldCharType="end"/>
      </w:r>
    </w:p>
    <w:p>
      <w:pPr>
        <w:pStyle w:val="TOC8"/>
        <w:rPr>
          <w:sz w:val="24"/>
          <w:szCs w:val="24"/>
          <w:lang w:val="en-US"/>
        </w:rPr>
      </w:pPr>
      <w:r>
        <w:t>8.</w:t>
      </w:r>
      <w:r>
        <w:tab/>
        <w:t>Obligation to carry out investigation</w:t>
      </w:r>
      <w:r>
        <w:tab/>
      </w:r>
      <w:r>
        <w:fldChar w:fldCharType="begin"/>
      </w:r>
      <w:r>
        <w:instrText xml:space="preserve"> PAGEREF _Toc336955500 \h </w:instrText>
      </w:r>
      <w:r>
        <w:fldChar w:fldCharType="separate"/>
      </w:r>
      <w:r>
        <w:t>8</w:t>
      </w:r>
      <w:r>
        <w:fldChar w:fldCharType="end"/>
      </w:r>
    </w:p>
    <w:p>
      <w:pPr>
        <w:pStyle w:val="TOC8"/>
        <w:rPr>
          <w:sz w:val="24"/>
          <w:szCs w:val="24"/>
          <w:lang w:val="en-US"/>
        </w:rPr>
      </w:pPr>
      <w:r>
        <w:t>9</w:t>
      </w:r>
      <w:r>
        <w:rPr>
          <w:snapToGrid w:val="0"/>
        </w:rPr>
        <w:t>.</w:t>
      </w:r>
      <w:r>
        <w:rPr>
          <w:snapToGrid w:val="0"/>
        </w:rPr>
        <w:tab/>
        <w:t>Action by proper authority</w:t>
      </w:r>
      <w:r>
        <w:tab/>
      </w:r>
      <w:r>
        <w:fldChar w:fldCharType="begin"/>
      </w:r>
      <w:r>
        <w:instrText xml:space="preserve"> PAGEREF _Toc336955501 \h </w:instrText>
      </w:r>
      <w:r>
        <w:fldChar w:fldCharType="separate"/>
      </w:r>
      <w:r>
        <w:t>9</w:t>
      </w:r>
      <w:r>
        <w:fldChar w:fldCharType="end"/>
      </w:r>
    </w:p>
    <w:p>
      <w:pPr>
        <w:pStyle w:val="TOC8"/>
        <w:rPr>
          <w:sz w:val="24"/>
          <w:szCs w:val="24"/>
          <w:lang w:val="en-US"/>
        </w:rPr>
      </w:pPr>
      <w:r>
        <w:t>10.</w:t>
      </w:r>
      <w:r>
        <w:tab/>
        <w:t>Informant to be notified of action taken</w:t>
      </w:r>
      <w:r>
        <w:tab/>
      </w:r>
      <w:r>
        <w:fldChar w:fldCharType="begin"/>
      </w:r>
      <w:r>
        <w:instrText xml:space="preserve"> PAGEREF _Toc336955502 \h </w:instrText>
      </w:r>
      <w:r>
        <w:fldChar w:fldCharType="separate"/>
      </w:r>
      <w:r>
        <w:t>9</w:t>
      </w:r>
      <w:r>
        <w:fldChar w:fldCharType="end"/>
      </w:r>
    </w:p>
    <w:p>
      <w:pPr>
        <w:pStyle w:val="TOC8"/>
        <w:rPr>
          <w:sz w:val="24"/>
          <w:szCs w:val="24"/>
          <w:lang w:val="en-US"/>
        </w:rPr>
      </w:pPr>
      <w:r>
        <w:t>11</w:t>
      </w:r>
      <w:r>
        <w:rPr>
          <w:snapToGrid w:val="0"/>
        </w:rPr>
        <w:t>.</w:t>
      </w:r>
      <w:r>
        <w:rPr>
          <w:snapToGrid w:val="0"/>
        </w:rPr>
        <w:tab/>
        <w:t>Limitation on notification of informant</w:t>
      </w:r>
      <w:r>
        <w:tab/>
      </w:r>
      <w:r>
        <w:fldChar w:fldCharType="begin"/>
      </w:r>
      <w:r>
        <w:instrText xml:space="preserve"> PAGEREF _Toc336955503 \h </w:instrText>
      </w:r>
      <w:r>
        <w:fldChar w:fldCharType="separate"/>
      </w:r>
      <w:r>
        <w:t>10</w:t>
      </w:r>
      <w:r>
        <w:fldChar w:fldCharType="end"/>
      </w:r>
    </w:p>
    <w:p>
      <w:pPr>
        <w:pStyle w:val="TOC8"/>
        <w:rPr>
          <w:sz w:val="24"/>
          <w:szCs w:val="24"/>
          <w:lang w:val="en-US"/>
        </w:rPr>
      </w:pPr>
      <w:r>
        <w:t>12.</w:t>
      </w:r>
      <w:r>
        <w:tab/>
        <w:t>Obligations under this Act of certain persons limited</w:t>
      </w:r>
      <w:r>
        <w:tab/>
      </w:r>
      <w:r>
        <w:fldChar w:fldCharType="begin"/>
      </w:r>
      <w:r>
        <w:instrText xml:space="preserve"> PAGEREF _Toc336955504 \h </w:instrText>
      </w:r>
      <w:r>
        <w:fldChar w:fldCharType="separate"/>
      </w:r>
      <w:r>
        <w:t>11</w:t>
      </w:r>
      <w:r>
        <w:fldChar w:fldCharType="end"/>
      </w:r>
    </w:p>
    <w:p>
      <w:pPr>
        <w:pStyle w:val="TOC2"/>
        <w:tabs>
          <w:tab w:val="right" w:leader="dot" w:pos="7086"/>
        </w:tabs>
        <w:rPr>
          <w:b w:val="0"/>
          <w:sz w:val="24"/>
          <w:szCs w:val="24"/>
          <w:lang w:val="en-US"/>
        </w:rPr>
      </w:pPr>
      <w:r>
        <w:t>Part 3 — Protection</w:t>
      </w:r>
    </w:p>
    <w:p>
      <w:pPr>
        <w:pStyle w:val="TOC8"/>
        <w:rPr>
          <w:sz w:val="24"/>
          <w:szCs w:val="24"/>
          <w:lang w:val="en-US"/>
        </w:rPr>
      </w:pPr>
      <w:r>
        <w:t>13.</w:t>
      </w:r>
      <w:r>
        <w:tab/>
        <w:t>Immunity for appropriate disclosure of public interest information</w:t>
      </w:r>
      <w:r>
        <w:tab/>
      </w:r>
      <w:r>
        <w:fldChar w:fldCharType="begin"/>
      </w:r>
      <w:r>
        <w:instrText xml:space="preserve"> PAGEREF _Toc336955506 \h </w:instrText>
      </w:r>
      <w:r>
        <w:fldChar w:fldCharType="separate"/>
      </w:r>
      <w:r>
        <w:t>13</w:t>
      </w:r>
      <w:r>
        <w:fldChar w:fldCharType="end"/>
      </w:r>
    </w:p>
    <w:p>
      <w:pPr>
        <w:pStyle w:val="TOC8"/>
        <w:rPr>
          <w:sz w:val="24"/>
          <w:szCs w:val="24"/>
          <w:lang w:val="en-US"/>
        </w:rPr>
      </w:pPr>
      <w:r>
        <w:t>14.</w:t>
      </w:r>
      <w:r>
        <w:tab/>
        <w:t>Reprisal an offence</w:t>
      </w:r>
      <w:r>
        <w:tab/>
      </w:r>
      <w:r>
        <w:fldChar w:fldCharType="begin"/>
      </w:r>
      <w:r>
        <w:instrText xml:space="preserve"> PAGEREF _Toc336955507 \h </w:instrText>
      </w:r>
      <w:r>
        <w:fldChar w:fldCharType="separate"/>
      </w:r>
      <w:r>
        <w:t>13</w:t>
      </w:r>
      <w:r>
        <w:fldChar w:fldCharType="end"/>
      </w:r>
    </w:p>
    <w:p>
      <w:pPr>
        <w:pStyle w:val="TOC8"/>
        <w:rPr>
          <w:sz w:val="24"/>
          <w:szCs w:val="24"/>
          <w:lang w:val="en-US"/>
        </w:rPr>
      </w:pPr>
      <w:r>
        <w:t>15.</w:t>
      </w:r>
      <w:r>
        <w:tab/>
        <w:t>Remedies for acts of victimisation</w:t>
      </w:r>
      <w:r>
        <w:tab/>
      </w:r>
      <w:r>
        <w:fldChar w:fldCharType="begin"/>
      </w:r>
      <w:r>
        <w:instrText xml:space="preserve"> PAGEREF _Toc336955508 \h </w:instrText>
      </w:r>
      <w:r>
        <w:fldChar w:fldCharType="separate"/>
      </w:r>
      <w:r>
        <w:t>14</w:t>
      </w:r>
      <w:r>
        <w:fldChar w:fldCharType="end"/>
      </w:r>
    </w:p>
    <w:p>
      <w:pPr>
        <w:pStyle w:val="TOC8"/>
        <w:rPr>
          <w:sz w:val="24"/>
          <w:szCs w:val="24"/>
          <w:lang w:val="en-US"/>
        </w:rPr>
      </w:pPr>
      <w:r>
        <w:t>16.</w:t>
      </w:r>
      <w:r>
        <w:tab/>
        <w:t>Confidentiality</w:t>
      </w:r>
      <w:r>
        <w:tab/>
      </w:r>
      <w:r>
        <w:fldChar w:fldCharType="begin"/>
      </w:r>
      <w:r>
        <w:instrText xml:space="preserve"> PAGEREF _Toc336955509 \h </w:instrText>
      </w:r>
      <w:r>
        <w:fldChar w:fldCharType="separate"/>
      </w:r>
      <w:r>
        <w:t>15</w:t>
      </w:r>
      <w:r>
        <w:fldChar w:fldCharType="end"/>
      </w:r>
    </w:p>
    <w:p>
      <w:pPr>
        <w:pStyle w:val="TOC8"/>
        <w:rPr>
          <w:sz w:val="24"/>
          <w:szCs w:val="24"/>
          <w:lang w:val="en-US"/>
        </w:rPr>
      </w:pPr>
      <w:r>
        <w:t>17.</w:t>
      </w:r>
      <w:r>
        <w:tab/>
        <w:t>Loss of protection of the Act</w:t>
      </w:r>
      <w:r>
        <w:tab/>
      </w:r>
      <w:r>
        <w:fldChar w:fldCharType="begin"/>
      </w:r>
      <w:r>
        <w:instrText xml:space="preserve"> PAGEREF _Toc336955510 \h </w:instrText>
      </w:r>
      <w:r>
        <w:fldChar w:fldCharType="separate"/>
      </w:r>
      <w:r>
        <w:t>16</w:t>
      </w:r>
      <w:r>
        <w:fldChar w:fldCharType="end"/>
      </w:r>
    </w:p>
    <w:p>
      <w:pPr>
        <w:pStyle w:val="TOC2"/>
        <w:tabs>
          <w:tab w:val="right" w:leader="dot" w:pos="7086"/>
        </w:tabs>
        <w:rPr>
          <w:b w:val="0"/>
          <w:sz w:val="24"/>
          <w:szCs w:val="24"/>
          <w:lang w:val="en-US"/>
        </w:rPr>
      </w:pPr>
      <w:r>
        <w:t>Part 4 — Role of Public Sector Commissioner</w:t>
      </w:r>
    </w:p>
    <w:p>
      <w:pPr>
        <w:pStyle w:val="TOC8"/>
        <w:rPr>
          <w:sz w:val="24"/>
          <w:szCs w:val="24"/>
          <w:lang w:val="en-US"/>
        </w:rPr>
      </w:pPr>
      <w:r>
        <w:t>18.</w:t>
      </w:r>
      <w:r>
        <w:tab/>
        <w:t>Term used in this Part</w:t>
      </w:r>
      <w:r>
        <w:tab/>
      </w:r>
      <w:r>
        <w:fldChar w:fldCharType="begin"/>
      </w:r>
      <w:r>
        <w:instrText xml:space="preserve"> PAGEREF _Toc336955512 \h </w:instrText>
      </w:r>
      <w:r>
        <w:fldChar w:fldCharType="separate"/>
      </w:r>
      <w:r>
        <w:t>18</w:t>
      </w:r>
      <w:r>
        <w:fldChar w:fldCharType="end"/>
      </w:r>
    </w:p>
    <w:p>
      <w:pPr>
        <w:pStyle w:val="TOC8"/>
        <w:rPr>
          <w:sz w:val="24"/>
          <w:szCs w:val="24"/>
          <w:lang w:val="en-US"/>
        </w:rPr>
      </w:pPr>
      <w:r>
        <w:t>19.</w:t>
      </w:r>
      <w:r>
        <w:tab/>
        <w:t>Promoting compliance with this Act</w:t>
      </w:r>
      <w:r>
        <w:tab/>
      </w:r>
      <w:r>
        <w:fldChar w:fldCharType="begin"/>
      </w:r>
      <w:r>
        <w:instrText xml:space="preserve"> PAGEREF _Toc336955513 \h </w:instrText>
      </w:r>
      <w:r>
        <w:fldChar w:fldCharType="separate"/>
      </w:r>
      <w:r>
        <w:t>18</w:t>
      </w:r>
      <w:r>
        <w:fldChar w:fldCharType="end"/>
      </w:r>
    </w:p>
    <w:p>
      <w:pPr>
        <w:pStyle w:val="TOC8"/>
        <w:rPr>
          <w:sz w:val="24"/>
          <w:szCs w:val="24"/>
          <w:lang w:val="en-US"/>
        </w:rPr>
      </w:pPr>
      <w:r>
        <w:t>20.</w:t>
      </w:r>
      <w:r>
        <w:tab/>
        <w:t>Code</w:t>
      </w:r>
      <w:r>
        <w:tab/>
      </w:r>
      <w:r>
        <w:fldChar w:fldCharType="begin"/>
      </w:r>
      <w:r>
        <w:instrText xml:space="preserve"> PAGEREF _Toc336955514 \h </w:instrText>
      </w:r>
      <w:r>
        <w:fldChar w:fldCharType="separate"/>
      </w:r>
      <w:r>
        <w:t>18</w:t>
      </w:r>
      <w:r>
        <w:fldChar w:fldCharType="end"/>
      </w:r>
    </w:p>
    <w:p>
      <w:pPr>
        <w:pStyle w:val="TOC8"/>
        <w:rPr>
          <w:sz w:val="24"/>
          <w:szCs w:val="24"/>
          <w:lang w:val="en-US"/>
        </w:rPr>
      </w:pPr>
      <w:r>
        <w:t>21.</w:t>
      </w:r>
      <w:r>
        <w:tab/>
        <w:t>Guidelines</w:t>
      </w:r>
      <w:r>
        <w:tab/>
      </w:r>
      <w:r>
        <w:fldChar w:fldCharType="begin"/>
      </w:r>
      <w:r>
        <w:instrText xml:space="preserve"> PAGEREF _Toc336955515 \h </w:instrText>
      </w:r>
      <w:r>
        <w:fldChar w:fldCharType="separate"/>
      </w:r>
      <w:r>
        <w:t>19</w:t>
      </w:r>
      <w:r>
        <w:fldChar w:fldCharType="end"/>
      </w:r>
    </w:p>
    <w:p>
      <w:pPr>
        <w:pStyle w:val="TOC8"/>
        <w:rPr>
          <w:sz w:val="24"/>
          <w:szCs w:val="24"/>
          <w:lang w:val="en-US"/>
        </w:rPr>
      </w:pPr>
      <w:r>
        <w:t>22.</w:t>
      </w:r>
      <w:r>
        <w:tab/>
        <w:t>Annual report and other reports to Parliament</w:t>
      </w:r>
      <w:r>
        <w:tab/>
      </w:r>
      <w:r>
        <w:fldChar w:fldCharType="begin"/>
      </w:r>
      <w:r>
        <w:instrText xml:space="preserve"> PAGEREF _Toc336955516 \h </w:instrText>
      </w:r>
      <w:r>
        <w:fldChar w:fldCharType="separate"/>
      </w:r>
      <w:r>
        <w:t>19</w:t>
      </w:r>
      <w:r>
        <w:fldChar w:fldCharType="end"/>
      </w:r>
    </w:p>
    <w:p>
      <w:pPr>
        <w:pStyle w:val="TOC2"/>
        <w:tabs>
          <w:tab w:val="right" w:leader="dot" w:pos="7086"/>
        </w:tabs>
        <w:rPr>
          <w:b w:val="0"/>
          <w:sz w:val="24"/>
          <w:szCs w:val="24"/>
          <w:lang w:val="en-US"/>
        </w:rPr>
      </w:pPr>
      <w:r>
        <w:t>Part 5 — Miscellaneous</w:t>
      </w:r>
    </w:p>
    <w:p>
      <w:pPr>
        <w:pStyle w:val="TOC8"/>
        <w:rPr>
          <w:sz w:val="24"/>
          <w:szCs w:val="24"/>
          <w:lang w:val="en-US"/>
        </w:rPr>
      </w:pPr>
      <w:r>
        <w:t>23.</w:t>
      </w:r>
      <w:r>
        <w:tab/>
        <w:t>Obligations of principal executive officers of public authorities</w:t>
      </w:r>
      <w:r>
        <w:tab/>
      </w:r>
      <w:r>
        <w:fldChar w:fldCharType="begin"/>
      </w:r>
      <w:r>
        <w:instrText xml:space="preserve"> PAGEREF _Toc336955518 \h </w:instrText>
      </w:r>
      <w:r>
        <w:fldChar w:fldCharType="separate"/>
      </w:r>
      <w:r>
        <w:t>21</w:t>
      </w:r>
      <w:r>
        <w:fldChar w:fldCharType="end"/>
      </w:r>
    </w:p>
    <w:p>
      <w:pPr>
        <w:pStyle w:val="TOC8"/>
        <w:rPr>
          <w:sz w:val="24"/>
          <w:szCs w:val="24"/>
          <w:lang w:val="en-US"/>
        </w:rPr>
      </w:pPr>
      <w:r>
        <w:t>24.</w:t>
      </w:r>
      <w:r>
        <w:tab/>
        <w:t>Offence to make false or misleading disclosure</w:t>
      </w:r>
      <w:r>
        <w:tab/>
      </w:r>
      <w:r>
        <w:fldChar w:fldCharType="begin"/>
      </w:r>
      <w:r>
        <w:instrText xml:space="preserve"> PAGEREF _Toc336955519 \h </w:instrText>
      </w:r>
      <w:r>
        <w:fldChar w:fldCharType="separate"/>
      </w:r>
      <w:r>
        <w:t>22</w:t>
      </w:r>
      <w:r>
        <w:fldChar w:fldCharType="end"/>
      </w:r>
    </w:p>
    <w:p>
      <w:pPr>
        <w:pStyle w:val="TOC8"/>
        <w:rPr>
          <w:sz w:val="24"/>
          <w:szCs w:val="24"/>
          <w:lang w:val="en-US"/>
        </w:rPr>
      </w:pPr>
      <w:r>
        <w:t>25</w:t>
      </w:r>
      <w:r>
        <w:rPr>
          <w:snapToGrid w:val="0"/>
        </w:rPr>
        <w:t>.</w:t>
      </w:r>
      <w:r>
        <w:rPr>
          <w:snapToGrid w:val="0"/>
        </w:rPr>
        <w:tab/>
        <w:t>Other laws not excluded</w:t>
      </w:r>
      <w:r>
        <w:tab/>
      </w:r>
      <w:r>
        <w:fldChar w:fldCharType="begin"/>
      </w:r>
      <w:r>
        <w:instrText xml:space="preserve"> PAGEREF _Toc336955520 \h </w:instrText>
      </w:r>
      <w:r>
        <w:fldChar w:fldCharType="separate"/>
      </w:r>
      <w:r>
        <w:t>22</w:t>
      </w:r>
      <w:r>
        <w:fldChar w:fldCharType="end"/>
      </w:r>
    </w:p>
    <w:p>
      <w:pPr>
        <w:pStyle w:val="TOC8"/>
        <w:rPr>
          <w:sz w:val="24"/>
          <w:szCs w:val="24"/>
          <w:lang w:val="en-US"/>
        </w:rPr>
      </w:pPr>
      <w:r>
        <w:t>26.</w:t>
      </w:r>
      <w:r>
        <w:tab/>
        <w:t>Regulations</w:t>
      </w:r>
      <w:r>
        <w:tab/>
      </w:r>
      <w:r>
        <w:fldChar w:fldCharType="begin"/>
      </w:r>
      <w:r>
        <w:instrText xml:space="preserve"> PAGEREF _Toc336955521 \h </w:instrText>
      </w:r>
      <w:r>
        <w:fldChar w:fldCharType="separate"/>
      </w:r>
      <w:r>
        <w:t>22</w:t>
      </w:r>
      <w:r>
        <w:fldChar w:fldCharType="end"/>
      </w:r>
    </w:p>
    <w:p>
      <w:pPr>
        <w:pStyle w:val="TOC8"/>
        <w:rPr>
          <w:sz w:val="24"/>
          <w:szCs w:val="24"/>
          <w:lang w:val="en-US"/>
        </w:rPr>
      </w:pPr>
      <w:r>
        <w:t>27.</w:t>
      </w:r>
      <w:r>
        <w:tab/>
        <w:t>Review of this Act</w:t>
      </w:r>
      <w:r>
        <w:tab/>
      </w:r>
      <w:r>
        <w:fldChar w:fldCharType="begin"/>
      </w:r>
      <w:r>
        <w:instrText xml:space="preserve"> PAGEREF _Toc336955522 \h </w:instrText>
      </w:r>
      <w:r>
        <w:fldChar w:fldCharType="separate"/>
      </w:r>
      <w:r>
        <w:t>23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_Toc336955524 \h </w:instrText>
      </w:r>
      <w:r>
        <w:fldChar w:fldCharType="separate"/>
      </w:r>
      <w:r>
        <w:t>24</w:t>
      </w:r>
      <w:r>
        <w:fldChar w:fldCharType="end"/>
      </w:r>
    </w:p>
    <w:p>
      <w:pPr>
        <w:pStyle w:val="TOC8"/>
        <w:rPr>
          <w:sz w:val="24"/>
          <w:szCs w:val="24"/>
          <w:lang w:val="en-US"/>
        </w:rPr>
      </w:pPr>
      <w:r>
        <w:tab/>
        <w:t>Provisions that have not come into operation</w:t>
      </w:r>
      <w:r>
        <w:tab/>
      </w:r>
      <w:r>
        <w:fldChar w:fldCharType="begin"/>
      </w:r>
      <w:r>
        <w:instrText xml:space="preserve"> PAGEREF _Toc336955525 \h </w:instrText>
      </w:r>
      <w:r>
        <w:fldChar w:fldCharType="separate"/>
      </w:r>
      <w:r>
        <w:t>25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520" w:after="1000"/>
      </w:pPr>
      <w:r>
        <w:t>Public Interest Disclosure Act 2003</w:t>
      </w:r>
    </w:p>
    <w:p>
      <w:pPr>
        <w:pStyle w:val="LongTitle"/>
        <w:suppressLineNumbers/>
        <w:rPr>
          <w:snapToGrid w:val="0"/>
        </w:rPr>
      </w:pPr>
      <w:r>
        <w:rPr>
          <w:snapToGrid w:val="0"/>
        </w:rPr>
        <w:t>An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1" w:name="_Toc77413687"/>
      <w:bookmarkStart w:id="2" w:name="_Toc151800951"/>
      <w:bookmarkStart w:id="3" w:name="_Toc157490039"/>
      <w:bookmarkStart w:id="4" w:name="_Toc157997742"/>
      <w:bookmarkStart w:id="5" w:name="_Toc157997784"/>
      <w:bookmarkStart w:id="6" w:name="_Toc171070605"/>
      <w:bookmarkStart w:id="7" w:name="_Toc173726292"/>
      <w:bookmarkStart w:id="8" w:name="_Toc173726477"/>
      <w:bookmarkStart w:id="9" w:name="_Toc173732394"/>
      <w:bookmarkStart w:id="10" w:name="_Toc178040932"/>
      <w:bookmarkStart w:id="11" w:name="_Toc178042850"/>
      <w:bookmarkStart w:id="12" w:name="_Toc179178557"/>
      <w:bookmarkStart w:id="13" w:name="_Toc179178671"/>
      <w:bookmarkStart w:id="14" w:name="_Toc181523806"/>
      <w:bookmarkStart w:id="15" w:name="_Toc194980790"/>
      <w:bookmarkStart w:id="16" w:name="_Toc256148863"/>
      <w:bookmarkStart w:id="17" w:name="_Toc274136300"/>
      <w:bookmarkStart w:id="18" w:name="_Toc278968624"/>
      <w:bookmarkStart w:id="19" w:name="_Toc33695548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471793481"/>
      <w:bookmarkStart w:id="21" w:name="_Toc512746194"/>
      <w:bookmarkStart w:id="22" w:name="_Toc515958175"/>
      <w:bookmarkStart w:id="23" w:name="_Toc529172079"/>
      <w:bookmarkStart w:id="24" w:name="_Toc40591296"/>
      <w:bookmarkStart w:id="25" w:name="_Toc151800952"/>
      <w:bookmarkStart w:id="26" w:name="_Toc336955490"/>
      <w:r>
        <w:rPr>
          <w:rStyle w:val="CharSectno"/>
        </w:rPr>
        <w:t>1</w:t>
      </w:r>
      <w:r>
        <w:rPr>
          <w:snapToGrid w:val="0"/>
        </w:rPr>
        <w:t>.</w:t>
      </w:r>
      <w:r>
        <w:rPr>
          <w:snapToGrid w:val="0"/>
        </w:rPr>
        <w:tab/>
        <w:t>Short title</w:t>
      </w:r>
      <w:bookmarkEnd w:id="20"/>
      <w:bookmarkEnd w:id="21"/>
      <w:bookmarkEnd w:id="22"/>
      <w:bookmarkEnd w:id="23"/>
      <w:bookmarkEnd w:id="24"/>
      <w:bookmarkEnd w:id="25"/>
      <w:bookmarkEnd w:id="26"/>
    </w:p>
    <w:p>
      <w:pPr>
        <w:pStyle w:val="Subsection"/>
        <w:ind w:right="709"/>
        <w:rPr>
          <w:snapToGrid w:val="0"/>
        </w:rPr>
      </w:pPr>
      <w:r>
        <w:rPr>
          <w:snapToGrid w:val="0"/>
        </w:rPr>
        <w:tab/>
      </w:r>
      <w:r>
        <w:rPr>
          <w:snapToGrid w:val="0"/>
        </w:rPr>
        <w:tab/>
        <w:t>This Act may be cited as the</w:t>
      </w:r>
      <w:r>
        <w:rPr>
          <w:i/>
          <w:snapToGrid w:val="0"/>
        </w:rPr>
        <w:t xml:space="preserve"> Public Interest Disclosure Act 2003</w:t>
      </w:r>
      <w:r>
        <w:rPr>
          <w:iCs/>
          <w:snapToGrid w:val="0"/>
          <w:vertAlign w:val="superscript"/>
        </w:rPr>
        <w:t> 1</w:t>
      </w:r>
      <w:r>
        <w:rPr>
          <w:snapToGrid w:val="0"/>
        </w:rPr>
        <w:t>.</w:t>
      </w:r>
    </w:p>
    <w:p>
      <w:pPr>
        <w:pStyle w:val="Heading5"/>
        <w:rPr>
          <w:snapToGrid w:val="0"/>
        </w:rPr>
      </w:pPr>
      <w:bookmarkStart w:id="27" w:name="_Toc471793482"/>
      <w:bookmarkStart w:id="28" w:name="_Toc512746195"/>
      <w:bookmarkStart w:id="29" w:name="_Toc515958176"/>
      <w:bookmarkStart w:id="30" w:name="_Toc529172080"/>
      <w:bookmarkStart w:id="31" w:name="_Toc40591297"/>
      <w:bookmarkStart w:id="32" w:name="_Toc151800953"/>
      <w:bookmarkStart w:id="33" w:name="_Toc336955491"/>
      <w:r>
        <w:rPr>
          <w:rStyle w:val="CharSectno"/>
        </w:rPr>
        <w:t>2</w:t>
      </w:r>
      <w:r>
        <w:rPr>
          <w:snapToGrid w:val="0"/>
        </w:rPr>
        <w:t>.</w:t>
      </w:r>
      <w:r>
        <w:rPr>
          <w:snapToGrid w:val="0"/>
        </w:rPr>
        <w:tab/>
        <w:t>Commencement</w:t>
      </w:r>
      <w:bookmarkEnd w:id="27"/>
      <w:bookmarkEnd w:id="28"/>
      <w:bookmarkEnd w:id="29"/>
      <w:bookmarkEnd w:id="30"/>
      <w:bookmarkEnd w:id="31"/>
      <w:bookmarkEnd w:id="32"/>
      <w:bookmarkEnd w:id="33"/>
    </w:p>
    <w:p>
      <w:pPr>
        <w:pStyle w:val="Subsection"/>
        <w:ind w:right="709"/>
      </w:pPr>
      <w:r>
        <w:tab/>
        <w:t>(1)</w:t>
      </w:r>
      <w:r>
        <w:tab/>
        <w:t>This Act comes into operation on a day fixed by proclamation</w:t>
      </w:r>
      <w:r>
        <w:rPr>
          <w:iCs/>
          <w:snapToGrid w:val="0"/>
          <w:vertAlign w:val="superscript"/>
        </w:rPr>
        <w:t> 1</w:t>
      </w:r>
      <w:r>
        <w:t>.</w:t>
      </w:r>
    </w:p>
    <w:p>
      <w:pPr>
        <w:pStyle w:val="Subsection"/>
        <w:ind w:right="709"/>
      </w:pPr>
      <w:r>
        <w:tab/>
        <w:t>(2)</w:t>
      </w:r>
      <w:r>
        <w:tab/>
        <w:t>Different days may be fixed under subsection (1) for different provisions.</w:t>
      </w:r>
    </w:p>
    <w:p>
      <w:pPr>
        <w:pStyle w:val="Heading5"/>
      </w:pPr>
      <w:bookmarkStart w:id="34" w:name="_Toc520358834"/>
      <w:bookmarkStart w:id="35" w:name="_Toc520621773"/>
      <w:bookmarkStart w:id="36" w:name="_Toc520707974"/>
      <w:bookmarkStart w:id="37" w:name="_Toc520764650"/>
      <w:bookmarkStart w:id="38" w:name="_Toc520854277"/>
      <w:bookmarkStart w:id="39" w:name="_Toc520854350"/>
      <w:bookmarkStart w:id="40" w:name="_Toc524224604"/>
      <w:bookmarkStart w:id="41" w:name="_Toc529147896"/>
      <w:bookmarkStart w:id="42" w:name="_Toc529172081"/>
      <w:bookmarkStart w:id="43" w:name="_Toc40591298"/>
      <w:bookmarkStart w:id="44" w:name="_Toc151800954"/>
      <w:bookmarkStart w:id="45" w:name="_Toc336955492"/>
      <w:r>
        <w:rPr>
          <w:rStyle w:val="CharSectno"/>
        </w:rPr>
        <w:t>3</w:t>
      </w:r>
      <w:r>
        <w:t>.</w:t>
      </w:r>
      <w:r>
        <w:tab/>
      </w:r>
      <w:bookmarkEnd w:id="34"/>
      <w:bookmarkEnd w:id="35"/>
      <w:bookmarkEnd w:id="36"/>
      <w:bookmarkEnd w:id="37"/>
      <w:bookmarkEnd w:id="38"/>
      <w:bookmarkEnd w:id="39"/>
      <w:bookmarkEnd w:id="40"/>
      <w:bookmarkEnd w:id="41"/>
      <w:bookmarkEnd w:id="42"/>
      <w:bookmarkEnd w:id="43"/>
      <w:bookmarkEnd w:id="44"/>
      <w:r>
        <w:t>Terms used in this Act</w:t>
      </w:r>
      <w:bookmarkEnd w:id="45"/>
    </w:p>
    <w:p>
      <w:pPr>
        <w:pStyle w:val="Subsection"/>
        <w:ind w:right="709"/>
      </w:pPr>
      <w:r>
        <w:tab/>
        <w:t>(1)</w:t>
      </w:r>
      <w:r>
        <w:tab/>
        <w:t>In this Act, unless the contrary intention appears —</w:t>
      </w:r>
    </w:p>
    <w:p>
      <w:pPr>
        <w:pStyle w:val="Defstart"/>
      </w:pPr>
      <w:r>
        <w:tab/>
      </w:r>
      <w:r>
        <w:rPr>
          <w:rStyle w:val="CharDefText"/>
        </w:rPr>
        <w:t>Commissioner</w:t>
      </w:r>
      <w:r>
        <w:t xml:space="preserve"> means the person holding the office of Public Sector Commissioner established by the </w:t>
      </w:r>
      <w:r>
        <w:rPr>
          <w:i/>
        </w:rPr>
        <w:t>Public Sector Management Act 1994</w:t>
      </w:r>
      <w:r>
        <w:t xml:space="preserve"> section 16;</w:t>
      </w:r>
    </w:p>
    <w:p>
      <w:pPr>
        <w:pStyle w:val="Defstart"/>
        <w:tabs>
          <w:tab w:val="left" w:pos="2520"/>
        </w:tabs>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pPr>
      <w:r>
        <w:rPr>
          <w:b/>
        </w:rPr>
        <w:tab/>
      </w:r>
      <w:r>
        <w:rPr>
          <w:rStyle w:val="CharDefText"/>
        </w:rPr>
        <w:t>Corruption and Crime Commission</w:t>
      </w:r>
      <w:r>
        <w:t xml:space="preserve"> has the meaning given to “Commission” in section 3 of the </w:t>
      </w:r>
      <w:r>
        <w:rPr>
          <w:i/>
        </w:rPr>
        <w:t>Corruption and Crime Commission Act 2003</w:t>
      </w:r>
      <w:r>
        <w:t>;</w:t>
      </w:r>
    </w:p>
    <w:p>
      <w:pPr>
        <w:pStyle w:val="Defstart"/>
        <w:tabs>
          <w:tab w:val="left" w:pos="2520"/>
        </w:tabs>
      </w:pPr>
      <w:r>
        <w:rPr>
          <w:b/>
        </w:rPr>
        <w:tab/>
      </w:r>
      <w:r>
        <w:rPr>
          <w:rStyle w:val="CharDefText"/>
        </w:rPr>
        <w:t>detrimental action</w:t>
      </w:r>
      <w:r>
        <w:t xml:space="preserve"> includes action causing, comprising, or involving — </w:t>
      </w:r>
    </w:p>
    <w:p>
      <w:pPr>
        <w:pStyle w:val="Defpara"/>
        <w:tabs>
          <w:tab w:val="left" w:pos="2520"/>
        </w:tabs>
      </w:pPr>
      <w:r>
        <w:tab/>
        <w:t>(a)</w:t>
      </w:r>
      <w:r>
        <w:tab/>
        <w:t>injury, damage, or loss;</w:t>
      </w:r>
    </w:p>
    <w:p>
      <w:pPr>
        <w:pStyle w:val="Defpara"/>
        <w:tabs>
          <w:tab w:val="left" w:pos="2520"/>
        </w:tabs>
      </w:pPr>
      <w:r>
        <w:tab/>
        <w:t>(b)</w:t>
      </w:r>
      <w:r>
        <w:tab/>
        <w:t>intimidation or harassment;</w:t>
      </w:r>
    </w:p>
    <w:p>
      <w:pPr>
        <w:pStyle w:val="Defpara"/>
        <w:keepNext/>
        <w:tabs>
          <w:tab w:val="left" w:pos="2520"/>
        </w:tabs>
      </w:pPr>
      <w:r>
        <w:tab/>
        <w:t>(c)</w:t>
      </w:r>
      <w:r>
        <w:tab/>
        <w:t>adverse discrimination, disadvantage, or adverse treatment in relation to a person’s career, profession, employment, trade, or business; or</w:t>
      </w:r>
    </w:p>
    <w:p>
      <w:pPr>
        <w:pStyle w:val="Defpara"/>
        <w:tabs>
          <w:tab w:val="left" w:pos="2520"/>
        </w:tabs>
      </w:pPr>
      <w:r>
        <w:tab/>
        <w:t>(d)</w:t>
      </w:r>
      <w:r>
        <w:tab/>
        <w:t>a reprisal;</w:t>
      </w:r>
    </w:p>
    <w:p>
      <w:pPr>
        <w:pStyle w:val="Defstart"/>
        <w:keepNext/>
        <w:tabs>
          <w:tab w:val="left" w:pos="2520"/>
        </w:tabs>
      </w:pPr>
      <w:r>
        <w:tab/>
      </w:r>
      <w:r>
        <w:rPr>
          <w:rStyle w:val="CharDefText"/>
        </w:rPr>
        <w:t>environment</w:t>
      </w:r>
      <w:r>
        <w:t xml:space="preserve"> has the same meaning as in the </w:t>
      </w:r>
      <w:r>
        <w:rPr>
          <w:i/>
        </w:rPr>
        <w:t>Environmental Protection Act 1986</w:t>
      </w:r>
      <w:r>
        <w:t>;</w:t>
      </w:r>
    </w:p>
    <w:p>
      <w:pPr>
        <w:pStyle w:val="Defstart"/>
        <w:tabs>
          <w:tab w:val="left" w:pos="2520"/>
        </w:tabs>
      </w:pPr>
      <w:r>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pPr>
      <w:r>
        <w:tab/>
        <w:t>(e)</w:t>
      </w:r>
      <w:r>
        <w:tab/>
        <w:t xml:space="preserve">a person who holds an appointment made under the </w:t>
      </w:r>
      <w:r>
        <w:rPr>
          <w:i/>
        </w:rPr>
        <w:t>Police Act 1892</w:t>
      </w:r>
      <w:r>
        <w:t xml:space="preserve"> Part I, III, IIIA or IIIB;</w:t>
      </w:r>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 xml:space="preserve">any other person holding office under the State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public sector contractor</w:t>
      </w:r>
      <w:r>
        <w:t xml:space="preserve"> means —</w:t>
      </w:r>
    </w:p>
    <w:p>
      <w:pPr>
        <w:pStyle w:val="Defpara"/>
      </w:pPr>
      <w:r>
        <w:tab/>
        <w:t>(a)</w:t>
      </w:r>
      <w:r>
        <w:tab/>
        <w:t xml:space="preserve">a person who, other than as an employee, contracts with a public authority or the State of </w:t>
      </w:r>
      <w:smartTag w:uri="urn:schemas-microsoft-com:office:smarttags" w:element="place">
        <w:smartTag w:uri="urn:schemas-microsoft-com:office:smarttags" w:element="State">
          <w:r>
            <w:t>Western Australia</w:t>
          </w:r>
        </w:smartTag>
      </w:smartTag>
      <w:r>
        <w:t xml:space="preserve">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by No. 48 of 2003 s. 62; No. 78 of 2003 s. 74(2); No. 59 of 2006 s. 73; No. 77 of 2006 s. 17; No. 8 of 2008 s. 18; No. 42 of 2009 s. 22(2) and (3); No. 39 of 2010 s. 82(2).]</w:t>
      </w:r>
    </w:p>
    <w:p>
      <w:pPr>
        <w:pStyle w:val="Heading5"/>
      </w:pPr>
      <w:bookmarkStart w:id="46" w:name="_Toc529147897"/>
      <w:bookmarkStart w:id="47" w:name="_Toc529172082"/>
      <w:bookmarkStart w:id="48" w:name="_Toc40591299"/>
      <w:bookmarkStart w:id="49" w:name="_Toc151800955"/>
      <w:bookmarkStart w:id="50" w:name="_Toc336955493"/>
      <w:r>
        <w:rPr>
          <w:rStyle w:val="CharSectno"/>
        </w:rPr>
        <w:t>4</w:t>
      </w:r>
      <w:r>
        <w:t>.</w:t>
      </w:r>
      <w:r>
        <w:tab/>
        <w:t>Application to the Crown</w:t>
      </w:r>
      <w:bookmarkEnd w:id="46"/>
      <w:bookmarkEnd w:id="47"/>
      <w:bookmarkEnd w:id="48"/>
      <w:bookmarkEnd w:id="49"/>
      <w:bookmarkEnd w:id="50"/>
    </w:p>
    <w:p>
      <w:pPr>
        <w:pStyle w:val="Subsection"/>
      </w:pPr>
      <w:r>
        <w:tab/>
      </w:r>
      <w:r>
        <w:tab/>
        <w:t>This Act binds the Crown in right of the State.</w:t>
      </w:r>
    </w:p>
    <w:p>
      <w:pPr>
        <w:pStyle w:val="Heading2"/>
      </w:pPr>
      <w:bookmarkStart w:id="51" w:name="_Toc77413692"/>
      <w:bookmarkStart w:id="52" w:name="_Toc151800956"/>
      <w:bookmarkStart w:id="53" w:name="_Toc157490044"/>
      <w:bookmarkStart w:id="54" w:name="_Toc157997747"/>
      <w:bookmarkStart w:id="55" w:name="_Toc157997789"/>
      <w:bookmarkStart w:id="56" w:name="_Toc171070610"/>
      <w:bookmarkStart w:id="57" w:name="_Toc173726297"/>
      <w:bookmarkStart w:id="58" w:name="_Toc173726482"/>
      <w:bookmarkStart w:id="59" w:name="_Toc173732399"/>
      <w:bookmarkStart w:id="60" w:name="_Toc178040937"/>
      <w:bookmarkStart w:id="61" w:name="_Toc178042855"/>
      <w:bookmarkStart w:id="62" w:name="_Toc179178562"/>
      <w:bookmarkStart w:id="63" w:name="_Toc179178676"/>
      <w:bookmarkStart w:id="64" w:name="_Toc181523811"/>
      <w:bookmarkStart w:id="65" w:name="_Toc194980795"/>
      <w:bookmarkStart w:id="66" w:name="_Toc256148868"/>
      <w:bookmarkStart w:id="67" w:name="_Toc274136305"/>
      <w:bookmarkStart w:id="68" w:name="_Toc278968629"/>
      <w:bookmarkStart w:id="69" w:name="_Toc336955494"/>
      <w:r>
        <w:rPr>
          <w:rStyle w:val="CharPartNo"/>
        </w:rPr>
        <w:t>Part 2</w:t>
      </w:r>
      <w:r>
        <w:t xml:space="preserve"> — </w:t>
      </w:r>
      <w:r>
        <w:rPr>
          <w:rStyle w:val="CharPartText"/>
        </w:rPr>
        <w:t>Public interest disclosures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3"/>
      </w:pPr>
      <w:bookmarkStart w:id="70" w:name="_Toc77413693"/>
      <w:bookmarkStart w:id="71" w:name="_Toc151800957"/>
      <w:bookmarkStart w:id="72" w:name="_Toc157490045"/>
      <w:bookmarkStart w:id="73" w:name="_Toc157997748"/>
      <w:bookmarkStart w:id="74" w:name="_Toc157997790"/>
      <w:bookmarkStart w:id="75" w:name="_Toc171070611"/>
      <w:bookmarkStart w:id="76" w:name="_Toc173726298"/>
      <w:bookmarkStart w:id="77" w:name="_Toc173726483"/>
      <w:bookmarkStart w:id="78" w:name="_Toc173732400"/>
      <w:bookmarkStart w:id="79" w:name="_Toc178040938"/>
      <w:bookmarkStart w:id="80" w:name="_Toc178042856"/>
      <w:bookmarkStart w:id="81" w:name="_Toc179178563"/>
      <w:bookmarkStart w:id="82" w:name="_Toc179178677"/>
      <w:bookmarkStart w:id="83" w:name="_Toc181523812"/>
      <w:bookmarkStart w:id="84" w:name="_Toc194980796"/>
      <w:bookmarkStart w:id="85" w:name="_Toc256148869"/>
      <w:bookmarkStart w:id="86" w:name="_Toc274136306"/>
      <w:bookmarkStart w:id="87" w:name="_Toc278968630"/>
      <w:bookmarkStart w:id="88" w:name="_Toc336955495"/>
      <w:r>
        <w:rPr>
          <w:rStyle w:val="CharDivNo"/>
        </w:rPr>
        <w:t>Division 1</w:t>
      </w:r>
      <w:r>
        <w:t xml:space="preserve"> — </w:t>
      </w:r>
      <w:r>
        <w:rPr>
          <w:rStyle w:val="CharDivText"/>
        </w:rPr>
        <w:t>Disclosures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529147898"/>
      <w:bookmarkStart w:id="90" w:name="_Toc529172083"/>
      <w:bookmarkStart w:id="91" w:name="_Toc40591300"/>
      <w:bookmarkStart w:id="92" w:name="_Toc151800958"/>
      <w:bookmarkStart w:id="93" w:name="_Toc336955496"/>
      <w:r>
        <w:rPr>
          <w:rStyle w:val="CharSectno"/>
        </w:rPr>
        <w:t>5</w:t>
      </w:r>
      <w:r>
        <w:t>.</w:t>
      </w:r>
      <w:r>
        <w:tab/>
        <w:t>Public interest disclosure</w:t>
      </w:r>
      <w:bookmarkEnd w:id="89"/>
      <w:bookmarkEnd w:id="90"/>
      <w:bookmarkEnd w:id="91"/>
      <w:bookmarkEnd w:id="92"/>
      <w:bookmarkEnd w:id="93"/>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w:t>
      </w:r>
    </w:p>
    <w:p>
      <w:pPr>
        <w:pStyle w:val="Indenta"/>
      </w:pPr>
      <w:r>
        <w:tab/>
        <w:t>(d)</w:t>
      </w:r>
      <w:r>
        <w:tab/>
        <w:t xml:space="preserve">where the information relates to a person who holds an appointment made under the </w:t>
      </w:r>
      <w:r>
        <w:rPr>
          <w:i/>
        </w:rPr>
        <w:t>Police Act 1892</w:t>
      </w:r>
      <w:r>
        <w:t xml:space="preserve"> Part I, III, IIIA or IIIB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bookmarkStart w:id="94" w:name="_Toc529147899"/>
      <w:bookmarkStart w:id="95" w:name="_Toc529172084"/>
      <w:bookmarkStart w:id="96" w:name="_Toc40591301"/>
      <w:r>
        <w:tab/>
        <w:t>[Section 5 amended by No. 48 of 2003 s. 62; No. 78 of 2003 s. 74(2); No. 42 of 2009 s. 22(4).]</w:t>
      </w:r>
    </w:p>
    <w:p>
      <w:pPr>
        <w:pStyle w:val="Heading5"/>
      </w:pPr>
      <w:bookmarkStart w:id="97" w:name="_Toc151800959"/>
      <w:bookmarkStart w:id="98" w:name="_Toc336955497"/>
      <w:r>
        <w:rPr>
          <w:rStyle w:val="CharSectno"/>
        </w:rPr>
        <w:t>6</w:t>
      </w:r>
      <w:r>
        <w:t>.</w:t>
      </w:r>
      <w:r>
        <w:tab/>
        <w:t>Liability of person disclosing unaffected</w:t>
      </w:r>
      <w:bookmarkEnd w:id="94"/>
      <w:bookmarkEnd w:id="95"/>
      <w:bookmarkEnd w:id="96"/>
      <w:bookmarkEnd w:id="97"/>
      <w:bookmarkEnd w:id="98"/>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3"/>
      </w:pPr>
      <w:bookmarkStart w:id="99" w:name="_Toc77413696"/>
      <w:bookmarkStart w:id="100" w:name="_Toc151800960"/>
      <w:bookmarkStart w:id="101" w:name="_Toc157490048"/>
      <w:bookmarkStart w:id="102" w:name="_Toc157997751"/>
      <w:bookmarkStart w:id="103" w:name="_Toc157997793"/>
      <w:bookmarkStart w:id="104" w:name="_Toc171070614"/>
      <w:bookmarkStart w:id="105" w:name="_Toc173726301"/>
      <w:bookmarkStart w:id="106" w:name="_Toc173726486"/>
      <w:bookmarkStart w:id="107" w:name="_Toc173732403"/>
      <w:bookmarkStart w:id="108" w:name="_Toc178040941"/>
      <w:bookmarkStart w:id="109" w:name="_Toc178042859"/>
      <w:bookmarkStart w:id="110" w:name="_Toc179178566"/>
      <w:bookmarkStart w:id="111" w:name="_Toc179178680"/>
      <w:bookmarkStart w:id="112" w:name="_Toc181523815"/>
      <w:bookmarkStart w:id="113" w:name="_Toc194980799"/>
      <w:bookmarkStart w:id="114" w:name="_Toc256148872"/>
      <w:bookmarkStart w:id="115" w:name="_Toc274136309"/>
      <w:bookmarkStart w:id="116" w:name="_Toc278968633"/>
      <w:bookmarkStart w:id="117" w:name="_Toc336955498"/>
      <w:r>
        <w:rPr>
          <w:rStyle w:val="CharDivNo"/>
        </w:rPr>
        <w:t>Division 2</w:t>
      </w:r>
      <w:r>
        <w:t xml:space="preserve"> — </w:t>
      </w:r>
      <w:r>
        <w:rPr>
          <w:rStyle w:val="CharDivText"/>
        </w:rPr>
        <w:t>Obligations of a person to whom a disclosure is made</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40591302"/>
      <w:bookmarkStart w:id="119" w:name="_Toc151800961"/>
      <w:bookmarkStart w:id="120" w:name="_Toc336955499"/>
      <w:r>
        <w:rPr>
          <w:rStyle w:val="CharSectno"/>
        </w:rPr>
        <w:t>7</w:t>
      </w:r>
      <w:r>
        <w:t>.</w:t>
      </w:r>
      <w:r>
        <w:tab/>
      </w:r>
      <w:bookmarkEnd w:id="118"/>
      <w:bookmarkEnd w:id="119"/>
      <w:r>
        <w:t>Term used in sections 8, 9 and 10</w:t>
      </w:r>
      <w:bookmarkEnd w:id="120"/>
    </w:p>
    <w:p>
      <w:pPr>
        <w:pStyle w:val="Subsection"/>
      </w:pPr>
      <w:r>
        <w:tab/>
      </w:r>
      <w:r>
        <w:tab/>
        <w:t>In sections</w:t>
      </w:r>
      <w:bookmarkStart w:id="121" w:name="_Hlt529678544"/>
      <w:r>
        <w:t> 8, 9</w:t>
      </w:r>
      <w:bookmarkEnd w:id="121"/>
      <w:r>
        <w:t xml:space="preserve">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22" w:name="_Toc529147900"/>
      <w:bookmarkStart w:id="123" w:name="_Toc529172085"/>
      <w:bookmarkStart w:id="124" w:name="_Toc40591303"/>
      <w:bookmarkStart w:id="125" w:name="_Toc151800962"/>
      <w:bookmarkStart w:id="126" w:name="_Toc336955500"/>
      <w:r>
        <w:rPr>
          <w:rStyle w:val="CharSectno"/>
        </w:rPr>
        <w:t>8</w:t>
      </w:r>
      <w:r>
        <w:t>.</w:t>
      </w:r>
      <w:r>
        <w:tab/>
        <w:t>Obligation to carry out investigation</w:t>
      </w:r>
      <w:bookmarkEnd w:id="122"/>
      <w:bookmarkEnd w:id="123"/>
      <w:bookmarkEnd w:id="124"/>
      <w:bookmarkEnd w:id="125"/>
      <w:bookmarkEnd w:id="126"/>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Heading5"/>
        <w:rPr>
          <w:snapToGrid w:val="0"/>
        </w:rPr>
      </w:pPr>
      <w:bookmarkStart w:id="127" w:name="_Toc479143648"/>
      <w:bookmarkStart w:id="128" w:name="_Toc520621805"/>
      <w:bookmarkStart w:id="129" w:name="_Toc524224612"/>
      <w:bookmarkStart w:id="130" w:name="_Toc529075193"/>
      <w:bookmarkStart w:id="131" w:name="_Toc529147901"/>
      <w:bookmarkStart w:id="132" w:name="_Toc529172086"/>
      <w:bookmarkStart w:id="133" w:name="_Toc40591304"/>
      <w:bookmarkStart w:id="134" w:name="_Toc151800963"/>
      <w:bookmarkStart w:id="135" w:name="_Toc336955501"/>
      <w:r>
        <w:rPr>
          <w:rStyle w:val="CharSectno"/>
        </w:rPr>
        <w:t>9</w:t>
      </w:r>
      <w:r>
        <w:rPr>
          <w:snapToGrid w:val="0"/>
        </w:rPr>
        <w:t>.</w:t>
      </w:r>
      <w:r>
        <w:rPr>
          <w:snapToGrid w:val="0"/>
        </w:rPr>
        <w:tab/>
        <w:t>Action by proper authority</w:t>
      </w:r>
      <w:bookmarkEnd w:id="127"/>
      <w:bookmarkEnd w:id="128"/>
      <w:bookmarkEnd w:id="129"/>
      <w:bookmarkEnd w:id="130"/>
      <w:bookmarkEnd w:id="131"/>
      <w:bookmarkEnd w:id="132"/>
      <w:bookmarkEnd w:id="133"/>
      <w:bookmarkEnd w:id="134"/>
      <w:bookmarkEnd w:id="135"/>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136" w:name="_Toc520358838"/>
      <w:bookmarkStart w:id="137" w:name="_Toc520621777"/>
      <w:bookmarkStart w:id="138" w:name="_Toc520707978"/>
      <w:bookmarkStart w:id="139" w:name="_Toc520764654"/>
      <w:bookmarkStart w:id="140" w:name="_Toc520854281"/>
      <w:bookmarkStart w:id="141" w:name="_Toc520854354"/>
      <w:bookmarkStart w:id="142" w:name="_Toc524224616"/>
      <w:bookmarkStart w:id="143" w:name="_Toc527965817"/>
      <w:bookmarkStart w:id="144" w:name="_Toc529147902"/>
      <w:bookmarkStart w:id="145" w:name="_Toc529172087"/>
      <w:bookmarkStart w:id="146" w:name="_Toc40591305"/>
      <w:bookmarkStart w:id="147" w:name="_Toc151800964"/>
      <w:bookmarkStart w:id="148" w:name="_Toc336955502"/>
      <w:r>
        <w:rPr>
          <w:rStyle w:val="CharSectno"/>
        </w:rPr>
        <w:t>10</w:t>
      </w:r>
      <w:r>
        <w:t>.</w:t>
      </w:r>
      <w:r>
        <w:tab/>
      </w:r>
      <w:bookmarkEnd w:id="136"/>
      <w:bookmarkEnd w:id="137"/>
      <w:r>
        <w:t>Informant to be notified of action taken</w:t>
      </w:r>
      <w:bookmarkEnd w:id="138"/>
      <w:bookmarkEnd w:id="139"/>
      <w:bookmarkEnd w:id="140"/>
      <w:bookmarkEnd w:id="141"/>
      <w:bookmarkEnd w:id="142"/>
      <w:bookmarkEnd w:id="143"/>
      <w:bookmarkEnd w:id="144"/>
      <w:bookmarkEnd w:id="145"/>
      <w:bookmarkEnd w:id="146"/>
      <w:bookmarkEnd w:id="147"/>
      <w:bookmarkEnd w:id="148"/>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Heading5"/>
        <w:rPr>
          <w:snapToGrid w:val="0"/>
        </w:rPr>
      </w:pPr>
      <w:bookmarkStart w:id="149" w:name="_Toc479143649"/>
      <w:bookmarkStart w:id="150" w:name="_Toc520621806"/>
      <w:bookmarkStart w:id="151" w:name="_Toc524224617"/>
      <w:bookmarkStart w:id="152" w:name="_Toc527965818"/>
      <w:bookmarkStart w:id="153" w:name="_Toc529147903"/>
      <w:bookmarkStart w:id="154" w:name="_Toc529172088"/>
      <w:bookmarkStart w:id="155" w:name="_Toc40591306"/>
      <w:bookmarkStart w:id="156" w:name="_Toc151800965"/>
      <w:bookmarkStart w:id="157" w:name="_Toc336955503"/>
      <w:r>
        <w:rPr>
          <w:rStyle w:val="CharSectno"/>
        </w:rPr>
        <w:t>11</w:t>
      </w:r>
      <w:r>
        <w:rPr>
          <w:snapToGrid w:val="0"/>
        </w:rPr>
        <w:t>.</w:t>
      </w:r>
      <w:r>
        <w:rPr>
          <w:snapToGrid w:val="0"/>
        </w:rPr>
        <w:tab/>
      </w:r>
      <w:bookmarkEnd w:id="149"/>
      <w:bookmarkEnd w:id="150"/>
      <w:bookmarkEnd w:id="151"/>
      <w:bookmarkEnd w:id="152"/>
      <w:bookmarkEnd w:id="153"/>
      <w:bookmarkEnd w:id="154"/>
      <w:r>
        <w:rPr>
          <w:snapToGrid w:val="0"/>
        </w:rPr>
        <w:t>Limitation on notification of informant</w:t>
      </w:r>
      <w:bookmarkEnd w:id="155"/>
      <w:bookmarkEnd w:id="156"/>
      <w:bookmarkEnd w:id="157"/>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deleted]</w:t>
      </w:r>
    </w:p>
    <w:p>
      <w:pPr>
        <w:pStyle w:val="Subsection"/>
        <w:keepLines/>
      </w:pPr>
      <w:bookmarkStart w:id="158" w:name="_Toc479143652"/>
      <w:bookmarkStart w:id="159" w:name="_Toc520621809"/>
      <w:bookmarkStart w:id="160" w:name="_Toc524224615"/>
      <w:bookmarkStart w:id="161" w:name="_Toc527965816"/>
      <w:bookmarkStart w:id="162" w:name="_Toc529147904"/>
      <w:bookmarkStart w:id="163" w:name="_Toc529172089"/>
      <w:bookmarkStart w:id="164"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165" w:name="_Toc151800966"/>
      <w:bookmarkStart w:id="166" w:name="_Toc336955504"/>
      <w:r>
        <w:rPr>
          <w:rStyle w:val="CharSectno"/>
        </w:rPr>
        <w:t>12</w:t>
      </w:r>
      <w:r>
        <w:t>.</w:t>
      </w:r>
      <w:r>
        <w:tab/>
        <w:t xml:space="preserve">Obligations under this Act of certain persons </w:t>
      </w:r>
      <w:bookmarkEnd w:id="158"/>
      <w:bookmarkEnd w:id="159"/>
      <w:bookmarkEnd w:id="160"/>
      <w:bookmarkEnd w:id="161"/>
      <w:r>
        <w:t>limited</w:t>
      </w:r>
      <w:bookmarkEnd w:id="162"/>
      <w:bookmarkEnd w:id="163"/>
      <w:bookmarkEnd w:id="164"/>
      <w:bookmarkEnd w:id="165"/>
      <w:bookmarkEnd w:id="166"/>
    </w:p>
    <w:p>
      <w:pPr>
        <w:pStyle w:val="Subsection"/>
      </w:pPr>
      <w:r>
        <w:tab/>
        <w:t>(1)</w:t>
      </w:r>
      <w:r>
        <w:tab/>
        <w:t xml:space="preserve">The Corruption and Crime Commission and the Parliamentary Commissioner are not required to comply with sections 8(1), </w:t>
      </w:r>
      <w:bookmarkStart w:id="167" w:name="_Hlt3780296"/>
      <w:r>
        <w:t>9</w:t>
      </w:r>
      <w:bookmarkEnd w:id="167"/>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pPr>
      <w:r>
        <w:tab/>
        <w:t>(2)</w:t>
      </w:r>
      <w:r>
        <w:tab/>
        <w:t xml:space="preserve">If a person makes a disclosure of public interest information under this Act to the Parliamentary Commissioner, the </w:t>
      </w:r>
      <w:r>
        <w:rPr>
          <w:i/>
          <w:iCs/>
        </w:rPr>
        <w:t>Parliamentary Commissioner Act 1971</w:t>
      </w:r>
      <w:r>
        <w:t xml:space="preserve"> section 26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“public authority” to be a public authority.</w:t>
      </w:r>
    </w:p>
    <w:p>
      <w:pPr>
        <w:pStyle w:val="Footnotesection"/>
      </w:pPr>
      <w:r>
        <w:tab/>
        <w:t>[Section 12 amended by No. 48 of 2003 s. 62; No. 78 of 2003 s. 74(2); No. 8 of 2009 s. 104(2).]</w:t>
      </w:r>
    </w:p>
    <w:p>
      <w:pPr>
        <w:pStyle w:val="Heading2"/>
      </w:pPr>
      <w:bookmarkStart w:id="168" w:name="_Toc77413703"/>
      <w:bookmarkStart w:id="169" w:name="_Toc151800967"/>
      <w:bookmarkStart w:id="170" w:name="_Toc157490055"/>
      <w:bookmarkStart w:id="171" w:name="_Toc157997758"/>
      <w:bookmarkStart w:id="172" w:name="_Toc157997800"/>
      <w:bookmarkStart w:id="173" w:name="_Toc171070621"/>
      <w:bookmarkStart w:id="174" w:name="_Toc173726308"/>
      <w:bookmarkStart w:id="175" w:name="_Toc173726493"/>
      <w:bookmarkStart w:id="176" w:name="_Toc173732410"/>
      <w:bookmarkStart w:id="177" w:name="_Toc178040948"/>
      <w:bookmarkStart w:id="178" w:name="_Toc178042866"/>
      <w:bookmarkStart w:id="179" w:name="_Toc179178573"/>
      <w:bookmarkStart w:id="180" w:name="_Toc179178687"/>
      <w:bookmarkStart w:id="181" w:name="_Toc181523822"/>
      <w:bookmarkStart w:id="182" w:name="_Toc194980806"/>
      <w:bookmarkStart w:id="183" w:name="_Toc256148879"/>
      <w:bookmarkStart w:id="184" w:name="_Toc274136316"/>
      <w:bookmarkStart w:id="185" w:name="_Toc278968640"/>
      <w:bookmarkStart w:id="186" w:name="_Toc336955505"/>
      <w:r>
        <w:rPr>
          <w:rStyle w:val="CharPartNo"/>
        </w:rPr>
        <w:t>Part 3</w:t>
      </w:r>
      <w:r>
        <w:rPr>
          <w:rStyle w:val="CharDivNo"/>
        </w:rPr>
        <w:t xml:space="preserve"> </w:t>
      </w:r>
      <w:r>
        <w:t>—</w:t>
      </w:r>
      <w:r>
        <w:rPr>
          <w:rStyle w:val="CharDivText"/>
        </w:rPr>
        <w:t xml:space="preserve"> </w:t>
      </w:r>
      <w:r>
        <w:rPr>
          <w:rStyle w:val="CharPartText"/>
        </w:rPr>
        <w:t>Protection</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Toc529147905"/>
      <w:bookmarkStart w:id="188" w:name="_Toc529172090"/>
      <w:bookmarkStart w:id="189" w:name="_Toc40591308"/>
      <w:bookmarkStart w:id="190" w:name="_Toc151800968"/>
      <w:bookmarkStart w:id="191" w:name="_Toc336955506"/>
      <w:r>
        <w:rPr>
          <w:rStyle w:val="CharSectno"/>
        </w:rPr>
        <w:t>13</w:t>
      </w:r>
      <w:r>
        <w:t>.</w:t>
      </w:r>
      <w:r>
        <w:tab/>
        <w:t>Immunity for appropriate disclosure of public interest information</w:t>
      </w:r>
      <w:bookmarkEnd w:id="187"/>
      <w:bookmarkEnd w:id="188"/>
      <w:bookmarkEnd w:id="189"/>
      <w:bookmarkEnd w:id="190"/>
      <w:bookmarkEnd w:id="191"/>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192" w:name="_Toc529147906"/>
      <w:bookmarkStart w:id="193" w:name="_Toc529172091"/>
      <w:bookmarkStart w:id="194" w:name="_Toc40591309"/>
      <w:bookmarkStart w:id="195" w:name="_Toc151800969"/>
      <w:bookmarkStart w:id="196" w:name="_Toc336955507"/>
      <w:r>
        <w:rPr>
          <w:rStyle w:val="CharSectno"/>
        </w:rPr>
        <w:t>14</w:t>
      </w:r>
      <w:r>
        <w:t>.</w:t>
      </w:r>
      <w:r>
        <w:tab/>
        <w:t>Reprisal an offence</w:t>
      </w:r>
      <w:bookmarkEnd w:id="192"/>
      <w:bookmarkEnd w:id="193"/>
      <w:bookmarkEnd w:id="194"/>
      <w:bookmarkEnd w:id="195"/>
      <w:bookmarkEnd w:id="196"/>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197" w:name="_Toc529147907"/>
      <w:bookmarkStart w:id="198" w:name="_Toc529172092"/>
      <w:bookmarkStart w:id="199" w:name="_Toc40591310"/>
      <w:bookmarkStart w:id="200" w:name="_Toc151800970"/>
      <w:bookmarkStart w:id="201" w:name="_Toc336955508"/>
      <w:r>
        <w:rPr>
          <w:rStyle w:val="CharSectno"/>
        </w:rPr>
        <w:t>15</w:t>
      </w:r>
      <w:r>
        <w:t>.</w:t>
      </w:r>
      <w:r>
        <w:tab/>
        <w:t>Remedies for acts of victimisation</w:t>
      </w:r>
      <w:bookmarkEnd w:id="197"/>
      <w:bookmarkEnd w:id="198"/>
      <w:bookmarkEnd w:id="199"/>
      <w:bookmarkEnd w:id="200"/>
      <w:bookmarkEnd w:id="201"/>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202" w:name="_Toc529147908"/>
      <w:bookmarkStart w:id="203" w:name="_Toc529172093"/>
      <w:bookmarkStart w:id="204" w:name="_Toc40591311"/>
      <w:bookmarkStart w:id="205" w:name="_Toc151800971"/>
      <w:bookmarkStart w:id="206" w:name="_Toc336955509"/>
      <w:r>
        <w:rPr>
          <w:rStyle w:val="CharSectno"/>
        </w:rPr>
        <w:t>16</w:t>
      </w:r>
      <w:r>
        <w:t>.</w:t>
      </w:r>
      <w:r>
        <w:tab/>
        <w:t>Confidentiality</w:t>
      </w:r>
      <w:bookmarkEnd w:id="202"/>
      <w:bookmarkEnd w:id="203"/>
      <w:bookmarkEnd w:id="204"/>
      <w:bookmarkEnd w:id="205"/>
      <w:bookmarkEnd w:id="206"/>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 or</w:t>
      </w:r>
    </w:p>
    <w:p>
      <w:pPr>
        <w:pStyle w:val="Indenta"/>
        <w:spacing w:before="100"/>
        <w:rPr>
          <w:snapToGrid w:val="0"/>
        </w:rPr>
      </w:pPr>
      <w:r>
        <w:rPr>
          <w:snapToGrid w:val="0"/>
        </w:rPr>
        <w:tab/>
        <w:t>(b)</w:t>
      </w:r>
      <w:r>
        <w:rPr>
          <w:snapToGrid w:val="0"/>
        </w:rPr>
        <w:tab/>
        <w:t>it is necessary to do so having regard to the rules of natural justice; or</w:t>
      </w:r>
    </w:p>
    <w:p>
      <w:pPr>
        <w:pStyle w:val="Indenta"/>
        <w:spacing w:before="100"/>
        <w:rPr>
          <w:snapToGrid w:val="0"/>
        </w:rPr>
      </w:pPr>
      <w:r>
        <w:rPr>
          <w:snapToGrid w:val="0"/>
        </w:rPr>
        <w:tab/>
        <w:t>(c)</w:t>
      </w:r>
      <w:r>
        <w:rPr>
          <w:snapToGrid w:val="0"/>
        </w:rPr>
        <w:tab/>
        <w:t>it is necessary to do so to enable the matter to be investigated effectively; or</w:t>
      </w:r>
    </w:p>
    <w:p>
      <w:pPr>
        <w:pStyle w:val="Ednotepara"/>
        <w:tabs>
          <w:tab w:val="left" w:pos="2280"/>
          <w:tab w:val="left" w:pos="3000"/>
        </w:tabs>
        <w:spacing w:before="100"/>
      </w:pPr>
      <w:r>
        <w:tab/>
        <w:t>[(d), (e)</w:t>
      </w:r>
      <w:r>
        <w:tab/>
        <w:t>deleted]</w:t>
      </w:r>
    </w:p>
    <w:p>
      <w:pPr>
        <w:pStyle w:val="Indenta"/>
        <w:spacing w:before="100"/>
      </w:pPr>
      <w:r>
        <w:tab/>
        <w:t>(f)</w:t>
      </w:r>
      <w:r>
        <w:tab/>
        <w:t xml:space="preserve">the </w:t>
      </w:r>
      <w:r>
        <w:rPr>
          <w:snapToGrid w:val="0"/>
        </w:rPr>
        <w:t>identifying</w:t>
      </w:r>
      <w:r>
        <w:t xml:space="preserve"> disclosure is made in accordance with section 152 or 153 of the </w:t>
      </w:r>
      <w:r>
        <w:rPr>
          <w:i/>
        </w:rPr>
        <w:t xml:space="preserve">Corruption and Crime Commission </w:t>
      </w:r>
      <w:r>
        <w:rPr>
          <w:i/>
          <w:iCs/>
        </w:rPr>
        <w:t>Act 2003</w:t>
      </w:r>
      <w:r>
        <w:t>.</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rPr>
          <w:snapToGrid w:val="0"/>
        </w:rPr>
      </w:pPr>
      <w:r>
        <w:tab/>
        <w:t>(b)</w:t>
      </w:r>
      <w:r>
        <w:tab/>
      </w:r>
      <w:r>
        <w:rPr>
          <w:snapToGrid w:val="0"/>
        </w:rPr>
        <w:t>it is necessary to do so to enable the matter to be investigated effectively;</w:t>
      </w:r>
    </w:p>
    <w:p>
      <w:pPr>
        <w:pStyle w:val="Indenta"/>
      </w:pPr>
      <w:r>
        <w:rPr>
          <w:snapToGrid w:val="0"/>
        </w:rPr>
        <w:tab/>
        <w:t>(c)</w:t>
      </w:r>
      <w:r>
        <w:rPr>
          <w:snapToGrid w:val="0"/>
        </w:rPr>
        <w:tab/>
      </w:r>
      <w:r>
        <w:t>it is necessary to do so in the course of taking action under section 9(1)(a) to (c);</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Ednotepara"/>
        <w:spacing w:before="80"/>
      </w:pPr>
      <w:r>
        <w:tab/>
        <w:t>[(e), (f)</w:t>
      </w:r>
      <w:r>
        <w:tab/>
        <w:t>deleted]</w:t>
      </w:r>
    </w:p>
    <w:p>
      <w:pPr>
        <w:pStyle w:val="Indenta"/>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ind w:left="890" w:hanging="890"/>
      </w:pPr>
      <w:bookmarkStart w:id="207" w:name="_Toc529147910"/>
      <w:bookmarkStart w:id="208" w:name="_Toc529172095"/>
      <w:bookmarkStart w:id="209" w:name="_Toc40591312"/>
      <w:r>
        <w:tab/>
        <w:t>[Section 16 amended by No. 48 of 2003 s. 62 (as amended by No. 78 of 2003 s. 35(13)); No. 78 of 2003 s. 74(2); No. 8 of 2009 s. 104(3).]</w:t>
      </w:r>
    </w:p>
    <w:p>
      <w:pPr>
        <w:pStyle w:val="Heading5"/>
      </w:pPr>
      <w:bookmarkStart w:id="210" w:name="_Toc151800972"/>
      <w:bookmarkStart w:id="211" w:name="_Toc336955510"/>
      <w:r>
        <w:rPr>
          <w:rStyle w:val="CharSectno"/>
        </w:rPr>
        <w:t>17</w:t>
      </w:r>
      <w:r>
        <w:t>.</w:t>
      </w:r>
      <w:r>
        <w:tab/>
        <w:t>Loss of protection of the Act</w:t>
      </w:r>
      <w:bookmarkEnd w:id="207"/>
      <w:bookmarkEnd w:id="208"/>
      <w:bookmarkEnd w:id="209"/>
      <w:bookmarkEnd w:id="210"/>
      <w:bookmarkEnd w:id="211"/>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Heading2"/>
      </w:pPr>
      <w:bookmarkStart w:id="212" w:name="_Toc278968646"/>
      <w:bookmarkStart w:id="213" w:name="_Toc336955511"/>
      <w:bookmarkStart w:id="214" w:name="_Toc40591313"/>
      <w:bookmarkStart w:id="215" w:name="_Toc151800974"/>
      <w:r>
        <w:rPr>
          <w:rStyle w:val="CharPartNo"/>
        </w:rPr>
        <w:t>Part 4</w:t>
      </w:r>
      <w:r>
        <w:rPr>
          <w:rStyle w:val="CharDivNo"/>
        </w:rPr>
        <w:t> </w:t>
      </w:r>
      <w:r>
        <w:t>—</w:t>
      </w:r>
      <w:r>
        <w:rPr>
          <w:rStyle w:val="CharDivText"/>
        </w:rPr>
        <w:t> </w:t>
      </w:r>
      <w:r>
        <w:rPr>
          <w:rStyle w:val="CharPartText"/>
        </w:rPr>
        <w:t>Role of Public Sector Commissioner</w:t>
      </w:r>
      <w:bookmarkEnd w:id="212"/>
      <w:bookmarkEnd w:id="213"/>
    </w:p>
    <w:p>
      <w:pPr>
        <w:pStyle w:val="Footnoteheading"/>
      </w:pPr>
      <w:r>
        <w:tab/>
        <w:t>[Heading inserted by No. 39 of 2010 s. 82(3).]</w:t>
      </w:r>
    </w:p>
    <w:p>
      <w:pPr>
        <w:pStyle w:val="Heading5"/>
      </w:pPr>
      <w:bookmarkStart w:id="216" w:name="_Toc336955512"/>
      <w:r>
        <w:rPr>
          <w:rStyle w:val="CharSectno"/>
        </w:rPr>
        <w:t>18</w:t>
      </w:r>
      <w:r>
        <w:t>.</w:t>
      </w:r>
      <w:r>
        <w:tab/>
      </w:r>
      <w:bookmarkEnd w:id="214"/>
      <w:bookmarkEnd w:id="215"/>
      <w:r>
        <w:t>Term used in this Part</w:t>
      </w:r>
      <w:bookmarkEnd w:id="216"/>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217" w:name="_Toc520358846"/>
      <w:bookmarkStart w:id="218" w:name="_Toc520621785"/>
      <w:bookmarkStart w:id="219" w:name="_Toc520707986"/>
      <w:bookmarkStart w:id="220" w:name="_Toc520764662"/>
      <w:bookmarkStart w:id="221" w:name="_Toc520854289"/>
      <w:bookmarkStart w:id="222" w:name="_Toc520854362"/>
      <w:bookmarkStart w:id="223" w:name="_Toc524224625"/>
      <w:bookmarkStart w:id="224" w:name="_Toc529147912"/>
      <w:bookmarkStart w:id="225" w:name="_Toc529172097"/>
      <w:bookmarkStart w:id="226" w:name="_Toc40591314"/>
      <w:bookmarkStart w:id="227" w:name="_Toc151800975"/>
      <w:bookmarkStart w:id="228" w:name="_Toc336955513"/>
      <w:r>
        <w:rPr>
          <w:rStyle w:val="CharSectno"/>
        </w:rPr>
        <w:t>19</w:t>
      </w:r>
      <w:r>
        <w:t>.</w:t>
      </w:r>
      <w:r>
        <w:tab/>
        <w:t>Promoting</w:t>
      </w:r>
      <w:bookmarkEnd w:id="217"/>
      <w:bookmarkEnd w:id="218"/>
      <w:bookmarkEnd w:id="219"/>
      <w:bookmarkEnd w:id="220"/>
      <w:bookmarkEnd w:id="221"/>
      <w:bookmarkEnd w:id="222"/>
      <w:bookmarkEnd w:id="223"/>
      <w:bookmarkEnd w:id="224"/>
      <w:bookmarkEnd w:id="225"/>
      <w:r>
        <w:t xml:space="preserve"> compliance with this Act</w:t>
      </w:r>
      <w:bookmarkEnd w:id="226"/>
      <w:bookmarkEnd w:id="227"/>
      <w:bookmarkEnd w:id="228"/>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229" w:name="_Hlt525637278"/>
      <w:r>
        <w:t>20</w:t>
      </w:r>
      <w:bookmarkEnd w:id="229"/>
      <w:r>
        <w:t>.</w:t>
      </w:r>
    </w:p>
    <w:p>
      <w:pPr>
        <w:pStyle w:val="Subsection"/>
      </w:pPr>
      <w:r>
        <w:tab/>
        <w:t>(2)</w:t>
      </w:r>
      <w:r>
        <w:tab/>
        <w:t>The Commissioner is to assist public authorities and public officers to comply with this Act and the code established under section 20.</w:t>
      </w:r>
    </w:p>
    <w:p>
      <w:pPr>
        <w:pStyle w:val="Heading5"/>
      </w:pPr>
      <w:bookmarkStart w:id="230" w:name="_Hlt525637282"/>
      <w:bookmarkStart w:id="231" w:name="_Toc520358847"/>
      <w:bookmarkStart w:id="232" w:name="_Toc520621786"/>
      <w:bookmarkStart w:id="233" w:name="_Toc520707987"/>
      <w:bookmarkStart w:id="234" w:name="_Toc520764663"/>
      <w:bookmarkStart w:id="235" w:name="_Toc520854290"/>
      <w:bookmarkStart w:id="236" w:name="_Toc520854363"/>
      <w:bookmarkStart w:id="237" w:name="_Toc524224626"/>
      <w:bookmarkStart w:id="238" w:name="_Toc529147913"/>
      <w:bookmarkStart w:id="239" w:name="_Toc529172098"/>
      <w:bookmarkStart w:id="240" w:name="_Toc40591315"/>
      <w:bookmarkStart w:id="241" w:name="_Toc151800976"/>
      <w:bookmarkStart w:id="242" w:name="_Toc336955514"/>
      <w:bookmarkEnd w:id="230"/>
      <w:r>
        <w:rPr>
          <w:rStyle w:val="CharSectno"/>
        </w:rPr>
        <w:t>20</w:t>
      </w:r>
      <w:r>
        <w:t>.</w:t>
      </w:r>
      <w:r>
        <w:tab/>
        <w:t>Code</w:t>
      </w:r>
      <w:bookmarkEnd w:id="231"/>
      <w:bookmarkEnd w:id="232"/>
      <w:bookmarkEnd w:id="233"/>
      <w:bookmarkEnd w:id="234"/>
      <w:bookmarkEnd w:id="235"/>
      <w:bookmarkEnd w:id="236"/>
      <w:bookmarkEnd w:id="237"/>
      <w:bookmarkEnd w:id="238"/>
      <w:bookmarkEnd w:id="239"/>
      <w:bookmarkEnd w:id="240"/>
      <w:bookmarkEnd w:id="241"/>
      <w:bookmarkEnd w:id="242"/>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243" w:name="_Toc524224627"/>
      <w:bookmarkStart w:id="244" w:name="_Toc529147914"/>
      <w:bookmarkStart w:id="245" w:name="_Toc529172099"/>
      <w:bookmarkStart w:id="246" w:name="_Toc40591316"/>
      <w:bookmarkStart w:id="247" w:name="_Toc151800977"/>
      <w:bookmarkStart w:id="248" w:name="_Toc336955515"/>
      <w:r>
        <w:rPr>
          <w:rStyle w:val="CharSectno"/>
        </w:rPr>
        <w:t>21</w:t>
      </w:r>
      <w:r>
        <w:t>.</w:t>
      </w:r>
      <w:r>
        <w:tab/>
        <w:t>Guidelines</w:t>
      </w:r>
      <w:bookmarkEnd w:id="243"/>
      <w:bookmarkEnd w:id="244"/>
      <w:bookmarkEnd w:id="245"/>
      <w:bookmarkEnd w:id="246"/>
      <w:bookmarkEnd w:id="247"/>
      <w:bookmarkEnd w:id="248"/>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249" w:name="_Toc520358848"/>
      <w:bookmarkStart w:id="250" w:name="_Toc520621787"/>
      <w:bookmarkStart w:id="251" w:name="_Toc520707988"/>
      <w:bookmarkStart w:id="252" w:name="_Toc520764664"/>
      <w:bookmarkStart w:id="253" w:name="_Toc520854291"/>
      <w:bookmarkStart w:id="254" w:name="_Toc520854364"/>
      <w:bookmarkStart w:id="255" w:name="_Toc524224628"/>
      <w:bookmarkStart w:id="256" w:name="_Toc529147915"/>
      <w:bookmarkStart w:id="257" w:name="_Toc529172100"/>
      <w:bookmarkStart w:id="258" w:name="_Toc40591317"/>
      <w:bookmarkStart w:id="259" w:name="_Toc151800978"/>
      <w:bookmarkStart w:id="260" w:name="_Toc336955516"/>
      <w:r>
        <w:rPr>
          <w:rStyle w:val="CharSectno"/>
        </w:rPr>
        <w:t>22</w:t>
      </w:r>
      <w:r>
        <w:t>.</w:t>
      </w:r>
      <w:r>
        <w:tab/>
        <w:t>Annual report and other reports to Parliament</w:t>
      </w:r>
      <w:bookmarkEnd w:id="249"/>
      <w:bookmarkEnd w:id="250"/>
      <w:bookmarkEnd w:id="251"/>
      <w:bookmarkEnd w:id="252"/>
      <w:bookmarkEnd w:id="253"/>
      <w:bookmarkEnd w:id="254"/>
      <w:bookmarkEnd w:id="255"/>
      <w:bookmarkEnd w:id="256"/>
      <w:bookmarkEnd w:id="257"/>
      <w:bookmarkEnd w:id="258"/>
      <w:bookmarkEnd w:id="259"/>
      <w:bookmarkEnd w:id="260"/>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261" w:name="_Toc77413715"/>
      <w:bookmarkStart w:id="262" w:name="_Toc151800979"/>
      <w:bookmarkStart w:id="263" w:name="_Toc157490067"/>
      <w:bookmarkStart w:id="264" w:name="_Toc157997770"/>
      <w:bookmarkStart w:id="265" w:name="_Toc157997812"/>
      <w:bookmarkStart w:id="266" w:name="_Toc171070633"/>
      <w:bookmarkStart w:id="267" w:name="_Toc173726320"/>
      <w:bookmarkStart w:id="268" w:name="_Toc173726505"/>
      <w:bookmarkStart w:id="269" w:name="_Toc173732422"/>
      <w:bookmarkStart w:id="270" w:name="_Toc178040960"/>
      <w:bookmarkStart w:id="271" w:name="_Toc178042878"/>
      <w:bookmarkStart w:id="272" w:name="_Toc179178585"/>
      <w:bookmarkStart w:id="273" w:name="_Toc179178699"/>
      <w:bookmarkStart w:id="274" w:name="_Toc181523834"/>
      <w:bookmarkStart w:id="275" w:name="_Toc194980818"/>
      <w:bookmarkStart w:id="276" w:name="_Toc256148891"/>
      <w:bookmarkStart w:id="277" w:name="_Toc274136328"/>
      <w:bookmarkStart w:id="278" w:name="_Toc278968652"/>
      <w:bookmarkStart w:id="279" w:name="_Toc336955517"/>
      <w:r>
        <w:rPr>
          <w:rStyle w:val="CharPartNo"/>
        </w:rPr>
        <w:t>Part 5</w:t>
      </w:r>
      <w:r>
        <w:rPr>
          <w:rStyle w:val="CharDivNo"/>
        </w:rPr>
        <w:t xml:space="preserve"> </w:t>
      </w:r>
      <w:r>
        <w:t>—</w:t>
      </w:r>
      <w:r>
        <w:rPr>
          <w:rStyle w:val="CharDivText"/>
        </w:rPr>
        <w:t xml:space="preserve"> </w:t>
      </w:r>
      <w:r>
        <w:rPr>
          <w:rStyle w:val="CharPartText"/>
        </w:rPr>
        <w:t>Miscellaneous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Toc529147916"/>
      <w:bookmarkStart w:id="281" w:name="_Toc529172101"/>
      <w:bookmarkStart w:id="282" w:name="_Toc40591318"/>
      <w:bookmarkStart w:id="283" w:name="_Toc151800980"/>
      <w:bookmarkStart w:id="284" w:name="_Toc336955518"/>
      <w:r>
        <w:rPr>
          <w:rStyle w:val="CharSectno"/>
        </w:rPr>
        <w:t>23</w:t>
      </w:r>
      <w:r>
        <w:t>.</w:t>
      </w:r>
      <w:r>
        <w:tab/>
        <w:t>Obligations of principal executive officers of public authorities</w:t>
      </w:r>
      <w:bookmarkEnd w:id="280"/>
      <w:bookmarkEnd w:id="281"/>
      <w:bookmarkEnd w:id="282"/>
      <w:bookmarkEnd w:id="283"/>
      <w:bookmarkEnd w:id="284"/>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285" w:name="_Toc520358849"/>
      <w:bookmarkStart w:id="286" w:name="_Toc520621788"/>
      <w:bookmarkStart w:id="287" w:name="_Toc520707989"/>
      <w:bookmarkStart w:id="288" w:name="_Toc520764665"/>
      <w:bookmarkStart w:id="289" w:name="_Toc520854292"/>
      <w:bookmarkStart w:id="290" w:name="_Toc520854365"/>
      <w:bookmarkStart w:id="291" w:name="_Toc524224629"/>
      <w:bookmarkStart w:id="292" w:name="_Toc529147918"/>
      <w:bookmarkStart w:id="293" w:name="_Toc529172103"/>
      <w:bookmarkStart w:id="294" w:name="_Toc40591319"/>
      <w:bookmarkStart w:id="295" w:name="_Toc151800981"/>
      <w:bookmarkStart w:id="296" w:name="_Toc336955519"/>
      <w:r>
        <w:rPr>
          <w:rStyle w:val="CharSectno"/>
        </w:rPr>
        <w:t>24</w:t>
      </w:r>
      <w:r>
        <w:t>.</w:t>
      </w:r>
      <w:r>
        <w:tab/>
        <w:t>Offence to make false or misleading disclosure</w:t>
      </w:r>
      <w:bookmarkEnd w:id="285"/>
      <w:bookmarkEnd w:id="286"/>
      <w:bookmarkEnd w:id="287"/>
      <w:bookmarkEnd w:id="288"/>
      <w:bookmarkEnd w:id="289"/>
      <w:bookmarkEnd w:id="290"/>
      <w:bookmarkEnd w:id="291"/>
      <w:bookmarkEnd w:id="292"/>
      <w:bookmarkEnd w:id="293"/>
      <w:bookmarkEnd w:id="294"/>
      <w:bookmarkEnd w:id="295"/>
      <w:bookmarkEnd w:id="296"/>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297" w:name="_Toc479143660"/>
      <w:bookmarkStart w:id="298" w:name="_Toc520621817"/>
      <w:bookmarkStart w:id="299" w:name="_Toc524224632"/>
      <w:bookmarkStart w:id="300" w:name="_Toc529147919"/>
      <w:bookmarkStart w:id="301" w:name="_Toc529172104"/>
      <w:bookmarkStart w:id="302" w:name="_Toc40591320"/>
      <w:r>
        <w:tab/>
        <w:t>[Section 24 amended by No. 48 of 2003 s. 62.]</w:t>
      </w:r>
    </w:p>
    <w:p>
      <w:pPr>
        <w:pStyle w:val="Heading5"/>
        <w:rPr>
          <w:snapToGrid w:val="0"/>
        </w:rPr>
      </w:pPr>
      <w:bookmarkStart w:id="303" w:name="_Toc151800982"/>
      <w:bookmarkStart w:id="304" w:name="_Toc336955520"/>
      <w:r>
        <w:rPr>
          <w:rStyle w:val="CharSectno"/>
        </w:rPr>
        <w:t>25</w:t>
      </w:r>
      <w:r>
        <w:rPr>
          <w:snapToGrid w:val="0"/>
        </w:rPr>
        <w:t>.</w:t>
      </w:r>
      <w:r>
        <w:rPr>
          <w:snapToGrid w:val="0"/>
        </w:rPr>
        <w:tab/>
        <w:t>Other laws not excluded</w:t>
      </w:r>
      <w:bookmarkEnd w:id="297"/>
      <w:bookmarkEnd w:id="298"/>
      <w:bookmarkEnd w:id="299"/>
      <w:bookmarkEnd w:id="300"/>
      <w:bookmarkEnd w:id="301"/>
      <w:bookmarkEnd w:id="302"/>
      <w:bookmarkEnd w:id="303"/>
      <w:bookmarkEnd w:id="304"/>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305" w:name="_Toc520358852"/>
      <w:bookmarkStart w:id="306" w:name="_Toc520621791"/>
      <w:bookmarkStart w:id="307" w:name="_Toc520707992"/>
      <w:bookmarkStart w:id="308" w:name="_Toc520764668"/>
      <w:bookmarkStart w:id="309" w:name="_Toc520854295"/>
      <w:bookmarkStart w:id="310" w:name="_Toc520854368"/>
      <w:bookmarkStart w:id="311" w:name="_Toc524224633"/>
      <w:bookmarkStart w:id="312" w:name="_Toc529147920"/>
      <w:bookmarkStart w:id="313" w:name="_Toc529172105"/>
      <w:bookmarkStart w:id="314" w:name="_Toc40591321"/>
      <w:bookmarkStart w:id="315" w:name="_Toc151800983"/>
      <w:bookmarkStart w:id="316" w:name="_Toc336955521"/>
      <w:r>
        <w:rPr>
          <w:rStyle w:val="CharSectno"/>
        </w:rPr>
        <w:t>26</w:t>
      </w:r>
      <w:r>
        <w:t>.</w:t>
      </w:r>
      <w:r>
        <w:tab/>
        <w:t>Regulations</w:t>
      </w:r>
      <w:bookmarkEnd w:id="305"/>
      <w:bookmarkEnd w:id="306"/>
      <w:bookmarkEnd w:id="307"/>
      <w:bookmarkEnd w:id="308"/>
      <w:bookmarkEnd w:id="309"/>
      <w:bookmarkEnd w:id="310"/>
      <w:bookmarkEnd w:id="311"/>
      <w:bookmarkEnd w:id="312"/>
      <w:bookmarkEnd w:id="313"/>
      <w:bookmarkEnd w:id="314"/>
      <w:bookmarkEnd w:id="315"/>
      <w:bookmarkEnd w:id="31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17" w:name="_Hlt529681358"/>
      <w:bookmarkStart w:id="318" w:name="_Toc40591322"/>
      <w:bookmarkStart w:id="319" w:name="_Toc151800984"/>
      <w:bookmarkStart w:id="320" w:name="_Toc336955522"/>
      <w:bookmarkEnd w:id="317"/>
      <w:r>
        <w:rPr>
          <w:rStyle w:val="CharSectno"/>
        </w:rPr>
        <w:t>27</w:t>
      </w:r>
      <w:r>
        <w:t>.</w:t>
      </w:r>
      <w:r>
        <w:tab/>
        <w:t>Review of this Act</w:t>
      </w:r>
      <w:bookmarkEnd w:id="318"/>
      <w:bookmarkEnd w:id="319"/>
      <w:bookmarkEnd w:id="320"/>
    </w:p>
    <w:p>
      <w:pPr>
        <w:pStyle w:val="Subsection"/>
      </w:pPr>
      <w:r>
        <w:tab/>
        <w:t>(1)</w:t>
      </w:r>
      <w:r>
        <w:tab/>
        <w:t>The Minister shall carry out a review of the operation of this Act 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bookmarkStart w:id="321" w:name="_Toc529147922"/>
      <w:bookmarkStart w:id="322" w:name="_Toc529172107"/>
      <w:bookmarkStart w:id="323" w:name="_Toc3700329"/>
      <w:bookmarkStart w:id="324" w:name="_Toc3780920"/>
      <w:bookmarkStart w:id="325" w:name="_Toc3783206"/>
      <w:bookmarkStart w:id="326" w:name="_Toc40591324"/>
      <w:r>
        <w:t>[</w:t>
      </w:r>
      <w:r>
        <w:rPr>
          <w:b/>
          <w:bCs/>
        </w:rPr>
        <w:t>28.</w:t>
      </w:r>
      <w:r>
        <w:tab/>
        <w:t>Omitted under the Reprints Act 1984 s. 7(4)(e).]</w:t>
      </w:r>
    </w:p>
    <w:p>
      <w:pPr>
        <w:pStyle w:val="yEdnoteschedule"/>
      </w:pPr>
      <w:r>
        <w:t>[Schedule 1 omitted under the Reprints Act 1984 s. 7(4)(e).]</w:t>
      </w:r>
      <w:bookmarkEnd w:id="321"/>
      <w:bookmarkEnd w:id="322"/>
      <w:bookmarkEnd w:id="323"/>
      <w:bookmarkEnd w:id="324"/>
      <w:bookmarkEnd w:id="325"/>
      <w:bookmarkEnd w:id="326"/>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09" w:footer="3380" w:gutter="0"/>
          <w:pgNumType w:start="1"/>
          <w:cols w:space="720"/>
          <w:noEndnote/>
          <w:titlePg/>
          <w:docGrid w:linePitch="326"/>
        </w:sectPr>
      </w:pPr>
    </w:p>
    <w:p>
      <w:pPr>
        <w:pStyle w:val="nHeading2"/>
      </w:pPr>
      <w:bookmarkStart w:id="327" w:name="_Toc77413726"/>
      <w:bookmarkStart w:id="328" w:name="_Toc151800990"/>
      <w:bookmarkStart w:id="329" w:name="_Toc157490078"/>
      <w:bookmarkStart w:id="330" w:name="_Toc157997781"/>
      <w:bookmarkStart w:id="331" w:name="_Toc157997823"/>
      <w:bookmarkStart w:id="332" w:name="_Toc171070644"/>
      <w:bookmarkStart w:id="333" w:name="_Toc173726331"/>
      <w:bookmarkStart w:id="334" w:name="_Toc173726516"/>
      <w:bookmarkStart w:id="335" w:name="_Toc173732433"/>
      <w:bookmarkStart w:id="336" w:name="_Toc178040966"/>
      <w:bookmarkStart w:id="337" w:name="_Toc178042884"/>
      <w:bookmarkStart w:id="338" w:name="_Toc179178591"/>
      <w:bookmarkStart w:id="339" w:name="_Toc179178705"/>
      <w:bookmarkStart w:id="340" w:name="_Toc181523840"/>
      <w:bookmarkStart w:id="341" w:name="_Toc194980824"/>
      <w:bookmarkStart w:id="342" w:name="_Toc256148897"/>
      <w:bookmarkStart w:id="343" w:name="_Toc274136334"/>
      <w:bookmarkStart w:id="344" w:name="_Toc278968658"/>
      <w:bookmarkStart w:id="345" w:name="_Toc336955523"/>
      <w:r>
        <w:t>Notes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46" w:name="_Toc336955524"/>
      <w:r>
        <w:rPr>
          <w:snapToGrid w:val="0"/>
        </w:rPr>
        <w:t>Compilation table</w:t>
      </w:r>
      <w:bookmarkEnd w:id="346"/>
    </w:p>
    <w:tbl>
      <w:tblPr>
        <w:tblW w:w="0" w:type="auto"/>
        <w:tblInd w:w="56" w:type="dxa"/>
        <w:tblLayout w:type="fixed"/>
        <w:tblCellMar>
          <w:left w:w="56" w:type="dxa"/>
          <w:right w:w="56" w:type="dxa"/>
        </w:tblCellMar>
        <w:tblLook w:val="0000" w:firstRow="0" w:lastRow="0" w:firstColumn="0" w:lastColumn="0" w:noHBand="0" w:noVBand="0"/>
      </w:tblPr>
      <w:tblGrid>
        <w:gridCol w:w="2268"/>
        <w:gridCol w:w="29"/>
        <w:gridCol w:w="1105"/>
        <w:gridCol w:w="29"/>
        <w:gridCol w:w="1105"/>
        <w:gridCol w:w="29"/>
        <w:gridCol w:w="2522"/>
        <w:gridCol w:w="20"/>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1"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gridSpan w:val="2"/>
            <w:tcBorders>
              <w:top w:val="single" w:sz="8" w:space="0" w:color="auto"/>
            </w:tcBorders>
          </w:tcPr>
          <w:p>
            <w:pPr>
              <w:pStyle w:val="nTable"/>
              <w:spacing w:after="40"/>
              <w:rPr>
                <w:sz w:val="19"/>
              </w:rPr>
            </w:pPr>
            <w:r>
              <w:rPr>
                <w:sz w:val="19"/>
              </w:rPr>
              <w:t>29 of 2003</w:t>
            </w:r>
          </w:p>
        </w:tc>
        <w:tc>
          <w:tcPr>
            <w:tcW w:w="1134" w:type="dxa"/>
            <w:gridSpan w:val="2"/>
            <w:tcBorders>
              <w:top w:val="single" w:sz="8" w:space="0" w:color="auto"/>
            </w:tcBorders>
          </w:tcPr>
          <w:p>
            <w:pPr>
              <w:pStyle w:val="nTable"/>
              <w:spacing w:after="40"/>
              <w:rPr>
                <w:sz w:val="19"/>
              </w:rPr>
            </w:pPr>
            <w:r>
              <w:rPr>
                <w:sz w:val="19"/>
              </w:rPr>
              <w:t>22 May 2003</w:t>
            </w:r>
          </w:p>
        </w:tc>
        <w:tc>
          <w:tcPr>
            <w:tcW w:w="2571" w:type="dxa"/>
            <w:gridSpan w:val="3"/>
            <w:tcBorders>
              <w:top w:val="single" w:sz="8" w:space="0" w:color="auto"/>
            </w:tcBorders>
          </w:tcPr>
          <w:p>
            <w:pPr>
              <w:pStyle w:val="nTable"/>
              <w:spacing w:after="40"/>
              <w:rPr>
                <w:sz w:val="19"/>
              </w:rPr>
            </w:pPr>
            <w:r>
              <w:rPr>
                <w:sz w:val="19"/>
              </w:rPr>
              <w:t>s. 1 and 2: 22 May 2003;</w:t>
            </w:r>
            <w:r>
              <w:rPr>
                <w:sz w:val="19"/>
              </w:rPr>
              <w:br/>
              <w:t xml:space="preserve">Act other than s. 1 and 2: 1 Jul 2003 (see s. 2 and </w:t>
            </w:r>
            <w:r>
              <w:rPr>
                <w:i/>
                <w:sz w:val="19"/>
              </w:rPr>
              <w:t>Gazette</w:t>
            </w:r>
            <w:r>
              <w:rPr>
                <w:sz w:val="19"/>
              </w:rPr>
              <w:t xml:space="preserve"> 27 Jun 2003 p. 2383)</w:t>
            </w:r>
          </w:p>
        </w:tc>
      </w:tr>
      <w:tr>
        <w:tc>
          <w:tcPr>
            <w:tcW w:w="2268" w:type="dxa"/>
          </w:tcPr>
          <w:p>
            <w:pPr>
              <w:pStyle w:val="nTable"/>
              <w:spacing w:after="40"/>
              <w:rPr>
                <w:noProof/>
                <w:snapToGrid w:val="0"/>
                <w:sz w:val="19"/>
              </w:rPr>
            </w:pPr>
            <w:r>
              <w:rPr>
                <w:i/>
                <w:noProof/>
                <w:snapToGrid w:val="0"/>
                <w:sz w:val="19"/>
              </w:rPr>
              <w:t>Corruption and Crime Commission Act 2003</w:t>
            </w:r>
            <w:r>
              <w:rPr>
                <w:noProof/>
                <w:snapToGrid w:val="0"/>
                <w:sz w:val="19"/>
              </w:rPr>
              <w:t xml:space="preserve"> s. 62</w:t>
            </w:r>
          </w:p>
        </w:tc>
        <w:tc>
          <w:tcPr>
            <w:tcW w:w="1134" w:type="dxa"/>
            <w:gridSpan w:val="2"/>
          </w:tcPr>
          <w:p>
            <w:pPr>
              <w:pStyle w:val="nTable"/>
              <w:spacing w:after="40"/>
              <w:rPr>
                <w:sz w:val="19"/>
              </w:rPr>
            </w:pPr>
            <w:r>
              <w:rPr>
                <w:sz w:val="19"/>
              </w:rPr>
              <w:t>48 of 2003</w:t>
            </w:r>
            <w:r>
              <w:rPr>
                <w:sz w:val="19"/>
              </w:rPr>
              <w:br/>
              <w:t>(as amended by No. 78 of 2003 s. 35(13))</w:t>
            </w:r>
          </w:p>
        </w:tc>
        <w:tc>
          <w:tcPr>
            <w:tcW w:w="1134" w:type="dxa"/>
            <w:gridSpan w:val="2"/>
          </w:tcPr>
          <w:p>
            <w:pPr>
              <w:pStyle w:val="nTable"/>
              <w:spacing w:after="40"/>
              <w:rPr>
                <w:sz w:val="19"/>
              </w:rPr>
            </w:pPr>
            <w:r>
              <w:rPr>
                <w:sz w:val="19"/>
              </w:rPr>
              <w:t>3 Jul 2003</w:t>
            </w:r>
          </w:p>
        </w:tc>
        <w:tc>
          <w:tcPr>
            <w:tcW w:w="2571"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71" w:type="dxa"/>
            <w:gridSpan w:val="3"/>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71" w:type="dxa"/>
            <w:gridSpan w:val="3"/>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71"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07"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Public Interest Disclosure Act 2003</w:t>
            </w:r>
            <w:r>
              <w:rPr>
                <w:b/>
                <w:bCs/>
                <w:snapToGrid w:val="0"/>
                <w:sz w:val="19"/>
                <w:lang w:val="en-US"/>
              </w:rPr>
              <w:t xml:space="preserve"> as at 12 Oct 2007</w:t>
            </w:r>
            <w:r>
              <w:rPr>
                <w:snapToGrid w:val="0"/>
                <w:sz w:val="19"/>
                <w:lang w:val="en-US"/>
              </w:rPr>
              <w:t xml:space="preserve"> (includes amendments listed above)</w:t>
            </w:r>
          </w:p>
        </w:tc>
      </w:tr>
      <w:tr>
        <w:trPr>
          <w:cantSplit/>
        </w:trPr>
        <w:tc>
          <w:tcPr>
            <w:tcW w:w="2297" w:type="dxa"/>
            <w:gridSpan w:val="2"/>
          </w:tcPr>
          <w:p>
            <w:pPr>
              <w:pStyle w:val="nTable"/>
              <w:spacing w:after="40"/>
              <w:ind w:right="170"/>
              <w:rPr>
                <w:iCs/>
                <w:sz w:val="19"/>
              </w:rPr>
            </w:pPr>
            <w:bookmarkStart w:id="347" w:name="AutoSch"/>
            <w:bookmarkEnd w:id="347"/>
            <w:r>
              <w:rPr>
                <w:i/>
                <w:sz w:val="19"/>
              </w:rPr>
              <w:t xml:space="preserve">Police Amendment Act 2008 </w:t>
            </w:r>
            <w:r>
              <w:rPr>
                <w:iCs/>
                <w:sz w:val="19"/>
              </w:rPr>
              <w:t>s. 18</w:t>
            </w:r>
          </w:p>
        </w:tc>
        <w:tc>
          <w:tcPr>
            <w:tcW w:w="1134" w:type="dxa"/>
            <w:gridSpan w:val="2"/>
          </w:tcPr>
          <w:p>
            <w:pPr>
              <w:pStyle w:val="nTable"/>
              <w:spacing w:after="40"/>
              <w:rPr>
                <w:sz w:val="19"/>
              </w:rPr>
            </w:pPr>
            <w:r>
              <w:rPr>
                <w:sz w:val="19"/>
              </w:rPr>
              <w:t>8 of 2008</w:t>
            </w:r>
          </w:p>
        </w:tc>
        <w:tc>
          <w:tcPr>
            <w:tcW w:w="1134" w:type="dxa"/>
            <w:gridSpan w:val="2"/>
          </w:tcPr>
          <w:p>
            <w:pPr>
              <w:pStyle w:val="nTable"/>
              <w:spacing w:after="40"/>
              <w:rPr>
                <w:sz w:val="19"/>
              </w:rPr>
            </w:pPr>
            <w:r>
              <w:rPr>
                <w:sz w:val="19"/>
              </w:rPr>
              <w:t>31 Mar 2008</w:t>
            </w:r>
          </w:p>
        </w:tc>
        <w:tc>
          <w:tcPr>
            <w:tcW w:w="2542" w:type="dxa"/>
            <w:gridSpan w:val="2"/>
          </w:tcPr>
          <w:p>
            <w:pPr>
              <w:pStyle w:val="nTable"/>
              <w:keepNext/>
              <w:keepLines/>
              <w:spacing w:after="40"/>
              <w:rPr>
                <w:sz w:val="19"/>
              </w:rPr>
            </w:pPr>
            <w:r>
              <w:rPr>
                <w:sz w:val="19"/>
              </w:rPr>
              <w:t>1 Apr 2008 (see s. 2(1))</w:t>
            </w:r>
          </w:p>
        </w:tc>
      </w:tr>
      <w:tr>
        <w:trPr>
          <w:gridAfter w:val="1"/>
          <w:wAfter w:w="20" w:type="dxa"/>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0" w:type="dxa"/>
          <w:cantSplit/>
        </w:trPr>
        <w:tc>
          <w:tcPr>
            <w:tcW w:w="2268" w:type="dxa"/>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22</w:t>
            </w:r>
          </w:p>
        </w:tc>
        <w:tc>
          <w:tcPr>
            <w:tcW w:w="1134" w:type="dxa"/>
            <w:gridSpan w:val="2"/>
          </w:tcPr>
          <w:p>
            <w:pPr>
              <w:pStyle w:val="nTable"/>
              <w:spacing w:after="40"/>
              <w:rPr>
                <w:sz w:val="19"/>
              </w:rPr>
            </w:pPr>
            <w:r>
              <w:rPr>
                <w:snapToGrid w:val="0"/>
                <w:sz w:val="19"/>
                <w:lang w:val="en-US"/>
              </w:rPr>
              <w:t>42 of 2009</w:t>
            </w:r>
          </w:p>
        </w:tc>
        <w:tc>
          <w:tcPr>
            <w:tcW w:w="1134" w:type="dxa"/>
            <w:gridSpan w:val="2"/>
          </w:tcPr>
          <w:p>
            <w:pPr>
              <w:pStyle w:val="nTable"/>
              <w:spacing w:after="40"/>
              <w:rPr>
                <w:sz w:val="19"/>
              </w:rPr>
            </w:pPr>
            <w:r>
              <w:rPr>
                <w:snapToGrid w:val="0"/>
                <w:sz w:val="19"/>
                <w:lang w:val="en-US"/>
              </w:rPr>
              <w:t>3 Dec 2009</w:t>
            </w:r>
          </w:p>
        </w:tc>
        <w:tc>
          <w:tcPr>
            <w:tcW w:w="2551" w:type="dxa"/>
            <w:gridSpan w:val="2"/>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After w:val="1"/>
          <w:wAfter w:w="20" w:type="dxa"/>
          <w:cantSplit/>
        </w:trPr>
        <w:tc>
          <w:tcPr>
            <w:tcW w:w="2268" w:type="dxa"/>
            <w:tcBorders>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82</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39 of 2010</w:t>
            </w:r>
          </w:p>
        </w:tc>
        <w:tc>
          <w:tcPr>
            <w:tcW w:w="1134" w:type="dxa"/>
            <w:gridSpan w:val="2"/>
            <w:tcBorders>
              <w:bottom w:val="single" w:sz="4" w:space="0" w:color="auto"/>
            </w:tcBorders>
          </w:tcPr>
          <w:p>
            <w:pPr>
              <w:pStyle w:val="nTable"/>
              <w:spacing w:after="40"/>
              <w:rPr>
                <w:snapToGrid w:val="0"/>
                <w:sz w:val="19"/>
                <w:lang w:val="en-US"/>
              </w:rPr>
            </w:pPr>
            <w:r>
              <w:rPr>
                <w:sz w:val="19"/>
              </w:rPr>
              <w:t>1 Oct 2010</w:t>
            </w:r>
          </w:p>
        </w:tc>
        <w:tc>
          <w:tcPr>
            <w:tcW w:w="2551" w:type="dxa"/>
            <w:gridSpan w:val="2"/>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8" w:name="_Toc7405065"/>
      <w:bookmarkStart w:id="349" w:name="_Toc336955525"/>
      <w:r>
        <w:t>Provisions that have not come into operation</w:t>
      </w:r>
      <w:bookmarkEnd w:id="348"/>
      <w:bookmarkEnd w:id="349"/>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z w:val="19"/>
              </w:rPr>
              <w:t xml:space="preserve">Evidence and Public Interest Disclosure Legislation Amendment Act 2012 </w:t>
            </w:r>
            <w:r>
              <w:rPr>
                <w:sz w:val="19"/>
              </w:rPr>
              <w:t>Pt. 3</w:t>
            </w:r>
            <w:r>
              <w:rPr>
                <w:sz w:val="19"/>
                <w:vertAlign w:val="superscript"/>
              </w:rPr>
              <w:t> 2</w:t>
            </w:r>
          </w:p>
        </w:tc>
        <w:tc>
          <w:tcPr>
            <w:tcW w:w="1118" w:type="dxa"/>
          </w:tcPr>
          <w:p>
            <w:pPr>
              <w:pStyle w:val="nTable"/>
              <w:spacing w:after="40"/>
              <w:rPr>
                <w:snapToGrid w:val="0"/>
                <w:sz w:val="19"/>
                <w:lang w:val="en-US"/>
              </w:rPr>
            </w:pPr>
            <w:r>
              <w:rPr>
                <w:snapToGrid w:val="0"/>
                <w:sz w:val="19"/>
                <w:lang w:val="en-US"/>
              </w:rPr>
              <w:t>31 of 2012</w:t>
            </w:r>
          </w:p>
        </w:tc>
        <w:tc>
          <w:tcPr>
            <w:tcW w:w="1134" w:type="dxa"/>
          </w:tcPr>
          <w:p>
            <w:pPr>
              <w:pStyle w:val="nTable"/>
              <w:spacing w:after="40"/>
              <w:rPr>
                <w:snapToGrid w:val="0"/>
                <w:sz w:val="19"/>
                <w:lang w:val="en-US"/>
              </w:rPr>
            </w:pPr>
            <w:r>
              <w:rPr>
                <w:sz w:val="19"/>
              </w:rPr>
              <w:t>2 Oct 2012</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Evidence and Public Interest Disclosure Legislation Amendment Act 2012 </w:t>
      </w:r>
      <w:r>
        <w:t>Pt. 3</w:t>
      </w:r>
      <w:r>
        <w:rPr>
          <w:snapToGrid w:val="0"/>
        </w:rPr>
        <w:t xml:space="preserve"> had not come into operation.  It reads as follows:</w:t>
      </w:r>
    </w:p>
    <w:p>
      <w:pPr>
        <w:pStyle w:val="BlankOpen"/>
        <w:rPr>
          <w:snapToGrid w:val="0"/>
        </w:rPr>
      </w:pPr>
    </w:p>
    <w:p>
      <w:pPr>
        <w:pStyle w:val="nzHeading2"/>
      </w:pPr>
      <w:bookmarkStart w:id="350" w:name="_Toc304273545"/>
      <w:bookmarkStart w:id="351" w:name="_Toc304273587"/>
      <w:bookmarkStart w:id="352" w:name="_Toc304275114"/>
      <w:bookmarkStart w:id="353" w:name="_Toc304276534"/>
      <w:bookmarkStart w:id="354" w:name="_Toc304277965"/>
      <w:bookmarkStart w:id="355" w:name="_Toc304278617"/>
      <w:bookmarkStart w:id="356" w:name="_Toc304382217"/>
      <w:bookmarkStart w:id="357" w:name="_Toc306104856"/>
      <w:bookmarkStart w:id="358" w:name="_Toc306108751"/>
      <w:bookmarkStart w:id="359" w:name="_Toc333837397"/>
      <w:bookmarkStart w:id="360" w:name="_Toc334512690"/>
      <w:bookmarkStart w:id="361" w:name="_Toc335911548"/>
      <w:bookmarkStart w:id="362" w:name="_Toc335911590"/>
      <w:r>
        <w:rPr>
          <w:rStyle w:val="CharPartNo"/>
        </w:rPr>
        <w:t>Part 3</w:t>
      </w:r>
      <w:r>
        <w:t> — </w:t>
      </w:r>
      <w:r>
        <w:rPr>
          <w:rStyle w:val="CharPartText"/>
        </w:rPr>
        <w:t xml:space="preserve">Amendments about further protections under the </w:t>
      </w:r>
      <w:r>
        <w:rPr>
          <w:rStyle w:val="CharPartText"/>
          <w:i/>
        </w:rPr>
        <w:t>Public Interest Disclosure Act 2003</w:t>
      </w:r>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nzHeading3"/>
      </w:pPr>
      <w:bookmarkStart w:id="363" w:name="_Toc304273546"/>
      <w:bookmarkStart w:id="364" w:name="_Toc304273588"/>
      <w:bookmarkStart w:id="365" w:name="_Toc304275115"/>
      <w:bookmarkStart w:id="366" w:name="_Toc304276535"/>
      <w:bookmarkStart w:id="367" w:name="_Toc304277966"/>
      <w:bookmarkStart w:id="368" w:name="_Toc304278618"/>
      <w:bookmarkStart w:id="369" w:name="_Toc304382218"/>
      <w:bookmarkStart w:id="370" w:name="_Toc306104857"/>
      <w:bookmarkStart w:id="371" w:name="_Toc306108752"/>
      <w:bookmarkStart w:id="372" w:name="_Toc333837398"/>
      <w:bookmarkStart w:id="373" w:name="_Toc334512691"/>
      <w:bookmarkStart w:id="374" w:name="_Toc335911549"/>
      <w:bookmarkStart w:id="375" w:name="_Toc335911591"/>
      <w:r>
        <w:rPr>
          <w:rStyle w:val="CharDivNo"/>
        </w:rPr>
        <w:t>Division 1</w:t>
      </w:r>
      <w:r>
        <w:t> — </w:t>
      </w:r>
      <w:r>
        <w:rPr>
          <w:rStyle w:val="CharDivText"/>
        </w:rPr>
        <w:t>Preliminary</w:t>
      </w:r>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nzHeading5"/>
        <w:rPr>
          <w:snapToGrid w:val="0"/>
        </w:rPr>
      </w:pPr>
      <w:bookmarkStart w:id="376" w:name="_Toc335911592"/>
      <w:r>
        <w:rPr>
          <w:rStyle w:val="CharSectno"/>
        </w:rPr>
        <w:t>6</w:t>
      </w:r>
      <w:r>
        <w:t>.</w:t>
      </w:r>
      <w:r>
        <w:tab/>
      </w:r>
      <w:r>
        <w:rPr>
          <w:snapToGrid w:val="0"/>
        </w:rPr>
        <w:t>Act amended</w:t>
      </w:r>
      <w:bookmarkEnd w:id="376"/>
    </w:p>
    <w:p>
      <w:pPr>
        <w:pStyle w:val="nzSubsection"/>
      </w:pPr>
      <w:r>
        <w:tab/>
      </w:r>
      <w:r>
        <w:tab/>
        <w:t xml:space="preserve">This Part amends the </w:t>
      </w:r>
      <w:r>
        <w:rPr>
          <w:i/>
        </w:rPr>
        <w:t>Public Interest Disclosure Act 2003</w:t>
      </w:r>
      <w:r>
        <w:t>.</w:t>
      </w:r>
    </w:p>
    <w:p>
      <w:pPr>
        <w:pStyle w:val="nzHeading3"/>
      </w:pPr>
      <w:bookmarkStart w:id="377" w:name="_Toc304273548"/>
      <w:bookmarkStart w:id="378" w:name="_Toc304273590"/>
      <w:bookmarkStart w:id="379" w:name="_Toc304275117"/>
      <w:bookmarkStart w:id="380" w:name="_Toc304276537"/>
      <w:bookmarkStart w:id="381" w:name="_Toc304277968"/>
      <w:bookmarkStart w:id="382" w:name="_Toc304278620"/>
      <w:bookmarkStart w:id="383" w:name="_Toc304382220"/>
      <w:bookmarkStart w:id="384" w:name="_Toc306104859"/>
      <w:bookmarkStart w:id="385" w:name="_Toc306108754"/>
      <w:bookmarkStart w:id="386" w:name="_Toc333837400"/>
      <w:bookmarkStart w:id="387" w:name="_Toc334512693"/>
      <w:bookmarkStart w:id="388" w:name="_Toc335911551"/>
      <w:bookmarkStart w:id="389" w:name="_Toc335911593"/>
      <w:r>
        <w:rPr>
          <w:rStyle w:val="CharDivNo"/>
        </w:rPr>
        <w:t>Division 2</w:t>
      </w:r>
      <w:r>
        <w:t> — </w:t>
      </w:r>
      <w:r>
        <w:rPr>
          <w:rStyle w:val="CharDivText"/>
        </w:rPr>
        <w:t>Amendments about injunctions concerning reprisals</w:t>
      </w:r>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nzHeading5"/>
      </w:pPr>
      <w:bookmarkStart w:id="390" w:name="_Toc335911594"/>
      <w:r>
        <w:rPr>
          <w:rStyle w:val="CharSectno"/>
        </w:rPr>
        <w:t>7</w:t>
      </w:r>
      <w:r>
        <w:t>.</w:t>
      </w:r>
      <w:r>
        <w:tab/>
        <w:t>Section 15A inserted</w:t>
      </w:r>
      <w:bookmarkEnd w:id="390"/>
    </w:p>
    <w:p>
      <w:pPr>
        <w:pStyle w:val="nzSubsection"/>
      </w:pPr>
      <w:r>
        <w:tab/>
      </w:r>
      <w:r>
        <w:tab/>
        <w:t>After section 14 insert:</w:t>
      </w:r>
    </w:p>
    <w:p>
      <w:pPr>
        <w:pStyle w:val="BlankOpen"/>
      </w:pPr>
    </w:p>
    <w:p>
      <w:pPr>
        <w:pStyle w:val="nzHeading5"/>
      </w:pPr>
      <w:bookmarkStart w:id="391" w:name="_Toc335911595"/>
      <w:r>
        <w:t>15A.</w:t>
      </w:r>
      <w:r>
        <w:tab/>
        <w:t>Injunction or order</w:t>
      </w:r>
      <w:bookmarkEnd w:id="391"/>
    </w:p>
    <w:p>
      <w:pPr>
        <w:pStyle w:val="nzSubsection"/>
      </w:pPr>
      <w:r>
        <w:tab/>
        <w:t>(1)</w:t>
      </w:r>
      <w:r>
        <w:tab/>
        <w:t>A person who believes that detrimental action has been taken or may be taken against him or her in reprisal for a disclosure of public interest information under this Act may apply to the Supreme Court for an order or injunction under this section.</w:t>
      </w:r>
    </w:p>
    <w:p>
      <w:pPr>
        <w:pStyle w:val="nzSubsection"/>
      </w:pPr>
      <w:r>
        <w:tab/>
        <w:t>(2)</w:t>
      </w:r>
      <w:r>
        <w:tab/>
        <w:t xml:space="preserve">If the Supreme Court, on an application under subsection (1), is satisfied that a person has taken or intends to take detrimental action against the applicant in reprisal for a disclosure of public interest information under this Act, the Court may — </w:t>
      </w:r>
    </w:p>
    <w:p>
      <w:pPr>
        <w:pStyle w:val="nzIndenta"/>
      </w:pPr>
      <w:r>
        <w:tab/>
        <w:t>(a)</w:t>
      </w:r>
      <w:r>
        <w:tab/>
        <w:t>order the person who took the detrimental action to remedy that action; or</w:t>
      </w:r>
    </w:p>
    <w:p>
      <w:pPr>
        <w:pStyle w:val="nzIndenta"/>
      </w:pPr>
      <w:r>
        <w:tab/>
        <w:t>(b)</w:t>
      </w:r>
      <w:r>
        <w:tab/>
        <w:t>grant an injunction in any terms the Court considers appropriate.</w:t>
      </w:r>
    </w:p>
    <w:p>
      <w:pPr>
        <w:pStyle w:val="nzSubsection"/>
      </w:pPr>
      <w:r>
        <w:tab/>
        <w:t>(3)</w:t>
      </w:r>
      <w:r>
        <w:tab/>
        <w:t xml:space="preserve">The Supreme Court, pending the final determination of an application under subsection (1), may — </w:t>
      </w:r>
    </w:p>
    <w:p>
      <w:pPr>
        <w:pStyle w:val="nzIndenta"/>
      </w:pPr>
      <w:r>
        <w:tab/>
        <w:t>(a)</w:t>
      </w:r>
      <w:r>
        <w:tab/>
        <w:t>make an interim order in the terms of subsection (2)(a); or</w:t>
      </w:r>
    </w:p>
    <w:p>
      <w:pPr>
        <w:pStyle w:val="nzIndenta"/>
      </w:pPr>
      <w:r>
        <w:tab/>
        <w:t>(b)</w:t>
      </w:r>
      <w:r>
        <w:tab/>
        <w:t>grant an interim injunction.</w:t>
      </w:r>
    </w:p>
    <w:p>
      <w:pPr>
        <w:pStyle w:val="BlankClose"/>
      </w:pPr>
    </w:p>
    <w:p>
      <w:pPr>
        <w:pStyle w:val="nzHeading3"/>
      </w:pPr>
      <w:bookmarkStart w:id="392" w:name="_Toc304273551"/>
      <w:bookmarkStart w:id="393" w:name="_Toc304273593"/>
      <w:bookmarkStart w:id="394" w:name="_Toc304275120"/>
      <w:bookmarkStart w:id="395" w:name="_Toc304276540"/>
      <w:bookmarkStart w:id="396" w:name="_Toc304277971"/>
      <w:bookmarkStart w:id="397" w:name="_Toc304278623"/>
      <w:bookmarkStart w:id="398" w:name="_Toc304382223"/>
      <w:bookmarkStart w:id="399" w:name="_Toc306104862"/>
      <w:bookmarkStart w:id="400" w:name="_Toc306108757"/>
      <w:bookmarkStart w:id="401" w:name="_Toc333837403"/>
      <w:bookmarkStart w:id="402" w:name="_Toc334512696"/>
      <w:bookmarkStart w:id="403" w:name="_Toc335911554"/>
      <w:bookmarkStart w:id="404" w:name="_Toc335911596"/>
      <w:r>
        <w:rPr>
          <w:rStyle w:val="CharDivNo"/>
        </w:rPr>
        <w:t>Division 3</w:t>
      </w:r>
      <w:r>
        <w:t> — </w:t>
      </w:r>
      <w:r>
        <w:rPr>
          <w:rStyle w:val="CharDivText"/>
        </w:rPr>
        <w:t>Amendments about relocation</w:t>
      </w:r>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nzHeading5"/>
      </w:pPr>
      <w:bookmarkStart w:id="405" w:name="_Toc335911597"/>
      <w:r>
        <w:rPr>
          <w:rStyle w:val="CharSectno"/>
        </w:rPr>
        <w:t>8</w:t>
      </w:r>
      <w:r>
        <w:t>.</w:t>
      </w:r>
      <w:r>
        <w:tab/>
        <w:t>Section 15B inserted</w:t>
      </w:r>
      <w:bookmarkEnd w:id="405"/>
    </w:p>
    <w:p>
      <w:pPr>
        <w:pStyle w:val="nzSubsection"/>
      </w:pPr>
      <w:r>
        <w:tab/>
      </w:r>
      <w:r>
        <w:tab/>
        <w:t>Before section 15 insert:</w:t>
      </w:r>
    </w:p>
    <w:p>
      <w:pPr>
        <w:pStyle w:val="BlankOpen"/>
      </w:pPr>
    </w:p>
    <w:p>
      <w:pPr>
        <w:pStyle w:val="nzHeading5"/>
      </w:pPr>
      <w:bookmarkStart w:id="406" w:name="_Toc335911598"/>
      <w:r>
        <w:t>15B.</w:t>
      </w:r>
      <w:r>
        <w:tab/>
        <w:t>Relocation of public service employee</w:t>
      </w:r>
      <w:bookmarkEnd w:id="406"/>
    </w:p>
    <w:p>
      <w:pPr>
        <w:pStyle w:val="nzSubsection"/>
      </w:pPr>
      <w:r>
        <w:tab/>
        <w:t>(1)</w:t>
      </w:r>
      <w:r>
        <w:tab/>
        <w:t xml:space="preserve">In this section — </w:t>
      </w:r>
    </w:p>
    <w:p>
      <w:pPr>
        <w:pStyle w:val="nzDefstart"/>
      </w:pPr>
      <w:r>
        <w:tab/>
      </w:r>
      <w:r>
        <w:rPr>
          <w:rStyle w:val="CharDefText"/>
        </w:rPr>
        <w:t>employing authority</w:t>
      </w:r>
      <w:r>
        <w:t xml:space="preserve">, in relation to a public service employee, means that person’s employing authority under the </w:t>
      </w:r>
      <w:r>
        <w:rPr>
          <w:i/>
        </w:rPr>
        <w:t>Public Sector Management Act 1994</w:t>
      </w:r>
      <w:r>
        <w:t xml:space="preserve"> section 5;</w:t>
      </w:r>
    </w:p>
    <w:p>
      <w:pPr>
        <w:pStyle w:val="nzDefstart"/>
      </w:pPr>
      <w:r>
        <w:tab/>
      </w:r>
      <w:r>
        <w:rPr>
          <w:rStyle w:val="CharDefText"/>
        </w:rPr>
        <w:t>public service employee</w:t>
      </w:r>
      <w:r>
        <w:t xml:space="preserve"> means — </w:t>
      </w:r>
    </w:p>
    <w:p>
      <w:pPr>
        <w:pStyle w:val="nzDefpara"/>
      </w:pPr>
      <w:r>
        <w:tab/>
        <w:t>(a)</w:t>
      </w:r>
      <w:r>
        <w:tab/>
        <w:t>a public service officer; or</w:t>
      </w:r>
    </w:p>
    <w:p>
      <w:pPr>
        <w:pStyle w:val="nzDefpara"/>
      </w:pPr>
      <w:r>
        <w:tab/>
        <w:t>(b)</w:t>
      </w:r>
      <w:r>
        <w:tab/>
        <w:t>an employee employed in an organisation;</w:t>
      </w:r>
    </w:p>
    <w:p>
      <w:pPr>
        <w:pStyle w:val="nzDefstart"/>
      </w:pPr>
      <w:r>
        <w:tab/>
      </w:r>
      <w:r>
        <w:rPr>
          <w:rStyle w:val="CharDefText"/>
        </w:rPr>
        <w:t>organisation</w:t>
      </w:r>
      <w:r>
        <w:t xml:space="preserve"> means an organisation as defined in the </w:t>
      </w:r>
      <w:r>
        <w:rPr>
          <w:i/>
        </w:rPr>
        <w:t>Public Sector Management Act 1994</w:t>
      </w:r>
      <w:r>
        <w:t xml:space="preserve"> section 3(1).</w:t>
      </w:r>
    </w:p>
    <w:p>
      <w:pPr>
        <w:pStyle w:val="nzSubsection"/>
      </w:pPr>
      <w:r>
        <w:tab/>
        <w:t>(2)</w:t>
      </w:r>
      <w:r>
        <w:tab/>
        <w:t xml:space="preserve">A public service employee may apply in writing to his or her employing authority for relocation on the grounds that — </w:t>
      </w:r>
    </w:p>
    <w:p>
      <w:pPr>
        <w:pStyle w:val="nzIndenta"/>
      </w:pPr>
      <w:r>
        <w:tab/>
        <w:t>(a)</w:t>
      </w:r>
      <w:r>
        <w:tab/>
        <w:t>detrimental action has been taken or may be taken against the employee in reprisal for a disclosure of public interest information under this Act; and</w:t>
      </w:r>
    </w:p>
    <w:p>
      <w:pPr>
        <w:pStyle w:val="nzIndenta"/>
      </w:pPr>
      <w:r>
        <w:tab/>
        <w:t>(b)</w:t>
      </w:r>
      <w:r>
        <w:tab/>
        <w:t>the only practical means of removing or substantially removing the danger of a reprisal is to relocate the employee.</w:t>
      </w:r>
    </w:p>
    <w:p>
      <w:pPr>
        <w:pStyle w:val="nzSubsection"/>
      </w:pPr>
      <w:r>
        <w:tab/>
        <w:t>(3)</w:t>
      </w:r>
      <w:r>
        <w:tab/>
        <w:t>If the employing authority is satisfied that the grounds are established it must, as far as practicable, make arrangements to relocate the employee away from the employee’s existing work location whether within the employee’s current department or organisation or to another department or organisation.</w:t>
      </w:r>
    </w:p>
    <w:p>
      <w:pPr>
        <w:pStyle w:val="nzSubsection"/>
      </w:pPr>
      <w:r>
        <w:tab/>
        <w:t>(4)</w:t>
      </w:r>
      <w:r>
        <w:tab/>
        <w:t>Subsection (3) does not authorise the relocation of a public service employee unless the employee consents to the specific arrangements proposed by the employing authority.</w:t>
      </w:r>
    </w:p>
    <w:p>
      <w:pPr>
        <w:pStyle w:val="BlankClose"/>
      </w:pPr>
    </w:p>
    <w:p>
      <w:pPr>
        <w:pStyle w:val="nzHeading3"/>
      </w:pPr>
      <w:bookmarkStart w:id="407" w:name="_Toc304273554"/>
      <w:bookmarkStart w:id="408" w:name="_Toc304273596"/>
      <w:bookmarkStart w:id="409" w:name="_Toc304275123"/>
      <w:bookmarkStart w:id="410" w:name="_Toc304276543"/>
      <w:bookmarkStart w:id="411" w:name="_Toc304277974"/>
      <w:bookmarkStart w:id="412" w:name="_Toc304278626"/>
      <w:bookmarkStart w:id="413" w:name="_Toc304382226"/>
      <w:bookmarkStart w:id="414" w:name="_Toc306104865"/>
      <w:bookmarkStart w:id="415" w:name="_Toc306108760"/>
      <w:bookmarkStart w:id="416" w:name="_Toc333837406"/>
      <w:bookmarkStart w:id="417" w:name="_Toc334512699"/>
      <w:bookmarkStart w:id="418" w:name="_Toc335911557"/>
      <w:bookmarkStart w:id="419" w:name="_Toc335911599"/>
      <w:r>
        <w:rPr>
          <w:rStyle w:val="CharDivNo"/>
        </w:rPr>
        <w:t>Division 4</w:t>
      </w:r>
      <w:r>
        <w:t> — </w:t>
      </w:r>
      <w:r>
        <w:rPr>
          <w:rStyle w:val="CharDivText"/>
        </w:rPr>
        <w:t>Amendments about anonymous disclosure</w:t>
      </w:r>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nzHeading5"/>
      </w:pPr>
      <w:bookmarkStart w:id="420" w:name="_Toc335911600"/>
      <w:r>
        <w:rPr>
          <w:rStyle w:val="CharSectno"/>
        </w:rPr>
        <w:t>9</w:t>
      </w:r>
      <w:r>
        <w:t>.</w:t>
      </w:r>
      <w:r>
        <w:tab/>
        <w:t>Section 5 amended</w:t>
      </w:r>
      <w:bookmarkEnd w:id="420"/>
    </w:p>
    <w:p>
      <w:pPr>
        <w:pStyle w:val="nzSubsection"/>
      </w:pPr>
      <w:r>
        <w:tab/>
      </w:r>
      <w:r>
        <w:tab/>
        <w:t>After section 5(5) insert:</w:t>
      </w:r>
    </w:p>
    <w:p>
      <w:pPr>
        <w:pStyle w:val="BlankOpen"/>
      </w:pPr>
    </w:p>
    <w:p>
      <w:pPr>
        <w:pStyle w:val="nzSubsection"/>
      </w:pPr>
      <w:r>
        <w:tab/>
        <w:t>(6A)</w:t>
      </w:r>
      <w:r>
        <w:tab/>
        <w:t>A person may make a disclosure of public interest information anonymously.</w:t>
      </w:r>
    </w:p>
    <w:p>
      <w:pPr>
        <w:pStyle w:val="BlankClose"/>
      </w:pPr>
    </w:p>
    <w:p>
      <w:pPr>
        <w:pStyle w:val="nzHeading5"/>
      </w:pPr>
      <w:bookmarkStart w:id="421" w:name="_Toc335911601"/>
      <w:r>
        <w:rPr>
          <w:rStyle w:val="CharSectno"/>
        </w:rPr>
        <w:t>10</w:t>
      </w:r>
      <w:r>
        <w:t>.</w:t>
      </w:r>
      <w:r>
        <w:tab/>
        <w:t>Section 8 amended</w:t>
      </w:r>
      <w:bookmarkEnd w:id="421"/>
    </w:p>
    <w:p>
      <w:pPr>
        <w:pStyle w:val="nzSubsection"/>
      </w:pPr>
      <w:r>
        <w:tab/>
      </w:r>
      <w:r>
        <w:tab/>
        <w:t>After section 8(3) insert:</w:t>
      </w:r>
    </w:p>
    <w:p>
      <w:pPr>
        <w:pStyle w:val="BlankOpen"/>
      </w:pPr>
    </w:p>
    <w:p>
      <w:pPr>
        <w:pStyle w:val="nzSubsection"/>
      </w:pPr>
      <w:r>
        <w:tab/>
        <w:t>(4)</w:t>
      </w:r>
      <w:r>
        <w:tab/>
        <w:t>Subsection (3) does not apply in respect of a person who made an anonymous disclosure.</w:t>
      </w:r>
    </w:p>
    <w:p>
      <w:pPr>
        <w:pStyle w:val="BlankClose"/>
      </w:pPr>
    </w:p>
    <w:p>
      <w:pPr>
        <w:pStyle w:val="nzHeading5"/>
      </w:pPr>
      <w:bookmarkStart w:id="422" w:name="_Toc335911602"/>
      <w:r>
        <w:rPr>
          <w:rStyle w:val="CharSectno"/>
        </w:rPr>
        <w:t>11</w:t>
      </w:r>
      <w:r>
        <w:t>.</w:t>
      </w:r>
      <w:r>
        <w:tab/>
        <w:t>Section 10 amended</w:t>
      </w:r>
      <w:bookmarkEnd w:id="422"/>
    </w:p>
    <w:p>
      <w:pPr>
        <w:pStyle w:val="nzSubsection"/>
      </w:pPr>
      <w:r>
        <w:tab/>
      </w:r>
      <w:r>
        <w:tab/>
        <w:t>After section 10(4) insert:</w:t>
      </w:r>
    </w:p>
    <w:p>
      <w:pPr>
        <w:pStyle w:val="BlankOpen"/>
      </w:pPr>
    </w:p>
    <w:p>
      <w:pPr>
        <w:pStyle w:val="nzSubsection"/>
      </w:pPr>
      <w:r>
        <w:tab/>
        <w:t>(5)</w:t>
      </w:r>
      <w:r>
        <w:tab/>
        <w:t>Subsections (1), (2), (3) and (4) do not apply in respect of a person who made an anonymous disclosure.</w:t>
      </w:r>
    </w:p>
    <w:p>
      <w:pPr>
        <w:pStyle w:val="BlankClose"/>
        <w:keepLines w:val="0"/>
      </w:pPr>
    </w:p>
    <w:p>
      <w:pPr>
        <w:pStyle w:val="nzHeading5"/>
      </w:pPr>
      <w:bookmarkStart w:id="423" w:name="_Toc335911603"/>
      <w:r>
        <w:rPr>
          <w:rStyle w:val="CharSectno"/>
        </w:rPr>
        <w:t>12</w:t>
      </w:r>
      <w:r>
        <w:t>.</w:t>
      </w:r>
      <w:r>
        <w:tab/>
        <w:t>Section 12 amended</w:t>
      </w:r>
      <w:bookmarkEnd w:id="423"/>
    </w:p>
    <w:p>
      <w:pPr>
        <w:pStyle w:val="nzSubsection"/>
      </w:pPr>
      <w:r>
        <w:tab/>
      </w:r>
      <w:r>
        <w:tab/>
        <w:t>After section 12(4) insert:</w:t>
      </w:r>
    </w:p>
    <w:p>
      <w:pPr>
        <w:pStyle w:val="BlankOpen"/>
      </w:pPr>
    </w:p>
    <w:p>
      <w:pPr>
        <w:pStyle w:val="nzSubsection"/>
      </w:pPr>
      <w:r>
        <w:tab/>
        <w:t>(5A)</w:t>
      </w:r>
      <w:r>
        <w:tab/>
        <w:t>Subsection (4)(b) does not apply in respect of a person who made an anonymous disclosure.</w:t>
      </w:r>
    </w:p>
    <w:p>
      <w:pPr>
        <w:pStyle w:val="BlankClose"/>
      </w:pPr>
    </w:p>
    <w:p>
      <w:pPr>
        <w:pStyle w:val="nzHeading5"/>
      </w:pPr>
      <w:bookmarkStart w:id="424" w:name="_Toc335911604"/>
      <w:r>
        <w:rPr>
          <w:rStyle w:val="CharSectno"/>
        </w:rPr>
        <w:t>13</w:t>
      </w:r>
      <w:r>
        <w:t>.</w:t>
      </w:r>
      <w:r>
        <w:tab/>
        <w:t>Section 16 amended</w:t>
      </w:r>
      <w:bookmarkEnd w:id="424"/>
    </w:p>
    <w:p>
      <w:pPr>
        <w:pStyle w:val="nzSubsection"/>
      </w:pPr>
      <w:r>
        <w:tab/>
      </w:r>
      <w:r>
        <w:tab/>
        <w:t>After section 16(2) insert:</w:t>
      </w:r>
    </w:p>
    <w:p>
      <w:pPr>
        <w:pStyle w:val="BlankOpen"/>
      </w:pPr>
    </w:p>
    <w:p>
      <w:pPr>
        <w:pStyle w:val="nzSubsection"/>
      </w:pPr>
      <w:r>
        <w:tab/>
        <w:t>(3A)</w:t>
      </w:r>
      <w:r>
        <w:tab/>
        <w:t>Subsection (2) does not apply in respect of a person who made an anonymous disclosure.</w:t>
      </w:r>
    </w:p>
    <w:p>
      <w:pPr>
        <w:pStyle w:val="BlankClose"/>
      </w:pPr>
    </w:p>
    <w:p>
      <w:pPr>
        <w:pStyle w:val="nzHeading5"/>
      </w:pPr>
      <w:bookmarkStart w:id="425" w:name="_Toc335911605"/>
      <w:r>
        <w:rPr>
          <w:rStyle w:val="CharSectno"/>
        </w:rPr>
        <w:t>14</w:t>
      </w:r>
      <w:r>
        <w:t>.</w:t>
      </w:r>
      <w:r>
        <w:tab/>
        <w:t>Section 17 amended</w:t>
      </w:r>
      <w:bookmarkEnd w:id="425"/>
    </w:p>
    <w:p>
      <w:pPr>
        <w:pStyle w:val="nzSubsection"/>
      </w:pPr>
      <w:r>
        <w:tab/>
      </w:r>
      <w:r>
        <w:tab/>
        <w:t>After section 17(1) insert:</w:t>
      </w:r>
    </w:p>
    <w:p>
      <w:pPr>
        <w:pStyle w:val="BlankOpen"/>
      </w:pPr>
    </w:p>
    <w:p>
      <w:pPr>
        <w:pStyle w:val="nzSubsection"/>
      </w:pPr>
      <w:r>
        <w:tab/>
        <w:t>(2A)</w:t>
      </w:r>
      <w:r>
        <w:tab/>
        <w:t>Subsection (1)(a) does not apply in respect of a person who made an anonymous disclosure.</w:t>
      </w:r>
    </w:p>
    <w:p>
      <w:pPr>
        <w:pStyle w:val="BlankClose"/>
      </w:pPr>
    </w:p>
    <w:p>
      <w:pPr>
        <w:pStyle w:val="nzHeading3"/>
      </w:pPr>
      <w:bookmarkStart w:id="426" w:name="_Toc304273561"/>
      <w:bookmarkStart w:id="427" w:name="_Toc304273603"/>
      <w:bookmarkStart w:id="428" w:name="_Toc304275130"/>
      <w:bookmarkStart w:id="429" w:name="_Toc304276550"/>
      <w:bookmarkStart w:id="430" w:name="_Toc304277981"/>
      <w:bookmarkStart w:id="431" w:name="_Toc304278633"/>
      <w:bookmarkStart w:id="432" w:name="_Toc304382233"/>
      <w:bookmarkStart w:id="433" w:name="_Toc306104872"/>
      <w:bookmarkStart w:id="434" w:name="_Toc306108767"/>
      <w:bookmarkStart w:id="435" w:name="_Toc333837413"/>
      <w:bookmarkStart w:id="436" w:name="_Toc334512706"/>
      <w:bookmarkStart w:id="437" w:name="_Toc335911564"/>
      <w:bookmarkStart w:id="438" w:name="_Toc335911606"/>
      <w:r>
        <w:rPr>
          <w:rStyle w:val="CharDivNo"/>
        </w:rPr>
        <w:t>Division 5</w:t>
      </w:r>
      <w:r>
        <w:t> — </w:t>
      </w:r>
      <w:r>
        <w:rPr>
          <w:rStyle w:val="CharDivText"/>
        </w:rPr>
        <w:t>Amendments about disclosure to journalists</w:t>
      </w:r>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nzHeading5"/>
      </w:pPr>
      <w:bookmarkStart w:id="439" w:name="_Toc335911607"/>
      <w:r>
        <w:rPr>
          <w:rStyle w:val="CharSectno"/>
        </w:rPr>
        <w:t>15</w:t>
      </w:r>
      <w:r>
        <w:t>.</w:t>
      </w:r>
      <w:r>
        <w:tab/>
        <w:t>Section 7A inserted</w:t>
      </w:r>
      <w:bookmarkEnd w:id="439"/>
    </w:p>
    <w:p>
      <w:pPr>
        <w:pStyle w:val="nzSubsection"/>
      </w:pPr>
      <w:r>
        <w:tab/>
      </w:r>
      <w:r>
        <w:tab/>
        <w:t>At the end of Part 2 Division 1 insert:</w:t>
      </w:r>
    </w:p>
    <w:p>
      <w:pPr>
        <w:pStyle w:val="BlankOpen"/>
      </w:pPr>
    </w:p>
    <w:p>
      <w:pPr>
        <w:pStyle w:val="nzHeading5"/>
      </w:pPr>
      <w:bookmarkStart w:id="440" w:name="_Toc335911608"/>
      <w:r>
        <w:t>7A.</w:t>
      </w:r>
      <w:r>
        <w:tab/>
        <w:t>Disclosure to journalist</w:t>
      </w:r>
      <w:bookmarkEnd w:id="440"/>
    </w:p>
    <w:p>
      <w:pPr>
        <w:pStyle w:val="nzSubsection"/>
      </w:pPr>
      <w:r>
        <w:tab/>
        <w:t>(1)</w:t>
      </w:r>
      <w:r>
        <w:tab/>
        <w:t xml:space="preserve">In this section — </w:t>
      </w:r>
    </w:p>
    <w:p>
      <w:pPr>
        <w:pStyle w:val="nzDefstart"/>
      </w:pPr>
      <w:r>
        <w:tab/>
      </w:r>
      <w:r>
        <w:rPr>
          <w:rStyle w:val="CharDefText"/>
        </w:rPr>
        <w:t>journalist</w:t>
      </w:r>
      <w:r>
        <w:t xml:space="preserve"> means a person engaged in the profession or occupation of journalism in connection with the publication of information in a medium for the dissemination to the public or a section of the public of news and observations on news.</w:t>
      </w:r>
    </w:p>
    <w:p>
      <w:pPr>
        <w:pStyle w:val="nzSubsection"/>
      </w:pPr>
      <w:r>
        <w:tab/>
        <w:t>(2)</w:t>
      </w:r>
      <w:r>
        <w:tab/>
        <w:t xml:space="preserve">A person may make a disclosure to a journalist of substantially the same information that was the subject of a disclosure of public interest information that the person has already made under this Act if the proper authority to which the disclosure was made, or the person to whom a matter raised by the disclosure was referred under section 9(1)(b) — </w:t>
      </w:r>
    </w:p>
    <w:p>
      <w:pPr>
        <w:pStyle w:val="nzIndenta"/>
      </w:pPr>
      <w:r>
        <w:tab/>
        <w:t>(a)</w:t>
      </w:r>
      <w:r>
        <w:tab/>
        <w:t>has refused to investigate, or has discontinued the investigation of, a matter raised by the disclosure; or</w:t>
      </w:r>
    </w:p>
    <w:p>
      <w:pPr>
        <w:pStyle w:val="nzIndenta"/>
      </w:pPr>
      <w:r>
        <w:tab/>
        <w:t>(b)</w:t>
      </w:r>
      <w:r>
        <w:tab/>
        <w:t>has not completed an investigation of a matter raised by the disclosure within the period ending 6 months after the disclosure was made; or</w:t>
      </w:r>
    </w:p>
    <w:p>
      <w:pPr>
        <w:pStyle w:val="nzIndenta"/>
      </w:pPr>
      <w:r>
        <w:tab/>
        <w:t>(c)</w:t>
      </w:r>
      <w:r>
        <w:tab/>
        <w:t>has completed an investigation of a matter raised by the disclosure but has not recommended the taking of action in respect of the matter; or</w:t>
      </w:r>
    </w:p>
    <w:p>
      <w:pPr>
        <w:pStyle w:val="nzIndenta"/>
      </w:pPr>
      <w:r>
        <w:tab/>
        <w:t>(d)</w:t>
      </w:r>
      <w:r>
        <w:tab/>
        <w:t>has not complied with section 10(1) or (4), if applicable, in relation to the disclosure.</w:t>
      </w:r>
    </w:p>
    <w:p>
      <w:pPr>
        <w:pStyle w:val="BlankClose"/>
      </w:pPr>
    </w:p>
    <w:p>
      <w:pPr>
        <w:pStyle w:val="nzHeading5"/>
      </w:pPr>
      <w:bookmarkStart w:id="441" w:name="_Toc335911609"/>
      <w:r>
        <w:rPr>
          <w:rStyle w:val="CharSectno"/>
        </w:rPr>
        <w:t>16</w:t>
      </w:r>
      <w:r>
        <w:t>.</w:t>
      </w:r>
      <w:r>
        <w:tab/>
        <w:t>Section 16 amended</w:t>
      </w:r>
      <w:bookmarkEnd w:id="441"/>
    </w:p>
    <w:p>
      <w:pPr>
        <w:pStyle w:val="nzSubsection"/>
      </w:pPr>
      <w:r>
        <w:tab/>
        <w:t>(1)</w:t>
      </w:r>
      <w:r>
        <w:tab/>
        <w:t>After section 16(1)(c) insert:</w:t>
      </w:r>
    </w:p>
    <w:p>
      <w:pPr>
        <w:pStyle w:val="BlankOpen"/>
      </w:pPr>
    </w:p>
    <w:p>
      <w:pPr>
        <w:pStyle w:val="nzIndenta"/>
      </w:pPr>
      <w:r>
        <w:tab/>
        <w:t>(d)</w:t>
      </w:r>
      <w:r>
        <w:tab/>
        <w:t>the disclosure is made in accordance with an order of a court or any other person or body having authority to hear, receive and examine evidence; or</w:t>
      </w:r>
    </w:p>
    <w:p>
      <w:pPr>
        <w:pStyle w:val="BlankClose"/>
      </w:pPr>
    </w:p>
    <w:p>
      <w:pPr>
        <w:pStyle w:val="nzSubsection"/>
      </w:pPr>
      <w:r>
        <w:tab/>
        <w:t>(2)</w:t>
      </w:r>
      <w:r>
        <w:tab/>
        <w:t>After section 16(3)(d) insert:</w:t>
      </w:r>
    </w:p>
    <w:p>
      <w:pPr>
        <w:pStyle w:val="BlankOpen"/>
      </w:pPr>
    </w:p>
    <w:p>
      <w:pPr>
        <w:pStyle w:val="nzIndenta"/>
      </w:pPr>
      <w:r>
        <w:tab/>
        <w:t>(e)</w:t>
      </w:r>
      <w:r>
        <w:tab/>
        <w:t>the disclosure is made in accordance with an order of a court or any other person or body having authority to hear, receive and examine evidence; or</w:t>
      </w:r>
    </w:p>
    <w:p>
      <w:pPr>
        <w:pStyle w:val="BlankClose"/>
      </w:pPr>
    </w:p>
    <w:p>
      <w:pPr>
        <w:pStyle w:val="nzHeading5"/>
      </w:pPr>
      <w:bookmarkStart w:id="442" w:name="_Toc335911610"/>
      <w:r>
        <w:rPr>
          <w:rStyle w:val="CharSectno"/>
        </w:rPr>
        <w:t>17</w:t>
      </w:r>
      <w:r>
        <w:t>.</w:t>
      </w:r>
      <w:r>
        <w:tab/>
        <w:t>Section 18A inserted</w:t>
      </w:r>
      <w:bookmarkEnd w:id="442"/>
    </w:p>
    <w:p>
      <w:pPr>
        <w:pStyle w:val="nzSubsection"/>
      </w:pPr>
      <w:r>
        <w:tab/>
      </w:r>
      <w:r>
        <w:tab/>
        <w:t>At the end of Part 3 insert:</w:t>
      </w:r>
    </w:p>
    <w:p>
      <w:pPr>
        <w:pStyle w:val="BlankOpen"/>
      </w:pPr>
    </w:p>
    <w:p>
      <w:pPr>
        <w:pStyle w:val="nzHeading5"/>
      </w:pPr>
      <w:bookmarkStart w:id="443" w:name="_Toc335911611"/>
      <w:r>
        <w:t>18A.</w:t>
      </w:r>
      <w:r>
        <w:tab/>
        <w:t>Protections as to disclosure to journalist</w:t>
      </w:r>
      <w:bookmarkEnd w:id="443"/>
    </w:p>
    <w:p>
      <w:pPr>
        <w:pStyle w:val="nzSubsection"/>
      </w:pPr>
      <w:r>
        <w:tab/>
      </w:r>
      <w:r>
        <w:tab/>
        <w:t>A person who makes a disclosure to a journalist in accordance with section 7A(2) is, for the purposes of this Part, to be taken to be a person who makes a disclosure of public interest information.</w:t>
      </w:r>
    </w:p>
    <w:p>
      <w:pPr>
        <w:pStyle w:val="BlankClose"/>
      </w:pPr>
    </w:p>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Interest Disclosure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r>
            <w:t xml:space="preserve">s. </w:t>
          </w:r>
          <w:fldSimple w:instr=" styleref CharSectno ">
            <w:r>
              <w:rPr>
                <w:noProof/>
              </w:rPr>
              <w:t>1</w:t>
            </w:r>
          </w:fldSimple>
        </w:p>
      </w:tc>
      <w:tc>
        <w:tcPr>
          <w:tcW w:w="5715" w:type="dxa"/>
        </w:tcPr>
        <w:p>
          <w:pPr>
            <w:pStyle w:val="HeaderTextLeft"/>
          </w:pPr>
        </w:p>
      </w:tc>
    </w:tr>
  </w:tbl>
  <w:p>
    <w:pPr>
      <w:pStyle w:val="Header"/>
      <w:pBdr>
        <w:top w:val="single" w:sz="8"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EA67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C0B2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F48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50EC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44A64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FDCADF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E44B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60A6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484E6A"/>
    <w:lvl w:ilvl="0">
      <w:start w:val="1"/>
      <w:numFmt w:val="decimal"/>
      <w:pStyle w:val="ListNumber"/>
      <w:lvlText w:val="%1."/>
      <w:lvlJc w:val="left"/>
      <w:pPr>
        <w:tabs>
          <w:tab w:val="num" w:pos="360"/>
        </w:tabs>
        <w:ind w:left="360" w:hanging="360"/>
      </w:pPr>
    </w:lvl>
  </w:abstractNum>
  <w:abstractNum w:abstractNumId="9">
    <w:nsid w:val="FFFFFF89"/>
    <w:multiLevelType w:val="singleLevel"/>
    <w:tmpl w:val="F920FE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DF24B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4E6FC4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6670</Words>
  <Characters>32419</Characters>
  <Application>Microsoft Office Word</Application>
  <DocSecurity>0</DocSecurity>
  <Lines>953</Lines>
  <Paragraphs>535</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Public Interest Disclosure Act 2003</vt:lpstr>
      <vt:lpstr>Western Australia</vt:lpstr>
      <vt:lpstr>Public Interest Disclosure Act 2003</vt:lpstr>
      <vt:lpstr/>
      <vt:lpstr>Western Australia</vt:lpstr>
      <vt:lpstr>    Part 1 — Preliminary</vt:lpstr>
      <vt:lpstr>    Part 2 — Public interest disclosures</vt:lpstr>
      <vt:lpstr>        Division 1 — Disclosures</vt:lpstr>
      <vt:lpstr>        Division 2 — Obligations of a person to whom a disclosure is made</vt:lpstr>
      <vt:lpstr>    Part 3 — Protection</vt:lpstr>
      <vt:lpstr>    Part 4 — Role of Public Sector Commissioner</vt:lpstr>
      <vt:lpstr>    Part 5 — Miscellaneous</vt:lpstr>
      <vt:lpstr>    Notes</vt:lpstr>
    </vt:vector>
  </TitlesOfParts>
  <Manager/>
  <Company/>
  <LinksUpToDate>false</LinksUpToDate>
  <CharactersWithSpaces>38554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2003 - 01-i0-01</dc:title>
  <dc:subject/>
  <dc:creator/>
  <cp:keywords/>
  <dc:description/>
  <cp:lastModifiedBy>svcMRProcess</cp:lastModifiedBy>
  <cp:revision>4</cp:revision>
  <cp:lastPrinted>2007-10-11T01:10:00Z</cp:lastPrinted>
  <dcterms:created xsi:type="dcterms:W3CDTF">2018-09-07T15:07:00Z</dcterms:created>
  <dcterms:modified xsi:type="dcterms:W3CDTF">2018-09-07T15:07:00Z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20121002</vt:lpwstr>
  </property>
  <property fmtid="{D5CDD505-2E9C-101B-9397-08002B2CF9AE}" pid="4" name="DocumentType">
    <vt:lpwstr>Act</vt:lpwstr>
  </property>
  <property fmtid="{D5CDD505-2E9C-101B-9397-08002B2CF9AE}" pid="5" name="OwlsUID">
    <vt:i4>6372</vt:i4>
  </property>
  <property fmtid="{D5CDD505-2E9C-101B-9397-08002B2CF9AE}" pid="6" name="ReprintedAsAt">
    <vt:filetime>2007-10-11T16:00:00Z</vt:filetime>
  </property>
  <property fmtid="{D5CDD505-2E9C-101B-9397-08002B2CF9AE}" pid="7" name="ReprintNo">
    <vt:lpwstr>1</vt:lpwstr>
  </property>
  <property fmtid="{D5CDD505-2E9C-101B-9397-08002B2CF9AE}" pid="8" name="AsAtDate">
    <vt:lpwstr>02 Oct 2012</vt:lpwstr>
  </property>
  <property fmtid="{D5CDD505-2E9C-101B-9397-08002B2CF9AE}" pid="9" name="Suffix">
    <vt:lpwstr>01-i0-01</vt:lpwstr>
  </property>
</Properties>
</file>