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9" w:rsidRDefault="00B3098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82DE9">
            <w:t>Western Australia</w:t>
          </w:r>
        </w:smartTag>
      </w:smartTag>
    </w:p>
    <w:p w:rsidR="00182DE9" w:rsidRDefault="00182DE9">
      <w:pPr>
        <w:pStyle w:val="PrincipalActReg"/>
        <w:spacing w:before="2600" w:after="0"/>
      </w:pPr>
      <w:r>
        <w:t>Evidence Act 1906</w:t>
      </w:r>
    </w:p>
    <w:p w:rsidR="00182DE9" w:rsidRDefault="00182DE9" w:rsidP="004B43D9">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B852BF">
        <w:rPr>
          <w:noProof/>
          <w:sz w:val="48"/>
        </w:rPr>
        <w:t>Evidence (Video and Audio Links Fees and Expenses) Regulations 1999</w:t>
      </w:r>
      <w:r>
        <w:rPr>
          <w:sz w:val="48"/>
        </w:rPr>
        <w:fldChar w:fldCharType="end"/>
      </w:r>
    </w:p>
    <w:p w:rsidR="00182DE9" w:rsidRDefault="00182DE9">
      <w:pPr>
        <w:jc w:val="center"/>
        <w:rPr>
          <w:b/>
        </w:rPr>
        <w:sectPr w:rsidR="00182DE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NameofActRegPage1"/>
      </w:pPr>
      <w:r>
        <w:fldChar w:fldCharType="begin"/>
      </w:r>
      <w:r>
        <w:instrText xml:space="preserve"> STYLEREF "Name Of Act/Reg"</w:instrText>
      </w:r>
      <w:r>
        <w:fldChar w:fldCharType="separate"/>
      </w:r>
      <w:r w:rsidR="00B852BF">
        <w:rPr>
          <w:noProof/>
        </w:rPr>
        <w:t>Evidence (Video and Audio Links Fees and Expenses) Regulations 1999</w:t>
      </w:r>
      <w:r>
        <w:fldChar w:fldCharType="end"/>
      </w:r>
    </w:p>
    <w:p w:rsidR="00182DE9" w:rsidRDefault="00182DE9">
      <w:pPr>
        <w:pStyle w:val="Arrangement"/>
      </w:pPr>
      <w:r>
        <w:t>CONTENTS</w:t>
      </w:r>
    </w:p>
    <w:p w:rsidR="004129DC" w:rsidRDefault="00182DE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129DC">
        <w:t>1.</w:t>
      </w:r>
      <w:r w:rsidR="004129DC">
        <w:tab/>
        <w:t>Citation</w:t>
      </w:r>
      <w:r w:rsidR="004129DC">
        <w:tab/>
      </w:r>
      <w:r w:rsidR="004129DC">
        <w:fldChar w:fldCharType="begin"/>
      </w:r>
      <w:r w:rsidR="004129DC">
        <w:instrText xml:space="preserve"> PAGEREF _Toc341965982 \h </w:instrText>
      </w:r>
      <w:r w:rsidR="004129DC">
        <w:fldChar w:fldCharType="separate"/>
      </w:r>
      <w:r w:rsidR="00B852BF">
        <w:t>1</w:t>
      </w:r>
      <w:r w:rsidR="004129DC">
        <w:fldChar w:fldCharType="end"/>
      </w:r>
    </w:p>
    <w:p w:rsidR="004129DC" w:rsidRDefault="004129DC">
      <w:pPr>
        <w:pStyle w:val="TOC8"/>
        <w:rPr>
          <w:sz w:val="24"/>
          <w:szCs w:val="24"/>
          <w:lang w:val="en-US"/>
        </w:rPr>
      </w:pPr>
      <w:r>
        <w:t>2.</w:t>
      </w:r>
      <w:r>
        <w:tab/>
        <w:t>Booking fee</w:t>
      </w:r>
      <w:r>
        <w:tab/>
      </w:r>
      <w:r>
        <w:fldChar w:fldCharType="begin"/>
      </w:r>
      <w:r>
        <w:instrText xml:space="preserve"> PAGEREF _Toc341965983 \h </w:instrText>
      </w:r>
      <w:r>
        <w:fldChar w:fldCharType="separate"/>
      </w:r>
      <w:r w:rsidR="00B852BF">
        <w:t>1</w:t>
      </w:r>
      <w:r>
        <w:fldChar w:fldCharType="end"/>
      </w:r>
    </w:p>
    <w:p w:rsidR="004129DC" w:rsidRDefault="004129DC">
      <w:pPr>
        <w:pStyle w:val="TOC8"/>
        <w:rPr>
          <w:sz w:val="24"/>
          <w:szCs w:val="24"/>
          <w:lang w:val="en-US"/>
        </w:rPr>
      </w:pPr>
      <w:r>
        <w:t>3.</w:t>
      </w:r>
      <w:r>
        <w:tab/>
        <w:t>Hourly fee</w:t>
      </w:r>
      <w:r>
        <w:tab/>
      </w:r>
      <w:r>
        <w:fldChar w:fldCharType="begin"/>
      </w:r>
      <w:r>
        <w:instrText xml:space="preserve"> PAGEREF _Toc341965984 \h </w:instrText>
      </w:r>
      <w:r>
        <w:fldChar w:fldCharType="separate"/>
      </w:r>
      <w:r w:rsidR="00B852BF">
        <w:t>2</w:t>
      </w:r>
      <w:r>
        <w:fldChar w:fldCharType="end"/>
      </w:r>
    </w:p>
    <w:p w:rsidR="004129DC" w:rsidRDefault="004129DC">
      <w:pPr>
        <w:pStyle w:val="TOC8"/>
        <w:rPr>
          <w:sz w:val="24"/>
          <w:szCs w:val="24"/>
          <w:lang w:val="en-US"/>
        </w:rPr>
      </w:pPr>
      <w:r>
        <w:t>4.</w:t>
      </w:r>
      <w:r>
        <w:tab/>
        <w:t>Telecommunications charges</w:t>
      </w:r>
      <w:r>
        <w:tab/>
      </w:r>
      <w:r>
        <w:fldChar w:fldCharType="begin"/>
      </w:r>
      <w:r>
        <w:instrText xml:space="preserve"> PAGEREF _Toc341965985 \h </w:instrText>
      </w:r>
      <w:r>
        <w:fldChar w:fldCharType="separate"/>
      </w:r>
      <w:r w:rsidR="00B852BF">
        <w:t>2</w:t>
      </w:r>
      <w:r>
        <w:fldChar w:fldCharType="end"/>
      </w:r>
    </w:p>
    <w:p w:rsidR="004129DC" w:rsidRDefault="004129DC">
      <w:pPr>
        <w:pStyle w:val="TOC8"/>
        <w:rPr>
          <w:sz w:val="24"/>
          <w:szCs w:val="24"/>
          <w:lang w:val="en-US"/>
        </w:rPr>
      </w:pPr>
      <w:r>
        <w:t>5.</w:t>
      </w:r>
      <w:r>
        <w:tab/>
        <w:t>Fees and expenses to be recoverable as debts due to the Crown</w:t>
      </w:r>
      <w:r>
        <w:tab/>
      </w:r>
      <w:r>
        <w:fldChar w:fldCharType="begin"/>
      </w:r>
      <w:r>
        <w:instrText xml:space="preserve"> PAGEREF _Toc341965986 \h </w:instrText>
      </w:r>
      <w:r>
        <w:fldChar w:fldCharType="separate"/>
      </w:r>
      <w:r w:rsidR="00B852BF">
        <w:t>2</w:t>
      </w:r>
      <w:r>
        <w:fldChar w:fldCharType="end"/>
      </w:r>
    </w:p>
    <w:p w:rsidR="004129DC" w:rsidRDefault="004129DC">
      <w:pPr>
        <w:pStyle w:val="TOC8"/>
        <w:rPr>
          <w:sz w:val="24"/>
          <w:szCs w:val="24"/>
          <w:lang w:val="en-US"/>
        </w:rPr>
      </w:pPr>
      <w:r>
        <w:t>6.</w:t>
      </w:r>
      <w:r>
        <w:tab/>
        <w:t>Court may waive fees and expenses in a particular case</w:t>
      </w:r>
      <w:r>
        <w:tab/>
      </w:r>
      <w:r>
        <w:fldChar w:fldCharType="begin"/>
      </w:r>
      <w:r>
        <w:instrText xml:space="preserve"> PAGEREF _Toc341965987 \h </w:instrText>
      </w:r>
      <w:r>
        <w:fldChar w:fldCharType="separate"/>
      </w:r>
      <w:r w:rsidR="00B852BF">
        <w:t>2</w:t>
      </w:r>
      <w:r>
        <w:fldChar w:fldCharType="end"/>
      </w:r>
    </w:p>
    <w:p w:rsidR="004129DC" w:rsidRDefault="004129DC">
      <w:pPr>
        <w:pStyle w:val="TOC2"/>
        <w:tabs>
          <w:tab w:val="right" w:leader="dot" w:pos="7086"/>
        </w:tabs>
        <w:rPr>
          <w:b w:val="0"/>
          <w:sz w:val="24"/>
          <w:szCs w:val="24"/>
          <w:lang w:val="en-US"/>
        </w:rPr>
      </w:pPr>
      <w:r>
        <w:t>Schedule 1 — Fees</w:t>
      </w:r>
    </w:p>
    <w:p w:rsidR="004129DC" w:rsidRDefault="004129DC">
      <w:pPr>
        <w:pStyle w:val="TOC8"/>
        <w:rPr>
          <w:sz w:val="24"/>
          <w:szCs w:val="24"/>
          <w:lang w:val="en-US"/>
        </w:rPr>
      </w:pPr>
      <w:r>
        <w:t>1.</w:t>
      </w:r>
      <w:r w:rsidRPr="00853917">
        <w:tab/>
      </w:r>
      <w:r>
        <w:t>Booking fee</w:t>
      </w:r>
      <w:r>
        <w:tab/>
      </w:r>
      <w:r>
        <w:fldChar w:fldCharType="begin"/>
      </w:r>
      <w:r>
        <w:instrText xml:space="preserve"> PAGEREF _Toc341965989 \h </w:instrText>
      </w:r>
      <w:r>
        <w:fldChar w:fldCharType="separate"/>
      </w:r>
      <w:r w:rsidR="00B852BF">
        <w:t>3</w:t>
      </w:r>
      <w:r>
        <w:fldChar w:fldCharType="end"/>
      </w:r>
    </w:p>
    <w:p w:rsidR="004129DC" w:rsidRDefault="004129DC">
      <w:pPr>
        <w:pStyle w:val="TOC8"/>
        <w:rPr>
          <w:sz w:val="24"/>
          <w:szCs w:val="24"/>
          <w:lang w:val="en-US"/>
        </w:rPr>
      </w:pPr>
      <w:r>
        <w:t>2.</w:t>
      </w:r>
      <w:r w:rsidRPr="00853917">
        <w:tab/>
      </w:r>
      <w:r>
        <w:t>Hourly fee</w:t>
      </w:r>
      <w:r>
        <w:tab/>
      </w:r>
      <w:r>
        <w:fldChar w:fldCharType="begin"/>
      </w:r>
      <w:r>
        <w:instrText xml:space="preserve"> PAGEREF _Toc341965990 \h </w:instrText>
      </w:r>
      <w:r>
        <w:fldChar w:fldCharType="separate"/>
      </w:r>
      <w:r w:rsidR="00B852BF">
        <w:t>3</w:t>
      </w:r>
      <w:r>
        <w:fldChar w:fldCharType="end"/>
      </w:r>
    </w:p>
    <w:p w:rsidR="004129DC" w:rsidRDefault="004129DC">
      <w:pPr>
        <w:pStyle w:val="TOC2"/>
        <w:tabs>
          <w:tab w:val="right" w:leader="dot" w:pos="7086"/>
        </w:tabs>
        <w:rPr>
          <w:b w:val="0"/>
          <w:sz w:val="24"/>
          <w:szCs w:val="24"/>
          <w:lang w:val="en-US"/>
        </w:rPr>
      </w:pPr>
      <w:r>
        <w:t>Notes</w:t>
      </w:r>
    </w:p>
    <w:p w:rsidR="004129DC" w:rsidRDefault="004129DC" w:rsidP="004129DC">
      <w:pPr>
        <w:pStyle w:val="TOC8"/>
        <w:rPr>
          <w:sz w:val="24"/>
          <w:szCs w:val="24"/>
          <w:lang w:val="en-US"/>
        </w:rPr>
      </w:pPr>
      <w:r>
        <w:tab/>
        <w:t>Compilation table</w:t>
      </w:r>
      <w:r>
        <w:tab/>
      </w:r>
      <w:r>
        <w:fldChar w:fldCharType="begin"/>
      </w:r>
      <w:r>
        <w:instrText xml:space="preserve"> PAGEREF _Toc341965992 \h </w:instrText>
      </w:r>
      <w:r>
        <w:fldChar w:fldCharType="separate"/>
      </w:r>
      <w:r w:rsidR="00B852BF">
        <w:t>4</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341965982"/>
      <w:r>
        <w:rPr>
          <w:rStyle w:val="CharSectno"/>
        </w:rPr>
        <w:t>1</w:t>
      </w:r>
      <w:r>
        <w:t>.</w:t>
      </w:r>
      <w:r>
        <w:tab/>
        <w:t>Citation</w:t>
      </w:r>
      <w:bookmarkEnd w:id="1"/>
      <w:bookmarkEnd w:id="2"/>
      <w:bookmarkEnd w:id="3"/>
      <w:bookmarkEnd w:id="4"/>
      <w:bookmarkEnd w:id="5"/>
      <w:bookmarkEnd w:id="6"/>
      <w:bookmarkEnd w:id="7"/>
      <w:bookmarkEnd w:id="8"/>
      <w:bookmarkEnd w:id="9"/>
    </w:p>
    <w:p w:rsidR="00182DE9" w:rsidRDefault="00182DE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10" w:name="_Toc61246119"/>
      <w:bookmarkStart w:id="11" w:name="_Toc107623801"/>
      <w:bookmarkStart w:id="12" w:name="_Toc341965983"/>
      <w:r>
        <w:rPr>
          <w:rStyle w:val="CharSectno"/>
        </w:rPr>
        <w:t>2</w:t>
      </w:r>
      <w:r>
        <w:t>.</w:t>
      </w:r>
      <w:r>
        <w:tab/>
        <w:t>Booking fee</w:t>
      </w:r>
      <w:bookmarkEnd w:id="10"/>
      <w:bookmarkEnd w:id="11"/>
      <w:bookmarkEnd w:id="12"/>
    </w:p>
    <w:p w:rsidR="00182DE9" w:rsidRDefault="00182DE9">
      <w:pPr>
        <w:pStyle w:val="Subsection"/>
      </w:pPr>
      <w:r>
        <w:tab/>
        <w:t>(1)</w:t>
      </w:r>
      <w:r>
        <w:tab/>
        <w:t xml:space="preserve">Except as provided in subregulation (2), if, on an application by a party to a </w:t>
      </w:r>
      <w:r w:rsidR="00055891">
        <w:t xml:space="preserve">civil </w:t>
      </w:r>
      <w:r>
        <w:t>proceeding in or before a court, the court directs —</w:t>
      </w:r>
    </w:p>
    <w:p w:rsidR="00182DE9" w:rsidRDefault="00182DE9">
      <w:pPr>
        <w:pStyle w:val="Indenta"/>
      </w:pPr>
      <w:r>
        <w:tab/>
        <w:t>(a)</w:t>
      </w:r>
      <w:r>
        <w:tab/>
        <w:t xml:space="preserve">that the evidence of a witness called by the party be taken by a </w:t>
      </w:r>
      <w:r w:rsidR="00055891" w:rsidRPr="002C213B">
        <w:t>video link;</w:t>
      </w:r>
      <w:r w:rsidR="00055891">
        <w:t xml:space="preserve"> or</w:t>
      </w:r>
    </w:p>
    <w:p w:rsidR="00182DE9" w:rsidRDefault="00182DE9">
      <w:pPr>
        <w:pStyle w:val="Indenta"/>
      </w:pPr>
      <w:r>
        <w:tab/>
        <w:t>(b)</w:t>
      </w:r>
      <w:r>
        <w:tab/>
        <w:t xml:space="preserve">that a submission on behalf of the party be received by a </w:t>
      </w:r>
      <w:r w:rsidR="00055891">
        <w:t>video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can be used by more than one party making an application, each of those parties must pay to the court an equal portion of the fee concerned.</w:t>
      </w:r>
    </w:p>
    <w:p w:rsidR="00055891" w:rsidRDefault="00055891" w:rsidP="00055891">
      <w:pPr>
        <w:pStyle w:val="Footnotesection"/>
      </w:pPr>
      <w:bookmarkStart w:id="13" w:name="_Toc61246120"/>
      <w:bookmarkStart w:id="14" w:name="_Toc107623802"/>
      <w:r>
        <w:tab/>
        <w:t>[Regulation 2 amended in Gazette 9 Mar 2012 p. 931</w:t>
      </w:r>
      <w:r>
        <w:noBreakHyphen/>
        <w:t>2.]</w:t>
      </w:r>
    </w:p>
    <w:p w:rsidR="00182DE9" w:rsidRDefault="00182DE9">
      <w:pPr>
        <w:pStyle w:val="Heading5"/>
      </w:pPr>
      <w:bookmarkStart w:id="15" w:name="_Toc341965984"/>
      <w:r>
        <w:rPr>
          <w:rStyle w:val="CharSectno"/>
        </w:rPr>
        <w:lastRenderedPageBreak/>
        <w:t>3</w:t>
      </w:r>
      <w:r>
        <w:t>.</w:t>
      </w:r>
      <w:r>
        <w:tab/>
        <w:t>Hourly fee</w:t>
      </w:r>
      <w:bookmarkEnd w:id="13"/>
      <w:bookmarkEnd w:id="14"/>
      <w:bookmarkEnd w:id="15"/>
    </w:p>
    <w:p w:rsidR="00182DE9" w:rsidRDefault="00182DE9">
      <w:pPr>
        <w:pStyle w:val="Subsection"/>
      </w:pPr>
      <w:r>
        <w:tab/>
      </w:r>
      <w:r>
        <w:tab/>
        <w:t xml:space="preserve">A party must, within 30 days after the use of a </w:t>
      </w:r>
      <w:r w:rsidR="00055891">
        <w:t xml:space="preserve">video link, </w:t>
      </w:r>
      <w:r>
        <w:t>pay to the court the fee specified in item 2 of Schedule 1 for each hour, or part of an hour, that the link was used —</w:t>
      </w:r>
    </w:p>
    <w:p w:rsidR="00182DE9" w:rsidRDefault="00182DE9">
      <w:pPr>
        <w:pStyle w:val="Indenta"/>
      </w:pPr>
      <w:r>
        <w:tab/>
        <w:t>(a)</w:t>
      </w:r>
      <w:r>
        <w:tab/>
        <w:t>to take the evidence of a witness called by the party; or</w:t>
      </w:r>
    </w:p>
    <w:p w:rsidR="00182DE9" w:rsidRDefault="00182DE9">
      <w:pPr>
        <w:pStyle w:val="Indenta"/>
      </w:pPr>
      <w:r>
        <w:tab/>
        <w:t>(b)</w:t>
      </w:r>
      <w:r>
        <w:tab/>
        <w:t>to receive a submission on behalf of the party.</w:t>
      </w:r>
    </w:p>
    <w:p w:rsidR="00055891" w:rsidRDefault="00055891" w:rsidP="00055891">
      <w:pPr>
        <w:pStyle w:val="Footnotesection"/>
      </w:pPr>
      <w:bookmarkStart w:id="16" w:name="_Toc61246121"/>
      <w:bookmarkStart w:id="17" w:name="_Toc107623803"/>
      <w:r>
        <w:tab/>
        <w:t>[Regulation 3 amended in Gazette 9 Mar 2012 p. 932.]</w:t>
      </w:r>
    </w:p>
    <w:p w:rsidR="00182DE9" w:rsidRDefault="00182DE9">
      <w:pPr>
        <w:pStyle w:val="Heading5"/>
      </w:pPr>
      <w:bookmarkStart w:id="18" w:name="_Toc341965985"/>
      <w:r>
        <w:rPr>
          <w:rStyle w:val="CharSectno"/>
        </w:rPr>
        <w:t>4</w:t>
      </w:r>
      <w:r>
        <w:t>.</w:t>
      </w:r>
      <w:r>
        <w:tab/>
        <w:t>Telecommunications charges</w:t>
      </w:r>
      <w:bookmarkEnd w:id="16"/>
      <w:bookmarkEnd w:id="17"/>
      <w:bookmarkEnd w:id="18"/>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19" w:name="_Toc61246122"/>
      <w:bookmarkStart w:id="20" w:name="_Toc107623804"/>
      <w:bookmarkStart w:id="21" w:name="_Toc341965986"/>
      <w:r>
        <w:rPr>
          <w:rStyle w:val="CharSectno"/>
        </w:rPr>
        <w:t>5</w:t>
      </w:r>
      <w:r>
        <w:t>.</w:t>
      </w:r>
      <w:r>
        <w:tab/>
        <w:t>Fees and expenses to be recoverable as debts due to the Crown</w:t>
      </w:r>
      <w:bookmarkEnd w:id="19"/>
      <w:bookmarkEnd w:id="20"/>
      <w:bookmarkEnd w:id="21"/>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22" w:name="_Toc61246123"/>
      <w:bookmarkStart w:id="23" w:name="_Toc107623805"/>
      <w:bookmarkStart w:id="24" w:name="_Toc341965987"/>
      <w:r>
        <w:rPr>
          <w:rStyle w:val="CharSectno"/>
        </w:rPr>
        <w:t>6</w:t>
      </w:r>
      <w:r>
        <w:t>.</w:t>
      </w:r>
      <w:r>
        <w:tab/>
        <w:t>Court may waive fees and expenses in a particular case</w:t>
      </w:r>
      <w:bookmarkEnd w:id="22"/>
      <w:bookmarkEnd w:id="23"/>
      <w:bookmarkEnd w:id="24"/>
    </w:p>
    <w:p w:rsidR="00182DE9" w:rsidRDefault="00182DE9">
      <w:pPr>
        <w:pStyle w:val="Subsection"/>
      </w:pPr>
      <w:r>
        <w:tab/>
      </w:r>
      <w:r>
        <w:tab/>
        <w:t>A court may, in a particular case, waive a fee or expense payable under these regulations.</w:t>
      </w:r>
    </w:p>
    <w:p w:rsidR="00182DE9" w:rsidRDefault="00182DE9">
      <w:pPr>
        <w:sectPr w:rsidR="00182D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82DE9" w:rsidRDefault="00182DE9">
      <w:pPr>
        <w:pStyle w:val="yScheduleHeading"/>
      </w:pPr>
      <w:bookmarkStart w:id="25" w:name="_Toc171051522"/>
      <w:bookmarkStart w:id="26" w:name="_Toc202505281"/>
      <w:bookmarkStart w:id="27" w:name="_Toc211916368"/>
      <w:bookmarkStart w:id="28" w:name="_Toc211917046"/>
      <w:bookmarkStart w:id="29" w:name="_Toc212347184"/>
      <w:bookmarkStart w:id="30" w:name="_Toc214859887"/>
      <w:bookmarkStart w:id="31" w:name="_Toc239754342"/>
      <w:bookmarkStart w:id="32" w:name="_Toc239754414"/>
      <w:bookmarkStart w:id="33" w:name="_Toc287367247"/>
      <w:bookmarkStart w:id="34" w:name="_Toc312076343"/>
      <w:bookmarkStart w:id="35" w:name="_Toc312139678"/>
      <w:bookmarkStart w:id="36" w:name="_Toc318982596"/>
      <w:bookmarkStart w:id="37" w:name="_Toc319048174"/>
      <w:bookmarkStart w:id="38" w:name="_Toc341965988"/>
      <w:r>
        <w:rPr>
          <w:rStyle w:val="CharSchNo"/>
        </w:rPr>
        <w:lastRenderedPageBreak/>
        <w:t>Schedule 1</w:t>
      </w:r>
      <w:r>
        <w:t> — </w:t>
      </w:r>
      <w:r>
        <w:rPr>
          <w:rStyle w:val="CharSchText"/>
        </w:rPr>
        <w:t>Fees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182DE9" w:rsidRDefault="00182DE9">
      <w:pPr>
        <w:pStyle w:val="yShoulderClause"/>
      </w:pPr>
      <w:r>
        <w:t>[r. 2 and 3]</w:t>
      </w:r>
    </w:p>
    <w:p w:rsidR="00182DE9" w:rsidRDefault="00182DE9">
      <w:pPr>
        <w:pStyle w:val="yFootnoteheading"/>
      </w:pPr>
      <w:r>
        <w:tab/>
        <w:t>[Heading inserted in Gazette 26 Jun 2007 p. 3030.]</w:t>
      </w:r>
    </w:p>
    <w:p w:rsidR="004B78EB" w:rsidRPr="004129DC" w:rsidRDefault="004B78EB" w:rsidP="004B78EB">
      <w:pPr>
        <w:pStyle w:val="yHeading5"/>
      </w:pPr>
      <w:bookmarkStart w:id="39" w:name="_Toc341965989"/>
      <w:r w:rsidRPr="004129DC">
        <w:t>1.</w:t>
      </w:r>
      <w:r w:rsidRPr="00C473C6">
        <w:rPr>
          <w:b w:val="0"/>
        </w:rPr>
        <w:tab/>
      </w:r>
      <w:r w:rsidRPr="004B78EB">
        <w:t>Booking</w:t>
      </w:r>
      <w:r w:rsidRPr="004129DC">
        <w:t xml:space="preserve"> fee</w:t>
      </w:r>
      <w:bookmarkEnd w:id="39"/>
    </w:p>
    <w:tbl>
      <w:tblPr>
        <w:tblW w:w="0" w:type="auto"/>
        <w:tblInd w:w="959" w:type="dxa"/>
        <w:tblLayout w:type="fixed"/>
        <w:tblLook w:val="0000" w:firstRow="0" w:lastRow="0" w:firstColumn="0" w:lastColumn="0" w:noHBand="0" w:noVBand="0"/>
      </w:tblPr>
      <w:tblGrid>
        <w:gridCol w:w="4678"/>
        <w:gridCol w:w="1417"/>
      </w:tblGrid>
      <w:tr w:rsidR="004B78EB" w:rsidTr="000A7C98">
        <w:tc>
          <w:tcPr>
            <w:tcW w:w="4678" w:type="dxa"/>
          </w:tcPr>
          <w:p w:rsidR="004B78EB" w:rsidRDefault="004B78EB" w:rsidP="004129DC">
            <w:pPr>
              <w:pStyle w:val="yTableNAm"/>
              <w:tabs>
                <w:tab w:val="right" w:leader="dot" w:pos="4441"/>
              </w:tabs>
            </w:pPr>
            <w:r>
              <w:t>(1)</w:t>
            </w:r>
            <w:r>
              <w:tab/>
              <w:t xml:space="preserve">Intrastate link </w:t>
            </w:r>
            <w:r>
              <w:tab/>
            </w:r>
          </w:p>
        </w:tc>
        <w:tc>
          <w:tcPr>
            <w:tcW w:w="1417" w:type="dxa"/>
          </w:tcPr>
          <w:p w:rsidR="004B78EB" w:rsidRDefault="004B78EB" w:rsidP="000A7C98">
            <w:pPr>
              <w:pStyle w:val="yTableNAm"/>
            </w:pPr>
            <w:r>
              <w:rPr>
                <w:szCs w:val="22"/>
              </w:rPr>
              <w:t>$74</w:t>
            </w:r>
            <w:r w:rsidRPr="00CF4582">
              <w:rPr>
                <w:szCs w:val="22"/>
              </w:rPr>
              <w:t>.50</w:t>
            </w:r>
          </w:p>
        </w:tc>
      </w:tr>
      <w:tr w:rsidR="004B78EB" w:rsidTr="000A7C98">
        <w:tc>
          <w:tcPr>
            <w:tcW w:w="4678" w:type="dxa"/>
          </w:tcPr>
          <w:p w:rsidR="004B78EB" w:rsidRDefault="004B78EB" w:rsidP="004129DC">
            <w:pPr>
              <w:pStyle w:val="yTableNAm"/>
              <w:tabs>
                <w:tab w:val="right" w:leader="dot" w:pos="4441"/>
              </w:tabs>
            </w:pPr>
            <w:r>
              <w:t>(2)</w:t>
            </w:r>
            <w:r>
              <w:tab/>
              <w:t xml:space="preserve">Interstate or overseas link </w:t>
            </w:r>
            <w:r>
              <w:tab/>
            </w:r>
          </w:p>
        </w:tc>
        <w:tc>
          <w:tcPr>
            <w:tcW w:w="1417" w:type="dxa"/>
          </w:tcPr>
          <w:p w:rsidR="004B78EB" w:rsidRDefault="004B78EB" w:rsidP="000A7C98">
            <w:pPr>
              <w:pStyle w:val="yTableNAm"/>
            </w:pPr>
            <w:r w:rsidRPr="00CF4582">
              <w:rPr>
                <w:szCs w:val="22"/>
              </w:rPr>
              <w:t>$1</w:t>
            </w:r>
            <w:r>
              <w:rPr>
                <w:szCs w:val="22"/>
              </w:rPr>
              <w:t>10</w:t>
            </w:r>
            <w:r w:rsidRPr="00CF4582">
              <w:rPr>
                <w:szCs w:val="22"/>
              </w:rPr>
              <w:t>.50</w:t>
            </w:r>
          </w:p>
        </w:tc>
      </w:tr>
    </w:tbl>
    <w:p w:rsidR="004B78EB" w:rsidRPr="004129DC" w:rsidRDefault="004B78EB" w:rsidP="004B78EB">
      <w:pPr>
        <w:pStyle w:val="yHeading5"/>
      </w:pPr>
      <w:bookmarkStart w:id="40" w:name="_Toc341965990"/>
      <w:r w:rsidRPr="004129DC">
        <w:t>2.</w:t>
      </w:r>
      <w:r>
        <w:rPr>
          <w:b w:val="0"/>
        </w:rPr>
        <w:tab/>
      </w:r>
      <w:r w:rsidRPr="004129DC">
        <w:t>Hourly fee</w:t>
      </w:r>
      <w:bookmarkEnd w:id="40"/>
    </w:p>
    <w:tbl>
      <w:tblPr>
        <w:tblW w:w="0" w:type="auto"/>
        <w:tblInd w:w="959" w:type="dxa"/>
        <w:tblLayout w:type="fixed"/>
        <w:tblLook w:val="0000" w:firstRow="0" w:lastRow="0" w:firstColumn="0" w:lastColumn="0" w:noHBand="0" w:noVBand="0"/>
      </w:tblPr>
      <w:tblGrid>
        <w:gridCol w:w="4678"/>
        <w:gridCol w:w="1417"/>
      </w:tblGrid>
      <w:tr w:rsidR="004B78EB" w:rsidRPr="00C473C6" w:rsidTr="000A7C98">
        <w:tc>
          <w:tcPr>
            <w:tcW w:w="4678" w:type="dxa"/>
          </w:tcPr>
          <w:p w:rsidR="004B78EB" w:rsidRDefault="004B78EB" w:rsidP="004129DC">
            <w:pPr>
              <w:pStyle w:val="yTableNAm"/>
              <w:tabs>
                <w:tab w:val="right" w:leader="dot" w:pos="4441"/>
              </w:tabs>
            </w:pPr>
            <w:r>
              <w:tab/>
              <w:t xml:space="preserve">Per hour or part of an hour </w:t>
            </w:r>
            <w:r>
              <w:tab/>
            </w:r>
          </w:p>
        </w:tc>
        <w:tc>
          <w:tcPr>
            <w:tcW w:w="1417" w:type="dxa"/>
          </w:tcPr>
          <w:p w:rsidR="004B78EB" w:rsidRDefault="004B78EB" w:rsidP="000A7C98">
            <w:pPr>
              <w:pStyle w:val="yTableNAm"/>
            </w:pPr>
            <w:r w:rsidRPr="00C473C6">
              <w:t>$58.50</w:t>
            </w:r>
          </w:p>
        </w:tc>
      </w:tr>
    </w:tbl>
    <w:p w:rsidR="00182DE9" w:rsidRDefault="00182DE9">
      <w:pPr>
        <w:pStyle w:val="yFootnotesection"/>
      </w:pPr>
      <w:r>
        <w:tab/>
        <w:t>[Schedule 1 inserted in Gazette 26 Jun 2007 p. 3030-1; amended in Gazette 27 Jun 2008 p. 3073; 4 Sep 2009 p. 3494</w:t>
      </w:r>
      <w:r w:rsidR="00E94175">
        <w:t>; 8 Mar 2011 p. 799</w:t>
      </w:r>
      <w:r w:rsidR="00AA7416">
        <w:t>; 20 Dec 2011 p. 5396</w:t>
      </w:r>
      <w:r w:rsidR="004B78EB">
        <w:t>; 30 Nov 2012 p. </w:t>
      </w:r>
      <w:r w:rsidR="004129DC">
        <w:t>5800</w:t>
      </w:r>
      <w:r>
        <w:t>.]</w:t>
      </w:r>
    </w:p>
    <w:p w:rsidR="00182DE9" w:rsidRDefault="00182DE9">
      <w:pPr>
        <w:sectPr w:rsidR="00182D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82DE9" w:rsidRDefault="00182DE9">
      <w:pPr>
        <w:pStyle w:val="nHeading2"/>
      </w:pPr>
      <w:bookmarkStart w:id="41" w:name="_Toc76366875"/>
      <w:bookmarkStart w:id="42" w:name="_Toc76366906"/>
      <w:bookmarkStart w:id="43" w:name="_Toc76366968"/>
      <w:bookmarkStart w:id="44" w:name="_Toc76368086"/>
      <w:bookmarkStart w:id="45" w:name="_Toc81297978"/>
      <w:bookmarkStart w:id="46" w:name="_Toc107299458"/>
      <w:bookmarkStart w:id="47" w:name="_Toc107623807"/>
      <w:bookmarkStart w:id="48" w:name="_Toc138838811"/>
      <w:bookmarkStart w:id="49" w:name="_Toc138838837"/>
      <w:bookmarkStart w:id="50" w:name="_Toc139274863"/>
      <w:bookmarkStart w:id="51" w:name="_Toc171051525"/>
      <w:bookmarkStart w:id="52" w:name="_Toc202505284"/>
      <w:bookmarkStart w:id="53" w:name="_Toc211916371"/>
      <w:bookmarkStart w:id="54" w:name="_Toc211917049"/>
      <w:bookmarkStart w:id="55" w:name="_Toc212347187"/>
      <w:bookmarkStart w:id="56" w:name="_Toc214859890"/>
      <w:bookmarkStart w:id="57" w:name="_Toc239754345"/>
      <w:bookmarkStart w:id="58" w:name="_Toc239754417"/>
      <w:bookmarkStart w:id="59" w:name="_Toc287367250"/>
      <w:bookmarkStart w:id="60" w:name="_Toc312076346"/>
      <w:bookmarkStart w:id="61" w:name="_Toc312139681"/>
      <w:bookmarkStart w:id="62" w:name="_Toc318982599"/>
      <w:bookmarkStart w:id="63" w:name="_Toc319048177"/>
      <w:bookmarkStart w:id="64" w:name="_Toc341965991"/>
      <w:r>
        <w:lastRenderedPageBreak/>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182DE9" w:rsidRDefault="00182DE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182DE9">
      <w:pPr>
        <w:pStyle w:val="nHeading3"/>
      </w:pPr>
      <w:bookmarkStart w:id="65" w:name="_Toc341965992"/>
      <w:r>
        <w:t>Compilation table</w:t>
      </w:r>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182DE9">
        <w:trPr>
          <w:tblHeader/>
        </w:trPr>
        <w:tc>
          <w:tcPr>
            <w:tcW w:w="3119" w:type="dxa"/>
            <w:tcBorders>
              <w:top w:val="single" w:sz="8" w:space="0" w:color="auto"/>
              <w:bottom w:val="single" w:sz="8" w:space="0" w:color="auto"/>
            </w:tcBorders>
          </w:tcPr>
          <w:p w:rsidR="00182DE9" w:rsidRDefault="00182DE9">
            <w:pPr>
              <w:pStyle w:val="nTable"/>
              <w:spacing w:after="40"/>
              <w:rPr>
                <w:b/>
                <w:sz w:val="19"/>
              </w:rPr>
            </w:pPr>
            <w:r>
              <w:rPr>
                <w:b/>
                <w:sz w:val="19"/>
              </w:rPr>
              <w:t>Citation</w:t>
            </w:r>
          </w:p>
        </w:tc>
        <w:tc>
          <w:tcPr>
            <w:tcW w:w="1276" w:type="dxa"/>
            <w:tcBorders>
              <w:top w:val="single" w:sz="8" w:space="0" w:color="auto"/>
              <w:bottom w:val="single" w:sz="8" w:space="0" w:color="auto"/>
            </w:tcBorders>
          </w:tcPr>
          <w:p w:rsidR="00182DE9" w:rsidRDefault="00182DE9">
            <w:pPr>
              <w:pStyle w:val="nTable"/>
              <w:spacing w:after="40"/>
              <w:rPr>
                <w:b/>
                <w:sz w:val="19"/>
              </w:rPr>
            </w:pPr>
            <w:r>
              <w:rPr>
                <w:b/>
                <w:sz w:val="19"/>
              </w:rPr>
              <w:t>Gazettal</w:t>
            </w:r>
          </w:p>
        </w:tc>
        <w:tc>
          <w:tcPr>
            <w:tcW w:w="2697" w:type="dxa"/>
            <w:tcBorders>
              <w:top w:val="single" w:sz="8" w:space="0" w:color="auto"/>
              <w:bottom w:val="single" w:sz="8" w:space="0" w:color="auto"/>
            </w:tcBorders>
          </w:tcPr>
          <w:p w:rsidR="00182DE9" w:rsidRDefault="00182DE9">
            <w:pPr>
              <w:pStyle w:val="nTable"/>
              <w:spacing w:after="40"/>
              <w:rPr>
                <w:b/>
                <w:sz w:val="19"/>
              </w:rPr>
            </w:pPr>
            <w:r>
              <w:rPr>
                <w:b/>
                <w:sz w:val="19"/>
              </w:rPr>
              <w:t>Commencement</w:t>
            </w:r>
          </w:p>
        </w:tc>
      </w:tr>
      <w:tr w:rsidR="00182DE9">
        <w:tc>
          <w:tcPr>
            <w:tcW w:w="3119" w:type="dxa"/>
            <w:tcBorders>
              <w:top w:val="single" w:sz="8" w:space="0" w:color="auto"/>
            </w:tcBorders>
          </w:tcPr>
          <w:p w:rsidR="00182DE9" w:rsidRDefault="00182DE9">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182DE9" w:rsidRDefault="00182DE9">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182DE9" w:rsidRDefault="00182DE9">
            <w:pPr>
              <w:pStyle w:val="nTable"/>
              <w:spacing w:after="40"/>
              <w:rPr>
                <w:sz w:val="19"/>
              </w:rPr>
            </w:pPr>
            <w:r>
              <w:rPr>
                <w:sz w:val="19"/>
              </w:rPr>
              <w:t>7 Dec 1999</w:t>
            </w:r>
          </w:p>
        </w:tc>
      </w:tr>
      <w:tr w:rsidR="00182DE9">
        <w:tc>
          <w:tcPr>
            <w:tcW w:w="3119" w:type="dxa"/>
          </w:tcPr>
          <w:p w:rsidR="00182DE9" w:rsidRDefault="00182DE9">
            <w:pPr>
              <w:pStyle w:val="nTable"/>
              <w:spacing w:after="40"/>
              <w:rPr>
                <w:i/>
                <w:sz w:val="19"/>
              </w:rPr>
            </w:pPr>
            <w:r>
              <w:rPr>
                <w:i/>
                <w:sz w:val="19"/>
              </w:rPr>
              <w:t>Evidence (Video and Audio Links Fees and Expenses) Amendment Regulations 2003</w:t>
            </w:r>
          </w:p>
        </w:tc>
        <w:tc>
          <w:tcPr>
            <w:tcW w:w="1276" w:type="dxa"/>
          </w:tcPr>
          <w:p w:rsidR="00182DE9" w:rsidRDefault="00182DE9">
            <w:pPr>
              <w:pStyle w:val="nTable"/>
              <w:spacing w:after="40"/>
              <w:rPr>
                <w:sz w:val="19"/>
              </w:rPr>
            </w:pPr>
            <w:r>
              <w:rPr>
                <w:sz w:val="19"/>
              </w:rPr>
              <w:t>30 Dec 2003 p. 5718</w:t>
            </w:r>
          </w:p>
        </w:tc>
        <w:tc>
          <w:tcPr>
            <w:tcW w:w="2697" w:type="dxa"/>
          </w:tcPr>
          <w:p w:rsidR="00182DE9" w:rsidRDefault="00182DE9">
            <w:pPr>
              <w:pStyle w:val="nTable"/>
              <w:spacing w:after="40"/>
              <w:rPr>
                <w:sz w:val="19"/>
              </w:rPr>
            </w:pPr>
            <w:r>
              <w:rPr>
                <w:sz w:val="19"/>
              </w:rPr>
              <w:t>1 Jan 2004 (see r. 2)</w:t>
            </w:r>
          </w:p>
        </w:tc>
      </w:tr>
      <w:tr w:rsidR="00182DE9">
        <w:trPr>
          <w:cantSplit/>
        </w:trPr>
        <w:tc>
          <w:tcPr>
            <w:tcW w:w="7092" w:type="dxa"/>
            <w:gridSpan w:val="3"/>
          </w:tcPr>
          <w:p w:rsidR="00182DE9" w:rsidRDefault="00182DE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2005</w:t>
            </w:r>
          </w:p>
        </w:tc>
        <w:tc>
          <w:tcPr>
            <w:tcW w:w="1276" w:type="dxa"/>
          </w:tcPr>
          <w:p w:rsidR="00182DE9" w:rsidRDefault="00182DE9">
            <w:pPr>
              <w:pStyle w:val="nTable"/>
              <w:spacing w:after="40"/>
              <w:rPr>
                <w:sz w:val="19"/>
              </w:rPr>
            </w:pPr>
            <w:r>
              <w:rPr>
                <w:sz w:val="19"/>
              </w:rPr>
              <w:t>23 Jun 2005 p. 2689</w:t>
            </w:r>
          </w:p>
        </w:tc>
        <w:tc>
          <w:tcPr>
            <w:tcW w:w="2697" w:type="dxa"/>
          </w:tcPr>
          <w:p w:rsidR="00182DE9" w:rsidRDefault="00182DE9">
            <w:pPr>
              <w:pStyle w:val="nTable"/>
              <w:spacing w:after="40"/>
              <w:rPr>
                <w:sz w:val="19"/>
              </w:rPr>
            </w:pPr>
            <w:r>
              <w:rPr>
                <w:sz w:val="19"/>
              </w:rPr>
              <w:t>1 Jul 2005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2006</w:t>
            </w:r>
          </w:p>
        </w:tc>
        <w:tc>
          <w:tcPr>
            <w:tcW w:w="1276" w:type="dxa"/>
          </w:tcPr>
          <w:p w:rsidR="00182DE9" w:rsidRDefault="00182DE9">
            <w:pPr>
              <w:pStyle w:val="nTable"/>
              <w:spacing w:after="40"/>
              <w:rPr>
                <w:sz w:val="19"/>
              </w:rPr>
            </w:pPr>
            <w:r>
              <w:rPr>
                <w:sz w:val="19"/>
              </w:rPr>
              <w:t>23 Jun 2006 p. 2190</w:t>
            </w:r>
          </w:p>
        </w:tc>
        <w:tc>
          <w:tcPr>
            <w:tcW w:w="2697" w:type="dxa"/>
          </w:tcPr>
          <w:p w:rsidR="00182DE9" w:rsidRDefault="00182DE9">
            <w:pPr>
              <w:pStyle w:val="nTable"/>
              <w:spacing w:after="40"/>
              <w:rPr>
                <w:sz w:val="19"/>
              </w:rPr>
            </w:pPr>
            <w:r>
              <w:rPr>
                <w:sz w:val="19"/>
              </w:rPr>
              <w:t>1 Jul 2006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2007</w:t>
            </w:r>
          </w:p>
        </w:tc>
        <w:tc>
          <w:tcPr>
            <w:tcW w:w="1276" w:type="dxa"/>
          </w:tcPr>
          <w:p w:rsidR="00182DE9" w:rsidRDefault="00182DE9">
            <w:pPr>
              <w:pStyle w:val="nTable"/>
              <w:spacing w:after="40"/>
              <w:rPr>
                <w:sz w:val="19"/>
              </w:rPr>
            </w:pPr>
            <w:r>
              <w:rPr>
                <w:sz w:val="19"/>
              </w:rPr>
              <w:t>26 Jun 2007 p. 3030-1</w:t>
            </w:r>
          </w:p>
        </w:tc>
        <w:tc>
          <w:tcPr>
            <w:tcW w:w="2697" w:type="dxa"/>
          </w:tcPr>
          <w:p w:rsidR="00182DE9" w:rsidRDefault="00182DE9">
            <w:pPr>
              <w:pStyle w:val="nTable"/>
              <w:spacing w:after="40"/>
              <w:rPr>
                <w:sz w:val="19"/>
              </w:rPr>
            </w:pPr>
            <w:r>
              <w:rPr>
                <w:sz w:val="19"/>
              </w:rPr>
              <w:t>r. 1 and 2: 26 Jun 2007 (see</w:t>
            </w:r>
            <w:r w:rsidR="004B43D9">
              <w:rPr>
                <w:sz w:val="19"/>
              </w:rPr>
              <w:t> </w:t>
            </w:r>
            <w:r>
              <w:rPr>
                <w:sz w:val="19"/>
              </w:rPr>
              <w:t>r. 2(a));</w:t>
            </w:r>
            <w:r>
              <w:rPr>
                <w:sz w:val="19"/>
              </w:rPr>
              <w:br/>
              <w:t>Regulations other than r. 1 and 2: 1 Jul 2007 (see r. 2(b))</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2008</w:t>
            </w:r>
          </w:p>
        </w:tc>
        <w:tc>
          <w:tcPr>
            <w:tcW w:w="1276" w:type="dxa"/>
          </w:tcPr>
          <w:p w:rsidR="00182DE9" w:rsidRDefault="00182DE9">
            <w:pPr>
              <w:pStyle w:val="nTable"/>
              <w:spacing w:after="40"/>
              <w:rPr>
                <w:sz w:val="19"/>
              </w:rPr>
            </w:pPr>
            <w:r>
              <w:rPr>
                <w:sz w:val="19"/>
              </w:rPr>
              <w:t>27 Jun 2008 p. 3072-3</w:t>
            </w:r>
          </w:p>
        </w:tc>
        <w:tc>
          <w:tcPr>
            <w:tcW w:w="2697" w:type="dxa"/>
          </w:tcPr>
          <w:p w:rsidR="00182DE9" w:rsidRDefault="00182DE9">
            <w:pPr>
              <w:pStyle w:val="nTable"/>
              <w:spacing w:after="40"/>
              <w:rPr>
                <w:sz w:val="19"/>
              </w:rPr>
            </w:pPr>
            <w:r>
              <w:rPr>
                <w:snapToGrid w:val="0"/>
                <w:sz w:val="19"/>
                <w:lang w:val="en-US"/>
              </w:rPr>
              <w:t>r. 1 and 2: 27 Jun 2008 (see</w:t>
            </w:r>
            <w:r w:rsidR="004B43D9">
              <w:rPr>
                <w:snapToGrid w:val="0"/>
                <w:sz w:val="19"/>
                <w:lang w:val="en-US"/>
              </w:rPr>
              <w:t> </w:t>
            </w:r>
            <w:r>
              <w:rPr>
                <w:snapToGrid w:val="0"/>
                <w:sz w:val="19"/>
                <w:lang w:val="en-US"/>
              </w:rPr>
              <w:t>r. 2(a));</w:t>
            </w:r>
            <w:r>
              <w:rPr>
                <w:snapToGrid w:val="0"/>
                <w:sz w:val="19"/>
                <w:lang w:val="en-US"/>
              </w:rPr>
              <w:br/>
              <w:t>Regulations other than r. 1 and 2: 1 Jul 2008 (see r. 2(b))</w:t>
            </w:r>
          </w:p>
        </w:tc>
      </w:tr>
      <w:tr w:rsidR="00182DE9">
        <w:trPr>
          <w:cantSplit/>
        </w:trPr>
        <w:tc>
          <w:tcPr>
            <w:tcW w:w="7092" w:type="dxa"/>
            <w:gridSpan w:val="3"/>
          </w:tcPr>
          <w:p w:rsidR="00182DE9" w:rsidRDefault="00182DE9">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182DE9" w:rsidRPr="004129DC" w:rsidTr="00E94175">
        <w:trPr>
          <w:cantSplit/>
        </w:trPr>
        <w:tc>
          <w:tcPr>
            <w:tcW w:w="3119" w:type="dxa"/>
          </w:tcPr>
          <w:p w:rsidR="00182DE9" w:rsidRPr="004129DC" w:rsidRDefault="00182DE9">
            <w:pPr>
              <w:pStyle w:val="nTable"/>
              <w:spacing w:after="40"/>
              <w:rPr>
                <w:rFonts w:ascii="Times" w:hAnsi="Times"/>
                <w:i/>
                <w:iCs/>
                <w:sz w:val="19"/>
              </w:rPr>
            </w:pPr>
            <w:r w:rsidRPr="004129DC">
              <w:rPr>
                <w:rFonts w:ascii="Times" w:hAnsi="Times"/>
                <w:i/>
                <w:iCs/>
                <w:sz w:val="19"/>
              </w:rPr>
              <w:t>Evidence (Video and Audio Links Fees and Expenses) Amendment Regulations 2009</w:t>
            </w:r>
          </w:p>
        </w:tc>
        <w:tc>
          <w:tcPr>
            <w:tcW w:w="1276" w:type="dxa"/>
          </w:tcPr>
          <w:p w:rsidR="00182DE9" w:rsidRPr="004129DC" w:rsidRDefault="00182DE9">
            <w:pPr>
              <w:pStyle w:val="nTable"/>
              <w:spacing w:after="40"/>
              <w:rPr>
                <w:rFonts w:ascii="Times" w:hAnsi="Times"/>
                <w:sz w:val="19"/>
              </w:rPr>
            </w:pPr>
            <w:r w:rsidRPr="004129DC">
              <w:rPr>
                <w:rFonts w:ascii="Times" w:hAnsi="Times"/>
                <w:sz w:val="19"/>
              </w:rPr>
              <w:t>4 Sep 2009 p. 3494</w:t>
            </w:r>
          </w:p>
        </w:tc>
        <w:tc>
          <w:tcPr>
            <w:tcW w:w="2697" w:type="dxa"/>
          </w:tcPr>
          <w:p w:rsidR="00182DE9" w:rsidRPr="004129DC" w:rsidRDefault="00182DE9">
            <w:pPr>
              <w:pStyle w:val="nTable"/>
              <w:spacing w:after="40"/>
              <w:rPr>
                <w:rFonts w:ascii="Times" w:hAnsi="Times"/>
                <w:sz w:val="19"/>
              </w:rPr>
            </w:pPr>
            <w:r w:rsidRPr="004129DC">
              <w:rPr>
                <w:rFonts w:ascii="Times" w:hAnsi="Times"/>
                <w:snapToGrid w:val="0"/>
                <w:sz w:val="19"/>
                <w:lang w:val="en-US"/>
              </w:rPr>
              <w:t>r. 1 and 2: 4 Sep 2009 (see r. 2(a));</w:t>
            </w:r>
            <w:r w:rsidRPr="004129DC">
              <w:rPr>
                <w:rFonts w:ascii="Times" w:hAnsi="Times"/>
                <w:snapToGrid w:val="0"/>
                <w:sz w:val="19"/>
                <w:lang w:val="en-US"/>
              </w:rPr>
              <w:br/>
              <w:t>Regulations other than r. 1 and 2: 5 Sep 2009 (see r. 2(b))</w:t>
            </w:r>
          </w:p>
        </w:tc>
      </w:tr>
      <w:tr w:rsidR="00E94175" w:rsidRPr="004129DC" w:rsidTr="004B43D9">
        <w:trPr>
          <w:cantSplit/>
        </w:trPr>
        <w:tc>
          <w:tcPr>
            <w:tcW w:w="3119" w:type="dxa"/>
          </w:tcPr>
          <w:p w:rsidR="00E94175" w:rsidRPr="004129DC" w:rsidRDefault="00E94175">
            <w:pPr>
              <w:pStyle w:val="nTable"/>
              <w:spacing w:after="40"/>
              <w:rPr>
                <w:rFonts w:ascii="Times" w:hAnsi="Times"/>
                <w:i/>
                <w:iCs/>
                <w:sz w:val="19"/>
              </w:rPr>
            </w:pPr>
            <w:r w:rsidRPr="004129DC">
              <w:rPr>
                <w:rFonts w:ascii="Times" w:hAnsi="Times"/>
                <w:i/>
                <w:iCs/>
                <w:sz w:val="19"/>
              </w:rPr>
              <w:t>Evidence (Video and Audio Links Fees and Expenses) Amendment Regulations 2011</w:t>
            </w:r>
          </w:p>
        </w:tc>
        <w:tc>
          <w:tcPr>
            <w:tcW w:w="1276" w:type="dxa"/>
          </w:tcPr>
          <w:p w:rsidR="00E94175" w:rsidRPr="004129DC" w:rsidRDefault="00E94175">
            <w:pPr>
              <w:pStyle w:val="nTable"/>
              <w:spacing w:after="40"/>
              <w:rPr>
                <w:rFonts w:ascii="Times" w:hAnsi="Times"/>
                <w:sz w:val="19"/>
              </w:rPr>
            </w:pPr>
            <w:r w:rsidRPr="004129DC">
              <w:rPr>
                <w:rFonts w:ascii="Times" w:hAnsi="Times"/>
                <w:sz w:val="19"/>
              </w:rPr>
              <w:t>8 Mar 2011 p. 798</w:t>
            </w:r>
            <w:r w:rsidRPr="004129DC">
              <w:rPr>
                <w:rFonts w:ascii="Times" w:hAnsi="Times"/>
                <w:sz w:val="19"/>
              </w:rPr>
              <w:noBreakHyphen/>
              <w:t>9</w:t>
            </w:r>
          </w:p>
        </w:tc>
        <w:tc>
          <w:tcPr>
            <w:tcW w:w="2697" w:type="dxa"/>
          </w:tcPr>
          <w:p w:rsidR="00E94175" w:rsidRPr="004129DC" w:rsidRDefault="00E94175">
            <w:pPr>
              <w:pStyle w:val="nTable"/>
              <w:spacing w:after="40"/>
              <w:rPr>
                <w:rFonts w:ascii="Times" w:hAnsi="Times"/>
                <w:snapToGrid w:val="0"/>
                <w:sz w:val="19"/>
                <w:lang w:val="en-US"/>
              </w:rPr>
            </w:pPr>
            <w:r w:rsidRPr="004129DC">
              <w:rPr>
                <w:rFonts w:ascii="Times" w:hAnsi="Times"/>
                <w:snapToGrid w:val="0"/>
                <w:sz w:val="19"/>
                <w:lang w:val="en-US"/>
              </w:rPr>
              <w:t>r. 1 and 2: 8 Mar 2011 (see</w:t>
            </w:r>
            <w:r w:rsidR="004B43D9" w:rsidRPr="004129DC">
              <w:rPr>
                <w:rFonts w:ascii="Times" w:hAnsi="Times"/>
                <w:snapToGrid w:val="0"/>
                <w:sz w:val="19"/>
                <w:lang w:val="en-US"/>
              </w:rPr>
              <w:t> </w:t>
            </w:r>
            <w:r w:rsidRPr="004129DC">
              <w:rPr>
                <w:rFonts w:ascii="Times" w:hAnsi="Times"/>
                <w:snapToGrid w:val="0"/>
                <w:sz w:val="19"/>
                <w:lang w:val="en-US"/>
              </w:rPr>
              <w:t>r. 2(a));</w:t>
            </w:r>
            <w:r w:rsidRPr="004129DC">
              <w:rPr>
                <w:rFonts w:ascii="Times" w:hAnsi="Times"/>
                <w:snapToGrid w:val="0"/>
                <w:sz w:val="19"/>
                <w:lang w:val="en-US"/>
              </w:rPr>
              <w:br/>
              <w:t>Regulations other than r. 1 and 2: 9 Mar 2011 (see r. 2(b))</w:t>
            </w:r>
          </w:p>
        </w:tc>
      </w:tr>
      <w:tr w:rsidR="00AA7416" w:rsidRPr="004129DC" w:rsidTr="00055891">
        <w:trPr>
          <w:cantSplit/>
        </w:trPr>
        <w:tc>
          <w:tcPr>
            <w:tcW w:w="3119" w:type="dxa"/>
          </w:tcPr>
          <w:p w:rsidR="00AA7416" w:rsidRPr="004129DC" w:rsidRDefault="00AA7416" w:rsidP="00AA7416">
            <w:pPr>
              <w:pStyle w:val="nTable"/>
              <w:spacing w:after="40"/>
              <w:rPr>
                <w:rFonts w:ascii="Times" w:hAnsi="Times"/>
                <w:i/>
                <w:iCs/>
                <w:sz w:val="19"/>
              </w:rPr>
            </w:pPr>
            <w:r w:rsidRPr="004129DC">
              <w:rPr>
                <w:rFonts w:ascii="Times" w:hAnsi="Times"/>
                <w:i/>
                <w:iCs/>
                <w:sz w:val="19"/>
              </w:rPr>
              <w:lastRenderedPageBreak/>
              <w:t>Evidence (Video and Audio Links Fees and Expenses) Amendment Regulations (No. 2) 2011</w:t>
            </w:r>
          </w:p>
        </w:tc>
        <w:tc>
          <w:tcPr>
            <w:tcW w:w="1276" w:type="dxa"/>
          </w:tcPr>
          <w:p w:rsidR="00AA7416" w:rsidRPr="004129DC" w:rsidRDefault="00AA7416" w:rsidP="00AA7416">
            <w:pPr>
              <w:pStyle w:val="nTable"/>
              <w:spacing w:after="40"/>
              <w:rPr>
                <w:rFonts w:ascii="Times" w:hAnsi="Times"/>
                <w:sz w:val="19"/>
              </w:rPr>
            </w:pPr>
            <w:r w:rsidRPr="004129DC">
              <w:rPr>
                <w:rFonts w:ascii="Times" w:hAnsi="Times"/>
                <w:sz w:val="19"/>
              </w:rPr>
              <w:t>20 Dec 2011 p. 5395</w:t>
            </w:r>
            <w:r w:rsidRPr="004129DC">
              <w:rPr>
                <w:rFonts w:ascii="Times" w:hAnsi="Times"/>
                <w:sz w:val="19"/>
              </w:rPr>
              <w:noBreakHyphen/>
              <w:t>6</w:t>
            </w:r>
          </w:p>
        </w:tc>
        <w:tc>
          <w:tcPr>
            <w:tcW w:w="2697" w:type="dxa"/>
          </w:tcPr>
          <w:p w:rsidR="00AA7416" w:rsidRPr="004129DC" w:rsidRDefault="00AA7416" w:rsidP="00AA7416">
            <w:pPr>
              <w:pStyle w:val="nTable"/>
              <w:spacing w:after="40"/>
              <w:rPr>
                <w:rFonts w:ascii="Times" w:hAnsi="Times"/>
                <w:snapToGrid w:val="0"/>
                <w:sz w:val="19"/>
                <w:lang w:val="en-US"/>
              </w:rPr>
            </w:pPr>
            <w:r w:rsidRPr="004129DC">
              <w:rPr>
                <w:rFonts w:ascii="Times" w:hAnsi="Times"/>
                <w:snapToGrid w:val="0"/>
                <w:sz w:val="19"/>
                <w:lang w:val="en-US"/>
              </w:rPr>
              <w:t>r. 1 and 2: 20 Dec 2011 (see</w:t>
            </w:r>
            <w:r w:rsidR="004B43D9" w:rsidRPr="004129DC">
              <w:rPr>
                <w:rFonts w:ascii="Times" w:hAnsi="Times"/>
                <w:snapToGrid w:val="0"/>
                <w:sz w:val="19"/>
                <w:lang w:val="en-US"/>
              </w:rPr>
              <w:t> </w:t>
            </w:r>
            <w:r w:rsidRPr="004129DC">
              <w:rPr>
                <w:rFonts w:ascii="Times" w:hAnsi="Times"/>
                <w:snapToGrid w:val="0"/>
                <w:sz w:val="19"/>
                <w:lang w:val="en-US"/>
              </w:rPr>
              <w:t>r. 2(a));</w:t>
            </w:r>
            <w:r w:rsidRPr="004129DC">
              <w:rPr>
                <w:rFonts w:ascii="Times" w:hAnsi="Times"/>
                <w:snapToGrid w:val="0"/>
                <w:sz w:val="19"/>
                <w:lang w:val="en-US"/>
              </w:rPr>
              <w:br/>
              <w:t>Regulations other than r. 1 and 2: 21 Dec 2011 (see r. 2(b))</w:t>
            </w:r>
          </w:p>
        </w:tc>
      </w:tr>
      <w:tr w:rsidR="00055891" w:rsidRPr="004129DC" w:rsidTr="004B78EB">
        <w:trPr>
          <w:cantSplit/>
        </w:trPr>
        <w:tc>
          <w:tcPr>
            <w:tcW w:w="3119" w:type="dxa"/>
          </w:tcPr>
          <w:p w:rsidR="00055891" w:rsidRPr="004129DC" w:rsidRDefault="00055891" w:rsidP="00AA7416">
            <w:pPr>
              <w:pStyle w:val="nTable"/>
              <w:spacing w:after="40"/>
              <w:rPr>
                <w:rFonts w:ascii="Times" w:hAnsi="Times"/>
                <w:i/>
                <w:iCs/>
                <w:sz w:val="19"/>
              </w:rPr>
            </w:pPr>
            <w:r w:rsidRPr="004129DC">
              <w:rPr>
                <w:rFonts w:ascii="Times" w:hAnsi="Times"/>
                <w:i/>
                <w:iCs/>
                <w:sz w:val="19"/>
              </w:rPr>
              <w:t>Evidence (Video and Audio Links Fees and Expenses) Amendment Regulations 2012</w:t>
            </w:r>
          </w:p>
        </w:tc>
        <w:tc>
          <w:tcPr>
            <w:tcW w:w="1276" w:type="dxa"/>
          </w:tcPr>
          <w:p w:rsidR="00055891" w:rsidRPr="004129DC" w:rsidRDefault="00055891" w:rsidP="00AA7416">
            <w:pPr>
              <w:pStyle w:val="nTable"/>
              <w:spacing w:after="40"/>
              <w:rPr>
                <w:rFonts w:ascii="Times" w:hAnsi="Times"/>
                <w:sz w:val="19"/>
              </w:rPr>
            </w:pPr>
            <w:r w:rsidRPr="004129DC">
              <w:rPr>
                <w:rFonts w:ascii="Times" w:hAnsi="Times"/>
                <w:sz w:val="19"/>
              </w:rPr>
              <w:t>9 Mar 2012 p. 931</w:t>
            </w:r>
            <w:r w:rsidRPr="004129DC">
              <w:rPr>
                <w:rFonts w:ascii="Times" w:hAnsi="Times"/>
                <w:sz w:val="19"/>
              </w:rPr>
              <w:noBreakHyphen/>
              <w:t>2</w:t>
            </w:r>
          </w:p>
        </w:tc>
        <w:tc>
          <w:tcPr>
            <w:tcW w:w="2697" w:type="dxa"/>
          </w:tcPr>
          <w:p w:rsidR="00055891" w:rsidRPr="004129DC" w:rsidRDefault="00055891" w:rsidP="00AA7416">
            <w:pPr>
              <w:pStyle w:val="nTable"/>
              <w:spacing w:after="40"/>
              <w:rPr>
                <w:rFonts w:ascii="Times" w:hAnsi="Times"/>
                <w:snapToGrid w:val="0"/>
                <w:sz w:val="19"/>
                <w:lang w:val="en-US"/>
              </w:rPr>
            </w:pPr>
            <w:r w:rsidRPr="004129DC">
              <w:rPr>
                <w:rFonts w:ascii="Times" w:hAnsi="Times"/>
                <w:snapToGrid w:val="0"/>
                <w:sz w:val="19"/>
                <w:lang w:val="en-US"/>
              </w:rPr>
              <w:t>r. 1 and 2: 9 Mar 2012 (see r. 2(a));</w:t>
            </w:r>
            <w:r w:rsidRPr="004129DC">
              <w:rPr>
                <w:rFonts w:ascii="Times" w:hAnsi="Times"/>
                <w:snapToGrid w:val="0"/>
                <w:sz w:val="19"/>
                <w:lang w:val="en-US"/>
              </w:rPr>
              <w:br/>
              <w:t>Regulations other than r. 1 and 2: 10 Mar 2012 (see r. 2(b))</w:t>
            </w:r>
          </w:p>
        </w:tc>
      </w:tr>
      <w:tr w:rsidR="004B78EB" w:rsidRPr="004129DC" w:rsidTr="00AA7416">
        <w:trPr>
          <w:cantSplit/>
        </w:trPr>
        <w:tc>
          <w:tcPr>
            <w:tcW w:w="3119" w:type="dxa"/>
            <w:tcBorders>
              <w:bottom w:val="single" w:sz="4" w:space="0" w:color="auto"/>
            </w:tcBorders>
          </w:tcPr>
          <w:p w:rsidR="004B78EB" w:rsidRPr="004129DC" w:rsidRDefault="004B78EB" w:rsidP="00AA7416">
            <w:pPr>
              <w:pStyle w:val="nTable"/>
              <w:spacing w:after="40"/>
              <w:rPr>
                <w:rFonts w:ascii="Times" w:hAnsi="Times"/>
                <w:i/>
                <w:iCs/>
                <w:sz w:val="19"/>
              </w:rPr>
            </w:pPr>
            <w:r w:rsidRPr="004129DC">
              <w:rPr>
                <w:rFonts w:ascii="Times" w:hAnsi="Times"/>
                <w:i/>
                <w:iCs/>
                <w:sz w:val="19"/>
              </w:rPr>
              <w:t>Evidence (Video and Audio Links Fees and Expenses) Amendment Regulations (No. 2) 2012</w:t>
            </w:r>
          </w:p>
        </w:tc>
        <w:tc>
          <w:tcPr>
            <w:tcW w:w="1276" w:type="dxa"/>
            <w:tcBorders>
              <w:bottom w:val="single" w:sz="4" w:space="0" w:color="auto"/>
            </w:tcBorders>
          </w:tcPr>
          <w:p w:rsidR="004B78EB" w:rsidRPr="004129DC" w:rsidRDefault="004B78EB" w:rsidP="00AA7416">
            <w:pPr>
              <w:pStyle w:val="nTable"/>
              <w:spacing w:after="40"/>
              <w:rPr>
                <w:rFonts w:ascii="Times" w:hAnsi="Times"/>
                <w:sz w:val="19"/>
              </w:rPr>
            </w:pPr>
            <w:r w:rsidRPr="004129DC">
              <w:rPr>
                <w:rFonts w:ascii="Times" w:hAnsi="Times"/>
                <w:sz w:val="19"/>
              </w:rPr>
              <w:t>30 Nov 2012 p. </w:t>
            </w:r>
            <w:r w:rsidR="004129DC" w:rsidRPr="004129DC">
              <w:rPr>
                <w:rFonts w:ascii="Times" w:hAnsi="Times"/>
                <w:sz w:val="19"/>
              </w:rPr>
              <w:t>5800</w:t>
            </w:r>
          </w:p>
        </w:tc>
        <w:tc>
          <w:tcPr>
            <w:tcW w:w="2697" w:type="dxa"/>
            <w:tcBorders>
              <w:bottom w:val="single" w:sz="4" w:space="0" w:color="auto"/>
            </w:tcBorders>
          </w:tcPr>
          <w:p w:rsidR="004B78EB" w:rsidRPr="004129DC" w:rsidRDefault="004B78EB" w:rsidP="00AA7416">
            <w:pPr>
              <w:pStyle w:val="nTable"/>
              <w:spacing w:after="40"/>
              <w:rPr>
                <w:rFonts w:ascii="Times" w:hAnsi="Times"/>
                <w:snapToGrid w:val="0"/>
                <w:sz w:val="19"/>
                <w:lang w:val="en-US"/>
              </w:rPr>
            </w:pPr>
            <w:r w:rsidRPr="004129DC">
              <w:rPr>
                <w:rFonts w:ascii="Times" w:hAnsi="Times"/>
                <w:snapToGrid w:val="0"/>
                <w:sz w:val="19"/>
                <w:lang w:val="en-US"/>
              </w:rPr>
              <w:t>r. 1 and 2: 30 Nov 2012 (see r. 2(a));</w:t>
            </w:r>
            <w:r w:rsidRPr="004129DC">
              <w:rPr>
                <w:rFonts w:ascii="Times" w:hAnsi="Times"/>
                <w:snapToGrid w:val="0"/>
                <w:sz w:val="19"/>
                <w:lang w:val="en-US"/>
              </w:rPr>
              <w:br/>
              <w:t>Regulations other than r. 1 and 2: 1 Dec 2012 (see r. 2(b))</w:t>
            </w:r>
          </w:p>
        </w:tc>
      </w:tr>
    </w:tbl>
    <w:p w:rsidR="00182DE9" w:rsidRDefault="00182DE9"/>
    <w:p w:rsidR="00182DE9" w:rsidRDefault="00182DE9">
      <w:pPr>
        <w:sectPr w:rsidR="00182DE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82DE9" w:rsidRDefault="00182DE9"/>
    <w:sectPr w:rsidR="00182DE9">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DC" w:rsidRDefault="004129DC">
      <w:r>
        <w:separator/>
      </w:r>
    </w:p>
  </w:endnote>
  <w:endnote w:type="continuationSeparator" w:id="0">
    <w:p w:rsidR="004129DC" w:rsidRDefault="0041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4129DC" w:rsidRDefault="004129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4129DC" w:rsidRDefault="004129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B34">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B34">
      <w:rPr>
        <w:rStyle w:val="PageNumber"/>
        <w:rFonts w:ascii="Arial" w:hAnsi="Arial" w:cs="Arial"/>
        <w:noProof/>
      </w:rPr>
      <w:t>i</w:t>
    </w:r>
    <w:r>
      <w:rPr>
        <w:rStyle w:val="PageNumber"/>
        <w:rFonts w:ascii="Arial" w:hAnsi="Arial" w:cs="Arial"/>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52BF">
      <w:rPr>
        <w:rStyle w:val="PageNumber"/>
        <w:rFonts w:ascii="Arial" w:hAnsi="Arial" w:cs="Arial"/>
        <w:noProof/>
      </w:rPr>
      <w:t>i</w:t>
    </w:r>
    <w:r>
      <w:rPr>
        <w:rStyle w:val="PageNumber"/>
        <w:rFonts w:ascii="Arial" w:hAnsi="Arial" w:cs="Arial"/>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2B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rsidR="004129DC" w:rsidRDefault="004129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2BF">
      <w:rPr>
        <w:rStyle w:val="CharPageNo"/>
        <w:rFonts w:ascii="Arial" w:hAnsi="Arial"/>
        <w:noProof/>
      </w:rPr>
      <w:t>5</w:t>
    </w:r>
    <w:r>
      <w:rPr>
        <w:rStyle w:val="CharPageNo"/>
        <w:rFonts w:ascii="Arial" w:hAnsi="Arial"/>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2BF">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2BF">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2BF">
      <w:rPr>
        <w:rStyle w:val="CharPageNo"/>
        <w:rFonts w:ascii="Arial" w:hAnsi="Arial"/>
        <w:noProof/>
      </w:rPr>
      <w:t>1</w:t>
    </w:r>
    <w:r>
      <w:rPr>
        <w:rStyle w:val="CharPageNo"/>
        <w:rFonts w:ascii="Arial" w:hAnsi="Arial"/>
      </w:rPr>
      <w:fldChar w:fldCharType="end"/>
    </w:r>
  </w:p>
  <w:p w:rsidR="004129DC" w:rsidRDefault="004129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DC" w:rsidRDefault="004129DC">
      <w:r>
        <w:separator/>
      </w:r>
    </w:p>
  </w:footnote>
  <w:footnote w:type="continuationSeparator" w:id="0">
    <w:p w:rsidR="004129DC" w:rsidRDefault="00412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4129DC">
          <w:pPr>
            <w:pStyle w:val="HeaderActNameLeft"/>
          </w:pPr>
          <w:fldSimple w:instr=" Styleref &quot;Name of Act/Reg&quot; ">
            <w:r w:rsidR="00B852BF">
              <w:rPr>
                <w:noProof/>
              </w:rPr>
              <w:t>Evidence (Video and Audio Links Fees and Expenses) Regulations 1999</w:t>
            </w:r>
          </w:fldSimple>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Left"/>
            <w:rPr>
              <w:b w:val="0"/>
            </w:rPr>
          </w:pPr>
          <w:r>
            <w:rPr>
              <w:b w:val="0"/>
            </w:rPr>
            <w:t>Contents</w:t>
          </w:r>
        </w:p>
      </w:tc>
    </w:tr>
  </w:tbl>
  <w:p w:rsidR="004129DC" w:rsidRDefault="004129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4129DC">
          <w:pPr>
            <w:pStyle w:val="HeaderActNameRight"/>
            <w:ind w:right="17"/>
          </w:pPr>
          <w:fldSimple w:instr=" Styleref &quot;Name of Act/Reg&quot; ">
            <w:r w:rsidR="00B852BF">
              <w:rPr>
                <w:noProof/>
              </w:rPr>
              <w:t>Evidence (Video and Audio Links Fees and Expenses) Regulations 1999</w:t>
            </w:r>
          </w:fldSimple>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rPr>
              <w:b w:val="0"/>
            </w:rPr>
          </w:pPr>
          <w:r>
            <w:rPr>
              <w:b w:val="0"/>
            </w:rPr>
            <w:t>Contents</w:t>
          </w:r>
        </w:p>
      </w:tc>
    </w:tr>
  </w:tbl>
  <w:p w:rsidR="004129DC" w:rsidRDefault="004129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4129DC">
          <w:pPr>
            <w:pStyle w:val="HeaderActNameLeft"/>
          </w:pPr>
          <w:fldSimple w:instr=" Styleref &quot;Name of Act/Reg&quot; ">
            <w:r w:rsidR="00B852BF">
              <w:rPr>
                <w:noProof/>
              </w:rPr>
              <w:t>Evidence (Video and Audio Links Fees and Expenses) Regulations 1999</w:t>
            </w:r>
          </w:fldSimple>
        </w:p>
      </w:tc>
    </w:tr>
    <w:tr w:rsidR="004129DC">
      <w:tc>
        <w:tcPr>
          <w:tcW w:w="1548" w:type="dxa"/>
        </w:tcPr>
        <w:p w:rsidR="004129DC" w:rsidRDefault="004129DC">
          <w:pPr>
            <w:pStyle w:val="HeaderNumberLeft"/>
          </w:pPr>
          <w:r>
            <w:fldChar w:fldCharType="begin"/>
          </w:r>
          <w:r>
            <w:instrText xml:space="preserve"> styleref CharPartNo </w:instrText>
          </w:r>
          <w:r>
            <w:fldChar w:fldCharType="end"/>
          </w:r>
        </w:p>
      </w:tc>
      <w:tc>
        <w:tcPr>
          <w:tcW w:w="5715" w:type="dxa"/>
        </w:tcPr>
        <w:p w:rsidR="004129DC" w:rsidRDefault="004129DC">
          <w:pPr>
            <w:pStyle w:val="HeaderTextLeft"/>
          </w:pPr>
          <w:r>
            <w:fldChar w:fldCharType="begin"/>
          </w:r>
          <w:r>
            <w:instrText xml:space="preserve"> styleref CharPartText </w:instrText>
          </w:r>
          <w:r>
            <w:fldChar w:fldCharType="end"/>
          </w:r>
        </w:p>
      </w:tc>
    </w:tr>
    <w:tr w:rsidR="004129DC">
      <w:tc>
        <w:tcPr>
          <w:tcW w:w="1548" w:type="dxa"/>
        </w:tcPr>
        <w:p w:rsidR="004129DC" w:rsidRDefault="004129DC">
          <w:pPr>
            <w:pStyle w:val="HeaderNumberLeft"/>
          </w:pPr>
          <w:r>
            <w:fldChar w:fldCharType="begin"/>
          </w:r>
          <w:r>
            <w:instrText xml:space="preserve"> styleref CharDivNo </w:instrText>
          </w:r>
          <w:r>
            <w:fldChar w:fldCharType="end"/>
          </w:r>
        </w:p>
      </w:tc>
      <w:tc>
        <w:tcPr>
          <w:tcW w:w="5715" w:type="dxa"/>
        </w:tcPr>
        <w:p w:rsidR="004129DC" w:rsidRDefault="004129DC">
          <w:pPr>
            <w:pStyle w:val="HeaderTextLeft"/>
          </w:pPr>
          <w:r>
            <w:fldChar w:fldCharType="begin"/>
          </w:r>
          <w:r>
            <w:instrText xml:space="preserve"> styleref CharDivText </w:instrText>
          </w:r>
          <w:r>
            <w:fldChar w:fldCharType="end"/>
          </w:r>
        </w:p>
      </w:tc>
    </w:tr>
    <w:tr w:rsidR="004129DC">
      <w:trPr>
        <w:cantSplit/>
      </w:trPr>
      <w:tc>
        <w:tcPr>
          <w:tcW w:w="7258" w:type="dxa"/>
          <w:gridSpan w:val="2"/>
        </w:tcPr>
        <w:p w:rsidR="004129DC" w:rsidRDefault="004129DC">
          <w:pPr>
            <w:pStyle w:val="HeaderSectionLeft"/>
          </w:pPr>
          <w:r>
            <w:t xml:space="preserve">r. </w:t>
          </w:r>
          <w:fldSimple w:instr=" styleref CharSectno ">
            <w:r w:rsidR="00B852BF">
              <w:rPr>
                <w:noProof/>
              </w:rPr>
              <w:t>1</w:t>
            </w:r>
          </w:fldSimple>
        </w:p>
      </w:tc>
    </w:tr>
  </w:tbl>
  <w:p w:rsidR="004129DC" w:rsidRDefault="004129D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4129DC">
          <w:pPr>
            <w:pStyle w:val="HeaderActNameRight"/>
            <w:ind w:right="17"/>
          </w:pPr>
          <w:fldSimple w:instr=" Styleref &quot;Name of Act/Reg&quot; ">
            <w:r w:rsidR="00B852BF">
              <w:rPr>
                <w:noProof/>
              </w:rPr>
              <w:t>Evidence (Video and Audio Links Fees and Expenses) Regulations 1999</w:t>
            </w:r>
          </w:fldSimple>
        </w:p>
      </w:tc>
    </w:tr>
    <w:tr w:rsidR="004129DC">
      <w:tc>
        <w:tcPr>
          <w:tcW w:w="5715" w:type="dxa"/>
        </w:tcPr>
        <w:p w:rsidR="004129DC" w:rsidRDefault="004129DC">
          <w:pPr>
            <w:pStyle w:val="HeaderTextRight"/>
          </w:pPr>
          <w:r>
            <w:fldChar w:fldCharType="begin"/>
          </w:r>
          <w:r>
            <w:instrText xml:space="preserve"> styleref CharPartText </w:instrText>
          </w:r>
          <w:r>
            <w:fldChar w:fldCharType="end"/>
          </w:r>
        </w:p>
      </w:tc>
      <w:tc>
        <w:tcPr>
          <w:tcW w:w="1548" w:type="dxa"/>
        </w:tcPr>
        <w:p w:rsidR="004129DC" w:rsidRDefault="004129DC">
          <w:pPr>
            <w:pStyle w:val="HeaderNumberRight"/>
            <w:ind w:right="17"/>
          </w:pPr>
          <w:r>
            <w:fldChar w:fldCharType="begin"/>
          </w:r>
          <w:r>
            <w:instrText xml:space="preserve"> styleref CharPartNo </w:instrText>
          </w:r>
          <w:r>
            <w:fldChar w:fldCharType="end"/>
          </w:r>
        </w:p>
      </w:tc>
    </w:tr>
    <w:tr w:rsidR="004129DC">
      <w:tc>
        <w:tcPr>
          <w:tcW w:w="5715" w:type="dxa"/>
        </w:tcPr>
        <w:p w:rsidR="004129DC" w:rsidRDefault="004129DC">
          <w:pPr>
            <w:pStyle w:val="HeaderTextRight"/>
          </w:pPr>
          <w:r>
            <w:fldChar w:fldCharType="begin"/>
          </w:r>
          <w:r>
            <w:instrText xml:space="preserve"> styleref CharDivText </w:instrText>
          </w:r>
          <w:r>
            <w:fldChar w:fldCharType="end"/>
          </w:r>
        </w:p>
      </w:tc>
      <w:tc>
        <w:tcPr>
          <w:tcW w:w="1548" w:type="dxa"/>
        </w:tcPr>
        <w:p w:rsidR="004129DC" w:rsidRDefault="004129DC">
          <w:pPr>
            <w:pStyle w:val="HeaderNumberRight"/>
            <w:ind w:right="17"/>
          </w:pPr>
          <w:r>
            <w:fldChar w:fldCharType="begin"/>
          </w:r>
          <w:r>
            <w:instrText xml:space="preserve"> styleref CharDivNo </w:instrText>
          </w:r>
          <w:r>
            <w:fldChar w:fldCharType="end"/>
          </w:r>
        </w:p>
      </w:tc>
    </w:tr>
    <w:tr w:rsidR="004129DC">
      <w:trPr>
        <w:cantSplit/>
      </w:trPr>
      <w:tc>
        <w:tcPr>
          <w:tcW w:w="7258" w:type="dxa"/>
          <w:gridSpan w:val="2"/>
        </w:tcPr>
        <w:p w:rsidR="004129DC" w:rsidRDefault="004129DC">
          <w:pPr>
            <w:pStyle w:val="HeaderSectionRight"/>
            <w:ind w:right="17"/>
          </w:pPr>
          <w:r>
            <w:t xml:space="preserve">r. </w:t>
          </w:r>
          <w:fldSimple w:instr=" styleref CharSectno ">
            <w:r w:rsidR="00B852BF">
              <w:rPr>
                <w:noProof/>
              </w:rPr>
              <w:t>1</w:t>
            </w:r>
          </w:fldSimple>
        </w:p>
      </w:tc>
    </w:tr>
  </w:tbl>
  <w:p w:rsidR="004129DC" w:rsidRDefault="004129D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129DC">
      <w:trPr>
        <w:cantSplit/>
      </w:trPr>
      <w:tc>
        <w:tcPr>
          <w:tcW w:w="7258" w:type="dxa"/>
          <w:gridSpan w:val="2"/>
        </w:tcPr>
        <w:p w:rsidR="004129DC" w:rsidRDefault="004129DC">
          <w:pPr>
            <w:pStyle w:val="HeaderActNameLeft"/>
          </w:pPr>
          <w:fldSimple w:instr=" Styleref &quot;Name of Act/Reg&quot; ">
            <w:r w:rsidR="00B852BF">
              <w:rPr>
                <w:noProof/>
              </w:rPr>
              <w:t>Evidence (Video and Audio Links Fees and Expenses) Regulations 1999</w:t>
            </w:r>
          </w:fldSimple>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rPr>
        <w:cantSplit/>
      </w:trPr>
      <w:tc>
        <w:tcPr>
          <w:tcW w:w="1490" w:type="dxa"/>
        </w:tcPr>
        <w:p w:rsidR="004129DC" w:rsidRDefault="004129DC">
          <w:pPr>
            <w:pStyle w:val="HeaderSectionRight"/>
            <w:ind w:right="17"/>
            <w:jc w:val="left"/>
          </w:pPr>
          <w:r>
            <w:fldChar w:fldCharType="begin"/>
          </w:r>
          <w:r>
            <w:instrText xml:space="preserve"> STYLEREF CharSchNo \* MERGEFORMAT </w:instrText>
          </w:r>
          <w:r>
            <w:fldChar w:fldCharType="end"/>
          </w:r>
        </w:p>
      </w:tc>
      <w:tc>
        <w:tcPr>
          <w:tcW w:w="5768" w:type="dxa"/>
        </w:tcPr>
        <w:p w:rsidR="004129DC" w:rsidRDefault="004129D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4129DC" w:rsidRDefault="004129D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63" w:type="dxa"/>
          <w:gridSpan w:val="2"/>
        </w:tcPr>
        <w:p w:rsidR="004129DC" w:rsidRDefault="004129DC">
          <w:pPr>
            <w:pStyle w:val="HeaderActNameRight"/>
            <w:ind w:right="17"/>
          </w:pPr>
          <w:fldSimple w:instr=" Styleref &quot;Name of Act/Reg&quot; ">
            <w:r w:rsidR="00B852BF">
              <w:rPr>
                <w:noProof/>
              </w:rPr>
              <w:t>Evidence (Video and Audio Links Fees and Expenses) Regulations 1999</w:t>
            </w:r>
          </w:fldSimple>
        </w:p>
      </w:tc>
    </w:tr>
    <w:tr w:rsidR="004129DC">
      <w:tc>
        <w:tcPr>
          <w:tcW w:w="5715" w:type="dxa"/>
          <w:vAlign w:val="bottom"/>
        </w:tcPr>
        <w:p w:rsidR="004129DC" w:rsidRDefault="004129DC">
          <w:pPr>
            <w:pStyle w:val="HeaderTextRight"/>
          </w:pPr>
          <w:r>
            <w:fldChar w:fldCharType="begin"/>
          </w:r>
          <w:r>
            <w:instrText xml:space="preserve"> styleref CharSchText </w:instrText>
          </w:r>
          <w:r>
            <w:fldChar w:fldCharType="end"/>
          </w:r>
        </w:p>
      </w:tc>
      <w:tc>
        <w:tcPr>
          <w:tcW w:w="1548" w:type="dxa"/>
        </w:tcPr>
        <w:p w:rsidR="004129DC" w:rsidRDefault="004129DC">
          <w:pPr>
            <w:pStyle w:val="HeaderNumberRight"/>
            <w:ind w:right="17"/>
          </w:pPr>
          <w:r>
            <w:fldChar w:fldCharType="begin"/>
          </w:r>
          <w:r>
            <w:instrText xml:space="preserve"> styleref CharSchno </w:instrText>
          </w:r>
          <w: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rPr>
              <w:bCs/>
            </w:rPr>
          </w:pPr>
        </w:p>
      </w:tc>
    </w:tr>
  </w:tbl>
  <w:p w:rsidR="004129DC" w:rsidRDefault="004129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4129DC">
          <w:pPr>
            <w:pStyle w:val="HeaderActNameLeft"/>
          </w:pPr>
          <w:fldSimple w:instr=" Styleref &quot;Name of Act/Reg&quot; ">
            <w:r w:rsidR="00B852BF">
              <w:rPr>
                <w:noProof/>
              </w:rPr>
              <w:t>Evidence (Video and Audio Links Fees and Expenses) Regulations 1999</w:t>
            </w:r>
          </w:fldSimple>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Right"/>
            <w:ind w:right="17"/>
            <w:jc w:val="left"/>
          </w:pPr>
        </w:p>
      </w:tc>
    </w:tr>
  </w:tbl>
  <w:p w:rsidR="004129DC" w:rsidRDefault="004129D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4129DC">
          <w:pPr>
            <w:pStyle w:val="HeaderActNameRight"/>
            <w:ind w:right="17"/>
          </w:pPr>
          <w:fldSimple w:instr=" Styleref &quot;Name of Act/Reg&quot; ">
            <w:r w:rsidR="00B852BF">
              <w:rPr>
                <w:noProof/>
              </w:rPr>
              <w:t>Evidence (Video and Audio Links Fees and Expenses) Regulations 1999</w:t>
            </w:r>
          </w:fldSimple>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pPr>
        </w:p>
      </w:tc>
    </w:tr>
  </w:tbl>
  <w:p w:rsidR="004129DC" w:rsidRDefault="004129D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175"/>
    <w:rsid w:val="00055891"/>
    <w:rsid w:val="000779C0"/>
    <w:rsid w:val="000A7C98"/>
    <w:rsid w:val="00182DE9"/>
    <w:rsid w:val="002D3D8F"/>
    <w:rsid w:val="004129DC"/>
    <w:rsid w:val="00461548"/>
    <w:rsid w:val="004B43D9"/>
    <w:rsid w:val="004B78EB"/>
    <w:rsid w:val="006A258C"/>
    <w:rsid w:val="00952A05"/>
    <w:rsid w:val="009859E4"/>
    <w:rsid w:val="009F22CF"/>
    <w:rsid w:val="00A51CC5"/>
    <w:rsid w:val="00AA7416"/>
    <w:rsid w:val="00B30986"/>
    <w:rsid w:val="00B852BF"/>
    <w:rsid w:val="00BA5B34"/>
    <w:rsid w:val="00DC4184"/>
    <w:rsid w:val="00E35D71"/>
    <w:rsid w:val="00E94175"/>
    <w:rsid w:val="00FE3A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1109</Words>
  <Characters>4817</Characters>
  <Application>Microsoft Office Word</Application>
  <DocSecurity>0</DocSecurity>
  <Lines>218</Lines>
  <Paragraphs>131</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1999 - 02-f0-01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2013-02-14T14:59:00Z</dcterms:created>
  <dcterms:modified xsi:type="dcterms:W3CDTF">2013-02-14T14:59:00Z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1191</vt:i4>
  </property>
  <property fmtid="{D5CDD505-2E9C-101B-9397-08002B2CF9AE}" pid="6" name="AsAtDate">
    <vt:lpwstr>01 Dec 2012</vt:lpwstr>
  </property>
  <property fmtid="{D5CDD505-2E9C-101B-9397-08002B2CF9AE}" pid="7" name="Suffix">
    <vt:lpwstr>02-f0-01</vt:lpwstr>
  </property>
  <property fmtid="{D5CDD505-2E9C-101B-9397-08002B2CF9AE}" pid="8" name="ReprintNo">
    <vt:lpwstr>2</vt:lpwstr>
  </property>
</Properties>
</file>