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_Toc430171133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_Toc430171134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_Toc430171136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_Toc430171137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3153077"/>
      <w:bookmarkStart w:id="5" w:name="_Toc413153127"/>
      <w:bookmarkStart w:id="6" w:name="_Toc43017113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30171133"/>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8" w:name="_Toc430171134"/>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9" w:name="_Toc413153080"/>
      <w:bookmarkStart w:id="10" w:name="_Toc413153130"/>
      <w:bookmarkStart w:id="11" w:name="_Toc430171135"/>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2" w:name="_Toc430171136"/>
      <w:r>
        <w:rPr>
          <w:snapToGrid w:val="0"/>
        </w:rP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 w:name="_Toc430171137"/>
      <w:r>
        <w:rPr>
          <w:snapToGrid w:val="0"/>
        </w:rPr>
        <w:t>Provisions that have not come into operation</w:t>
      </w:r>
      <w:bookmarkEnd w:id="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single" w:sz="4" w:space="0" w:color="auto"/>
            </w:tcBorders>
          </w:tcPr>
          <w:p>
            <w:pPr>
              <w:pStyle w:val="nTable"/>
              <w:spacing w:after="40"/>
              <w:rPr>
                <w:snapToGrid w:val="0"/>
              </w:rPr>
            </w:pPr>
            <w:r>
              <w:rPr>
                <w:snapToGrid w:val="0"/>
              </w:rPr>
              <w:t>7 of 2012 (as amended by No. 48 of 2012 Pt. 4 Div. 7A)</w:t>
            </w:r>
          </w:p>
        </w:tc>
        <w:tc>
          <w:tcPr>
            <w:tcW w:w="1134" w:type="dxa"/>
            <w:tcBorders>
              <w:top w:val="single" w:sz="4" w:space="0" w:color="auto"/>
              <w:bottom w:val="single" w:sz="4" w:space="0" w:color="auto"/>
            </w:tcBorders>
          </w:tcPr>
          <w:p>
            <w:pPr>
              <w:pStyle w:val="nTable"/>
              <w:spacing w:after="40"/>
              <w:rPr>
                <w:snapToGrid w:val="0"/>
              </w:rPr>
            </w:pPr>
            <w:r>
              <w:t>21 May 2012</w:t>
            </w:r>
          </w:p>
        </w:tc>
        <w:tc>
          <w:tcPr>
            <w:tcW w:w="2552" w:type="dxa"/>
            <w:tcBorders>
              <w:top w:val="single" w:sz="4" w:space="0" w:color="auto"/>
              <w:bottom w:val="single" w:sz="4" w:space="0" w:color="auto"/>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
        </w:rPr>
      </w:pPr>
      <w:r>
        <w:tab/>
      </w:r>
      <w:r>
        <w:rPr>
          <w:i/>
        </w:rPr>
        <w:t>[Section 5 amended by No. 48 of 2012 s. 74.]</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pPr>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nz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pPr>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nzMiscellaneousBody"/>
        <w:tabs>
          <w:tab w:val="left" w:pos="1418"/>
        </w:tabs>
        <w:rPr>
          <w:snapToGrid w:val="0"/>
        </w:rPr>
      </w:pPr>
      <w:r>
        <w:tab/>
      </w:r>
      <w:r>
        <w:rPr>
          <w:i/>
        </w:rPr>
        <w:t>[Section 16 amended by No. 48 of 2012 s. 75.]</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43, 95G or 95J. </w:t>
      </w:r>
    </w:p>
    <w:p>
      <w:pPr>
        <w:pStyle w:val="nzMiscellaneousBody"/>
        <w:tabs>
          <w:tab w:val="left" w:pos="1418"/>
        </w:tabs>
      </w:pPr>
      <w:r>
        <w:tab/>
      </w:r>
      <w:r>
        <w:rPr>
          <w:i/>
        </w:rPr>
        <w:t>[Section 8 amended by No. 48 of 2012 s. 76.]</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impose penalties not exceeding a fine of 24 PU for a first offence, and not exceeding a fine of 48 PU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p>
    <w:p>
      <w:pPr>
        <w:pStyle w:val="BlankOpen"/>
        <w:rPr>
          <w:snapToGrid w:val="0"/>
        </w:rPr>
      </w:pPr>
    </w:p>
    <w:p>
      <w:pPr>
        <w:pStyle w:val="nzHeading5"/>
      </w:pPr>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p>
    <w:p>
      <w:pPr>
        <w:pStyle w:val="nzHeading5"/>
      </w:pPr>
      <w:r>
        <w:rPr>
          <w:rStyle w:val="CharSectno"/>
        </w:rPr>
        <w:t>73</w:t>
      </w:r>
      <w:r>
        <w:t>.</w:t>
      </w:r>
      <w:r>
        <w:tab/>
        <w:t>Act amended</w:t>
      </w:r>
    </w:p>
    <w:p>
      <w:pPr>
        <w:pStyle w:val="nzSubsection"/>
      </w:pPr>
      <w:r>
        <w:tab/>
      </w:r>
      <w:r>
        <w:tab/>
        <w:t xml:space="preserve">This Division amends the </w:t>
      </w:r>
      <w:r>
        <w:rPr>
          <w:i/>
        </w:rPr>
        <w:t>Road Traffic (Vehicles) Act 2012</w:t>
      </w:r>
      <w:r>
        <w:t>.</w:t>
      </w:r>
    </w:p>
    <w:p>
      <w:pPr>
        <w:pStyle w:val="nzHeading5"/>
      </w:pPr>
      <w:r>
        <w:rPr>
          <w:rStyle w:val="CharSectno"/>
        </w:rPr>
        <w:t>74</w:t>
      </w:r>
      <w:r>
        <w:t>.</w:t>
      </w:r>
      <w:r>
        <w:tab/>
        <w:t>Section 5 amended</w:t>
      </w:r>
    </w:p>
    <w:p>
      <w:pPr>
        <w:pStyle w:val="nzSubsection"/>
      </w:pPr>
      <w:r>
        <w:tab/>
      </w:r>
      <w:r>
        <w:tab/>
        <w:t>In section 5(3):</w:t>
      </w:r>
    </w:p>
    <w:p>
      <w:pPr>
        <w:pStyle w:val="nzIndenta"/>
      </w:pPr>
      <w:r>
        <w:tab/>
        <w:t>(a)</w:t>
      </w:r>
      <w:r>
        <w:tab/>
        <w:t>in paragraph (e) delete “vehicle.” and insert:</w:t>
      </w:r>
    </w:p>
    <w:p>
      <w:pPr>
        <w:pStyle w:val="BlankOpen"/>
      </w:pPr>
    </w:p>
    <w:p>
      <w:pPr>
        <w:pStyle w:val="nzIndenta"/>
      </w:pPr>
      <w:r>
        <w:tab/>
      </w:r>
      <w:r>
        <w:tab/>
        <w:t>vehicle; and</w:t>
      </w:r>
    </w:p>
    <w:p>
      <w:pPr>
        <w:pStyle w:val="BlankClose"/>
        <w:keepNext/>
      </w:pPr>
    </w:p>
    <w:p>
      <w:pPr>
        <w:pStyle w:val="nzIndenta"/>
      </w:pPr>
      <w:r>
        <w:tab/>
        <w:t>(b)</w:t>
      </w:r>
      <w:r>
        <w:tab/>
        <w:t>after paragraph (e) insert:</w:t>
      </w:r>
    </w:p>
    <w:p>
      <w:pPr>
        <w:pStyle w:val="BlankOpen"/>
      </w:pP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BlankClose"/>
      </w:pPr>
    </w:p>
    <w:p>
      <w:pPr>
        <w:pStyle w:val="nzHeading5"/>
      </w:pPr>
      <w:r>
        <w:rPr>
          <w:rStyle w:val="CharSectno"/>
        </w:rPr>
        <w:t>75</w:t>
      </w:r>
      <w:r>
        <w:t>.</w:t>
      </w:r>
      <w:r>
        <w:tab/>
        <w:t>Section 16 amended</w:t>
      </w:r>
    </w:p>
    <w:p>
      <w:pPr>
        <w:pStyle w:val="nzSubsection"/>
      </w:pPr>
      <w:r>
        <w:tab/>
        <w:t>(1)</w:t>
      </w:r>
      <w:r>
        <w:tab/>
        <w:t>After section 16(1)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16(2) delete “Subsection (1) does” and insert:</w:t>
      </w:r>
    </w:p>
    <w:p>
      <w:pPr>
        <w:pStyle w:val="BlankOpen"/>
      </w:pPr>
    </w:p>
    <w:p>
      <w:pPr>
        <w:pStyle w:val="nzSubsection"/>
      </w:pPr>
      <w:r>
        <w:tab/>
      </w:r>
      <w:r>
        <w:tab/>
        <w:t>Subsections (1) and (2A) do</w:t>
      </w:r>
    </w:p>
    <w:p>
      <w:pPr>
        <w:pStyle w:val="BlankClose"/>
      </w:pPr>
    </w:p>
    <w:p>
      <w:pPr>
        <w:pStyle w:val="nzSubsection"/>
      </w:pPr>
      <w:r>
        <w:tab/>
        <w:t>(3)</w:t>
      </w:r>
      <w:r>
        <w:tab/>
        <w:t>After section 16(3) insert:</w:t>
      </w:r>
    </w:p>
    <w:p>
      <w:pPr>
        <w:pStyle w:val="BlankOpen"/>
      </w:pPr>
    </w:p>
    <w:p>
      <w:pPr>
        <w:pStyle w:val="nzSubsection"/>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BlankClose"/>
      </w:pPr>
    </w:p>
    <w:p>
      <w:pPr>
        <w:pStyle w:val="nzHeading5"/>
      </w:pPr>
      <w:r>
        <w:rPr>
          <w:rStyle w:val="CharSectno"/>
        </w:rPr>
        <w:t>76</w:t>
      </w:r>
      <w:r>
        <w:t>.</w:t>
      </w:r>
      <w:r>
        <w:tab/>
        <w:t>Section 125 amended</w:t>
      </w:r>
    </w:p>
    <w:p>
      <w:pPr>
        <w:pStyle w:val="nzSubsection"/>
      </w:pPr>
      <w:r>
        <w:tab/>
      </w:r>
      <w:r>
        <w:tab/>
        <w:t>In section 125(8) delete “section 19 or 43.” and insert:</w:t>
      </w:r>
    </w:p>
    <w:p>
      <w:pPr>
        <w:pStyle w:val="BlankOpen"/>
      </w:pPr>
    </w:p>
    <w:p>
      <w:pPr>
        <w:pStyle w:val="nzSubsection"/>
      </w:pPr>
      <w:r>
        <w:tab/>
      </w:r>
      <w:r>
        <w:tab/>
        <w:t>section 19, 43, 95G or 95J.</w:t>
      </w:r>
    </w:p>
    <w:p>
      <w:pPr>
        <w:pStyle w:val="BlankClose"/>
      </w:pPr>
    </w:p>
    <w:p>
      <w:pPr>
        <w:pStyle w:val="BlankClose"/>
      </w:pPr>
    </w:p>
    <w:p/>
    <w:p>
      <w:pPr>
        <w:sectPr>
          <w:headerReference w:type="even" r:id="rId27"/>
          <w:headerReference w:type="default" r:id="rId28"/>
          <w:headerReference w:type="first" r:id="rId29"/>
          <w:pgSz w:w="11907" w:h="16840" w:code="9"/>
          <w:pgMar w:top="2376" w:right="2404" w:bottom="3544" w:left="2404" w:header="720"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57"/>
    <w:docVar w:name="WAFER_20140115163319" w:val="RemoveTocBookmarks,RemoveUnusedBookmarks,RemoveLanguageTags,UsedStyles,ResetPageSize,UpdateArrangement"/>
    <w:docVar w:name="WAFER_20140115163319_GUID" w:val="65edc346-cf19-4d80-8ee1-50231d3653a3"/>
    <w:docVar w:name="WAFER_20150916121557" w:val="ResetPageSize,UpdateArrangement,UpdateNTable"/>
    <w:docVar w:name="WAFER_20150916121557_GUID" w:val="aef6ad0a-f0fb-40b9-9de2-0b47973fb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FD6C2-ABEA-46C9-B31A-2F1ECACF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28104</Words>
  <Characters>133216</Characters>
  <Application>Microsoft Office Word</Application>
  <DocSecurity>0</DocSecurity>
  <Lines>3600</Lines>
  <Paragraphs>1943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159377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2012 - 00-b0-05</dc:title>
  <dc:subject/>
  <dc:creator/>
  <cp:keywords/>
  <dc:description/>
  <cp:lastModifiedBy>svcMRProcess</cp:lastModifiedBy>
  <cp:revision>4</cp:revision>
  <cp:lastPrinted>2013-08-20T04:31:00Z</cp:lastPrinted>
  <dcterms:created xsi:type="dcterms:W3CDTF">2018-09-18T22:19:00Z</dcterms:created>
  <dcterms:modified xsi:type="dcterms:W3CDTF">2018-09-18T22:19:00Z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20121129</vt:lpwstr>
  </property>
  <property fmtid="{D5CDD505-2E9C-101B-9397-08002B2CF9AE}" pid="4" name="DocumentType">
    <vt:lpwstr>Act</vt:lpwstr>
  </property>
  <property fmtid="{D5CDD505-2E9C-101B-9397-08002B2CF9AE}" pid="5" name="AsAtDate">
    <vt:lpwstr>29 Nov 2012</vt:lpwstr>
  </property>
  <property fmtid="{D5CDD505-2E9C-101B-9397-08002B2CF9AE}" pid="6" name="Suffix">
    <vt:lpwstr>00-b0-05</vt:lpwstr>
  </property>
</Properties>
</file>