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Curriculum and Standards Authority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Curriculum and Standards Authority Act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_Toc377111912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_Toc377111913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_Toc377111914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Act</w:t>
      </w:r>
      <w:r>
        <w:tab/>
      </w:r>
      <w:r>
        <w:fldChar w:fldCharType="begin"/>
      </w:r>
      <w:r>
        <w:instrText xml:space="preserve"> PAGEREF _Toc377111915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The School Curriculum and Standards Authority and committees</w:t>
      </w:r>
    </w:p>
    <w:p>
      <w:pPr>
        <w:pStyle w:val="TOC4"/>
        <w:tabs>
          <w:tab w:val="right" w:leader="dot" w:pos="7086"/>
        </w:tabs>
        <w:rPr>
          <w:rFonts w:asciiTheme="minorHAnsi" w:eastAsiaTheme="minorEastAsia" w:hAnsiTheme="minorHAnsi" w:cstheme="minorBidi"/>
          <w:b w:val="0"/>
          <w:szCs w:val="22"/>
        </w:rPr>
      </w:pPr>
      <w:r>
        <w:t>Division 1 — School Curriculum and Standards Authority</w:t>
      </w:r>
    </w:p>
    <w:p>
      <w:pPr>
        <w:pStyle w:val="TOC8"/>
        <w:rPr>
          <w:rFonts w:asciiTheme="minorHAnsi" w:eastAsiaTheme="minorEastAsia" w:hAnsiTheme="minorHAnsi" w:cstheme="minorBidi"/>
          <w:szCs w:val="22"/>
        </w:rPr>
      </w:pPr>
      <w:r>
        <w:t>5.</w:t>
      </w:r>
      <w:r>
        <w:tab/>
        <w:t>Authority established; status etc. of Authority</w:t>
      </w:r>
      <w:r>
        <w:tab/>
      </w:r>
      <w:r>
        <w:fldChar w:fldCharType="begin"/>
      </w:r>
      <w:r>
        <w:instrText xml:space="preserve"> PAGEREF _Toc377111918 \h </w:instrText>
      </w:r>
      <w:r>
        <w:fldChar w:fldCharType="separate"/>
      </w:r>
      <w:r>
        <w:t>6</w:t>
      </w:r>
      <w:r>
        <w:fldChar w:fldCharType="end"/>
      </w:r>
    </w:p>
    <w:p>
      <w:pPr>
        <w:pStyle w:val="TOC8"/>
        <w:rPr>
          <w:rFonts w:asciiTheme="minorHAnsi" w:eastAsiaTheme="minorEastAsia" w:hAnsiTheme="minorHAnsi" w:cstheme="minorBidi"/>
          <w:szCs w:val="22"/>
        </w:rPr>
      </w:pPr>
      <w:r>
        <w:t>6.</w:t>
      </w:r>
      <w:r>
        <w:tab/>
        <w:t>Board of Authority</w:t>
      </w:r>
      <w:r>
        <w:tab/>
      </w:r>
      <w:r>
        <w:fldChar w:fldCharType="begin"/>
      </w:r>
      <w:r>
        <w:instrText xml:space="preserve"> PAGEREF _Toc377111919 \h </w:instrText>
      </w:r>
      <w:r>
        <w:fldChar w:fldCharType="separate"/>
      </w:r>
      <w:r>
        <w:t>6</w:t>
      </w:r>
      <w:r>
        <w:fldChar w:fldCharType="end"/>
      </w:r>
    </w:p>
    <w:p>
      <w:pPr>
        <w:pStyle w:val="TOC8"/>
        <w:rPr>
          <w:rFonts w:asciiTheme="minorHAnsi" w:eastAsiaTheme="minorEastAsia" w:hAnsiTheme="minorHAnsi" w:cstheme="minorBidi"/>
          <w:szCs w:val="22"/>
        </w:rPr>
      </w:pPr>
      <w:r>
        <w:t>7A.</w:t>
      </w:r>
      <w:r>
        <w:tab/>
        <w:t>Board, members of</w:t>
      </w:r>
      <w:r>
        <w:tab/>
      </w:r>
      <w:r>
        <w:fldChar w:fldCharType="begin"/>
      </w:r>
      <w:r>
        <w:instrText xml:space="preserve"> PAGEREF _Toc377111920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Committees</w:t>
      </w:r>
    </w:p>
    <w:p>
      <w:pPr>
        <w:pStyle w:val="TOC8"/>
        <w:rPr>
          <w:rFonts w:asciiTheme="minorHAnsi" w:eastAsiaTheme="minorEastAsia" w:hAnsiTheme="minorHAnsi" w:cstheme="minorBidi"/>
          <w:szCs w:val="22"/>
        </w:rPr>
      </w:pPr>
      <w:r>
        <w:t>7B.</w:t>
      </w:r>
      <w:r>
        <w:tab/>
        <w:t>Standards Committee established; members of</w:t>
      </w:r>
      <w:r>
        <w:tab/>
      </w:r>
      <w:r>
        <w:fldChar w:fldCharType="begin"/>
      </w:r>
      <w:r>
        <w:instrText xml:space="preserve"> PAGEREF _Toc377111922 \h </w:instrText>
      </w:r>
      <w:r>
        <w:fldChar w:fldCharType="separate"/>
      </w:r>
      <w:r>
        <w:t>7</w:t>
      </w:r>
      <w:r>
        <w:fldChar w:fldCharType="end"/>
      </w:r>
    </w:p>
    <w:p>
      <w:pPr>
        <w:pStyle w:val="TOC8"/>
        <w:rPr>
          <w:rFonts w:asciiTheme="minorHAnsi" w:eastAsiaTheme="minorEastAsia" w:hAnsiTheme="minorHAnsi" w:cstheme="minorBidi"/>
          <w:szCs w:val="22"/>
        </w:rPr>
      </w:pPr>
      <w:r>
        <w:t>7C.</w:t>
      </w:r>
      <w:r>
        <w:tab/>
        <w:t>Standards Committee, functions of</w:t>
      </w:r>
      <w:r>
        <w:tab/>
      </w:r>
      <w:r>
        <w:fldChar w:fldCharType="begin"/>
      </w:r>
      <w:r>
        <w:instrText xml:space="preserve"> PAGEREF _Toc377111923 \h </w:instrText>
      </w:r>
      <w:r>
        <w:fldChar w:fldCharType="separate"/>
      </w:r>
      <w:r>
        <w:t>7</w:t>
      </w:r>
      <w:r>
        <w:fldChar w:fldCharType="end"/>
      </w:r>
    </w:p>
    <w:p>
      <w:pPr>
        <w:pStyle w:val="TOC8"/>
        <w:rPr>
          <w:rFonts w:asciiTheme="minorHAnsi" w:eastAsiaTheme="minorEastAsia" w:hAnsiTheme="minorHAnsi" w:cstheme="minorBidi"/>
          <w:szCs w:val="22"/>
        </w:rPr>
      </w:pPr>
      <w:r>
        <w:t>7D.</w:t>
      </w:r>
      <w:r>
        <w:tab/>
        <w:t>Curriculum and Assessment Committee established; members of</w:t>
      </w:r>
      <w:r>
        <w:tab/>
      </w:r>
      <w:r>
        <w:fldChar w:fldCharType="begin"/>
      </w:r>
      <w:r>
        <w:instrText xml:space="preserve"> PAGEREF _Toc377111924 \h </w:instrText>
      </w:r>
      <w:r>
        <w:fldChar w:fldCharType="separate"/>
      </w:r>
      <w:r>
        <w:t>8</w:t>
      </w:r>
      <w:r>
        <w:fldChar w:fldCharType="end"/>
      </w:r>
    </w:p>
    <w:p>
      <w:pPr>
        <w:pStyle w:val="TOC8"/>
        <w:rPr>
          <w:rFonts w:asciiTheme="minorHAnsi" w:eastAsiaTheme="minorEastAsia" w:hAnsiTheme="minorHAnsi" w:cstheme="minorBidi"/>
          <w:szCs w:val="22"/>
        </w:rPr>
      </w:pPr>
      <w:r>
        <w:t>7E.</w:t>
      </w:r>
      <w:r>
        <w:tab/>
        <w:t>Curriculum and Assessment Committee, functions of</w:t>
      </w:r>
      <w:r>
        <w:tab/>
      </w:r>
      <w:r>
        <w:fldChar w:fldCharType="begin"/>
      </w:r>
      <w:r>
        <w:instrText xml:space="preserve"> PAGEREF _Toc377111925 \h </w:instrText>
      </w:r>
      <w:r>
        <w:fldChar w:fldCharType="separate"/>
      </w:r>
      <w:r>
        <w:t>9</w:t>
      </w:r>
      <w:r>
        <w:fldChar w:fldCharType="end"/>
      </w:r>
    </w:p>
    <w:p>
      <w:pPr>
        <w:pStyle w:val="TOC8"/>
        <w:rPr>
          <w:rFonts w:asciiTheme="minorHAnsi" w:eastAsiaTheme="minorEastAsia" w:hAnsiTheme="minorHAnsi" w:cstheme="minorBidi"/>
          <w:szCs w:val="22"/>
        </w:rPr>
      </w:pPr>
      <w:r>
        <w:t>7F.</w:t>
      </w:r>
      <w:r>
        <w:tab/>
        <w:t>Other committees</w:t>
      </w:r>
      <w:r>
        <w:tab/>
      </w:r>
      <w:r>
        <w:fldChar w:fldCharType="begin"/>
      </w:r>
      <w:r>
        <w:instrText xml:space="preserve"> PAGEREF _Toc377111926 \h </w:instrText>
      </w:r>
      <w:r>
        <w:fldChar w:fldCharType="separate"/>
      </w:r>
      <w:r>
        <w:t>9</w:t>
      </w:r>
      <w:r>
        <w:fldChar w:fldCharType="end"/>
      </w:r>
    </w:p>
    <w:p>
      <w:pPr>
        <w:pStyle w:val="TOC8"/>
        <w:rPr>
          <w:rFonts w:asciiTheme="minorHAnsi" w:eastAsiaTheme="minorEastAsia" w:hAnsiTheme="minorHAnsi" w:cstheme="minorBidi"/>
          <w:szCs w:val="22"/>
        </w:rPr>
      </w:pPr>
      <w:r>
        <w:t>7G.</w:t>
      </w:r>
      <w:r>
        <w:tab/>
        <w:t>Support services for committees</w:t>
      </w:r>
      <w:r>
        <w:tab/>
      </w:r>
      <w:r>
        <w:fldChar w:fldCharType="begin"/>
      </w:r>
      <w:r>
        <w:instrText xml:space="preserve"> PAGEREF _Toc377111927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7</w:t>
      </w:r>
      <w:r>
        <w:rPr>
          <w:snapToGrid w:val="0"/>
        </w:rPr>
        <w:t>.</w:t>
      </w:r>
      <w:r>
        <w:rPr>
          <w:snapToGrid w:val="0"/>
        </w:rPr>
        <w:tab/>
        <w:t>Provisions about Board (Sch. 1)</w:t>
      </w:r>
      <w:r>
        <w:tab/>
      </w:r>
      <w:r>
        <w:fldChar w:fldCharType="begin"/>
      </w:r>
      <w:r>
        <w:instrText xml:space="preserve"> PAGEREF _Toc377111929 \h </w:instrText>
      </w:r>
      <w:r>
        <w:fldChar w:fldCharType="separate"/>
      </w:r>
      <w:r>
        <w:t>10</w:t>
      </w:r>
      <w:r>
        <w:fldChar w:fldCharType="end"/>
      </w:r>
    </w:p>
    <w:p>
      <w:pPr>
        <w:pStyle w:val="TOC8"/>
        <w:rPr>
          <w:rFonts w:asciiTheme="minorHAnsi" w:eastAsiaTheme="minorEastAsia" w:hAnsiTheme="minorHAnsi" w:cstheme="minorBidi"/>
          <w:szCs w:val="22"/>
        </w:rPr>
      </w:pPr>
      <w:r>
        <w:t>8A.</w:t>
      </w:r>
      <w:r>
        <w:tab/>
        <w:t>CEO or representative may attend meetings of Board and committees</w:t>
      </w:r>
      <w:r>
        <w:tab/>
      </w:r>
      <w:r>
        <w:fldChar w:fldCharType="begin"/>
      </w:r>
      <w:r>
        <w:instrText xml:space="preserve"> PAGEREF _Toc377111930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Members of Board and committees, remuneration of</w:t>
      </w:r>
      <w:r>
        <w:tab/>
      </w:r>
      <w:r>
        <w:fldChar w:fldCharType="begin"/>
      </w:r>
      <w:r>
        <w:instrText xml:space="preserve"> PAGEREF _Toc377111931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9.</w:t>
      </w:r>
      <w:r>
        <w:tab/>
        <w:t>Functions of Authority</w:t>
      </w:r>
      <w:r>
        <w:tab/>
      </w:r>
      <w:r>
        <w:fldChar w:fldCharType="begin"/>
      </w:r>
      <w:r>
        <w:instrText xml:space="preserve"> PAGEREF _Toc377111933 \h </w:instrText>
      </w:r>
      <w:r>
        <w:fldChar w:fldCharType="separate"/>
      </w:r>
      <w:r>
        <w:t>12</w:t>
      </w:r>
      <w:r>
        <w:fldChar w:fldCharType="end"/>
      </w:r>
    </w:p>
    <w:p>
      <w:pPr>
        <w:pStyle w:val="TOC8"/>
        <w:rPr>
          <w:rFonts w:asciiTheme="minorHAnsi" w:eastAsiaTheme="minorEastAsia" w:hAnsiTheme="minorHAnsi" w:cstheme="minorBidi"/>
          <w:szCs w:val="22"/>
        </w:rPr>
      </w:pPr>
      <w:r>
        <w:t>10.</w:t>
      </w:r>
      <w:r>
        <w:tab/>
        <w:t>Advisory function of Authority</w:t>
      </w:r>
      <w:r>
        <w:tab/>
      </w:r>
      <w:r>
        <w:fldChar w:fldCharType="begin"/>
      </w:r>
      <w:r>
        <w:instrText xml:space="preserve"> PAGEREF _Toc377111934 \h </w:instrText>
      </w:r>
      <w:r>
        <w:fldChar w:fldCharType="separate"/>
      </w:r>
      <w:r>
        <w:t>15</w:t>
      </w:r>
      <w:r>
        <w:fldChar w:fldCharType="end"/>
      </w:r>
    </w:p>
    <w:p>
      <w:pPr>
        <w:pStyle w:val="TOC8"/>
        <w:rPr>
          <w:rFonts w:asciiTheme="minorHAnsi" w:eastAsiaTheme="minorEastAsia" w:hAnsiTheme="minorHAnsi" w:cstheme="minorBidi"/>
          <w:szCs w:val="22"/>
        </w:rPr>
      </w:pPr>
      <w:r>
        <w:t>11.</w:t>
      </w:r>
      <w:r>
        <w:tab/>
        <w:t>Draft reports on standards of student achievement, preparation of etc.</w:t>
      </w:r>
      <w:r>
        <w:tab/>
      </w:r>
      <w:r>
        <w:fldChar w:fldCharType="begin"/>
      </w:r>
      <w:r>
        <w:instrText xml:space="preserve"> PAGEREF _Toc377111935 \h </w:instrText>
      </w:r>
      <w:r>
        <w:fldChar w:fldCharType="separate"/>
      </w:r>
      <w:r>
        <w:t>15</w:t>
      </w:r>
      <w:r>
        <w:fldChar w:fldCharType="end"/>
      </w:r>
    </w:p>
    <w:p>
      <w:pPr>
        <w:pStyle w:val="TOC8"/>
        <w:rPr>
          <w:rFonts w:asciiTheme="minorHAnsi" w:eastAsiaTheme="minorEastAsia" w:hAnsiTheme="minorHAnsi" w:cstheme="minorBidi"/>
          <w:szCs w:val="22"/>
        </w:rPr>
      </w:pPr>
      <w:r>
        <w:t>12.</w:t>
      </w:r>
      <w:r>
        <w:tab/>
        <w:t>Draft reports under s. 11(2), dealing with</w:t>
      </w:r>
      <w:r>
        <w:tab/>
      </w:r>
      <w:r>
        <w:fldChar w:fldCharType="begin"/>
      </w:r>
      <w:r>
        <w:instrText xml:space="preserve"> PAGEREF _Toc377111936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assessment and register of courses, Authority to keep etc.</w:t>
      </w:r>
      <w:r>
        <w:tab/>
      </w:r>
      <w:r>
        <w:fldChar w:fldCharType="begin"/>
      </w:r>
      <w:r>
        <w:instrText xml:space="preserve"> PAGEREF _Toc377111937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Powers of Authority</w:t>
      </w:r>
      <w:r>
        <w:tab/>
      </w:r>
      <w:r>
        <w:fldChar w:fldCharType="begin"/>
      </w:r>
      <w:r>
        <w:instrText xml:space="preserve"> PAGEREF _Toc377111938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 matters affecting performance of</w:t>
      </w:r>
      <w:r>
        <w:tab/>
      </w:r>
      <w:r>
        <w:fldChar w:fldCharType="begin"/>
      </w:r>
      <w:r>
        <w:instrText xml:space="preserve"> PAGEREF _Toc377111939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Delegation by Authority</w:t>
      </w:r>
      <w:r>
        <w:tab/>
      </w:r>
      <w:r>
        <w:fldChar w:fldCharType="begin"/>
      </w:r>
      <w:r>
        <w:instrText xml:space="preserve"> PAGEREF _Toc377111940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Minister may give directions to Authority</w:t>
      </w:r>
      <w:r>
        <w:tab/>
      </w:r>
      <w:r>
        <w:fldChar w:fldCharType="begin"/>
      </w:r>
      <w:r>
        <w:instrText xml:space="preserve"> PAGEREF _Toc377111941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to have access to information</w:t>
      </w:r>
      <w:r>
        <w:tab/>
      </w:r>
      <w:r>
        <w:fldChar w:fldCharType="begin"/>
      </w:r>
      <w:r>
        <w:instrText xml:space="preserve"> PAGEREF _Toc377111942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3A</w:t>
      </w:r>
      <w:r>
        <w:rPr>
          <w:b w:val="0"/>
        </w:rPr>
        <w:t> </w:t>
      </w:r>
      <w:r>
        <w:t>—</w:t>
      </w:r>
      <w:r>
        <w:rPr>
          <w:b w:val="0"/>
        </w:rPr>
        <w:t> </w:t>
      </w:r>
      <w:r>
        <w:t>Student records</w:t>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_Toc377111944 \h </w:instrText>
      </w:r>
      <w:r>
        <w:fldChar w:fldCharType="separate"/>
      </w:r>
      <w:r>
        <w:t>23</w:t>
      </w:r>
      <w:r>
        <w:fldChar w:fldCharType="end"/>
      </w:r>
    </w:p>
    <w:p>
      <w:pPr>
        <w:pStyle w:val="TOC8"/>
        <w:rPr>
          <w:rFonts w:asciiTheme="minorHAnsi" w:eastAsiaTheme="minorEastAsia" w:hAnsiTheme="minorHAnsi" w:cstheme="minorBidi"/>
          <w:szCs w:val="22"/>
        </w:rPr>
      </w:pPr>
      <w:r>
        <w:t>19B.</w:t>
      </w:r>
      <w:r>
        <w:tab/>
        <w:t>Application of this Part to overseas students</w:t>
      </w:r>
      <w:r>
        <w:tab/>
      </w:r>
      <w:r>
        <w:fldChar w:fldCharType="begin"/>
      </w:r>
      <w:r>
        <w:instrText xml:space="preserve"> PAGEREF _Toc377111945 \h </w:instrText>
      </w:r>
      <w:r>
        <w:fldChar w:fldCharType="separate"/>
      </w:r>
      <w:r>
        <w:t>25</w:t>
      </w:r>
      <w:r>
        <w:fldChar w:fldCharType="end"/>
      </w:r>
    </w:p>
    <w:p>
      <w:pPr>
        <w:pStyle w:val="TOC8"/>
        <w:rPr>
          <w:rFonts w:asciiTheme="minorHAnsi" w:eastAsiaTheme="minorEastAsia" w:hAnsiTheme="minorHAnsi" w:cstheme="minorBidi"/>
          <w:szCs w:val="22"/>
        </w:rPr>
      </w:pPr>
      <w:r>
        <w:t>19C.</w:t>
      </w:r>
      <w:r>
        <w:tab/>
        <w:t>When student record to be opened</w:t>
      </w:r>
      <w:r>
        <w:tab/>
      </w:r>
      <w:r>
        <w:fldChar w:fldCharType="begin"/>
      </w:r>
      <w:r>
        <w:instrText xml:space="preserve"> PAGEREF _Toc377111946 \h </w:instrText>
      </w:r>
      <w:r>
        <w:fldChar w:fldCharType="separate"/>
      </w:r>
      <w:r>
        <w:t>25</w:t>
      </w:r>
      <w:r>
        <w:fldChar w:fldCharType="end"/>
      </w:r>
    </w:p>
    <w:p>
      <w:pPr>
        <w:pStyle w:val="TOC8"/>
        <w:rPr>
          <w:rFonts w:asciiTheme="minorHAnsi" w:eastAsiaTheme="minorEastAsia" w:hAnsiTheme="minorHAnsi" w:cstheme="minorBidi"/>
          <w:szCs w:val="22"/>
        </w:rPr>
      </w:pPr>
      <w:r>
        <w:t>19D.</w:t>
      </w:r>
      <w:r>
        <w:tab/>
        <w:t>Provider may be directed to open student record</w:t>
      </w:r>
      <w:r>
        <w:tab/>
      </w:r>
      <w:r>
        <w:fldChar w:fldCharType="begin"/>
      </w:r>
      <w:r>
        <w:instrText xml:space="preserve"> PAGEREF _Toc377111947 \h </w:instrText>
      </w:r>
      <w:r>
        <w:fldChar w:fldCharType="separate"/>
      </w:r>
      <w:r>
        <w:t>26</w:t>
      </w:r>
      <w:r>
        <w:fldChar w:fldCharType="end"/>
      </w:r>
    </w:p>
    <w:p>
      <w:pPr>
        <w:pStyle w:val="TOC8"/>
        <w:rPr>
          <w:rFonts w:asciiTheme="minorHAnsi" w:eastAsiaTheme="minorEastAsia" w:hAnsiTheme="minorHAnsi" w:cstheme="minorBidi"/>
          <w:szCs w:val="22"/>
        </w:rPr>
      </w:pPr>
      <w:r>
        <w:t>19E.</w:t>
      </w:r>
      <w:r>
        <w:tab/>
        <w:t>How student record is opened</w:t>
      </w:r>
      <w:r>
        <w:tab/>
      </w:r>
      <w:r>
        <w:fldChar w:fldCharType="begin"/>
      </w:r>
      <w:r>
        <w:instrText xml:space="preserve"> PAGEREF _Toc377111948 \h </w:instrText>
      </w:r>
      <w:r>
        <w:fldChar w:fldCharType="separate"/>
      </w:r>
      <w:r>
        <w:t>27</w:t>
      </w:r>
      <w:r>
        <w:fldChar w:fldCharType="end"/>
      </w:r>
    </w:p>
    <w:p>
      <w:pPr>
        <w:pStyle w:val="TOC8"/>
        <w:rPr>
          <w:rFonts w:asciiTheme="minorHAnsi" w:eastAsiaTheme="minorEastAsia" w:hAnsiTheme="minorHAnsi" w:cstheme="minorBidi"/>
          <w:szCs w:val="22"/>
        </w:rPr>
      </w:pPr>
      <w:r>
        <w:t>19F.</w:t>
      </w:r>
      <w:r>
        <w:tab/>
        <w:t>Change of student’s provider, employer etc., provider to inform Authority of</w:t>
      </w:r>
      <w:r>
        <w:tab/>
      </w:r>
      <w:r>
        <w:fldChar w:fldCharType="begin"/>
      </w:r>
      <w:r>
        <w:instrText xml:space="preserve"> PAGEREF _Toc377111949 \h </w:instrText>
      </w:r>
      <w:r>
        <w:fldChar w:fldCharType="separate"/>
      </w:r>
      <w:r>
        <w:t>27</w:t>
      </w:r>
      <w:r>
        <w:fldChar w:fldCharType="end"/>
      </w:r>
    </w:p>
    <w:p>
      <w:pPr>
        <w:pStyle w:val="TOC8"/>
        <w:rPr>
          <w:rFonts w:asciiTheme="minorHAnsi" w:eastAsiaTheme="minorEastAsia" w:hAnsiTheme="minorHAnsi" w:cstheme="minorBidi"/>
          <w:szCs w:val="22"/>
        </w:rPr>
      </w:pPr>
      <w:r>
        <w:t>19G.</w:t>
      </w:r>
      <w:r>
        <w:tab/>
        <w:t>Student’s results etc., provider to inform Authority of</w:t>
      </w:r>
      <w:r>
        <w:tab/>
      </w:r>
      <w:r>
        <w:fldChar w:fldCharType="begin"/>
      </w:r>
      <w:r>
        <w:instrText xml:space="preserve"> PAGEREF _Toc377111950 \h </w:instrText>
      </w:r>
      <w:r>
        <w:fldChar w:fldCharType="separate"/>
      </w:r>
      <w:r>
        <w:t>28</w:t>
      </w:r>
      <w:r>
        <w:fldChar w:fldCharType="end"/>
      </w:r>
    </w:p>
    <w:p>
      <w:pPr>
        <w:pStyle w:val="TOC8"/>
        <w:rPr>
          <w:rFonts w:asciiTheme="minorHAnsi" w:eastAsiaTheme="minorEastAsia" w:hAnsiTheme="minorHAnsi" w:cstheme="minorBidi"/>
          <w:szCs w:val="22"/>
        </w:rPr>
      </w:pPr>
      <w:r>
        <w:t>19H.</w:t>
      </w:r>
      <w:r>
        <w:tab/>
        <w:t>Informing Authority, general provisions about</w:t>
      </w:r>
      <w:r>
        <w:tab/>
      </w:r>
      <w:r>
        <w:fldChar w:fldCharType="begin"/>
      </w:r>
      <w:r>
        <w:instrText xml:space="preserve"> PAGEREF _Toc377111951 \h </w:instrText>
      </w:r>
      <w:r>
        <w:fldChar w:fldCharType="separate"/>
      </w:r>
      <w:r>
        <w:t>29</w:t>
      </w:r>
      <w:r>
        <w:fldChar w:fldCharType="end"/>
      </w:r>
    </w:p>
    <w:p>
      <w:pPr>
        <w:pStyle w:val="TOC8"/>
        <w:rPr>
          <w:rFonts w:asciiTheme="minorHAnsi" w:eastAsiaTheme="minorEastAsia" w:hAnsiTheme="minorHAnsi" w:cstheme="minorBidi"/>
          <w:szCs w:val="22"/>
        </w:rPr>
      </w:pPr>
      <w:r>
        <w:t>19I.</w:t>
      </w:r>
      <w:r>
        <w:tab/>
        <w:t>Database of student records etc., Authority to maintain; use of database</w:t>
      </w:r>
      <w:r>
        <w:tab/>
      </w:r>
      <w:r>
        <w:fldChar w:fldCharType="begin"/>
      </w:r>
      <w:r>
        <w:instrText xml:space="preserve"> PAGEREF _Toc377111952 \h </w:instrText>
      </w:r>
      <w:r>
        <w:fldChar w:fldCharType="separate"/>
      </w:r>
      <w:r>
        <w:t>29</w:t>
      </w:r>
      <w:r>
        <w:fldChar w:fldCharType="end"/>
      </w:r>
    </w:p>
    <w:p>
      <w:pPr>
        <w:pStyle w:val="TOC8"/>
        <w:rPr>
          <w:rFonts w:asciiTheme="minorHAnsi" w:eastAsiaTheme="minorEastAsia" w:hAnsiTheme="minorHAnsi" w:cstheme="minorBidi"/>
          <w:szCs w:val="22"/>
        </w:rPr>
      </w:pPr>
      <w:r>
        <w:t>19J.</w:t>
      </w:r>
      <w:r>
        <w:tab/>
      </w:r>
      <w:r>
        <w:rPr>
          <w:bCs/>
        </w:rPr>
        <w:t>Student etc. entitled to student record</w:t>
      </w:r>
      <w:r>
        <w:tab/>
      </w:r>
      <w:r>
        <w:fldChar w:fldCharType="begin"/>
      </w:r>
      <w:r>
        <w:instrText xml:space="preserve"> PAGEREF _Toc377111953 \h </w:instrText>
      </w:r>
      <w:r>
        <w:fldChar w:fldCharType="separate"/>
      </w:r>
      <w:r>
        <w:t>30</w:t>
      </w:r>
      <w:r>
        <w:fldChar w:fldCharType="end"/>
      </w:r>
    </w:p>
    <w:p>
      <w:pPr>
        <w:pStyle w:val="TOC8"/>
        <w:rPr>
          <w:rFonts w:asciiTheme="minorHAnsi" w:eastAsiaTheme="minorEastAsia" w:hAnsiTheme="minorHAnsi" w:cstheme="minorBidi"/>
          <w:szCs w:val="22"/>
        </w:rPr>
      </w:pPr>
      <w:r>
        <w:t>19K.</w:t>
      </w:r>
      <w:r>
        <w:tab/>
        <w:t>Authority may disclose information to provider for checking purposes</w:t>
      </w:r>
      <w:r>
        <w:tab/>
      </w:r>
      <w:r>
        <w:fldChar w:fldCharType="begin"/>
      </w:r>
      <w:r>
        <w:instrText xml:space="preserve"> PAGEREF _Toc377111954 \h </w:instrText>
      </w:r>
      <w:r>
        <w:fldChar w:fldCharType="separate"/>
      </w:r>
      <w:r>
        <w:t>31</w:t>
      </w:r>
      <w:r>
        <w:fldChar w:fldCharType="end"/>
      </w:r>
    </w:p>
    <w:p>
      <w:pPr>
        <w:pStyle w:val="TOC8"/>
        <w:rPr>
          <w:rFonts w:asciiTheme="minorHAnsi" w:eastAsiaTheme="minorEastAsia" w:hAnsiTheme="minorHAnsi" w:cstheme="minorBidi"/>
          <w:szCs w:val="22"/>
        </w:rPr>
      </w:pPr>
      <w:r>
        <w:t>19L.</w:t>
      </w:r>
      <w:r>
        <w:tab/>
        <w:t>Authority, on request, to give Minister information in aggregated form</w:t>
      </w:r>
      <w:r>
        <w:tab/>
      </w:r>
      <w:r>
        <w:fldChar w:fldCharType="begin"/>
      </w:r>
      <w:r>
        <w:instrText xml:space="preserve"> PAGEREF _Toc377111955 \h </w:instrText>
      </w:r>
      <w:r>
        <w:fldChar w:fldCharType="separate"/>
      </w:r>
      <w:r>
        <w:t>31</w:t>
      </w:r>
      <w:r>
        <w:fldChar w:fldCharType="end"/>
      </w:r>
    </w:p>
    <w:p>
      <w:pPr>
        <w:pStyle w:val="TOC8"/>
        <w:rPr>
          <w:rFonts w:asciiTheme="minorHAnsi" w:eastAsiaTheme="minorEastAsia" w:hAnsiTheme="minorHAnsi" w:cstheme="minorBidi"/>
          <w:szCs w:val="22"/>
        </w:rPr>
      </w:pPr>
      <w:r>
        <w:t>19M.</w:t>
      </w:r>
      <w:r>
        <w:tab/>
        <w:t>Authority, on request, to give Minister information to assist in enforcing School Education Act</w:t>
      </w:r>
      <w:r>
        <w:tab/>
      </w:r>
      <w:r>
        <w:fldChar w:fldCharType="begin"/>
      </w:r>
      <w:r>
        <w:instrText xml:space="preserve"> PAGEREF _Toc377111956 \h </w:instrText>
      </w:r>
      <w:r>
        <w:fldChar w:fldCharType="separate"/>
      </w:r>
      <w:r>
        <w:t>31</w:t>
      </w:r>
      <w:r>
        <w:fldChar w:fldCharType="end"/>
      </w:r>
    </w:p>
    <w:p>
      <w:pPr>
        <w:pStyle w:val="TOC8"/>
        <w:rPr>
          <w:rFonts w:asciiTheme="minorHAnsi" w:eastAsiaTheme="minorEastAsia" w:hAnsiTheme="minorHAnsi" w:cstheme="minorBidi"/>
          <w:szCs w:val="22"/>
        </w:rPr>
      </w:pPr>
      <w:r>
        <w:t>19N.</w:t>
      </w:r>
      <w:r>
        <w:tab/>
        <w:t>Disclosure by Minister of information given under s. 19M</w:t>
      </w:r>
      <w:r>
        <w:tab/>
      </w:r>
      <w:r>
        <w:fldChar w:fldCharType="begin"/>
      </w:r>
      <w:r>
        <w:instrText xml:space="preserve"> PAGEREF _Toc377111957 \h </w:instrText>
      </w:r>
      <w:r>
        <w:fldChar w:fldCharType="separate"/>
      </w:r>
      <w:r>
        <w:t>33</w:t>
      </w:r>
      <w:r>
        <w:fldChar w:fldCharType="end"/>
      </w:r>
    </w:p>
    <w:p>
      <w:pPr>
        <w:pStyle w:val="TOC8"/>
        <w:rPr>
          <w:rFonts w:asciiTheme="minorHAnsi" w:eastAsiaTheme="minorEastAsia" w:hAnsiTheme="minorHAnsi" w:cstheme="minorBidi"/>
          <w:szCs w:val="22"/>
        </w:rPr>
      </w:pPr>
      <w:r>
        <w:t>19O.</w:t>
      </w:r>
      <w:r>
        <w:tab/>
        <w:t>Delegation by Minister etc. of s. 19L, 19M and 19N functions</w:t>
      </w:r>
      <w:r>
        <w:tab/>
      </w:r>
      <w:r>
        <w:fldChar w:fldCharType="begin"/>
      </w:r>
      <w:r>
        <w:instrText xml:space="preserve"> PAGEREF _Toc377111958 \h </w:instrText>
      </w:r>
      <w:r>
        <w:fldChar w:fldCharType="separate"/>
      </w:r>
      <w:r>
        <w:t>33</w:t>
      </w:r>
      <w:r>
        <w:fldChar w:fldCharType="end"/>
      </w:r>
    </w:p>
    <w:p>
      <w:pPr>
        <w:pStyle w:val="TOC8"/>
        <w:rPr>
          <w:rFonts w:asciiTheme="minorHAnsi" w:eastAsiaTheme="minorEastAsia" w:hAnsiTheme="minorHAnsi" w:cstheme="minorBidi"/>
          <w:szCs w:val="22"/>
        </w:rPr>
      </w:pPr>
      <w:r>
        <w:t>19P.</w:t>
      </w:r>
      <w:r>
        <w:tab/>
        <w:t>Authority to give certain entities certain information in aggregated form</w:t>
      </w:r>
      <w:r>
        <w:tab/>
      </w:r>
      <w:r>
        <w:fldChar w:fldCharType="begin"/>
      </w:r>
      <w:r>
        <w:instrText xml:space="preserve"> PAGEREF _Toc377111959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20</w:t>
      </w:r>
      <w:r>
        <w:rPr>
          <w:snapToGrid w:val="0"/>
        </w:rPr>
        <w:t>.</w:t>
      </w:r>
      <w:r>
        <w:rPr>
          <w:snapToGrid w:val="0"/>
        </w:rPr>
        <w:tab/>
        <w:t>Chief executive officer</w:t>
      </w:r>
      <w:r>
        <w:tab/>
      </w:r>
      <w:r>
        <w:fldChar w:fldCharType="begin"/>
      </w:r>
      <w:r>
        <w:instrText xml:space="preserve"> PAGEREF _Toc377111961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Other staff</w:t>
      </w:r>
      <w:r>
        <w:tab/>
      </w:r>
      <w:r>
        <w:fldChar w:fldCharType="begin"/>
      </w:r>
      <w:r>
        <w:instrText xml:space="preserve"> PAGEREF _Toc377111962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Use of other government staff etc.</w:t>
      </w:r>
      <w:r>
        <w:tab/>
      </w:r>
      <w:r>
        <w:fldChar w:fldCharType="begin"/>
      </w:r>
      <w:r>
        <w:instrText xml:space="preserve"> PAGEREF _Toc377111963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5 — Financial provisions</w:t>
      </w:r>
    </w:p>
    <w:p>
      <w:pPr>
        <w:pStyle w:val="TOC8"/>
        <w:rPr>
          <w:rFonts w:asciiTheme="minorHAnsi" w:eastAsiaTheme="minorEastAsia" w:hAnsiTheme="minorHAnsi" w:cstheme="minorBidi"/>
          <w:szCs w:val="22"/>
        </w:rPr>
      </w:pPr>
      <w:r>
        <w:t>23</w:t>
      </w:r>
      <w:r>
        <w:rPr>
          <w:snapToGrid w:val="0"/>
        </w:rPr>
        <w:t>.</w:t>
      </w:r>
      <w:r>
        <w:rPr>
          <w:snapToGrid w:val="0"/>
        </w:rPr>
        <w:tab/>
      </w:r>
      <w:r>
        <w:t>Funds of Authority</w:t>
      </w:r>
      <w:r>
        <w:tab/>
      </w:r>
      <w:r>
        <w:fldChar w:fldCharType="begin"/>
      </w:r>
      <w:r>
        <w:instrText xml:space="preserve"> PAGEREF _Toc377111965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r>
      <w:r>
        <w:rPr>
          <w:bCs/>
        </w:rPr>
        <w:t>School Curriculum and Standards Authority Account</w:t>
      </w:r>
      <w:r>
        <w:tab/>
      </w:r>
      <w:r>
        <w:fldChar w:fldCharType="begin"/>
      </w:r>
      <w:r>
        <w:instrText xml:space="preserve"> PAGEREF _Toc377111966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bCs/>
        </w:rPr>
        <w:t>Borrowing by Authority</w:t>
      </w:r>
      <w:r>
        <w:tab/>
      </w:r>
      <w:r>
        <w:fldChar w:fldCharType="begin"/>
      </w:r>
      <w:r>
        <w:instrText xml:space="preserve"> PAGEREF _Toc377111967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_Toc377111968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30</w:t>
      </w:r>
      <w:r>
        <w:rPr>
          <w:snapToGrid w:val="0"/>
        </w:rPr>
        <w:t>.</w:t>
      </w:r>
      <w:r>
        <w:rPr>
          <w:snapToGrid w:val="0"/>
        </w:rPr>
        <w:tab/>
        <w:t>Protection from personal liability</w:t>
      </w:r>
      <w:r>
        <w:tab/>
      </w:r>
      <w:r>
        <w:fldChar w:fldCharType="begin"/>
      </w:r>
      <w:r>
        <w:instrText xml:space="preserve"> PAGEREF _Toc377111970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Execution of documents by Authority</w:t>
      </w:r>
      <w:r>
        <w:tab/>
      </w:r>
      <w:r>
        <w:fldChar w:fldCharType="begin"/>
      </w:r>
      <w:r>
        <w:instrText xml:space="preserve"> PAGEREF _Toc377111971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Information obtained by Board etc., disclosure and use etc. of restricted</w:t>
      </w:r>
      <w:r>
        <w:tab/>
      </w:r>
      <w:r>
        <w:fldChar w:fldCharType="begin"/>
      </w:r>
      <w:r>
        <w:instrText xml:space="preserve"> PAGEREF _Toc377111972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_Toc377111973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Act</w:t>
      </w:r>
      <w:r>
        <w:tab/>
      </w:r>
      <w:r>
        <w:fldChar w:fldCharType="begin"/>
      </w:r>
      <w:r>
        <w:instrText xml:space="preserve"> PAGEREF _Toc377111974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_Toc377111976 \h </w:instrText>
      </w:r>
      <w:r>
        <w:fldChar w:fldCharType="separate"/>
      </w:r>
      <w:r>
        <w:t>45</w:t>
      </w:r>
      <w:r>
        <w:fldChar w:fldCharType="end"/>
      </w:r>
    </w:p>
    <w:p>
      <w:pPr>
        <w:pStyle w:val="TOC8"/>
        <w:rPr>
          <w:rFonts w:asciiTheme="minorHAnsi" w:eastAsiaTheme="minorEastAsia" w:hAnsiTheme="minorHAnsi" w:cstheme="minorBidi"/>
          <w:szCs w:val="22"/>
        </w:rPr>
      </w:pPr>
      <w:r>
        <w:t>38.</w:t>
      </w:r>
      <w:r>
        <w:tab/>
        <w:t>Curriculum Council abolished on 1 Mar 2012</w:t>
      </w:r>
      <w:r>
        <w:tab/>
      </w:r>
      <w:r>
        <w:fldChar w:fldCharType="begin"/>
      </w:r>
      <w:r>
        <w:instrText xml:space="preserve"> PAGEREF _Toc377111977 \h </w:instrText>
      </w:r>
      <w:r>
        <w:fldChar w:fldCharType="separate"/>
      </w:r>
      <w:r>
        <w:t>45</w:t>
      </w:r>
      <w:r>
        <w:fldChar w:fldCharType="end"/>
      </w:r>
    </w:p>
    <w:p>
      <w:pPr>
        <w:pStyle w:val="TOC8"/>
        <w:rPr>
          <w:rFonts w:asciiTheme="minorHAnsi" w:eastAsiaTheme="minorEastAsia" w:hAnsiTheme="minorHAnsi" w:cstheme="minorBidi"/>
          <w:szCs w:val="22"/>
        </w:rPr>
      </w:pPr>
      <w:r>
        <w:t>39.</w:t>
      </w:r>
      <w:r>
        <w:tab/>
        <w:t>Devolution of Council’s assets, liabilities etc.</w:t>
      </w:r>
      <w:r>
        <w:tab/>
      </w:r>
      <w:r>
        <w:fldChar w:fldCharType="begin"/>
      </w:r>
      <w:r>
        <w:instrText xml:space="preserve"> PAGEREF _Toc377111978 \h </w:instrText>
      </w:r>
      <w:r>
        <w:fldChar w:fldCharType="separate"/>
      </w:r>
      <w:r>
        <w:t>46</w:t>
      </w:r>
      <w:r>
        <w:fldChar w:fldCharType="end"/>
      </w:r>
    </w:p>
    <w:p>
      <w:pPr>
        <w:pStyle w:val="TOC8"/>
        <w:rPr>
          <w:rFonts w:asciiTheme="minorHAnsi" w:eastAsiaTheme="minorEastAsia" w:hAnsiTheme="minorHAnsi" w:cstheme="minorBidi"/>
          <w:szCs w:val="22"/>
        </w:rPr>
      </w:pPr>
      <w:r>
        <w:t>40.</w:t>
      </w:r>
      <w:r>
        <w:tab/>
        <w:t>Chief executive officer of Council continues in office</w:t>
      </w:r>
      <w:r>
        <w:tab/>
      </w:r>
      <w:r>
        <w:fldChar w:fldCharType="begin"/>
      </w:r>
      <w:r>
        <w:instrText xml:space="preserve"> PAGEREF _Toc377111979 \h </w:instrText>
      </w:r>
      <w:r>
        <w:fldChar w:fldCharType="separate"/>
      </w:r>
      <w:r>
        <w:t>46</w:t>
      </w:r>
      <w:r>
        <w:fldChar w:fldCharType="end"/>
      </w:r>
    </w:p>
    <w:p>
      <w:pPr>
        <w:pStyle w:val="TOC8"/>
        <w:rPr>
          <w:rFonts w:asciiTheme="minorHAnsi" w:eastAsiaTheme="minorEastAsia" w:hAnsiTheme="minorHAnsi" w:cstheme="minorBidi"/>
          <w:szCs w:val="22"/>
        </w:rPr>
      </w:pPr>
      <w:r>
        <w:t>41.</w:t>
      </w:r>
      <w:r>
        <w:tab/>
        <w:t>Transfer of members of staff to Authority</w:t>
      </w:r>
      <w:r>
        <w:tab/>
      </w:r>
      <w:r>
        <w:fldChar w:fldCharType="begin"/>
      </w:r>
      <w:r>
        <w:instrText xml:space="preserve"> PAGEREF _Toc377111980 \h </w:instrText>
      </w:r>
      <w:r>
        <w:fldChar w:fldCharType="separate"/>
      </w:r>
      <w:r>
        <w:t>46</w:t>
      </w:r>
      <w:r>
        <w:fldChar w:fldCharType="end"/>
      </w:r>
    </w:p>
    <w:p>
      <w:pPr>
        <w:pStyle w:val="TOC8"/>
        <w:rPr>
          <w:rFonts w:asciiTheme="minorHAnsi" w:eastAsiaTheme="minorEastAsia" w:hAnsiTheme="minorHAnsi" w:cstheme="minorBidi"/>
          <w:szCs w:val="22"/>
        </w:rPr>
      </w:pPr>
      <w:r>
        <w:t>42.</w:t>
      </w:r>
      <w:r>
        <w:tab/>
        <w:t>Employees’ rights preserved</w:t>
      </w:r>
      <w:r>
        <w:tab/>
      </w:r>
      <w:r>
        <w:fldChar w:fldCharType="begin"/>
      </w:r>
      <w:r>
        <w:instrText xml:space="preserve"> PAGEREF _Toc377111981 \h </w:instrText>
      </w:r>
      <w:r>
        <w:fldChar w:fldCharType="separate"/>
      </w:r>
      <w:r>
        <w:t>47</w:t>
      </w:r>
      <w:r>
        <w:fldChar w:fldCharType="end"/>
      </w:r>
    </w:p>
    <w:p>
      <w:pPr>
        <w:pStyle w:val="TOC8"/>
        <w:rPr>
          <w:rFonts w:asciiTheme="minorHAnsi" w:eastAsiaTheme="minorEastAsia" w:hAnsiTheme="minorHAnsi" w:cstheme="minorBidi"/>
          <w:szCs w:val="22"/>
        </w:rPr>
      </w:pPr>
      <w:r>
        <w:t>43.</w:t>
      </w:r>
      <w:r>
        <w:tab/>
        <w:t>Curriculum Council Account</w:t>
      </w:r>
      <w:r>
        <w:tab/>
      </w:r>
      <w:r>
        <w:fldChar w:fldCharType="begin"/>
      </w:r>
      <w:r>
        <w:instrText xml:space="preserve"> PAGEREF _Toc377111982 \h </w:instrText>
      </w:r>
      <w:r>
        <w:fldChar w:fldCharType="separate"/>
      </w:r>
      <w:r>
        <w:t>47</w:t>
      </w:r>
      <w:r>
        <w:fldChar w:fldCharType="end"/>
      </w:r>
    </w:p>
    <w:p>
      <w:pPr>
        <w:pStyle w:val="TOC8"/>
        <w:rPr>
          <w:rFonts w:asciiTheme="minorHAnsi" w:eastAsiaTheme="minorEastAsia" w:hAnsiTheme="minorHAnsi" w:cstheme="minorBidi"/>
          <w:szCs w:val="22"/>
        </w:rPr>
      </w:pPr>
      <w:r>
        <w:t>44.</w:t>
      </w:r>
      <w:r>
        <w:tab/>
        <w:t>Completion of things commenced</w:t>
      </w:r>
      <w:r>
        <w:tab/>
      </w:r>
      <w:r>
        <w:fldChar w:fldCharType="begin"/>
      </w:r>
      <w:r>
        <w:instrText xml:space="preserve"> PAGEREF _Toc377111983 \h </w:instrText>
      </w:r>
      <w:r>
        <w:fldChar w:fldCharType="separate"/>
      </w:r>
      <w:r>
        <w:t>48</w:t>
      </w:r>
      <w:r>
        <w:fldChar w:fldCharType="end"/>
      </w:r>
    </w:p>
    <w:p>
      <w:pPr>
        <w:pStyle w:val="TOC8"/>
        <w:rPr>
          <w:rFonts w:asciiTheme="minorHAnsi" w:eastAsiaTheme="minorEastAsia" w:hAnsiTheme="minorHAnsi" w:cstheme="minorBidi"/>
          <w:szCs w:val="22"/>
        </w:rPr>
      </w:pPr>
      <w:r>
        <w:t>45.</w:t>
      </w:r>
      <w:r>
        <w:tab/>
        <w:t>Continuing effect of things done</w:t>
      </w:r>
      <w:r>
        <w:tab/>
      </w:r>
      <w:r>
        <w:fldChar w:fldCharType="begin"/>
      </w:r>
      <w:r>
        <w:instrText xml:space="preserve"> PAGEREF _Toc377111984 \h </w:instrText>
      </w:r>
      <w:r>
        <w:fldChar w:fldCharType="separate"/>
      </w:r>
      <w:r>
        <w:t>48</w:t>
      </w:r>
      <w:r>
        <w:fldChar w:fldCharType="end"/>
      </w:r>
    </w:p>
    <w:p>
      <w:pPr>
        <w:pStyle w:val="TOC8"/>
        <w:rPr>
          <w:rFonts w:asciiTheme="minorHAnsi" w:eastAsiaTheme="minorEastAsia" w:hAnsiTheme="minorHAnsi" w:cstheme="minorBidi"/>
          <w:szCs w:val="22"/>
        </w:rPr>
      </w:pPr>
      <w:r>
        <w:t>46.</w:t>
      </w:r>
      <w:r>
        <w:tab/>
        <w:t>Exemption from State taxes</w:t>
      </w:r>
      <w:r>
        <w:tab/>
      </w:r>
      <w:r>
        <w:fldChar w:fldCharType="begin"/>
      </w:r>
      <w:r>
        <w:instrText xml:space="preserve"> PAGEREF _Toc377111985 \h </w:instrText>
      </w:r>
      <w:r>
        <w:fldChar w:fldCharType="separate"/>
      </w:r>
      <w:r>
        <w:t>48</w:t>
      </w:r>
      <w:r>
        <w:fldChar w:fldCharType="end"/>
      </w:r>
    </w:p>
    <w:p>
      <w:pPr>
        <w:pStyle w:val="TOC8"/>
        <w:rPr>
          <w:rFonts w:asciiTheme="minorHAnsi" w:eastAsiaTheme="minorEastAsia" w:hAnsiTheme="minorHAnsi" w:cstheme="minorBidi"/>
          <w:szCs w:val="22"/>
        </w:rPr>
      </w:pPr>
      <w:r>
        <w:t>47.</w:t>
      </w:r>
      <w:r>
        <w:tab/>
        <w:t>Agreements and instruments generally</w:t>
      </w:r>
      <w:r>
        <w:tab/>
      </w:r>
      <w:r>
        <w:fldChar w:fldCharType="begin"/>
      </w:r>
      <w:r>
        <w:instrText xml:space="preserve"> PAGEREF _Toc377111986 \h </w:instrText>
      </w:r>
      <w:r>
        <w:fldChar w:fldCharType="separate"/>
      </w:r>
      <w:r>
        <w:t>49</w:t>
      </w:r>
      <w:r>
        <w:fldChar w:fldCharType="end"/>
      </w:r>
    </w:p>
    <w:p>
      <w:pPr>
        <w:pStyle w:val="TOC8"/>
        <w:rPr>
          <w:rFonts w:asciiTheme="minorHAnsi" w:eastAsiaTheme="minorEastAsia" w:hAnsiTheme="minorHAnsi" w:cstheme="minorBidi"/>
          <w:szCs w:val="22"/>
        </w:rPr>
      </w:pPr>
      <w:r>
        <w:t>48.</w:t>
      </w:r>
      <w:r>
        <w:tab/>
        <w:t>Immunity continues</w:t>
      </w:r>
      <w:r>
        <w:tab/>
      </w:r>
      <w:r>
        <w:fldChar w:fldCharType="begin"/>
      </w:r>
      <w:r>
        <w:instrText xml:space="preserve"> PAGEREF _Toc377111987 \h </w:instrText>
      </w:r>
      <w:r>
        <w:fldChar w:fldCharType="separate"/>
      </w:r>
      <w:r>
        <w:t>49</w:t>
      </w:r>
      <w:r>
        <w:fldChar w:fldCharType="end"/>
      </w:r>
    </w:p>
    <w:p>
      <w:pPr>
        <w:pStyle w:val="TOC8"/>
        <w:rPr>
          <w:rFonts w:asciiTheme="minorHAnsi" w:eastAsiaTheme="minorEastAsia" w:hAnsiTheme="minorHAnsi" w:cstheme="minorBidi"/>
          <w:szCs w:val="22"/>
        </w:rPr>
      </w:pPr>
      <w:r>
        <w:t>49.</w:t>
      </w:r>
      <w:r>
        <w:tab/>
        <w:t>Duty of confidentiality continues to apply to members of the Council</w:t>
      </w:r>
      <w:r>
        <w:tab/>
      </w:r>
      <w:r>
        <w:fldChar w:fldCharType="begin"/>
      </w:r>
      <w:r>
        <w:instrText xml:space="preserve"> PAGEREF _Toc377111988 \h </w:instrText>
      </w:r>
      <w:r>
        <w:fldChar w:fldCharType="separate"/>
      </w:r>
      <w:r>
        <w:t>49</w:t>
      </w:r>
      <w:r>
        <w:fldChar w:fldCharType="end"/>
      </w:r>
    </w:p>
    <w:p>
      <w:pPr>
        <w:pStyle w:val="TOC8"/>
        <w:rPr>
          <w:rFonts w:asciiTheme="minorHAnsi" w:eastAsiaTheme="minorEastAsia" w:hAnsiTheme="minorHAnsi" w:cstheme="minorBidi"/>
          <w:szCs w:val="22"/>
        </w:rPr>
      </w:pPr>
      <w:r>
        <w:t>50.</w:t>
      </w:r>
      <w:r>
        <w:tab/>
        <w:t>Registration of documents</w:t>
      </w:r>
      <w:r>
        <w:tab/>
      </w:r>
      <w:r>
        <w:fldChar w:fldCharType="begin"/>
      </w:r>
      <w:r>
        <w:instrText xml:space="preserve"> PAGEREF _Toc377111989 \h </w:instrText>
      </w:r>
      <w:r>
        <w:fldChar w:fldCharType="separate"/>
      </w:r>
      <w:r>
        <w:t>50</w:t>
      </w:r>
      <w:r>
        <w:fldChar w:fldCharType="end"/>
      </w:r>
    </w:p>
    <w:p>
      <w:pPr>
        <w:pStyle w:val="TOC8"/>
        <w:rPr>
          <w:rFonts w:asciiTheme="minorHAnsi" w:eastAsiaTheme="minorEastAsia" w:hAnsiTheme="minorHAnsi" w:cstheme="minorBidi"/>
          <w:szCs w:val="22"/>
        </w:rPr>
      </w:pPr>
      <w:r>
        <w:t>51.</w:t>
      </w:r>
      <w:r>
        <w:tab/>
        <w:t>Transitional regulations</w:t>
      </w:r>
      <w:r>
        <w:tab/>
      </w:r>
      <w:r>
        <w:fldChar w:fldCharType="begin"/>
      </w:r>
      <w:r>
        <w:instrText xml:space="preserve"> PAGEREF _Toc377111990 \h </w:instrText>
      </w:r>
      <w:r>
        <w:fldChar w:fldCharType="separate"/>
      </w:r>
      <w:r>
        <w:t>50</w:t>
      </w:r>
      <w:r>
        <w:fldChar w:fldCharType="end"/>
      </w:r>
    </w:p>
    <w:p>
      <w:pPr>
        <w:pStyle w:val="TOC8"/>
        <w:rPr>
          <w:rFonts w:asciiTheme="minorHAnsi" w:eastAsiaTheme="minorEastAsia" w:hAnsiTheme="minorHAnsi" w:cstheme="minorBidi"/>
          <w:szCs w:val="22"/>
        </w:rPr>
      </w:pPr>
      <w:r>
        <w:t>52.</w:t>
      </w:r>
      <w:r>
        <w:tab/>
        <w:t>Saving</w:t>
      </w:r>
      <w:r>
        <w:tab/>
      </w:r>
      <w:r>
        <w:fldChar w:fldCharType="begin"/>
      </w:r>
      <w:r>
        <w:instrText xml:space="preserve"> PAGEREF _Toc377111991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as to Board</w:t>
      </w:r>
    </w:p>
    <w:p>
      <w:pPr>
        <w:pStyle w:val="TOC4"/>
        <w:tabs>
          <w:tab w:val="right" w:leader="dot" w:pos="7086"/>
        </w:tabs>
        <w:rPr>
          <w:rFonts w:asciiTheme="minorHAnsi" w:eastAsiaTheme="minorEastAsia" w:hAnsiTheme="minorHAnsi" w:cstheme="minorBidi"/>
          <w:b w:val="0"/>
          <w:szCs w:val="22"/>
        </w:rPr>
      </w:pPr>
      <w:r>
        <w:t>Division 1 — Provisions as to constitution and proceedings of the Board</w:t>
      </w:r>
    </w:p>
    <w:p>
      <w:pPr>
        <w:pStyle w:val="TOC8"/>
        <w:rPr>
          <w:rFonts w:asciiTheme="minorHAnsi" w:eastAsiaTheme="minorEastAsia" w:hAnsiTheme="minorHAnsi" w:cstheme="minorBidi"/>
          <w:szCs w:val="22"/>
        </w:rPr>
      </w:pPr>
      <w:r>
        <w:t>1.</w:t>
      </w:r>
      <w:r>
        <w:tab/>
        <w:t>Term of office of members</w:t>
      </w:r>
      <w:r>
        <w:tab/>
      </w:r>
      <w:r>
        <w:fldChar w:fldCharType="begin"/>
      </w:r>
      <w:r>
        <w:instrText xml:space="preserve"> PAGEREF _Toc377111994 \h </w:instrText>
      </w:r>
      <w:r>
        <w:fldChar w:fldCharType="separate"/>
      </w:r>
      <w:r>
        <w:t>52</w:t>
      </w:r>
      <w:r>
        <w:fldChar w:fldCharType="end"/>
      </w:r>
    </w:p>
    <w:p>
      <w:pPr>
        <w:pStyle w:val="TOC8"/>
        <w:rPr>
          <w:rFonts w:asciiTheme="minorHAnsi" w:eastAsiaTheme="minorEastAsia" w:hAnsiTheme="minorHAnsi" w:cstheme="minorBidi"/>
          <w:szCs w:val="22"/>
        </w:rPr>
      </w:pPr>
      <w:r>
        <w:t>2.</w:t>
      </w:r>
      <w:r>
        <w:tab/>
        <w:t>Resignation, removal etc. of members</w:t>
      </w:r>
      <w:r>
        <w:tab/>
      </w:r>
      <w:r>
        <w:fldChar w:fldCharType="begin"/>
      </w:r>
      <w:r>
        <w:instrText xml:space="preserve"> PAGEREF _Toc377111995 \h </w:instrText>
      </w:r>
      <w:r>
        <w:fldChar w:fldCharType="separate"/>
      </w:r>
      <w:r>
        <w:t>52</w:t>
      </w:r>
      <w:r>
        <w:fldChar w:fldCharType="end"/>
      </w:r>
    </w:p>
    <w:p>
      <w:pPr>
        <w:pStyle w:val="TOC8"/>
        <w:rPr>
          <w:rFonts w:asciiTheme="minorHAnsi" w:eastAsiaTheme="minorEastAsia" w:hAnsiTheme="minorHAnsi" w:cstheme="minorBidi"/>
          <w:szCs w:val="22"/>
        </w:rPr>
      </w:pPr>
      <w:r>
        <w:t>3.</w:t>
      </w:r>
      <w:r>
        <w:tab/>
        <w:t>Leave of absence for members</w:t>
      </w:r>
      <w:r>
        <w:tab/>
      </w:r>
      <w:r>
        <w:fldChar w:fldCharType="begin"/>
      </w:r>
      <w:r>
        <w:instrText xml:space="preserve"> PAGEREF _Toc377111996 \h </w:instrText>
      </w:r>
      <w:r>
        <w:fldChar w:fldCharType="separate"/>
      </w:r>
      <w:r>
        <w:t>53</w:t>
      </w:r>
      <w:r>
        <w:fldChar w:fldCharType="end"/>
      </w:r>
    </w:p>
    <w:p>
      <w:pPr>
        <w:pStyle w:val="TOC8"/>
        <w:rPr>
          <w:rFonts w:asciiTheme="minorHAnsi" w:eastAsiaTheme="minorEastAsia" w:hAnsiTheme="minorHAnsi" w:cstheme="minorBidi"/>
          <w:szCs w:val="22"/>
        </w:rPr>
      </w:pPr>
      <w:r>
        <w:t>4.</w:t>
      </w:r>
      <w:r>
        <w:tab/>
        <w:t>Appointed member unable to act</w:t>
      </w:r>
      <w:r>
        <w:tab/>
      </w:r>
      <w:r>
        <w:fldChar w:fldCharType="begin"/>
      </w:r>
      <w:r>
        <w:instrText xml:space="preserve"> PAGEREF _Toc377111997 \h </w:instrText>
      </w:r>
      <w:r>
        <w:fldChar w:fldCharType="separate"/>
      </w:r>
      <w:r>
        <w:t>53</w:t>
      </w:r>
      <w:r>
        <w:fldChar w:fldCharType="end"/>
      </w:r>
    </w:p>
    <w:p>
      <w:pPr>
        <w:pStyle w:val="TOC8"/>
        <w:rPr>
          <w:rFonts w:asciiTheme="minorHAnsi" w:eastAsiaTheme="minorEastAsia" w:hAnsiTheme="minorHAnsi" w:cstheme="minorBidi"/>
          <w:szCs w:val="22"/>
        </w:rPr>
      </w:pPr>
      <w:r>
        <w:t>6.</w:t>
      </w:r>
      <w:r>
        <w:tab/>
        <w:t>Saving</w:t>
      </w:r>
      <w:r>
        <w:tab/>
      </w:r>
      <w:r>
        <w:fldChar w:fldCharType="begin"/>
      </w:r>
      <w:r>
        <w:instrText xml:space="preserve"> PAGEREF _Toc377111998 \h </w:instrText>
      </w:r>
      <w:r>
        <w:fldChar w:fldCharType="separate"/>
      </w:r>
      <w:r>
        <w:t>53</w:t>
      </w:r>
      <w:r>
        <w:fldChar w:fldCharType="end"/>
      </w:r>
    </w:p>
    <w:p>
      <w:pPr>
        <w:pStyle w:val="TOC8"/>
        <w:rPr>
          <w:rFonts w:asciiTheme="minorHAnsi" w:eastAsiaTheme="minorEastAsia" w:hAnsiTheme="minorHAnsi" w:cstheme="minorBidi"/>
          <w:szCs w:val="22"/>
        </w:rPr>
      </w:pPr>
      <w:r>
        <w:t>7.</w:t>
      </w:r>
      <w:r>
        <w:tab/>
        <w:t>Meetings, convening</w:t>
      </w:r>
      <w:r>
        <w:tab/>
      </w:r>
      <w:r>
        <w:fldChar w:fldCharType="begin"/>
      </w:r>
      <w:r>
        <w:instrText xml:space="preserve"> PAGEREF _Toc377111999 \h </w:instrText>
      </w:r>
      <w:r>
        <w:fldChar w:fldCharType="separate"/>
      </w:r>
      <w:r>
        <w:t>53</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_Toc377112000 \h </w:instrText>
      </w:r>
      <w:r>
        <w:fldChar w:fldCharType="separate"/>
      </w:r>
      <w:r>
        <w:t>54</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_Toc377112001 \h </w:instrText>
      </w:r>
      <w:r>
        <w:fldChar w:fldCharType="separate"/>
      </w:r>
      <w:r>
        <w:t>54</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_Toc377112002 \h </w:instrText>
      </w:r>
      <w:r>
        <w:fldChar w:fldCharType="separate"/>
      </w:r>
      <w:r>
        <w:t>54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_Toc377112003 \h </w:instrText>
      </w:r>
      <w:r>
        <w:fldChar w:fldCharType="separate"/>
      </w:r>
      <w:r>
        <w:t>54</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_Toc377112004 \h </w:instrText>
      </w:r>
      <w:r>
        <w:fldChar w:fldCharType="separate"/>
      </w:r>
      <w:r>
        <w:t>55</w:t>
      </w:r>
      <w:r>
        <w:fldChar w:fldCharType="end"/>
      </w:r>
    </w:p>
    <w:p>
      <w:pPr>
        <w:pStyle w:val="TOC8"/>
        <w:rPr>
          <w:rFonts w:asciiTheme="minorHAnsi" w:eastAsiaTheme="minorEastAsia" w:hAnsiTheme="minorHAnsi" w:cstheme="minorBidi"/>
          <w:szCs w:val="22"/>
        </w:rPr>
      </w:pPr>
      <w:r>
        <w:t>13.</w:t>
      </w:r>
      <w:r>
        <w:tab/>
        <w:t>Telephone or video meetings</w:t>
      </w:r>
      <w:r>
        <w:tab/>
      </w:r>
      <w:r>
        <w:fldChar w:fldCharType="begin"/>
      </w:r>
      <w:r>
        <w:instrText xml:space="preserve"> PAGEREF _Toc377112005 \h </w:instrText>
      </w:r>
      <w:r>
        <w:fldChar w:fldCharType="separate"/>
      </w:r>
      <w:r>
        <w:t>55</w:t>
      </w:r>
      <w:r>
        <w:fldChar w:fldCharType="end"/>
      </w:r>
    </w:p>
    <w:p>
      <w:pPr>
        <w:pStyle w:val="TOC8"/>
        <w:rPr>
          <w:rFonts w:asciiTheme="minorHAnsi" w:eastAsiaTheme="minorEastAsia" w:hAnsiTheme="minorHAnsi" w:cstheme="minorBidi"/>
          <w:szCs w:val="22"/>
        </w:rPr>
      </w:pPr>
      <w:r>
        <w:t>15.</w:t>
      </w:r>
      <w:r>
        <w:tab/>
        <w:t>Board to determine own procedures</w:t>
      </w:r>
      <w:r>
        <w:tab/>
      </w:r>
      <w:r>
        <w:fldChar w:fldCharType="begin"/>
      </w:r>
      <w:r>
        <w:instrText xml:space="preserve"> PAGEREF _Toc377112006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Material personal interests to be disclosed</w:t>
      </w:r>
      <w:r>
        <w:tab/>
      </w:r>
      <w:r>
        <w:fldChar w:fldCharType="begin"/>
      </w:r>
      <w:r>
        <w:instrText xml:space="preserve"> PAGEREF _Toc377112008 \h </w:instrText>
      </w:r>
      <w:r>
        <w:fldChar w:fldCharType="separate"/>
      </w:r>
      <w:r>
        <w:t>55</w:t>
      </w:r>
      <w:r>
        <w:fldChar w:fldCharType="end"/>
      </w:r>
    </w:p>
    <w:p>
      <w:pPr>
        <w:pStyle w:val="TOC8"/>
        <w:rPr>
          <w:rFonts w:asciiTheme="minorHAnsi" w:eastAsiaTheme="minorEastAsia" w:hAnsiTheme="minorHAnsi" w:cstheme="minorBidi"/>
          <w:szCs w:val="22"/>
        </w:rPr>
      </w:pPr>
      <w:r>
        <w:t>17.</w:t>
      </w:r>
      <w:r>
        <w:tab/>
        <w:t>Member with material personal interest not to vote etc.</w:t>
      </w:r>
      <w:r>
        <w:tab/>
      </w:r>
      <w:r>
        <w:fldChar w:fldCharType="begin"/>
      </w:r>
      <w:r>
        <w:instrText xml:space="preserve"> PAGEREF _Toc377112009 \h </w:instrText>
      </w:r>
      <w:r>
        <w:fldChar w:fldCharType="separate"/>
      </w:r>
      <w:r>
        <w:t>56</w:t>
      </w:r>
      <w:r>
        <w:fldChar w:fldCharType="end"/>
      </w:r>
    </w:p>
    <w:p>
      <w:pPr>
        <w:pStyle w:val="TOC8"/>
        <w:rPr>
          <w:rFonts w:asciiTheme="minorHAnsi" w:eastAsiaTheme="minorEastAsia" w:hAnsiTheme="minorHAnsi" w:cstheme="minorBidi"/>
          <w:szCs w:val="22"/>
        </w:rPr>
      </w:pPr>
      <w:r>
        <w:t>18.</w:t>
      </w:r>
      <w:r>
        <w:tab/>
        <w:t>Board may disapply cl. 17</w:t>
      </w:r>
      <w:r>
        <w:tab/>
      </w:r>
      <w:r>
        <w:fldChar w:fldCharType="begin"/>
      </w:r>
      <w:r>
        <w:instrText xml:space="preserve"> PAGEREF _Toc377112010 \h </w:instrText>
      </w:r>
      <w:r>
        <w:fldChar w:fldCharType="separate"/>
      </w:r>
      <w:r>
        <w:t>56</w:t>
      </w:r>
      <w:r>
        <w:fldChar w:fldCharType="end"/>
      </w:r>
    </w:p>
    <w:p>
      <w:pPr>
        <w:pStyle w:val="TOC8"/>
        <w:rPr>
          <w:rFonts w:asciiTheme="minorHAnsi" w:eastAsiaTheme="minorEastAsia" w:hAnsiTheme="minorHAnsi" w:cstheme="minorBidi"/>
          <w:szCs w:val="22"/>
        </w:rPr>
      </w:pPr>
      <w:r>
        <w:t>19.</w:t>
      </w:r>
      <w:r>
        <w:tab/>
        <w:t>Quorum where cl. 17 applies</w:t>
      </w:r>
      <w:r>
        <w:tab/>
      </w:r>
      <w:r>
        <w:fldChar w:fldCharType="begin"/>
      </w:r>
      <w:r>
        <w:instrText xml:space="preserve"> PAGEREF _Toc377112011 \h </w:instrText>
      </w:r>
      <w:r>
        <w:fldChar w:fldCharType="separate"/>
      </w:r>
      <w:r>
        <w:t>56</w:t>
      </w:r>
      <w:r>
        <w:fldChar w:fldCharType="end"/>
      </w:r>
    </w:p>
    <w:p>
      <w:pPr>
        <w:pStyle w:val="TOC8"/>
        <w:rPr>
          <w:rFonts w:asciiTheme="minorHAnsi" w:eastAsiaTheme="minorEastAsia" w:hAnsiTheme="minorHAnsi" w:cstheme="minorBidi"/>
          <w:szCs w:val="22"/>
        </w:rPr>
      </w:pPr>
      <w:r>
        <w:t>20.</w:t>
      </w:r>
      <w:r>
        <w:tab/>
        <w:t>Minister may declare cl. 17 and 19 inapplicable</w:t>
      </w:r>
      <w:r>
        <w:tab/>
      </w:r>
      <w:r>
        <w:fldChar w:fldCharType="begin"/>
      </w:r>
      <w:r>
        <w:instrText xml:space="preserve"> PAGEREF _Toc377112012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_Toc377112014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School Curriculum and Standards Authority Act 1997</w:t>
      </w:r>
    </w:p>
    <w:p>
      <w:pPr>
        <w:pStyle w:val="LongTitle"/>
        <w:rPr>
          <w:snapToGrid w:val="0"/>
        </w:rPr>
      </w:pPr>
      <w:r>
        <w:rPr>
          <w:snapToGrid w:val="0"/>
        </w:rPr>
        <w:t>An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Footnotelongtitle"/>
      </w:pPr>
      <w:r>
        <w:tab/>
        <w:t>[Long title inserted by No. 37 of 2011 s. 4.]</w:t>
      </w:r>
    </w:p>
    <w:p>
      <w:pPr>
        <w:pStyle w:val="Heading2"/>
      </w:pPr>
      <w:bookmarkStart w:id="1" w:name="_Toc377111911"/>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7111912"/>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r>
        <w:rPr>
          <w:snapToGrid w:val="0"/>
          <w:vertAlign w:val="superscript"/>
        </w:rPr>
        <w:t> 1</w:t>
      </w:r>
      <w:r>
        <w:rPr>
          <w:snapToGrid w:val="0"/>
        </w:rPr>
        <w:t>.</w:t>
      </w:r>
    </w:p>
    <w:p>
      <w:pPr>
        <w:pStyle w:val="Footnotesection"/>
      </w:pPr>
      <w:r>
        <w:tab/>
        <w:t>[Section 1 amended by No. 37 of 2011 s. 5.]</w:t>
      </w:r>
    </w:p>
    <w:p>
      <w:pPr>
        <w:pStyle w:val="Heading5"/>
        <w:rPr>
          <w:snapToGrid w:val="0"/>
        </w:rPr>
      </w:pPr>
      <w:bookmarkStart w:id="3" w:name="_Toc37711191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 w:name="_Toc377111914"/>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advisory committee</w:t>
      </w:r>
      <w:r>
        <w:t xml:space="preserve"> means the Curriculum and Assessment Committee or the Standards Committee;</w:t>
      </w:r>
    </w:p>
    <w:p>
      <w:pPr>
        <w:pStyle w:val="Defstart"/>
      </w:pPr>
      <w:r>
        <w:rPr>
          <w:b/>
        </w:rPr>
        <w:tab/>
      </w:r>
      <w:r>
        <w:rPr>
          <w:rStyle w:val="CharDefText"/>
        </w:rPr>
        <w:t>assessment</w:t>
      </w:r>
      <w:r>
        <w:t xml:space="preserve"> includes examination;</w:t>
      </w:r>
    </w:p>
    <w:p>
      <w:pPr>
        <w:pStyle w:val="Defstart"/>
      </w:pPr>
      <w:r>
        <w:rPr>
          <w:b/>
        </w:rPr>
        <w:tab/>
      </w:r>
      <w:r>
        <w:rPr>
          <w:rStyle w:val="CharDefText"/>
        </w:rPr>
        <w:t>Authority</w:t>
      </w:r>
      <w:r>
        <w:t xml:space="preserve"> means the School Curriculum and Standards Authority established by section 5;</w:t>
      </w:r>
    </w:p>
    <w:p>
      <w:pPr>
        <w:pStyle w:val="Defstart"/>
      </w:pPr>
      <w:r>
        <w:rPr>
          <w:b/>
        </w:rPr>
        <w:tab/>
      </w:r>
      <w:r>
        <w:rPr>
          <w:rStyle w:val="CharDefText"/>
        </w:rPr>
        <w:t>Board</w:t>
      </w:r>
      <w:r>
        <w:t xml:space="preserve"> means the governing body of the Authority referred to in section 6;</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an advisory committee or a committee appointed under section 7F;</w:t>
      </w:r>
    </w:p>
    <w:p>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Defstart"/>
      </w:pPr>
      <w:r>
        <w:tab/>
      </w:r>
      <w:r>
        <w:rPr>
          <w:rStyle w:val="CharDefText"/>
        </w:rPr>
        <w:t>compulsory education period</w:t>
      </w:r>
      <w:r>
        <w:t xml:space="preserve"> has the meaning given in the School Education Act section 6(1);</w:t>
      </w:r>
    </w:p>
    <w:p>
      <w:pPr>
        <w:pStyle w:val="Defstart"/>
      </w:pPr>
      <w:r>
        <w:rPr>
          <w:b/>
        </w:rPr>
        <w:tab/>
      </w:r>
      <w:r>
        <w:rPr>
          <w:rStyle w:val="CharDefText"/>
        </w:rPr>
        <w:t>course</w:t>
      </w:r>
      <w:r>
        <w:t xml:space="preserve"> means a course of study, subject or syllabus;</w:t>
      </w:r>
    </w:p>
    <w:p>
      <w:pPr>
        <w:pStyle w:val="Defstart"/>
      </w:pPr>
      <w:r>
        <w:rPr>
          <w:b/>
        </w:rPr>
        <w:tab/>
      </w:r>
      <w:r>
        <w:rPr>
          <w:rStyle w:val="CharDefText"/>
        </w:rPr>
        <w:t>Curriculum and Assessment Committee</w:t>
      </w:r>
      <w:r>
        <w:t xml:space="preserve"> means the committee established under section 7D;</w:t>
      </w:r>
    </w:p>
    <w:p>
      <w:pPr>
        <w:pStyle w:val="Defstart"/>
      </w:pPr>
      <w:r>
        <w:rPr>
          <w:b/>
        </w:rPr>
        <w:tab/>
      </w:r>
      <w:r>
        <w:rPr>
          <w:rStyle w:val="CharDefText"/>
        </w:rPr>
        <w:t>Education Department</w:t>
      </w:r>
      <w:r>
        <w:t xml:space="preserve"> means the department referred to in section 228 of the School Education Act;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 the chief executive officer of the Education Department; and</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pPr>
        <w:pStyle w:val="Defstart"/>
      </w:pPr>
      <w:r>
        <w:rPr>
          <w:b/>
        </w:rPr>
        <w:tab/>
      </w:r>
      <w:r>
        <w:rPr>
          <w:rStyle w:val="CharDefText"/>
        </w:rPr>
        <w:t>member</w:t>
      </w:r>
      <w:r>
        <w:t xml:space="preserve"> means a member of the Board and includes a person acting under Schedule 1 clause 4;</w:t>
      </w:r>
    </w:p>
    <w:p>
      <w:pPr>
        <w:pStyle w:val="Defstart"/>
      </w:pPr>
      <w:r>
        <w:rPr>
          <w:b/>
        </w:rPr>
        <w:tab/>
      </w:r>
      <w:r>
        <w:rPr>
          <w:rStyle w:val="CharDefText"/>
        </w:rPr>
        <w:t>member of staff</w:t>
      </w:r>
      <w:r>
        <w:t xml:space="preserve"> means — </w:t>
      </w:r>
    </w:p>
    <w:p>
      <w:pPr>
        <w:pStyle w:val="Defpara"/>
      </w:pPr>
      <w:r>
        <w:tab/>
        <w:t>(a)</w:t>
      </w:r>
      <w:r>
        <w:tab/>
        <w:t>an officer referred to in section 21(1); and</w:t>
      </w:r>
    </w:p>
    <w:p>
      <w:pPr>
        <w:pStyle w:val="Defpara"/>
      </w:pPr>
      <w:r>
        <w:tab/>
        <w:t>(b)</w:t>
      </w:r>
      <w:r>
        <w:tab/>
        <w:t>a person referred to in section 21(2); and</w:t>
      </w:r>
    </w:p>
    <w:p>
      <w:pPr>
        <w:pStyle w:val="Defpara"/>
      </w:pPr>
      <w:r>
        <w:tab/>
        <w:t>(c)</w:t>
      </w:r>
      <w:r>
        <w:tab/>
        <w:t xml:space="preserve">a person engaged or appointed by the Authority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r>
      <w:r>
        <w:rPr>
          <w:rStyle w:val="CharDefText"/>
        </w:rPr>
        <w:t>school</w:t>
      </w:r>
      <w:r>
        <w:t xml:space="preserve"> means a school as defined in the School Education Act</w:t>
      </w:r>
      <w:r>
        <w:rPr>
          <w:i/>
        </w:rPr>
        <w:t xml:space="preserve"> </w:t>
      </w:r>
      <w:r>
        <w:t>or a community kindergarten;</w:t>
      </w:r>
    </w:p>
    <w:p>
      <w:pPr>
        <w:pStyle w:val="Defstart"/>
      </w:pPr>
      <w:r>
        <w:rPr>
          <w:b/>
        </w:rPr>
        <w:tab/>
      </w:r>
      <w:r>
        <w:rPr>
          <w:rStyle w:val="CharDefText"/>
        </w:rPr>
        <w:t>School Education Act</w:t>
      </w:r>
      <w:r>
        <w:t xml:space="preserve"> means the </w:t>
      </w:r>
      <w:r>
        <w:rPr>
          <w:i/>
          <w:iCs/>
        </w:rPr>
        <w:t>School Education Act</w:t>
      </w:r>
      <w:r>
        <w:t> </w:t>
      </w:r>
      <w:r>
        <w:rPr>
          <w:i/>
          <w:iCs/>
        </w:rPr>
        <w:t>1999</w:t>
      </w:r>
      <w:r>
        <w:t>;</w:t>
      </w:r>
    </w:p>
    <w:p>
      <w:pPr>
        <w:pStyle w:val="Defstart"/>
      </w:pPr>
      <w:r>
        <w:rPr>
          <w:b/>
        </w:rPr>
        <w:tab/>
      </w:r>
      <w:r>
        <w:rPr>
          <w:rStyle w:val="CharDefText"/>
        </w:rPr>
        <w:t>school system</w:t>
      </w:r>
      <w:r>
        <w:t xml:space="preserve"> means a school system that is declared to be a recognised school system under the School Education Act section 169;</w:t>
      </w:r>
    </w:p>
    <w:p>
      <w:pPr>
        <w:pStyle w:val="Defstart"/>
      </w:pPr>
      <w:r>
        <w:rPr>
          <w:b/>
        </w:rPr>
        <w:tab/>
      </w:r>
      <w:r>
        <w:rPr>
          <w:rStyle w:val="CharDefText"/>
        </w:rPr>
        <w:t>school years</w:t>
      </w:r>
      <w:r>
        <w:t xml:space="preserve"> includes the pre</w:t>
      </w:r>
      <w:r>
        <w:noBreakHyphen/>
        <w:t>compulsory education period as defined in the School Education Act section 5;</w:t>
      </w:r>
    </w:p>
    <w:p>
      <w:pPr>
        <w:pStyle w:val="Defstart"/>
      </w:pPr>
      <w:r>
        <w:rPr>
          <w:b/>
        </w:rPr>
        <w:tab/>
      </w:r>
      <w:r>
        <w:rPr>
          <w:rStyle w:val="CharDefText"/>
        </w:rPr>
        <w:t>Standards Committee</w:t>
      </w:r>
      <w:r>
        <w:t xml:space="preserve"> means the committee established under section 7B;</w:t>
      </w:r>
    </w:p>
    <w:p>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 No. 37 of 2011 s. 6 and 53(1); No. 46 of 2012 s. 14.]</w:t>
      </w:r>
    </w:p>
    <w:p>
      <w:pPr>
        <w:pStyle w:val="Heading5"/>
      </w:pPr>
      <w:bookmarkStart w:id="5" w:name="_Toc377111915"/>
      <w:r>
        <w:rPr>
          <w:rStyle w:val="CharSectno"/>
        </w:rPr>
        <w:t>4</w:t>
      </w:r>
      <w:r>
        <w:t>.</w:t>
      </w:r>
      <w:r>
        <w:tab/>
        <w:t>Objects of Act</w:t>
      </w:r>
      <w:bookmarkEnd w:id="5"/>
    </w:p>
    <w:p>
      <w:pPr>
        <w:pStyle w:val="Subsection"/>
      </w:pPr>
      <w:r>
        <w:tab/>
      </w:r>
      <w:r>
        <w:tab/>
        <w:t xml:space="preserve">The main objects of this Act are — </w:t>
      </w:r>
    </w:p>
    <w:p>
      <w:pPr>
        <w:pStyle w:val="Indenta"/>
      </w:pPr>
      <w:r>
        <w:tab/>
        <w:t>(a)</w:t>
      </w:r>
      <w:r>
        <w:tab/>
        <w:t>to establish the School Curriculum and Standards Authority; and</w:t>
      </w:r>
    </w:p>
    <w:p>
      <w:pPr>
        <w:pStyle w:val="Indenta"/>
      </w:pPr>
      <w:r>
        <w:tab/>
        <w:t>(b)</w:t>
      </w:r>
      <w:r>
        <w:tab/>
        <w:t>to provide for standards of student achievement and for the assessment and certification of student achievement according to those standards; and</w:t>
      </w:r>
    </w:p>
    <w:p>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Indenta"/>
      </w:pPr>
      <w:r>
        <w:tab/>
        <w:t>(d)</w:t>
      </w:r>
      <w:r>
        <w:tab/>
        <w:t>to provide for the development and accreditation of courses for schooling; and</w:t>
      </w:r>
    </w:p>
    <w:p>
      <w:pPr>
        <w:pStyle w:val="Indenta"/>
      </w:pPr>
      <w:r>
        <w:tab/>
        <w:t>(e)</w:t>
      </w:r>
      <w:r>
        <w:tab/>
        <w:t xml:space="preserve">to provide for the maintenance of a database of information relating to — </w:t>
      </w:r>
    </w:p>
    <w:p>
      <w:pPr>
        <w:pStyle w:val="Indenti"/>
      </w:pPr>
      <w:r>
        <w:tab/>
        <w:t>(i)</w:t>
      </w:r>
      <w:r>
        <w:tab/>
        <w:t>the participation by students during their school years in education, training or employment as provided for by the School Education Act; and</w:t>
      </w:r>
    </w:p>
    <w:p>
      <w:pPr>
        <w:pStyle w:val="Indenti"/>
      </w:pPr>
      <w:r>
        <w:tab/>
        <w:t>(ii)</w:t>
      </w:r>
      <w:r>
        <w:tab/>
        <w:t>the achievements of students during those years; and</w:t>
      </w:r>
    </w:p>
    <w:p>
      <w:pPr>
        <w:pStyle w:val="Indenti"/>
      </w:pPr>
      <w:r>
        <w:tab/>
        <w:t>(iii)</w:t>
      </w:r>
      <w:r>
        <w:tab/>
        <w:t>records of assessment in respect of students.</w:t>
      </w:r>
    </w:p>
    <w:p>
      <w:pPr>
        <w:pStyle w:val="Footnotesection"/>
      </w:pPr>
      <w:r>
        <w:tab/>
        <w:t>[Section 4 inserted by No. 37 of 2011 s. 7.]</w:t>
      </w:r>
    </w:p>
    <w:p>
      <w:pPr>
        <w:pStyle w:val="Heading2"/>
      </w:pPr>
      <w:bookmarkStart w:id="6" w:name="_Toc377111916"/>
      <w:r>
        <w:rPr>
          <w:rStyle w:val="CharPartNo"/>
        </w:rPr>
        <w:t>Part 2</w:t>
      </w:r>
      <w:r>
        <w:rPr>
          <w:b w:val="0"/>
        </w:rPr>
        <w:t> </w:t>
      </w:r>
      <w:r>
        <w:t>—</w:t>
      </w:r>
      <w:r>
        <w:rPr>
          <w:b w:val="0"/>
        </w:rPr>
        <w:t> </w:t>
      </w:r>
      <w:r>
        <w:rPr>
          <w:rStyle w:val="CharPartText"/>
        </w:rPr>
        <w:t>The School Curriculum and Standards Authority and committees</w:t>
      </w:r>
      <w:bookmarkEnd w:id="6"/>
    </w:p>
    <w:p>
      <w:pPr>
        <w:pStyle w:val="Footnoteheading"/>
        <w:spacing w:before="100"/>
      </w:pPr>
      <w:r>
        <w:tab/>
        <w:t>[Heading inserted by No. 37 of 2011 s. 8.]</w:t>
      </w:r>
    </w:p>
    <w:p>
      <w:pPr>
        <w:pStyle w:val="Heading3"/>
      </w:pPr>
      <w:bookmarkStart w:id="7" w:name="_Toc377111917"/>
      <w:r>
        <w:rPr>
          <w:rStyle w:val="CharDivNo"/>
        </w:rPr>
        <w:t>Division 1</w:t>
      </w:r>
      <w:r>
        <w:t> — </w:t>
      </w:r>
      <w:r>
        <w:rPr>
          <w:rStyle w:val="CharDivText"/>
        </w:rPr>
        <w:t>School Curriculum and Standards Authority</w:t>
      </w:r>
      <w:bookmarkEnd w:id="7"/>
    </w:p>
    <w:p>
      <w:pPr>
        <w:pStyle w:val="Footnoteheading"/>
        <w:spacing w:before="100"/>
      </w:pPr>
      <w:r>
        <w:tab/>
        <w:t>[Heading inserted by No. 37 of 2011 s. 8.]</w:t>
      </w:r>
    </w:p>
    <w:p>
      <w:pPr>
        <w:pStyle w:val="Heading5"/>
      </w:pPr>
      <w:bookmarkStart w:id="8" w:name="_Toc377111918"/>
      <w:r>
        <w:rPr>
          <w:rStyle w:val="CharSectno"/>
        </w:rPr>
        <w:t>5</w:t>
      </w:r>
      <w:r>
        <w:t>.</w:t>
      </w:r>
      <w:r>
        <w:tab/>
        <w:t>Authority established; status etc. of Authority</w:t>
      </w:r>
      <w:bookmarkEnd w:id="8"/>
    </w:p>
    <w:p>
      <w:pPr>
        <w:pStyle w:val="Subsection"/>
      </w:pPr>
      <w:r>
        <w:tab/>
        <w:t>(1)</w:t>
      </w:r>
      <w:r>
        <w:tab/>
        <w:t>A body called the School Curriculum and Standards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is an agent of the State and has the status, immunities and privileges of the State.</w:t>
      </w:r>
    </w:p>
    <w:p>
      <w:pPr>
        <w:pStyle w:val="Footnotesection"/>
        <w:spacing w:before="100"/>
        <w:ind w:left="890" w:hanging="890"/>
      </w:pPr>
      <w:r>
        <w:tab/>
        <w:t>[Section 5 inserted by No. 37 of 2011 s. 9.]</w:t>
      </w:r>
    </w:p>
    <w:p>
      <w:pPr>
        <w:pStyle w:val="Heading5"/>
      </w:pPr>
      <w:bookmarkStart w:id="9" w:name="_Toc377111919"/>
      <w:r>
        <w:rPr>
          <w:rStyle w:val="CharSectno"/>
        </w:rPr>
        <w:t>6</w:t>
      </w:r>
      <w:r>
        <w:t>.</w:t>
      </w:r>
      <w:r>
        <w:tab/>
        <w:t>Board of Authority</w:t>
      </w:r>
      <w:bookmarkEnd w:id="9"/>
    </w:p>
    <w:p>
      <w:pPr>
        <w:pStyle w:val="Subsection"/>
      </w:pPr>
      <w:r>
        <w:tab/>
        <w:t>(1)</w:t>
      </w:r>
      <w:r>
        <w:tab/>
        <w:t xml:space="preserve">The Authority is to have a governing body (the </w:t>
      </w:r>
      <w:r>
        <w:rPr>
          <w:rStyle w:val="CharDefText"/>
        </w:rPr>
        <w:t>Board</w:t>
      </w:r>
      <w:r>
        <w:t>).</w:t>
      </w:r>
    </w:p>
    <w:p>
      <w:pPr>
        <w:pStyle w:val="Subsection"/>
      </w:pPr>
      <w:r>
        <w:tab/>
        <w:t>(2)</w:t>
      </w:r>
      <w:r>
        <w:tab/>
        <w:t>The Board, in the name of the Authority, is to perform the functions of the Authority under this Act or any other written law.</w:t>
      </w:r>
    </w:p>
    <w:p>
      <w:pPr>
        <w:pStyle w:val="Footnotesection"/>
        <w:spacing w:before="100"/>
        <w:ind w:left="890" w:hanging="890"/>
      </w:pPr>
      <w:r>
        <w:tab/>
        <w:t>[Section 6 inserted by No. 37 of 2011 s. 9.]</w:t>
      </w:r>
    </w:p>
    <w:p>
      <w:pPr>
        <w:pStyle w:val="Heading5"/>
      </w:pPr>
      <w:bookmarkStart w:id="10" w:name="_Toc377111920"/>
      <w:r>
        <w:rPr>
          <w:rStyle w:val="CharSectno"/>
        </w:rPr>
        <w:t>7A</w:t>
      </w:r>
      <w:r>
        <w:t>.</w:t>
      </w:r>
      <w:r>
        <w:tab/>
        <w:t>Board, members of</w:t>
      </w:r>
      <w:bookmarkEnd w:id="10"/>
    </w:p>
    <w:p>
      <w:pPr>
        <w:pStyle w:val="Subsection"/>
      </w:pPr>
      <w:r>
        <w:tab/>
        <w:t>(1)</w:t>
      </w:r>
      <w:r>
        <w:tab/>
        <w:t>The Minister is to appoint 7 people to be the members of the Board.</w:t>
      </w:r>
    </w:p>
    <w:p>
      <w:pPr>
        <w:pStyle w:val="Subsection"/>
      </w:pPr>
      <w:r>
        <w:tab/>
        <w:t>(2)</w:t>
      </w:r>
      <w:r>
        <w:tab/>
        <w:t>A person who is the chief executive officer or a member of staff is not eligible to be appointed as a member of the Board.</w:t>
      </w:r>
    </w:p>
    <w:p>
      <w:pPr>
        <w:pStyle w:val="Subsection"/>
      </w:pPr>
      <w:r>
        <w:tab/>
        <w:t>(3)</w:t>
      </w:r>
      <w:r>
        <w:tab/>
        <w:t>The Minister is to designate one of the members to be the chairperson.</w:t>
      </w:r>
    </w:p>
    <w:p>
      <w:pPr>
        <w:pStyle w:val="Subsection"/>
      </w:pPr>
      <w:r>
        <w:tab/>
        <w:t>(4)</w:t>
      </w:r>
      <w:r>
        <w:tab/>
        <w:t>The Minister is to ensure that the members of the Board have, between them, the knowledge, experience and expertise needed to enable the Authority’s functions under this Act to be performed effectively.</w:t>
      </w:r>
    </w:p>
    <w:p>
      <w:pPr>
        <w:pStyle w:val="Footnotesection"/>
      </w:pPr>
      <w:r>
        <w:tab/>
        <w:t>[Section 7A inserted by No. 37 of 2011 s. 9.]</w:t>
      </w:r>
    </w:p>
    <w:p>
      <w:pPr>
        <w:pStyle w:val="Heading3"/>
      </w:pPr>
      <w:bookmarkStart w:id="11" w:name="_Toc377111921"/>
      <w:r>
        <w:rPr>
          <w:rStyle w:val="CharDivNo"/>
        </w:rPr>
        <w:t>Division 2</w:t>
      </w:r>
      <w:r>
        <w:t> — </w:t>
      </w:r>
      <w:r>
        <w:rPr>
          <w:rStyle w:val="CharDivText"/>
        </w:rPr>
        <w:t>Committees</w:t>
      </w:r>
      <w:bookmarkEnd w:id="11"/>
    </w:p>
    <w:p>
      <w:pPr>
        <w:pStyle w:val="Footnoteheading"/>
      </w:pPr>
      <w:r>
        <w:tab/>
        <w:t>[Heading inserted by No. 37 of 2011 s. 9.]</w:t>
      </w:r>
    </w:p>
    <w:p>
      <w:pPr>
        <w:pStyle w:val="Heading5"/>
      </w:pPr>
      <w:bookmarkStart w:id="12" w:name="_Toc377111922"/>
      <w:r>
        <w:rPr>
          <w:rStyle w:val="CharSectno"/>
        </w:rPr>
        <w:t>7B</w:t>
      </w:r>
      <w:r>
        <w:t>.</w:t>
      </w:r>
      <w:r>
        <w:tab/>
        <w:t>Standards Committee established; members of</w:t>
      </w:r>
      <w:bookmarkEnd w:id="12"/>
    </w:p>
    <w:p>
      <w:pPr>
        <w:pStyle w:val="Subsection"/>
      </w:pPr>
      <w:r>
        <w:tab/>
        <w:t>(1)</w:t>
      </w:r>
      <w:r>
        <w:tab/>
        <w:t>A committee called the Standards Committee is established.</w:t>
      </w:r>
    </w:p>
    <w:p>
      <w:pPr>
        <w:pStyle w:val="Subsection"/>
      </w:pPr>
      <w:r>
        <w:tab/>
        <w:t>(2)</w:t>
      </w:r>
      <w:r>
        <w:tab/>
        <w:t xml:space="preserve">The Standards Committee is to consist of — </w:t>
      </w:r>
    </w:p>
    <w:p>
      <w:pPr>
        <w:pStyle w:val="Indenta"/>
      </w:pPr>
      <w:r>
        <w:tab/>
        <w:t>(a)</w:t>
      </w:r>
      <w:r>
        <w:tab/>
        <w:t>one person who is a member of, and appointed by, the Board; and</w:t>
      </w:r>
    </w:p>
    <w:p>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Subsection"/>
      </w:pPr>
      <w:r>
        <w:tab/>
        <w:t>(3)</w:t>
      </w:r>
      <w:r>
        <w:tab/>
        <w:t>A person who is the chief executive officer or a member of staff is not eligible to be a member of the Standards Committee.</w:t>
      </w:r>
    </w:p>
    <w:p>
      <w:pPr>
        <w:pStyle w:val="Subsection"/>
      </w:pPr>
      <w:r>
        <w:tab/>
        <w:t>(4)</w:t>
      </w:r>
      <w:r>
        <w:tab/>
        <w:t>The person appointed in accordance with subsection (2)(a) is the chairperson of the Standards Committee.</w:t>
      </w:r>
    </w:p>
    <w:p>
      <w:pPr>
        <w:pStyle w:val="Subsection"/>
      </w:pPr>
      <w:r>
        <w:tab/>
        <w:t>(5)</w:t>
      </w:r>
      <w:r>
        <w:tab/>
        <w:t>A member of the Standards Committee holds office for the term determined by the Board and is eligible for reappointment.</w:t>
      </w:r>
    </w:p>
    <w:p>
      <w:pPr>
        <w:pStyle w:val="Footnotesection"/>
      </w:pPr>
      <w:r>
        <w:tab/>
        <w:t>[Section 7B inserted by No. 37 of 2011 s. 9.]</w:t>
      </w:r>
    </w:p>
    <w:p>
      <w:pPr>
        <w:pStyle w:val="Heading5"/>
      </w:pPr>
      <w:bookmarkStart w:id="13" w:name="_Toc377111923"/>
      <w:r>
        <w:rPr>
          <w:rStyle w:val="CharSectno"/>
        </w:rPr>
        <w:t>7C</w:t>
      </w:r>
      <w:r>
        <w:t>.</w:t>
      </w:r>
      <w:r>
        <w:tab/>
        <w:t>Standards Committee, functions of</w:t>
      </w:r>
      <w:bookmarkEnd w:id="13"/>
    </w:p>
    <w:p>
      <w:pPr>
        <w:pStyle w:val="Subsection"/>
      </w:pPr>
      <w:r>
        <w:tab/>
        <w:t>(1)</w:t>
      </w:r>
      <w:r>
        <w:tab/>
        <w:t xml:space="preserve">The function of the Standards Committee is to provide advice to the Board in relation to — </w:t>
      </w:r>
    </w:p>
    <w:p>
      <w:pPr>
        <w:pStyle w:val="Indenta"/>
      </w:pPr>
      <w:r>
        <w:tab/>
        <w:t>(a)</w:t>
      </w:r>
      <w:r>
        <w:tab/>
        <w:t>the functions of the Authority referred to in section 9(1)(j) to (o); and</w:t>
      </w:r>
    </w:p>
    <w:p>
      <w:pPr>
        <w:pStyle w:val="Indenta"/>
      </w:pPr>
      <w:r>
        <w:tab/>
        <w:t>(b)</w:t>
      </w:r>
      <w:r>
        <w:tab/>
        <w:t>any other matter on which the Board requests the Standards Committee to provide advice.</w:t>
      </w:r>
    </w:p>
    <w:p>
      <w:pPr>
        <w:pStyle w:val="Subsection"/>
        <w:spacing w:before="120"/>
      </w:pPr>
      <w:r>
        <w:tab/>
        <w:t>(2)</w:t>
      </w:r>
      <w:r>
        <w:tab/>
        <w:t>To the extent that the procedures of the Standards Committee are not prescribed by the regulations, and subject to any direction given to it by the Board, the Standards Committee may determine its own procedures.</w:t>
      </w:r>
    </w:p>
    <w:p>
      <w:pPr>
        <w:pStyle w:val="Footnotesection"/>
      </w:pPr>
      <w:r>
        <w:tab/>
        <w:t>[Section 7C inserted by No. 37 of 2011 s. 9.]</w:t>
      </w:r>
    </w:p>
    <w:p>
      <w:pPr>
        <w:pStyle w:val="Heading5"/>
      </w:pPr>
      <w:bookmarkStart w:id="14" w:name="_Toc377111924"/>
      <w:r>
        <w:rPr>
          <w:rStyle w:val="CharSectno"/>
        </w:rPr>
        <w:t>7D</w:t>
      </w:r>
      <w:r>
        <w:t>.</w:t>
      </w:r>
      <w:r>
        <w:tab/>
        <w:t>Curriculum and Assessment Committee established; members of</w:t>
      </w:r>
      <w:bookmarkEnd w:id="14"/>
    </w:p>
    <w:p>
      <w:pPr>
        <w:pStyle w:val="Subsection"/>
        <w:spacing w:before="120"/>
      </w:pPr>
      <w:r>
        <w:tab/>
        <w:t>(1)</w:t>
      </w:r>
      <w:r>
        <w:tab/>
        <w:t>A committee called the Curriculum and Assessment Committee is established.</w:t>
      </w:r>
    </w:p>
    <w:p>
      <w:pPr>
        <w:pStyle w:val="Subsection"/>
        <w:spacing w:before="120"/>
      </w:pPr>
      <w:r>
        <w:tab/>
        <w:t>(2)</w:t>
      </w:r>
      <w:r>
        <w:tab/>
        <w:t xml:space="preserve">The Curriculum and Assessment Committee is to consist of — </w:t>
      </w:r>
    </w:p>
    <w:p>
      <w:pPr>
        <w:pStyle w:val="Indenta"/>
      </w:pPr>
      <w:r>
        <w:tab/>
        <w:t>(a)</w:t>
      </w:r>
      <w:r>
        <w:tab/>
        <w:t>one person who is a member of, and appointed by, the Board; and</w:t>
      </w:r>
    </w:p>
    <w:p>
      <w:pPr>
        <w:pStyle w:val="Indenta"/>
      </w:pPr>
      <w:r>
        <w:tab/>
        <w:t>(b)</w:t>
      </w:r>
      <w:r>
        <w:tab/>
        <w:t xml:space="preserve">12 people appointed by the Board, with the approval of the Minister, who have between them, in the opinion of the Board, qualifications, experience and expertise in — </w:t>
      </w:r>
    </w:p>
    <w:p>
      <w:pPr>
        <w:pStyle w:val="Indenti"/>
      </w:pPr>
      <w:r>
        <w:tab/>
        <w:t>(i)</w:t>
      </w:r>
      <w:r>
        <w:tab/>
        <w:t>the development and implementation of courses in government schools or non</w:t>
      </w:r>
      <w:r>
        <w:noBreakHyphen/>
        <w:t>government schools, as defined in the School Education Act; and</w:t>
      </w:r>
    </w:p>
    <w:p>
      <w:pPr>
        <w:pStyle w:val="Indenti"/>
      </w:pPr>
      <w:r>
        <w:tab/>
        <w:t>(ii)</w:t>
      </w:r>
      <w:r>
        <w:tab/>
        <w:t>the options for employment or further study available to students leaving secondary school.</w:t>
      </w:r>
    </w:p>
    <w:p>
      <w:pPr>
        <w:pStyle w:val="Subsection"/>
        <w:spacing w:before="120"/>
      </w:pPr>
      <w:r>
        <w:tab/>
        <w:t>(3)</w:t>
      </w:r>
      <w:r>
        <w:tab/>
        <w:t>A person who is the chief executive officer or a member of staff is not eligible to be a member of the Curriculum and Assessment Committee.</w:t>
      </w:r>
    </w:p>
    <w:p>
      <w:pPr>
        <w:pStyle w:val="Subsection"/>
        <w:spacing w:before="120"/>
      </w:pPr>
      <w:r>
        <w:tab/>
        <w:t>(4)</w:t>
      </w:r>
      <w:r>
        <w:tab/>
        <w:t xml:space="preserve">The person appointed in accordance with subsection (2)(a) is the chairperson of the Curriculum and Assessment Committee. </w:t>
      </w:r>
    </w:p>
    <w:p>
      <w:pPr>
        <w:pStyle w:val="Subsection"/>
        <w:spacing w:before="120"/>
      </w:pPr>
      <w:r>
        <w:tab/>
        <w:t>(5)</w:t>
      </w:r>
      <w:r>
        <w:tab/>
        <w:t>A member of the Curriculum and Assessment Committee holds office for the term determined by the Board and is eligible for reappointment.</w:t>
      </w:r>
    </w:p>
    <w:p>
      <w:pPr>
        <w:pStyle w:val="Footnotesection"/>
      </w:pPr>
      <w:r>
        <w:tab/>
        <w:t>[Section 7D inserted by No. 37 of 2011 s. 9.]</w:t>
      </w:r>
    </w:p>
    <w:p>
      <w:pPr>
        <w:pStyle w:val="Heading5"/>
      </w:pPr>
      <w:bookmarkStart w:id="15" w:name="_Toc377111925"/>
      <w:r>
        <w:rPr>
          <w:rStyle w:val="CharSectno"/>
        </w:rPr>
        <w:t>7E</w:t>
      </w:r>
      <w:r>
        <w:t>.</w:t>
      </w:r>
      <w:r>
        <w:tab/>
        <w:t>Curriculum and Assessment Committee, functions of</w:t>
      </w:r>
      <w:bookmarkEnd w:id="15"/>
    </w:p>
    <w:p>
      <w:pPr>
        <w:pStyle w:val="Subsection"/>
      </w:pPr>
      <w:r>
        <w:tab/>
        <w:t>(1)</w:t>
      </w:r>
      <w:r>
        <w:tab/>
        <w:t xml:space="preserve">The function of the Curriculum and Assessment Committee is to provide advice to the Board in relation to — </w:t>
      </w:r>
    </w:p>
    <w:p>
      <w:pPr>
        <w:pStyle w:val="Indenta"/>
      </w:pPr>
      <w:r>
        <w:tab/>
        <w:t>(a)</w:t>
      </w:r>
      <w:r>
        <w:tab/>
        <w:t>the functions of the Authority referred to in section 9(1)(a) to (d) and (f) to (i); and</w:t>
      </w:r>
    </w:p>
    <w:p>
      <w:pPr>
        <w:pStyle w:val="Indenta"/>
      </w:pPr>
      <w:r>
        <w:tab/>
        <w:t>(b)</w:t>
      </w:r>
      <w:r>
        <w:tab/>
        <w:t>any other matter on which the Board requests the Curriculum and Assessment Committee to provide advice.</w:t>
      </w:r>
    </w:p>
    <w:p>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Footnotesection"/>
      </w:pPr>
      <w:r>
        <w:tab/>
        <w:t>[Section 7E inserted by No. 37 of 2011 s. 9.]</w:t>
      </w:r>
    </w:p>
    <w:p>
      <w:pPr>
        <w:pStyle w:val="Heading5"/>
      </w:pPr>
      <w:bookmarkStart w:id="16" w:name="_Toc377111926"/>
      <w:r>
        <w:rPr>
          <w:rStyle w:val="CharSectno"/>
        </w:rPr>
        <w:t>7F</w:t>
      </w:r>
      <w:r>
        <w:t>.</w:t>
      </w:r>
      <w:r>
        <w:tab/>
        <w:t>Other committees</w:t>
      </w:r>
      <w:bookmarkEnd w:id="16"/>
    </w:p>
    <w:p>
      <w:pPr>
        <w:pStyle w:val="Subsection"/>
      </w:pPr>
      <w:r>
        <w:tab/>
        <w:t>(1)</w:t>
      </w:r>
      <w:r>
        <w:tab/>
        <w:t xml:space="preserve">The Board — </w:t>
      </w:r>
    </w:p>
    <w:p>
      <w:pPr>
        <w:pStyle w:val="Indenta"/>
      </w:pPr>
      <w:r>
        <w:tab/>
        <w:t>(a)</w:t>
      </w:r>
      <w:r>
        <w:tab/>
        <w:t>may appoint committees to assist the Board in relation to the performance of the Authority’s functions; and</w:t>
      </w:r>
    </w:p>
    <w:p>
      <w:pPr>
        <w:pStyle w:val="Indenta"/>
      </w:pPr>
      <w:r>
        <w:tab/>
        <w:t>(b)</w:t>
      </w:r>
      <w:r>
        <w:tab/>
        <w:t>may discharge or alter any committee so appointed.</w:t>
      </w:r>
    </w:p>
    <w:p>
      <w:pPr>
        <w:pStyle w:val="Subsection"/>
      </w:pPr>
      <w:r>
        <w:tab/>
        <w:t>(2)</w:t>
      </w:r>
      <w:r>
        <w:tab/>
        <w:t>A committee appointed under this section may consist of or include people who are not members of the Board.</w:t>
      </w:r>
    </w:p>
    <w:p>
      <w:pPr>
        <w:pStyle w:val="Subsection"/>
      </w:pPr>
      <w:r>
        <w:tab/>
        <w:t>(3)</w:t>
      </w:r>
      <w:r>
        <w:tab/>
        <w:t>The chief executive officer is not eligible to be a member of a committee appointed under this section.</w:t>
      </w:r>
    </w:p>
    <w:p>
      <w:pPr>
        <w:pStyle w:val="Subsection"/>
      </w:pPr>
      <w:r>
        <w:tab/>
        <w:t>(4)</w:t>
      </w:r>
      <w:r>
        <w:tab/>
        <w:t>Subject to any direction given to it by the Board, a committee appointed under this section may determine its own procedures.</w:t>
      </w:r>
    </w:p>
    <w:p>
      <w:pPr>
        <w:pStyle w:val="Footnotesection"/>
      </w:pPr>
      <w:r>
        <w:tab/>
        <w:t>[Section 7F inserted by No. 37 of 2011 s. 9.]</w:t>
      </w:r>
    </w:p>
    <w:p>
      <w:pPr>
        <w:pStyle w:val="Heading5"/>
      </w:pPr>
      <w:bookmarkStart w:id="17" w:name="_Toc377111927"/>
      <w:r>
        <w:rPr>
          <w:rStyle w:val="CharSectno"/>
        </w:rPr>
        <w:t>7G</w:t>
      </w:r>
      <w:r>
        <w:t>.</w:t>
      </w:r>
      <w:r>
        <w:tab/>
        <w:t>Support services for committees</w:t>
      </w:r>
      <w:bookmarkEnd w:id="17"/>
    </w:p>
    <w:p>
      <w:pPr>
        <w:pStyle w:val="Subsection"/>
        <w:keepNext/>
        <w:keepLines/>
      </w:pPr>
      <w:r>
        <w:tab/>
      </w:r>
      <w:r>
        <w:tab/>
        <w:t>The Authority is to provide a committee with any clerical or other support services that the Authority determines are appropriate.</w:t>
      </w:r>
    </w:p>
    <w:p>
      <w:pPr>
        <w:pStyle w:val="Footnotesection"/>
        <w:keepNext/>
      </w:pPr>
      <w:r>
        <w:tab/>
        <w:t>[Section 7G inserted by No. 37 of 2011 s. 9.]</w:t>
      </w:r>
    </w:p>
    <w:p>
      <w:pPr>
        <w:pStyle w:val="Heading3"/>
      </w:pPr>
      <w:bookmarkStart w:id="18" w:name="_Toc377111928"/>
      <w:r>
        <w:rPr>
          <w:rStyle w:val="CharDivNo"/>
        </w:rPr>
        <w:t>Division 3</w:t>
      </w:r>
      <w:r>
        <w:t> — </w:t>
      </w:r>
      <w:r>
        <w:rPr>
          <w:rStyle w:val="CharDivText"/>
        </w:rPr>
        <w:t>General</w:t>
      </w:r>
      <w:bookmarkEnd w:id="18"/>
    </w:p>
    <w:p>
      <w:pPr>
        <w:pStyle w:val="Footnoteheading"/>
      </w:pPr>
      <w:r>
        <w:tab/>
        <w:t>[Heading inserted by No. 37 of 2011 s. 10.]</w:t>
      </w:r>
    </w:p>
    <w:p>
      <w:pPr>
        <w:pStyle w:val="Heading5"/>
        <w:rPr>
          <w:snapToGrid w:val="0"/>
        </w:rPr>
      </w:pPr>
      <w:bookmarkStart w:id="19" w:name="_Toc377111929"/>
      <w:r>
        <w:rPr>
          <w:rStyle w:val="CharSectno"/>
        </w:rPr>
        <w:t>7</w:t>
      </w:r>
      <w:r>
        <w:rPr>
          <w:snapToGrid w:val="0"/>
        </w:rPr>
        <w:t>.</w:t>
      </w:r>
      <w:r>
        <w:rPr>
          <w:snapToGrid w:val="0"/>
        </w:rPr>
        <w:tab/>
        <w:t>Provisions about Board (Sch. 1)</w:t>
      </w:r>
      <w:bookmarkEnd w:id="19"/>
    </w:p>
    <w:p>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pPr>
        <w:pStyle w:val="Footnotesection"/>
      </w:pPr>
      <w:r>
        <w:tab/>
        <w:t>[Section 7 amended by No. 37 of 2011 s. 11.]</w:t>
      </w:r>
    </w:p>
    <w:p>
      <w:pPr>
        <w:pStyle w:val="Heading5"/>
      </w:pPr>
      <w:bookmarkStart w:id="20" w:name="_Toc377111930"/>
      <w:r>
        <w:rPr>
          <w:rStyle w:val="CharSectno"/>
        </w:rPr>
        <w:t>8A</w:t>
      </w:r>
      <w:r>
        <w:t>.</w:t>
      </w:r>
      <w:r>
        <w:tab/>
        <w:t>CEO or representative may attend meetings of Board and committees</w:t>
      </w:r>
      <w:bookmarkEnd w:id="20"/>
    </w:p>
    <w:p>
      <w:pPr>
        <w:pStyle w:val="Subsection"/>
      </w:pPr>
      <w:r>
        <w:tab/>
        <w:t>(1)</w:t>
      </w:r>
      <w:r>
        <w:tab/>
        <w:t xml:space="preserve">Unless the Board or committee, as the case requires — </w:t>
      </w:r>
    </w:p>
    <w:p>
      <w:pPr>
        <w:pStyle w:val="Indenta"/>
      </w:pPr>
      <w:r>
        <w:tab/>
        <w:t>(a)</w:t>
      </w:r>
      <w:r>
        <w:tab/>
        <w:t>determines otherwise in respect of a particular meeting; and</w:t>
      </w:r>
    </w:p>
    <w:p>
      <w:pPr>
        <w:pStyle w:val="Indenta"/>
      </w:pPr>
      <w:r>
        <w:tab/>
        <w:t>(b)</w:t>
      </w:r>
      <w:r>
        <w:tab/>
        <w:t>informs the chief executive officer or member of staff of the determination before the meeting is held,</w:t>
      </w:r>
    </w:p>
    <w:p>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Footnotesection"/>
      </w:pPr>
      <w:r>
        <w:tab/>
        <w:t>[Section 8A inserted by No. 37 of 2011 s. 12.]</w:t>
      </w:r>
    </w:p>
    <w:p>
      <w:pPr>
        <w:pStyle w:val="Heading5"/>
        <w:rPr>
          <w:snapToGrid w:val="0"/>
        </w:rPr>
      </w:pPr>
      <w:bookmarkStart w:id="21" w:name="_Toc377111931"/>
      <w:r>
        <w:rPr>
          <w:rStyle w:val="CharSectno"/>
        </w:rPr>
        <w:t>8</w:t>
      </w:r>
      <w:r>
        <w:rPr>
          <w:snapToGrid w:val="0"/>
        </w:rPr>
        <w:t>.</w:t>
      </w:r>
      <w:r>
        <w:rPr>
          <w:snapToGrid w:val="0"/>
        </w:rPr>
        <w:tab/>
        <w:t>Members of Board and committees, remuneration of</w:t>
      </w:r>
      <w:bookmarkEnd w:id="21"/>
    </w:p>
    <w:p>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 No. 37 of 2011 s. 13.]</w:t>
      </w:r>
    </w:p>
    <w:p>
      <w:pPr>
        <w:pStyle w:val="Heading2"/>
      </w:pPr>
      <w:bookmarkStart w:id="22" w:name="_Toc377111932"/>
      <w:r>
        <w:rPr>
          <w:rStyle w:val="CharPartNo"/>
        </w:rPr>
        <w:t>Part 3</w:t>
      </w:r>
      <w:r>
        <w:rPr>
          <w:rStyle w:val="CharDivNo"/>
        </w:rPr>
        <w:t> </w:t>
      </w:r>
      <w:r>
        <w:t>—</w:t>
      </w:r>
      <w:r>
        <w:rPr>
          <w:rStyle w:val="CharDivText"/>
        </w:rPr>
        <w:t> </w:t>
      </w:r>
      <w:r>
        <w:rPr>
          <w:rStyle w:val="CharPartText"/>
        </w:rPr>
        <w:t>Functions and powers</w:t>
      </w:r>
      <w:bookmarkEnd w:id="22"/>
      <w:r>
        <w:rPr>
          <w:rStyle w:val="CharPartText"/>
        </w:rPr>
        <w:t xml:space="preserve"> </w:t>
      </w:r>
    </w:p>
    <w:p>
      <w:pPr>
        <w:pStyle w:val="Heading5"/>
      </w:pPr>
      <w:bookmarkStart w:id="23" w:name="_Toc377111933"/>
      <w:r>
        <w:rPr>
          <w:rStyle w:val="CharSectno"/>
        </w:rPr>
        <w:t>9</w:t>
      </w:r>
      <w:r>
        <w:t>.</w:t>
      </w:r>
      <w:r>
        <w:tab/>
        <w:t>Functions of Authority</w:t>
      </w:r>
      <w:bookmarkEnd w:id="23"/>
    </w:p>
    <w:p>
      <w:pPr>
        <w:pStyle w:val="Subsection"/>
      </w:pPr>
      <w:r>
        <w:tab/>
        <w:t>(1)</w:t>
      </w:r>
      <w:r>
        <w:tab/>
        <w:t xml:space="preserve">The functions of the Authority are — </w:t>
      </w:r>
    </w:p>
    <w:p>
      <w:pPr>
        <w:pStyle w:val="Indenta"/>
      </w:pPr>
      <w:r>
        <w:tab/>
        <w:t>(a)</w:t>
      </w:r>
      <w:r>
        <w:tab/>
        <w:t>to establish an outline of curriculum and assessment in schools; and</w:t>
      </w:r>
    </w:p>
    <w:p>
      <w:pPr>
        <w:pStyle w:val="Indenta"/>
      </w:pPr>
      <w:r>
        <w:tab/>
        <w:t>(b)</w:t>
      </w:r>
      <w:r>
        <w:tab/>
        <w:t>to issue guidelines for the development of courses and the assessment of student achievement in those courses; and</w:t>
      </w:r>
    </w:p>
    <w:p>
      <w:pPr>
        <w:pStyle w:val="Indenta"/>
      </w:pPr>
      <w:r>
        <w:tab/>
        <w:t>(c)</w:t>
      </w:r>
      <w:r>
        <w:tab/>
        <w:t>to develop courses, or to cause courses to be developed, in accordance with the guidelines issued under paragraph (b); and</w:t>
      </w:r>
    </w:p>
    <w:p>
      <w:pPr>
        <w:pStyle w:val="Indenta"/>
      </w:pPr>
      <w:r>
        <w:tab/>
        <w:t>(d)</w:t>
      </w:r>
      <w:r>
        <w:tab/>
        <w:t>to evaluate and, where appropriate, accredit courses developed by the Authority or other persons in accordance with the guidelines issued under paragraph (b); and</w:t>
      </w:r>
    </w:p>
    <w:p>
      <w:pPr>
        <w:pStyle w:val="Indenta"/>
      </w:pPr>
      <w:r>
        <w:tab/>
        <w:t>(e)</w:t>
      </w:r>
      <w:r>
        <w:tab/>
        <w:t xml:space="preserve">to recognise either wholly or in part or with modification — </w:t>
      </w:r>
    </w:p>
    <w:p>
      <w:pPr>
        <w:pStyle w:val="Indenti"/>
      </w:pPr>
      <w:r>
        <w:tab/>
        <w:t>(i)</w:t>
      </w:r>
      <w:r>
        <w:tab/>
        <w:t>courses; and</w:t>
      </w:r>
    </w:p>
    <w:p>
      <w:pPr>
        <w:pStyle w:val="Indenti"/>
      </w:pPr>
      <w:r>
        <w:tab/>
        <w:t>(ii)</w:t>
      </w:r>
      <w:r>
        <w:tab/>
        <w:t>the assessment of student achievement; and</w:t>
      </w:r>
    </w:p>
    <w:p>
      <w:pPr>
        <w:pStyle w:val="Indenti"/>
      </w:pPr>
      <w:r>
        <w:tab/>
        <w:t>(iii)</w:t>
      </w:r>
      <w:r>
        <w:tab/>
        <w:t>the standards of student achievement that apply to that assessment,</w:t>
      </w:r>
    </w:p>
    <w:p>
      <w:pPr>
        <w:pStyle w:val="Indenta"/>
      </w:pPr>
      <w:r>
        <w:tab/>
      </w:r>
      <w:r>
        <w:tab/>
        <w:t xml:space="preserve">that are — </w:t>
      </w:r>
    </w:p>
    <w:p>
      <w:pPr>
        <w:pStyle w:val="Indenti"/>
      </w:pPr>
      <w:r>
        <w:tab/>
        <w:t>(iv)</w:t>
      </w:r>
      <w:r>
        <w:tab/>
        <w:t>the subject of agreements or arrangements made between the State and the Commonwealth (whether or not those agreements or arrangements involve another State or a Territory); or</w:t>
      </w:r>
    </w:p>
    <w:p>
      <w:pPr>
        <w:pStyle w:val="Indenti"/>
      </w:pPr>
      <w:r>
        <w:tab/>
        <w:t>(v)</w:t>
      </w:r>
      <w:r>
        <w:tab/>
        <w:t>otherwise considered appropriate by the Authority;</w:t>
      </w:r>
    </w:p>
    <w:p>
      <w:pPr>
        <w:pStyle w:val="Indenta"/>
      </w:pPr>
      <w:r>
        <w:tab/>
      </w:r>
      <w:r>
        <w:tab/>
        <w:t>and</w:t>
      </w:r>
    </w:p>
    <w:p>
      <w:pPr>
        <w:pStyle w:val="Indenta"/>
        <w:keepNext/>
      </w:pPr>
      <w:r>
        <w:tab/>
        <w:t>(f)</w:t>
      </w:r>
      <w:r>
        <w:tab/>
        <w:t xml:space="preserve">to determine courses — </w:t>
      </w:r>
    </w:p>
    <w:p>
      <w:pPr>
        <w:pStyle w:val="Indenti"/>
      </w:pPr>
      <w:r>
        <w:tab/>
        <w:t>(i)</w:t>
      </w:r>
      <w:r>
        <w:tab/>
        <w:t>recognised or accredited by the Authority; or</w:t>
      </w:r>
    </w:p>
    <w:p>
      <w:pPr>
        <w:pStyle w:val="Indenti"/>
      </w:pPr>
      <w:r>
        <w:tab/>
        <w:t>(ii)</w:t>
      </w:r>
      <w:r>
        <w:tab/>
        <w:t>otherwise considered by the Authority to be appropriate for the purposes of this paragraph,</w:t>
      </w:r>
    </w:p>
    <w:p>
      <w:pPr>
        <w:pStyle w:val="Indenta"/>
      </w:pPr>
      <w:r>
        <w:tab/>
      </w:r>
      <w:r>
        <w:tab/>
        <w:t>in which students may be assessed, or caused to be assessed, by the Authority, whether for the purposes of certification or otherwise; and</w:t>
      </w:r>
    </w:p>
    <w:p>
      <w:pPr>
        <w:pStyle w:val="Indenta"/>
      </w:pPr>
      <w:r>
        <w:tab/>
        <w:t>(g)</w:t>
      </w:r>
      <w:r>
        <w:tab/>
        <w:t>to establish the minimum requirements for graduation from secondary school and for the issue of a certificate of student achievement; and</w:t>
      </w:r>
    </w:p>
    <w:p>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Indenti"/>
      </w:pPr>
      <w:r>
        <w:tab/>
        <w:t>(i)</w:t>
      </w:r>
      <w:r>
        <w:tab/>
        <w:t>recognised or accredited by the Authority or by bodies other than the Authority; or</w:t>
      </w:r>
    </w:p>
    <w:p>
      <w:pPr>
        <w:pStyle w:val="Indenti"/>
      </w:pPr>
      <w:r>
        <w:tab/>
        <w:t>(ii)</w:t>
      </w:r>
      <w:r>
        <w:tab/>
        <w:t>otherwise considered by the Authority to be appropriate for those purposes;</w:t>
      </w:r>
    </w:p>
    <w:p>
      <w:pPr>
        <w:pStyle w:val="Indenta"/>
      </w:pPr>
      <w:r>
        <w:tab/>
      </w:r>
      <w:r>
        <w:tab/>
        <w:t>and</w:t>
      </w:r>
    </w:p>
    <w:p>
      <w:pPr>
        <w:pStyle w:val="Indenta"/>
      </w:pPr>
      <w:r>
        <w:tab/>
        <w:t>(i)</w:t>
      </w:r>
      <w:r>
        <w:tab/>
        <w:t>to evaluate and if appropriate recognise, for the purposes of certification or otherwise, the achievement of students, whether that achievement is attained in the State or elsewhere; and</w:t>
      </w:r>
    </w:p>
    <w:p>
      <w:pPr>
        <w:pStyle w:val="Indenta"/>
      </w:pPr>
      <w:r>
        <w:tab/>
        <w:t>(j)</w:t>
      </w:r>
      <w:r>
        <w:tab/>
        <w:t>to establish the standards of student achievement and other requirements that apply to the assessment of student achievement made, or caused to be made, by the Authority; and</w:t>
      </w:r>
    </w:p>
    <w:p>
      <w:pPr>
        <w:pStyle w:val="Indenta"/>
      </w:pPr>
      <w:r>
        <w:tab/>
        <w:t>(k)</w:t>
      </w:r>
      <w:r>
        <w:tab/>
        <w:t>to determine the eligibility of students and other people in relation to assessments made, or caused to be made, by the Authority; and</w:t>
      </w:r>
    </w:p>
    <w:p>
      <w:pPr>
        <w:pStyle w:val="Indenta"/>
      </w:pPr>
      <w:r>
        <w:tab/>
        <w:t>(l)</w:t>
      </w:r>
      <w:r>
        <w:tab/>
        <w:t>to assess student achievement, or cause student achievement to be assessed, at the times determined by the Authority; and</w:t>
      </w:r>
    </w:p>
    <w:p>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Indenta"/>
      </w:pPr>
      <w:r>
        <w:tab/>
        <w:t>(q)</w:t>
      </w:r>
      <w:r>
        <w:tab/>
        <w:t>to establish, determine the criteria for, and administer exhibitions and awards to be granted in recognition of student achievement.</w:t>
      </w:r>
    </w:p>
    <w:p>
      <w:pPr>
        <w:pStyle w:val="Subsection"/>
      </w:pPr>
      <w:r>
        <w:tab/>
        <w:t>(2)</w:t>
      </w:r>
      <w:r>
        <w:tab/>
        <w:t>The Authority has any other function given to it under this Act or another written law.</w:t>
      </w:r>
    </w:p>
    <w:p>
      <w:pPr>
        <w:pStyle w:val="Subsection"/>
      </w:pPr>
      <w:r>
        <w:tab/>
        <w:t>(3)</w:t>
      </w:r>
      <w:r>
        <w:tab/>
        <w:t xml:space="preserve">The Authority is to ensure that — </w:t>
      </w:r>
    </w:p>
    <w:p>
      <w:pPr>
        <w:pStyle w:val="Indenta"/>
      </w:pPr>
      <w:r>
        <w:tab/>
        <w:t>(a)</w:t>
      </w:r>
      <w:r>
        <w:tab/>
        <w:t>each school receives free of charge a copy of the most recent outline of curriculum and assessment in schools established by the Authority; and</w:t>
      </w:r>
    </w:p>
    <w:p>
      <w:pPr>
        <w:pStyle w:val="Indenta"/>
      </w:pPr>
      <w:r>
        <w:tab/>
        <w:t>(b)</w:t>
      </w:r>
      <w:r>
        <w:tab/>
        <w:t>that outline of curriculum and assessment in schools is made available to the public in any manner the Authority thinks fit.</w:t>
      </w:r>
    </w:p>
    <w:p>
      <w:pPr>
        <w:pStyle w:val="Subsection"/>
      </w:pPr>
      <w:r>
        <w:tab/>
        <w:t>(4)</w:t>
      </w:r>
      <w:r>
        <w:tab/>
        <w:t xml:space="preserve">The Authority is to ensure that decisions of the Authority made in the performance of its functions under subsection (1) are notified to — </w:t>
      </w:r>
    </w:p>
    <w:p>
      <w:pPr>
        <w:pStyle w:val="Indenta"/>
      </w:pPr>
      <w:r>
        <w:tab/>
        <w:t>(a)</w:t>
      </w:r>
      <w:r>
        <w:tab/>
        <w:t>education providers to whom or which the decisions are relevant; and</w:t>
      </w:r>
    </w:p>
    <w:p>
      <w:pPr>
        <w:pStyle w:val="Indenta"/>
      </w:pPr>
      <w:r>
        <w:tab/>
        <w:t>(b)</w:t>
      </w:r>
      <w:r>
        <w:tab/>
        <w:t>any other person or body to whom or which the Authority considers the decisions should be notified.</w:t>
      </w:r>
    </w:p>
    <w:p>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Indenta"/>
      </w:pPr>
      <w:r>
        <w:tab/>
        <w:t>(a)</w:t>
      </w:r>
      <w:r>
        <w:tab/>
        <w:t>a decision to which subsection (4) applies; and</w:t>
      </w:r>
    </w:p>
    <w:p>
      <w:pPr>
        <w:pStyle w:val="Indenta"/>
      </w:pPr>
      <w:r>
        <w:tab/>
        <w:t>(b)</w:t>
      </w:r>
      <w:r>
        <w:tab/>
        <w:t>a variation or revocation of a decision of which notice is published under this subsection.</w:t>
      </w:r>
    </w:p>
    <w:p>
      <w:pPr>
        <w:pStyle w:val="Footnotesection"/>
      </w:pPr>
      <w:r>
        <w:tab/>
        <w:t>[Section 9 inserted by No. 37 of 2011 s. 14.]</w:t>
      </w:r>
    </w:p>
    <w:p>
      <w:pPr>
        <w:pStyle w:val="Heading5"/>
      </w:pPr>
      <w:bookmarkStart w:id="24" w:name="_Toc377111934"/>
      <w:r>
        <w:rPr>
          <w:rStyle w:val="CharSectno"/>
        </w:rPr>
        <w:t>10</w:t>
      </w:r>
      <w:r>
        <w:t>.</w:t>
      </w:r>
      <w:r>
        <w:tab/>
        <w:t>Advisory function of Authority</w:t>
      </w:r>
      <w:bookmarkEnd w:id="24"/>
    </w:p>
    <w:p>
      <w:pPr>
        <w:pStyle w:val="Subsection"/>
      </w:pPr>
      <w:r>
        <w:tab/>
      </w:r>
      <w:r>
        <w:tab/>
        <w:t xml:space="preserve">It is a function of the Authority to advise the Minister — </w:t>
      </w:r>
    </w:p>
    <w:p>
      <w:pPr>
        <w:pStyle w:val="Indenta"/>
      </w:pPr>
      <w:r>
        <w:tab/>
        <w:t>(a)</w:t>
      </w:r>
      <w:r>
        <w:tab/>
        <w:t>on matters arising under this Act; and</w:t>
      </w:r>
    </w:p>
    <w:p>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Footnotesection"/>
      </w:pPr>
      <w:r>
        <w:tab/>
        <w:t>[Section 10 inserted by No. 37 of 2011 s. 14.]</w:t>
      </w:r>
    </w:p>
    <w:p>
      <w:pPr>
        <w:pStyle w:val="Heading5"/>
      </w:pPr>
      <w:bookmarkStart w:id="25" w:name="_Toc377111935"/>
      <w:r>
        <w:rPr>
          <w:rStyle w:val="CharSectno"/>
        </w:rPr>
        <w:t>11</w:t>
      </w:r>
      <w:r>
        <w:t>.</w:t>
      </w:r>
      <w:r>
        <w:tab/>
        <w:t>Draft reports on standards of student achievement, preparation of etc.</w:t>
      </w:r>
      <w:bookmarkEnd w:id="25"/>
    </w:p>
    <w:p>
      <w:pPr>
        <w:pStyle w:val="Subsection"/>
      </w:pPr>
      <w:r>
        <w:tab/>
        <w:t>(1)</w:t>
      </w:r>
      <w:r>
        <w:tab/>
        <w:t>The Authority may prepare reports on the standards of student achievement attained in schools in the State.</w:t>
      </w:r>
    </w:p>
    <w:p>
      <w:pPr>
        <w:pStyle w:val="Subsection"/>
      </w:pPr>
      <w:r>
        <w:tab/>
        <w:t>(2)</w:t>
      </w:r>
      <w:r>
        <w:tab/>
        <w:t xml:space="preserve">A report under subsection (1) is to be prepared in draft form (a </w:t>
      </w:r>
      <w:r>
        <w:rPr>
          <w:rStyle w:val="CharDefText"/>
        </w:rPr>
        <w:t>draft report</w:t>
      </w:r>
      <w:r>
        <w:t>).</w:t>
      </w:r>
    </w:p>
    <w:p>
      <w:pPr>
        <w:pStyle w:val="Subsection"/>
        <w:keepNext/>
      </w:pPr>
      <w:r>
        <w:tab/>
        <w:t>(3)</w:t>
      </w:r>
      <w:r>
        <w:tab/>
        <w:t xml:space="preserve">The Authority — </w:t>
      </w:r>
    </w:p>
    <w:p>
      <w:pPr>
        <w:pStyle w:val="Indenta"/>
      </w:pPr>
      <w:r>
        <w:tab/>
        <w:t>(a)</w:t>
      </w:r>
      <w:r>
        <w:tab/>
        <w:t>is to give a copy of a draft report to any governing body that the Authority considers likely to want to make submissions to the Authority in relation to the report; and</w:t>
      </w:r>
    </w:p>
    <w:p>
      <w:pPr>
        <w:pStyle w:val="Indenta"/>
      </w:pPr>
      <w:r>
        <w:tab/>
        <w:t>(b)</w:t>
      </w:r>
      <w:r>
        <w:tab/>
        <w:t>is to notify the governing body that it has a specified period (of not less than 28 days) within which it may make written submissions to the Authority in relation to the report.</w:t>
      </w:r>
    </w:p>
    <w:p>
      <w:pPr>
        <w:pStyle w:val="Subsection"/>
      </w:pPr>
      <w:r>
        <w:tab/>
        <w:t>(4)</w:t>
      </w:r>
      <w:r>
        <w:tab/>
        <w:t>The governing body may make written submissions to the Authority in relation to the draft report within the period specified under subsection (3)(b).</w:t>
      </w:r>
    </w:p>
    <w:p>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Subsection"/>
      </w:pPr>
      <w:r>
        <w:tab/>
        <w:t>(6)</w:t>
      </w:r>
      <w:r>
        <w:tab/>
        <w:t>A governing body is to comply with a request under subsection (5).</w:t>
      </w:r>
    </w:p>
    <w:p>
      <w:pPr>
        <w:pStyle w:val="Footnotesection"/>
      </w:pPr>
      <w:r>
        <w:tab/>
        <w:t>[Section 11 inserted by No. 37 of 2011 s. 14.]</w:t>
      </w:r>
    </w:p>
    <w:p>
      <w:pPr>
        <w:pStyle w:val="Heading5"/>
      </w:pPr>
      <w:bookmarkStart w:id="26" w:name="_Toc377111936"/>
      <w:r>
        <w:rPr>
          <w:rStyle w:val="CharSectno"/>
        </w:rPr>
        <w:t>12</w:t>
      </w:r>
      <w:r>
        <w:t>.</w:t>
      </w:r>
      <w:r>
        <w:tab/>
        <w:t>Draft reports under s. 11(2), dealing with</w:t>
      </w:r>
      <w:bookmarkEnd w:id="26"/>
    </w:p>
    <w:p>
      <w:pPr>
        <w:pStyle w:val="Subsection"/>
      </w:pPr>
      <w:r>
        <w:tab/>
        <w:t>(1)</w:t>
      </w:r>
      <w:r>
        <w:tab/>
        <w:t xml:space="preserve">In this section — </w:t>
      </w:r>
    </w:p>
    <w:p>
      <w:pPr>
        <w:pStyle w:val="Defstart"/>
      </w:pPr>
      <w:r>
        <w:rPr>
          <w:b/>
        </w:rPr>
        <w:tab/>
      </w:r>
      <w:r>
        <w:rPr>
          <w:rStyle w:val="CharDefText"/>
        </w:rPr>
        <w:t>aggregated form</w:t>
      </w:r>
      <w:r>
        <w:t xml:space="preserve"> has the meaning given in section 19A(1);</w:t>
      </w:r>
    </w:p>
    <w:p>
      <w:pPr>
        <w:pStyle w:val="Defstart"/>
      </w:pPr>
      <w:r>
        <w:rPr>
          <w:b/>
        </w:rPr>
        <w:tab/>
      </w:r>
      <w:r>
        <w:rPr>
          <w:rStyle w:val="CharDefText"/>
        </w:rPr>
        <w:t>draft report</w:t>
      </w:r>
      <w:r>
        <w:t xml:space="preserve"> means a report prepared under section 11(2);</w:t>
      </w:r>
    </w:p>
    <w:p>
      <w:pPr>
        <w:pStyle w:val="Defstart"/>
      </w:pPr>
      <w:r>
        <w:rPr>
          <w:b/>
        </w:rPr>
        <w:tab/>
      </w:r>
      <w:r>
        <w:rPr>
          <w:rStyle w:val="CharDefText"/>
        </w:rPr>
        <w:t>relevant governing body</w:t>
      </w:r>
      <w:r>
        <w:t xml:space="preserve"> means a governing body to which a copy of a draft report is given under section 11(3).</w:t>
      </w:r>
    </w:p>
    <w:p>
      <w:pPr>
        <w:pStyle w:val="Subsection"/>
      </w:pPr>
      <w:r>
        <w:tab/>
        <w:t>(2)</w:t>
      </w:r>
      <w:r>
        <w:tab/>
        <w:t xml:space="preserve">After considering in relation to a draft report — </w:t>
      </w:r>
    </w:p>
    <w:p>
      <w:pPr>
        <w:pStyle w:val="Indenta"/>
      </w:pPr>
      <w:r>
        <w:tab/>
        <w:t>(a)</w:t>
      </w:r>
      <w:r>
        <w:tab/>
        <w:t>any submissions made to the Authority by a governing body under section 11(4); and</w:t>
      </w:r>
    </w:p>
    <w:p>
      <w:pPr>
        <w:pStyle w:val="Indenta"/>
      </w:pPr>
      <w:r>
        <w:tab/>
        <w:t>(b)</w:t>
      </w:r>
      <w:r>
        <w:tab/>
        <w:t>any information provided to the Authority by a governing body under section 11(6); and</w:t>
      </w:r>
    </w:p>
    <w:p>
      <w:pPr>
        <w:pStyle w:val="Indenta"/>
      </w:pPr>
      <w:r>
        <w:tab/>
        <w:t>(c)</w:t>
      </w:r>
      <w:r>
        <w:tab/>
        <w:t>any other information available to the Authority under this Act that the Authority considers relevant,</w:t>
      </w:r>
    </w:p>
    <w:p>
      <w:pPr>
        <w:pStyle w:val="Subsection"/>
      </w:pPr>
      <w:r>
        <w:tab/>
      </w:r>
      <w:r>
        <w:tab/>
        <w:t xml:space="preserve">the Authority — </w:t>
      </w:r>
    </w:p>
    <w:p>
      <w:pPr>
        <w:pStyle w:val="Indenta"/>
      </w:pPr>
      <w:r>
        <w:tab/>
        <w:t>(d)</w:t>
      </w:r>
      <w:r>
        <w:tab/>
        <w:t>may finalise the report, including any modifications it considers appropriate; or</w:t>
      </w:r>
    </w:p>
    <w:p>
      <w:pPr>
        <w:pStyle w:val="Indenta"/>
      </w:pPr>
      <w:r>
        <w:tab/>
        <w:t>(e)</w:t>
      </w:r>
      <w:r>
        <w:tab/>
        <w:t>may decide not to proceed with the report.</w:t>
      </w:r>
    </w:p>
    <w:p>
      <w:pPr>
        <w:pStyle w:val="Subsection"/>
      </w:pPr>
      <w:r>
        <w:tab/>
        <w:t>(3)</w:t>
      </w:r>
      <w:r>
        <w:tab/>
        <w:t xml:space="preserve">If subsection (2)(d) applies, the Authority is to give a copy of the report </w:t>
      </w:r>
      <w:r>
        <w:rPr>
          <w:bCs/>
        </w:rPr>
        <w:t>to the Minister and to any relevant governing body.</w:t>
      </w:r>
    </w:p>
    <w:p>
      <w:pPr>
        <w:pStyle w:val="Subsection"/>
      </w:pPr>
      <w:r>
        <w:tab/>
        <w:t>(4)</w:t>
      </w:r>
      <w:r>
        <w:tab/>
        <w:t>If subsection (2)(e) applies and without limiting section 9(4), the Authority is to notify any relevant governing body of the decision made by the Authority not to proceed with the report.</w:t>
      </w:r>
    </w:p>
    <w:p>
      <w:pPr>
        <w:pStyle w:val="Subsection"/>
      </w:pPr>
      <w:r>
        <w:tab/>
        <w:t>(5)</w:t>
      </w:r>
      <w:r>
        <w:tab/>
        <w:t>Any information in a report finalised by the Authority under this section that relates to students is to be in aggregated form.</w:t>
      </w:r>
    </w:p>
    <w:p>
      <w:pPr>
        <w:pStyle w:val="Footnotesection"/>
      </w:pPr>
      <w:r>
        <w:tab/>
        <w:t>[Section 12 inserted by No. 37 of 2011 s. 14.]</w:t>
      </w:r>
    </w:p>
    <w:p>
      <w:pPr>
        <w:pStyle w:val="Ednotesection"/>
      </w:pPr>
      <w:r>
        <w:t>[</w:t>
      </w:r>
      <w:r>
        <w:rPr>
          <w:b/>
        </w:rPr>
        <w:t>13.</w:t>
      </w:r>
      <w:r>
        <w:tab/>
        <w:t>Deleted by No. 37 of 2011 s. 14.]</w:t>
      </w:r>
    </w:p>
    <w:p>
      <w:pPr>
        <w:pStyle w:val="Heading5"/>
        <w:rPr>
          <w:snapToGrid w:val="0"/>
        </w:rPr>
      </w:pPr>
      <w:bookmarkStart w:id="27" w:name="_Toc377111937"/>
      <w:r>
        <w:rPr>
          <w:rStyle w:val="CharSectno"/>
        </w:rPr>
        <w:t>14</w:t>
      </w:r>
      <w:r>
        <w:rPr>
          <w:snapToGrid w:val="0"/>
        </w:rPr>
        <w:t>.</w:t>
      </w:r>
      <w:r>
        <w:rPr>
          <w:snapToGrid w:val="0"/>
        </w:rPr>
        <w:tab/>
        <w:t>Records of assessment and register of courses, Authority to keep etc.</w:t>
      </w:r>
      <w:bookmarkEnd w:id="27"/>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pPr>
        <w:pStyle w:val="Indenti"/>
        <w:rPr>
          <w:snapToGrid w:val="0"/>
        </w:rPr>
      </w:pPr>
      <w:r>
        <w:rPr>
          <w:snapToGrid w:val="0"/>
        </w:rPr>
        <w:tab/>
        <w:t>(ii)</w:t>
      </w:r>
      <w:r>
        <w:rPr>
          <w:snapToGrid w:val="0"/>
        </w:rPr>
        <w:tab/>
        <w:t>a register of courses which may be entered on a certificate of student achievement;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Footnotesection"/>
      </w:pPr>
      <w:r>
        <w:tab/>
        <w:t>[Section 14 amended by No. 37 of 2011 s. 15 and 53(1).]</w:t>
      </w:r>
    </w:p>
    <w:p>
      <w:pPr>
        <w:pStyle w:val="Heading5"/>
        <w:spacing w:before="260"/>
        <w:rPr>
          <w:snapToGrid w:val="0"/>
        </w:rPr>
      </w:pPr>
      <w:bookmarkStart w:id="28" w:name="_Toc377111938"/>
      <w:r>
        <w:rPr>
          <w:rStyle w:val="CharSectno"/>
        </w:rPr>
        <w:t>15</w:t>
      </w:r>
      <w:r>
        <w:rPr>
          <w:snapToGrid w:val="0"/>
        </w:rPr>
        <w:t>.</w:t>
      </w:r>
      <w:r>
        <w:rPr>
          <w:snapToGrid w:val="0"/>
        </w:rPr>
        <w:tab/>
        <w:t>Powers of Authority</w:t>
      </w:r>
      <w:bookmarkEnd w:id="28"/>
    </w:p>
    <w:p>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pPr>
        <w:pStyle w:val="Indenta"/>
        <w:spacing w:before="70"/>
        <w:rPr>
          <w:snapToGrid w:val="0"/>
        </w:rPr>
      </w:pPr>
      <w:r>
        <w:rPr>
          <w:snapToGrid w:val="0"/>
        </w:rPr>
        <w:tab/>
        <w:t>(a)</w:t>
      </w:r>
      <w:r>
        <w:rPr>
          <w:snapToGrid w:val="0"/>
        </w:rPr>
        <w:tab/>
        <w:t xml:space="preserve">conduct and promote relevant research; </w:t>
      </w:r>
      <w:r>
        <w:t>and</w:t>
      </w:r>
    </w:p>
    <w:p>
      <w:pPr>
        <w:pStyle w:val="Indenta"/>
        <w:spacing w:before="7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pPr>
        <w:pStyle w:val="Indenta"/>
        <w:spacing w:before="70"/>
        <w:rPr>
          <w:snapToGrid w:val="0"/>
        </w:rPr>
      </w:pPr>
      <w:r>
        <w:rPr>
          <w:snapToGrid w:val="0"/>
        </w:rPr>
        <w:tab/>
        <w:t>(c)</w:t>
      </w:r>
      <w:r>
        <w:rPr>
          <w:snapToGrid w:val="0"/>
        </w:rPr>
        <w:tab/>
        <w:t xml:space="preserve">acquire, hold, manage, develop, dispose of and otherwise deal in real and personal </w:t>
      </w:r>
      <w:r>
        <w:t>property; and</w:t>
      </w:r>
    </w:p>
    <w:p>
      <w:pPr>
        <w:pStyle w:val="Indenta"/>
        <w:spacing w:before="70"/>
      </w:pPr>
      <w:r>
        <w:tab/>
        <w:t>(da)</w:t>
      </w:r>
      <w:r>
        <w:tab/>
        <w:t xml:space="preserve">with the approval of the Minister, provide funds by way of grants, subsidies or otherwise to governing bodies or other persons or bodies for purposes related to — </w:t>
      </w:r>
    </w:p>
    <w:p>
      <w:pPr>
        <w:pStyle w:val="Indenti"/>
        <w:spacing w:before="70"/>
      </w:pPr>
      <w:r>
        <w:tab/>
        <w:t>(i)</w:t>
      </w:r>
      <w:r>
        <w:tab/>
        <w:t>the development of courses and standards of student achievement; and</w:t>
      </w:r>
    </w:p>
    <w:p>
      <w:pPr>
        <w:pStyle w:val="Indenti"/>
        <w:spacing w:before="70"/>
      </w:pPr>
      <w:r>
        <w:tab/>
        <w:t>(ii)</w:t>
      </w:r>
      <w:r>
        <w:tab/>
        <w:t>the assessment of student achievement;</w:t>
      </w:r>
    </w:p>
    <w:p>
      <w:pPr>
        <w:pStyle w:val="Indenta"/>
        <w:spacing w:before="70"/>
      </w:pPr>
      <w:r>
        <w:tab/>
      </w:r>
      <w:r>
        <w:tab/>
        <w:t>and</w:t>
      </w:r>
    </w:p>
    <w:p>
      <w:pPr>
        <w:pStyle w:val="Indenta"/>
        <w:spacing w:before="70"/>
        <w:rPr>
          <w:snapToGrid w:val="0"/>
        </w:rPr>
      </w:pPr>
      <w:r>
        <w:rPr>
          <w:snapToGrid w:val="0"/>
        </w:rPr>
        <w:tab/>
        <w:t>(d)</w:t>
      </w:r>
      <w:r>
        <w:rPr>
          <w:snapToGrid w:val="0"/>
        </w:rPr>
        <w:tab/>
        <w:t xml:space="preserve">apply for, obtain and hold intellectual property rights and design rights; </w:t>
      </w:r>
      <w:r>
        <w:t>and</w:t>
      </w:r>
    </w:p>
    <w:p>
      <w:pPr>
        <w:pStyle w:val="Indenta"/>
        <w:spacing w:before="7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7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p>
    <w:p>
      <w:pPr>
        <w:pStyle w:val="Indenta"/>
        <w:rPr>
          <w:snapToGrid w:val="0"/>
        </w:rPr>
      </w:pPr>
      <w:r>
        <w:tab/>
      </w:r>
      <w:r>
        <w:tab/>
        <w:t>and</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15 amended by No. 37 of 2011 s. 16 and 53(1).]</w:t>
      </w:r>
    </w:p>
    <w:p>
      <w:pPr>
        <w:pStyle w:val="Heading5"/>
        <w:rPr>
          <w:snapToGrid w:val="0"/>
        </w:rPr>
      </w:pPr>
      <w:bookmarkStart w:id="29" w:name="_Toc377111939"/>
      <w:r>
        <w:rPr>
          <w:rStyle w:val="CharSectno"/>
        </w:rPr>
        <w:t>16</w:t>
      </w:r>
      <w:r>
        <w:rPr>
          <w:snapToGrid w:val="0"/>
        </w:rPr>
        <w:t>.</w:t>
      </w:r>
      <w:r>
        <w:rPr>
          <w:snapToGrid w:val="0"/>
        </w:rPr>
        <w:tab/>
        <w:t>Functions of Authority, matters affecting performance of</w:t>
      </w:r>
      <w:bookmarkEnd w:id="29"/>
    </w:p>
    <w:p>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The Authority</w:t>
      </w:r>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Footnotesection"/>
        <w:spacing w:before="100"/>
        <w:ind w:left="890" w:hanging="890"/>
      </w:pPr>
      <w:r>
        <w:tab/>
        <w:t>[Section 16 amended by No. 37 of 2011 s. 17 and 53(1).]</w:t>
      </w:r>
    </w:p>
    <w:p>
      <w:pPr>
        <w:pStyle w:val="Heading5"/>
        <w:spacing w:before="200"/>
        <w:rPr>
          <w:snapToGrid w:val="0"/>
        </w:rPr>
      </w:pPr>
      <w:bookmarkStart w:id="30" w:name="_Toc377111940"/>
      <w:r>
        <w:rPr>
          <w:rStyle w:val="CharSectno"/>
        </w:rPr>
        <w:t>17</w:t>
      </w:r>
      <w:r>
        <w:rPr>
          <w:snapToGrid w:val="0"/>
        </w:rPr>
        <w:t>.</w:t>
      </w:r>
      <w:r>
        <w:rPr>
          <w:snapToGrid w:val="0"/>
        </w:rPr>
        <w:tab/>
        <w:t>Delegation by Authority</w:t>
      </w:r>
      <w:bookmarkEnd w:id="30"/>
    </w:p>
    <w:p>
      <w:pPr>
        <w:pStyle w:val="Subsection"/>
        <w:spacing w:before="140"/>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pPr>
        <w:pStyle w:val="Indenta"/>
        <w:spacing w:before="60"/>
        <w:rPr>
          <w:snapToGrid w:val="0"/>
        </w:rPr>
      </w:pPr>
      <w:r>
        <w:rPr>
          <w:snapToGrid w:val="0"/>
        </w:rPr>
        <w:tab/>
        <w:t>(a)</w:t>
      </w:r>
      <w:r>
        <w:rPr>
          <w:snapToGrid w:val="0"/>
        </w:rPr>
        <w:tab/>
        <w:t xml:space="preserve">a member or </w:t>
      </w:r>
      <w:r>
        <w:t>members; or</w:t>
      </w:r>
    </w:p>
    <w:p>
      <w:pPr>
        <w:pStyle w:val="Indenta"/>
        <w:spacing w:before="60"/>
      </w:pPr>
      <w:r>
        <w:tab/>
        <w:t>(ba)</w:t>
      </w:r>
      <w:r>
        <w:tab/>
        <w:t>the chief executive officer; or</w:t>
      </w:r>
    </w:p>
    <w:p>
      <w:pPr>
        <w:pStyle w:val="Indenta"/>
        <w:spacing w:before="60"/>
        <w:rPr>
          <w:snapToGrid w:val="0"/>
        </w:rPr>
      </w:pPr>
      <w:r>
        <w:rPr>
          <w:snapToGrid w:val="0"/>
        </w:rPr>
        <w:tab/>
        <w:t>(b)</w:t>
      </w:r>
      <w:r>
        <w:rPr>
          <w:snapToGrid w:val="0"/>
        </w:rPr>
        <w:tab/>
        <w:t>a member or members of staff;</w:t>
      </w:r>
      <w:r>
        <w:t xml:space="preserve"> or</w:t>
      </w:r>
    </w:p>
    <w:p>
      <w:pPr>
        <w:pStyle w:val="Indenta"/>
        <w:spacing w:before="60"/>
        <w:rPr>
          <w:snapToGrid w:val="0"/>
        </w:rPr>
      </w:pPr>
      <w:r>
        <w:rPr>
          <w:snapToGrid w:val="0"/>
        </w:rPr>
        <w:tab/>
        <w:t>(c)</w:t>
      </w:r>
      <w:r>
        <w:rPr>
          <w:snapToGrid w:val="0"/>
        </w:rPr>
        <w:tab/>
        <w:t xml:space="preserve">a committee; or </w:t>
      </w:r>
    </w:p>
    <w:p>
      <w:pPr>
        <w:pStyle w:val="Indenta"/>
        <w:spacing w:before="60"/>
        <w:rPr>
          <w:snapToGrid w:val="0"/>
        </w:rPr>
      </w:pPr>
      <w:r>
        <w:rPr>
          <w:snapToGrid w:val="0"/>
        </w:rPr>
        <w:tab/>
        <w:t>(d)</w:t>
      </w:r>
      <w:r>
        <w:rPr>
          <w:snapToGrid w:val="0"/>
        </w:rPr>
        <w:tab/>
        <w:t>any other person.</w:t>
      </w:r>
    </w:p>
    <w:p>
      <w:pPr>
        <w:pStyle w:val="Subsection"/>
        <w:spacing w:before="140"/>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pPr>
        <w:pStyle w:val="Subsection"/>
        <w:spacing w:before="140"/>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spacing w:before="140"/>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pPr>
        <w:pStyle w:val="Footnotesection"/>
        <w:spacing w:before="100"/>
        <w:ind w:left="890" w:hanging="890"/>
      </w:pPr>
      <w:r>
        <w:tab/>
        <w:t>[Section 17 amended by No. 37 of 2011 s. 18 and 53(1).]</w:t>
      </w:r>
    </w:p>
    <w:p>
      <w:pPr>
        <w:pStyle w:val="Heading5"/>
        <w:spacing w:before="200"/>
        <w:rPr>
          <w:snapToGrid w:val="0"/>
        </w:rPr>
      </w:pPr>
      <w:bookmarkStart w:id="31" w:name="_Toc377111941"/>
      <w:r>
        <w:rPr>
          <w:rStyle w:val="CharSectno"/>
        </w:rPr>
        <w:t>18</w:t>
      </w:r>
      <w:r>
        <w:rPr>
          <w:snapToGrid w:val="0"/>
        </w:rPr>
        <w:t>.</w:t>
      </w:r>
      <w:r>
        <w:rPr>
          <w:snapToGrid w:val="0"/>
        </w:rPr>
        <w:tab/>
        <w:t>Minister may give directions to Authority</w:t>
      </w:r>
      <w:bookmarkEnd w:id="31"/>
    </w:p>
    <w:p>
      <w:pPr>
        <w:pStyle w:val="Subsection"/>
        <w:spacing w:before="140"/>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pPr>
        <w:pStyle w:val="Subsection"/>
        <w:spacing w:before="120"/>
      </w:pPr>
      <w:r>
        <w:tab/>
        <w:t>(2)</w:t>
      </w:r>
      <w:r>
        <w:tab/>
        <w:t xml:space="preserve">The text of a direction given under subsection (1) is to be — </w:t>
      </w:r>
    </w:p>
    <w:p>
      <w:pPr>
        <w:pStyle w:val="Indenta"/>
        <w:spacing w:before="60"/>
      </w:pPr>
      <w:r>
        <w:tab/>
        <w:t>(a)</w:t>
      </w:r>
      <w:r>
        <w:tab/>
        <w:t>tabled in each House of Parliament not later than 14 sitting days of that House after the day on which the direction was given; and</w:t>
      </w:r>
    </w:p>
    <w:p>
      <w:pPr>
        <w:pStyle w:val="Indenta"/>
      </w:pPr>
      <w:r>
        <w:tab/>
        <w:t>(b)</w:t>
      </w:r>
      <w:r>
        <w:tab/>
        <w:t xml:space="preserve">included in the annual report submitted by the accountable authority of the Authority under the </w:t>
      </w:r>
      <w:r>
        <w:rPr>
          <w:i/>
        </w:rPr>
        <w:t>Financial Management Act 2006</w:t>
      </w:r>
      <w:r>
        <w:t xml:space="preserve"> Part 5.</w:t>
      </w:r>
    </w:p>
    <w:p>
      <w:pPr>
        <w:pStyle w:val="Footnotesection"/>
        <w:spacing w:before="100"/>
        <w:ind w:left="890" w:hanging="890"/>
      </w:pPr>
      <w:r>
        <w:tab/>
        <w:t>[Section 18 amended by No. 77 of 2006 Sch. 1 cl. 41(1); No. 37 of 2011 s. 19 and 53(1).]</w:t>
      </w:r>
    </w:p>
    <w:p>
      <w:pPr>
        <w:pStyle w:val="Heading5"/>
        <w:rPr>
          <w:snapToGrid w:val="0"/>
        </w:rPr>
      </w:pPr>
      <w:bookmarkStart w:id="32" w:name="_Toc377111942"/>
      <w:r>
        <w:rPr>
          <w:rStyle w:val="CharSectno"/>
        </w:rPr>
        <w:t>19</w:t>
      </w:r>
      <w:r>
        <w:rPr>
          <w:snapToGrid w:val="0"/>
        </w:rPr>
        <w:t>.</w:t>
      </w:r>
      <w:r>
        <w:rPr>
          <w:snapToGrid w:val="0"/>
        </w:rPr>
        <w:tab/>
        <w:t>Minister to have access to information</w:t>
      </w:r>
      <w:bookmarkEnd w:id="32"/>
      <w:r>
        <w:rPr>
          <w:snapToGrid w:val="0"/>
        </w:rPr>
        <w:t xml:space="preserve"> </w:t>
      </w:r>
    </w:p>
    <w:p>
      <w:pPr>
        <w:pStyle w:val="Subsection"/>
        <w:spacing w:before="120"/>
        <w:rPr>
          <w:snapToGrid w:val="0"/>
        </w:rPr>
      </w:pPr>
      <w:r>
        <w:rPr>
          <w:snapToGrid w:val="0"/>
        </w:rPr>
        <w:tab/>
        <w:t>(1)</w:t>
      </w:r>
      <w:r>
        <w:rPr>
          <w:snapToGrid w:val="0"/>
        </w:rPr>
        <w:tab/>
      </w:r>
      <w:r>
        <w:t>The</w:t>
      </w:r>
      <w:r>
        <w:rPr>
          <w:snapToGrid w:val="0"/>
        </w:rPr>
        <w:t xml:space="preserve"> Minister is entitled — </w:t>
      </w:r>
    </w:p>
    <w:p>
      <w:pPr>
        <w:pStyle w:val="Indenta"/>
        <w:spacing w:before="60"/>
        <w:rPr>
          <w:snapToGrid w:val="0"/>
        </w:rPr>
      </w:pPr>
      <w:r>
        <w:rPr>
          <w:snapToGrid w:val="0"/>
        </w:rPr>
        <w:tab/>
        <w:t>(a)</w:t>
      </w:r>
      <w:r>
        <w:rPr>
          <w:snapToGrid w:val="0"/>
        </w:rPr>
        <w:tab/>
        <w:t>to have information in the possession of the</w:t>
      </w:r>
      <w:r>
        <w:t xml:space="preserve"> Authority</w:t>
      </w:r>
      <w:r>
        <w:rPr>
          <w:snapToGrid w:val="0"/>
        </w:rPr>
        <w:t>;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 xml:space="preserve">request the </w:t>
      </w:r>
      <w:r>
        <w:t>Authority</w:t>
      </w:r>
      <w:r>
        <w:rPr>
          <w:snapToGrid w:val="0"/>
        </w:rPr>
        <w:t xml:space="preserve"> to furnish information to the Minister;</w:t>
      </w:r>
    </w:p>
    <w:p>
      <w:pPr>
        <w:pStyle w:val="Indenta"/>
        <w:spacing w:before="60"/>
        <w:rPr>
          <w:snapToGrid w:val="0"/>
        </w:rPr>
      </w:pPr>
      <w:r>
        <w:rPr>
          <w:snapToGrid w:val="0"/>
        </w:rPr>
        <w:tab/>
        <w:t>(b)</w:t>
      </w:r>
      <w:r>
        <w:rPr>
          <w:snapToGrid w:val="0"/>
        </w:rPr>
        <w:tab/>
        <w:t xml:space="preserve">request the </w:t>
      </w:r>
      <w:r>
        <w:t>Authority</w:t>
      </w:r>
      <w:r>
        <w:rPr>
          <w:snapToGrid w:val="0"/>
        </w:rPr>
        <w:t xml:space="preserve"> to give the Minister access to information;</w:t>
      </w:r>
    </w:p>
    <w:p>
      <w:pPr>
        <w:pStyle w:val="Indenta"/>
        <w:spacing w:before="60"/>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pPr>
        <w:pStyle w:val="Subsection"/>
        <w:spacing w:before="120"/>
        <w:rPr>
          <w:snapToGrid w:val="0"/>
        </w:rPr>
      </w:pPr>
      <w:r>
        <w:rPr>
          <w:snapToGrid w:val="0"/>
        </w:rPr>
        <w:tab/>
        <w:t>(4)</w:t>
      </w:r>
      <w:r>
        <w:rPr>
          <w:snapToGrid w:val="0"/>
        </w:rPr>
        <w:tab/>
        <w:t xml:space="preserve">In </w:t>
      </w:r>
      <w:r>
        <w:t>this</w:t>
      </w:r>
      <w:r>
        <w:rPr>
          <w:snapToGrid w:val="0"/>
        </w:rPr>
        <w:t xml:space="preserve">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pPr>
        <w:pStyle w:val="Footnotesection"/>
        <w:spacing w:before="100"/>
        <w:ind w:left="890" w:hanging="890"/>
      </w:pPr>
      <w:r>
        <w:tab/>
        <w:t>[Section 19 amended by No. 22 of 2005 s. 46; No. 37 of 2011 s. 53(1).]</w:t>
      </w:r>
    </w:p>
    <w:p>
      <w:pPr>
        <w:pStyle w:val="Heading2"/>
      </w:pPr>
      <w:bookmarkStart w:id="33" w:name="_Toc377111943"/>
      <w:r>
        <w:rPr>
          <w:rStyle w:val="CharPartNo"/>
        </w:rPr>
        <w:t>Part 3A</w:t>
      </w:r>
      <w:r>
        <w:rPr>
          <w:b w:val="0"/>
        </w:rPr>
        <w:t> </w:t>
      </w:r>
      <w:r>
        <w:t>—</w:t>
      </w:r>
      <w:r>
        <w:rPr>
          <w:b w:val="0"/>
        </w:rPr>
        <w:t> </w:t>
      </w:r>
      <w:r>
        <w:rPr>
          <w:rStyle w:val="CharPartText"/>
        </w:rPr>
        <w:t>Student records</w:t>
      </w:r>
      <w:bookmarkEnd w:id="33"/>
    </w:p>
    <w:p>
      <w:pPr>
        <w:pStyle w:val="Footnoteheading"/>
        <w:spacing w:before="100"/>
      </w:pPr>
      <w:r>
        <w:tab/>
        <w:t>[Heading inserted by No. 22 of 2005 s. 47.]</w:t>
      </w:r>
    </w:p>
    <w:p>
      <w:pPr>
        <w:pStyle w:val="Heading5"/>
      </w:pPr>
      <w:bookmarkStart w:id="34" w:name="_Toc377111944"/>
      <w:r>
        <w:rPr>
          <w:rStyle w:val="CharSectno"/>
        </w:rPr>
        <w:t>19A</w:t>
      </w:r>
      <w:r>
        <w:t>.</w:t>
      </w:r>
      <w:r>
        <w:tab/>
        <w:t>Terms used</w:t>
      </w:r>
      <w:bookmarkEnd w:id="34"/>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tab/>
      </w:r>
      <w:r>
        <w:rPr>
          <w:rStyle w:val="CharDefText"/>
        </w:rPr>
        <w:t>final years of compulsory education</w:t>
      </w:r>
      <w:r>
        <w:t xml:space="preserve"> has the meaning given in the School Education Act section 4;</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student</w:t>
      </w:r>
      <w:r>
        <w:t xml:space="preserve"> includes — </w:t>
      </w:r>
    </w:p>
    <w:p>
      <w:pPr>
        <w:pStyle w:val="Defpara"/>
        <w:spacing w:before="70"/>
      </w:pPr>
      <w:r>
        <w:tab/>
        <w:t>(a)</w:t>
      </w:r>
      <w:r>
        <w:tab/>
        <w:t>a child in either of the final years of compulsory education who is not enrolled at a school or receiving home education</w:t>
      </w:r>
      <w:r>
        <w:rPr>
          <w:bCs/>
        </w:rPr>
        <w:t>; and</w:t>
      </w:r>
    </w:p>
    <w:p>
      <w:pPr>
        <w:pStyle w:val="Defpara"/>
        <w:spacing w:before="70"/>
      </w:pPr>
      <w:r>
        <w:tab/>
        <w:t>(b)</w:t>
      </w:r>
      <w:r>
        <w:tab/>
        <w:t>an exempt child;</w:t>
      </w:r>
    </w:p>
    <w:p>
      <w:pPr>
        <w:pStyle w:val="Defstart"/>
      </w:pPr>
      <w:r>
        <w:tab/>
      </w:r>
      <w:r>
        <w:rPr>
          <w:rStyle w:val="CharDefText"/>
        </w:rPr>
        <w:t>student record</w:t>
      </w:r>
      <w:r>
        <w:t xml:space="preserve">, in relation to a student, means a record of — </w:t>
      </w:r>
    </w:p>
    <w:p>
      <w:pPr>
        <w:pStyle w:val="Defpara"/>
        <w:spacing w:before="70"/>
      </w:pPr>
      <w:r>
        <w:tab/>
        <w:t>(a)</w:t>
      </w:r>
      <w:r>
        <w:tab/>
        <w:t>any educational programme in which the student is or has been enrolled, or that is being or has been provided to the student by a home educator; and</w:t>
      </w:r>
    </w:p>
    <w:p>
      <w:pPr>
        <w:pStyle w:val="Defpara"/>
        <w:spacing w:before="70"/>
      </w:pPr>
      <w:r>
        <w:tab/>
        <w:t>(b)</w:t>
      </w:r>
      <w:r>
        <w:tab/>
        <w:t>any option under section 11B of the School Education Act notified under this Part to the Authority by a provider in respect of the student; and</w:t>
      </w:r>
    </w:p>
    <w:p>
      <w:pPr>
        <w:pStyle w:val="Defpara"/>
        <w:spacing w:before="70"/>
      </w:pPr>
      <w:r>
        <w:tab/>
        <w:t>(c)</w:t>
      </w:r>
      <w:r>
        <w:tab/>
        <w:t xml:space="preserve">any achievement or other result on the part of the student in relation to — </w:t>
      </w:r>
    </w:p>
    <w:p>
      <w:pPr>
        <w:pStyle w:val="Defsubpara"/>
        <w:spacing w:before="70"/>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Authority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NAm"/>
              <w:spacing w:before="0"/>
            </w:pPr>
            <w:r>
              <w:t>1A.</w:t>
            </w:r>
          </w:p>
        </w:tc>
        <w:tc>
          <w:tcPr>
            <w:tcW w:w="2772" w:type="dxa"/>
          </w:tcPr>
          <w:p>
            <w:pPr>
              <w:pStyle w:val="TableNAm"/>
              <w:spacing w:before="0"/>
            </w:pPr>
            <w:r>
              <w:t>A student enrolled at a community kindergarten.</w:t>
            </w:r>
          </w:p>
        </w:tc>
        <w:tc>
          <w:tcPr>
            <w:tcW w:w="2438" w:type="dxa"/>
          </w:tcPr>
          <w:p>
            <w:pPr>
              <w:pStyle w:val="TableNAm"/>
              <w:spacing w:before="0"/>
            </w:pPr>
            <w:r>
              <w:t>The governing body.</w:t>
            </w:r>
          </w:p>
        </w:tc>
      </w:tr>
      <w:tr>
        <w:trPr>
          <w:cantSplit/>
        </w:trPr>
        <w:tc>
          <w:tcPr>
            <w:tcW w:w="709" w:type="dxa"/>
          </w:tcPr>
          <w:p>
            <w:pPr>
              <w:pStyle w:val="TableNAm"/>
              <w:spacing w:before="0"/>
            </w:pPr>
            <w:r>
              <w:t>1.</w:t>
            </w:r>
          </w:p>
        </w:tc>
        <w:tc>
          <w:tcPr>
            <w:tcW w:w="2772" w:type="dxa"/>
          </w:tcPr>
          <w:p>
            <w:pPr>
              <w:pStyle w:val="TableNAm"/>
              <w:spacing w:before="0"/>
            </w:pPr>
            <w:r>
              <w:t>A student enrolled in an educational programme at a school (other than a community kindergarten).</w:t>
            </w:r>
          </w:p>
        </w:tc>
        <w:tc>
          <w:tcPr>
            <w:tcW w:w="2438" w:type="dxa"/>
          </w:tcPr>
          <w:p>
            <w:pPr>
              <w:pStyle w:val="TableNAm"/>
              <w:spacing w:before="0"/>
            </w:pPr>
            <w:r>
              <w:t>The principal of the school.</w:t>
            </w:r>
          </w:p>
        </w:tc>
      </w:tr>
      <w:tr>
        <w:trPr>
          <w:cantSplit/>
        </w:trPr>
        <w:tc>
          <w:tcPr>
            <w:tcW w:w="709" w:type="dxa"/>
          </w:tcPr>
          <w:p>
            <w:pPr>
              <w:pStyle w:val="TableNAm"/>
              <w:spacing w:before="0"/>
            </w:pPr>
            <w:r>
              <w:t>2.</w:t>
            </w:r>
          </w:p>
        </w:tc>
        <w:tc>
          <w:tcPr>
            <w:tcW w:w="2772" w:type="dxa"/>
          </w:tcPr>
          <w:p>
            <w:pPr>
              <w:pStyle w:val="TableNAm"/>
              <w:spacing w:before="0"/>
            </w:pPr>
            <w:r>
              <w:t>A student undertaking a course at a university.</w:t>
            </w:r>
          </w:p>
        </w:tc>
        <w:tc>
          <w:tcPr>
            <w:tcW w:w="2438" w:type="dxa"/>
          </w:tcPr>
          <w:p>
            <w:pPr>
              <w:pStyle w:val="TableNAm"/>
              <w:spacing w:before="0"/>
            </w:pPr>
            <w:r>
              <w:t>The university.</w:t>
            </w:r>
          </w:p>
        </w:tc>
      </w:tr>
      <w:tr>
        <w:trPr>
          <w:cantSplit/>
        </w:trPr>
        <w:tc>
          <w:tcPr>
            <w:tcW w:w="709" w:type="dxa"/>
          </w:tcPr>
          <w:p>
            <w:pPr>
              <w:pStyle w:val="TableNAm"/>
              <w:spacing w:before="0"/>
            </w:pPr>
            <w:r>
              <w:t>3.</w:t>
            </w:r>
          </w:p>
        </w:tc>
        <w:tc>
          <w:tcPr>
            <w:tcW w:w="2772" w:type="dxa"/>
          </w:tcPr>
          <w:p>
            <w:pPr>
              <w:pStyle w:val="TableNAm"/>
              <w:spacing w:before="0"/>
            </w:pPr>
            <w:r>
              <w:t xml:space="preserve">A student undertaking a higher education course registered under section 23 of the </w:t>
            </w:r>
            <w:r>
              <w:rPr>
                <w:i/>
                <w:iCs/>
              </w:rPr>
              <w:t>Higher Education Act 2004</w:t>
            </w:r>
            <w:r>
              <w:t>.</w:t>
            </w:r>
          </w:p>
        </w:tc>
        <w:tc>
          <w:tcPr>
            <w:tcW w:w="2438" w:type="dxa"/>
          </w:tcPr>
          <w:p>
            <w:pPr>
              <w:pStyle w:val="TableNAm"/>
              <w:spacing w:before="0"/>
            </w:pPr>
            <w:r>
              <w:t xml:space="preserve">The education institution that provides the course. </w:t>
            </w:r>
          </w:p>
        </w:tc>
      </w:tr>
      <w:tr>
        <w:trPr>
          <w:cantSplit/>
        </w:trPr>
        <w:tc>
          <w:tcPr>
            <w:tcW w:w="709" w:type="dxa"/>
          </w:tcPr>
          <w:p>
            <w:pPr>
              <w:pStyle w:val="TableNAm"/>
              <w:spacing w:before="0"/>
            </w:pPr>
            <w:r>
              <w:t>4.</w:t>
            </w:r>
          </w:p>
        </w:tc>
        <w:tc>
          <w:tcPr>
            <w:tcW w:w="2772" w:type="dxa"/>
          </w:tcPr>
          <w:p>
            <w:pPr>
              <w:pStyle w:val="TableNAm"/>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NAm"/>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NAm"/>
              <w:spacing w:before="0"/>
            </w:pPr>
            <w:r>
              <w:t>5.</w:t>
            </w:r>
          </w:p>
        </w:tc>
        <w:tc>
          <w:tcPr>
            <w:tcW w:w="2772" w:type="dxa"/>
          </w:tcPr>
          <w:p>
            <w:pPr>
              <w:pStyle w:val="TableNAm"/>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NAm"/>
              <w:spacing w:before="0"/>
            </w:pPr>
            <w:r>
              <w:t>The employer.</w:t>
            </w:r>
          </w:p>
        </w:tc>
      </w:tr>
      <w:tr>
        <w:trPr>
          <w:cantSplit/>
        </w:trPr>
        <w:tc>
          <w:tcPr>
            <w:tcW w:w="709" w:type="dxa"/>
          </w:tcPr>
          <w:p>
            <w:pPr>
              <w:pStyle w:val="TableNAm"/>
              <w:spacing w:before="0"/>
            </w:pPr>
            <w:r>
              <w:t>6.</w:t>
            </w:r>
          </w:p>
        </w:tc>
        <w:tc>
          <w:tcPr>
            <w:tcW w:w="2772" w:type="dxa"/>
          </w:tcPr>
          <w:p>
            <w:pPr>
              <w:pStyle w:val="TableNAm"/>
              <w:spacing w:before="0"/>
            </w:pPr>
            <w:r>
              <w:t>A student undertaking a course, programme or activity prescribed by order made under section 11B(2) of the School Education Act.</w:t>
            </w:r>
          </w:p>
        </w:tc>
        <w:tc>
          <w:tcPr>
            <w:tcW w:w="2438" w:type="dxa"/>
          </w:tcPr>
          <w:p>
            <w:pPr>
              <w:pStyle w:val="TableNAm"/>
              <w:spacing w:before="0"/>
            </w:pPr>
            <w:r>
              <w:t>The provider specified in the order in respect of the course, programme or activity.</w:t>
            </w:r>
          </w:p>
        </w:tc>
      </w:tr>
    </w:tbl>
    <w:p>
      <w:pPr>
        <w:pStyle w:val="Footnotesection"/>
      </w:pPr>
      <w:r>
        <w:tab/>
        <w:t>[Section 19A inserted by No. 22 of 2005 s. 47; amended by No. 44 of 2008 s. 52(2); No. 37 of 2011 s. 20 and 53(1); No. 46 of 2012 s. 15.]</w:t>
      </w:r>
    </w:p>
    <w:p>
      <w:pPr>
        <w:pStyle w:val="Heading5"/>
      </w:pPr>
      <w:bookmarkStart w:id="35" w:name="_Toc377111945"/>
      <w:r>
        <w:rPr>
          <w:rStyle w:val="CharSectno"/>
        </w:rPr>
        <w:t>19B</w:t>
      </w:r>
      <w:r>
        <w:t>.</w:t>
      </w:r>
      <w:r>
        <w:tab/>
        <w:t>Application of this Part to overseas students</w:t>
      </w:r>
      <w:bookmarkEnd w:id="35"/>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36" w:name="_Toc377111946"/>
      <w:r>
        <w:rPr>
          <w:rStyle w:val="CharSectno"/>
        </w:rPr>
        <w:t>19C</w:t>
      </w:r>
      <w:r>
        <w:t>.</w:t>
      </w:r>
      <w:r>
        <w:tab/>
        <w:t>When student record to be opened</w:t>
      </w:r>
      <w:bookmarkEnd w:id="36"/>
    </w:p>
    <w:p>
      <w:pPr>
        <w:pStyle w:val="Subsection"/>
      </w:pPr>
      <w:r>
        <w:tab/>
        <w:t>(1)</w:t>
      </w:r>
      <w:r>
        <w:tab/>
        <w:t xml:space="preserve">In this section — </w:t>
      </w:r>
    </w:p>
    <w:p>
      <w:pPr>
        <w:pStyle w:val="Defstart"/>
      </w:pPr>
      <w:r>
        <w:tab/>
      </w:r>
      <w:r>
        <w:rPr>
          <w:rStyle w:val="CharDefText"/>
        </w:rPr>
        <w:t>first year of the relevant education period</w:t>
      </w:r>
      <w:r>
        <w:t xml:space="preserve"> means — </w:t>
      </w:r>
    </w:p>
    <w:p>
      <w:pPr>
        <w:pStyle w:val="Defpara"/>
      </w:pPr>
      <w:r>
        <w:tab/>
        <w:t>(a)</w:t>
      </w:r>
      <w:r>
        <w:tab/>
        <w:t>for a student enrolled in a school during the pre</w:t>
      </w:r>
      <w:r>
        <w:noBreakHyphen/>
        <w:t>compulsory education period — the first year of that enrolment; or</w:t>
      </w:r>
    </w:p>
    <w:p>
      <w:pPr>
        <w:pStyle w:val="Defpara"/>
      </w:pPr>
      <w:r>
        <w:tab/>
        <w:t>(b)</w:t>
      </w:r>
      <w:r>
        <w:tab/>
        <w:t>otherwise, the first year of the compulsory education period.</w:t>
      </w:r>
    </w:p>
    <w:p>
      <w:pPr>
        <w:pStyle w:val="Subsection"/>
      </w:pPr>
      <w:r>
        <w:tab/>
        <w:t>(2)</w:t>
      </w:r>
      <w:r>
        <w:tab/>
        <w:t xml:space="preserve">A student record must be opened for every student who is in the first year of the relevant education period — </w:t>
      </w:r>
    </w:p>
    <w:p>
      <w:pPr>
        <w:pStyle w:val="Indenta"/>
      </w:pPr>
      <w:r>
        <w:tab/>
        <w:t>(a)</w:t>
      </w:r>
      <w:r>
        <w:tab/>
        <w:t>by the principal of the school at which the student is enrolled at the beginning of the school year; or</w:t>
      </w:r>
    </w:p>
    <w:p>
      <w:pPr>
        <w:pStyle w:val="Indenta"/>
      </w:pPr>
      <w:r>
        <w:tab/>
        <w:t>(ba)</w:t>
      </w:r>
      <w:r>
        <w:tab/>
        <w:t>in the case of a student who at that time is enrolled in a community kindergarten — by the governing body of the community kindergarten;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pPr>
      <w:r>
        <w:tab/>
        <w:t>(3)</w:t>
      </w:r>
      <w:r>
        <w:tab/>
        <w:t xml:space="preserve">The regulations may provide for the opening of a student record for students for whom — </w:t>
      </w:r>
    </w:p>
    <w:p>
      <w:pPr>
        <w:pStyle w:val="Indenta"/>
      </w:pPr>
      <w:r>
        <w:tab/>
        <w:t>(a)</w:t>
      </w:r>
      <w:r>
        <w:tab/>
        <w:t xml:space="preserve">on the commencement of the </w:t>
      </w:r>
      <w:r>
        <w:rPr>
          <w:i/>
          <w:snapToGrid w:val="0"/>
        </w:rPr>
        <w:t>Curriculum Council Amendment Act 2011</w:t>
      </w:r>
      <w:r>
        <w:t xml:space="preserve"> section 21, a student record has not been opened; and</w:t>
      </w:r>
    </w:p>
    <w:p>
      <w:pPr>
        <w:pStyle w:val="Indenta"/>
      </w:pPr>
      <w:r>
        <w:tab/>
        <w:t>(b)</w:t>
      </w:r>
      <w:r>
        <w:tab/>
        <w:t>a student record would not otherwise be required to be opened under this section.</w:t>
      </w:r>
    </w:p>
    <w:p>
      <w:pPr>
        <w:pStyle w:val="Footnotesection"/>
      </w:pPr>
      <w:r>
        <w:tab/>
        <w:t>[Section 19C inserted by No. 22 of 2005 s. 47; amended by No. 37 of 2011 s. 21.]</w:t>
      </w:r>
    </w:p>
    <w:p>
      <w:pPr>
        <w:pStyle w:val="Heading5"/>
      </w:pPr>
      <w:bookmarkStart w:id="37" w:name="_Toc377111947"/>
      <w:r>
        <w:rPr>
          <w:rStyle w:val="CharSectno"/>
        </w:rPr>
        <w:t>19D</w:t>
      </w:r>
      <w:r>
        <w:t>.</w:t>
      </w:r>
      <w:r>
        <w:tab/>
        <w:t>Provider may be directed to open student record</w:t>
      </w:r>
      <w:bookmarkEnd w:id="37"/>
    </w:p>
    <w:p>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 amended by No. 37 of 2011 s. 53(1).]</w:t>
      </w:r>
    </w:p>
    <w:p>
      <w:pPr>
        <w:pStyle w:val="Heading5"/>
        <w:spacing w:before="180"/>
      </w:pPr>
      <w:bookmarkStart w:id="38" w:name="_Toc377111948"/>
      <w:r>
        <w:rPr>
          <w:rStyle w:val="CharSectno"/>
        </w:rPr>
        <w:t>19E</w:t>
      </w:r>
      <w:r>
        <w:t>.</w:t>
      </w:r>
      <w:r>
        <w:tab/>
        <w:t>How student record is opened</w:t>
      </w:r>
      <w:bookmarkEnd w:id="38"/>
    </w:p>
    <w:p>
      <w:pPr>
        <w:pStyle w:val="Subsection"/>
        <w:spacing w:before="120"/>
      </w:pPr>
      <w:r>
        <w:tab/>
      </w:r>
      <w:r>
        <w:tab/>
        <w:t xml:space="preserve">A student record is opened by the giving of the following information to the Authority, in accordance with section 19H, in respect of a student — </w:t>
      </w:r>
    </w:p>
    <w:p>
      <w:pPr>
        <w:pStyle w:val="Indenta"/>
      </w:pPr>
      <w:r>
        <w:tab/>
        <w:t>(a)</w:t>
      </w:r>
      <w:r>
        <w:tab/>
        <w:t xml:space="preserve">the student’s — </w:t>
      </w:r>
    </w:p>
    <w:p>
      <w:pPr>
        <w:pStyle w:val="Indenti"/>
      </w:pPr>
      <w:r>
        <w:tab/>
        <w:t>(i)</w:t>
      </w:r>
      <w:r>
        <w:tab/>
        <w:t>name, including any previous name; and</w:t>
      </w:r>
    </w:p>
    <w:p>
      <w:pPr>
        <w:pStyle w:val="Indenti"/>
      </w:pPr>
      <w:r>
        <w:tab/>
        <w:t>(ii)</w:t>
      </w:r>
      <w:r>
        <w:tab/>
        <w:t>address; and</w:t>
      </w:r>
    </w:p>
    <w:p>
      <w:pPr>
        <w:pStyle w:val="Indenti"/>
      </w:pPr>
      <w:r>
        <w:tab/>
        <w:t>(iii)</w:t>
      </w:r>
      <w:r>
        <w:tab/>
        <w:t>date of birth;</w:t>
      </w:r>
    </w:p>
    <w:p>
      <w:pPr>
        <w:pStyle w:val="Indenta"/>
      </w:pPr>
      <w:r>
        <w:tab/>
      </w:r>
      <w:r>
        <w:tab/>
        <w:t>and</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 amended by No. 37 of 2011 s. 53(1).]</w:t>
      </w:r>
    </w:p>
    <w:p>
      <w:pPr>
        <w:pStyle w:val="Heading5"/>
        <w:spacing w:before="200"/>
      </w:pPr>
      <w:bookmarkStart w:id="39" w:name="_Toc377111949"/>
      <w:r>
        <w:rPr>
          <w:rStyle w:val="CharSectno"/>
        </w:rPr>
        <w:t>19F</w:t>
      </w:r>
      <w:r>
        <w:t>.</w:t>
      </w:r>
      <w:r>
        <w:tab/>
        <w:t>Change of student’s provider, employer etc., provider to inform Authority of</w:t>
      </w:r>
      <w:bookmarkEnd w:id="39"/>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keepNext/>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Authority, in accordance with section 19H, of the enrolment or employment.</w:t>
      </w:r>
    </w:p>
    <w:p>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pPr>
        <w:pStyle w:val="Subsection"/>
      </w:pPr>
      <w:r>
        <w:tab/>
        <w:t>(5)</w:t>
      </w:r>
      <w:r>
        <w:tab/>
        <w:t>Where a student ceases to be enrolled with, or employed by, a provider, the provider is to inform the Authority,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 No. 37 of 2011 s. 53(1).]</w:t>
      </w:r>
    </w:p>
    <w:p>
      <w:pPr>
        <w:pStyle w:val="Heading5"/>
      </w:pPr>
      <w:bookmarkStart w:id="40" w:name="_Toc377111950"/>
      <w:r>
        <w:rPr>
          <w:rStyle w:val="CharSectno"/>
        </w:rPr>
        <w:t>19G</w:t>
      </w:r>
      <w:r>
        <w:t>.</w:t>
      </w:r>
      <w:r>
        <w:tab/>
        <w:t>Student’s results etc., provider to inform Authority of</w:t>
      </w:r>
      <w:bookmarkEnd w:id="40"/>
    </w:p>
    <w:p>
      <w:pPr>
        <w:pStyle w:val="Subsection"/>
      </w:pPr>
      <w:r>
        <w:tab/>
      </w:r>
      <w:r>
        <w:tab/>
        <w:t>A provider must, in accordance with section 19H, give to the Authority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 amended by No. 37 of 2011 s. 53(1).]</w:t>
      </w:r>
    </w:p>
    <w:p>
      <w:pPr>
        <w:pStyle w:val="Heading5"/>
      </w:pPr>
      <w:bookmarkStart w:id="41" w:name="_Toc377111951"/>
      <w:r>
        <w:rPr>
          <w:rStyle w:val="CharSectno"/>
        </w:rPr>
        <w:t>19H</w:t>
      </w:r>
      <w:r>
        <w:t>.</w:t>
      </w:r>
      <w:r>
        <w:tab/>
        <w:t>Informing Authority, general provisions about</w:t>
      </w:r>
      <w:bookmarkEnd w:id="41"/>
    </w:p>
    <w:p>
      <w:pPr>
        <w:pStyle w:val="Subsection"/>
      </w:pPr>
      <w:r>
        <w:tab/>
        <w:t>(1)</w:t>
      </w:r>
      <w:r>
        <w:tab/>
        <w:t xml:space="preserve">Information is to be given to the Authority under this Part — </w:t>
      </w:r>
    </w:p>
    <w:p>
      <w:pPr>
        <w:pStyle w:val="Indenta"/>
      </w:pPr>
      <w:r>
        <w:tab/>
        <w:t>(a)</w:t>
      </w:r>
      <w:r>
        <w:tab/>
        <w:t>in a form of notice; or</w:t>
      </w:r>
    </w:p>
    <w:p>
      <w:pPr>
        <w:pStyle w:val="Indenta"/>
      </w:pPr>
      <w:r>
        <w:tab/>
        <w:t>(b)</w:t>
      </w:r>
      <w:r>
        <w:tab/>
        <w:t>by an electronic means of communication,</w:t>
      </w:r>
    </w:p>
    <w:p>
      <w:pPr>
        <w:pStyle w:val="Subsection"/>
        <w:spacing w:before="120"/>
      </w:pPr>
      <w:r>
        <w:tab/>
      </w:r>
      <w:r>
        <w:tab/>
        <w:t>as approved by the Authority for the purposes of the provision under which the information is given.</w:t>
      </w:r>
    </w:p>
    <w:p>
      <w:pPr>
        <w:pStyle w:val="Subsection"/>
        <w:spacing w:before="140"/>
      </w:pPr>
      <w:r>
        <w:tab/>
        <w:t>(2)</w:t>
      </w:r>
      <w:r>
        <w:tab/>
        <w:t>Such information is also to be given in accordance with any provision made by the regulations, including provision as to the time or times at which the information is to be given.</w:t>
      </w:r>
    </w:p>
    <w:p>
      <w:pPr>
        <w:pStyle w:val="Subsection"/>
        <w:spacing w:before="140"/>
      </w:pPr>
      <w:r>
        <w:tab/>
        <w:t>(3)</w:t>
      </w:r>
      <w:r>
        <w:tab/>
        <w:t>Without limiting its powers under section 19I(3) or 19K, the Authority is not required to satisfy itself as to the validity or correctness of information given to it under this Part.</w:t>
      </w:r>
    </w:p>
    <w:p>
      <w:pPr>
        <w:pStyle w:val="Footnotesection"/>
        <w:spacing w:before="100"/>
        <w:ind w:left="890" w:hanging="890"/>
      </w:pPr>
      <w:r>
        <w:tab/>
        <w:t>[Section 19H inserted by No. 22 of 2005 s. 47; amended by No. 37 of 2011 s. 53(1).]</w:t>
      </w:r>
    </w:p>
    <w:p>
      <w:pPr>
        <w:pStyle w:val="Heading5"/>
      </w:pPr>
      <w:bookmarkStart w:id="42" w:name="_Toc377111952"/>
      <w:r>
        <w:rPr>
          <w:rStyle w:val="CharSectno"/>
        </w:rPr>
        <w:t>19I</w:t>
      </w:r>
      <w:r>
        <w:t>.</w:t>
      </w:r>
      <w:r>
        <w:tab/>
        <w:t>Database of student records etc., Authority to maintain; use of database</w:t>
      </w:r>
      <w:bookmarkEnd w:id="42"/>
    </w:p>
    <w:p>
      <w:pPr>
        <w:pStyle w:val="Subsection"/>
        <w:spacing w:before="140"/>
      </w:pPr>
      <w:r>
        <w:tab/>
        <w:t>(1)</w:t>
      </w:r>
      <w:r>
        <w:tab/>
        <w:t xml:space="preserve">It is a function of the Authority to maintain a database containing — </w:t>
      </w:r>
    </w:p>
    <w:p>
      <w:pPr>
        <w:pStyle w:val="Indenta"/>
        <w:spacing w:before="60"/>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Indenta"/>
        <w:spacing w:before="60"/>
      </w:pPr>
      <w:r>
        <w:tab/>
        <w:t>(b)</w:t>
      </w:r>
      <w:r>
        <w:tab/>
        <w:t xml:space="preserve">the information relating to student records given to it under this Part; and </w:t>
      </w:r>
    </w:p>
    <w:p>
      <w:pPr>
        <w:pStyle w:val="Indenta"/>
        <w:spacing w:before="60"/>
      </w:pPr>
      <w:r>
        <w:tab/>
        <w:t>(c)</w:t>
      </w:r>
      <w:r>
        <w:tab/>
        <w:t>other information relating to student records received by or otherwise available to the Authority.</w:t>
      </w:r>
    </w:p>
    <w:p>
      <w:pPr>
        <w:pStyle w:val="Subsection"/>
        <w:spacing w:before="140"/>
      </w:pPr>
      <w:r>
        <w:tab/>
        <w:t>(2A)</w:t>
      </w:r>
      <w:r>
        <w:tab/>
        <w:t xml:space="preserve">In subsection (1) — </w:t>
      </w:r>
    </w:p>
    <w:p>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r>
        <w:rPr>
          <w:vertAlign w:val="superscript"/>
        </w:rPr>
        <w:t> 1</w:t>
      </w:r>
      <w:r>
        <w:t>.</w:t>
      </w:r>
    </w:p>
    <w:p>
      <w:pPr>
        <w:pStyle w:val="Subsection"/>
        <w:spacing w:before="140"/>
      </w:pPr>
      <w:r>
        <w:tab/>
        <w:t>(2)</w:t>
      </w:r>
      <w:r>
        <w:tab/>
        <w:t>The database is to be maintained in such manner and form as the Authority thinks fit.</w:t>
      </w:r>
    </w:p>
    <w:p>
      <w:pPr>
        <w:pStyle w:val="Subsection"/>
        <w:spacing w:before="140"/>
      </w:pPr>
      <w:r>
        <w:tab/>
        <w:t>(3)</w:t>
      </w:r>
      <w:r>
        <w:tab/>
        <w:t>The Authority may at any time change information in the database to correct any error or omission.</w:t>
      </w:r>
    </w:p>
    <w:p>
      <w:pPr>
        <w:pStyle w:val="Subsection"/>
      </w:pPr>
      <w:r>
        <w:tab/>
        <w:t>(4)</w:t>
      </w:r>
      <w:r>
        <w:tab/>
        <w:t>The Authority may use the database for the purpose of keeping the records of assessment and the register of courses referred to in section 14(1)(a).</w:t>
      </w:r>
    </w:p>
    <w:p>
      <w:pPr>
        <w:pStyle w:val="Subsection"/>
      </w:pPr>
      <w:r>
        <w:tab/>
        <w:t>(5)</w:t>
      </w:r>
      <w:r>
        <w:tab/>
        <w:t>The Authority may use information in the database for the purpose of performing the functions mentioned in sections 11(1), 12(2) and 14(1)(c) and (2).</w:t>
      </w:r>
    </w:p>
    <w:p>
      <w:pPr>
        <w:pStyle w:val="Footnotesection"/>
      </w:pPr>
      <w:r>
        <w:tab/>
        <w:t>[Section 19I inserted by No. 22 of 2005 s. 47; amended by No. 37 of 2011 s. 22 and 53(1).]</w:t>
      </w:r>
    </w:p>
    <w:p>
      <w:pPr>
        <w:pStyle w:val="Heading5"/>
      </w:pPr>
      <w:bookmarkStart w:id="43" w:name="_Toc377111953"/>
      <w:r>
        <w:rPr>
          <w:rStyle w:val="CharSectno"/>
        </w:rPr>
        <w:t>19J</w:t>
      </w:r>
      <w:r>
        <w:t>.</w:t>
      </w:r>
      <w:r>
        <w:tab/>
      </w:r>
      <w:r>
        <w:rPr>
          <w:bCs/>
        </w:rPr>
        <w:t>Student etc. entitled to student record</w:t>
      </w:r>
      <w:bookmarkEnd w:id="43"/>
    </w:p>
    <w:p>
      <w:pPr>
        <w:pStyle w:val="Subsection"/>
      </w:pPr>
      <w:r>
        <w:tab/>
        <w:t>(1A)</w:t>
      </w:r>
      <w:r>
        <w:tab/>
        <w:t xml:space="preserve">In this section — </w:t>
      </w:r>
    </w:p>
    <w:p>
      <w:pPr>
        <w:pStyle w:val="Defstart"/>
      </w:pPr>
      <w:r>
        <w:rPr>
          <w:b/>
        </w:rPr>
        <w:tab/>
      </w:r>
      <w:r>
        <w:rPr>
          <w:rStyle w:val="CharDefText"/>
        </w:rPr>
        <w:t>parent</w:t>
      </w:r>
      <w:r>
        <w:t>, of a student, means a person who at law has responsibility for the day to day care, welfare and development of the student;</w:t>
      </w:r>
    </w:p>
    <w:p>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Subsection"/>
      </w:pPr>
      <w:r>
        <w:tab/>
        <w:t>(1)</w:t>
      </w:r>
      <w:r>
        <w:tab/>
        <w:t>The Authority is to provide to a person who makes a request under subsection (2) and pays the prescribed fee, if any, a copy of the student record kept by the Authority in respect of a student.</w:t>
      </w:r>
    </w:p>
    <w:p>
      <w:pPr>
        <w:pStyle w:val="Subsection"/>
      </w:pPr>
      <w:r>
        <w:tab/>
        <w:t>(2)</w:t>
      </w:r>
      <w:r>
        <w:tab/>
        <w:t>A request may be made for a copy of a student record only by the student concerned, a parent of the student or a person who is authorised in writing by the student to obtain such a copy.</w:t>
      </w:r>
    </w:p>
    <w:p>
      <w:pPr>
        <w:pStyle w:val="Footnotesection"/>
      </w:pPr>
      <w:r>
        <w:tab/>
        <w:t>[Section 19J inserted by No. 22 of 2005 s. 47; amended by No. 37 of 2011 s. 23 and 53(1).]</w:t>
      </w:r>
    </w:p>
    <w:p>
      <w:pPr>
        <w:pStyle w:val="Heading5"/>
      </w:pPr>
      <w:bookmarkStart w:id="44" w:name="_Toc377111954"/>
      <w:r>
        <w:rPr>
          <w:rStyle w:val="CharSectno"/>
        </w:rPr>
        <w:t>19K</w:t>
      </w:r>
      <w:r>
        <w:t>.</w:t>
      </w:r>
      <w:r>
        <w:tab/>
        <w:t>Authority may disclose information to provider for checking purposes</w:t>
      </w:r>
      <w:bookmarkEnd w:id="44"/>
    </w:p>
    <w:p>
      <w:pPr>
        <w:pStyle w:val="Subsection"/>
      </w:pPr>
      <w:r>
        <w:tab/>
      </w:r>
      <w:r>
        <w:tab/>
        <w:t>The Authority may disclose to a provider information given to it under this Part in respect of a student for the purpose of ensuring that the information is accurate.</w:t>
      </w:r>
    </w:p>
    <w:p>
      <w:pPr>
        <w:pStyle w:val="Footnotesection"/>
      </w:pPr>
      <w:r>
        <w:tab/>
        <w:t>[Section 19K inserted by No. 22 of 2005 s. 47; amended by No. 37 of 2011 s. 53(1).]</w:t>
      </w:r>
    </w:p>
    <w:p>
      <w:pPr>
        <w:pStyle w:val="Heading5"/>
      </w:pPr>
      <w:bookmarkStart w:id="45" w:name="_Toc377111955"/>
      <w:r>
        <w:rPr>
          <w:rStyle w:val="CharSectno"/>
        </w:rPr>
        <w:t>19L</w:t>
      </w:r>
      <w:r>
        <w:t>.</w:t>
      </w:r>
      <w:r>
        <w:tab/>
        <w:t>Authority, on request, to give Minister information in aggregated form</w:t>
      </w:r>
      <w:bookmarkEnd w:id="45"/>
    </w:p>
    <w:p>
      <w:pPr>
        <w:pStyle w:val="Subsection"/>
        <w:spacing w:before="120"/>
      </w:pPr>
      <w:r>
        <w:tab/>
      </w:r>
      <w:r>
        <w:tab/>
        <w:t>The Minister may in writing request the Authority to provide the Minister with information, in aggregated form, that comprises, includes or is derived from information given under this Part, and the Authority is to comply with any such request.</w:t>
      </w:r>
    </w:p>
    <w:p>
      <w:pPr>
        <w:pStyle w:val="Footnotesection"/>
      </w:pPr>
      <w:r>
        <w:tab/>
        <w:t>[Section 19L inserted by No. 22 of 2005 s. 47; amended by No. 37 of 2011 s. 53(1).]</w:t>
      </w:r>
    </w:p>
    <w:p>
      <w:pPr>
        <w:pStyle w:val="Heading5"/>
      </w:pPr>
      <w:bookmarkStart w:id="46" w:name="_Toc377111956"/>
      <w:r>
        <w:rPr>
          <w:rStyle w:val="CharSectno"/>
        </w:rPr>
        <w:t>19M</w:t>
      </w:r>
      <w:r>
        <w:t>.</w:t>
      </w:r>
      <w:r>
        <w:tab/>
        <w:t>Authority, on request, to give Minister information to assist in enforcing School Education Act</w:t>
      </w:r>
      <w:bookmarkEnd w:id="46"/>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 and</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Authority to provide the Minister with the allowed information in respect of children to whom this section applies.</w:t>
      </w:r>
    </w:p>
    <w:p>
      <w:pPr>
        <w:pStyle w:val="Subsection"/>
      </w:pPr>
      <w:r>
        <w:tab/>
        <w:t>(3)</w:t>
      </w:r>
      <w:r>
        <w:tab/>
        <w:t>The Authority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spacing w:before="60"/>
      </w:pPr>
      <w:r>
        <w:tab/>
        <w:t>(a)</w:t>
      </w:r>
      <w:r>
        <w:tab/>
        <w:t>is required by section 9 of the School Education Act to be enrolled in an educational programme or receiving home education, but is not so enrolled or receiving such education; or</w:t>
      </w:r>
    </w:p>
    <w:p>
      <w:pPr>
        <w:pStyle w:val="Indenta"/>
        <w:spacing w:before="60"/>
      </w:pPr>
      <w:r>
        <w:tab/>
        <w:t>(b)</w:t>
      </w:r>
      <w:r>
        <w:tab/>
        <w:t>is required by section 11I of that Act to be participating in an option or a combination of options under section 11B of that Act, but is not so participating.</w:t>
      </w:r>
    </w:p>
    <w:p>
      <w:pPr>
        <w:pStyle w:val="Subsection"/>
        <w:spacing w:before="130"/>
      </w:pPr>
      <w:r>
        <w:tab/>
        <w:t>(5)</w:t>
      </w:r>
      <w:r>
        <w:tab/>
        <w:t xml:space="preserve">A request may only be made by the Minister under subsection (2) — </w:t>
      </w:r>
    </w:p>
    <w:p>
      <w:pPr>
        <w:pStyle w:val="Indenta"/>
        <w:spacing w:before="60"/>
      </w:pPr>
      <w:r>
        <w:tab/>
        <w:t>(a)</w:t>
      </w:r>
      <w:r>
        <w:tab/>
        <w:t>in respect of children referred to in subsection (4)(a), for the purpose of monitoring or investigating compliance with section 9 of the School Education Act or assisting or securing such compliance; or</w:t>
      </w:r>
    </w:p>
    <w:p>
      <w:pPr>
        <w:pStyle w:val="Indenta"/>
        <w:spacing w:before="60"/>
      </w:pPr>
      <w:r>
        <w:tab/>
        <w:t>(b)</w:t>
      </w:r>
      <w:r>
        <w:tab/>
        <w:t xml:space="preserve">in respect of children referred to in subsection (4)(b), for the purpose of — </w:t>
      </w:r>
    </w:p>
    <w:p>
      <w:pPr>
        <w:pStyle w:val="Indenti"/>
        <w:spacing w:before="60"/>
      </w:pPr>
      <w:r>
        <w:tab/>
        <w:t>(i)</w:t>
      </w:r>
      <w:r>
        <w:tab/>
        <w:t>identifying those children in either of the final years of compulsory education who are not engaged full</w:t>
      </w:r>
      <w:r>
        <w:noBreakHyphen/>
        <w:t>time in education, training or employment as provided by the School Education Act; and</w:t>
      </w:r>
    </w:p>
    <w:p>
      <w:pPr>
        <w:pStyle w:val="Indenti"/>
        <w:spacing w:before="60"/>
      </w:pPr>
      <w:r>
        <w:tab/>
        <w:t>(ii)</w:t>
      </w:r>
      <w:r>
        <w:tab/>
        <w:t>giving such children information about school education and the options that are available under that Act; and</w:t>
      </w:r>
    </w:p>
    <w:p>
      <w:pPr>
        <w:pStyle w:val="Indenti"/>
        <w:spacing w:before="60"/>
      </w:pPr>
      <w:r>
        <w:tab/>
        <w:t>(iii)</w:t>
      </w:r>
      <w:r>
        <w:tab/>
        <w:t>encouraging and helping parents in relation to the matters referred to in subparagraphs (i) and (ii).</w:t>
      </w:r>
    </w:p>
    <w:p>
      <w:pPr>
        <w:pStyle w:val="Footnotesection"/>
        <w:spacing w:before="100"/>
        <w:ind w:left="890" w:hanging="890"/>
      </w:pPr>
      <w:r>
        <w:tab/>
        <w:t>[Section 19M inserted by No. 22 of 2005 s. 47; amended by No. 37 of 2011 s. 53(1); No. 46 of 2012 s. 16.]</w:t>
      </w:r>
    </w:p>
    <w:p>
      <w:pPr>
        <w:pStyle w:val="Heading5"/>
        <w:spacing w:before="200"/>
      </w:pPr>
      <w:bookmarkStart w:id="47" w:name="_Toc377111957"/>
      <w:r>
        <w:rPr>
          <w:rStyle w:val="CharSectno"/>
        </w:rPr>
        <w:t>19N</w:t>
      </w:r>
      <w:r>
        <w:t>.</w:t>
      </w:r>
      <w:r>
        <w:tab/>
        <w:t>Disclosure by Minister of information given under s. 19M</w:t>
      </w:r>
      <w:bookmarkEnd w:id="47"/>
    </w:p>
    <w:p>
      <w:pPr>
        <w:pStyle w:val="Subsection"/>
        <w:spacing w:before="130"/>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48" w:name="_Toc377111958"/>
      <w:r>
        <w:rPr>
          <w:rStyle w:val="CharSectno"/>
        </w:rPr>
        <w:t>19O</w:t>
      </w:r>
      <w:r>
        <w:t>.</w:t>
      </w:r>
      <w:r>
        <w:tab/>
        <w:t>Delegation by Minister etc. of s. 19L, 19M and 19N functions</w:t>
      </w:r>
      <w:bookmarkEnd w:id="48"/>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49" w:name="_Toc377111959"/>
      <w:r>
        <w:rPr>
          <w:rStyle w:val="CharSectno"/>
        </w:rPr>
        <w:t>19P</w:t>
      </w:r>
      <w:r>
        <w:t>.</w:t>
      </w:r>
      <w:r>
        <w:tab/>
        <w:t>Authority to give certain entities certain information in aggregated form</w:t>
      </w:r>
      <w:bookmarkEnd w:id="49"/>
    </w:p>
    <w:p>
      <w:pPr>
        <w:pStyle w:val="Subsection"/>
        <w:keepNext/>
      </w:pPr>
      <w:r>
        <w:tab/>
        <w:t>(1)</w:t>
      </w:r>
      <w:r>
        <w:tab/>
        <w:t xml:space="preserve">The Authority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 amended by No. 37 of 2011 s. 53(1).]</w:t>
      </w:r>
    </w:p>
    <w:p>
      <w:pPr>
        <w:pStyle w:val="Heading2"/>
      </w:pPr>
      <w:bookmarkStart w:id="50" w:name="_Toc377111960"/>
      <w:r>
        <w:rPr>
          <w:rStyle w:val="CharPartNo"/>
        </w:rPr>
        <w:t>Part 4</w:t>
      </w:r>
      <w:r>
        <w:rPr>
          <w:rStyle w:val="CharDivNo"/>
        </w:rPr>
        <w:t> </w:t>
      </w:r>
      <w:r>
        <w:t>—</w:t>
      </w:r>
      <w:r>
        <w:rPr>
          <w:rStyle w:val="CharDivText"/>
        </w:rPr>
        <w:t> </w:t>
      </w:r>
      <w:r>
        <w:rPr>
          <w:rStyle w:val="CharPartText"/>
        </w:rPr>
        <w:t>Staff</w:t>
      </w:r>
      <w:bookmarkEnd w:id="50"/>
      <w:r>
        <w:rPr>
          <w:rStyle w:val="CharPartText"/>
        </w:rPr>
        <w:t xml:space="preserve"> </w:t>
      </w:r>
    </w:p>
    <w:p>
      <w:pPr>
        <w:pStyle w:val="Heading5"/>
        <w:rPr>
          <w:snapToGrid w:val="0"/>
        </w:rPr>
      </w:pPr>
      <w:bookmarkStart w:id="51" w:name="_Toc377111961"/>
      <w:r>
        <w:rPr>
          <w:rStyle w:val="CharSectno"/>
        </w:rPr>
        <w:t>20</w:t>
      </w:r>
      <w:r>
        <w:rPr>
          <w:snapToGrid w:val="0"/>
        </w:rPr>
        <w:t>.</w:t>
      </w:r>
      <w:r>
        <w:rPr>
          <w:snapToGrid w:val="0"/>
        </w:rPr>
        <w:tab/>
        <w:t>Chief executive officer</w:t>
      </w:r>
      <w:bookmarkEnd w:id="51"/>
      <w:r>
        <w:rPr>
          <w:snapToGrid w:val="0"/>
        </w:rPr>
        <w:t xml:space="preserve"> </w:t>
      </w:r>
    </w:p>
    <w:p>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pPr>
        <w:pStyle w:val="Footnotesection"/>
      </w:pPr>
      <w:r>
        <w:tab/>
        <w:t>[Section 20 amended by No. 37 of 2011 s. 24 and 53(1).]</w:t>
      </w:r>
    </w:p>
    <w:p>
      <w:pPr>
        <w:pStyle w:val="Heading5"/>
        <w:rPr>
          <w:snapToGrid w:val="0"/>
        </w:rPr>
      </w:pPr>
      <w:bookmarkStart w:id="52" w:name="_Toc377111962"/>
      <w:r>
        <w:rPr>
          <w:rStyle w:val="CharSectno"/>
        </w:rPr>
        <w:t>21</w:t>
      </w:r>
      <w:r>
        <w:rPr>
          <w:snapToGrid w:val="0"/>
        </w:rPr>
        <w:t>.</w:t>
      </w:r>
      <w:r>
        <w:rPr>
          <w:snapToGrid w:val="0"/>
        </w:rPr>
        <w:tab/>
        <w:t>Other staff</w:t>
      </w:r>
      <w:bookmarkEnd w:id="52"/>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pPr>
        <w:pStyle w:val="Footnotesection"/>
      </w:pPr>
      <w:r>
        <w:tab/>
        <w:t>[Section 21 amended by No. 20 of 2002 s. 27; No. 37 of 2011 s. 53(1); amended in Gazette 15 Aug 2003 p. 3692.]</w:t>
      </w:r>
    </w:p>
    <w:p>
      <w:pPr>
        <w:pStyle w:val="Heading5"/>
        <w:rPr>
          <w:snapToGrid w:val="0"/>
        </w:rPr>
      </w:pPr>
      <w:bookmarkStart w:id="53" w:name="_Toc377111963"/>
      <w:r>
        <w:rPr>
          <w:rStyle w:val="CharSectno"/>
        </w:rPr>
        <w:t>22</w:t>
      </w:r>
      <w:r>
        <w:rPr>
          <w:snapToGrid w:val="0"/>
        </w:rPr>
        <w:t>.</w:t>
      </w:r>
      <w:r>
        <w:rPr>
          <w:snapToGrid w:val="0"/>
        </w:rPr>
        <w:tab/>
        <w:t>Use of other government staff etc.</w:t>
      </w:r>
      <w:bookmarkEnd w:id="53"/>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pPr>
        <w:pStyle w:val="Footnotesection"/>
      </w:pPr>
      <w:r>
        <w:tab/>
        <w:t>[Section 22 amended by No. 37 of 2011 s. 25 and 53(1).]</w:t>
      </w:r>
    </w:p>
    <w:p>
      <w:pPr>
        <w:pStyle w:val="Heading2"/>
      </w:pPr>
      <w:bookmarkStart w:id="54" w:name="_Toc377111964"/>
      <w:r>
        <w:rPr>
          <w:rStyle w:val="CharPartNo"/>
        </w:rPr>
        <w:t>Part 5</w:t>
      </w:r>
      <w:r>
        <w:rPr>
          <w:rStyle w:val="CharDivNo"/>
        </w:rPr>
        <w:t> </w:t>
      </w:r>
      <w:r>
        <w:t>—</w:t>
      </w:r>
      <w:r>
        <w:rPr>
          <w:rStyle w:val="CharDivText"/>
        </w:rPr>
        <w:t> </w:t>
      </w:r>
      <w:r>
        <w:rPr>
          <w:rStyle w:val="CharPartText"/>
        </w:rPr>
        <w:t>Financial provisions</w:t>
      </w:r>
      <w:bookmarkEnd w:id="54"/>
      <w:r>
        <w:rPr>
          <w:rStyle w:val="CharPartText"/>
        </w:rPr>
        <w:t xml:space="preserve"> </w:t>
      </w:r>
    </w:p>
    <w:p>
      <w:pPr>
        <w:pStyle w:val="Heading5"/>
        <w:rPr>
          <w:snapToGrid w:val="0"/>
        </w:rPr>
      </w:pPr>
      <w:bookmarkStart w:id="55" w:name="_Toc377111965"/>
      <w:r>
        <w:rPr>
          <w:rStyle w:val="CharSectno"/>
        </w:rPr>
        <w:t>23</w:t>
      </w:r>
      <w:r>
        <w:rPr>
          <w:snapToGrid w:val="0"/>
        </w:rPr>
        <w:t>.</w:t>
      </w:r>
      <w:r>
        <w:rPr>
          <w:snapToGrid w:val="0"/>
        </w:rPr>
        <w:tab/>
      </w:r>
      <w:r>
        <w:t>Funds of Authority</w:t>
      </w:r>
      <w:bookmarkEnd w:id="55"/>
    </w:p>
    <w:p>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pPr>
        <w:pStyle w:val="Indenta"/>
        <w:rPr>
          <w:snapToGrid w:val="0"/>
        </w:rPr>
      </w:pPr>
      <w:r>
        <w:rPr>
          <w:snapToGrid w:val="0"/>
        </w:rPr>
        <w:tab/>
        <w:t>(a)</w:t>
      </w:r>
      <w:r>
        <w:rPr>
          <w:snapToGrid w:val="0"/>
        </w:rPr>
        <w:tab/>
        <w:t xml:space="preserve">moneys from time to time appropriated by Parliament; </w:t>
      </w:r>
      <w:r>
        <w:t>and</w:t>
      </w:r>
    </w:p>
    <w:p>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pPr>
        <w:pStyle w:val="Footnotesection"/>
      </w:pPr>
      <w:r>
        <w:tab/>
        <w:t>[Section 23 amended by No. 37 of 2011 s. 26 and 53(1).]</w:t>
      </w:r>
    </w:p>
    <w:p>
      <w:pPr>
        <w:pStyle w:val="Heading5"/>
        <w:rPr>
          <w:snapToGrid w:val="0"/>
        </w:rPr>
      </w:pPr>
      <w:bookmarkStart w:id="56" w:name="_Toc377111966"/>
      <w:r>
        <w:rPr>
          <w:rStyle w:val="CharSectno"/>
        </w:rPr>
        <w:t>24</w:t>
      </w:r>
      <w:r>
        <w:rPr>
          <w:snapToGrid w:val="0"/>
        </w:rPr>
        <w:t>.</w:t>
      </w:r>
      <w:r>
        <w:rPr>
          <w:snapToGrid w:val="0"/>
        </w:rPr>
        <w:tab/>
      </w:r>
      <w:r>
        <w:rPr>
          <w:bCs/>
        </w:rPr>
        <w:t>School Curriculum and Standards Authority Account</w:t>
      </w:r>
      <w:bookmarkEnd w:id="56"/>
    </w:p>
    <w:p>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 and</w:t>
      </w:r>
    </w:p>
    <w:p>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pPr>
        <w:pStyle w:val="Footnotesection"/>
      </w:pPr>
      <w:r>
        <w:tab/>
        <w:t>[Section 24 amended by No. 77 of 2006 Sch. 1 cl. 41(2); No. 37 of 2011 s. 27 and 53(1).]</w:t>
      </w:r>
    </w:p>
    <w:p>
      <w:pPr>
        <w:pStyle w:val="Ednotesection"/>
      </w:pPr>
      <w:r>
        <w:t>[</w:t>
      </w:r>
      <w:r>
        <w:rPr>
          <w:b/>
        </w:rPr>
        <w:t>25.</w:t>
      </w:r>
      <w:r>
        <w:tab/>
        <w:t>Deleted by No. 37 of 2011 s. 28.]</w:t>
      </w:r>
    </w:p>
    <w:p>
      <w:pPr>
        <w:pStyle w:val="Heading5"/>
        <w:rPr>
          <w:snapToGrid w:val="0"/>
        </w:rPr>
      </w:pPr>
      <w:bookmarkStart w:id="57" w:name="_Toc377111967"/>
      <w:r>
        <w:rPr>
          <w:rStyle w:val="CharSectno"/>
        </w:rPr>
        <w:t>26</w:t>
      </w:r>
      <w:r>
        <w:rPr>
          <w:snapToGrid w:val="0"/>
        </w:rPr>
        <w:t>.</w:t>
      </w:r>
      <w:r>
        <w:rPr>
          <w:snapToGrid w:val="0"/>
        </w:rPr>
        <w:tab/>
      </w:r>
      <w:r>
        <w:rPr>
          <w:bCs/>
        </w:rPr>
        <w:t>Borrowing by Authority</w:t>
      </w:r>
      <w:bookmarkEnd w:id="57"/>
    </w:p>
    <w:p>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Footnotesection"/>
      </w:pPr>
      <w:r>
        <w:tab/>
        <w:t>[Section 26 amended by No. 37 of 2011 s. 29 and 53(1).]</w:t>
      </w:r>
    </w:p>
    <w:p>
      <w:pPr>
        <w:pStyle w:val="Ednotesection"/>
      </w:pPr>
      <w:r>
        <w:t>[</w:t>
      </w:r>
      <w:r>
        <w:rPr>
          <w:b/>
        </w:rPr>
        <w:t>27, 28.</w:t>
      </w:r>
      <w:r>
        <w:tab/>
        <w:t>Deleted by No. 37 of 2011 s. 30.]</w:t>
      </w:r>
    </w:p>
    <w:p>
      <w:pPr>
        <w:pStyle w:val="Heading5"/>
        <w:rPr>
          <w:snapToGrid w:val="0"/>
        </w:rPr>
      </w:pPr>
      <w:bookmarkStart w:id="58" w:name="_Toc377111968"/>
      <w:r>
        <w:rPr>
          <w:rStyle w:val="CharSectno"/>
        </w:rP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5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29 amended by No. 77 of 2006 Sch. 1 cl. 41(3); No. 37 of 2011 s. 53(1).]</w:t>
      </w:r>
    </w:p>
    <w:p>
      <w:pPr>
        <w:pStyle w:val="Heading2"/>
      </w:pPr>
      <w:bookmarkStart w:id="59" w:name="_Toc377111969"/>
      <w:r>
        <w:rPr>
          <w:rStyle w:val="CharPartNo"/>
        </w:rPr>
        <w:t>Part 6</w:t>
      </w:r>
      <w:r>
        <w:rPr>
          <w:rStyle w:val="CharDivNo"/>
        </w:rPr>
        <w:t> </w:t>
      </w:r>
      <w:r>
        <w:t>—</w:t>
      </w:r>
      <w:r>
        <w:rPr>
          <w:rStyle w:val="CharDivText"/>
        </w:rPr>
        <w:t> </w:t>
      </w:r>
      <w:r>
        <w:rPr>
          <w:rStyle w:val="CharPartText"/>
        </w:rPr>
        <w:t>Miscellaneous</w:t>
      </w:r>
      <w:bookmarkEnd w:id="59"/>
      <w:r>
        <w:rPr>
          <w:rStyle w:val="CharPartText"/>
        </w:rPr>
        <w:t xml:space="preserve"> </w:t>
      </w:r>
    </w:p>
    <w:p>
      <w:pPr>
        <w:pStyle w:val="Heading5"/>
        <w:rPr>
          <w:snapToGrid w:val="0"/>
        </w:rPr>
      </w:pPr>
      <w:bookmarkStart w:id="60" w:name="_Toc377111970"/>
      <w:r>
        <w:rPr>
          <w:rStyle w:val="CharSectno"/>
        </w:rPr>
        <w:t>30</w:t>
      </w:r>
      <w:r>
        <w:rPr>
          <w:snapToGrid w:val="0"/>
        </w:rPr>
        <w:t>.</w:t>
      </w:r>
      <w:r>
        <w:rPr>
          <w:snapToGrid w:val="0"/>
        </w:rPr>
        <w:tab/>
        <w:t>Protection from personal liability</w:t>
      </w:r>
      <w:bookmarkEnd w:id="60"/>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30 amended by No. 37 of 2011 s. 31 and 53(1).]</w:t>
      </w:r>
    </w:p>
    <w:p>
      <w:pPr>
        <w:pStyle w:val="Heading5"/>
        <w:rPr>
          <w:snapToGrid w:val="0"/>
        </w:rPr>
      </w:pPr>
      <w:bookmarkStart w:id="61" w:name="_Toc377111971"/>
      <w:r>
        <w:rPr>
          <w:rStyle w:val="CharSectno"/>
        </w:rPr>
        <w:t>31</w:t>
      </w:r>
      <w:r>
        <w:rPr>
          <w:snapToGrid w:val="0"/>
        </w:rPr>
        <w:t>.</w:t>
      </w:r>
      <w:r>
        <w:rPr>
          <w:snapToGrid w:val="0"/>
        </w:rPr>
        <w:tab/>
      </w:r>
      <w:r>
        <w:t>Execution of documents by Authority</w:t>
      </w:r>
      <w:bookmarkEnd w:id="61"/>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pPr>
        <w:pStyle w:val="Footnotesection"/>
      </w:pPr>
      <w:r>
        <w:tab/>
        <w:t>[Section 31 amended by No. 37 of 2011 s. 32 and 53(1).]</w:t>
      </w:r>
    </w:p>
    <w:p>
      <w:pPr>
        <w:pStyle w:val="Heading5"/>
        <w:rPr>
          <w:snapToGrid w:val="0"/>
        </w:rPr>
      </w:pPr>
      <w:bookmarkStart w:id="62" w:name="_Toc377111972"/>
      <w:r>
        <w:rPr>
          <w:rStyle w:val="CharSectno"/>
        </w:rPr>
        <w:t>32</w:t>
      </w:r>
      <w:r>
        <w:rPr>
          <w:snapToGrid w:val="0"/>
        </w:rPr>
        <w:t>.</w:t>
      </w:r>
      <w:r>
        <w:rPr>
          <w:snapToGrid w:val="0"/>
        </w:rPr>
        <w:tab/>
        <w:t>Information obtained by Board etc., disclosure and use etc. of restricted</w:t>
      </w:r>
      <w:bookmarkEnd w:id="62"/>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r>
        <w:t>Board; or</w:t>
      </w:r>
    </w:p>
    <w:p>
      <w:pPr>
        <w:pStyle w:val="Indenta"/>
        <w:rPr>
          <w:snapToGrid w:val="0"/>
        </w:rPr>
      </w:pPr>
      <w:r>
        <w:rPr>
          <w:snapToGrid w:val="0"/>
        </w:rPr>
        <w:tab/>
        <w:t>(b)</w:t>
      </w:r>
      <w:r>
        <w:rPr>
          <w:snapToGrid w:val="0"/>
        </w:rPr>
        <w:tab/>
        <w:t>a member of a committee; or</w:t>
      </w:r>
    </w:p>
    <w:p>
      <w:pPr>
        <w:pStyle w:val="Indenta"/>
      </w:pPr>
      <w:r>
        <w:tab/>
        <w:t>(ca)</w:t>
      </w:r>
      <w:r>
        <w:tab/>
        <w:t>the chief executive officer; or</w:t>
      </w:r>
    </w:p>
    <w:p>
      <w:pPr>
        <w:pStyle w:val="Indenta"/>
        <w:rPr>
          <w:snapToGrid w:val="0"/>
        </w:rPr>
      </w:pPr>
      <w:r>
        <w:rPr>
          <w:snapToGrid w:val="0"/>
        </w:rPr>
        <w:tab/>
        <w:t>(c)</w:t>
      </w:r>
      <w:r>
        <w:rPr>
          <w:snapToGrid w:val="0"/>
        </w:rPr>
        <w:tab/>
        <w:t>a member of staff.</w:t>
      </w:r>
    </w:p>
    <w:p>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Subsection"/>
      </w:pPr>
      <w:r>
        <w:tab/>
        <w:t>(3)</w:t>
      </w:r>
      <w:r>
        <w:tab/>
        <w:t xml:space="preserve">In relation to information given under Part 3A to the Minister responsible for the administration of the School Education Act,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 No. 37 of 2011 s. 33.]</w:t>
      </w:r>
    </w:p>
    <w:p>
      <w:pPr>
        <w:pStyle w:val="Heading5"/>
        <w:rPr>
          <w:snapToGrid w:val="0"/>
        </w:rPr>
      </w:pPr>
      <w:bookmarkStart w:id="63" w:name="_Toc377111973"/>
      <w:r>
        <w:rPr>
          <w:rStyle w:val="CharSectno"/>
        </w:rPr>
        <w:t>33</w:t>
      </w:r>
      <w:r>
        <w:rPr>
          <w:snapToGrid w:val="0"/>
        </w:rPr>
        <w:t>.</w:t>
      </w:r>
      <w:r>
        <w:rPr>
          <w:snapToGrid w:val="0"/>
        </w:rPr>
        <w:tab/>
        <w:t>Regulations</w:t>
      </w:r>
      <w:bookmarkEnd w:id="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pPr>
        <w:pStyle w:val="Indenti"/>
        <w:rPr>
          <w:snapToGrid w:val="0"/>
        </w:rPr>
      </w:pPr>
      <w:r>
        <w:rPr>
          <w:snapToGrid w:val="0"/>
        </w:rPr>
        <w:tab/>
        <w:t>(i)</w:t>
      </w:r>
      <w:r>
        <w:rPr>
          <w:snapToGrid w:val="0"/>
        </w:rPr>
        <w:tab/>
        <w:t>the assessment of courses for purposes of certification; and</w:t>
      </w:r>
    </w:p>
    <w:p>
      <w:pPr>
        <w:pStyle w:val="Indenti"/>
        <w:rPr>
          <w:snapToGrid w:val="0"/>
        </w:rPr>
      </w:pPr>
      <w:r>
        <w:rPr>
          <w:snapToGrid w:val="0"/>
        </w:rPr>
        <w:tab/>
        <w:t>(ii)</w:t>
      </w:r>
      <w:r>
        <w:rPr>
          <w:snapToGrid w:val="0"/>
        </w:rPr>
        <w:tab/>
        <w:t xml:space="preserve">an application to the </w:t>
      </w:r>
      <w:r>
        <w:t>Authority</w:t>
      </w:r>
      <w:r>
        <w:rPr>
          <w:snapToGrid w:val="0"/>
        </w:rPr>
        <w:t>; and</w:t>
      </w:r>
    </w:p>
    <w:p>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pPr>
        <w:pStyle w:val="Indenti"/>
        <w:rPr>
          <w:snapToGrid w:val="0"/>
        </w:rPr>
      </w:pPr>
      <w:r>
        <w:rPr>
          <w:snapToGrid w:val="0"/>
        </w:rPr>
        <w:tab/>
        <w:t>(iv)</w:t>
      </w:r>
      <w:r>
        <w:rPr>
          <w:snapToGrid w:val="0"/>
        </w:rPr>
        <w:tab/>
        <w:t xml:space="preserve">the supply of services by the </w:t>
      </w:r>
      <w:r>
        <w:t>Authority</w:t>
      </w:r>
      <w:r>
        <w:rPr>
          <w:snapToGrid w:val="0"/>
        </w:rPr>
        <w:t>;</w:t>
      </w:r>
    </w:p>
    <w:p>
      <w:pPr>
        <w:pStyle w:val="Indenta"/>
        <w:rPr>
          <w:snapToGrid w:val="0"/>
        </w:rPr>
      </w:pPr>
      <w:r>
        <w:rPr>
          <w:snapToGrid w:val="0"/>
        </w:rPr>
        <w:tab/>
      </w:r>
      <w:r>
        <w:rPr>
          <w:snapToGrid w:val="0"/>
        </w:rPr>
        <w:tab/>
        <w:t>and</w:t>
      </w:r>
    </w:p>
    <w:p>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Indenti"/>
      </w:pPr>
      <w:r>
        <w:tab/>
        <w:t>(i)</w:t>
      </w:r>
      <w:r>
        <w:tab/>
        <w:t>enrolment for external assessments; and</w:t>
      </w:r>
    </w:p>
    <w:p>
      <w:pPr>
        <w:pStyle w:val="Indenti"/>
      </w:pPr>
      <w:r>
        <w:tab/>
        <w:t>(ii)</w:t>
      </w:r>
      <w:r>
        <w:tab/>
        <w:t>the designation of examination centres; and</w:t>
      </w:r>
    </w:p>
    <w:p>
      <w:pPr>
        <w:pStyle w:val="Indenti"/>
      </w:pPr>
      <w:r>
        <w:tab/>
        <w:t>(iii)</w:t>
      </w:r>
      <w:r>
        <w:tab/>
        <w:t>the appointment of supervisors of external assessments; and</w:t>
      </w:r>
    </w:p>
    <w:p>
      <w:pPr>
        <w:pStyle w:val="Indenti"/>
      </w:pPr>
      <w:r>
        <w:tab/>
        <w:t>(iv)</w:t>
      </w:r>
      <w:r>
        <w:tab/>
        <w:t>requirements for people undertaking or proposing to undertake external assessments (</w:t>
      </w:r>
      <w:r>
        <w:rPr>
          <w:rStyle w:val="CharDefText"/>
        </w:rPr>
        <w:t>candidates</w:t>
      </w:r>
      <w:r>
        <w:t>) to produce identification documents; and</w:t>
      </w:r>
    </w:p>
    <w:p>
      <w:pPr>
        <w:pStyle w:val="Indenti"/>
      </w:pPr>
      <w:r>
        <w:tab/>
        <w:t>(v)</w:t>
      </w:r>
      <w:r>
        <w:tab/>
        <w:t>restrictions relating to materials that candidates may bring into examination centres and the exclusion from examination centres of candidates who do not comply with those restrictions; and</w:t>
      </w:r>
    </w:p>
    <w:p>
      <w:pPr>
        <w:pStyle w:val="Indenti"/>
      </w:pPr>
      <w:r>
        <w:tab/>
        <w:t>(vi)</w:t>
      </w:r>
      <w:r>
        <w:tab/>
        <w:t>the inspection by supervisors of materials brought into examination centres by candidates; and</w:t>
      </w:r>
    </w:p>
    <w:p>
      <w:pPr>
        <w:pStyle w:val="Indenti"/>
      </w:pPr>
      <w:r>
        <w:tab/>
        <w:t>(vii)</w:t>
      </w:r>
      <w:r>
        <w:tab/>
        <w:t>restrictions relating to the consumption of food and drinks by candidates during external assessments; and</w:t>
      </w:r>
    </w:p>
    <w:p>
      <w:pPr>
        <w:pStyle w:val="Indenti"/>
      </w:pPr>
      <w:r>
        <w:tab/>
        <w:t>(viii)</w:t>
      </w:r>
      <w:r>
        <w:tab/>
        <w:t>special arrangements for candidates with disabilities or suffering illness, injury or other impairment; and</w:t>
      </w:r>
    </w:p>
    <w:p>
      <w:pPr>
        <w:pStyle w:val="Indenti"/>
      </w:pPr>
      <w:r>
        <w:tab/>
        <w:t>(ix)</w:t>
      </w:r>
      <w:r>
        <w:tab/>
        <w:t>requirements for candidates suffering illness, injury or other impairment to provide to the Authority a medical certificate, statutory declaration or other evidence of that illness, injury or impairment; and</w:t>
      </w:r>
    </w:p>
    <w:p>
      <w:pPr>
        <w:pStyle w:val="Indenti"/>
      </w:pPr>
      <w:r>
        <w:tab/>
        <w:t>(x)</w:t>
      </w:r>
      <w:r>
        <w:tab/>
        <w:t>requirements relating to the conduct of candidates during external assessments; and</w:t>
      </w:r>
    </w:p>
    <w:p>
      <w:pPr>
        <w:pStyle w:val="Indenti"/>
      </w:pPr>
      <w:r>
        <w:tab/>
        <w:t>(xi)</w:t>
      </w:r>
      <w:r>
        <w:tab/>
        <w:t>the disqualification of, or other disciplinary action that the Authority may take in respect of, candidates who engage in fraud, collusion or other misconduct during external assessments; and</w:t>
      </w:r>
    </w:p>
    <w:p>
      <w:pPr>
        <w:pStyle w:val="Indenti"/>
      </w:pPr>
      <w:r>
        <w:tab/>
        <w:t>(xii)</w:t>
      </w:r>
      <w:r>
        <w:tab/>
        <w:t>appeals by candidates who are subject to disqualification or other disciplinary action taken by the Authority; and</w:t>
      </w:r>
    </w:p>
    <w:p>
      <w:pPr>
        <w:pStyle w:val="Indenti"/>
      </w:pPr>
      <w:r>
        <w:tab/>
        <w:t>(xiii)</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49; No. 37 of 2011 s. 34 and 53(1).]</w:t>
      </w:r>
    </w:p>
    <w:p>
      <w:pPr>
        <w:pStyle w:val="Ednotesection"/>
      </w:pPr>
      <w:r>
        <w:t>[</w:t>
      </w:r>
      <w:r>
        <w:rPr>
          <w:b/>
        </w:rPr>
        <w:t>34.</w:t>
      </w:r>
      <w:r>
        <w:tab/>
        <w:t>Deleted by No. 37 of 2011 s. 35.]</w:t>
      </w:r>
    </w:p>
    <w:p>
      <w:pPr>
        <w:pStyle w:val="Ednotesection"/>
      </w:pPr>
      <w:r>
        <w:t>[</w:t>
      </w:r>
      <w:r>
        <w:rPr>
          <w:b/>
        </w:rPr>
        <w:t>35.</w:t>
      </w:r>
      <w:r>
        <w:tab/>
        <w:t>Omitted under the Reprints Act 1984 s. 7(4)(e).]</w:t>
      </w:r>
    </w:p>
    <w:p>
      <w:pPr>
        <w:pStyle w:val="Heading5"/>
        <w:rPr>
          <w:snapToGrid w:val="0"/>
        </w:rPr>
      </w:pPr>
      <w:bookmarkStart w:id="64" w:name="_Toc377111974"/>
      <w:r>
        <w:rPr>
          <w:rStyle w:val="CharSectno"/>
        </w:rPr>
        <w:t>36</w:t>
      </w:r>
      <w:r>
        <w:rPr>
          <w:snapToGrid w:val="0"/>
        </w:rPr>
        <w:t>.</w:t>
      </w:r>
      <w:r>
        <w:rPr>
          <w:snapToGrid w:val="0"/>
        </w:rPr>
        <w:tab/>
        <w:t>Review of Act</w:t>
      </w:r>
      <w:bookmarkEnd w:id="64"/>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r>
        <w:rPr>
          <w:vertAlign w:val="superscript"/>
        </w:rPr>
        <w:t> 1</w:t>
      </w:r>
      <w:r>
        <w: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r>
        <w:t>Authority</w:t>
      </w:r>
      <w:r>
        <w:rPr>
          <w:snapToGrid w:val="0"/>
        </w:rPr>
        <w:t>; and</w:t>
      </w:r>
    </w:p>
    <w:p>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36 amended by No. 37 of 2011 s. 36 and 53(1).]</w:t>
      </w:r>
    </w:p>
    <w:p>
      <w:pPr>
        <w:pStyle w:val="Heading2"/>
      </w:pPr>
      <w:bookmarkStart w:id="65" w:name="_Toc377111975"/>
      <w:r>
        <w:rPr>
          <w:rStyle w:val="CharPartNo"/>
        </w:rPr>
        <w:t>Part 7</w:t>
      </w:r>
      <w:r>
        <w:rPr>
          <w:rStyle w:val="CharDivNo"/>
        </w:rPr>
        <w:t> </w:t>
      </w:r>
      <w:r>
        <w:t>—</w:t>
      </w:r>
      <w:r>
        <w:rPr>
          <w:rStyle w:val="CharDivText"/>
        </w:rPr>
        <w:t> </w:t>
      </w:r>
      <w:r>
        <w:rPr>
          <w:rStyle w:val="CharPartText"/>
        </w:rPr>
        <w:t>Transitional provisions</w:t>
      </w:r>
      <w:bookmarkEnd w:id="65"/>
    </w:p>
    <w:p>
      <w:pPr>
        <w:pStyle w:val="Footnoteheading"/>
      </w:pPr>
      <w:r>
        <w:tab/>
        <w:t>[Heading inserted by No. 37 of 2011 s. 37.]</w:t>
      </w:r>
    </w:p>
    <w:p>
      <w:pPr>
        <w:pStyle w:val="Heading5"/>
      </w:pPr>
      <w:bookmarkStart w:id="66" w:name="_Toc377111976"/>
      <w:r>
        <w:rPr>
          <w:rStyle w:val="CharSectno"/>
        </w:rPr>
        <w:t>37</w:t>
      </w:r>
      <w:r>
        <w:t>.</w:t>
      </w:r>
      <w:r>
        <w:tab/>
        <w:t>Terms used</w:t>
      </w:r>
      <w:bookmarkEnd w:id="66"/>
    </w:p>
    <w:p>
      <w:pPr>
        <w:pStyle w:val="Subsection"/>
      </w:pPr>
      <w:r>
        <w:tab/>
      </w:r>
      <w:r>
        <w:tab/>
        <w:t xml:space="preserve">In this Part — </w:t>
      </w:r>
    </w:p>
    <w:p>
      <w:pPr>
        <w:pStyle w:val="Defstart"/>
      </w:pPr>
      <w:r>
        <w:tab/>
      </w:r>
      <w:r>
        <w:rPr>
          <w:rStyle w:val="CharDefText"/>
        </w:rPr>
        <w:t>assets</w:t>
      </w:r>
      <w:r>
        <w:t xml:space="preserve"> — </w:t>
      </w:r>
    </w:p>
    <w:p>
      <w:pPr>
        <w:pStyle w:val="Defpara"/>
      </w:pPr>
      <w:r>
        <w:tab/>
        <w:t>(a)</w:t>
      </w:r>
      <w:r>
        <w:tab/>
        <w:t>means 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r>
        <w:rPr>
          <w:vertAlign w:val="superscript"/>
        </w:rPr>
        <w:t> 1</w:t>
      </w:r>
      <w:r>
        <w:t>;</w:t>
      </w:r>
    </w:p>
    <w:p>
      <w:pPr>
        <w:pStyle w:val="Defstart"/>
      </w:pPr>
      <w:r>
        <w:tab/>
      </w:r>
      <w:r>
        <w:rPr>
          <w:rStyle w:val="CharDefText"/>
        </w:rPr>
        <w:t>Council</w:t>
      </w:r>
      <w:r>
        <w:t xml:space="preserve"> means the Curriculum Council under this Act as in force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Footnotesection"/>
      </w:pPr>
      <w:r>
        <w:tab/>
        <w:t>[Section 37 inserted by No. 37 of 2011 s. 37.]</w:t>
      </w:r>
    </w:p>
    <w:p>
      <w:pPr>
        <w:pStyle w:val="Heading5"/>
      </w:pPr>
      <w:bookmarkStart w:id="67" w:name="_Toc377111977"/>
      <w:r>
        <w:rPr>
          <w:rStyle w:val="CharSectno"/>
        </w:rPr>
        <w:t>38</w:t>
      </w:r>
      <w:r>
        <w:t>.</w:t>
      </w:r>
      <w:r>
        <w:rPr>
          <w:b w:val="0"/>
        </w:rPr>
        <w:tab/>
      </w:r>
      <w:r>
        <w:t>Curriculum Council abolished on 1 Mar 2012</w:t>
      </w:r>
      <w:bookmarkEnd w:id="67"/>
    </w:p>
    <w:p>
      <w:pPr>
        <w:pStyle w:val="Subsection"/>
      </w:pPr>
      <w:r>
        <w:tab/>
      </w:r>
      <w:r>
        <w:tab/>
        <w:t>At the beginning of the commencement day the Council is abolished and its members go out of office.</w:t>
      </w:r>
    </w:p>
    <w:p>
      <w:pPr>
        <w:pStyle w:val="Footnotesection"/>
      </w:pPr>
      <w:r>
        <w:tab/>
        <w:t>[Section 38 inserted by No. 37 of 2011 s. 37.]</w:t>
      </w:r>
    </w:p>
    <w:p>
      <w:pPr>
        <w:pStyle w:val="Heading5"/>
      </w:pPr>
      <w:bookmarkStart w:id="68" w:name="_Toc377111978"/>
      <w:r>
        <w:rPr>
          <w:rStyle w:val="CharSectno"/>
        </w:rPr>
        <w:t>39</w:t>
      </w:r>
      <w:r>
        <w:t>.</w:t>
      </w:r>
      <w:r>
        <w:rPr>
          <w:b w:val="0"/>
        </w:rPr>
        <w:tab/>
      </w:r>
      <w:r>
        <w:t>Devolution of Council’s assets, liabilities etc.</w:t>
      </w:r>
      <w:bookmarkEnd w:id="68"/>
    </w:p>
    <w:p>
      <w:pPr>
        <w:pStyle w:val="Subsection"/>
      </w:pPr>
      <w:r>
        <w:tab/>
        <w:t>(1)</w:t>
      </w:r>
      <w:r>
        <w:tab/>
        <w:t xml:space="preserve">On the commencement day — </w:t>
      </w:r>
    </w:p>
    <w:p>
      <w:pPr>
        <w:pStyle w:val="Indenta"/>
      </w:pPr>
      <w:r>
        <w:tab/>
        <w:t>(a)</w:t>
      </w:r>
      <w:r>
        <w:tab/>
        <w:t>the assets and rights of the Council that were immediately before that day vested in the Council vest in the Authority by force of this section; and</w:t>
      </w:r>
    </w:p>
    <w:p>
      <w:pPr>
        <w:pStyle w:val="Indenta"/>
      </w:pPr>
      <w:r>
        <w:tab/>
        <w:t>(b)</w:t>
      </w:r>
      <w:r>
        <w:tab/>
        <w:t>the liabilities of the Council immediately before that day become, by force of this section, the liabilities of the Authority.</w:t>
      </w:r>
    </w:p>
    <w:p>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Footnotesection"/>
      </w:pPr>
      <w:r>
        <w:tab/>
        <w:t>[Section 39 inserted by No. 37 of 2011 s. 37.]</w:t>
      </w:r>
    </w:p>
    <w:p>
      <w:pPr>
        <w:pStyle w:val="Heading5"/>
      </w:pPr>
      <w:bookmarkStart w:id="69" w:name="_Toc377111979"/>
      <w:r>
        <w:rPr>
          <w:rStyle w:val="CharSectno"/>
        </w:rPr>
        <w:t>40</w:t>
      </w:r>
      <w:r>
        <w:t>.</w:t>
      </w:r>
      <w:r>
        <w:rPr>
          <w:b w:val="0"/>
        </w:rPr>
        <w:tab/>
      </w:r>
      <w:r>
        <w:t>Chief executive officer of Council continues in office</w:t>
      </w:r>
      <w:bookmarkEnd w:id="69"/>
    </w:p>
    <w:p>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Footnotesection"/>
      </w:pPr>
      <w:r>
        <w:tab/>
        <w:t>[Section 40 inserted by No. 37 of 2011 s. 37.]</w:t>
      </w:r>
    </w:p>
    <w:p>
      <w:pPr>
        <w:pStyle w:val="Heading5"/>
      </w:pPr>
      <w:bookmarkStart w:id="70" w:name="_Toc377111980"/>
      <w:r>
        <w:rPr>
          <w:rStyle w:val="CharSectno"/>
        </w:rPr>
        <w:t>41</w:t>
      </w:r>
      <w:r>
        <w:t>.</w:t>
      </w:r>
      <w:r>
        <w:rPr>
          <w:b w:val="0"/>
        </w:rPr>
        <w:tab/>
      </w:r>
      <w:r>
        <w:t>Transfer of members of staff to Authority</w:t>
      </w:r>
      <w:bookmarkEnd w:id="70"/>
    </w:p>
    <w:p>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Subsection"/>
      </w:pPr>
      <w:r>
        <w:tab/>
        <w:t>(4)</w:t>
      </w:r>
      <w:r>
        <w:tab/>
        <w:t>Nothing in this section prevents the exercise by the Authority on and after the commencement day of its powers in relation to the management of the members of staff of the Authority.</w:t>
      </w:r>
    </w:p>
    <w:p>
      <w:pPr>
        <w:pStyle w:val="Footnotesection"/>
      </w:pPr>
      <w:r>
        <w:tab/>
        <w:t>[Section 41 inserted by No. 37 of 2011 s. 37.]</w:t>
      </w:r>
    </w:p>
    <w:p>
      <w:pPr>
        <w:pStyle w:val="Heading5"/>
      </w:pPr>
      <w:bookmarkStart w:id="71" w:name="_Toc377111981"/>
      <w:r>
        <w:rPr>
          <w:rStyle w:val="CharSectno"/>
        </w:rPr>
        <w:t>42</w:t>
      </w:r>
      <w:r>
        <w:t>.</w:t>
      </w:r>
      <w:r>
        <w:rPr>
          <w:b w:val="0"/>
        </w:rPr>
        <w:tab/>
      </w:r>
      <w:r>
        <w:t>Employees’ rights preserved</w:t>
      </w:r>
      <w:bookmarkEnd w:id="71"/>
    </w:p>
    <w:p>
      <w:pPr>
        <w:pStyle w:val="Subsection"/>
      </w:pPr>
      <w:r>
        <w:tab/>
      </w:r>
      <w:r>
        <w:tab/>
        <w:t xml:space="preserve">Except as otherwise agreed by an employee, the operation of section 41 does not — </w:t>
      </w:r>
    </w:p>
    <w:p>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Footnotesection"/>
      </w:pPr>
      <w:r>
        <w:tab/>
        <w:t>[Section 42 inserted by No. 37 of 2011 s. 37.]</w:t>
      </w:r>
    </w:p>
    <w:p>
      <w:pPr>
        <w:pStyle w:val="Heading5"/>
      </w:pPr>
      <w:bookmarkStart w:id="72" w:name="_Toc377111982"/>
      <w:r>
        <w:rPr>
          <w:rStyle w:val="CharSectno"/>
        </w:rPr>
        <w:t>43</w:t>
      </w:r>
      <w:r>
        <w:t>.</w:t>
      </w:r>
      <w:r>
        <w:rPr>
          <w:b w:val="0"/>
        </w:rPr>
        <w:tab/>
      </w:r>
      <w:r>
        <w:t>Curriculum Council Account</w:t>
      </w:r>
      <w:bookmarkEnd w:id="72"/>
    </w:p>
    <w:p>
      <w:pPr>
        <w:pStyle w:val="Subsection"/>
      </w:pPr>
      <w:r>
        <w:tab/>
      </w:r>
      <w:r>
        <w:tab/>
        <w:t>The Curriculum Council Account established under section 24, as in force before the commencement day, continues to operate under that section as the School Curriculum and Standards Authority Account.</w:t>
      </w:r>
    </w:p>
    <w:p>
      <w:pPr>
        <w:pStyle w:val="Footnotesection"/>
      </w:pPr>
      <w:r>
        <w:tab/>
        <w:t>[Section 43 inserted by No. 37 of 2011 s. 37.]</w:t>
      </w:r>
    </w:p>
    <w:p>
      <w:pPr>
        <w:pStyle w:val="Heading5"/>
        <w:spacing w:before="280"/>
      </w:pPr>
      <w:bookmarkStart w:id="73" w:name="_Toc377111983"/>
      <w:r>
        <w:rPr>
          <w:rStyle w:val="CharSectno"/>
        </w:rPr>
        <w:t>44</w:t>
      </w:r>
      <w:r>
        <w:t>.</w:t>
      </w:r>
      <w:r>
        <w:rPr>
          <w:b w:val="0"/>
        </w:rPr>
        <w:tab/>
      </w:r>
      <w:r>
        <w:t>Completion of things commenced</w:t>
      </w:r>
      <w:bookmarkEnd w:id="73"/>
    </w:p>
    <w:p>
      <w:pPr>
        <w:pStyle w:val="Subsection"/>
      </w:pPr>
      <w:r>
        <w:tab/>
      </w:r>
      <w:r>
        <w:tab/>
        <w:t>Anything commenced to be done by the Council before the commencement day may be continued by the Authority so far as the doing of that thing is within the functions of the Authority.</w:t>
      </w:r>
    </w:p>
    <w:p>
      <w:pPr>
        <w:pStyle w:val="Footnotesection"/>
      </w:pPr>
      <w:r>
        <w:tab/>
        <w:t>[Section 44 inserted by No. 37 of 2011 s. 37.]</w:t>
      </w:r>
    </w:p>
    <w:p>
      <w:pPr>
        <w:pStyle w:val="Heading5"/>
        <w:spacing w:before="280"/>
      </w:pPr>
      <w:bookmarkStart w:id="74" w:name="_Toc377111984"/>
      <w:r>
        <w:rPr>
          <w:rStyle w:val="CharSectno"/>
        </w:rPr>
        <w:t>45</w:t>
      </w:r>
      <w:r>
        <w:t>.</w:t>
      </w:r>
      <w:r>
        <w:rPr>
          <w:b w:val="0"/>
        </w:rPr>
        <w:tab/>
      </w:r>
      <w:r>
        <w:t>Continuing effect of things done</w:t>
      </w:r>
      <w:bookmarkEnd w:id="74"/>
    </w:p>
    <w:p>
      <w:pPr>
        <w:pStyle w:val="Subsection"/>
      </w:pPr>
      <w:r>
        <w:tab/>
      </w:r>
      <w:r>
        <w:tab/>
        <w:t xml:space="preserve">Any act, matter or thing done or omitted to be done before the commencement day by, to or in respect of the Council, to the extent that the act, matter or thing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Authority so far as the act, matter or thing is relevant to the Authority.</w:t>
      </w:r>
    </w:p>
    <w:p>
      <w:pPr>
        <w:pStyle w:val="Footnotesection"/>
      </w:pPr>
      <w:r>
        <w:tab/>
        <w:t>[Section 45 inserted by No. 37 of 2011 s. 37.]</w:t>
      </w:r>
    </w:p>
    <w:p>
      <w:pPr>
        <w:pStyle w:val="Heading5"/>
        <w:spacing w:before="280"/>
      </w:pPr>
      <w:bookmarkStart w:id="75" w:name="_Toc377111985"/>
      <w:r>
        <w:rPr>
          <w:rStyle w:val="CharSectno"/>
        </w:rPr>
        <w:t>46</w:t>
      </w:r>
      <w:r>
        <w:t>.</w:t>
      </w:r>
      <w:r>
        <w:rPr>
          <w:b w:val="0"/>
        </w:rPr>
        <w:tab/>
      </w:r>
      <w:r>
        <w:t>Exemption from State taxes</w:t>
      </w:r>
      <w:bookmarkEnd w:id="75"/>
    </w:p>
    <w:p>
      <w:pPr>
        <w:pStyle w:val="Subsection"/>
      </w:pPr>
      <w:r>
        <w:tab/>
        <w:t>(1)</w:t>
      </w:r>
      <w:r>
        <w:tab/>
        <w:t xml:space="preserve">In this section — </w:t>
      </w:r>
    </w:p>
    <w:p>
      <w:pPr>
        <w:pStyle w:val="Defstart"/>
      </w:pPr>
      <w:r>
        <w:tab/>
      </w:r>
      <w:r>
        <w:rPr>
          <w:rStyle w:val="CharDefText"/>
        </w:rPr>
        <w:t>State tax</w:t>
      </w:r>
      <w:r>
        <w:t xml:space="preserve"> includes duty under the </w:t>
      </w:r>
      <w:r>
        <w:rPr>
          <w:i/>
          <w:iCs/>
        </w:rPr>
        <w:t>Duties Act 2008</w:t>
      </w:r>
      <w:r>
        <w:t xml:space="preserve"> and any other tax under a written law.</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Footnotesection"/>
      </w:pPr>
      <w:r>
        <w:tab/>
        <w:t>[Section 46 inserted by No. 37 of 2011 s. 37.]</w:t>
      </w:r>
    </w:p>
    <w:p>
      <w:pPr>
        <w:pStyle w:val="Heading5"/>
      </w:pPr>
      <w:bookmarkStart w:id="76" w:name="_Toc377111986"/>
      <w:r>
        <w:rPr>
          <w:rStyle w:val="CharSectno"/>
        </w:rPr>
        <w:t>47</w:t>
      </w:r>
      <w:r>
        <w:t>.</w:t>
      </w:r>
      <w:r>
        <w:rPr>
          <w:b w:val="0"/>
        </w:rPr>
        <w:tab/>
      </w:r>
      <w:r>
        <w:t>Agreements and instruments generally</w:t>
      </w:r>
      <w:bookmarkEnd w:id="76"/>
    </w:p>
    <w:p>
      <w:pPr>
        <w:pStyle w:val="Subsection"/>
      </w:pPr>
      <w:r>
        <w:tab/>
      </w:r>
      <w:r>
        <w:tab/>
        <w:t xml:space="preserve">Any agreement or instrument subsisting immediately before the commencement day — </w:t>
      </w:r>
    </w:p>
    <w:p>
      <w:pPr>
        <w:pStyle w:val="Indenta"/>
      </w:pPr>
      <w:r>
        <w:tab/>
        <w:t>(a)</w:t>
      </w:r>
      <w:r>
        <w:tab/>
        <w:t>to which the Council was a party; or</w:t>
      </w:r>
    </w:p>
    <w:p>
      <w:pPr>
        <w:pStyle w:val="Indenta"/>
      </w:pPr>
      <w:r>
        <w:tab/>
        <w:t>(b)</w:t>
      </w:r>
      <w:r>
        <w:tab/>
        <w:t>that contains a reference to the Council,</w:t>
      </w:r>
    </w:p>
    <w:p>
      <w:pPr>
        <w:pStyle w:val="Subsection"/>
      </w:pPr>
      <w:r>
        <w:tab/>
      </w:r>
      <w:r>
        <w:tab/>
        <w:t xml:space="preserve">has effect on and after the commencement day as if — </w:t>
      </w:r>
    </w:p>
    <w:p>
      <w:pPr>
        <w:pStyle w:val="Indenta"/>
      </w:pPr>
      <w:r>
        <w:tab/>
        <w:t>(c)</w:t>
      </w:r>
      <w:r>
        <w:tab/>
        <w:t>the Authority were substituted for the Council as a party to the agreement or instrument; and</w:t>
      </w:r>
    </w:p>
    <w:p>
      <w:pPr>
        <w:pStyle w:val="Indenta"/>
      </w:pPr>
      <w:r>
        <w:tab/>
        <w:t>(d)</w:t>
      </w:r>
      <w:r>
        <w:tab/>
        <w:t>any reference in the agreement or instrument to the Council were (unless the context otherwise requires) amended to be or include a reference to the Authority.</w:t>
      </w:r>
    </w:p>
    <w:p>
      <w:pPr>
        <w:pStyle w:val="Footnotesection"/>
      </w:pPr>
      <w:r>
        <w:tab/>
        <w:t>[Section 47 inserted by No. 37 of 2011 s. 37.]</w:t>
      </w:r>
    </w:p>
    <w:p>
      <w:pPr>
        <w:pStyle w:val="Heading5"/>
      </w:pPr>
      <w:bookmarkStart w:id="77" w:name="_Toc377111987"/>
      <w:r>
        <w:rPr>
          <w:rStyle w:val="CharSectno"/>
        </w:rPr>
        <w:t>48</w:t>
      </w:r>
      <w:r>
        <w:t>.</w:t>
      </w:r>
      <w:r>
        <w:rPr>
          <w:b w:val="0"/>
        </w:rPr>
        <w:tab/>
      </w:r>
      <w:r>
        <w:t>Immunity continues</w:t>
      </w:r>
      <w:bookmarkEnd w:id="77"/>
    </w:p>
    <w:p>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Footnotesection"/>
      </w:pPr>
      <w:r>
        <w:tab/>
        <w:t>[Section 48 inserted by No. 37 of 2011 s. 37.]</w:t>
      </w:r>
    </w:p>
    <w:p>
      <w:pPr>
        <w:pStyle w:val="Heading5"/>
      </w:pPr>
      <w:bookmarkStart w:id="78" w:name="_Toc377111988"/>
      <w:r>
        <w:rPr>
          <w:rStyle w:val="CharSectno"/>
        </w:rPr>
        <w:t>49</w:t>
      </w:r>
      <w:r>
        <w:t>.</w:t>
      </w:r>
      <w:r>
        <w:rPr>
          <w:b w:val="0"/>
        </w:rPr>
        <w:tab/>
      </w:r>
      <w:r>
        <w:t>Duty of confidentiality continues to apply to members of the Council</w:t>
      </w:r>
      <w:bookmarkEnd w:id="78"/>
    </w:p>
    <w:p>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Footnotesection"/>
      </w:pPr>
      <w:r>
        <w:tab/>
        <w:t>[Section 49 inserted by No. 37 of 2011 s. 37.]</w:t>
      </w:r>
    </w:p>
    <w:p>
      <w:pPr>
        <w:pStyle w:val="Heading5"/>
      </w:pPr>
      <w:bookmarkStart w:id="79" w:name="_Toc377111989"/>
      <w:r>
        <w:rPr>
          <w:rStyle w:val="CharSectno"/>
        </w:rPr>
        <w:t>50</w:t>
      </w:r>
      <w:r>
        <w:t>.</w:t>
      </w:r>
      <w:r>
        <w:rPr>
          <w:b w:val="0"/>
        </w:rPr>
        <w:tab/>
      </w:r>
      <w:r>
        <w:t>Registration of documents</w:t>
      </w:r>
      <w:bookmarkEnd w:id="79"/>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 xml:space="preserve">the Minister administering the </w:t>
      </w:r>
      <w:r>
        <w:rPr>
          <w:i/>
          <w:iCs/>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provisions of this Part and are empowered to record and register in the appropriate manner the necessary documents and otherwise to give effect to this Part.</w:t>
      </w:r>
    </w:p>
    <w:p>
      <w:pPr>
        <w:pStyle w:val="Footnotesection"/>
      </w:pPr>
      <w:r>
        <w:tab/>
        <w:t>[Section 50 inserted by No. 37 of 2011 s. 37.]</w:t>
      </w:r>
    </w:p>
    <w:p>
      <w:pPr>
        <w:pStyle w:val="Heading5"/>
      </w:pPr>
      <w:bookmarkStart w:id="80" w:name="_Toc377111990"/>
      <w:r>
        <w:rPr>
          <w:rStyle w:val="CharSectno"/>
        </w:rPr>
        <w:t>51</w:t>
      </w:r>
      <w:r>
        <w:t>.</w:t>
      </w:r>
      <w:r>
        <w:rPr>
          <w:b w:val="0"/>
        </w:rPr>
        <w:tab/>
      </w:r>
      <w:r>
        <w:t>Transitional regulations</w:t>
      </w:r>
      <w:bookmarkEnd w:id="80"/>
    </w:p>
    <w:p>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Subsection"/>
      </w:pPr>
      <w:r>
        <w:tab/>
        <w:t>(3)</w:t>
      </w:r>
      <w:r>
        <w:tab/>
        <w:t xml:space="preserve">If the transitional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51 inserted by No. 37 of 2011 s. 37.]</w:t>
      </w:r>
    </w:p>
    <w:p>
      <w:pPr>
        <w:pStyle w:val="Heading5"/>
      </w:pPr>
      <w:bookmarkStart w:id="81" w:name="_Toc377111991"/>
      <w:r>
        <w:rPr>
          <w:rStyle w:val="CharSectno"/>
        </w:rPr>
        <w:t>52</w:t>
      </w:r>
      <w:r>
        <w:t>.</w:t>
      </w:r>
      <w:r>
        <w:rPr>
          <w:b w:val="0"/>
        </w:rPr>
        <w:tab/>
      </w:r>
      <w:r>
        <w:t>Saving</w:t>
      </w:r>
      <w:bookmarkEnd w:id="81"/>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52 inserted by No. 37 of 2011 s. 37.]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82" w:name="_Toc377111992"/>
      <w:r>
        <w:rPr>
          <w:rStyle w:val="CharSchNo"/>
        </w:rPr>
        <w:t>Schedule 1</w:t>
      </w:r>
      <w:r>
        <w:t> — </w:t>
      </w:r>
      <w:r>
        <w:rPr>
          <w:rStyle w:val="CharSchText"/>
        </w:rPr>
        <w:t>Provisions as to Board</w:t>
      </w:r>
      <w:bookmarkEnd w:id="82"/>
    </w:p>
    <w:p>
      <w:pPr>
        <w:pStyle w:val="yShoulderClause"/>
        <w:rPr>
          <w:snapToGrid w:val="0"/>
        </w:rPr>
      </w:pPr>
      <w:r>
        <w:rPr>
          <w:snapToGrid w:val="0"/>
        </w:rPr>
        <w:t>[s. 7]</w:t>
      </w:r>
    </w:p>
    <w:p>
      <w:pPr>
        <w:pStyle w:val="yFootnoteheading"/>
      </w:pPr>
      <w:r>
        <w:tab/>
        <w:t>[Heading amended by No. 19 of 2010 s. 4; No. 37 of 2011 s. 38.]</w:t>
      </w:r>
    </w:p>
    <w:p>
      <w:pPr>
        <w:pStyle w:val="yHeading3"/>
      </w:pPr>
      <w:bookmarkStart w:id="83" w:name="_Toc377111993"/>
      <w:r>
        <w:rPr>
          <w:rStyle w:val="CharSDivNo"/>
        </w:rPr>
        <w:t>Division 1</w:t>
      </w:r>
      <w:r>
        <w:t> — </w:t>
      </w:r>
      <w:r>
        <w:rPr>
          <w:rStyle w:val="CharSDivText"/>
        </w:rPr>
        <w:t>Provisions as to constitution and proceedings of the Board</w:t>
      </w:r>
      <w:bookmarkEnd w:id="83"/>
    </w:p>
    <w:p>
      <w:pPr>
        <w:pStyle w:val="yFootnoteheading"/>
      </w:pPr>
      <w:r>
        <w:tab/>
        <w:t>[Heading amended by No. 37 of 2011 s. 39.]</w:t>
      </w:r>
    </w:p>
    <w:p>
      <w:pPr>
        <w:pStyle w:val="yHeading5"/>
        <w:outlineLvl w:val="9"/>
      </w:pPr>
      <w:bookmarkStart w:id="84" w:name="_Toc377111994"/>
      <w:r>
        <w:rPr>
          <w:rStyle w:val="CharSClsNo"/>
        </w:rPr>
        <w:t>1</w:t>
      </w:r>
      <w:r>
        <w:t>.</w:t>
      </w:r>
      <w:r>
        <w:tab/>
        <w:t>Term of office of members</w:t>
      </w:r>
      <w:bookmarkEnd w:id="84"/>
    </w:p>
    <w:p>
      <w:pPr>
        <w:pStyle w:val="ySubsection"/>
      </w:pPr>
      <w:r>
        <w:tab/>
        <w:t>(1)</w:t>
      </w:r>
      <w:r>
        <w:tab/>
        <w:t xml:space="preserve">Subject to clause 2, a member holds office for the term that is specified in the member’s instrument of appointment, and that term is not to exceed — </w:t>
      </w:r>
    </w:p>
    <w:p>
      <w:pPr>
        <w:pStyle w:val="yIndenta"/>
      </w:pPr>
      <w:r>
        <w:tab/>
        <w:t>(a)</w:t>
      </w:r>
      <w:r>
        <w:tab/>
        <w:t>4 years; or</w:t>
      </w:r>
    </w:p>
    <w:p>
      <w:pPr>
        <w:pStyle w:val="yIndenta"/>
      </w:pPr>
      <w:r>
        <w:tab/>
        <w:t>(b)</w:t>
      </w:r>
      <w:r>
        <w:tab/>
        <w:t>in the case of the member who is the chairperson, 5 years.</w:t>
      </w:r>
    </w:p>
    <w:p>
      <w:pPr>
        <w:pStyle w:val="ySubsection"/>
      </w:pPr>
      <w:r>
        <w:tab/>
        <w:t>(2A)</w:t>
      </w:r>
      <w:r>
        <w:tab/>
        <w:t>A person’s eligibility for reappointment or the term for which a person may be reappointed is not affected by an earlier appointment.</w:t>
      </w:r>
    </w:p>
    <w:p>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pPr>
        <w:pStyle w:val="yFootnotesection"/>
      </w:pPr>
      <w:r>
        <w:tab/>
        <w:t>[Clause 1 amended by No. 37 of 2011 s. 40.]</w:t>
      </w:r>
    </w:p>
    <w:p>
      <w:pPr>
        <w:pStyle w:val="yHeading5"/>
        <w:outlineLvl w:val="9"/>
      </w:pPr>
      <w:bookmarkStart w:id="85" w:name="_Toc377111995"/>
      <w:r>
        <w:rPr>
          <w:rStyle w:val="CharSClsNo"/>
        </w:rPr>
        <w:t>2</w:t>
      </w:r>
      <w:r>
        <w:t>.</w:t>
      </w:r>
      <w:r>
        <w:tab/>
        <w:t>Resignation, removal etc. of members</w:t>
      </w:r>
      <w:bookmarkEnd w:id="85"/>
    </w:p>
    <w:p>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pPr>
      <w:r>
        <w:tab/>
        <w:t>(ca)</w:t>
      </w:r>
      <w:r>
        <w:tab/>
        <w:t>has ceased to be eligible to be appointed as a member;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 or</w:t>
      </w:r>
    </w:p>
    <w:p>
      <w:pPr>
        <w:pStyle w:val="yIndenta"/>
        <w:spacing w:before="70"/>
        <w:rPr>
          <w:snapToGrid w:val="0"/>
        </w:rPr>
      </w:pPr>
      <w:r>
        <w:rPr>
          <w:snapToGrid w:val="0"/>
        </w:rPr>
        <w:tab/>
        <w:t>(b)</w:t>
      </w:r>
      <w:r>
        <w:rPr>
          <w:snapToGrid w:val="0"/>
        </w:rPr>
        <w:tab/>
        <w:t>has misbehaved; or</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r>
        <w:tab/>
        <w:t>[Clause 2 amended by No. 10 of 2001 s. 220; No. 37 of 2011 s. 41.]</w:t>
      </w:r>
    </w:p>
    <w:p>
      <w:pPr>
        <w:pStyle w:val="yHeading5"/>
        <w:outlineLvl w:val="9"/>
      </w:pPr>
      <w:bookmarkStart w:id="86" w:name="_Toc377111996"/>
      <w:r>
        <w:rPr>
          <w:rStyle w:val="CharSClsNo"/>
        </w:rPr>
        <w:t>3</w:t>
      </w:r>
      <w:r>
        <w:t>.</w:t>
      </w:r>
      <w:r>
        <w:tab/>
        <w:t>Leave of absence for members</w:t>
      </w:r>
      <w:bookmarkEnd w:id="86"/>
    </w:p>
    <w:p>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pPr>
        <w:pStyle w:val="yFootnotesection"/>
      </w:pPr>
      <w:r>
        <w:tab/>
        <w:t>[Clause 3 amended by No. 37 of 2011 s. 42.]</w:t>
      </w:r>
    </w:p>
    <w:p>
      <w:pPr>
        <w:pStyle w:val="yHeading5"/>
        <w:outlineLvl w:val="9"/>
      </w:pPr>
      <w:bookmarkStart w:id="87" w:name="_Toc377111997"/>
      <w:r>
        <w:rPr>
          <w:rStyle w:val="CharSClsNo"/>
        </w:rPr>
        <w:t>4</w:t>
      </w:r>
      <w:r>
        <w:t>.</w:t>
      </w:r>
      <w:r>
        <w:tab/>
        <w:t>Appointed member unable to act</w:t>
      </w:r>
      <w:bookmarkEnd w:id="87"/>
      <w:r>
        <w:t xml:space="preserve"> </w:t>
      </w:r>
    </w:p>
    <w:p>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Footnotesection"/>
      </w:pPr>
      <w:r>
        <w:tab/>
        <w:t>[Clause 4 amended by No. 37 of 2011 s. 43.]</w:t>
      </w:r>
    </w:p>
    <w:p>
      <w:pPr>
        <w:pStyle w:val="yEdnotesection"/>
      </w:pPr>
      <w:r>
        <w:t>[</w:t>
      </w:r>
      <w:r>
        <w:rPr>
          <w:b/>
        </w:rPr>
        <w:t>5.</w:t>
      </w:r>
      <w:r>
        <w:tab/>
        <w:t>Deleted by No. 37 of 2011 s. 44.]</w:t>
      </w:r>
    </w:p>
    <w:p>
      <w:pPr>
        <w:pStyle w:val="yHeading5"/>
        <w:outlineLvl w:val="9"/>
      </w:pPr>
      <w:bookmarkStart w:id="88" w:name="_Toc377111998"/>
      <w:r>
        <w:rPr>
          <w:rStyle w:val="CharSClsNo"/>
        </w:rPr>
        <w:t>6</w:t>
      </w:r>
      <w:r>
        <w:t>.</w:t>
      </w:r>
      <w:r>
        <w:tab/>
        <w:t>Saving</w:t>
      </w:r>
      <w:bookmarkEnd w:id="88"/>
      <w:r>
        <w:t xml:space="preserve"> </w:t>
      </w:r>
    </w:p>
    <w:p>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pPr>
        <w:pStyle w:val="yFootnotesection"/>
      </w:pPr>
      <w:r>
        <w:tab/>
        <w:t>[Clause 6 amended by No. 37 of 2011 s. 45.]</w:t>
      </w:r>
    </w:p>
    <w:p>
      <w:pPr>
        <w:pStyle w:val="yHeading5"/>
        <w:outlineLvl w:val="9"/>
      </w:pPr>
      <w:bookmarkStart w:id="89" w:name="_Toc377111999"/>
      <w:r>
        <w:rPr>
          <w:rStyle w:val="CharSClsNo"/>
        </w:rPr>
        <w:t>7</w:t>
      </w:r>
      <w:r>
        <w:t>.</w:t>
      </w:r>
      <w:r>
        <w:tab/>
        <w:t>Meetings, convening</w:t>
      </w:r>
      <w:bookmarkEnd w:id="89"/>
    </w:p>
    <w:p>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pPr>
        <w:pStyle w:val="yFootnotesection"/>
      </w:pPr>
      <w:r>
        <w:tab/>
        <w:t>[Clause 7 amended by No. 37 of 2011 s. 53(2).]</w:t>
      </w:r>
    </w:p>
    <w:p>
      <w:pPr>
        <w:pStyle w:val="yHeading5"/>
        <w:outlineLvl w:val="9"/>
      </w:pPr>
      <w:bookmarkStart w:id="90" w:name="_Toc377112000"/>
      <w:r>
        <w:rPr>
          <w:rStyle w:val="CharSClsNo"/>
        </w:rPr>
        <w:t>8</w:t>
      </w:r>
      <w:r>
        <w:t>.</w:t>
      </w:r>
      <w:r>
        <w:tab/>
        <w:t>Presiding officer</w:t>
      </w:r>
      <w:bookmarkEnd w:id="90"/>
      <w:r>
        <w:t xml:space="preserve"> </w:t>
      </w:r>
    </w:p>
    <w:p>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pPr>
      <w:r>
        <w:tab/>
        <w:t>[Clause 8 amended by No. 37 of 2011 s. 53(2).]</w:t>
      </w:r>
    </w:p>
    <w:p>
      <w:pPr>
        <w:pStyle w:val="yHeading5"/>
        <w:outlineLvl w:val="9"/>
      </w:pPr>
      <w:bookmarkStart w:id="91" w:name="_Toc377112001"/>
      <w:r>
        <w:rPr>
          <w:rStyle w:val="CharSClsNo"/>
        </w:rPr>
        <w:t>9</w:t>
      </w:r>
      <w:r>
        <w:t>.</w:t>
      </w:r>
      <w:r>
        <w:tab/>
        <w:t>Quorum</w:t>
      </w:r>
      <w:bookmarkEnd w:id="91"/>
      <w:r>
        <w:t xml:space="preserve"> </w:t>
      </w:r>
    </w:p>
    <w:p>
      <w:pPr>
        <w:pStyle w:val="ySubsection"/>
        <w:rPr>
          <w:snapToGrid w:val="0"/>
        </w:rPr>
      </w:pPr>
      <w:r>
        <w:rPr>
          <w:snapToGrid w:val="0"/>
        </w:rPr>
        <w:tab/>
      </w:r>
      <w:r>
        <w:rPr>
          <w:snapToGrid w:val="0"/>
        </w:rPr>
        <w:tab/>
        <w:t xml:space="preserve">A quorum for a meeting of the </w:t>
      </w:r>
      <w:r>
        <w:t>Board is 5 members.</w:t>
      </w:r>
    </w:p>
    <w:p>
      <w:pPr>
        <w:pStyle w:val="yFootnotesection"/>
      </w:pPr>
      <w:r>
        <w:tab/>
        <w:t>[Clause 9 amended by No. 37 of 2011 s. 46.]</w:t>
      </w:r>
    </w:p>
    <w:p>
      <w:pPr>
        <w:pStyle w:val="yHeading5"/>
        <w:outlineLvl w:val="9"/>
      </w:pPr>
      <w:bookmarkStart w:id="92" w:name="_Toc377112002"/>
      <w:r>
        <w:rPr>
          <w:rStyle w:val="CharSClsNo"/>
        </w:rPr>
        <w:t>10</w:t>
      </w:r>
      <w:r>
        <w:t>.</w:t>
      </w:r>
      <w:r>
        <w:tab/>
        <w:t>Voting</w:t>
      </w:r>
      <w:bookmarkEnd w:id="92"/>
      <w:r>
        <w:t xml:space="preserve"> </w:t>
      </w:r>
    </w:p>
    <w:p>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pPr>
        <w:pStyle w:val="yFootnotesection"/>
      </w:pPr>
      <w:r>
        <w:tab/>
        <w:t>[Clause 10 amended by No. 37 of 2011 s. 47 and 53(2).]</w:t>
      </w:r>
    </w:p>
    <w:p>
      <w:pPr>
        <w:pStyle w:val="yHeading5"/>
        <w:outlineLvl w:val="9"/>
      </w:pPr>
      <w:bookmarkStart w:id="93" w:name="_Toc377112003"/>
      <w:r>
        <w:rPr>
          <w:rStyle w:val="CharSClsNo"/>
        </w:rPr>
        <w:t>11</w:t>
      </w:r>
      <w:r>
        <w:t>.</w:t>
      </w:r>
      <w:r>
        <w:tab/>
        <w:t>Minutes</w:t>
      </w:r>
      <w:bookmarkEnd w:id="93"/>
      <w:r>
        <w:t xml:space="preserve"> </w:t>
      </w:r>
    </w:p>
    <w:p>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pPr>
        <w:pStyle w:val="yFootnotesection"/>
      </w:pPr>
      <w:r>
        <w:tab/>
        <w:t>[Clause 11 amended by No. 37 of 2011 s. 53(2).]</w:t>
      </w:r>
    </w:p>
    <w:p>
      <w:pPr>
        <w:pStyle w:val="yHeading5"/>
        <w:outlineLvl w:val="9"/>
      </w:pPr>
      <w:bookmarkStart w:id="94" w:name="_Toc377112004"/>
      <w:r>
        <w:rPr>
          <w:rStyle w:val="CharSClsNo"/>
        </w:rPr>
        <w:t>12</w:t>
      </w:r>
      <w:r>
        <w:t>.</w:t>
      </w:r>
      <w:r>
        <w:tab/>
        <w:t>Resolution without meeting</w:t>
      </w:r>
      <w:bookmarkEnd w:id="94"/>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pPr>
        <w:pStyle w:val="yFootnotesection"/>
      </w:pPr>
      <w:r>
        <w:tab/>
        <w:t>[Clause 12 amended by No. 37 of 2011 s. 53(2).]</w:t>
      </w:r>
    </w:p>
    <w:p>
      <w:pPr>
        <w:pStyle w:val="yHeading5"/>
        <w:outlineLvl w:val="9"/>
      </w:pPr>
      <w:bookmarkStart w:id="95" w:name="_Toc377112005"/>
      <w:r>
        <w:rPr>
          <w:rStyle w:val="CharSClsNo"/>
        </w:rPr>
        <w:t>13</w:t>
      </w:r>
      <w:r>
        <w:t>.</w:t>
      </w:r>
      <w:r>
        <w:tab/>
        <w:t>Telephone or video meetings</w:t>
      </w:r>
      <w:bookmarkEnd w:id="95"/>
      <w:r>
        <w:t xml:space="preserve"> </w:t>
      </w:r>
    </w:p>
    <w:p>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pPr>
        <w:pStyle w:val="yFootnotesection"/>
      </w:pPr>
      <w:r>
        <w:tab/>
        <w:t>[Clause 13 amended by No. 37 of 2011 s. 48.]</w:t>
      </w:r>
    </w:p>
    <w:p>
      <w:pPr>
        <w:pStyle w:val="yEdnotesection"/>
      </w:pPr>
      <w:r>
        <w:t>[</w:t>
      </w:r>
      <w:r>
        <w:rPr>
          <w:b/>
        </w:rPr>
        <w:t>14.</w:t>
      </w:r>
      <w:r>
        <w:tab/>
        <w:t>Deleted by No. 37 of 2011 s. 49.]</w:t>
      </w:r>
    </w:p>
    <w:p>
      <w:pPr>
        <w:pStyle w:val="yHeading5"/>
        <w:outlineLvl w:val="9"/>
      </w:pPr>
      <w:bookmarkStart w:id="96" w:name="_Toc377112006"/>
      <w:r>
        <w:rPr>
          <w:rStyle w:val="CharSClsNo"/>
        </w:rPr>
        <w:t>15</w:t>
      </w:r>
      <w:r>
        <w:t>.</w:t>
      </w:r>
      <w:r>
        <w:tab/>
        <w:t>Board to determine own procedures</w:t>
      </w:r>
      <w:bookmarkEnd w:id="96"/>
      <w:r>
        <w:t xml:space="preserve"> </w:t>
      </w:r>
    </w:p>
    <w:p>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pPr>
        <w:pStyle w:val="yFootnotesection"/>
      </w:pPr>
      <w:r>
        <w:tab/>
        <w:t>[Clause 15 amended by No. 37 of 2011 s. 53(2).]</w:t>
      </w:r>
    </w:p>
    <w:p>
      <w:pPr>
        <w:pStyle w:val="yHeading3"/>
      </w:pPr>
      <w:bookmarkStart w:id="97" w:name="_Toc377112007"/>
      <w:r>
        <w:rPr>
          <w:rStyle w:val="CharSDivNo"/>
        </w:rPr>
        <w:t>Division 2</w:t>
      </w:r>
      <w:r>
        <w:t> — </w:t>
      </w:r>
      <w:r>
        <w:rPr>
          <w:rStyle w:val="CharSDivText"/>
        </w:rPr>
        <w:t>Disclosure of interests, etc.</w:t>
      </w:r>
      <w:bookmarkEnd w:id="97"/>
    </w:p>
    <w:p>
      <w:pPr>
        <w:pStyle w:val="yHeading5"/>
        <w:outlineLvl w:val="9"/>
      </w:pPr>
      <w:bookmarkStart w:id="98" w:name="_Toc377112008"/>
      <w:r>
        <w:rPr>
          <w:rStyle w:val="CharSClsNo"/>
        </w:rPr>
        <w:t>16</w:t>
      </w:r>
      <w:r>
        <w:t>.</w:t>
      </w:r>
      <w:r>
        <w:tab/>
        <w:t>Material personal interests to be disclosed</w:t>
      </w:r>
      <w:bookmarkEnd w:id="98"/>
    </w:p>
    <w:p>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pPr>
        <w:pStyle w:val="yPenstart"/>
      </w:pPr>
      <w:r>
        <w:tab/>
        <w:t xml:space="preserve">Penalty: </w:t>
      </w:r>
      <w:r>
        <w:rPr>
          <w:szCs w:val="22"/>
        </w:rPr>
        <w:t>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16 amended by No. 50 of 2003 s. 53(2); No. 37 of 2011 s. 50.]</w:t>
      </w:r>
    </w:p>
    <w:p>
      <w:pPr>
        <w:pStyle w:val="yHeading5"/>
        <w:outlineLvl w:val="9"/>
      </w:pPr>
      <w:bookmarkStart w:id="99" w:name="_Toc377112009"/>
      <w:r>
        <w:rPr>
          <w:rStyle w:val="CharSClsNo"/>
        </w:rPr>
        <w:t>17</w:t>
      </w:r>
      <w:r>
        <w:t>.</w:t>
      </w:r>
      <w:r>
        <w:tab/>
        <w:t>Member with material personal interest not to vote etc.</w:t>
      </w:r>
      <w:bookmarkEnd w:id="99"/>
    </w:p>
    <w:p>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pPr>
      <w:r>
        <w:tab/>
        <w:t>[Clause 17 amended by No. 37 of 2011 s. 51.]</w:t>
      </w:r>
    </w:p>
    <w:p>
      <w:pPr>
        <w:pStyle w:val="yHeading5"/>
        <w:outlineLvl w:val="9"/>
      </w:pPr>
      <w:bookmarkStart w:id="100" w:name="_Toc377112010"/>
      <w:r>
        <w:rPr>
          <w:rStyle w:val="CharSClsNo"/>
        </w:rPr>
        <w:t>18</w:t>
      </w:r>
      <w:r>
        <w:t>.</w:t>
      </w:r>
      <w:r>
        <w:tab/>
        <w:t>Board may disapply cl. 17</w:t>
      </w:r>
      <w:bookmarkEnd w:id="100"/>
      <w:r>
        <w:t xml:space="preserve"> </w:t>
      </w:r>
    </w:p>
    <w:p>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pPr>
      <w:r>
        <w:tab/>
        <w:t>[Clause 18 amended by No. 37 of 2011 s. 53(2).]</w:t>
      </w:r>
    </w:p>
    <w:p>
      <w:pPr>
        <w:pStyle w:val="yHeading5"/>
        <w:outlineLvl w:val="9"/>
      </w:pPr>
      <w:bookmarkStart w:id="101" w:name="_Toc377112011"/>
      <w:r>
        <w:rPr>
          <w:rStyle w:val="CharSClsNo"/>
        </w:rPr>
        <w:t>19</w:t>
      </w:r>
      <w:r>
        <w:t>.</w:t>
      </w:r>
      <w:r>
        <w:tab/>
        <w:t>Quorum where cl. 17 applies</w:t>
      </w:r>
      <w:bookmarkEnd w:id="101"/>
      <w:r>
        <w:t xml:space="preserve"> </w:t>
      </w:r>
    </w:p>
    <w:p>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pPr>
        <w:pStyle w:val="yFootnotesection"/>
      </w:pPr>
      <w:r>
        <w:tab/>
        <w:t>[Clause 19 amended by No. 37 of 2011 s. 52 and 53(2).]</w:t>
      </w:r>
    </w:p>
    <w:p>
      <w:pPr>
        <w:pStyle w:val="yHeading5"/>
        <w:outlineLvl w:val="9"/>
      </w:pPr>
      <w:bookmarkStart w:id="102" w:name="_Toc377112012"/>
      <w:r>
        <w:rPr>
          <w:rStyle w:val="CharSClsNo"/>
        </w:rPr>
        <w:t>20</w:t>
      </w:r>
      <w:r>
        <w:t>.</w:t>
      </w:r>
      <w:r>
        <w:tab/>
        <w:t>Minister may declare cl. 17 and 19 inapplicable</w:t>
      </w:r>
      <w:bookmarkEnd w:id="10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Ednoteschedule"/>
      </w:pPr>
      <w:r>
        <w:t>[Schedules 2 and 3 deleted by No. 37 of 2011 s. 54.]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03" w:name="_Toc377112013"/>
      <w:r>
        <w:t>Notes</w:t>
      </w:r>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School Curriculum and Standards Authority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4" w:name="_Toc377112014"/>
      <w:r>
        <w:rPr>
          <w:snapToGrid w:val="0"/>
        </w:rPr>
        <w:t>Compilation table</w:t>
      </w:r>
      <w:bookmarkEnd w:id="104"/>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8"/>
        <w:gridCol w:w="27"/>
        <w:gridCol w:w="2524"/>
        <w:gridCol w:w="22"/>
      </w:tblGrid>
      <w:tr>
        <w:trPr>
          <w:gridAfter w:val="1"/>
          <w:wAfter w:w="22" w:type="dxa"/>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22" w:type="dxa"/>
        </w:trPr>
        <w:tc>
          <w:tcPr>
            <w:tcW w:w="2268" w:type="dxa"/>
          </w:tcPr>
          <w:p>
            <w:pPr>
              <w:pStyle w:val="nTable"/>
              <w:spacing w:after="40"/>
              <w:rPr>
                <w:sz w:val="19"/>
                <w:vertAlign w:val="superscript"/>
              </w:rPr>
            </w:pPr>
            <w:r>
              <w:rPr>
                <w:i/>
                <w:sz w:val="19"/>
              </w:rPr>
              <w:t>Curriculum Council Act 1997 </w:t>
            </w:r>
            <w:r>
              <w:rPr>
                <w:sz w:val="19"/>
                <w:vertAlign w:val="superscript"/>
              </w:rPr>
              <w:t>2</w:t>
            </w:r>
          </w:p>
        </w:tc>
        <w:tc>
          <w:tcPr>
            <w:tcW w:w="1134" w:type="dxa"/>
            <w:gridSpan w:val="2"/>
          </w:tcPr>
          <w:p>
            <w:pPr>
              <w:pStyle w:val="nTable"/>
              <w:spacing w:after="40"/>
              <w:rPr>
                <w:sz w:val="19"/>
              </w:rPr>
            </w:pPr>
            <w:r>
              <w:rPr>
                <w:sz w:val="19"/>
              </w:rPr>
              <w:t>17 of 1997</w:t>
            </w:r>
          </w:p>
        </w:tc>
        <w:tc>
          <w:tcPr>
            <w:tcW w:w="1136" w:type="dxa"/>
            <w:gridSpan w:val="2"/>
          </w:tcPr>
          <w:p>
            <w:pPr>
              <w:pStyle w:val="nTable"/>
              <w:spacing w:after="40"/>
              <w:rPr>
                <w:sz w:val="19"/>
              </w:rPr>
            </w:pPr>
            <w:r>
              <w:rPr>
                <w:sz w:val="19"/>
              </w:rPr>
              <w:t>8 Jul 1997</w:t>
            </w:r>
          </w:p>
        </w:tc>
        <w:tc>
          <w:tcPr>
            <w:tcW w:w="2551" w:type="dxa"/>
            <w:gridSpan w:val="2"/>
          </w:tcPr>
          <w:p>
            <w:pPr>
              <w:pStyle w:val="nTable"/>
              <w:spacing w:after="40"/>
              <w:rPr>
                <w:sz w:val="19"/>
              </w:rPr>
            </w:pPr>
            <w:r>
              <w:rPr>
                <w:sz w:val="19"/>
              </w:rPr>
              <w:t>s. 1 and 2: 8 Jul 1997;</w:t>
            </w:r>
            <w:r>
              <w:rPr>
                <w:sz w:val="19"/>
              </w:rPr>
              <w:br/>
              <w:t xml:space="preserve">Act other than s. 1 and 2: 1 Aug 1997 (see s. 2 and </w:t>
            </w:r>
            <w:r>
              <w:rPr>
                <w:i/>
                <w:sz w:val="19"/>
              </w:rPr>
              <w:t>Gazette</w:t>
            </w:r>
            <w:r>
              <w:rPr>
                <w:sz w:val="19"/>
              </w:rPr>
              <w:t xml:space="preserve"> 25 Jul 1997 p. 3907)</w:t>
            </w:r>
          </w:p>
        </w:tc>
      </w:tr>
      <w:tr>
        <w:trPr>
          <w:gridAfter w:val="1"/>
          <w:wAfter w:w="22" w:type="dxa"/>
        </w:trPr>
        <w:tc>
          <w:tcPr>
            <w:tcW w:w="2268" w:type="dxa"/>
          </w:tcPr>
          <w:p>
            <w:pPr>
              <w:pStyle w:val="nTable"/>
              <w:spacing w:after="40"/>
              <w:rPr>
                <w:i/>
                <w:sz w:val="19"/>
              </w:rPr>
            </w:pPr>
            <w:r>
              <w:rPr>
                <w:i/>
                <w:sz w:val="19"/>
              </w:rPr>
              <w:t>School Education Act 1999</w:t>
            </w:r>
            <w:r>
              <w:rPr>
                <w:sz w:val="19"/>
              </w:rPr>
              <w:t xml:space="preserve"> s. 247</w:t>
            </w:r>
          </w:p>
        </w:tc>
        <w:tc>
          <w:tcPr>
            <w:tcW w:w="1134" w:type="dxa"/>
            <w:gridSpan w:val="2"/>
          </w:tcPr>
          <w:p>
            <w:pPr>
              <w:pStyle w:val="nTable"/>
              <w:spacing w:after="40"/>
              <w:rPr>
                <w:sz w:val="19"/>
              </w:rPr>
            </w:pPr>
            <w:r>
              <w:rPr>
                <w:sz w:val="19"/>
              </w:rPr>
              <w:t>36 of 1999</w:t>
            </w:r>
          </w:p>
        </w:tc>
        <w:tc>
          <w:tcPr>
            <w:tcW w:w="1136" w:type="dxa"/>
            <w:gridSpan w:val="2"/>
          </w:tcPr>
          <w:p>
            <w:pPr>
              <w:pStyle w:val="nTable"/>
              <w:spacing w:after="40"/>
              <w:rPr>
                <w:sz w:val="19"/>
              </w:rPr>
            </w:pPr>
            <w:r>
              <w:rPr>
                <w:sz w:val="19"/>
              </w:rPr>
              <w:t>2 Nov 1999</w:t>
            </w:r>
          </w:p>
        </w:tc>
        <w:tc>
          <w:tcPr>
            <w:tcW w:w="2551"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2" w:type="dxa"/>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2" w:type="dxa"/>
        </w:trPr>
        <w:tc>
          <w:tcPr>
            <w:tcW w:w="2268" w:type="dxa"/>
          </w:tcPr>
          <w:p>
            <w:pPr>
              <w:pStyle w:val="nTable"/>
              <w:spacing w:after="40"/>
              <w:rPr>
                <w:sz w:val="19"/>
              </w:rPr>
            </w:pPr>
            <w:r>
              <w:rPr>
                <w:i/>
                <w:sz w:val="19"/>
              </w:rPr>
              <w:t>Labour Relations Reform Act 2002</w:t>
            </w:r>
            <w:r>
              <w:rPr>
                <w:sz w:val="19"/>
              </w:rPr>
              <w:t xml:space="preserve"> s. 27</w:t>
            </w:r>
          </w:p>
        </w:tc>
        <w:tc>
          <w:tcPr>
            <w:tcW w:w="1134" w:type="dxa"/>
            <w:gridSpan w:val="2"/>
          </w:tcPr>
          <w:p>
            <w:pPr>
              <w:pStyle w:val="nTable"/>
              <w:spacing w:after="40"/>
              <w:rPr>
                <w:sz w:val="19"/>
              </w:rPr>
            </w:pPr>
            <w:r>
              <w:rPr>
                <w:sz w:val="19"/>
              </w:rPr>
              <w:t>20 of 2002</w:t>
            </w:r>
          </w:p>
        </w:tc>
        <w:tc>
          <w:tcPr>
            <w:tcW w:w="1136" w:type="dxa"/>
            <w:gridSpan w:val="2"/>
          </w:tcPr>
          <w:p>
            <w:pPr>
              <w:pStyle w:val="nTable"/>
              <w:spacing w:after="40"/>
              <w:rPr>
                <w:sz w:val="19"/>
              </w:rPr>
            </w:pPr>
            <w:r>
              <w:rPr>
                <w:sz w:val="19"/>
              </w:rPr>
              <w:t>8 Jul 2002</w:t>
            </w:r>
          </w:p>
        </w:tc>
        <w:tc>
          <w:tcPr>
            <w:tcW w:w="2551" w:type="dxa"/>
            <w:gridSpan w:val="2"/>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gridAfter w:val="1"/>
          <w:wAfter w:w="22" w:type="dxa"/>
          <w:cantSplit/>
        </w:trPr>
        <w:tc>
          <w:tcPr>
            <w:tcW w:w="7089" w:type="dxa"/>
            <w:gridSpan w:val="7"/>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rPr>
          <w:gridAfter w:val="1"/>
          <w:wAfter w:w="22" w:type="dxa"/>
        </w:trP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gridSpan w:val="2"/>
          </w:tcPr>
          <w:p>
            <w:pPr>
              <w:pStyle w:val="nTable"/>
              <w:spacing w:after="40"/>
              <w:rPr>
                <w:sz w:val="19"/>
              </w:rPr>
            </w:pPr>
            <w:r>
              <w:rPr>
                <w:sz w:val="19"/>
              </w:rPr>
              <w:t>50 of 2003</w:t>
            </w:r>
          </w:p>
        </w:tc>
        <w:tc>
          <w:tcPr>
            <w:tcW w:w="1136" w:type="dxa"/>
            <w:gridSpan w:val="2"/>
          </w:tcPr>
          <w:p>
            <w:pPr>
              <w:pStyle w:val="nTable"/>
              <w:spacing w:after="40"/>
              <w:rPr>
                <w:sz w:val="19"/>
              </w:rPr>
            </w:pPr>
            <w:r>
              <w:rPr>
                <w:sz w:val="19"/>
              </w:rPr>
              <w:t>9 Jul 2003</w:t>
            </w:r>
          </w:p>
        </w:tc>
        <w:tc>
          <w:tcPr>
            <w:tcW w:w="255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2" w:type="dxa"/>
          <w:cantSplit/>
        </w:trPr>
        <w:tc>
          <w:tcPr>
            <w:tcW w:w="4538" w:type="dxa"/>
            <w:gridSpan w:val="5"/>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gridSpan w:val="2"/>
          </w:tcPr>
          <w:p>
            <w:pPr>
              <w:pStyle w:val="nTable"/>
              <w:spacing w:after="40"/>
              <w:rPr>
                <w:sz w:val="19"/>
              </w:rPr>
            </w:pPr>
            <w:r>
              <w:rPr>
                <w:spacing w:val="-2"/>
                <w:sz w:val="19"/>
              </w:rPr>
              <w:t>15 Sep 2003 (see r. 2)</w:t>
            </w:r>
          </w:p>
        </w:tc>
      </w:tr>
      <w:tr>
        <w:trPr>
          <w:gridAfter w:val="1"/>
          <w:wAfter w:w="22" w:type="dxa"/>
        </w:trPr>
        <w:tc>
          <w:tcPr>
            <w:tcW w:w="2268" w:type="dxa"/>
          </w:tcPr>
          <w:p>
            <w:pPr>
              <w:pStyle w:val="nTable"/>
              <w:spacing w:after="40"/>
              <w:rPr>
                <w:i/>
                <w:sz w:val="19"/>
              </w:rPr>
            </w:pPr>
            <w:r>
              <w:rPr>
                <w:i/>
                <w:iCs/>
                <w:snapToGrid w:val="0"/>
                <w:sz w:val="19"/>
              </w:rPr>
              <w:t>Acts Amendment (Higher School Leaving Age and Related Provisions) Act 2005</w:t>
            </w:r>
            <w:r>
              <w:rPr>
                <w:snapToGrid w:val="0"/>
                <w:sz w:val="19"/>
              </w:rPr>
              <w:t xml:space="preserve"> Pt. 3</w:t>
            </w:r>
          </w:p>
        </w:tc>
        <w:tc>
          <w:tcPr>
            <w:tcW w:w="1134" w:type="dxa"/>
            <w:gridSpan w:val="2"/>
          </w:tcPr>
          <w:p>
            <w:pPr>
              <w:pStyle w:val="nTable"/>
              <w:spacing w:after="40"/>
              <w:rPr>
                <w:sz w:val="19"/>
              </w:rPr>
            </w:pPr>
            <w:r>
              <w:rPr>
                <w:snapToGrid w:val="0"/>
                <w:sz w:val="19"/>
              </w:rPr>
              <w:t>22 of 2005</w:t>
            </w:r>
          </w:p>
        </w:tc>
        <w:tc>
          <w:tcPr>
            <w:tcW w:w="1136" w:type="dxa"/>
            <w:gridSpan w:val="2"/>
          </w:tcPr>
          <w:p>
            <w:pPr>
              <w:pStyle w:val="nTable"/>
              <w:spacing w:after="40"/>
              <w:rPr>
                <w:sz w:val="19"/>
              </w:rPr>
            </w:pPr>
            <w:r>
              <w:rPr>
                <w:sz w:val="19"/>
              </w:rPr>
              <w:t>18 Nov 2005</w:t>
            </w:r>
          </w:p>
        </w:tc>
        <w:tc>
          <w:tcPr>
            <w:tcW w:w="2551" w:type="dxa"/>
            <w:gridSpan w:val="2"/>
          </w:tcPr>
          <w:p>
            <w:pPr>
              <w:pStyle w:val="nTable"/>
              <w:spacing w:after="40"/>
              <w:rPr>
                <w:sz w:val="19"/>
              </w:rPr>
            </w:pPr>
            <w:r>
              <w:rPr>
                <w:snapToGrid w:val="0"/>
                <w:sz w:val="19"/>
              </w:rPr>
              <w:t>1 Jan 2006 (see s. 2(3))</w:t>
            </w:r>
          </w:p>
        </w:tc>
      </w:tr>
      <w:tr>
        <w:trPr>
          <w:gridAfter w:val="1"/>
          <w:wAfter w:w="22" w:type="dxa"/>
        </w:trPr>
        <w:tc>
          <w:tcPr>
            <w:tcW w:w="2268" w:type="dxa"/>
          </w:tcPr>
          <w:p>
            <w:pPr>
              <w:pStyle w:val="nTable"/>
              <w:spacing w:after="40"/>
              <w:rPr>
                <w:i/>
                <w:sz w:val="19"/>
              </w:rPr>
            </w:pPr>
            <w:r>
              <w:rPr>
                <w:i/>
                <w:snapToGrid w:val="0"/>
                <w:sz w:val="19"/>
              </w:rPr>
              <w:t xml:space="preserve">Financial Legislation Amendment and Repeal Act 2006 </w:t>
            </w:r>
            <w:r>
              <w:rPr>
                <w:iCs/>
                <w:snapToGrid w:val="0"/>
                <w:sz w:val="19"/>
              </w:rPr>
              <w:t>s. 4, 5(1) and Sch. 1 cl. 41</w:t>
            </w:r>
          </w:p>
        </w:tc>
        <w:tc>
          <w:tcPr>
            <w:tcW w:w="1134" w:type="dxa"/>
            <w:gridSpan w:val="2"/>
          </w:tcPr>
          <w:p>
            <w:pPr>
              <w:pStyle w:val="nTable"/>
              <w:spacing w:after="40"/>
              <w:rPr>
                <w:sz w:val="19"/>
              </w:rPr>
            </w:pPr>
            <w:r>
              <w:rPr>
                <w:snapToGrid w:val="0"/>
                <w:sz w:val="19"/>
              </w:rPr>
              <w:t>77 of 2006</w:t>
            </w:r>
          </w:p>
        </w:tc>
        <w:tc>
          <w:tcPr>
            <w:tcW w:w="1136" w:type="dxa"/>
            <w:gridSpan w:val="2"/>
          </w:tcPr>
          <w:p>
            <w:pPr>
              <w:pStyle w:val="nTable"/>
              <w:spacing w:after="40"/>
              <w:rPr>
                <w:sz w:val="19"/>
              </w:rPr>
            </w:pPr>
            <w:r>
              <w:rPr>
                <w:snapToGrid w:val="0"/>
                <w:sz w:val="19"/>
              </w:rPr>
              <w:t>21 Dec 2006</w:t>
            </w:r>
          </w:p>
        </w:tc>
        <w:tc>
          <w:tcPr>
            <w:tcW w:w="2551" w:type="dxa"/>
            <w:gridSpan w:val="2"/>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gridAfter w:val="1"/>
          <w:wAfter w:w="22" w:type="dxa"/>
          <w:cantSplit/>
        </w:trPr>
        <w:tc>
          <w:tcPr>
            <w:tcW w:w="7089" w:type="dxa"/>
            <w:gridSpan w:val="7"/>
          </w:tcPr>
          <w:p>
            <w:pPr>
              <w:pStyle w:val="nTable"/>
              <w:spacing w:after="40"/>
              <w:rPr>
                <w:snapToGrid w:val="0"/>
                <w:sz w:val="19"/>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gridAfter w:val="1"/>
          <w:wAfter w:w="22" w:type="dxa"/>
          <w:cantSplit/>
        </w:trPr>
        <w:tc>
          <w:tcPr>
            <w:tcW w:w="2268" w:type="dxa"/>
          </w:tcPr>
          <w:p>
            <w:pPr>
              <w:pStyle w:val="nTable"/>
              <w:spacing w:after="40"/>
              <w:ind w:right="113"/>
              <w:rPr>
                <w:iCs/>
                <w:sz w:val="19"/>
              </w:rPr>
            </w:pPr>
            <w:r>
              <w:rPr>
                <w:i/>
                <w:sz w:val="19"/>
              </w:rPr>
              <w:t>Training Legislation Amendment and Repeal Act 2008</w:t>
            </w:r>
            <w:r>
              <w:rPr>
                <w:iCs/>
                <w:sz w:val="19"/>
              </w:rPr>
              <w:t xml:space="preserve"> s. 52</w:t>
            </w:r>
          </w:p>
        </w:tc>
        <w:tc>
          <w:tcPr>
            <w:tcW w:w="1134" w:type="dxa"/>
            <w:gridSpan w:val="2"/>
          </w:tcPr>
          <w:p>
            <w:pPr>
              <w:pStyle w:val="nTable"/>
              <w:spacing w:after="40"/>
              <w:rPr>
                <w:sz w:val="19"/>
              </w:rPr>
            </w:pPr>
            <w:r>
              <w:rPr>
                <w:sz w:val="19"/>
              </w:rPr>
              <w:t>44 of 2008</w:t>
            </w:r>
          </w:p>
        </w:tc>
        <w:tc>
          <w:tcPr>
            <w:tcW w:w="1136" w:type="dxa"/>
            <w:gridSpan w:val="2"/>
          </w:tcPr>
          <w:p>
            <w:pPr>
              <w:pStyle w:val="nTable"/>
              <w:spacing w:after="40"/>
              <w:rPr>
                <w:sz w:val="19"/>
              </w:rPr>
            </w:pPr>
            <w:r>
              <w:rPr>
                <w:sz w:val="19"/>
              </w:rPr>
              <w:t>10 Dec 2008</w:t>
            </w:r>
          </w:p>
        </w:tc>
        <w:tc>
          <w:tcPr>
            <w:tcW w:w="2551" w:type="dxa"/>
            <w:gridSpan w:val="2"/>
          </w:tcPr>
          <w:p>
            <w:pPr>
              <w:pStyle w:val="nTable"/>
              <w:spacing w:after="40"/>
              <w:rPr>
                <w:sz w:val="19"/>
              </w:rPr>
            </w:pPr>
            <w:r>
              <w:rPr>
                <w:sz w:val="19"/>
              </w:rPr>
              <w:t>10 Jun 2009 (see s. 2(2))</w:t>
            </w:r>
          </w:p>
        </w:tc>
      </w:tr>
      <w:tr>
        <w:trPr>
          <w:gridAfter w:val="1"/>
          <w:wAfter w:w="22"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4" w:type="dxa"/>
            <w:gridSpan w:val="2"/>
          </w:tcPr>
          <w:p>
            <w:pPr>
              <w:pStyle w:val="nTable"/>
              <w:spacing w:after="40"/>
              <w:rPr>
                <w:sz w:val="19"/>
              </w:rPr>
            </w:pPr>
            <w:r>
              <w:rPr>
                <w:sz w:val="19"/>
              </w:rPr>
              <w:t xml:space="preserve">8 of 2009 </w:t>
            </w:r>
          </w:p>
        </w:tc>
        <w:tc>
          <w:tcPr>
            <w:tcW w:w="1136"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2" w:type="dxa"/>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136"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22" w:type="dxa"/>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after="40"/>
              <w:rPr>
                <w:snapToGrid w:val="0"/>
                <w:sz w:val="19"/>
              </w:rPr>
            </w:pPr>
            <w:r>
              <w:rPr>
                <w:snapToGrid w:val="0"/>
                <w:sz w:val="19"/>
              </w:rPr>
              <w:t>39 of 2010</w:t>
            </w:r>
          </w:p>
        </w:tc>
        <w:tc>
          <w:tcPr>
            <w:tcW w:w="1136" w:type="dxa"/>
            <w:gridSpan w:val="2"/>
          </w:tcPr>
          <w:p>
            <w:pPr>
              <w:pStyle w:val="nTable"/>
              <w:spacing w:after="40"/>
              <w:rPr>
                <w:snapToGrid w:val="0"/>
                <w:sz w:val="19"/>
              </w:rPr>
            </w:pPr>
            <w:r>
              <w:rPr>
                <w:snapToGrid w:val="0"/>
                <w:sz w:val="19"/>
              </w:rPr>
              <w:t>1 Oct 2010</w:t>
            </w:r>
          </w:p>
        </w:tc>
        <w:tc>
          <w:tcPr>
            <w:tcW w:w="2551"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22" w:type="dxa"/>
          <w:cantSplit/>
        </w:trPr>
        <w:tc>
          <w:tcPr>
            <w:tcW w:w="2268" w:type="dxa"/>
            <w:shd w:val="clear" w:color="auto" w:fill="auto"/>
          </w:tcPr>
          <w:p>
            <w:pPr>
              <w:pStyle w:val="nTable"/>
              <w:spacing w:after="40"/>
              <w:ind w:right="113"/>
              <w:rPr>
                <w:i/>
                <w:iCs/>
                <w:snapToGrid w:val="0"/>
                <w:sz w:val="19"/>
              </w:rPr>
            </w:pPr>
            <w:r>
              <w:rPr>
                <w:i/>
                <w:snapToGrid w:val="0"/>
                <w:sz w:val="19"/>
                <w:szCs w:val="19"/>
              </w:rPr>
              <w:t>Curriculum Council Amendment Act 2011</w:t>
            </w:r>
            <w:r>
              <w:rPr>
                <w:i/>
                <w:snapToGrid w:val="0"/>
                <w:sz w:val="19"/>
              </w:rPr>
              <w:t xml:space="preserve"> </w:t>
            </w:r>
            <w:r>
              <w:rPr>
                <w:snapToGrid w:val="0"/>
                <w:sz w:val="19"/>
              </w:rPr>
              <w:t>Pt. 2</w:t>
            </w:r>
          </w:p>
        </w:tc>
        <w:tc>
          <w:tcPr>
            <w:tcW w:w="1134" w:type="dxa"/>
            <w:gridSpan w:val="2"/>
            <w:shd w:val="clear" w:color="auto" w:fill="auto"/>
          </w:tcPr>
          <w:p>
            <w:pPr>
              <w:pStyle w:val="nTable"/>
              <w:spacing w:after="40"/>
              <w:rPr>
                <w:snapToGrid w:val="0"/>
                <w:sz w:val="19"/>
              </w:rPr>
            </w:pPr>
            <w:r>
              <w:rPr>
                <w:snapToGrid w:val="0"/>
                <w:sz w:val="19"/>
              </w:rPr>
              <w:t>37 of 2011</w:t>
            </w:r>
          </w:p>
        </w:tc>
        <w:tc>
          <w:tcPr>
            <w:tcW w:w="1136" w:type="dxa"/>
            <w:gridSpan w:val="2"/>
            <w:shd w:val="clear" w:color="auto" w:fill="auto"/>
          </w:tcPr>
          <w:p>
            <w:pPr>
              <w:pStyle w:val="nTable"/>
              <w:spacing w:after="40"/>
              <w:rPr>
                <w:snapToGrid w:val="0"/>
                <w:sz w:val="19"/>
              </w:rPr>
            </w:pPr>
            <w:r>
              <w:rPr>
                <w:sz w:val="19"/>
              </w:rPr>
              <w:t>13 Sep 2011</w:t>
            </w:r>
          </w:p>
        </w:tc>
        <w:tc>
          <w:tcPr>
            <w:tcW w:w="2551" w:type="dxa"/>
            <w:gridSpan w:val="2"/>
            <w:shd w:val="clear" w:color="auto" w:fill="auto"/>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gridAfter w:val="1"/>
          <w:wAfter w:w="22" w:type="dxa"/>
          <w:cantSplit/>
        </w:trPr>
        <w:tc>
          <w:tcPr>
            <w:tcW w:w="7089" w:type="dxa"/>
            <w:gridSpan w:val="7"/>
            <w:shd w:val="clear" w:color="auto" w:fill="auto"/>
          </w:tcPr>
          <w:p>
            <w:pPr>
              <w:pStyle w:val="nTable"/>
              <w:spacing w:after="40"/>
              <w:rPr>
                <w:snapToGrid w:val="0"/>
                <w:sz w:val="19"/>
              </w:rPr>
            </w:pPr>
            <w:r>
              <w:rPr>
                <w:b/>
                <w:sz w:val="19"/>
              </w:rPr>
              <w:t xml:space="preserve">Reprint 3: </w:t>
            </w:r>
            <w:r>
              <w:rPr>
                <w:b/>
                <w:sz w:val="19"/>
                <w:szCs w:val="19"/>
              </w:rPr>
              <w:t xml:space="preserve">The </w:t>
            </w:r>
            <w:r>
              <w:rPr>
                <w:b/>
                <w:i/>
                <w:iCs/>
                <w:sz w:val="19"/>
                <w:szCs w:val="19"/>
              </w:rPr>
              <w:t>School Curriculum and Standards Authority Act 1997</w:t>
            </w:r>
            <w:r>
              <w:rPr>
                <w:b/>
                <w:sz w:val="19"/>
                <w:szCs w:val="19"/>
              </w:rPr>
              <w:t xml:space="preserve"> as at 27 Apr 2012</w:t>
            </w:r>
            <w:r>
              <w:rPr>
                <w:sz w:val="19"/>
                <w:szCs w:val="19"/>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single" w:sz="4" w:space="0" w:color="auto"/>
            </w:tcBorders>
          </w:tcPr>
          <w:p>
            <w:pPr>
              <w:pStyle w:val="nTable"/>
              <w:spacing w:after="40"/>
              <w:ind w:right="113"/>
              <w:rPr>
                <w:snapToGrid w:val="0"/>
                <w:sz w:val="19"/>
              </w:rPr>
            </w:pPr>
            <w:r>
              <w:rPr>
                <w:i/>
                <w:snapToGrid w:val="0"/>
                <w:sz w:val="19"/>
              </w:rPr>
              <w:t>School Education Amendment Act 2012</w:t>
            </w:r>
            <w:r>
              <w:rPr>
                <w:snapToGrid w:val="0"/>
                <w:sz w:val="19"/>
              </w:rPr>
              <w:t xml:space="preserve"> Pt. 3</w:t>
            </w:r>
          </w:p>
        </w:tc>
        <w:tc>
          <w:tcPr>
            <w:tcW w:w="1134" w:type="dxa"/>
            <w:gridSpan w:val="2"/>
            <w:tcBorders>
              <w:top w:val="nil"/>
              <w:bottom w:val="single" w:sz="4" w:space="0" w:color="auto"/>
            </w:tcBorders>
          </w:tcPr>
          <w:p>
            <w:pPr>
              <w:pStyle w:val="nTable"/>
              <w:spacing w:after="40"/>
              <w:rPr>
                <w:snapToGrid w:val="0"/>
                <w:sz w:val="19"/>
              </w:rPr>
            </w:pPr>
            <w:r>
              <w:rPr>
                <w:snapToGrid w:val="0"/>
                <w:sz w:val="19"/>
              </w:rPr>
              <w:t>46 of 2012</w:t>
            </w:r>
          </w:p>
        </w:tc>
        <w:tc>
          <w:tcPr>
            <w:tcW w:w="1135" w:type="dxa"/>
            <w:gridSpan w:val="2"/>
            <w:tcBorders>
              <w:top w:val="nil"/>
              <w:bottom w:val="single" w:sz="4" w:space="0" w:color="auto"/>
            </w:tcBorders>
          </w:tcPr>
          <w:p>
            <w:pPr>
              <w:pStyle w:val="nTable"/>
              <w:spacing w:after="40"/>
              <w:rPr>
                <w:snapToGrid w:val="0"/>
                <w:sz w:val="19"/>
              </w:rPr>
            </w:pPr>
            <w:r>
              <w:rPr>
                <w:snapToGrid w:val="0"/>
                <w:sz w:val="19"/>
              </w:rPr>
              <w:t>29 Nov 2012</w:t>
            </w:r>
          </w:p>
        </w:tc>
        <w:tc>
          <w:tcPr>
            <w:tcW w:w="2546" w:type="dxa"/>
            <w:gridSpan w:val="2"/>
            <w:tcBorders>
              <w:top w:val="nil"/>
              <w:bottom w:val="single" w:sz="4" w:space="0" w:color="auto"/>
            </w:tcBorders>
          </w:tcPr>
          <w:p>
            <w:pPr>
              <w:pStyle w:val="nTable"/>
              <w:spacing w:after="40"/>
              <w:rPr>
                <w:snapToGrid w:val="0"/>
                <w:sz w:val="19"/>
              </w:rPr>
            </w:pPr>
            <w:r>
              <w:rPr>
                <w:snapToGrid w:val="0"/>
                <w:sz w:val="19"/>
              </w:rPr>
              <w:t>1 Jan 2013 (see s. 2(b))</w:t>
            </w:r>
          </w:p>
        </w:tc>
      </w:tr>
    </w:tbl>
    <w:p>
      <w:pPr>
        <w:pStyle w:val="nSubsection"/>
        <w:tabs>
          <w:tab w:val="clear" w:pos="454"/>
          <w:tab w:val="left" w:pos="567"/>
        </w:tabs>
        <w:spacing w:before="200"/>
        <w:ind w:left="567" w:hanging="567"/>
        <w:rPr>
          <w:snapToGrid w:val="0"/>
        </w:rPr>
      </w:pPr>
      <w:r>
        <w:rPr>
          <w:snapToGrid w:val="0"/>
          <w:vertAlign w:val="superscript"/>
        </w:rPr>
        <w:t>2</w:t>
      </w:r>
      <w:r>
        <w:rPr>
          <w:snapToGrid w:val="0"/>
          <w:vertAlign w:val="superscript"/>
        </w:rPr>
        <w:tab/>
      </w:r>
      <w:r>
        <w:rPr>
          <w:snapToGrid w:val="0"/>
        </w:rPr>
        <w:t xml:space="preserve">Now known as the </w:t>
      </w:r>
      <w:r>
        <w:rPr>
          <w:i/>
          <w:iCs/>
        </w:rPr>
        <w:t>School Curriculum and Standards Authority Act 1997</w:t>
      </w:r>
      <w:r>
        <w:rPr>
          <w:iCs/>
        </w:rPr>
        <w:t>; short title changed (see note under s. 1).</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05" w:name="_Toc377112015"/>
      <w:r>
        <w:rPr>
          <w:sz w:val="28"/>
        </w:rPr>
        <w:t>Defined Terms</w:t>
      </w:r>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6" w:name="DefinedTerms"/>
      <w:bookmarkEnd w:id="106"/>
      <w:r>
        <w:t>advisory committee</w:t>
      </w:r>
      <w:r>
        <w:tab/>
        <w:t>3</w:t>
      </w:r>
    </w:p>
    <w:p>
      <w:pPr>
        <w:pStyle w:val="DefinedTerms"/>
      </w:pPr>
      <w:r>
        <w:t>aggregated form</w:t>
      </w:r>
      <w:r>
        <w:tab/>
        <w:t>12(1), 19A(1)</w:t>
      </w:r>
    </w:p>
    <w:p>
      <w:pPr>
        <w:pStyle w:val="DefinedTerms"/>
      </w:pPr>
      <w:r>
        <w:t>allowed information</w:t>
      </w:r>
      <w:r>
        <w:tab/>
        <w:t>19M(1)</w:t>
      </w:r>
    </w:p>
    <w:p>
      <w:pPr>
        <w:pStyle w:val="DefinedTerms"/>
      </w:pPr>
      <w:r>
        <w:t>apprentice</w:t>
      </w:r>
      <w:r>
        <w:tab/>
        <w:t>19F(1)</w:t>
      </w:r>
    </w:p>
    <w:p>
      <w:pPr>
        <w:pStyle w:val="DefinedTerms"/>
      </w:pPr>
      <w:r>
        <w:t>assessment</w:t>
      </w:r>
      <w:r>
        <w:tab/>
        <w:t>3</w:t>
      </w:r>
    </w:p>
    <w:p>
      <w:pPr>
        <w:pStyle w:val="DefinedTerms"/>
      </w:pPr>
      <w:r>
        <w:t>assets</w:t>
      </w:r>
      <w:r>
        <w:tab/>
        <w:t>37</w:t>
      </w:r>
    </w:p>
    <w:p>
      <w:pPr>
        <w:pStyle w:val="DefinedTerms"/>
      </w:pPr>
      <w:r>
        <w:t>Authority</w:t>
      </w:r>
      <w:r>
        <w:tab/>
        <w:t>3</w:t>
      </w:r>
    </w:p>
    <w:p>
      <w:pPr>
        <w:pStyle w:val="DefinedTerms"/>
      </w:pPr>
      <w:r>
        <w:t>Board</w:t>
      </w:r>
      <w:r>
        <w:tab/>
        <w:t>3, 6(1)</w:t>
      </w:r>
    </w:p>
    <w:p>
      <w:pPr>
        <w:pStyle w:val="DefinedTerms"/>
      </w:pPr>
      <w:r>
        <w:t>candidates</w:t>
      </w:r>
      <w:r>
        <w:tab/>
        <w:t>33(2)(b)(iv)</w:t>
      </w:r>
    </w:p>
    <w:p>
      <w:pPr>
        <w:pStyle w:val="DefinedTerms"/>
      </w:pPr>
      <w:r>
        <w:t>chairperson</w:t>
      </w:r>
      <w:r>
        <w:tab/>
        <w:t>3</w:t>
      </w:r>
    </w:p>
    <w:p>
      <w:pPr>
        <w:pStyle w:val="DefinedTerms"/>
      </w:pPr>
      <w:r>
        <w:t>chief executive officer</w:t>
      </w:r>
      <w:r>
        <w:tab/>
        <w:t>3</w:t>
      </w:r>
    </w:p>
    <w:p>
      <w:pPr>
        <w:pStyle w:val="DefinedTerms"/>
      </w:pPr>
      <w:r>
        <w:t>commencement day</w:t>
      </w:r>
      <w:r>
        <w:tab/>
        <w:t>37</w:t>
      </w:r>
    </w:p>
    <w:p>
      <w:pPr>
        <w:pStyle w:val="DefinedTerms"/>
      </w:pPr>
      <w:r>
        <w:t>committee</w:t>
      </w:r>
      <w:r>
        <w:tab/>
        <w:t>3</w:t>
      </w:r>
    </w:p>
    <w:p>
      <w:pPr>
        <w:pStyle w:val="DefinedTerms"/>
      </w:pPr>
      <w:r>
        <w:t>community kindergarten</w:t>
      </w:r>
      <w:r>
        <w:tab/>
        <w:t>3</w:t>
      </w:r>
    </w:p>
    <w:p>
      <w:pPr>
        <w:pStyle w:val="DefinedTerms"/>
      </w:pPr>
      <w:r>
        <w:t>compulsory education period</w:t>
      </w:r>
      <w:r>
        <w:tab/>
        <w:t>3</w:t>
      </w:r>
    </w:p>
    <w:p>
      <w:pPr>
        <w:pStyle w:val="DefinedTerms"/>
      </w:pPr>
      <w:r>
        <w:t>Council</w:t>
      </w:r>
      <w:r>
        <w:tab/>
        <w:t>37</w:t>
      </w:r>
    </w:p>
    <w:p>
      <w:pPr>
        <w:pStyle w:val="DefinedTerms"/>
      </w:pPr>
      <w:r>
        <w:t>course</w:t>
      </w:r>
      <w:r>
        <w:tab/>
        <w:t>3</w:t>
      </w:r>
    </w:p>
    <w:p>
      <w:pPr>
        <w:pStyle w:val="DefinedTerms"/>
      </w:pPr>
      <w:r>
        <w:t>Curriculum and Assessment Committee</w:t>
      </w:r>
      <w:r>
        <w:tab/>
        <w:t>3</w:t>
      </w:r>
    </w:p>
    <w:p>
      <w:pPr>
        <w:pStyle w:val="DefinedTerms"/>
      </w:pPr>
      <w:r>
        <w:t>document</w:t>
      </w:r>
      <w:r>
        <w:tab/>
        <w:t>19(4)</w:t>
      </w:r>
    </w:p>
    <w:p>
      <w:pPr>
        <w:pStyle w:val="DefinedTerms"/>
      </w:pPr>
      <w:r>
        <w:t>draft report</w:t>
      </w:r>
      <w:r>
        <w:tab/>
        <w:t>11(2), 12(1)</w:t>
      </w:r>
    </w:p>
    <w:p>
      <w:pPr>
        <w:pStyle w:val="DefinedTerms"/>
      </w:pPr>
      <w:r>
        <w:t>Education Department</w:t>
      </w:r>
      <w:r>
        <w:tab/>
        <w:t>3</w:t>
      </w:r>
    </w:p>
    <w:p>
      <w:pPr>
        <w:pStyle w:val="DefinedTerms"/>
      </w:pPr>
      <w:r>
        <w:t>education provider</w:t>
      </w:r>
      <w:r>
        <w:tab/>
        <w:t>3</w:t>
      </w:r>
    </w:p>
    <w:p>
      <w:pPr>
        <w:pStyle w:val="DefinedTerms"/>
      </w:pPr>
      <w:r>
        <w:t>educational programme</w:t>
      </w:r>
      <w:r>
        <w:tab/>
        <w:t>19A(1)</w:t>
      </w:r>
    </w:p>
    <w:p>
      <w:pPr>
        <w:pStyle w:val="DefinedTerms"/>
      </w:pPr>
      <w:r>
        <w:t>employed</w:t>
      </w:r>
      <w:r>
        <w:tab/>
        <w:t>19F(1)</w:t>
      </w:r>
    </w:p>
    <w:p>
      <w:pPr>
        <w:pStyle w:val="DefinedTerms"/>
      </w:pPr>
      <w:r>
        <w:t>exempt child</w:t>
      </w:r>
      <w:r>
        <w:tab/>
        <w:t>19A(1)</w:t>
      </w:r>
    </w:p>
    <w:p>
      <w:pPr>
        <w:pStyle w:val="DefinedTerms"/>
      </w:pPr>
      <w:r>
        <w:t>final years of compulsory education</w:t>
      </w:r>
      <w:r>
        <w:tab/>
        <w:t>19A</w:t>
      </w:r>
    </w:p>
    <w:p>
      <w:pPr>
        <w:pStyle w:val="DefinedTerms"/>
      </w:pPr>
      <w:r>
        <w:t>first year of the relevant education period</w:t>
      </w:r>
      <w:r>
        <w:tab/>
        <w:t>19C(1)</w:t>
      </w:r>
    </w:p>
    <w:p>
      <w:pPr>
        <w:pStyle w:val="DefinedTerms"/>
      </w:pPr>
      <w:r>
        <w:t>former Council</w:t>
      </w:r>
      <w:r>
        <w:tab/>
        <w:t>19I(2A)</w:t>
      </w:r>
    </w:p>
    <w:p>
      <w:pPr>
        <w:pStyle w:val="DefinedTerms"/>
      </w:pPr>
      <w:r>
        <w:t>governing body</w:t>
      </w:r>
      <w:r>
        <w:tab/>
        <w:t>3</w:t>
      </w:r>
    </w:p>
    <w:p>
      <w:pPr>
        <w:pStyle w:val="DefinedTerms"/>
      </w:pPr>
      <w:r>
        <w:t>home education</w:t>
      </w:r>
      <w:r>
        <w:tab/>
        <w:t>3</w:t>
      </w:r>
    </w:p>
    <w:p>
      <w:pPr>
        <w:pStyle w:val="DefinedTerms"/>
      </w:pPr>
      <w:r>
        <w:t>information</w:t>
      </w:r>
      <w:r>
        <w:tab/>
        <w:t>19(4)</w:t>
      </w:r>
    </w:p>
    <w:p>
      <w:pPr>
        <w:pStyle w:val="DefinedTerms"/>
      </w:pPr>
      <w:r>
        <w:t>liability</w:t>
      </w:r>
      <w:r>
        <w:tab/>
        <w:t>37</w:t>
      </w:r>
    </w:p>
    <w:p>
      <w:pPr>
        <w:pStyle w:val="DefinedTerms"/>
      </w:pPr>
      <w:r>
        <w:t>member</w:t>
      </w:r>
      <w:r>
        <w:tab/>
        <w:t>3</w:t>
      </w:r>
    </w:p>
    <w:p>
      <w:pPr>
        <w:pStyle w:val="DefinedTerms"/>
      </w:pPr>
      <w:r>
        <w:t>member of staff</w:t>
      </w:r>
      <w:r>
        <w:tab/>
        <w:t>3</w:t>
      </w:r>
    </w:p>
    <w:p>
      <w:pPr>
        <w:pStyle w:val="DefinedTerms"/>
      </w:pPr>
      <w:r>
        <w:t>Minister</w:t>
      </w:r>
      <w:r>
        <w:tab/>
        <w:t>19A(1)</w:t>
      </w:r>
    </w:p>
    <w:p>
      <w:pPr>
        <w:pStyle w:val="DefinedTerms"/>
      </w:pPr>
      <w:r>
        <w:t>overseas student</w:t>
      </w:r>
      <w:r>
        <w:tab/>
        <w:t>19B(1)</w:t>
      </w:r>
    </w:p>
    <w:p>
      <w:pPr>
        <w:pStyle w:val="DefinedTerms"/>
      </w:pPr>
      <w:r>
        <w:t>parent</w:t>
      </w:r>
      <w:r>
        <w:tab/>
        <w:t>19J(1A)</w:t>
      </w:r>
    </w:p>
    <w:p>
      <w:pPr>
        <w:pStyle w:val="DefinedTerms"/>
      </w:pPr>
      <w:r>
        <w:t>principal</w:t>
      </w:r>
      <w:r>
        <w:tab/>
        <w:t>19A(1)</w:t>
      </w:r>
    </w:p>
    <w:p>
      <w:pPr>
        <w:pStyle w:val="DefinedTerms"/>
      </w:pPr>
      <w:r>
        <w:t>provider</w:t>
      </w:r>
      <w:r>
        <w:tab/>
        <w:t>19A(1) and (2)</w:t>
      </w:r>
    </w:p>
    <w:p>
      <w:pPr>
        <w:pStyle w:val="DefinedTerms"/>
      </w:pPr>
      <w:r>
        <w:t>relevant governing body</w:t>
      </w:r>
      <w:r>
        <w:tab/>
        <w:t>12(1)</w:t>
      </w:r>
    </w:p>
    <w:p>
      <w:pPr>
        <w:pStyle w:val="DefinedTerms"/>
      </w:pPr>
      <w:r>
        <w:t>relevant officials</w:t>
      </w:r>
      <w:r>
        <w:tab/>
        <w:t>50(1)</w:t>
      </w:r>
    </w:p>
    <w:p>
      <w:pPr>
        <w:pStyle w:val="DefinedTerms"/>
      </w:pPr>
      <w:r>
        <w:t>right</w:t>
      </w:r>
      <w:r>
        <w:tab/>
        <w:t>37</w:t>
      </w:r>
    </w:p>
    <w:p>
      <w:pPr>
        <w:pStyle w:val="DefinedTerms"/>
      </w:pPr>
      <w:r>
        <w:t>school</w:t>
      </w:r>
      <w:r>
        <w:tab/>
        <w:t>3, 19A(1)</w:t>
      </w:r>
    </w:p>
    <w:p>
      <w:pPr>
        <w:pStyle w:val="DefinedTerms"/>
      </w:pPr>
      <w:r>
        <w:t>School Education Act</w:t>
      </w:r>
      <w:r>
        <w:tab/>
        <w:t>3</w:t>
      </w:r>
    </w:p>
    <w:p>
      <w:pPr>
        <w:pStyle w:val="DefinedTerms"/>
      </w:pPr>
      <w:r>
        <w:t>school system</w:t>
      </w:r>
      <w:r>
        <w:tab/>
        <w:t>3</w:t>
      </w:r>
    </w:p>
    <w:p>
      <w:pPr>
        <w:pStyle w:val="DefinedTerms"/>
      </w:pPr>
      <w:r>
        <w:t>school years</w:t>
      </w:r>
      <w:r>
        <w:tab/>
        <w:t>3</w:t>
      </w:r>
    </w:p>
    <w:p>
      <w:pPr>
        <w:pStyle w:val="DefinedTerms"/>
      </w:pPr>
      <w:r>
        <w:t>Standards Committee</w:t>
      </w:r>
      <w:r>
        <w:tab/>
        <w:t>3</w:t>
      </w:r>
    </w:p>
    <w:p>
      <w:pPr>
        <w:pStyle w:val="DefinedTerms"/>
      </w:pPr>
      <w:r>
        <w:t>standards of student achievement</w:t>
      </w:r>
      <w:r>
        <w:tab/>
        <w:t>3</w:t>
      </w:r>
    </w:p>
    <w:p>
      <w:pPr>
        <w:pStyle w:val="DefinedTerms"/>
      </w:pPr>
      <w:r>
        <w:t>State tax</w:t>
      </w:r>
      <w:r>
        <w:tab/>
        <w:t>46(1)</w:t>
      </w:r>
    </w:p>
    <w:p>
      <w:pPr>
        <w:pStyle w:val="DefinedTerms"/>
      </w:pPr>
      <w:r>
        <w:t>student</w:t>
      </w:r>
      <w:r>
        <w:tab/>
        <w:t>3, 19A(1)</w:t>
      </w:r>
    </w:p>
    <w:p>
      <w:pPr>
        <w:pStyle w:val="DefinedTerms"/>
      </w:pPr>
      <w:r>
        <w:t>student record</w:t>
      </w:r>
      <w:r>
        <w:tab/>
        <w:t>19A(1), 19J(1A)</w:t>
      </w:r>
    </w:p>
    <w:p>
      <w:pPr>
        <w:pStyle w:val="DefinedTerms"/>
      </w:pPr>
      <w:r>
        <w:t>transitional regulations</w:t>
      </w:r>
      <w:r>
        <w:tab/>
        <w:t>51(1)</w:t>
      </w:r>
    </w:p>
    <w:p>
      <w:pPr>
        <w:pStyle w:val="DefinedTerms"/>
      </w:pPr>
      <w:r>
        <w:t>vocational education and training</w:t>
      </w:r>
      <w:r>
        <w:tab/>
        <w:t>3</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tabs>
              <w:tab w:val="center" w:pos="702"/>
            </w:tabs>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Curriculum and Standards Authority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as to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as to constitution and proceedings of the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fldSimple w:instr=" styleref CharSchText ">
            <w:r>
              <w:rPr>
                <w:noProof/>
              </w:rPr>
              <w:t>Provisions as to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constitution and proceedings of the Board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F1862E9"/>
    <w:multiLevelType w:val="hybridMultilevel"/>
    <w:tmpl w:val="8C0C1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5"/>
  </w:num>
  <w:num w:numId="25">
    <w:abstractNumId w:val="17"/>
  </w:num>
  <w:num w:numId="26">
    <w:abstractNumId w:val="18"/>
  </w:num>
  <w:num w:numId="27">
    <w:abstractNumId w:val="21"/>
  </w:num>
  <w:num w:numId="28">
    <w:abstractNumId w:val="32"/>
  </w:num>
  <w:num w:numId="29">
    <w:abstractNumId w:val="26"/>
  </w:num>
  <w:num w:numId="30">
    <w:abstractNumId w:val="14"/>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00456"/>
    <w:docVar w:name="WAFER_20140110100145" w:val="RemoveTocBookmarks,RemoveUnusedBookmarks,RemoveLanguageTags,UsedStyles,ResetPageSize,UpdateArrangement"/>
    <w:docVar w:name="WAFER_20140110100145_GUID" w:val="5dc6e86c-9cb7-401d-afdd-16933950ddaf"/>
    <w:docVar w:name="WAFER_20140110100456" w:val="RemoveTocBookmarks,RunningHeaders"/>
    <w:docVar w:name="WAFER_20140110100456_GUID" w:val="270f402f-88a0-471c-b8ba-2813ce140f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14307</Words>
  <Characters>68819</Characters>
  <Application>Microsoft Office Word</Application>
  <DocSecurity>0</DocSecurity>
  <Lines>2024</Lines>
  <Paragraphs>1259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1997 - 03-c0-02</dc:title>
  <dc:subject/>
  <dc:creator/>
  <cp:keywords/>
  <dc:description/>
  <cp:lastModifiedBy>svcMRProcess</cp:lastModifiedBy>
  <cp:revision>4</cp:revision>
  <cp:lastPrinted>2012-05-03T00:57:00Z</cp:lastPrinted>
  <dcterms:created xsi:type="dcterms:W3CDTF">2018-08-26T05:17:00Z</dcterms:created>
  <dcterms:modified xsi:type="dcterms:W3CDTF">2018-08-26T05:17:00Z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20130101</vt:lpwstr>
  </property>
  <property fmtid="{D5CDD505-2E9C-101B-9397-08002B2CF9AE}" pid="4" name="DocumentType">
    <vt:lpwstr>Act</vt:lpwstr>
  </property>
  <property fmtid="{D5CDD505-2E9C-101B-9397-08002B2CF9AE}" pid="5" name="OwlsUID">
    <vt:i4>1813</vt:i4>
  </property>
  <property fmtid="{D5CDD505-2E9C-101B-9397-08002B2CF9AE}" pid="6" name="AsAtDate">
    <vt:lpwstr>01 Jan 2013</vt:lpwstr>
  </property>
  <property fmtid="{D5CDD505-2E9C-101B-9397-08002B2CF9AE}" pid="7" name="Suffix">
    <vt:lpwstr>03-c0-02</vt:lpwstr>
  </property>
  <property fmtid="{D5CDD505-2E9C-101B-9397-08002B2CF9AE}" pid="8" name="ReprintNo">
    <vt:lpwstr>3</vt:lpwstr>
  </property>
  <property fmtid="{D5CDD505-2E9C-101B-9397-08002B2CF9AE}" pid="9" name="ReprintedAsAt">
    <vt:filetime>2012-04-26T16:00:00Z</vt:filetime>
  </property>
</Properties>
</file>