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Litter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Litter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_Toc377565051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_Toc377565052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Recommended litter receptacles</w:t>
      </w:r>
      <w:r>
        <w:tab/>
      </w:r>
      <w:r>
        <w:fldChar w:fldCharType="begin"/>
      </w:r>
      <w:r>
        <w:instrText xml:space="preserve"> PAGEREF _Toc377565053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Damage to litter receptacle</w:t>
      </w:r>
      <w:r>
        <w:tab/>
      </w:r>
      <w:r>
        <w:fldChar w:fldCharType="begin"/>
      </w:r>
      <w:r>
        <w:instrText xml:space="preserve"> PAGEREF _Toc377565054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Interference with litter receptacle</w:t>
      </w:r>
      <w:r>
        <w:tab/>
      </w:r>
      <w:r>
        <w:fldChar w:fldCharType="begin"/>
      </w:r>
      <w:r>
        <w:instrText xml:space="preserve"> PAGEREF _Toc377565055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Domestic or commercial waste not to be deposited in litter receptacle</w:t>
      </w:r>
      <w:r>
        <w:tab/>
      </w:r>
      <w:r>
        <w:fldChar w:fldCharType="begin"/>
      </w:r>
      <w:r>
        <w:instrText xml:space="preserve"> PAGEREF _Toc377565056 \h </w:instrText>
      </w:r>
      <w:r>
        <w:fldChar w:fldCharType="separate"/>
      </w:r>
      <w:r>
        <w:t>2</w:t>
      </w:r>
      <w:r>
        <w:fldChar w:fldCharType="end"/>
      </w:r>
    </w:p>
    <w:p>
      <w:pPr>
        <w:pStyle w:val="TOC8"/>
        <w:rPr>
          <w:rFonts w:asciiTheme="minorHAnsi" w:eastAsiaTheme="minorEastAsia" w:hAnsiTheme="minorHAnsi" w:cstheme="minorBidi"/>
          <w:szCs w:val="22"/>
        </w:rPr>
      </w:pPr>
      <w:r>
        <w:t>8.</w:t>
      </w:r>
      <w:r>
        <w:tab/>
        <w:t>Securing of loads</w:t>
      </w:r>
      <w:r>
        <w:tab/>
      </w:r>
      <w:r>
        <w:fldChar w:fldCharType="begin"/>
      </w:r>
      <w:r>
        <w:instrText xml:space="preserve"> PAGEREF _Toc377565057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offences</w:t>
      </w:r>
      <w:r>
        <w:tab/>
      </w:r>
      <w:r>
        <w:fldChar w:fldCharType="begin"/>
      </w:r>
      <w:r>
        <w:instrText xml:space="preserve"> PAGEREF _Toc377565058 \h </w:instrText>
      </w:r>
      <w:r>
        <w:fldChar w:fldCharType="separate"/>
      </w:r>
      <w:r>
        <w:t>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Prescribed office</w:t>
      </w:r>
      <w:r>
        <w:tab/>
      </w:r>
      <w:r>
        <w:fldChar w:fldCharType="begin"/>
      </w:r>
      <w:r>
        <w:instrText xml:space="preserve"> PAGEREF _Toc377565059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of adding to, or altering infringement notices</w:t>
      </w:r>
      <w:r>
        <w:tab/>
      </w:r>
      <w:r>
        <w:fldChar w:fldCharType="begin"/>
      </w:r>
      <w:r>
        <w:instrText xml:space="preserve"> PAGEREF _Toc377565060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Forms</w:t>
      </w:r>
      <w:r>
        <w:tab/>
      </w:r>
      <w:r>
        <w:fldChar w:fldCharType="begin"/>
      </w:r>
      <w:r>
        <w:instrText xml:space="preserve"> PAGEREF _Toc377565061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Litter creating public risk</w:t>
      </w:r>
    </w:p>
    <w:p>
      <w:pPr>
        <w:pStyle w:val="TOC2"/>
        <w:tabs>
          <w:tab w:val="right" w:leader="dot" w:pos="7086"/>
        </w:tabs>
        <w:rPr>
          <w:rFonts w:asciiTheme="minorHAnsi" w:eastAsiaTheme="minorEastAsia" w:hAnsiTheme="minorHAnsi" w:cstheme="minorBidi"/>
          <w:b w:val="0"/>
          <w:sz w:val="22"/>
          <w:szCs w:val="22"/>
        </w:rPr>
      </w:pPr>
      <w:r>
        <w:t>Schedule 1A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Appendix</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_Toc377565067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Litter Act 1979</w:t>
      </w:r>
    </w:p>
    <w:p>
      <w:pPr>
        <w:pStyle w:val="NameofActReg"/>
      </w:pPr>
      <w:r>
        <w:t>Litter Regulations 1981</w:t>
      </w:r>
    </w:p>
    <w:p>
      <w:pPr>
        <w:pStyle w:val="Heading5"/>
        <w:rPr>
          <w:snapToGrid w:val="0"/>
        </w:rPr>
      </w:pPr>
      <w:bookmarkStart w:id="1" w:name="_Toc377565051"/>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pPr>
        <w:pStyle w:val="Heading5"/>
        <w:rPr>
          <w:snapToGrid w:val="0"/>
        </w:rPr>
      </w:pPr>
      <w:bookmarkStart w:id="2" w:name="_Toc377565052"/>
      <w:r>
        <w:rPr>
          <w:rStyle w:val="CharSectno"/>
        </w:rPr>
        <w:t>2</w:t>
      </w:r>
      <w:r>
        <w:rPr>
          <w:snapToGrid w:val="0"/>
        </w:rPr>
        <w:t>.</w:t>
      </w:r>
      <w:r>
        <w:rPr>
          <w:snapToGrid w:val="0"/>
        </w:rPr>
        <w:tab/>
        <w:t>Interpretation</w:t>
      </w:r>
      <w:bookmarkEnd w:id="2"/>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litter creating public risk</w:t>
      </w:r>
      <w:r>
        <w:t xml:space="preserve"> means litter that belongs to a category of litter described in Schedule 1;</w:t>
      </w:r>
    </w:p>
    <w:p>
      <w:pPr>
        <w:pStyle w:val="Defstart"/>
      </w:pPr>
      <w:r>
        <w:rPr>
          <w:b/>
        </w:rPr>
        <w:tab/>
      </w:r>
      <w:r>
        <w:rPr>
          <w:rStyle w:val="CharDefText"/>
        </w:rPr>
        <w:t>public litter receptacle</w:t>
      </w:r>
      <w:r>
        <w:t xml:space="preserve"> means a container provided in a public place for disposal of litter;</w:t>
      </w:r>
    </w:p>
    <w:p>
      <w:pPr>
        <w:pStyle w:val="Defstart"/>
      </w:pPr>
      <w:r>
        <w:rPr>
          <w:b/>
        </w:rPr>
        <w:tab/>
      </w:r>
      <w:r>
        <w:rPr>
          <w:rStyle w:val="CharDefText"/>
        </w:rPr>
        <w:t>Schedule</w:t>
      </w:r>
      <w:r>
        <w:t xml:space="preserve"> means a Schedule to these regulations.</w:t>
      </w:r>
    </w:p>
    <w:p>
      <w:pPr>
        <w:pStyle w:val="Footnotesection"/>
      </w:pPr>
      <w:r>
        <w:tab/>
        <w:t xml:space="preserve">[Regulation 2 amended in Gazette 19 Jul 1996 p. 3459; 11 Jan 2013 p. 43.] </w:t>
      </w:r>
    </w:p>
    <w:p>
      <w:pPr>
        <w:pStyle w:val="Heading5"/>
        <w:rPr>
          <w:snapToGrid w:val="0"/>
        </w:rPr>
      </w:pPr>
      <w:bookmarkStart w:id="3" w:name="_Toc377565053"/>
      <w:r>
        <w:rPr>
          <w:rStyle w:val="CharSectno"/>
        </w:rPr>
        <w:t>3</w:t>
      </w:r>
      <w:r>
        <w:rPr>
          <w:snapToGrid w:val="0"/>
        </w:rPr>
        <w:t>.</w:t>
      </w:r>
      <w:r>
        <w:rPr>
          <w:snapToGrid w:val="0"/>
        </w:rPr>
        <w:tab/>
        <w:t>Recommended litter receptacles</w:t>
      </w:r>
      <w:bookmarkEnd w:id="3"/>
    </w:p>
    <w:p>
      <w:pPr>
        <w:pStyle w:val="Subsection"/>
        <w:rPr>
          <w:snapToGrid w:val="0"/>
        </w:rPr>
      </w:pPr>
      <w:r>
        <w:rPr>
          <w:snapToGrid w:val="0"/>
        </w:rPr>
        <w:tab/>
      </w:r>
      <w:r>
        <w:rPr>
          <w:snapToGrid w:val="0"/>
        </w:rPr>
        <w:tab/>
        <w:t>For the purposes of section 25 the use of litter receptacles of the following specifications is recommended — </w:t>
      </w:r>
    </w:p>
    <w:p>
      <w:pPr>
        <w:pStyle w:val="Indenta"/>
        <w:rPr>
          <w:snapToGrid w:val="0"/>
        </w:rPr>
      </w:pPr>
      <w:r>
        <w:rPr>
          <w:snapToGrid w:val="0"/>
        </w:rPr>
        <w:tab/>
        <w:t>(a)</w:t>
      </w:r>
      <w:r>
        <w:rPr>
          <w:snapToGrid w:val="0"/>
        </w:rPr>
        <w:tab/>
        <w:t>a capacity of not less than 60 and not more than 200 litres;</w:t>
      </w:r>
    </w:p>
    <w:p>
      <w:pPr>
        <w:pStyle w:val="Indenta"/>
        <w:rPr>
          <w:snapToGrid w:val="0"/>
        </w:rPr>
      </w:pPr>
      <w:r>
        <w:rPr>
          <w:snapToGrid w:val="0"/>
        </w:rPr>
        <w:tab/>
        <w:t>(b)</w:t>
      </w:r>
      <w:r>
        <w:rPr>
          <w:snapToGrid w:val="0"/>
        </w:rPr>
        <w:tab/>
        <w:t>all outer edges rounded or rolled;</w:t>
      </w:r>
    </w:p>
    <w:p>
      <w:pPr>
        <w:pStyle w:val="Indenta"/>
        <w:rPr>
          <w:snapToGrid w:val="0"/>
        </w:rPr>
      </w:pPr>
      <w:r>
        <w:rPr>
          <w:snapToGrid w:val="0"/>
        </w:rPr>
        <w:tab/>
        <w:t>(c)</w:t>
      </w:r>
      <w:r>
        <w:rPr>
          <w:snapToGrid w:val="0"/>
        </w:rPr>
        <w:tab/>
        <w:t>in the case of covered receptacles; openings that are readily identifiable and accessible;</w:t>
      </w:r>
    </w:p>
    <w:p>
      <w:pPr>
        <w:pStyle w:val="Indenta"/>
        <w:rPr>
          <w:snapToGrid w:val="0"/>
        </w:rPr>
      </w:pPr>
      <w:r>
        <w:rPr>
          <w:snapToGrid w:val="0"/>
        </w:rPr>
        <w:tab/>
        <w:t>(d)</w:t>
      </w:r>
      <w:r>
        <w:rPr>
          <w:snapToGrid w:val="0"/>
        </w:rPr>
        <w:tab/>
        <w:t>an outer surface coloured “golden yellow” in accordance with C356 — British Standard Colour Code 381c and bearing, in a contrasting colour, the symbol depicted in the Appendix to these regulations; and</w:t>
      </w:r>
    </w:p>
    <w:p>
      <w:pPr>
        <w:pStyle w:val="Indenta"/>
        <w:rPr>
          <w:snapToGrid w:val="0"/>
        </w:rPr>
      </w:pPr>
      <w:r>
        <w:rPr>
          <w:snapToGrid w:val="0"/>
        </w:rPr>
        <w:tab/>
        <w:t>(e)</w:t>
      </w:r>
      <w:r>
        <w:rPr>
          <w:snapToGrid w:val="0"/>
        </w:rPr>
        <w:tab/>
        <w:t>the body constructed of galvanised metal of not less than .6 mm in thickness or other material of equivalent strength.</w:t>
      </w:r>
    </w:p>
    <w:p>
      <w:pPr>
        <w:pStyle w:val="Heading5"/>
        <w:rPr>
          <w:snapToGrid w:val="0"/>
        </w:rPr>
      </w:pPr>
      <w:bookmarkStart w:id="4" w:name="_Toc377565054"/>
      <w:r>
        <w:rPr>
          <w:rStyle w:val="CharSectno"/>
        </w:rPr>
        <w:t>4</w:t>
      </w:r>
      <w:r>
        <w:rPr>
          <w:snapToGrid w:val="0"/>
        </w:rPr>
        <w:t>.</w:t>
      </w:r>
      <w:r>
        <w:rPr>
          <w:snapToGrid w:val="0"/>
        </w:rPr>
        <w:tab/>
        <w:t>Damage to litter receptacle</w:t>
      </w:r>
      <w:bookmarkEnd w:id="4"/>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damage or deface;</w:t>
      </w:r>
    </w:p>
    <w:p>
      <w:pPr>
        <w:pStyle w:val="Indenta"/>
        <w:rPr>
          <w:snapToGrid w:val="0"/>
        </w:rPr>
      </w:pPr>
      <w:r>
        <w:rPr>
          <w:snapToGrid w:val="0"/>
        </w:rPr>
        <w:tab/>
        <w:t>(b)</w:t>
      </w:r>
      <w:r>
        <w:rPr>
          <w:snapToGrid w:val="0"/>
        </w:rPr>
        <w:tab/>
        <w:t>ignite the contents of,</w:t>
      </w:r>
    </w:p>
    <w:p>
      <w:pPr>
        <w:pStyle w:val="Subsection"/>
        <w:rPr>
          <w:snapToGrid w:val="0"/>
        </w:rPr>
      </w:pPr>
      <w:r>
        <w:rPr>
          <w:snapToGrid w:val="0"/>
        </w:rPr>
        <w:tab/>
      </w:r>
      <w:r>
        <w:rPr>
          <w:snapToGrid w:val="0"/>
        </w:rPr>
        <w:tab/>
        <w:t>a public litter receptacle.</w:t>
      </w:r>
    </w:p>
    <w:p>
      <w:pPr>
        <w:pStyle w:val="Penstart"/>
      </w:pPr>
      <w:r>
        <w:tab/>
        <w:t>Penalty: a fine of $5 000.</w:t>
      </w:r>
    </w:p>
    <w:p>
      <w:pPr>
        <w:pStyle w:val="Footnotesection"/>
      </w:pPr>
      <w:r>
        <w:tab/>
        <w:t>[Regulation 4 amended in Gazette 11 Jan 2013 p. 43.]</w:t>
      </w:r>
    </w:p>
    <w:p>
      <w:pPr>
        <w:pStyle w:val="Heading5"/>
        <w:rPr>
          <w:snapToGrid w:val="0"/>
        </w:rPr>
      </w:pPr>
      <w:bookmarkStart w:id="5" w:name="_Toc377565055"/>
      <w:r>
        <w:rPr>
          <w:rStyle w:val="CharSectno"/>
        </w:rPr>
        <w:t>5</w:t>
      </w:r>
      <w:r>
        <w:rPr>
          <w:snapToGrid w:val="0"/>
        </w:rPr>
        <w:t>.</w:t>
      </w:r>
      <w:r>
        <w:rPr>
          <w:snapToGrid w:val="0"/>
        </w:rPr>
        <w:tab/>
        <w:t>Interference with litter receptacle</w:t>
      </w:r>
      <w:bookmarkEnd w:id="5"/>
    </w:p>
    <w:p>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pPr>
        <w:pStyle w:val="Penstart"/>
      </w:pPr>
      <w:r>
        <w:tab/>
        <w:t>Penalty: a fine of $5 000.</w:t>
      </w:r>
    </w:p>
    <w:p>
      <w:pPr>
        <w:pStyle w:val="Footnotesection"/>
      </w:pPr>
      <w:r>
        <w:tab/>
        <w:t xml:space="preserve">[Regulation 5 inserted in Gazette 19 Jul 1996 p. 3459; amended in Gazette 11 Jan 2013 p. 44.] </w:t>
      </w:r>
    </w:p>
    <w:p>
      <w:pPr>
        <w:pStyle w:val="Heading5"/>
        <w:rPr>
          <w:snapToGrid w:val="0"/>
        </w:rPr>
      </w:pPr>
      <w:bookmarkStart w:id="6" w:name="_Toc377565056"/>
      <w:r>
        <w:rPr>
          <w:rStyle w:val="CharSectno"/>
        </w:rPr>
        <w:t>6</w:t>
      </w:r>
      <w:r>
        <w:rPr>
          <w:snapToGrid w:val="0"/>
        </w:rPr>
        <w:t>.</w:t>
      </w:r>
      <w:r>
        <w:rPr>
          <w:snapToGrid w:val="0"/>
        </w:rPr>
        <w:tab/>
        <w:t>Domestic or commercial waste not to be deposited in litter receptacle</w:t>
      </w:r>
      <w:bookmarkEnd w:id="6"/>
    </w:p>
    <w:p>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pPr>
        <w:pStyle w:val="Penstart"/>
        <w:rPr>
          <w:snapToGrid w:val="0"/>
        </w:rPr>
      </w:pPr>
      <w:r>
        <w:tab/>
        <w:t>Penalty: a fine of $5 000.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commercial waste</w:t>
      </w:r>
      <w:r>
        <w:t xml:space="preserve"> means waste material of any kind generated by shops, offices, industrial premises, hotels, restaurants and hospitals;</w:t>
      </w:r>
    </w:p>
    <w:p>
      <w:pPr>
        <w:pStyle w:val="Defstart"/>
      </w:pPr>
      <w:r>
        <w:rPr>
          <w:b/>
        </w:rPr>
        <w:tab/>
      </w:r>
      <w:r>
        <w:rPr>
          <w:rStyle w:val="CharDefText"/>
        </w:rPr>
        <w:t>domestic waste</w:t>
      </w:r>
      <w:r>
        <w:t xml:space="preserve"> means waste material of any kind generated by private dwellings and includes garbage, lawn clippings and old furnishings.</w:t>
      </w:r>
    </w:p>
    <w:p>
      <w:pPr>
        <w:pStyle w:val="Footnotesection"/>
      </w:pPr>
      <w:r>
        <w:tab/>
        <w:t>[Regulation 6 amended in Gazette 11 Jan 2013 p. 44.]</w:t>
      </w:r>
    </w:p>
    <w:p>
      <w:pPr>
        <w:pStyle w:val="Ednotesection"/>
      </w:pPr>
      <w:r>
        <w:t>[</w:t>
      </w:r>
      <w:r>
        <w:rPr>
          <w:b/>
        </w:rPr>
        <w:t>7.</w:t>
      </w:r>
      <w:r>
        <w:tab/>
        <w:t>Deleted in Gazette 19 Jul 1996 p. 3460.]</w:t>
      </w:r>
    </w:p>
    <w:p>
      <w:pPr>
        <w:pStyle w:val="Heading5"/>
      </w:pPr>
      <w:bookmarkStart w:id="7" w:name="_Toc377565057"/>
      <w:r>
        <w:rPr>
          <w:rStyle w:val="CharSectno"/>
        </w:rPr>
        <w:t>8</w:t>
      </w:r>
      <w:r>
        <w:t>.</w:t>
      </w:r>
      <w:r>
        <w:tab/>
        <w:t>Securing of loads</w:t>
      </w:r>
      <w:bookmarkEnd w:id="7"/>
    </w:p>
    <w:p>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pPr>
        <w:pStyle w:val="Penstart"/>
      </w:pPr>
      <w:r>
        <w:tab/>
        <w:t>Penalty: a fine of $5 000.</w:t>
      </w:r>
    </w:p>
    <w:p>
      <w:pPr>
        <w:pStyle w:val="Footnotesection"/>
      </w:pPr>
      <w:r>
        <w:tab/>
        <w:t>[Regulation 8 amended in Gazette 11 Jan 2013 p. 44.]</w:t>
      </w:r>
    </w:p>
    <w:p>
      <w:pPr>
        <w:pStyle w:val="Heading5"/>
      </w:pPr>
      <w:bookmarkStart w:id="8" w:name="_Toc377565058"/>
      <w:r>
        <w:rPr>
          <w:rStyle w:val="CharSectno"/>
        </w:rPr>
        <w:t>9</w:t>
      </w:r>
      <w:r>
        <w:t>.</w:t>
      </w:r>
      <w:r>
        <w:tab/>
        <w:t>Prescribed offences</w:t>
      </w:r>
      <w:bookmarkEnd w:id="8"/>
    </w:p>
    <w:p>
      <w:pPr>
        <w:pStyle w:val="Subsection"/>
      </w:pPr>
      <w:r>
        <w:tab/>
      </w:r>
      <w:r>
        <w:tab/>
        <w:t xml:space="preserve">The offences described in Schedule 1A are those prescribed for the purposes of section 30 and the amount specified in that Schedule, directly opposite an offence — </w:t>
      </w:r>
    </w:p>
    <w:p>
      <w:pPr>
        <w:pStyle w:val="Indenta"/>
      </w:pPr>
      <w:r>
        <w:tab/>
        <w:t>(a)</w:t>
      </w:r>
      <w:r>
        <w:tab/>
        <w:t>in the column headed “</w:t>
      </w:r>
      <w:r>
        <w:rPr>
          <w:b/>
          <w:sz w:val="22"/>
          <w:szCs w:val="22"/>
        </w:rPr>
        <w:t>Penalty — Individual</w:t>
      </w:r>
      <w:r>
        <w:rPr>
          <w:szCs w:val="24"/>
        </w:rPr>
        <w:t>”</w:t>
      </w:r>
      <w:r>
        <w:t xml:space="preserve"> is the prescribed penalty in respect of that offence incurred by an individual, if dealt with under that section; and</w:t>
      </w:r>
    </w:p>
    <w:p>
      <w:pPr>
        <w:pStyle w:val="Indenta"/>
      </w:pPr>
      <w:r>
        <w:tab/>
        <w:t>(b)</w:t>
      </w:r>
      <w:r>
        <w:tab/>
        <w:t>in the column headed “</w:t>
      </w:r>
      <w:r>
        <w:rPr>
          <w:b/>
          <w:sz w:val="22"/>
          <w:szCs w:val="22"/>
        </w:rPr>
        <w:t>Penalty — Body corporate</w:t>
      </w:r>
      <w:r>
        <w:rPr>
          <w:szCs w:val="24"/>
        </w:rPr>
        <w:t>”</w:t>
      </w:r>
      <w:r>
        <w:t xml:space="preserve"> is the prescribed penalty in respect of that offence incurred by a body corporate, if dealt with under that section.</w:t>
      </w:r>
    </w:p>
    <w:p>
      <w:pPr>
        <w:pStyle w:val="Footnotesection"/>
      </w:pPr>
      <w:r>
        <w:tab/>
        <w:t>[Regulation 9 inserted in Gazette 11 Jan 2013 p. 44.]</w:t>
      </w:r>
    </w:p>
    <w:p>
      <w:pPr>
        <w:pStyle w:val="Heading5"/>
        <w:rPr>
          <w:snapToGrid w:val="0"/>
        </w:rPr>
      </w:pPr>
      <w:bookmarkStart w:id="9" w:name="_Toc377565059"/>
      <w:r>
        <w:rPr>
          <w:rStyle w:val="CharSectno"/>
        </w:rPr>
        <w:t>9A</w:t>
      </w:r>
      <w:r>
        <w:rPr>
          <w:snapToGrid w:val="0"/>
        </w:rPr>
        <w:t>.</w:t>
      </w:r>
      <w:r>
        <w:rPr>
          <w:snapToGrid w:val="0"/>
        </w:rPr>
        <w:tab/>
        <w:t>Prescribed office</w:t>
      </w:r>
      <w:bookmarkEnd w:id="9"/>
    </w:p>
    <w:p>
      <w:pPr>
        <w:pStyle w:val="Subsection"/>
        <w:rPr>
          <w:snapToGrid w:val="0"/>
        </w:rPr>
      </w:pPr>
      <w:r>
        <w:rPr>
          <w:snapToGrid w:val="0"/>
        </w:rPr>
        <w:tab/>
      </w:r>
      <w:r>
        <w:rPr>
          <w:snapToGrid w:val="0"/>
        </w:rPr>
        <w:tab/>
        <w:t>Where opposite a public authority specified in column 1 of the table to this regulation, an office of that public authority is specified in column 2 of that table, that office is a prescribed office for the purposes of section 26(2)(d).</w:t>
      </w:r>
    </w:p>
    <w:p>
      <w:pPr>
        <w:pStyle w:val="MiscellaneousHeading"/>
        <w:keepNext w:val="0"/>
        <w:spacing w:after="120"/>
        <w:rPr>
          <w:b/>
          <w:snapToGrid w:val="0"/>
        </w:rPr>
      </w:pPr>
      <w:r>
        <w:rPr>
          <w:b/>
          <w:snapToGrid w:val="0"/>
        </w:rPr>
        <w:t>Table</w:t>
      </w:r>
    </w:p>
    <w:tbl>
      <w:tblPr>
        <w:tblW w:w="0" w:type="auto"/>
        <w:tblInd w:w="5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827"/>
        <w:gridCol w:w="3260"/>
      </w:tblGrid>
      <w:tr>
        <w:trPr>
          <w:cantSplit/>
          <w:tblHeader/>
        </w:trPr>
        <w:tc>
          <w:tcPr>
            <w:tcW w:w="3827" w:type="dxa"/>
            <w:tcBorders>
              <w:top w:val="single" w:sz="4" w:space="0" w:color="auto"/>
              <w:left w:val="nil"/>
              <w:bottom w:val="single" w:sz="4" w:space="0" w:color="auto"/>
            </w:tcBorders>
          </w:tcPr>
          <w:p>
            <w:pPr>
              <w:pStyle w:val="Table"/>
              <w:jc w:val="center"/>
              <w:rPr>
                <w:b/>
              </w:rPr>
            </w:pPr>
            <w:r>
              <w:rPr>
                <w:b/>
              </w:rPr>
              <w:t>Column 1</w:t>
            </w:r>
          </w:p>
          <w:p>
            <w:pPr>
              <w:pStyle w:val="Table"/>
              <w:spacing w:before="0"/>
              <w:jc w:val="center"/>
              <w:rPr>
                <w:b/>
              </w:rPr>
            </w:pPr>
            <w:r>
              <w:rPr>
                <w:b/>
              </w:rPr>
              <w:t>Public authorities</w:t>
            </w:r>
          </w:p>
        </w:tc>
        <w:tc>
          <w:tcPr>
            <w:tcW w:w="3260" w:type="dxa"/>
            <w:tcBorders>
              <w:top w:val="single" w:sz="4" w:space="0" w:color="auto"/>
              <w:bottom w:val="single" w:sz="4" w:space="0" w:color="auto"/>
              <w:right w:val="nil"/>
            </w:tcBorders>
          </w:tcPr>
          <w:p>
            <w:pPr>
              <w:pStyle w:val="Table"/>
              <w:jc w:val="center"/>
              <w:rPr>
                <w:b/>
              </w:rPr>
            </w:pPr>
            <w:r>
              <w:rPr>
                <w:b/>
              </w:rPr>
              <w:t>Column 2</w:t>
            </w:r>
          </w:p>
          <w:p>
            <w:pPr>
              <w:pStyle w:val="Table"/>
              <w:spacing w:before="0"/>
              <w:jc w:val="center"/>
              <w:rPr>
                <w:b/>
              </w:rPr>
            </w:pPr>
            <w:r>
              <w:rPr>
                <w:b/>
              </w:rPr>
              <w:t>Prescribed offices</w:t>
            </w:r>
          </w:p>
        </w:tc>
      </w:tr>
      <w:tr>
        <w:tblPrEx>
          <w:tblBorders>
            <w:top w:val="none" w:sz="0" w:space="0" w:color="auto"/>
            <w:left w:val="single" w:sz="4" w:space="0" w:color="auto"/>
            <w:bottom w:val="none" w:sz="0" w:space="0" w:color="auto"/>
          </w:tblBorders>
        </w:tblPrEx>
        <w:trPr>
          <w:cantSplit/>
        </w:trPr>
        <w:tc>
          <w:tcPr>
            <w:tcW w:w="3827" w:type="dxa"/>
            <w:tcBorders>
              <w:top w:val="nil"/>
              <w:left w:val="nil"/>
            </w:tcBorders>
          </w:tcPr>
          <w:p>
            <w:pPr>
              <w:pStyle w:val="Table"/>
              <w:tabs>
                <w:tab w:val="left" w:pos="369"/>
              </w:tabs>
              <w:ind w:left="369" w:hanging="369"/>
            </w:pPr>
            <w:r>
              <w:rPr>
                <w:i/>
              </w:rPr>
              <w:t>[1.</w:t>
            </w:r>
            <w:r>
              <w:rPr>
                <w:i/>
              </w:rPr>
              <w:tab/>
              <w:t>deleted]</w:t>
            </w:r>
          </w:p>
        </w:tc>
        <w:tc>
          <w:tcPr>
            <w:tcW w:w="3260" w:type="dxa"/>
            <w:tcBorders>
              <w:top w:val="nil"/>
              <w:right w:val="nil"/>
            </w:tcBorders>
          </w:tcPr>
          <w:p>
            <w:pPr>
              <w:pStyle w:val="Table"/>
            </w:pPr>
          </w:p>
        </w:tc>
      </w:tr>
      <w:tr>
        <w:tblPrEx>
          <w:tblBorders>
            <w:top w:val="none" w:sz="0" w:space="0" w:color="auto"/>
            <w:left w:val="single" w:sz="4" w:space="0" w:color="auto"/>
            <w:bottom w:val="none" w:sz="0" w:space="0" w:color="auto"/>
          </w:tblBorders>
        </w:tblPrEx>
        <w:trPr>
          <w:cantSplit/>
        </w:trPr>
        <w:tc>
          <w:tcPr>
            <w:tcW w:w="3827" w:type="dxa"/>
            <w:tcBorders>
              <w:left w:val="nil"/>
            </w:tcBorders>
          </w:tcPr>
          <w:p>
            <w:pPr>
              <w:pStyle w:val="Table"/>
              <w:tabs>
                <w:tab w:val="left" w:pos="369"/>
              </w:tabs>
              <w:ind w:left="369" w:hanging="369"/>
            </w:pPr>
            <w:r>
              <w:t>2.</w:t>
            </w:r>
            <w:r>
              <w:tab/>
              <w:t>Department for Youth, Sport and Recreation </w:t>
            </w:r>
            <w:r>
              <w:rPr>
                <w:vertAlign w:val="superscript"/>
              </w:rPr>
              <w:t>2</w:t>
            </w:r>
          </w:p>
        </w:tc>
        <w:tc>
          <w:tcPr>
            <w:tcW w:w="3260" w:type="dxa"/>
            <w:tcBorders>
              <w:right w:val="nil"/>
            </w:tcBorders>
          </w:tcPr>
          <w:p>
            <w:pPr>
              <w:pStyle w:val="Table"/>
            </w:pPr>
            <w:r>
              <w:t>Manager of camps; Camps officer; Warden; Relieving warden; Groundsman.</w:t>
            </w:r>
          </w:p>
        </w:tc>
      </w:tr>
      <w:tr>
        <w:tblPrEx>
          <w:tblBorders>
            <w:top w:val="none" w:sz="0" w:space="0" w:color="auto"/>
            <w:left w:val="single" w:sz="4" w:space="0" w:color="auto"/>
            <w:bottom w:val="none" w:sz="0" w:space="0" w:color="auto"/>
          </w:tblBorders>
        </w:tblPrEx>
        <w:trPr>
          <w:cantSplit/>
        </w:trPr>
        <w:tc>
          <w:tcPr>
            <w:tcW w:w="3827" w:type="dxa"/>
            <w:tcBorders>
              <w:left w:val="nil"/>
            </w:tcBorders>
          </w:tcPr>
          <w:p>
            <w:pPr>
              <w:pStyle w:val="Table"/>
              <w:tabs>
                <w:tab w:val="left" w:pos="369"/>
              </w:tabs>
              <w:ind w:left="369" w:hanging="369"/>
            </w:pPr>
            <w:r>
              <w:t>3.</w:t>
            </w:r>
            <w:r>
              <w:tab/>
            </w:r>
            <w:smartTag w:uri="urn:schemas-microsoft-com:office:smarttags" w:element="PlaceName">
              <w:r>
                <w:t>Rottnest</w:t>
              </w:r>
            </w:smartTag>
            <w:r>
              <w:t xml:space="preserve"> </w:t>
            </w:r>
            <w:smartTag w:uri="urn:schemas-microsoft-com:office:smarttags" w:element="PlaceType">
              <w:r>
                <w:t>Island</w:t>
              </w:r>
            </w:smartTag>
            <w:r>
              <w:t xml:space="preserve"> Authority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3260" w:type="dxa"/>
            <w:tcBorders>
              <w:right w:val="nil"/>
            </w:tcBorders>
          </w:tcPr>
          <w:p>
            <w:pPr>
              <w:pStyle w:val="Table"/>
            </w:pPr>
            <w:r>
              <w:t xml:space="preserve">A person designated under subsection (1)(a) of section 28 of that Act to be a ranger, or appointed under subsection (1)(b) of that section to be an honorary ranger for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tc>
      </w:tr>
      <w:tr>
        <w:tblPrEx>
          <w:tblBorders>
            <w:top w:val="none" w:sz="0" w:space="0" w:color="auto"/>
            <w:left w:val="single" w:sz="4" w:space="0" w:color="auto"/>
          </w:tblBorders>
        </w:tblPrEx>
        <w:trPr>
          <w:cantSplit/>
        </w:trPr>
        <w:tc>
          <w:tcPr>
            <w:tcW w:w="3827" w:type="dxa"/>
            <w:tcBorders>
              <w:left w:val="nil"/>
              <w:bottom w:val="single" w:sz="4" w:space="0" w:color="auto"/>
            </w:tcBorders>
          </w:tcPr>
          <w:p>
            <w:pPr>
              <w:pStyle w:val="Table"/>
              <w:tabs>
                <w:tab w:val="left" w:pos="369"/>
              </w:tabs>
              <w:ind w:left="369" w:hanging="369"/>
            </w:pPr>
            <w:r>
              <w:t>4.</w:t>
            </w:r>
            <w:r>
              <w:tab/>
            </w:r>
            <w:smartTag w:uri="urn:schemas-microsoft-com:office:smarttags" w:element="place">
              <w:smartTag w:uri="urn:schemas-microsoft-com:office:smarttags" w:element="PlaceName">
                <w:r>
                  <w:rPr>
                    <w:szCs w:val="22"/>
                  </w:rPr>
                  <w:t>Swan</w:t>
                </w:r>
              </w:smartTag>
              <w:r>
                <w:rPr>
                  <w:szCs w:val="22"/>
                </w:rPr>
                <w:t xml:space="preserve"> </w:t>
              </w:r>
              <w:smartTag w:uri="urn:schemas-microsoft-com:office:smarttags" w:element="PlaceType">
                <w:r>
                  <w:rPr>
                    <w:szCs w:val="22"/>
                  </w:rPr>
                  <w:t>River</w:t>
                </w:r>
              </w:smartTag>
            </w:smartTag>
            <w:r>
              <w:rPr>
                <w:szCs w:val="22"/>
              </w:rPr>
              <w:t xml:space="preserve"> Trust under the </w:t>
            </w:r>
            <w:r>
              <w:rPr>
                <w:i/>
                <w:szCs w:val="22"/>
              </w:rPr>
              <w:t>Swan and Canning Rivers Management Act 2006</w:t>
            </w:r>
          </w:p>
        </w:tc>
        <w:tc>
          <w:tcPr>
            <w:tcW w:w="3260" w:type="dxa"/>
            <w:tcBorders>
              <w:bottom w:val="single" w:sz="4" w:space="0" w:color="auto"/>
              <w:right w:val="nil"/>
            </w:tcBorders>
          </w:tcPr>
          <w:p>
            <w:pPr>
              <w:pStyle w:val="Table"/>
            </w:pPr>
            <w:r>
              <w:rPr>
                <w:szCs w:val="22"/>
              </w:rPr>
              <w:t>A person designated under section 39 of that Act as an inspector</w:t>
            </w:r>
          </w:p>
        </w:tc>
      </w:tr>
    </w:tbl>
    <w:p>
      <w:pPr>
        <w:pStyle w:val="Footnotesection"/>
      </w:pPr>
      <w:r>
        <w:tab/>
        <w:t>[Regulation 9A inserted by 13 Aug 1982 p. 3154; amended in Gazette 30 May 1988 p. 1847; 7 Apr 1989 p. 1035; 11 Jan 2013 p. 44.]</w:t>
      </w:r>
    </w:p>
    <w:p>
      <w:pPr>
        <w:pStyle w:val="Heading5"/>
        <w:rPr>
          <w:snapToGrid w:val="0"/>
        </w:rPr>
      </w:pPr>
      <w:bookmarkStart w:id="10" w:name="_Toc377565060"/>
      <w:r>
        <w:rPr>
          <w:rStyle w:val="CharSectno"/>
        </w:rPr>
        <w:t>10</w:t>
      </w:r>
      <w:r>
        <w:rPr>
          <w:snapToGrid w:val="0"/>
        </w:rPr>
        <w:t>.</w:t>
      </w:r>
      <w:r>
        <w:rPr>
          <w:snapToGrid w:val="0"/>
        </w:rPr>
        <w:tab/>
        <w:t>Offence of adding to, or altering infringement notices</w:t>
      </w:r>
      <w:bookmarkEnd w:id="10"/>
    </w:p>
    <w:p>
      <w:pPr>
        <w:pStyle w:val="Subsection"/>
        <w:rPr>
          <w:snapToGrid w:val="0"/>
        </w:rPr>
      </w:pPr>
      <w:r>
        <w:rPr>
          <w:snapToGrid w:val="0"/>
        </w:rPr>
        <w:tab/>
      </w:r>
      <w:r>
        <w:rPr>
          <w:snapToGrid w:val="0"/>
        </w:rPr>
        <w:tab/>
        <w:t>A person, not being an authorised officer, shall not make any endorsement on, or alteration to, an infringement notice.</w:t>
      </w:r>
    </w:p>
    <w:p>
      <w:pPr>
        <w:pStyle w:val="Penstart"/>
        <w:rPr>
          <w:snapToGrid w:val="0"/>
        </w:rPr>
      </w:pPr>
      <w:r>
        <w:tab/>
        <w:t>Penalty: a fine of $400.</w:t>
      </w:r>
    </w:p>
    <w:p>
      <w:pPr>
        <w:pStyle w:val="Footnotesection"/>
      </w:pPr>
      <w:r>
        <w:tab/>
        <w:t>[Regulation 10 erratum in Gazette 17 Jul 1981 p. 2888; amended in Gazette 11 Jan 2013 p. 45.]</w:t>
      </w:r>
    </w:p>
    <w:p>
      <w:pPr>
        <w:pStyle w:val="Heading5"/>
        <w:rPr>
          <w:snapToGrid w:val="0"/>
        </w:rPr>
      </w:pPr>
      <w:bookmarkStart w:id="11" w:name="_Toc377565061"/>
      <w:r>
        <w:rPr>
          <w:rStyle w:val="CharSectno"/>
        </w:rPr>
        <w:t>11</w:t>
      </w:r>
      <w:r>
        <w:rPr>
          <w:snapToGrid w:val="0"/>
        </w:rPr>
        <w:t>.</w:t>
      </w:r>
      <w:r>
        <w:rPr>
          <w:snapToGrid w:val="0"/>
        </w:rPr>
        <w:tab/>
        <w:t>Forms</w:t>
      </w:r>
      <w:bookmarkEnd w:id="11"/>
    </w:p>
    <w:p>
      <w:pPr>
        <w:pStyle w:val="Subsection"/>
        <w:rPr>
          <w:snapToGrid w:val="0"/>
        </w:rPr>
      </w:pPr>
      <w:r>
        <w:rPr>
          <w:snapToGrid w:val="0"/>
        </w:rPr>
        <w:tab/>
      </w:r>
      <w:r>
        <w:rPr>
          <w:snapToGrid w:val="0"/>
        </w:rPr>
        <w:tab/>
        <w:t>The several forms set out in Schedule 2 are prescribed for the respective purposes for which forms are required by sections 26 and 30.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 w:name="_Toc377565062"/>
      <w:r>
        <w:rPr>
          <w:rStyle w:val="CharSchNo"/>
        </w:rPr>
        <w:t>Schedule 1</w:t>
      </w:r>
      <w:r>
        <w:t> — </w:t>
      </w:r>
      <w:r>
        <w:rPr>
          <w:rStyle w:val="CharSchText"/>
        </w:rPr>
        <w:t>Litter creating public risk</w:t>
      </w:r>
      <w:bookmarkEnd w:id="12"/>
    </w:p>
    <w:p>
      <w:pPr>
        <w:pStyle w:val="yShoulderClause"/>
      </w:pPr>
      <w:r>
        <w:t>[r. 2]</w:t>
      </w:r>
    </w:p>
    <w:p>
      <w:pPr>
        <w:pStyle w:val="yFootnoteheading"/>
        <w:spacing w:after="120"/>
      </w:pPr>
      <w:r>
        <w:tab/>
        <w:t>[Heading inserted in Gazette 11 Jan 2013 p. 45.]</w:t>
      </w:r>
    </w:p>
    <w:tbl>
      <w:tblPr>
        <w:tblW w:w="0" w:type="auto"/>
        <w:tblInd w:w="538" w:type="dxa"/>
        <w:tblLayout w:type="fixed"/>
        <w:tblCellMar>
          <w:left w:w="112" w:type="dxa"/>
          <w:right w:w="112" w:type="dxa"/>
        </w:tblCellMar>
        <w:tblLook w:val="0000" w:firstRow="0" w:lastRow="0" w:firstColumn="0" w:lastColumn="0" w:noHBand="0" w:noVBand="0"/>
      </w:tblPr>
      <w:tblGrid>
        <w:gridCol w:w="708"/>
        <w:gridCol w:w="5670"/>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5670" w:type="dxa"/>
            <w:tcBorders>
              <w:top w:val="single" w:sz="4" w:space="0" w:color="auto"/>
              <w:bottom w:val="single" w:sz="4" w:space="0" w:color="auto"/>
            </w:tcBorders>
          </w:tcPr>
          <w:p>
            <w:pPr>
              <w:pStyle w:val="yTableNAm"/>
              <w:tabs>
                <w:tab w:val="clear" w:pos="567"/>
              </w:tabs>
              <w:jc w:val="center"/>
              <w:rPr>
                <w:b/>
              </w:rPr>
            </w:pPr>
            <w:r>
              <w:rPr>
                <w:b/>
              </w:rPr>
              <w:t>Category of litter</w:t>
            </w:r>
          </w:p>
        </w:tc>
      </w:tr>
      <w:tr>
        <w:trPr>
          <w:cantSplit/>
        </w:trPr>
        <w:tc>
          <w:tcPr>
            <w:tcW w:w="708" w:type="dxa"/>
            <w:tcBorders>
              <w:top w:val="single" w:sz="4" w:space="0" w:color="auto"/>
            </w:tcBorders>
          </w:tcPr>
          <w:p>
            <w:pPr>
              <w:pStyle w:val="yTableNAm"/>
              <w:jc w:val="center"/>
            </w:pPr>
            <w:r>
              <w:t>1.</w:t>
            </w:r>
          </w:p>
        </w:tc>
        <w:tc>
          <w:tcPr>
            <w:tcW w:w="5670" w:type="dxa"/>
            <w:tcBorders>
              <w:top w:val="single" w:sz="4" w:space="0" w:color="auto"/>
            </w:tcBorders>
          </w:tcPr>
          <w:p>
            <w:pPr>
              <w:pStyle w:val="yTableNAm"/>
            </w:pPr>
            <w:r>
              <w:t>Animal carcass or animal body part (other than as cooked food)</w:t>
            </w:r>
          </w:p>
        </w:tc>
      </w:tr>
      <w:tr>
        <w:trPr>
          <w:cantSplit/>
        </w:trPr>
        <w:tc>
          <w:tcPr>
            <w:tcW w:w="708" w:type="dxa"/>
          </w:tcPr>
          <w:p>
            <w:pPr>
              <w:pStyle w:val="yTableNAm"/>
              <w:jc w:val="center"/>
            </w:pPr>
            <w:r>
              <w:t>2.</w:t>
            </w:r>
          </w:p>
        </w:tc>
        <w:tc>
          <w:tcPr>
            <w:tcW w:w="5670" w:type="dxa"/>
          </w:tcPr>
          <w:p>
            <w:pPr>
              <w:pStyle w:val="yTableNAm"/>
            </w:pPr>
            <w:r>
              <w:t>Pill, capsule or tablet, or a blister pack that contains or is designed to contain a pill, capsule or tablet</w:t>
            </w:r>
          </w:p>
        </w:tc>
      </w:tr>
      <w:tr>
        <w:trPr>
          <w:cantSplit/>
        </w:trPr>
        <w:tc>
          <w:tcPr>
            <w:tcW w:w="708" w:type="dxa"/>
          </w:tcPr>
          <w:p>
            <w:pPr>
              <w:pStyle w:val="yTableNAm"/>
              <w:jc w:val="center"/>
            </w:pPr>
            <w:r>
              <w:t>3.</w:t>
            </w:r>
          </w:p>
        </w:tc>
        <w:tc>
          <w:tcPr>
            <w:tcW w:w="5670" w:type="dxa"/>
          </w:tcPr>
          <w:p>
            <w:pPr>
              <w:pStyle w:val="yTableNAm"/>
            </w:pPr>
            <w:r>
              <w:t xml:space="preserve">Container, whether empty or not, that is labelled or marked with any of the following warnings — </w:t>
            </w:r>
          </w:p>
          <w:p>
            <w:pPr>
              <w:pStyle w:val="yTableNAm"/>
              <w:rPr>
                <w:sz w:val="20"/>
              </w:rPr>
            </w:pPr>
            <w:r>
              <w:rPr>
                <w:sz w:val="20"/>
              </w:rPr>
              <w:t>POISON</w:t>
            </w:r>
          </w:p>
          <w:p>
            <w:pPr>
              <w:pStyle w:val="yTableNAm"/>
              <w:rPr>
                <w:sz w:val="20"/>
              </w:rPr>
            </w:pPr>
            <w:r>
              <w:rPr>
                <w:sz w:val="20"/>
              </w:rPr>
              <w:t>DANGEROUS POISON</w:t>
            </w:r>
          </w:p>
          <w:p>
            <w:pPr>
              <w:pStyle w:val="yTableNAm"/>
              <w:rPr>
                <w:sz w:val="20"/>
              </w:rPr>
            </w:pPr>
            <w:r>
              <w:rPr>
                <w:sz w:val="20"/>
              </w:rPr>
              <w:t>CONTROLLED DRUG</w:t>
            </w:r>
          </w:p>
          <w:p>
            <w:pPr>
              <w:pStyle w:val="yTableNAm"/>
              <w:rPr>
                <w:sz w:val="20"/>
              </w:rPr>
            </w:pPr>
            <w:r>
              <w:rPr>
                <w:sz w:val="20"/>
              </w:rPr>
              <w:t>KEEP OUT OF REACH OF CHILDREN</w:t>
            </w:r>
          </w:p>
          <w:p>
            <w:pPr>
              <w:pStyle w:val="yTableNAm"/>
              <w:rPr>
                <w:sz w:val="20"/>
              </w:rPr>
            </w:pPr>
            <w:r>
              <w:rPr>
                <w:sz w:val="20"/>
              </w:rPr>
              <w:t>FIRE AND EXPLOSIVE HAZARD</w:t>
            </w:r>
          </w:p>
          <w:p>
            <w:pPr>
              <w:pStyle w:val="yTableNAm"/>
            </w:pPr>
            <w:r>
              <w:rPr>
                <w:sz w:val="20"/>
              </w:rPr>
              <w:t>BURNS SKIN AND THROAT</w:t>
            </w:r>
          </w:p>
        </w:tc>
      </w:tr>
      <w:tr>
        <w:trPr>
          <w:cantSplit/>
        </w:trPr>
        <w:tc>
          <w:tcPr>
            <w:tcW w:w="708" w:type="dxa"/>
          </w:tcPr>
          <w:p>
            <w:pPr>
              <w:pStyle w:val="yTableNAm"/>
              <w:jc w:val="center"/>
            </w:pPr>
            <w:r>
              <w:t>4.</w:t>
            </w:r>
          </w:p>
        </w:tc>
        <w:tc>
          <w:tcPr>
            <w:tcW w:w="5670" w:type="dxa"/>
          </w:tcPr>
          <w:p>
            <w:pPr>
              <w:pStyle w:val="yTableNAm"/>
            </w:pPr>
            <w:r>
              <w:t xml:space="preserve">Container, whether empty or not, that is labelled or marked with any of the following warnings — </w:t>
            </w:r>
          </w:p>
          <w:p>
            <w:pPr>
              <w:pStyle w:val="yTableNAm"/>
              <w:rPr>
                <w:sz w:val="20"/>
              </w:rPr>
            </w:pPr>
            <w:r>
              <w:rPr>
                <w:sz w:val="20"/>
              </w:rPr>
              <w:t>TOXIC</w:t>
            </w:r>
          </w:p>
          <w:p>
            <w:pPr>
              <w:pStyle w:val="yTableNAm"/>
              <w:rPr>
                <w:sz w:val="20"/>
              </w:rPr>
            </w:pPr>
            <w:r>
              <w:rPr>
                <w:sz w:val="20"/>
              </w:rPr>
              <w:t>TOXIC GAS</w:t>
            </w:r>
          </w:p>
          <w:p>
            <w:pPr>
              <w:pStyle w:val="yTableNAm"/>
              <w:rPr>
                <w:sz w:val="20"/>
              </w:rPr>
            </w:pPr>
            <w:r>
              <w:rPr>
                <w:sz w:val="20"/>
              </w:rPr>
              <w:t>RADIATION</w:t>
            </w:r>
          </w:p>
          <w:p>
            <w:pPr>
              <w:pStyle w:val="yTableNAm"/>
              <w:rPr>
                <w:sz w:val="20"/>
              </w:rPr>
            </w:pPr>
            <w:r>
              <w:rPr>
                <w:sz w:val="20"/>
              </w:rPr>
              <w:t>BIO</w:t>
            </w:r>
            <w:r>
              <w:rPr>
                <w:sz w:val="20"/>
              </w:rPr>
              <w:noBreakHyphen/>
              <w:t>HAZARD</w:t>
            </w:r>
          </w:p>
          <w:p>
            <w:pPr>
              <w:pStyle w:val="yTableNAm"/>
              <w:rPr>
                <w:sz w:val="20"/>
              </w:rPr>
            </w:pPr>
            <w:r>
              <w:rPr>
                <w:sz w:val="20"/>
              </w:rPr>
              <w:t>EXPLOSIVES</w:t>
            </w:r>
          </w:p>
          <w:p>
            <w:pPr>
              <w:pStyle w:val="yTableNAm"/>
              <w:rPr>
                <w:sz w:val="20"/>
              </w:rPr>
            </w:pPr>
            <w:r>
              <w:rPr>
                <w:sz w:val="20"/>
              </w:rPr>
              <w:t>CHEMICAL HAZARD</w:t>
            </w:r>
          </w:p>
          <w:p>
            <w:pPr>
              <w:pStyle w:val="yTableNAm"/>
              <w:rPr>
                <w:sz w:val="20"/>
              </w:rPr>
            </w:pPr>
            <w:r>
              <w:rPr>
                <w:sz w:val="20"/>
              </w:rPr>
              <w:t>FLAMMABLE GAS</w:t>
            </w:r>
          </w:p>
          <w:p>
            <w:pPr>
              <w:pStyle w:val="yTableNAm"/>
              <w:rPr>
                <w:sz w:val="20"/>
              </w:rPr>
            </w:pPr>
            <w:r>
              <w:rPr>
                <w:sz w:val="20"/>
              </w:rPr>
              <w:t>FLAMMABLE LIQUID</w:t>
            </w:r>
          </w:p>
          <w:p>
            <w:pPr>
              <w:pStyle w:val="yTableNAm"/>
              <w:rPr>
                <w:sz w:val="20"/>
              </w:rPr>
            </w:pPr>
            <w:r>
              <w:rPr>
                <w:sz w:val="20"/>
              </w:rPr>
              <w:t>FLAMMABLE SOLID</w:t>
            </w:r>
          </w:p>
          <w:p>
            <w:pPr>
              <w:pStyle w:val="yTableNAm"/>
              <w:rPr>
                <w:sz w:val="20"/>
              </w:rPr>
            </w:pPr>
            <w:r>
              <w:rPr>
                <w:sz w:val="20"/>
              </w:rPr>
              <w:t>OXIDISING GAS</w:t>
            </w:r>
          </w:p>
          <w:p>
            <w:pPr>
              <w:pStyle w:val="yTableNAm"/>
            </w:pPr>
          </w:p>
        </w:tc>
      </w:tr>
      <w:tr>
        <w:trPr>
          <w:cantSplit/>
        </w:trPr>
        <w:tc>
          <w:tcPr>
            <w:tcW w:w="708" w:type="dxa"/>
          </w:tcPr>
          <w:p>
            <w:pPr>
              <w:pStyle w:val="yTableNAm"/>
              <w:jc w:val="center"/>
            </w:pPr>
          </w:p>
        </w:tc>
        <w:tc>
          <w:tcPr>
            <w:tcW w:w="5670" w:type="dxa"/>
          </w:tcPr>
          <w:p>
            <w:pPr>
              <w:pStyle w:val="yTableNAm"/>
              <w:rPr>
                <w:sz w:val="20"/>
              </w:rPr>
            </w:pPr>
            <w:r>
              <w:rPr>
                <w:sz w:val="20"/>
              </w:rPr>
              <w:t>INFECTIOUS SUBSTANCE</w:t>
            </w:r>
          </w:p>
          <w:p>
            <w:pPr>
              <w:pStyle w:val="yTableNAm"/>
              <w:rPr>
                <w:sz w:val="20"/>
              </w:rPr>
            </w:pPr>
            <w:r>
              <w:rPr>
                <w:sz w:val="20"/>
              </w:rPr>
              <w:t>CORROSIVE</w:t>
            </w:r>
          </w:p>
          <w:p>
            <w:pPr>
              <w:pStyle w:val="yTableNAm"/>
            </w:pPr>
            <w:r>
              <w:rPr>
                <w:sz w:val="20"/>
              </w:rPr>
              <w:t>DANGEROUS GOODS</w:t>
            </w:r>
          </w:p>
        </w:tc>
      </w:tr>
      <w:tr>
        <w:trPr>
          <w:cantSplit/>
        </w:trPr>
        <w:tc>
          <w:tcPr>
            <w:tcW w:w="708" w:type="dxa"/>
          </w:tcPr>
          <w:p>
            <w:pPr>
              <w:pStyle w:val="yTableNAm"/>
              <w:jc w:val="center"/>
            </w:pPr>
            <w:r>
              <w:t>5.</w:t>
            </w:r>
          </w:p>
        </w:tc>
        <w:tc>
          <w:tcPr>
            <w:tcW w:w="5670" w:type="dxa"/>
          </w:tcPr>
          <w:p>
            <w:pPr>
              <w:pStyle w:val="yTableNAm"/>
            </w:pPr>
            <w:r>
              <w:t>Unexploded firework or flare or live ammunition</w:t>
            </w:r>
          </w:p>
        </w:tc>
      </w:tr>
      <w:tr>
        <w:trPr>
          <w:cantSplit/>
        </w:trPr>
        <w:tc>
          <w:tcPr>
            <w:tcW w:w="708" w:type="dxa"/>
          </w:tcPr>
          <w:p>
            <w:pPr>
              <w:pStyle w:val="yTableNAm"/>
              <w:jc w:val="center"/>
            </w:pPr>
            <w:r>
              <w:t>6.</w:t>
            </w:r>
          </w:p>
        </w:tc>
        <w:tc>
          <w:tcPr>
            <w:tcW w:w="5670" w:type="dxa"/>
          </w:tcPr>
          <w:p>
            <w:pPr>
              <w:pStyle w:val="yTableNAm"/>
            </w:pPr>
            <w:r>
              <w:t>Broken glass, or sharp</w:t>
            </w:r>
            <w:r>
              <w:noBreakHyphen/>
              <w:t>edged metal or earthenware</w:t>
            </w:r>
          </w:p>
        </w:tc>
      </w:tr>
      <w:tr>
        <w:trPr>
          <w:cantSplit/>
        </w:trPr>
        <w:tc>
          <w:tcPr>
            <w:tcW w:w="708" w:type="dxa"/>
          </w:tcPr>
          <w:p>
            <w:pPr>
              <w:pStyle w:val="yTableNAm"/>
              <w:jc w:val="center"/>
            </w:pPr>
            <w:r>
              <w:t>7.</w:t>
            </w:r>
          </w:p>
        </w:tc>
        <w:tc>
          <w:tcPr>
            <w:tcW w:w="5670" w:type="dxa"/>
          </w:tcPr>
          <w:p>
            <w:pPr>
              <w:pStyle w:val="yTableNAm"/>
            </w:pPr>
            <w:r>
              <w:t>Motor vehicle body or motor vehicle part</w:t>
            </w:r>
          </w:p>
        </w:tc>
      </w:tr>
      <w:tr>
        <w:trPr>
          <w:cantSplit/>
        </w:trPr>
        <w:tc>
          <w:tcPr>
            <w:tcW w:w="708" w:type="dxa"/>
          </w:tcPr>
          <w:p>
            <w:pPr>
              <w:pStyle w:val="yTableNAm"/>
              <w:jc w:val="center"/>
            </w:pPr>
            <w:r>
              <w:t>8.</w:t>
            </w:r>
          </w:p>
        </w:tc>
        <w:tc>
          <w:tcPr>
            <w:tcW w:w="5670" w:type="dxa"/>
          </w:tcPr>
          <w:p>
            <w:pPr>
              <w:pStyle w:val="yTableNAm"/>
            </w:pPr>
            <w:r>
              <w:t>Refrigerator or freezer with door attached</w:t>
            </w:r>
          </w:p>
        </w:tc>
      </w:tr>
      <w:tr>
        <w:trPr>
          <w:cantSplit/>
        </w:trPr>
        <w:tc>
          <w:tcPr>
            <w:tcW w:w="708" w:type="dxa"/>
          </w:tcPr>
          <w:p>
            <w:pPr>
              <w:pStyle w:val="yTableNAm"/>
              <w:jc w:val="center"/>
            </w:pPr>
            <w:r>
              <w:t>9.</w:t>
            </w:r>
          </w:p>
        </w:tc>
        <w:tc>
          <w:tcPr>
            <w:tcW w:w="5670" w:type="dxa"/>
          </w:tcPr>
          <w:p>
            <w:pPr>
              <w:pStyle w:val="yTableNAm"/>
            </w:pPr>
            <w:r>
              <w:t>Lit cigarette</w:t>
            </w:r>
          </w:p>
        </w:tc>
      </w:tr>
      <w:tr>
        <w:trPr>
          <w:cantSplit/>
        </w:trPr>
        <w:tc>
          <w:tcPr>
            <w:tcW w:w="708" w:type="dxa"/>
          </w:tcPr>
          <w:p>
            <w:pPr>
              <w:pStyle w:val="yTableNAm"/>
              <w:jc w:val="center"/>
            </w:pPr>
            <w:r>
              <w:t>10.</w:t>
            </w:r>
          </w:p>
        </w:tc>
        <w:tc>
          <w:tcPr>
            <w:tcW w:w="5670" w:type="dxa"/>
          </w:tcPr>
          <w:p>
            <w:pPr>
              <w:pStyle w:val="yTableNAm"/>
            </w:pPr>
            <w:r>
              <w:t>Hypodermic needle or syringe, whether or not attached to each other</w:t>
            </w:r>
          </w:p>
        </w:tc>
      </w:tr>
      <w:tr>
        <w:trPr>
          <w:cantSplit/>
        </w:trPr>
        <w:tc>
          <w:tcPr>
            <w:tcW w:w="708" w:type="dxa"/>
          </w:tcPr>
          <w:p>
            <w:pPr>
              <w:pStyle w:val="yTableNAm"/>
              <w:jc w:val="center"/>
            </w:pPr>
            <w:r>
              <w:t>11.</w:t>
            </w:r>
          </w:p>
        </w:tc>
        <w:tc>
          <w:tcPr>
            <w:tcW w:w="5670" w:type="dxa"/>
          </w:tcPr>
          <w:p>
            <w:pPr>
              <w:pStyle w:val="yTableNAm"/>
            </w:pPr>
            <w:smartTag w:uri="urn:schemas-microsoft-com:office:smarttags" w:element="place">
              <w:smartTag w:uri="urn:schemas-microsoft-com:office:smarttags" w:element="City">
                <w:r>
                  <w:t>Tyre</w:t>
                </w:r>
              </w:smartTag>
            </w:smartTag>
          </w:p>
        </w:tc>
      </w:tr>
      <w:tr>
        <w:trPr>
          <w:cantSplit/>
        </w:trPr>
        <w:tc>
          <w:tcPr>
            <w:tcW w:w="708" w:type="dxa"/>
            <w:tcBorders>
              <w:bottom w:val="single" w:sz="8" w:space="0" w:color="auto"/>
            </w:tcBorders>
          </w:tcPr>
          <w:p>
            <w:pPr>
              <w:pStyle w:val="yTableNAm"/>
              <w:jc w:val="center"/>
            </w:pPr>
            <w:r>
              <w:t>12.</w:t>
            </w:r>
          </w:p>
        </w:tc>
        <w:tc>
          <w:tcPr>
            <w:tcW w:w="5670" w:type="dxa"/>
            <w:tcBorders>
              <w:bottom w:val="single" w:sz="8" w:space="0" w:color="auto"/>
            </w:tcBorders>
          </w:tcPr>
          <w:p>
            <w:pPr>
              <w:pStyle w:val="yTableNAm"/>
            </w:pPr>
            <w:smartTag w:uri="urn:schemas-microsoft-com:office:smarttags" w:element="place">
              <w:r>
                <w:t>Battery</w:t>
              </w:r>
            </w:smartTag>
          </w:p>
        </w:tc>
      </w:tr>
    </w:tbl>
    <w:p>
      <w:pPr>
        <w:pStyle w:val="yFootnotesection"/>
      </w:pPr>
      <w:r>
        <w:tab/>
        <w:t>[Schedule 1 inserted in Gazette 11 Jan 2013 p. 45</w:t>
      </w:r>
      <w:r>
        <w:noBreakHyphen/>
        <w:t>6.]</w:t>
      </w:r>
    </w:p>
    <w:p>
      <w:pPr>
        <w:pStyle w:val="yScheduleHeading"/>
      </w:pPr>
      <w:bookmarkStart w:id="13" w:name="_Toc377565063"/>
      <w:r>
        <w:rPr>
          <w:rStyle w:val="CharSchNo"/>
        </w:rPr>
        <w:t>Schedule 1A</w:t>
      </w:r>
      <w:r>
        <w:t> — </w:t>
      </w:r>
      <w:r>
        <w:rPr>
          <w:rStyle w:val="CharSchText"/>
        </w:rPr>
        <w:t>Prescribed offences and modified penalties</w:t>
      </w:r>
      <w:bookmarkEnd w:id="13"/>
    </w:p>
    <w:p>
      <w:pPr>
        <w:pStyle w:val="yShoulderClause"/>
      </w:pPr>
      <w:r>
        <w:t>[r. 9]</w:t>
      </w:r>
    </w:p>
    <w:p>
      <w:pPr>
        <w:pStyle w:val="yFootnoteheading"/>
        <w:spacing w:after="120"/>
      </w:pPr>
      <w:r>
        <w:tab/>
        <w:t>[Heading inserted in Gazette 11 Jan 2013 p. 46.]</w:t>
      </w:r>
    </w:p>
    <w:tbl>
      <w:tblPr>
        <w:tblW w:w="0" w:type="auto"/>
        <w:tblInd w:w="538" w:type="dxa"/>
        <w:tblLayout w:type="fixed"/>
        <w:tblCellMar>
          <w:left w:w="112" w:type="dxa"/>
          <w:right w:w="112" w:type="dxa"/>
        </w:tblCellMar>
        <w:tblLook w:val="0000" w:firstRow="0" w:lastRow="0" w:firstColumn="0" w:lastColumn="0" w:noHBand="0" w:noVBand="0"/>
      </w:tblPr>
      <w:tblGrid>
        <w:gridCol w:w="708"/>
        <w:gridCol w:w="1276"/>
        <w:gridCol w:w="1843"/>
        <w:gridCol w:w="1276"/>
        <w:gridCol w:w="1275"/>
      </w:tblGrid>
      <w:tr>
        <w:trPr>
          <w:cantSplit/>
          <w:trHeight w:val="800"/>
          <w:tblHeader/>
        </w:trPr>
        <w:tc>
          <w:tcPr>
            <w:tcW w:w="708" w:type="dxa"/>
            <w:tcBorders>
              <w:top w:val="single" w:sz="8" w:space="0" w:color="auto"/>
              <w:bottom w:val="single" w:sz="8" w:space="0" w:color="auto"/>
            </w:tcBorders>
          </w:tcPr>
          <w:p>
            <w:pPr>
              <w:pStyle w:val="yTableNAm"/>
              <w:rPr>
                <w:b/>
                <w:szCs w:val="22"/>
              </w:rPr>
            </w:pPr>
            <w:r>
              <w:rPr>
                <w:b/>
                <w:szCs w:val="22"/>
              </w:rPr>
              <w:t>Item</w:t>
            </w:r>
          </w:p>
        </w:tc>
        <w:tc>
          <w:tcPr>
            <w:tcW w:w="1276" w:type="dxa"/>
            <w:tcBorders>
              <w:top w:val="single" w:sz="8" w:space="0" w:color="auto"/>
              <w:bottom w:val="single" w:sz="8" w:space="0" w:color="auto"/>
            </w:tcBorders>
          </w:tcPr>
          <w:p>
            <w:pPr>
              <w:pStyle w:val="yTableNAm"/>
              <w:rPr>
                <w:b/>
                <w:szCs w:val="22"/>
              </w:rPr>
            </w:pPr>
            <w:r>
              <w:rPr>
                <w:b/>
                <w:szCs w:val="22"/>
              </w:rPr>
              <w:t>Section or regulation</w:t>
            </w:r>
          </w:p>
        </w:tc>
        <w:tc>
          <w:tcPr>
            <w:tcW w:w="1843" w:type="dxa"/>
            <w:tcBorders>
              <w:top w:val="single" w:sz="8" w:space="0" w:color="auto"/>
              <w:bottom w:val="single" w:sz="8" w:space="0" w:color="auto"/>
            </w:tcBorders>
          </w:tcPr>
          <w:p>
            <w:pPr>
              <w:pStyle w:val="yTableNAm"/>
              <w:rPr>
                <w:b/>
                <w:szCs w:val="22"/>
              </w:rPr>
            </w:pPr>
            <w:r>
              <w:rPr>
                <w:b/>
                <w:szCs w:val="22"/>
              </w:rPr>
              <w:t>Offence</w:t>
            </w:r>
          </w:p>
        </w:tc>
        <w:tc>
          <w:tcPr>
            <w:tcW w:w="1276" w:type="dxa"/>
            <w:tcBorders>
              <w:top w:val="single" w:sz="8" w:space="0" w:color="auto"/>
              <w:bottom w:val="single" w:sz="8" w:space="0" w:color="auto"/>
            </w:tcBorders>
          </w:tcPr>
          <w:p>
            <w:pPr>
              <w:pStyle w:val="yTableNAm"/>
              <w:rPr>
                <w:b/>
                <w:szCs w:val="22"/>
              </w:rPr>
            </w:pPr>
            <w:r>
              <w:rPr>
                <w:b/>
                <w:szCs w:val="22"/>
              </w:rPr>
              <w:t>Penalty — Individual</w:t>
            </w:r>
            <w:r>
              <w:rPr>
                <w:b/>
                <w:szCs w:val="22"/>
              </w:rPr>
              <w:br/>
            </w:r>
          </w:p>
          <w:p>
            <w:pPr>
              <w:pStyle w:val="yTableNAm"/>
              <w:spacing w:before="0"/>
              <w:jc w:val="center"/>
              <w:rPr>
                <w:b/>
                <w:szCs w:val="22"/>
              </w:rPr>
            </w:pPr>
            <w:r>
              <w:rPr>
                <w:b/>
                <w:szCs w:val="22"/>
              </w:rPr>
              <w:t>($)</w:t>
            </w:r>
          </w:p>
        </w:tc>
        <w:tc>
          <w:tcPr>
            <w:tcW w:w="1275" w:type="dxa"/>
            <w:tcBorders>
              <w:top w:val="single" w:sz="8" w:space="0" w:color="auto"/>
              <w:bottom w:val="single" w:sz="8" w:space="0" w:color="auto"/>
            </w:tcBorders>
          </w:tcPr>
          <w:p>
            <w:pPr>
              <w:pStyle w:val="yTableNAm"/>
              <w:rPr>
                <w:b/>
                <w:szCs w:val="22"/>
              </w:rPr>
            </w:pPr>
            <w:r>
              <w:rPr>
                <w:b/>
                <w:szCs w:val="22"/>
              </w:rPr>
              <w:t>Penalty — Body corporate</w:t>
            </w:r>
          </w:p>
          <w:p>
            <w:pPr>
              <w:pStyle w:val="yTableNAm"/>
              <w:spacing w:before="0"/>
              <w:jc w:val="center"/>
              <w:rPr>
                <w:b/>
                <w:szCs w:val="22"/>
              </w:rPr>
            </w:pPr>
            <w:r>
              <w:rPr>
                <w:b/>
                <w:szCs w:val="22"/>
              </w:rPr>
              <w:t>($)</w:t>
            </w:r>
          </w:p>
        </w:tc>
      </w:tr>
      <w:tr>
        <w:trPr>
          <w:cantSplit/>
        </w:trPr>
        <w:tc>
          <w:tcPr>
            <w:tcW w:w="708" w:type="dxa"/>
            <w:tcBorders>
              <w:top w:val="single" w:sz="8" w:space="0" w:color="auto"/>
            </w:tcBorders>
          </w:tcPr>
          <w:p>
            <w:pPr>
              <w:pStyle w:val="yTableNAm"/>
              <w:jc w:val="center"/>
              <w:rPr>
                <w:szCs w:val="22"/>
              </w:rPr>
            </w:pPr>
            <w:r>
              <w:rPr>
                <w:szCs w:val="22"/>
              </w:rPr>
              <w:t>1.</w:t>
            </w:r>
          </w:p>
        </w:tc>
        <w:tc>
          <w:tcPr>
            <w:tcW w:w="1276" w:type="dxa"/>
            <w:tcBorders>
              <w:top w:val="single" w:sz="8" w:space="0" w:color="auto"/>
            </w:tcBorders>
          </w:tcPr>
          <w:p>
            <w:pPr>
              <w:pStyle w:val="yTableNAm"/>
              <w:rPr>
                <w:szCs w:val="22"/>
              </w:rPr>
            </w:pPr>
            <w:r>
              <w:rPr>
                <w:szCs w:val="22"/>
              </w:rPr>
              <w:t>s. 23</w:t>
            </w:r>
          </w:p>
        </w:tc>
        <w:tc>
          <w:tcPr>
            <w:tcW w:w="1843" w:type="dxa"/>
            <w:tcBorders>
              <w:top w:val="single" w:sz="8" w:space="0" w:color="auto"/>
            </w:tcBorders>
          </w:tcPr>
          <w:p>
            <w:pPr>
              <w:pStyle w:val="yTableNAm"/>
              <w:tabs>
                <w:tab w:val="clear" w:pos="567"/>
                <w:tab w:val="right" w:leader="dot" w:pos="2268"/>
                <w:tab w:val="right" w:leader="dot" w:pos="25515"/>
              </w:tabs>
              <w:rPr>
                <w:szCs w:val="22"/>
              </w:rPr>
            </w:pPr>
            <w:r>
              <w:rPr>
                <w:szCs w:val="22"/>
              </w:rPr>
              <w:t xml:space="preserve">Littering creating public risk </w:t>
            </w:r>
            <w:r>
              <w:rPr>
                <w:szCs w:val="22"/>
              </w:rPr>
              <w:tab/>
            </w:r>
          </w:p>
        </w:tc>
        <w:tc>
          <w:tcPr>
            <w:tcW w:w="1276" w:type="dxa"/>
            <w:tcBorders>
              <w:top w:val="single" w:sz="8" w:space="0" w:color="auto"/>
            </w:tcBorders>
          </w:tcPr>
          <w:p>
            <w:pPr>
              <w:pStyle w:val="yTableNAm"/>
              <w:jc w:val="center"/>
              <w:rPr>
                <w:szCs w:val="22"/>
              </w:rPr>
            </w:pPr>
            <w:r>
              <w:rPr>
                <w:szCs w:val="22"/>
              </w:rPr>
              <w:br/>
              <w:t>500</w:t>
            </w:r>
          </w:p>
        </w:tc>
        <w:tc>
          <w:tcPr>
            <w:tcW w:w="1275" w:type="dxa"/>
            <w:tcBorders>
              <w:top w:val="single" w:sz="8" w:space="0" w:color="auto"/>
            </w:tcBorders>
          </w:tcPr>
          <w:p>
            <w:pPr>
              <w:pStyle w:val="yTableNAm"/>
              <w:jc w:val="center"/>
              <w:rPr>
                <w:szCs w:val="22"/>
              </w:rPr>
            </w:pPr>
            <w:r>
              <w:rPr>
                <w:szCs w:val="22"/>
              </w:rPr>
              <w:br/>
              <w:t>2 000</w:t>
            </w:r>
          </w:p>
        </w:tc>
      </w:tr>
      <w:tr>
        <w:trPr>
          <w:cantSplit/>
        </w:trPr>
        <w:tc>
          <w:tcPr>
            <w:tcW w:w="708" w:type="dxa"/>
          </w:tcPr>
          <w:p>
            <w:pPr>
              <w:pStyle w:val="yTableNAm"/>
              <w:jc w:val="center"/>
              <w:rPr>
                <w:szCs w:val="22"/>
              </w:rPr>
            </w:pPr>
            <w:r>
              <w:rPr>
                <w:szCs w:val="22"/>
              </w:rPr>
              <w:t>2.</w:t>
            </w:r>
          </w:p>
        </w:tc>
        <w:tc>
          <w:tcPr>
            <w:tcW w:w="1276" w:type="dxa"/>
          </w:tcPr>
          <w:p>
            <w:pPr>
              <w:pStyle w:val="yTableNAm"/>
              <w:rPr>
                <w:szCs w:val="22"/>
              </w:rPr>
            </w:pPr>
            <w:r>
              <w:rPr>
                <w:szCs w:val="22"/>
              </w:rPr>
              <w:t>s. 23</w:t>
            </w:r>
          </w:p>
        </w:tc>
        <w:tc>
          <w:tcPr>
            <w:tcW w:w="1843" w:type="dxa"/>
          </w:tcPr>
          <w:p>
            <w:pPr>
              <w:pStyle w:val="yTableNAm"/>
              <w:tabs>
                <w:tab w:val="clear" w:pos="567"/>
                <w:tab w:val="right" w:leader="dot" w:pos="1731"/>
              </w:tabs>
              <w:rPr>
                <w:szCs w:val="22"/>
              </w:rPr>
            </w:pPr>
            <w:r>
              <w:rPr>
                <w:szCs w:val="22"/>
              </w:rPr>
              <w:t xml:space="preserve">Littering — any other litter </w:t>
            </w:r>
            <w:r>
              <w:rPr>
                <w:szCs w:val="22"/>
              </w:rPr>
              <w:tab/>
            </w:r>
          </w:p>
        </w:tc>
        <w:tc>
          <w:tcPr>
            <w:tcW w:w="1276"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708" w:type="dxa"/>
          </w:tcPr>
          <w:p>
            <w:pPr>
              <w:pStyle w:val="yTableNAm"/>
              <w:jc w:val="center"/>
              <w:rPr>
                <w:szCs w:val="22"/>
              </w:rPr>
            </w:pPr>
            <w:r>
              <w:rPr>
                <w:szCs w:val="22"/>
              </w:rPr>
              <w:t>3.</w:t>
            </w:r>
          </w:p>
        </w:tc>
        <w:tc>
          <w:tcPr>
            <w:tcW w:w="1276" w:type="dxa"/>
          </w:tcPr>
          <w:p>
            <w:pPr>
              <w:pStyle w:val="yTableNAm"/>
              <w:rPr>
                <w:szCs w:val="22"/>
              </w:rPr>
            </w:pPr>
            <w:r>
              <w:rPr>
                <w:szCs w:val="22"/>
              </w:rPr>
              <w:t>s. 24</w:t>
            </w:r>
          </w:p>
        </w:tc>
        <w:tc>
          <w:tcPr>
            <w:tcW w:w="1843" w:type="dxa"/>
          </w:tcPr>
          <w:p>
            <w:pPr>
              <w:pStyle w:val="yTableNAm"/>
              <w:tabs>
                <w:tab w:val="right" w:leader="dot" w:pos="2268"/>
              </w:tabs>
              <w:rPr>
                <w:szCs w:val="22"/>
              </w:rPr>
            </w:pPr>
            <w:r>
              <w:rPr>
                <w:szCs w:val="22"/>
              </w:rPr>
              <w:t xml:space="preserve">Breaking glass, metal or earthenware </w:t>
            </w:r>
            <w:r>
              <w:rPr>
                <w:szCs w:val="22"/>
              </w:rPr>
              <w:tab/>
            </w:r>
          </w:p>
        </w:tc>
        <w:tc>
          <w:tcPr>
            <w:tcW w:w="1276" w:type="dxa"/>
          </w:tcPr>
          <w:p>
            <w:pPr>
              <w:pStyle w:val="yTableNAm"/>
              <w:jc w:val="center"/>
              <w:rPr>
                <w:szCs w:val="22"/>
              </w:rPr>
            </w:pPr>
            <w:r>
              <w:rPr>
                <w:szCs w:val="22"/>
              </w:rPr>
              <w:br/>
            </w:r>
            <w:r>
              <w:rPr>
                <w:szCs w:val="22"/>
              </w:rPr>
              <w:br/>
              <w:t>500</w:t>
            </w:r>
          </w:p>
        </w:tc>
        <w:tc>
          <w:tcPr>
            <w:tcW w:w="1275" w:type="dxa"/>
          </w:tcPr>
          <w:p>
            <w:pPr>
              <w:pStyle w:val="yTableNAm"/>
              <w:jc w:val="center"/>
              <w:rPr>
                <w:szCs w:val="22"/>
              </w:rPr>
            </w:pPr>
            <w:r>
              <w:rPr>
                <w:szCs w:val="22"/>
              </w:rPr>
              <w:br/>
            </w:r>
            <w:r>
              <w:rPr>
                <w:szCs w:val="22"/>
              </w:rPr>
              <w:br/>
              <w:t>2 000</w:t>
            </w:r>
          </w:p>
        </w:tc>
      </w:tr>
      <w:tr>
        <w:trPr>
          <w:cantSplit/>
        </w:trPr>
        <w:tc>
          <w:tcPr>
            <w:tcW w:w="708" w:type="dxa"/>
          </w:tcPr>
          <w:p>
            <w:pPr>
              <w:pStyle w:val="yTableNAm"/>
              <w:jc w:val="center"/>
              <w:rPr>
                <w:szCs w:val="22"/>
              </w:rPr>
            </w:pPr>
            <w:r>
              <w:rPr>
                <w:szCs w:val="22"/>
              </w:rPr>
              <w:t>4.</w:t>
            </w:r>
          </w:p>
        </w:tc>
        <w:tc>
          <w:tcPr>
            <w:tcW w:w="1276" w:type="dxa"/>
          </w:tcPr>
          <w:p>
            <w:pPr>
              <w:pStyle w:val="yTableNAm"/>
              <w:rPr>
                <w:szCs w:val="22"/>
              </w:rPr>
            </w:pPr>
            <w:r>
              <w:rPr>
                <w:szCs w:val="22"/>
              </w:rPr>
              <w:t>s. 24A(1)</w:t>
            </w:r>
          </w:p>
        </w:tc>
        <w:tc>
          <w:tcPr>
            <w:tcW w:w="1843" w:type="dxa"/>
          </w:tcPr>
          <w:p>
            <w:pPr>
              <w:pStyle w:val="yTableNAm"/>
              <w:tabs>
                <w:tab w:val="right" w:leader="dot" w:pos="2268"/>
              </w:tabs>
              <w:rPr>
                <w:szCs w:val="22"/>
              </w:rPr>
            </w:pPr>
            <w:r>
              <w:rPr>
                <w:szCs w:val="22"/>
              </w:rPr>
              <w:t xml:space="preserve">Bill posting </w:t>
            </w:r>
            <w:r>
              <w:rPr>
                <w:szCs w:val="22"/>
              </w:rPr>
              <w:tab/>
            </w:r>
          </w:p>
        </w:tc>
        <w:tc>
          <w:tcPr>
            <w:tcW w:w="1276" w:type="dxa"/>
          </w:tcPr>
          <w:p>
            <w:pPr>
              <w:pStyle w:val="yTableNAm"/>
              <w:jc w:val="center"/>
              <w:rPr>
                <w:szCs w:val="22"/>
              </w:rPr>
            </w:pPr>
            <w:r>
              <w:rPr>
                <w:szCs w:val="22"/>
              </w:rPr>
              <w:t>200</w:t>
            </w:r>
          </w:p>
        </w:tc>
        <w:tc>
          <w:tcPr>
            <w:tcW w:w="1275" w:type="dxa"/>
          </w:tcPr>
          <w:p>
            <w:pPr>
              <w:pStyle w:val="yTableNAm"/>
              <w:jc w:val="center"/>
              <w:rPr>
                <w:szCs w:val="22"/>
              </w:rPr>
            </w:pPr>
            <w:r>
              <w:rPr>
                <w:szCs w:val="22"/>
              </w:rPr>
              <w:t>500</w:t>
            </w:r>
          </w:p>
        </w:tc>
      </w:tr>
      <w:tr>
        <w:trPr>
          <w:cantSplit/>
        </w:trPr>
        <w:tc>
          <w:tcPr>
            <w:tcW w:w="708" w:type="dxa"/>
          </w:tcPr>
          <w:p>
            <w:pPr>
              <w:pStyle w:val="yTableNAm"/>
              <w:jc w:val="center"/>
              <w:rPr>
                <w:szCs w:val="22"/>
              </w:rPr>
            </w:pPr>
            <w:r>
              <w:rPr>
                <w:szCs w:val="22"/>
              </w:rPr>
              <w:t>5.</w:t>
            </w:r>
          </w:p>
        </w:tc>
        <w:tc>
          <w:tcPr>
            <w:tcW w:w="1276" w:type="dxa"/>
          </w:tcPr>
          <w:p>
            <w:pPr>
              <w:pStyle w:val="yTableNAm"/>
              <w:rPr>
                <w:szCs w:val="22"/>
              </w:rPr>
            </w:pPr>
            <w:r>
              <w:rPr>
                <w:szCs w:val="22"/>
              </w:rPr>
              <w:t>s. 24A(2)</w:t>
            </w:r>
          </w:p>
        </w:tc>
        <w:tc>
          <w:tcPr>
            <w:tcW w:w="1843" w:type="dxa"/>
          </w:tcPr>
          <w:p>
            <w:pPr>
              <w:pStyle w:val="yTableNAm"/>
              <w:tabs>
                <w:tab w:val="right" w:leader="dot" w:pos="2268"/>
              </w:tabs>
              <w:rPr>
                <w:szCs w:val="22"/>
              </w:rPr>
            </w:pPr>
            <w:r>
              <w:rPr>
                <w:szCs w:val="22"/>
              </w:rPr>
              <w:t xml:space="preserve">Bill posting on vehicle </w:t>
            </w:r>
            <w:r>
              <w:rPr>
                <w:szCs w:val="22"/>
              </w:rPr>
              <w:tab/>
            </w:r>
          </w:p>
        </w:tc>
        <w:tc>
          <w:tcPr>
            <w:tcW w:w="1276"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708" w:type="dxa"/>
          </w:tcPr>
          <w:p>
            <w:pPr>
              <w:pStyle w:val="yTableNAm"/>
              <w:jc w:val="center"/>
              <w:rPr>
                <w:szCs w:val="22"/>
              </w:rPr>
            </w:pPr>
            <w:r>
              <w:rPr>
                <w:szCs w:val="22"/>
              </w:rPr>
              <w:t>6.</w:t>
            </w:r>
          </w:p>
        </w:tc>
        <w:tc>
          <w:tcPr>
            <w:tcW w:w="1276" w:type="dxa"/>
          </w:tcPr>
          <w:p>
            <w:pPr>
              <w:pStyle w:val="yTableNAm"/>
              <w:rPr>
                <w:szCs w:val="22"/>
              </w:rPr>
            </w:pPr>
            <w:r>
              <w:rPr>
                <w:szCs w:val="22"/>
              </w:rPr>
              <w:t>r. 6</w:t>
            </w:r>
          </w:p>
        </w:tc>
        <w:tc>
          <w:tcPr>
            <w:tcW w:w="1843" w:type="dxa"/>
          </w:tcPr>
          <w:p>
            <w:pPr>
              <w:pStyle w:val="yTableNAm"/>
              <w:tabs>
                <w:tab w:val="right" w:leader="dot" w:pos="2268"/>
              </w:tabs>
              <w:rPr>
                <w:szCs w:val="22"/>
              </w:rPr>
            </w:pPr>
            <w:r>
              <w:rPr>
                <w:szCs w:val="22"/>
              </w:rPr>
              <w:t xml:space="preserve">Depositing domestic or commercial waste in public litter receptacle </w:t>
            </w:r>
            <w:r>
              <w:rPr>
                <w:szCs w:val="22"/>
              </w:rPr>
              <w:tab/>
            </w:r>
          </w:p>
        </w:tc>
        <w:tc>
          <w:tcPr>
            <w:tcW w:w="1276" w:type="dxa"/>
          </w:tcPr>
          <w:p>
            <w:pPr>
              <w:pStyle w:val="yTableNAm"/>
              <w:jc w:val="center"/>
              <w:rPr>
                <w:szCs w:val="22"/>
              </w:rPr>
            </w:pPr>
            <w:r>
              <w:rPr>
                <w:szCs w:val="22"/>
              </w:rPr>
              <w:br/>
            </w:r>
            <w:r>
              <w:rPr>
                <w:szCs w:val="22"/>
              </w:rPr>
              <w:br/>
            </w:r>
            <w:r>
              <w:rPr>
                <w:szCs w:val="22"/>
              </w:rPr>
              <w:br/>
            </w:r>
            <w:r>
              <w:rPr>
                <w:szCs w:val="22"/>
              </w:rPr>
              <w:br/>
              <w:t>200</w:t>
            </w:r>
          </w:p>
        </w:tc>
        <w:tc>
          <w:tcPr>
            <w:tcW w:w="1275" w:type="dxa"/>
          </w:tcPr>
          <w:p>
            <w:pPr>
              <w:pStyle w:val="yTableNAm"/>
              <w:jc w:val="center"/>
              <w:rPr>
                <w:szCs w:val="22"/>
              </w:rPr>
            </w:pPr>
            <w:r>
              <w:rPr>
                <w:szCs w:val="22"/>
              </w:rPr>
              <w:br/>
            </w:r>
            <w:r>
              <w:rPr>
                <w:szCs w:val="22"/>
              </w:rPr>
              <w:br/>
            </w:r>
            <w:r>
              <w:rPr>
                <w:szCs w:val="22"/>
              </w:rPr>
              <w:br/>
            </w:r>
            <w:r>
              <w:rPr>
                <w:szCs w:val="22"/>
              </w:rPr>
              <w:br/>
              <w:t>500</w:t>
            </w:r>
          </w:p>
        </w:tc>
      </w:tr>
      <w:tr>
        <w:trPr>
          <w:cantSplit/>
        </w:trPr>
        <w:tc>
          <w:tcPr>
            <w:tcW w:w="708" w:type="dxa"/>
            <w:tcBorders>
              <w:bottom w:val="single" w:sz="8" w:space="0" w:color="auto"/>
            </w:tcBorders>
          </w:tcPr>
          <w:p>
            <w:pPr>
              <w:pStyle w:val="yTableNAm"/>
              <w:keepNext/>
              <w:keepLines/>
              <w:jc w:val="center"/>
              <w:rPr>
                <w:szCs w:val="22"/>
              </w:rPr>
            </w:pPr>
            <w:r>
              <w:rPr>
                <w:szCs w:val="22"/>
              </w:rPr>
              <w:t>7.</w:t>
            </w:r>
          </w:p>
        </w:tc>
        <w:tc>
          <w:tcPr>
            <w:tcW w:w="1276" w:type="dxa"/>
            <w:tcBorders>
              <w:bottom w:val="single" w:sz="8" w:space="0" w:color="auto"/>
            </w:tcBorders>
          </w:tcPr>
          <w:p>
            <w:pPr>
              <w:pStyle w:val="yTableNAm"/>
              <w:keepNext/>
              <w:keepLines/>
              <w:rPr>
                <w:szCs w:val="22"/>
              </w:rPr>
            </w:pPr>
            <w:r>
              <w:rPr>
                <w:szCs w:val="22"/>
              </w:rPr>
              <w:t>r. 8</w:t>
            </w:r>
          </w:p>
        </w:tc>
        <w:tc>
          <w:tcPr>
            <w:tcW w:w="1843" w:type="dxa"/>
            <w:tcBorders>
              <w:bottom w:val="single" w:sz="8" w:space="0" w:color="auto"/>
            </w:tcBorders>
          </w:tcPr>
          <w:p>
            <w:pPr>
              <w:pStyle w:val="yTableNAm"/>
              <w:keepNext/>
              <w:keepLines/>
              <w:tabs>
                <w:tab w:val="clear" w:pos="567"/>
                <w:tab w:val="right" w:leader="dot" w:pos="1731"/>
                <w:tab w:val="right" w:leader="dot" w:pos="2268"/>
              </w:tabs>
              <w:rPr>
                <w:szCs w:val="22"/>
              </w:rPr>
            </w:pPr>
            <w:r>
              <w:rPr>
                <w:szCs w:val="22"/>
              </w:rPr>
              <w:t xml:space="preserve">Transporting load inadequately secured </w:t>
            </w:r>
            <w:r>
              <w:rPr>
                <w:szCs w:val="22"/>
              </w:rPr>
              <w:tab/>
            </w:r>
          </w:p>
        </w:tc>
        <w:tc>
          <w:tcPr>
            <w:tcW w:w="1276" w:type="dxa"/>
            <w:tcBorders>
              <w:bottom w:val="single" w:sz="8" w:space="0" w:color="auto"/>
            </w:tcBorders>
          </w:tcPr>
          <w:p>
            <w:pPr>
              <w:pStyle w:val="yTableNAm"/>
              <w:keepNext/>
              <w:keepLines/>
              <w:jc w:val="center"/>
              <w:rPr>
                <w:szCs w:val="22"/>
              </w:rPr>
            </w:pPr>
            <w:r>
              <w:rPr>
                <w:szCs w:val="22"/>
              </w:rPr>
              <w:br/>
            </w:r>
            <w:r>
              <w:rPr>
                <w:szCs w:val="22"/>
              </w:rPr>
              <w:br/>
              <w:t>200</w:t>
            </w:r>
          </w:p>
        </w:tc>
        <w:tc>
          <w:tcPr>
            <w:tcW w:w="1275" w:type="dxa"/>
            <w:tcBorders>
              <w:bottom w:val="single" w:sz="8" w:space="0" w:color="auto"/>
            </w:tcBorders>
          </w:tcPr>
          <w:p>
            <w:pPr>
              <w:pStyle w:val="yTableNAm"/>
              <w:keepNext/>
              <w:keepLines/>
              <w:jc w:val="center"/>
              <w:rPr>
                <w:szCs w:val="22"/>
              </w:rPr>
            </w:pPr>
            <w:r>
              <w:rPr>
                <w:szCs w:val="22"/>
              </w:rPr>
              <w:br/>
            </w:r>
            <w:r>
              <w:rPr>
                <w:szCs w:val="22"/>
              </w:rPr>
              <w:br/>
              <w:t>N/A</w:t>
            </w:r>
          </w:p>
        </w:tc>
      </w:tr>
    </w:tbl>
    <w:p>
      <w:pPr>
        <w:pStyle w:val="yFootnotesection"/>
      </w:pPr>
      <w:r>
        <w:tab/>
        <w:t>[Schedule 1A inserted in Gazette 11 Jan 2013 p. 46.]</w:t>
      </w:r>
    </w:p>
    <w:p>
      <w:pPr>
        <w:pStyle w:val="yScheduleHeading"/>
      </w:pPr>
      <w:bookmarkStart w:id="14" w:name="_Toc377565064"/>
      <w:r>
        <w:rPr>
          <w:rStyle w:val="CharSchNo"/>
        </w:rPr>
        <w:t>Schedule 2</w:t>
      </w:r>
      <w:bookmarkEnd w:id="14"/>
      <w:r>
        <w:rPr>
          <w:rStyle w:val="CharSchText"/>
        </w:rPr>
        <w:t xml:space="preserve"> </w:t>
      </w:r>
    </w:p>
    <w:p>
      <w:pPr>
        <w:pStyle w:val="yMiscellaneousHeading"/>
        <w:jc w:val="right"/>
        <w:rPr>
          <w:snapToGrid w:val="0"/>
        </w:rPr>
      </w:pPr>
      <w:r>
        <w:t>Form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LITTER INFRINGEMENT NOTICE</w:t>
      </w:r>
    </w:p>
    <w:p>
      <w:pPr>
        <w:pStyle w:val="yMiscellaneousHeading"/>
        <w:rPr>
          <w:snapToGrid w:val="0"/>
        </w:rPr>
      </w:pPr>
      <w:r>
        <w:rPr>
          <w:i/>
          <w:snapToGrid w:val="0"/>
        </w:rPr>
        <w:t>Litter Act 1979</w:t>
      </w:r>
      <w:r>
        <w:rPr>
          <w:snapToGrid w:val="0"/>
        </w:rPr>
        <w:t xml:space="preserve"> Section 30(1)</w:t>
      </w:r>
    </w:p>
    <w:p>
      <w:pPr>
        <w:pStyle w:val="yMiscellaneousBody"/>
        <w:jc w:val="right"/>
        <w:rPr>
          <w:snapToGrid w:val="0"/>
        </w:rPr>
      </w:pPr>
      <w:r>
        <w:rPr>
          <w:snapToGrid w:val="0"/>
        </w:rPr>
        <w:t>No. ........................................</w:t>
      </w:r>
    </w:p>
    <w:p>
      <w:pPr>
        <w:pStyle w:val="yMiscellaneousBody"/>
        <w:jc w:val="right"/>
        <w:rPr>
          <w:snapToGrid w:val="0"/>
        </w:rPr>
      </w:pPr>
      <w:r>
        <w:rPr>
          <w:snapToGrid w:val="0"/>
        </w:rPr>
        <w:t>Date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w:t>
      </w:r>
    </w:p>
    <w:p>
      <w:pPr>
        <w:pStyle w:val="yMiscellaneousBody"/>
        <w:spacing w:before="0"/>
        <w:ind w:left="567"/>
        <w:rPr>
          <w:snapToGrid w:val="0"/>
        </w:rPr>
      </w:pPr>
      <w:r>
        <w:rPr>
          <w:snapToGrid w:val="0"/>
        </w:rPr>
        <w:t>Postcode</w:t>
      </w:r>
    </w:p>
    <w:p>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538" w:type="dxa"/>
        <w:tblLayout w:type="fixed"/>
        <w:tblCellMar>
          <w:left w:w="112" w:type="dxa"/>
          <w:right w:w="112" w:type="dxa"/>
        </w:tblCellMar>
        <w:tblLook w:val="0000" w:firstRow="0" w:lastRow="0" w:firstColumn="0" w:lastColumn="0" w:noHBand="0" w:noVBand="0"/>
      </w:tblPr>
      <w:tblGrid>
        <w:gridCol w:w="708"/>
        <w:gridCol w:w="1276"/>
        <w:gridCol w:w="1843"/>
        <w:gridCol w:w="1276"/>
        <w:gridCol w:w="1275"/>
      </w:tblGrid>
      <w:tr>
        <w:trPr>
          <w:cantSplit/>
          <w:trHeight w:val="585"/>
          <w:tblHeader/>
        </w:trPr>
        <w:tc>
          <w:tcPr>
            <w:tcW w:w="708" w:type="dxa"/>
            <w:vMerge w:val="restart"/>
            <w:tcBorders>
              <w:top w:val="single" w:sz="8" w:space="0" w:color="auto"/>
            </w:tcBorders>
          </w:tcPr>
          <w:p>
            <w:pPr>
              <w:pStyle w:val="yTableNAm"/>
              <w:keepNext/>
              <w:keepLines/>
              <w:rPr>
                <w:szCs w:val="22"/>
              </w:rPr>
            </w:pPr>
          </w:p>
        </w:tc>
        <w:tc>
          <w:tcPr>
            <w:tcW w:w="1276" w:type="dxa"/>
            <w:vMerge w:val="restart"/>
            <w:tcBorders>
              <w:top w:val="single" w:sz="8" w:space="0" w:color="auto"/>
            </w:tcBorders>
          </w:tcPr>
          <w:p>
            <w:pPr>
              <w:pStyle w:val="yTableNAm"/>
              <w:keepNext/>
              <w:keepLines/>
              <w:rPr>
                <w:b/>
                <w:szCs w:val="22"/>
              </w:rPr>
            </w:pPr>
            <w:r>
              <w:rPr>
                <w:b/>
                <w:szCs w:val="22"/>
              </w:rPr>
              <w:t>Section or regulation</w:t>
            </w:r>
          </w:p>
        </w:tc>
        <w:tc>
          <w:tcPr>
            <w:tcW w:w="1843" w:type="dxa"/>
            <w:vMerge w:val="restart"/>
            <w:tcBorders>
              <w:top w:val="single" w:sz="8" w:space="0" w:color="auto"/>
            </w:tcBorders>
          </w:tcPr>
          <w:p>
            <w:pPr>
              <w:pStyle w:val="yTableNAm"/>
              <w:keepNext/>
              <w:keepLines/>
              <w:jc w:val="center"/>
              <w:rPr>
                <w:b/>
                <w:szCs w:val="22"/>
              </w:rPr>
            </w:pPr>
            <w:r>
              <w:rPr>
                <w:b/>
                <w:szCs w:val="22"/>
              </w:rPr>
              <w:t>Offence</w:t>
            </w:r>
          </w:p>
        </w:tc>
        <w:tc>
          <w:tcPr>
            <w:tcW w:w="2551" w:type="dxa"/>
            <w:gridSpan w:val="2"/>
            <w:tcBorders>
              <w:top w:val="single" w:sz="8" w:space="0" w:color="auto"/>
              <w:bottom w:val="single" w:sz="4" w:space="0" w:color="auto"/>
            </w:tcBorders>
          </w:tcPr>
          <w:p>
            <w:pPr>
              <w:pStyle w:val="yTableNAm"/>
              <w:keepNext/>
              <w:keepLines/>
              <w:jc w:val="center"/>
              <w:rPr>
                <w:b/>
                <w:szCs w:val="22"/>
              </w:rPr>
            </w:pPr>
            <w:r>
              <w:rPr>
                <w:b/>
                <w:szCs w:val="22"/>
              </w:rPr>
              <w:t>Modified penalty</w:t>
            </w:r>
            <w:r>
              <w:rPr>
                <w:b/>
                <w:szCs w:val="22"/>
              </w:rPr>
              <w:br/>
              <w:t>($)</w:t>
            </w:r>
          </w:p>
        </w:tc>
      </w:tr>
      <w:tr>
        <w:trPr>
          <w:cantSplit/>
          <w:trHeight w:val="375"/>
          <w:tblHeader/>
        </w:trPr>
        <w:tc>
          <w:tcPr>
            <w:tcW w:w="708" w:type="dxa"/>
            <w:vMerge/>
            <w:tcBorders>
              <w:bottom w:val="single" w:sz="8" w:space="0" w:color="auto"/>
            </w:tcBorders>
          </w:tcPr>
          <w:p>
            <w:pPr>
              <w:pStyle w:val="yTableNAm"/>
              <w:keepNext/>
              <w:keepLines/>
              <w:rPr>
                <w:szCs w:val="22"/>
              </w:rPr>
            </w:pPr>
          </w:p>
        </w:tc>
        <w:tc>
          <w:tcPr>
            <w:tcW w:w="1276" w:type="dxa"/>
            <w:vMerge/>
            <w:tcBorders>
              <w:bottom w:val="single" w:sz="8" w:space="0" w:color="auto"/>
            </w:tcBorders>
          </w:tcPr>
          <w:p>
            <w:pPr>
              <w:pStyle w:val="yTableNAm"/>
              <w:keepNext/>
              <w:keepLines/>
              <w:rPr>
                <w:b/>
                <w:szCs w:val="22"/>
              </w:rPr>
            </w:pPr>
          </w:p>
        </w:tc>
        <w:tc>
          <w:tcPr>
            <w:tcW w:w="1843" w:type="dxa"/>
            <w:vMerge/>
            <w:tcBorders>
              <w:bottom w:val="single" w:sz="8" w:space="0" w:color="auto"/>
            </w:tcBorders>
          </w:tcPr>
          <w:p>
            <w:pPr>
              <w:pStyle w:val="yTableNAm"/>
              <w:keepNext/>
              <w:keepLines/>
              <w:rPr>
                <w:b/>
                <w:szCs w:val="22"/>
              </w:rPr>
            </w:pPr>
          </w:p>
        </w:tc>
        <w:tc>
          <w:tcPr>
            <w:tcW w:w="1276" w:type="dxa"/>
            <w:tcBorders>
              <w:top w:val="single" w:sz="4" w:space="0" w:color="auto"/>
              <w:bottom w:val="single" w:sz="8" w:space="0" w:color="auto"/>
            </w:tcBorders>
          </w:tcPr>
          <w:p>
            <w:pPr>
              <w:pStyle w:val="yTableNAm"/>
              <w:keepNext/>
              <w:keepLines/>
              <w:jc w:val="center"/>
              <w:rPr>
                <w:b/>
                <w:szCs w:val="22"/>
              </w:rPr>
            </w:pPr>
            <w:r>
              <w:rPr>
                <w:b/>
                <w:szCs w:val="22"/>
              </w:rPr>
              <w:t>Individual</w:t>
            </w:r>
            <w:r>
              <w:rPr>
                <w:b/>
                <w:szCs w:val="22"/>
              </w:rPr>
              <w:br/>
            </w:r>
          </w:p>
        </w:tc>
        <w:tc>
          <w:tcPr>
            <w:tcW w:w="1275" w:type="dxa"/>
            <w:tcBorders>
              <w:top w:val="single" w:sz="4" w:space="0" w:color="auto"/>
              <w:bottom w:val="single" w:sz="8" w:space="0" w:color="auto"/>
            </w:tcBorders>
          </w:tcPr>
          <w:p>
            <w:pPr>
              <w:pStyle w:val="yTableNAm"/>
              <w:keepNext/>
              <w:keepLines/>
              <w:jc w:val="center"/>
              <w:rPr>
                <w:b/>
                <w:szCs w:val="22"/>
              </w:rPr>
            </w:pPr>
            <w:r>
              <w:rPr>
                <w:b/>
                <w:szCs w:val="22"/>
              </w:rPr>
              <w:t>Body corporate</w:t>
            </w:r>
          </w:p>
        </w:tc>
      </w:tr>
      <w:tr>
        <w:trPr>
          <w:cantSplit/>
        </w:trPr>
        <w:tc>
          <w:tcPr>
            <w:tcW w:w="708" w:type="dxa"/>
          </w:tcPr>
          <w:p>
            <w:pPr>
              <w:pStyle w:val="yTableNAm"/>
              <w:keepNext/>
              <w:keepLines/>
              <w:tabs>
                <w:tab w:val="clear" w:pos="567"/>
              </w:tabs>
              <w:rPr>
                <w:szCs w:val="22"/>
              </w:rPr>
            </w:pPr>
            <w:r>
              <w:rPr>
                <w:szCs w:val="22"/>
              </w:rPr>
              <w:sym w:font="Wingdings" w:char="F072"/>
            </w:r>
          </w:p>
        </w:tc>
        <w:tc>
          <w:tcPr>
            <w:tcW w:w="1276" w:type="dxa"/>
            <w:tcBorders>
              <w:left w:val="nil"/>
            </w:tcBorders>
          </w:tcPr>
          <w:p>
            <w:pPr>
              <w:pStyle w:val="yTableNAm"/>
              <w:keepNext/>
              <w:keepLines/>
              <w:rPr>
                <w:szCs w:val="22"/>
              </w:rPr>
            </w:pPr>
            <w:r>
              <w:rPr>
                <w:szCs w:val="22"/>
              </w:rPr>
              <w:t>s. 23</w:t>
            </w:r>
          </w:p>
        </w:tc>
        <w:tc>
          <w:tcPr>
            <w:tcW w:w="1843" w:type="dxa"/>
          </w:tcPr>
          <w:p>
            <w:pPr>
              <w:pStyle w:val="yTableNAm"/>
              <w:keepNext/>
              <w:keepLines/>
              <w:tabs>
                <w:tab w:val="clear" w:pos="567"/>
                <w:tab w:val="right" w:leader="dot" w:pos="1731"/>
              </w:tabs>
              <w:rPr>
                <w:szCs w:val="22"/>
              </w:rPr>
            </w:pPr>
            <w:r>
              <w:rPr>
                <w:szCs w:val="22"/>
              </w:rPr>
              <w:t xml:space="preserve">Littering creating public risk </w:t>
            </w:r>
            <w:r>
              <w:rPr>
                <w:szCs w:val="22"/>
              </w:rPr>
              <w:tab/>
            </w:r>
          </w:p>
        </w:tc>
        <w:tc>
          <w:tcPr>
            <w:tcW w:w="1276" w:type="dxa"/>
          </w:tcPr>
          <w:p>
            <w:pPr>
              <w:pStyle w:val="yTableNAm"/>
              <w:keepNext/>
              <w:keepLines/>
              <w:jc w:val="center"/>
              <w:rPr>
                <w:szCs w:val="22"/>
              </w:rPr>
            </w:pPr>
            <w:r>
              <w:rPr>
                <w:szCs w:val="22"/>
              </w:rPr>
              <w:br/>
              <w:t>500</w:t>
            </w:r>
          </w:p>
        </w:tc>
        <w:tc>
          <w:tcPr>
            <w:tcW w:w="1275" w:type="dxa"/>
          </w:tcPr>
          <w:p>
            <w:pPr>
              <w:pStyle w:val="yTableNAm"/>
              <w:keepNext/>
              <w:keepLines/>
              <w:jc w:val="center"/>
              <w:rPr>
                <w:szCs w:val="22"/>
              </w:rPr>
            </w:pPr>
            <w:r>
              <w:rPr>
                <w:szCs w:val="22"/>
              </w:rPr>
              <w:br/>
              <w:t>2 000</w:t>
            </w:r>
          </w:p>
        </w:tc>
      </w:tr>
      <w:tr>
        <w:trPr>
          <w:cantSplit/>
        </w:trPr>
        <w:tc>
          <w:tcPr>
            <w:tcW w:w="708" w:type="dxa"/>
          </w:tcPr>
          <w:p>
            <w:pPr>
              <w:pStyle w:val="yTableNAm"/>
              <w:rPr>
                <w:szCs w:val="22"/>
              </w:rPr>
            </w:pPr>
          </w:p>
        </w:tc>
        <w:tc>
          <w:tcPr>
            <w:tcW w:w="1276" w:type="dxa"/>
            <w:tcBorders>
              <w:left w:val="nil"/>
            </w:tcBorders>
          </w:tcPr>
          <w:p>
            <w:pPr>
              <w:pStyle w:val="yTableNAm"/>
              <w:rPr>
                <w:szCs w:val="22"/>
              </w:rPr>
            </w:pPr>
          </w:p>
        </w:tc>
        <w:tc>
          <w:tcPr>
            <w:tcW w:w="4394" w:type="dxa"/>
            <w:gridSpan w:val="3"/>
          </w:tcPr>
          <w:p>
            <w:pPr>
              <w:pStyle w:val="yTableNAm"/>
              <w:rPr>
                <w:szCs w:val="22"/>
              </w:rPr>
            </w:pPr>
            <w:r>
              <w:rPr>
                <w:szCs w:val="22"/>
              </w:rPr>
              <w:t>[Description of litter deposited] .................................................................................................................................................................................................................................</w:t>
            </w:r>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 23</w:t>
            </w:r>
          </w:p>
        </w:tc>
        <w:tc>
          <w:tcPr>
            <w:tcW w:w="1843" w:type="dxa"/>
          </w:tcPr>
          <w:p>
            <w:pPr>
              <w:pStyle w:val="yTableNAm"/>
              <w:tabs>
                <w:tab w:val="right" w:leader="dot" w:pos="1731"/>
              </w:tabs>
              <w:rPr>
                <w:szCs w:val="22"/>
              </w:rPr>
            </w:pPr>
            <w:r>
              <w:rPr>
                <w:szCs w:val="22"/>
              </w:rPr>
              <w:t xml:space="preserve">Littering — any other litter </w:t>
            </w:r>
            <w:r>
              <w:rPr>
                <w:szCs w:val="22"/>
              </w:rPr>
              <w:tab/>
            </w:r>
          </w:p>
        </w:tc>
        <w:tc>
          <w:tcPr>
            <w:tcW w:w="1276"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 24</w:t>
            </w:r>
          </w:p>
        </w:tc>
        <w:tc>
          <w:tcPr>
            <w:tcW w:w="1843" w:type="dxa"/>
          </w:tcPr>
          <w:p>
            <w:pPr>
              <w:pStyle w:val="yTableNAm"/>
              <w:tabs>
                <w:tab w:val="right" w:leader="dot" w:pos="1731"/>
              </w:tabs>
              <w:rPr>
                <w:szCs w:val="22"/>
              </w:rPr>
            </w:pPr>
            <w:r>
              <w:rPr>
                <w:szCs w:val="22"/>
              </w:rPr>
              <w:t xml:space="preserve">Breaking glass, metal or earthenware </w:t>
            </w:r>
            <w:r>
              <w:rPr>
                <w:szCs w:val="22"/>
              </w:rPr>
              <w:tab/>
            </w:r>
          </w:p>
        </w:tc>
        <w:tc>
          <w:tcPr>
            <w:tcW w:w="1276" w:type="dxa"/>
          </w:tcPr>
          <w:p>
            <w:pPr>
              <w:pStyle w:val="yTableNAm"/>
              <w:jc w:val="center"/>
              <w:rPr>
                <w:szCs w:val="22"/>
              </w:rPr>
            </w:pPr>
            <w:r>
              <w:rPr>
                <w:szCs w:val="22"/>
              </w:rPr>
              <w:br/>
            </w:r>
            <w:r>
              <w:rPr>
                <w:szCs w:val="22"/>
              </w:rPr>
              <w:br/>
              <w:t>500</w:t>
            </w:r>
          </w:p>
        </w:tc>
        <w:tc>
          <w:tcPr>
            <w:tcW w:w="1275" w:type="dxa"/>
          </w:tcPr>
          <w:p>
            <w:pPr>
              <w:pStyle w:val="yTableNAm"/>
              <w:jc w:val="center"/>
              <w:rPr>
                <w:szCs w:val="22"/>
              </w:rPr>
            </w:pPr>
            <w:r>
              <w:rPr>
                <w:szCs w:val="22"/>
              </w:rPr>
              <w:br/>
            </w:r>
            <w:r>
              <w:rPr>
                <w:szCs w:val="22"/>
              </w:rPr>
              <w:br/>
              <w:t>2 000</w:t>
            </w:r>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 24A(1)</w:t>
            </w:r>
          </w:p>
        </w:tc>
        <w:tc>
          <w:tcPr>
            <w:tcW w:w="1843" w:type="dxa"/>
          </w:tcPr>
          <w:p>
            <w:pPr>
              <w:pStyle w:val="yTableNAm"/>
              <w:tabs>
                <w:tab w:val="right" w:leader="dot" w:pos="1731"/>
              </w:tabs>
              <w:rPr>
                <w:szCs w:val="22"/>
              </w:rPr>
            </w:pPr>
            <w:r>
              <w:rPr>
                <w:szCs w:val="22"/>
              </w:rPr>
              <w:t xml:space="preserve">Bill posting </w:t>
            </w:r>
            <w:r>
              <w:rPr>
                <w:szCs w:val="22"/>
              </w:rPr>
              <w:tab/>
            </w:r>
          </w:p>
        </w:tc>
        <w:tc>
          <w:tcPr>
            <w:tcW w:w="1276" w:type="dxa"/>
          </w:tcPr>
          <w:p>
            <w:pPr>
              <w:pStyle w:val="yTableNAm"/>
              <w:jc w:val="center"/>
              <w:rPr>
                <w:szCs w:val="22"/>
              </w:rPr>
            </w:pPr>
            <w:r>
              <w:rPr>
                <w:szCs w:val="22"/>
              </w:rPr>
              <w:t>200</w:t>
            </w:r>
          </w:p>
        </w:tc>
        <w:tc>
          <w:tcPr>
            <w:tcW w:w="1275" w:type="dxa"/>
          </w:tcPr>
          <w:p>
            <w:pPr>
              <w:pStyle w:val="yTableNAm"/>
              <w:jc w:val="center"/>
              <w:rPr>
                <w:szCs w:val="22"/>
              </w:rPr>
            </w:pPr>
            <w:r>
              <w:rPr>
                <w:szCs w:val="22"/>
              </w:rPr>
              <w:t>500</w:t>
            </w:r>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s. 24A(2)</w:t>
            </w:r>
          </w:p>
        </w:tc>
        <w:tc>
          <w:tcPr>
            <w:tcW w:w="1843" w:type="dxa"/>
          </w:tcPr>
          <w:p>
            <w:pPr>
              <w:pStyle w:val="yTableNAm"/>
              <w:tabs>
                <w:tab w:val="right" w:leader="dot" w:pos="1731"/>
              </w:tabs>
              <w:rPr>
                <w:szCs w:val="22"/>
              </w:rPr>
            </w:pPr>
            <w:r>
              <w:rPr>
                <w:szCs w:val="22"/>
              </w:rPr>
              <w:t xml:space="preserve">Bill posting on vehicle </w:t>
            </w:r>
            <w:r>
              <w:rPr>
                <w:szCs w:val="22"/>
              </w:rPr>
              <w:tab/>
            </w:r>
          </w:p>
        </w:tc>
        <w:tc>
          <w:tcPr>
            <w:tcW w:w="1276"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708" w:type="dxa"/>
          </w:tcPr>
          <w:p>
            <w:pPr>
              <w:pStyle w:val="yTableNAm"/>
              <w:rPr>
                <w:szCs w:val="22"/>
              </w:rPr>
            </w:pPr>
            <w:r>
              <w:rPr>
                <w:szCs w:val="22"/>
              </w:rPr>
              <w:sym w:font="Wingdings" w:char="F072"/>
            </w:r>
          </w:p>
        </w:tc>
        <w:tc>
          <w:tcPr>
            <w:tcW w:w="1276" w:type="dxa"/>
            <w:tcBorders>
              <w:left w:val="nil"/>
            </w:tcBorders>
          </w:tcPr>
          <w:p>
            <w:pPr>
              <w:pStyle w:val="yTableNAm"/>
              <w:rPr>
                <w:szCs w:val="22"/>
              </w:rPr>
            </w:pPr>
            <w:r>
              <w:rPr>
                <w:szCs w:val="22"/>
              </w:rPr>
              <w:t>r. 6</w:t>
            </w:r>
          </w:p>
        </w:tc>
        <w:tc>
          <w:tcPr>
            <w:tcW w:w="1843" w:type="dxa"/>
          </w:tcPr>
          <w:p>
            <w:pPr>
              <w:pStyle w:val="yTableNAm"/>
              <w:tabs>
                <w:tab w:val="right" w:leader="dot" w:pos="1731"/>
              </w:tabs>
              <w:rPr>
                <w:szCs w:val="22"/>
              </w:rPr>
            </w:pPr>
            <w:r>
              <w:rPr>
                <w:szCs w:val="22"/>
              </w:rPr>
              <w:t xml:space="preserve">Depositing domestic or commercial waste in public litter receptacle </w:t>
            </w:r>
            <w:r>
              <w:rPr>
                <w:szCs w:val="22"/>
              </w:rPr>
              <w:tab/>
            </w:r>
          </w:p>
        </w:tc>
        <w:tc>
          <w:tcPr>
            <w:tcW w:w="1276" w:type="dxa"/>
          </w:tcPr>
          <w:p>
            <w:pPr>
              <w:pStyle w:val="yTableNAm"/>
              <w:jc w:val="center"/>
              <w:rPr>
                <w:szCs w:val="22"/>
              </w:rPr>
            </w:pPr>
            <w:r>
              <w:rPr>
                <w:szCs w:val="22"/>
              </w:rPr>
              <w:br/>
            </w:r>
            <w:r>
              <w:rPr>
                <w:szCs w:val="22"/>
              </w:rPr>
              <w:br/>
            </w:r>
            <w:r>
              <w:rPr>
                <w:szCs w:val="22"/>
              </w:rPr>
              <w:br/>
            </w:r>
            <w:r>
              <w:rPr>
                <w:szCs w:val="22"/>
              </w:rPr>
              <w:br/>
              <w:t>200</w:t>
            </w:r>
          </w:p>
        </w:tc>
        <w:tc>
          <w:tcPr>
            <w:tcW w:w="1275" w:type="dxa"/>
          </w:tcPr>
          <w:p>
            <w:pPr>
              <w:pStyle w:val="yTableNAm"/>
              <w:jc w:val="center"/>
              <w:rPr>
                <w:szCs w:val="22"/>
              </w:rPr>
            </w:pPr>
            <w:r>
              <w:rPr>
                <w:szCs w:val="22"/>
              </w:rPr>
              <w:br/>
            </w:r>
            <w:r>
              <w:rPr>
                <w:szCs w:val="22"/>
              </w:rPr>
              <w:br/>
            </w:r>
            <w:r>
              <w:rPr>
                <w:szCs w:val="22"/>
              </w:rPr>
              <w:br/>
            </w:r>
            <w:r>
              <w:rPr>
                <w:szCs w:val="22"/>
              </w:rPr>
              <w:br/>
              <w:t>500</w:t>
            </w:r>
          </w:p>
        </w:tc>
      </w:tr>
      <w:tr>
        <w:trPr>
          <w:cantSplit/>
        </w:trPr>
        <w:tc>
          <w:tcPr>
            <w:tcW w:w="708" w:type="dxa"/>
            <w:tcBorders>
              <w:bottom w:val="single" w:sz="8" w:space="0" w:color="auto"/>
            </w:tcBorders>
          </w:tcPr>
          <w:p>
            <w:pPr>
              <w:pStyle w:val="yTableNAm"/>
              <w:rPr>
                <w:szCs w:val="22"/>
              </w:rPr>
            </w:pPr>
            <w:r>
              <w:rPr>
                <w:szCs w:val="22"/>
              </w:rPr>
              <w:sym w:font="Wingdings" w:char="F072"/>
            </w:r>
          </w:p>
        </w:tc>
        <w:tc>
          <w:tcPr>
            <w:tcW w:w="1276" w:type="dxa"/>
            <w:tcBorders>
              <w:bottom w:val="single" w:sz="8" w:space="0" w:color="auto"/>
            </w:tcBorders>
          </w:tcPr>
          <w:p>
            <w:pPr>
              <w:pStyle w:val="yTableNAm"/>
              <w:rPr>
                <w:szCs w:val="22"/>
              </w:rPr>
            </w:pPr>
            <w:r>
              <w:rPr>
                <w:szCs w:val="22"/>
              </w:rPr>
              <w:t>r. 8</w:t>
            </w:r>
          </w:p>
        </w:tc>
        <w:tc>
          <w:tcPr>
            <w:tcW w:w="1843" w:type="dxa"/>
            <w:tcBorders>
              <w:bottom w:val="single" w:sz="8" w:space="0" w:color="auto"/>
            </w:tcBorders>
          </w:tcPr>
          <w:p>
            <w:pPr>
              <w:pStyle w:val="yTableNAm"/>
              <w:tabs>
                <w:tab w:val="right" w:leader="dot" w:pos="1731"/>
              </w:tabs>
              <w:rPr>
                <w:szCs w:val="22"/>
              </w:rPr>
            </w:pPr>
            <w:r>
              <w:rPr>
                <w:szCs w:val="22"/>
              </w:rPr>
              <w:t xml:space="preserve">Transporting load inadequately secured </w:t>
            </w:r>
            <w:r>
              <w:rPr>
                <w:szCs w:val="22"/>
              </w:rPr>
              <w:tab/>
            </w:r>
          </w:p>
        </w:tc>
        <w:tc>
          <w:tcPr>
            <w:tcW w:w="1276" w:type="dxa"/>
            <w:tcBorders>
              <w:bottom w:val="single" w:sz="8" w:space="0" w:color="auto"/>
            </w:tcBorders>
          </w:tcPr>
          <w:p>
            <w:pPr>
              <w:pStyle w:val="yTableNAm"/>
              <w:jc w:val="center"/>
              <w:rPr>
                <w:szCs w:val="22"/>
              </w:rPr>
            </w:pPr>
            <w:r>
              <w:rPr>
                <w:szCs w:val="22"/>
              </w:rPr>
              <w:br/>
            </w:r>
            <w:r>
              <w:rPr>
                <w:szCs w:val="22"/>
              </w:rPr>
              <w:br/>
              <w:t>200</w:t>
            </w:r>
          </w:p>
        </w:tc>
        <w:tc>
          <w:tcPr>
            <w:tcW w:w="1275" w:type="dxa"/>
            <w:tcBorders>
              <w:bottom w:val="single" w:sz="8" w:space="0" w:color="auto"/>
            </w:tcBorders>
          </w:tcPr>
          <w:p>
            <w:pPr>
              <w:pStyle w:val="yTableNAm"/>
              <w:jc w:val="center"/>
              <w:rPr>
                <w:szCs w:val="22"/>
              </w:rPr>
            </w:pPr>
            <w:r>
              <w:rPr>
                <w:szCs w:val="22"/>
              </w:rPr>
              <w:br/>
            </w:r>
            <w:r>
              <w:rPr>
                <w:szCs w:val="22"/>
              </w:rPr>
              <w:br/>
              <w:t>N/A</w:t>
            </w:r>
          </w:p>
        </w:tc>
      </w:tr>
    </w:tbl>
    <w:p>
      <w:pPr>
        <w:pStyle w:val="yMiscellaneousBody"/>
        <w:rPr>
          <w:snapToGrid w:val="0"/>
        </w:rPr>
      </w:pPr>
      <w:r>
        <w:rPr>
          <w:snapToGrid w:val="0"/>
        </w:rPr>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pPr>
        <w:pStyle w:val="yMiscellaneousBody"/>
        <w:rPr>
          <w:snapToGrid w:val="0"/>
        </w:rPr>
      </w:pPr>
      <w:r>
        <w:rPr>
          <w:snapToGrid w:val="0"/>
        </w:rPr>
        <w:t>.......................................................</w:t>
      </w:r>
    </w:p>
    <w:p>
      <w:pPr>
        <w:pStyle w:val="yMiscellaneousBody"/>
        <w:spacing w:before="0"/>
        <w:rPr>
          <w:snapToGrid w:val="0"/>
        </w:rPr>
      </w:pPr>
      <w:r>
        <w:rPr>
          <w:snapToGrid w:val="0"/>
        </w:rPr>
        <w:t>Authorised Officer</w:t>
      </w:r>
    </w:p>
    <w:p>
      <w:pPr>
        <w:pStyle w:val="yFootnotesection"/>
      </w:pPr>
      <w:r>
        <w:tab/>
        <w:t>[Form 1 inserted in Gazette 19 Jul 1996 p. 3460-1; amended in Gazette 8 Nov 1996 p. 6218; 9 Jan 2004 p. 89-90; 28 May 2004 p.  1836; 11 Jan 2013 p. 46</w:t>
      </w:r>
      <w:r>
        <w:noBreakHyphen/>
        <w:t>7.]</w:t>
      </w:r>
    </w:p>
    <w:p>
      <w:pPr>
        <w:pStyle w:val="yMiscellaneousHeading"/>
        <w:pageBreakBefore/>
        <w:jc w:val="right"/>
        <w:rPr>
          <w:snapToGrid w:val="0"/>
        </w:rPr>
      </w:pPr>
      <w: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WITHDRAWAL OF LITTER INFRINGEMENT NOTICE</w:t>
      </w:r>
    </w:p>
    <w:p>
      <w:pPr>
        <w:pStyle w:val="yMiscellaneousHeading"/>
        <w:rPr>
          <w:snapToGrid w:val="0"/>
        </w:rPr>
      </w:pPr>
      <w:r>
        <w:rPr>
          <w:i/>
          <w:snapToGrid w:val="0"/>
        </w:rPr>
        <w:t>Litter Act 1979</w:t>
      </w:r>
      <w:r>
        <w:rPr>
          <w:snapToGrid w:val="0"/>
        </w:rPr>
        <w:t xml:space="preserve"> Section 30(4)</w:t>
      </w:r>
    </w:p>
    <w:p>
      <w:pPr>
        <w:pStyle w:val="yMiscellaneousBody"/>
        <w:ind w:left="5103"/>
        <w:rPr>
          <w:snapToGrid w:val="0"/>
        </w:rPr>
      </w:pPr>
      <w:r>
        <w:rPr>
          <w:snapToGrid w:val="0"/>
        </w:rPr>
        <w:t xml:space="preserve">No.                  </w:t>
      </w:r>
    </w:p>
    <w:p>
      <w:pPr>
        <w:pStyle w:val="yMiscellaneousBody"/>
        <w:ind w:left="5103"/>
        <w:rPr>
          <w:snapToGrid w:val="0"/>
        </w:rPr>
      </w:pPr>
      <w:r>
        <w:rPr>
          <w:snapToGrid w:val="0"/>
        </w:rPr>
        <w:t>Date      /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w:t>
      </w:r>
    </w:p>
    <w:p>
      <w:pPr>
        <w:pStyle w:val="yMiscellaneousBody"/>
        <w:spacing w:before="0"/>
        <w:ind w:left="567"/>
        <w:rPr>
          <w:snapToGrid w:val="0"/>
        </w:rPr>
      </w:pPr>
      <w:r>
        <w:rPr>
          <w:snapToGrid w:val="0"/>
        </w:rPr>
        <w:t>Postcode</w:t>
      </w:r>
    </w:p>
    <w:p>
      <w:pPr>
        <w:pStyle w:val="yMiscellaneousBody"/>
        <w:rPr>
          <w:snapToGrid w:val="0"/>
        </w:rPr>
      </w:pPr>
      <w:r>
        <w:rPr>
          <w:snapToGrid w:val="0"/>
        </w:rPr>
        <w:t>Litter Infringement Notice No. ....................................... Dated ......../........./........ for the alleged offence of ....................................................................................... with penalty of ................................. is hereby withdrawn.</w:t>
      </w:r>
    </w:p>
    <w:p>
      <w:pPr>
        <w:pStyle w:val="yMiscellaneousBody"/>
        <w:tabs>
          <w:tab w:val="left" w:pos="426"/>
        </w:tabs>
        <w:ind w:left="851" w:hanging="851"/>
        <w:rPr>
          <w:snapToGrid w:val="0"/>
        </w:rPr>
      </w:pPr>
      <w:r>
        <w:rPr>
          <w:snapToGrid w:val="0"/>
        </w:rPr>
        <w:tab/>
        <w:t>(a)</w:t>
      </w:r>
      <w:r>
        <w:rPr>
          <w:snapToGrid w:val="0"/>
        </w:rPr>
        <w:tab/>
        <w:t>* No further action will be taken.</w:t>
      </w:r>
    </w:p>
    <w:p>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pPr>
        <w:pStyle w:val="yMiscellaneousBody"/>
        <w:ind w:left="426"/>
        <w:rPr>
          <w:snapToGrid w:val="0"/>
        </w:rPr>
      </w:pPr>
      <w:r>
        <w:rPr>
          <w:snapToGrid w:val="0"/>
        </w:rPr>
        <w:t>* Strike out that which is not applicable.</w:t>
      </w:r>
    </w:p>
    <w:p>
      <w:pPr>
        <w:pStyle w:val="yMiscellaneousBody"/>
        <w:rPr>
          <w:snapToGrid w:val="0"/>
        </w:rPr>
      </w:pPr>
      <w:r>
        <w:rPr>
          <w:snapToGrid w:val="0"/>
        </w:rPr>
        <w:t xml:space="preserve">Appointed by .................................................................... </w:t>
      </w:r>
    </w:p>
    <w:p>
      <w:pPr>
        <w:pStyle w:val="yMiscellaneousBody"/>
        <w:spacing w:before="0"/>
        <w:ind w:left="1843"/>
        <w:rPr>
          <w:snapToGrid w:val="0"/>
        </w:rPr>
      </w:pPr>
      <w:r>
        <w:rPr>
          <w:snapToGrid w:val="0"/>
        </w:rPr>
        <w:t>(relevant public authority)</w:t>
      </w:r>
    </w:p>
    <w:p>
      <w:pPr>
        <w:pStyle w:val="yMiscellaneousBody"/>
        <w:rPr>
          <w:snapToGrid w:val="0"/>
        </w:rPr>
      </w:pPr>
      <w:r>
        <w:rPr>
          <w:snapToGrid w:val="0"/>
        </w:rPr>
        <w:t>to withdraw infringement notices.</w:t>
      </w:r>
    </w:p>
    <w:p>
      <w:pPr>
        <w:pStyle w:val="yMiscellaneousBody"/>
        <w:rPr>
          <w:snapToGrid w:val="0"/>
        </w:rPr>
      </w:pPr>
      <w:r>
        <w:rPr>
          <w:snapToGrid w:val="0"/>
        </w:rPr>
        <w:t>In the event of payment having been made you are entitled to a refund.</w:t>
      </w:r>
    </w:p>
    <w:p>
      <w:pPr>
        <w:pStyle w:val="yFootnotesection"/>
      </w:pPr>
      <w:r>
        <w:tab/>
        <w:t>[Form 2 amended in Gazette 20 Nov 1981 p. 4779.]</w:t>
      </w:r>
    </w:p>
    <w:p>
      <w:pPr>
        <w:pStyle w:val="yMiscellaneousHeading"/>
        <w:pageBreakBefore/>
        <w:jc w:val="right"/>
        <w:rPr>
          <w:snapToGrid w:val="0"/>
        </w:rPr>
      </w:pPr>
      <w:r>
        <w:rPr>
          <w:snapToGrid w:val="0"/>
        </w:rPr>
        <w:t>Form 3</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CERTIFICATE OF APPOINTMENT OF AUTHORISED OFFICER</w:t>
      </w:r>
    </w:p>
    <w:p>
      <w:pPr>
        <w:pStyle w:val="yMiscellaneousHeading"/>
        <w:rPr>
          <w:i/>
          <w:snapToGrid w:val="0"/>
        </w:rPr>
      </w:pPr>
      <w:r>
        <w:rPr>
          <w:i/>
          <w:snapToGrid w:val="0"/>
        </w:rPr>
        <w:t xml:space="preserve">LITTER ACT 1979 </w:t>
      </w:r>
    </w:p>
    <w:p>
      <w:pPr>
        <w:pStyle w:val="yMiscellaneousBody"/>
        <w:rPr>
          <w:snapToGrid w:val="0"/>
        </w:rPr>
      </w:pPr>
      <w:r>
        <w:rPr>
          <w:snapToGrid w:val="0"/>
        </w:rPr>
        <w:t xml:space="preserve">This is to certify that .............................................................................................. whose signature appears hereunder is an authorised officer under the </w:t>
      </w:r>
      <w:r>
        <w:rPr>
          <w:i/>
          <w:snapToGrid w:val="0"/>
        </w:rPr>
        <w:t>Litter Act 1979</w:t>
      </w:r>
      <w:r>
        <w:rPr>
          <w:snapToGrid w:val="0"/>
        </w:rPr>
        <w:t xml:space="preserve"> and that the area of jurisdiction entrusted to him under that Act is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Signature of authorised officer ............................................</w:t>
      </w:r>
    </w:p>
    <w:p>
      <w:pPr>
        <w:pStyle w:val="yMiscellaneousBody"/>
        <w:spacing w:before="0"/>
        <w:jc w:val="right"/>
        <w:rPr>
          <w:snapToGrid w:val="0"/>
        </w:rPr>
      </w:pPr>
      <w:r>
        <w:rPr>
          <w:snapToGrid w:val="0"/>
        </w:rPr>
        <w:t>Dated ............................................</w:t>
      </w:r>
    </w:p>
    <w:p>
      <w:pPr>
        <w:pStyle w:val="yMiscellaneousBody"/>
        <w:rPr>
          <w:snapToGrid w:val="0"/>
        </w:rPr>
      </w:pPr>
      <w:r>
        <w:rPr>
          <w:snapToGrid w:val="0"/>
        </w:rPr>
        <w:t>An authorised officer may require a person whom he finds committing or whom he reasonably suspects to be committing or to have committed an offence against the Act — </w:t>
      </w:r>
    </w:p>
    <w:p>
      <w:pPr>
        <w:pStyle w:val="yMiscellaneousBody"/>
        <w:tabs>
          <w:tab w:val="left" w:pos="426"/>
        </w:tabs>
        <w:ind w:left="851" w:hanging="851"/>
        <w:rPr>
          <w:snapToGrid w:val="0"/>
        </w:rPr>
      </w:pPr>
      <w:r>
        <w:rPr>
          <w:snapToGrid w:val="0"/>
        </w:rPr>
        <w:tab/>
        <w:t>(a)</w:t>
      </w:r>
      <w:r>
        <w:rPr>
          <w:snapToGrid w:val="0"/>
        </w:rPr>
        <w:tab/>
        <w:t>to state his full name and address;</w:t>
      </w:r>
    </w:p>
    <w:p>
      <w:pPr>
        <w:pStyle w:val="yMiscellaneousBody"/>
        <w:tabs>
          <w:tab w:val="left" w:pos="426"/>
        </w:tabs>
        <w:ind w:left="851" w:hanging="851"/>
        <w:rPr>
          <w:snapToGrid w:val="0"/>
        </w:rPr>
      </w:pPr>
      <w:r>
        <w:rPr>
          <w:snapToGrid w:val="0"/>
        </w:rPr>
        <w:tab/>
        <w:t>(b)</w:t>
      </w:r>
      <w:r>
        <w:rPr>
          <w:snapToGrid w:val="0"/>
        </w:rPr>
        <w:tab/>
        <w:t>to remove the material the subject of the offence;</w:t>
      </w:r>
    </w:p>
    <w:p>
      <w:pPr>
        <w:pStyle w:val="yMiscellaneousBody"/>
        <w:tabs>
          <w:tab w:val="left" w:pos="426"/>
        </w:tabs>
        <w:ind w:left="851" w:hanging="851"/>
        <w:rPr>
          <w:snapToGrid w:val="0"/>
        </w:rPr>
      </w:pPr>
      <w:r>
        <w:rPr>
          <w:snapToGrid w:val="0"/>
        </w:rPr>
        <w:tab/>
        <w:t>(c)</w:t>
      </w:r>
      <w:r>
        <w:rPr>
          <w:snapToGrid w:val="0"/>
        </w:rPr>
        <w:tab/>
        <w:t>to deposit the material the subject of the offence in the nearest place provided for the deposit of litter.</w:t>
      </w:r>
    </w:p>
    <w:p>
      <w:pPr>
        <w:pStyle w:val="yMiscellaneousBody"/>
        <w:rPr>
          <w:snapToGrid w:val="0"/>
        </w:rPr>
      </w:pPr>
      <w:r>
        <w:rPr>
          <w:snapToGrid w:val="0"/>
        </w:rPr>
        <w:t>Penalty: For non</w:t>
      </w:r>
      <w:r>
        <w:rPr>
          <w:snapToGrid w:val="0"/>
        </w:rPr>
        <w:noBreakHyphen/>
        <w:t xml:space="preserve">compliance with the above or giving false or misleading information </w:t>
      </w:r>
      <w:r>
        <w:rPr>
          <w:szCs w:val="22"/>
        </w:rPr>
        <w:t>$1 000.</w:t>
      </w:r>
    </w:p>
    <w:p>
      <w:pPr>
        <w:pStyle w:val="yFootnotesection"/>
      </w:pPr>
      <w:r>
        <w:tab/>
        <w:t>[Form 3 amended in Gazette 11 Jan 2013 p. 47.]</w:t>
      </w:r>
    </w:p>
    <w:p>
      <w:pPr>
        <w:pStyle w:val="yFootnotesection"/>
      </w:pPr>
      <w:r>
        <w:tab/>
        <w:t>[Schedule 2 amended in Gazette 20 Nov 1981 p. 4779; 19 Aug 1988 p. 2960; 19 Jul 1996 p. 3460</w:t>
      </w:r>
      <w:r>
        <w:noBreakHyphen/>
        <w:t>1; 8 Nov 1996 p. 6218; 9 Jan 2004 p. 89</w:t>
      </w:r>
      <w:r>
        <w:noBreakHyphen/>
        <w:t xml:space="preserve">90; 28 May 2004 p.  1836; 11 Jan 2013 p. 47.] </w:t>
      </w:r>
    </w:p>
    <w:p>
      <w:pPr>
        <w:pStyle w:val="yScheduleHeading"/>
      </w:pPr>
      <w:bookmarkStart w:id="15" w:name="_Toc377565065"/>
      <w:r>
        <w:rPr>
          <w:rStyle w:val="CharSchNo"/>
        </w:rPr>
        <w:t>Appendix</w:t>
      </w:r>
      <w:bookmarkEnd w:id="15"/>
      <w:r>
        <w:rPr>
          <w:rStyle w:val="CharSchText"/>
        </w:rPr>
        <w:t xml:space="preserve">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rPr>
          <w:spacing w:val="-2"/>
          <w:sz w:val="2"/>
        </w:rPr>
      </w:pPr>
      <w:r>
        <w:rPr>
          <w:noProof/>
          <w:spacing w:val="-2"/>
          <w:sz w:val="20"/>
        </w:rPr>
        <w:drawing>
          <wp:inline distT="0" distB="0" distL="0" distR="0">
            <wp:extent cx="785495" cy="993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85495" cy="99314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6" w:name="_Toc377565066"/>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Litter Regulations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77565067"/>
      <w:r>
        <w:rPr>
          <w:snapToGrid w:val="0"/>
        </w:rPr>
        <w:t>Compilation table</w:t>
      </w:r>
      <w:bookmarkEnd w:id="1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Litter Regulations 1981</w:t>
            </w:r>
          </w:p>
        </w:tc>
        <w:tc>
          <w:tcPr>
            <w:tcW w:w="1276" w:type="dxa"/>
          </w:tcPr>
          <w:p>
            <w:pPr>
              <w:pStyle w:val="nTable"/>
              <w:spacing w:after="40"/>
              <w:rPr>
                <w:sz w:val="19"/>
              </w:rPr>
            </w:pPr>
            <w:r>
              <w:rPr>
                <w:sz w:val="19"/>
              </w:rPr>
              <w:t>3 Jul 1981 p. 2603</w:t>
            </w:r>
            <w:r>
              <w:rPr>
                <w:sz w:val="19"/>
              </w:rPr>
              <w:noBreakHyphen/>
              <w:t>5</w:t>
            </w:r>
            <w:r>
              <w:rPr>
                <w:sz w:val="19"/>
              </w:rPr>
              <w:br/>
              <w:t>(Erratum 17 Jul 1981 p. 2888)</w:t>
            </w:r>
          </w:p>
        </w:tc>
        <w:tc>
          <w:tcPr>
            <w:tcW w:w="2693" w:type="dxa"/>
          </w:tcPr>
          <w:p>
            <w:pPr>
              <w:pStyle w:val="nTable"/>
              <w:spacing w:after="40"/>
              <w:rPr>
                <w:sz w:val="19"/>
              </w:rPr>
            </w:pPr>
            <w:r>
              <w:rPr>
                <w:sz w:val="19"/>
              </w:rPr>
              <w:t>3 Jul 1981</w:t>
            </w:r>
          </w:p>
        </w:tc>
      </w:tr>
      <w:tr>
        <w:tc>
          <w:tcPr>
            <w:tcW w:w="3118" w:type="dxa"/>
          </w:tcPr>
          <w:p>
            <w:pPr>
              <w:pStyle w:val="nTable"/>
              <w:spacing w:after="40"/>
              <w:rPr>
                <w:sz w:val="19"/>
              </w:rPr>
            </w:pPr>
            <w:r>
              <w:rPr>
                <w:i/>
                <w:sz w:val="19"/>
              </w:rPr>
              <w:t>Litter Amendment Regulations 1981</w:t>
            </w:r>
          </w:p>
        </w:tc>
        <w:tc>
          <w:tcPr>
            <w:tcW w:w="1276" w:type="dxa"/>
          </w:tcPr>
          <w:p>
            <w:pPr>
              <w:pStyle w:val="nTable"/>
              <w:spacing w:after="40"/>
              <w:rPr>
                <w:sz w:val="19"/>
              </w:rPr>
            </w:pPr>
            <w:r>
              <w:rPr>
                <w:sz w:val="19"/>
              </w:rPr>
              <w:t>20 Nov 1981 p. 4779</w:t>
            </w:r>
          </w:p>
        </w:tc>
        <w:tc>
          <w:tcPr>
            <w:tcW w:w="2693" w:type="dxa"/>
          </w:tcPr>
          <w:p>
            <w:pPr>
              <w:pStyle w:val="nTable"/>
              <w:spacing w:after="40"/>
              <w:rPr>
                <w:sz w:val="19"/>
              </w:rPr>
            </w:pPr>
            <w:r>
              <w:rPr>
                <w:sz w:val="19"/>
              </w:rPr>
              <w:t>20 Nov 1981</w:t>
            </w:r>
          </w:p>
        </w:tc>
      </w:tr>
      <w:tr>
        <w:tc>
          <w:tcPr>
            <w:tcW w:w="3118" w:type="dxa"/>
          </w:tcPr>
          <w:p>
            <w:pPr>
              <w:pStyle w:val="nTable"/>
              <w:spacing w:after="40"/>
              <w:rPr>
                <w:sz w:val="19"/>
              </w:rPr>
            </w:pPr>
            <w:r>
              <w:rPr>
                <w:i/>
                <w:sz w:val="19"/>
              </w:rPr>
              <w:t>Litter Amendment Regulations 1982</w:t>
            </w:r>
          </w:p>
        </w:tc>
        <w:tc>
          <w:tcPr>
            <w:tcW w:w="1276" w:type="dxa"/>
          </w:tcPr>
          <w:p>
            <w:pPr>
              <w:pStyle w:val="nTable"/>
              <w:spacing w:after="40"/>
              <w:rPr>
                <w:sz w:val="19"/>
              </w:rPr>
            </w:pPr>
            <w:r>
              <w:rPr>
                <w:sz w:val="19"/>
              </w:rPr>
              <w:t>13 Aug 1982 p. 3154</w:t>
            </w:r>
          </w:p>
        </w:tc>
        <w:tc>
          <w:tcPr>
            <w:tcW w:w="2693" w:type="dxa"/>
          </w:tcPr>
          <w:p>
            <w:pPr>
              <w:pStyle w:val="nTable"/>
              <w:spacing w:after="40"/>
              <w:rPr>
                <w:sz w:val="19"/>
              </w:rPr>
            </w:pPr>
            <w:r>
              <w:rPr>
                <w:sz w:val="19"/>
              </w:rPr>
              <w:t>13 Aug 1981</w:t>
            </w:r>
          </w:p>
        </w:tc>
      </w:tr>
      <w:tr>
        <w:tc>
          <w:tcPr>
            <w:tcW w:w="3118" w:type="dxa"/>
          </w:tcPr>
          <w:p>
            <w:pPr>
              <w:pStyle w:val="nTable"/>
              <w:spacing w:after="40"/>
              <w:rPr>
                <w:sz w:val="19"/>
              </w:rPr>
            </w:pPr>
            <w:r>
              <w:rPr>
                <w:i/>
                <w:sz w:val="19"/>
              </w:rPr>
              <w:t>Litter Amendment Regulations 1988</w:t>
            </w:r>
          </w:p>
        </w:tc>
        <w:tc>
          <w:tcPr>
            <w:tcW w:w="1276" w:type="dxa"/>
          </w:tcPr>
          <w:p>
            <w:pPr>
              <w:pStyle w:val="nTable"/>
              <w:spacing w:after="40"/>
              <w:rPr>
                <w:sz w:val="19"/>
              </w:rPr>
            </w:pPr>
            <w:r>
              <w:rPr>
                <w:sz w:val="19"/>
              </w:rPr>
              <w:t>30 May 1988 p. 1847</w:t>
            </w:r>
          </w:p>
        </w:tc>
        <w:tc>
          <w:tcPr>
            <w:tcW w:w="2693" w:type="dxa"/>
          </w:tcPr>
          <w:p>
            <w:pPr>
              <w:pStyle w:val="nTable"/>
              <w:spacing w:after="40"/>
              <w:rPr>
                <w:sz w:val="19"/>
              </w:rPr>
            </w:pPr>
            <w:r>
              <w:rPr>
                <w:sz w:val="19"/>
              </w:rPr>
              <w:t xml:space="preserve">30 May 1988 (see r. 2 and </w:t>
            </w:r>
            <w:r>
              <w:rPr>
                <w:i/>
                <w:sz w:val="19"/>
              </w:rPr>
              <w:t>Gazette</w:t>
            </w:r>
            <w:r>
              <w:rPr>
                <w:sz w:val="19"/>
              </w:rPr>
              <w:t xml:space="preserve"> 30 May 1988 p. 1823)</w:t>
            </w:r>
          </w:p>
        </w:tc>
      </w:tr>
      <w:tr>
        <w:tc>
          <w:tcPr>
            <w:tcW w:w="3118" w:type="dxa"/>
          </w:tcPr>
          <w:p>
            <w:pPr>
              <w:pStyle w:val="nTable"/>
              <w:spacing w:after="40"/>
              <w:rPr>
                <w:sz w:val="19"/>
              </w:rPr>
            </w:pPr>
            <w:r>
              <w:rPr>
                <w:i/>
                <w:sz w:val="19"/>
              </w:rPr>
              <w:t>Litter Amendment Regulations (No. 2) 1988</w:t>
            </w:r>
          </w:p>
        </w:tc>
        <w:tc>
          <w:tcPr>
            <w:tcW w:w="1276" w:type="dxa"/>
          </w:tcPr>
          <w:p>
            <w:pPr>
              <w:pStyle w:val="nTable"/>
              <w:spacing w:after="40"/>
              <w:rPr>
                <w:sz w:val="19"/>
              </w:rPr>
            </w:pPr>
            <w:r>
              <w:rPr>
                <w:sz w:val="19"/>
              </w:rPr>
              <w:t>19 Aug 1988 p. 2960</w:t>
            </w:r>
          </w:p>
        </w:tc>
        <w:tc>
          <w:tcPr>
            <w:tcW w:w="2693" w:type="dxa"/>
          </w:tcPr>
          <w:p>
            <w:pPr>
              <w:pStyle w:val="nTable"/>
              <w:spacing w:after="40"/>
              <w:rPr>
                <w:sz w:val="19"/>
              </w:rPr>
            </w:pPr>
            <w:r>
              <w:rPr>
                <w:sz w:val="19"/>
              </w:rPr>
              <w:t>19 Aug 1988</w:t>
            </w:r>
          </w:p>
        </w:tc>
      </w:tr>
      <w:tr>
        <w:tc>
          <w:tcPr>
            <w:tcW w:w="3118" w:type="dxa"/>
          </w:tcPr>
          <w:p>
            <w:pPr>
              <w:pStyle w:val="nTable"/>
              <w:spacing w:after="40"/>
              <w:rPr>
                <w:sz w:val="19"/>
              </w:rPr>
            </w:pPr>
            <w:r>
              <w:rPr>
                <w:i/>
                <w:sz w:val="19"/>
              </w:rPr>
              <w:t>Litter Amendment Regulations 1989</w:t>
            </w:r>
          </w:p>
        </w:tc>
        <w:tc>
          <w:tcPr>
            <w:tcW w:w="1276" w:type="dxa"/>
          </w:tcPr>
          <w:p>
            <w:pPr>
              <w:pStyle w:val="nTable"/>
              <w:spacing w:after="40"/>
              <w:rPr>
                <w:sz w:val="19"/>
              </w:rPr>
            </w:pPr>
            <w:r>
              <w:rPr>
                <w:sz w:val="19"/>
              </w:rPr>
              <w:t>7 Apr 1989 p. 1035</w:t>
            </w:r>
          </w:p>
        </w:tc>
        <w:tc>
          <w:tcPr>
            <w:tcW w:w="2693" w:type="dxa"/>
          </w:tcPr>
          <w:p>
            <w:pPr>
              <w:pStyle w:val="nTable"/>
              <w:spacing w:after="40"/>
              <w:rPr>
                <w:sz w:val="19"/>
              </w:rPr>
            </w:pPr>
            <w:r>
              <w:rPr>
                <w:sz w:val="19"/>
              </w:rPr>
              <w:t xml:space="preserve">7 Apr 1989 </w:t>
            </w:r>
            <w:r>
              <w:rPr>
                <w:sz w:val="19"/>
                <w:vertAlign w:val="superscript"/>
              </w:rPr>
              <w:t>3</w:t>
            </w:r>
          </w:p>
        </w:tc>
      </w:tr>
      <w:tr>
        <w:tc>
          <w:tcPr>
            <w:tcW w:w="3118" w:type="dxa"/>
          </w:tcPr>
          <w:p>
            <w:pPr>
              <w:pStyle w:val="nTable"/>
              <w:spacing w:after="40"/>
              <w:rPr>
                <w:sz w:val="19"/>
              </w:rPr>
            </w:pPr>
            <w:r>
              <w:rPr>
                <w:i/>
                <w:sz w:val="19"/>
              </w:rPr>
              <w:t>Litter Amendment Regulations 1996</w:t>
            </w:r>
          </w:p>
        </w:tc>
        <w:tc>
          <w:tcPr>
            <w:tcW w:w="1276" w:type="dxa"/>
          </w:tcPr>
          <w:p>
            <w:pPr>
              <w:pStyle w:val="nTable"/>
              <w:spacing w:after="40"/>
              <w:rPr>
                <w:sz w:val="19"/>
              </w:rPr>
            </w:pPr>
            <w:r>
              <w:rPr>
                <w:sz w:val="19"/>
              </w:rPr>
              <w:t>19 Jul 1996 p. 3459</w:t>
            </w:r>
            <w:r>
              <w:rPr>
                <w:sz w:val="19"/>
              </w:rPr>
              <w:noBreakHyphen/>
              <w:t>61</w:t>
            </w:r>
          </w:p>
        </w:tc>
        <w:tc>
          <w:tcPr>
            <w:tcW w:w="2693" w:type="dxa"/>
          </w:tcPr>
          <w:p>
            <w:pPr>
              <w:pStyle w:val="nTable"/>
              <w:spacing w:after="40"/>
              <w:rPr>
                <w:sz w:val="19"/>
              </w:rPr>
            </w:pPr>
            <w:r>
              <w:rPr>
                <w:sz w:val="19"/>
              </w:rPr>
              <w:t xml:space="preserve">20 Jul 1996 (see r. 2 and </w:t>
            </w:r>
            <w:r>
              <w:rPr>
                <w:i/>
                <w:sz w:val="19"/>
              </w:rPr>
              <w:t>Gazette</w:t>
            </w:r>
            <w:r>
              <w:rPr>
                <w:sz w:val="19"/>
              </w:rPr>
              <w:t xml:space="preserve"> 19 Jul 1996 p. 3455)</w:t>
            </w:r>
          </w:p>
        </w:tc>
      </w:tr>
      <w:tr>
        <w:tc>
          <w:tcPr>
            <w:tcW w:w="3118" w:type="dxa"/>
          </w:tcPr>
          <w:p>
            <w:pPr>
              <w:pStyle w:val="nTable"/>
              <w:spacing w:after="40"/>
              <w:rPr>
                <w:sz w:val="19"/>
              </w:rPr>
            </w:pPr>
            <w:r>
              <w:rPr>
                <w:i/>
                <w:sz w:val="19"/>
              </w:rPr>
              <w:t>Litter Amendment Regulations (No. 2) 1996</w:t>
            </w:r>
          </w:p>
        </w:tc>
        <w:tc>
          <w:tcPr>
            <w:tcW w:w="1276" w:type="dxa"/>
          </w:tcPr>
          <w:p>
            <w:pPr>
              <w:pStyle w:val="nTable"/>
              <w:spacing w:after="40"/>
              <w:rPr>
                <w:sz w:val="19"/>
              </w:rPr>
            </w:pPr>
            <w:r>
              <w:rPr>
                <w:sz w:val="19"/>
              </w:rPr>
              <w:t>8 Nov 1996 p. 6217</w:t>
            </w:r>
            <w:r>
              <w:rPr>
                <w:sz w:val="19"/>
              </w:rPr>
              <w:noBreakHyphen/>
              <w:t>18</w:t>
            </w:r>
          </w:p>
        </w:tc>
        <w:tc>
          <w:tcPr>
            <w:tcW w:w="2693" w:type="dxa"/>
          </w:tcPr>
          <w:p>
            <w:pPr>
              <w:pStyle w:val="nTable"/>
              <w:spacing w:after="40"/>
              <w:rPr>
                <w:sz w:val="19"/>
              </w:rPr>
            </w:pPr>
            <w:r>
              <w:rPr>
                <w:sz w:val="19"/>
              </w:rPr>
              <w:t>8 Nov 1996</w:t>
            </w:r>
          </w:p>
        </w:tc>
      </w:tr>
      <w:tr>
        <w:trPr>
          <w:cantSplit/>
        </w:trPr>
        <w:tc>
          <w:tcPr>
            <w:tcW w:w="7087" w:type="dxa"/>
            <w:gridSpan w:val="3"/>
          </w:tcPr>
          <w:p>
            <w:pPr>
              <w:pStyle w:val="nTable"/>
              <w:spacing w:after="40"/>
              <w:rPr>
                <w:sz w:val="19"/>
              </w:rPr>
            </w:pPr>
            <w:r>
              <w:rPr>
                <w:b/>
                <w:sz w:val="19"/>
              </w:rPr>
              <w:t xml:space="preserve">Reprint of the </w:t>
            </w:r>
            <w:r>
              <w:rPr>
                <w:b/>
                <w:i/>
                <w:sz w:val="19"/>
              </w:rPr>
              <w:t>Litter Regulations 1981</w:t>
            </w:r>
            <w:r>
              <w:rPr>
                <w:b/>
                <w:sz w:val="19"/>
              </w:rPr>
              <w:t xml:space="preserve"> as at 30 Sep 1997</w:t>
            </w:r>
            <w:r>
              <w:rPr>
                <w:sz w:val="19"/>
              </w:rPr>
              <w:t xml:space="preserve"> (includes amendments listed above)</w:t>
            </w:r>
          </w:p>
        </w:tc>
      </w:tr>
      <w:tr>
        <w:tc>
          <w:tcPr>
            <w:tcW w:w="3118" w:type="dxa"/>
          </w:tcPr>
          <w:p>
            <w:pPr>
              <w:pStyle w:val="nTable"/>
              <w:spacing w:after="40"/>
              <w:rPr>
                <w:i/>
                <w:sz w:val="19"/>
              </w:rPr>
            </w:pPr>
            <w:r>
              <w:rPr>
                <w:i/>
                <w:sz w:val="19"/>
              </w:rPr>
              <w:t>Litter Amendment Regulations 2004</w:t>
            </w:r>
          </w:p>
        </w:tc>
        <w:tc>
          <w:tcPr>
            <w:tcW w:w="1276" w:type="dxa"/>
          </w:tcPr>
          <w:p>
            <w:pPr>
              <w:pStyle w:val="nTable"/>
              <w:spacing w:after="40"/>
              <w:rPr>
                <w:sz w:val="19"/>
              </w:rPr>
            </w:pPr>
            <w:r>
              <w:rPr>
                <w:sz w:val="19"/>
              </w:rPr>
              <w:t>9 Jan 2004 p. 88</w:t>
            </w:r>
            <w:r>
              <w:rPr>
                <w:sz w:val="19"/>
              </w:rPr>
              <w:noBreakHyphen/>
              <w:t>90</w:t>
            </w:r>
          </w:p>
        </w:tc>
        <w:tc>
          <w:tcPr>
            <w:tcW w:w="2693" w:type="dxa"/>
          </w:tcPr>
          <w:p>
            <w:pPr>
              <w:pStyle w:val="nTable"/>
              <w:spacing w:after="40"/>
              <w:rPr>
                <w:sz w:val="19"/>
              </w:rPr>
            </w:pPr>
            <w:r>
              <w:rPr>
                <w:sz w:val="19"/>
              </w:rPr>
              <w:t>9 Jan 2004</w:t>
            </w:r>
          </w:p>
        </w:tc>
      </w:tr>
      <w:tr>
        <w:trPr>
          <w:cantSplit/>
        </w:trPr>
        <w:tc>
          <w:tcPr>
            <w:tcW w:w="7087" w:type="dxa"/>
            <w:gridSpan w:val="3"/>
          </w:tcPr>
          <w:p>
            <w:pPr>
              <w:pStyle w:val="nTable"/>
              <w:spacing w:after="40"/>
              <w:rPr>
                <w:sz w:val="19"/>
              </w:rPr>
            </w:pPr>
            <w:r>
              <w:rPr>
                <w:b/>
                <w:sz w:val="19"/>
              </w:rPr>
              <w:t xml:space="preserve">Reprint 2:  The </w:t>
            </w:r>
            <w:r>
              <w:rPr>
                <w:b/>
                <w:i/>
                <w:sz w:val="19"/>
              </w:rPr>
              <w:t>Litter Regulations 1981</w:t>
            </w:r>
            <w:r>
              <w:rPr>
                <w:b/>
                <w:sz w:val="19"/>
              </w:rPr>
              <w:t xml:space="preserve"> as at 19 Mar 2004</w:t>
            </w:r>
            <w:r>
              <w:rPr>
                <w:sz w:val="19"/>
              </w:rPr>
              <w:t xml:space="preserve"> (includes amendments listed above)</w:t>
            </w:r>
          </w:p>
        </w:tc>
      </w:tr>
      <w:tr>
        <w:tc>
          <w:tcPr>
            <w:tcW w:w="3118" w:type="dxa"/>
          </w:tcPr>
          <w:p>
            <w:pPr>
              <w:pStyle w:val="nTable"/>
              <w:spacing w:after="40"/>
              <w:rPr>
                <w:sz w:val="19"/>
              </w:rPr>
            </w:pPr>
            <w:r>
              <w:rPr>
                <w:i/>
                <w:sz w:val="19"/>
              </w:rPr>
              <w:t>Litter Amendment Regulations (No. 2) 2004</w:t>
            </w:r>
          </w:p>
        </w:tc>
        <w:tc>
          <w:tcPr>
            <w:tcW w:w="1276" w:type="dxa"/>
          </w:tcPr>
          <w:p>
            <w:pPr>
              <w:pStyle w:val="nTable"/>
              <w:spacing w:after="40"/>
              <w:rPr>
                <w:sz w:val="19"/>
              </w:rPr>
            </w:pPr>
            <w:r>
              <w:rPr>
                <w:sz w:val="19"/>
              </w:rPr>
              <w:t>28 May 2004 p. 1836</w:t>
            </w:r>
          </w:p>
        </w:tc>
        <w:tc>
          <w:tcPr>
            <w:tcW w:w="2693" w:type="dxa"/>
          </w:tcPr>
          <w:p>
            <w:pPr>
              <w:pStyle w:val="nTable"/>
              <w:spacing w:after="40"/>
              <w:rPr>
                <w:sz w:val="19"/>
              </w:rPr>
            </w:pPr>
            <w:r>
              <w:rPr>
                <w:sz w:val="19"/>
              </w:rPr>
              <w:t>28 May 2004</w:t>
            </w:r>
          </w:p>
        </w:tc>
      </w:tr>
      <w:tr>
        <w:tc>
          <w:tcPr>
            <w:tcW w:w="3118" w:type="dxa"/>
            <w:tcBorders>
              <w:bottom w:val="single" w:sz="4" w:space="0" w:color="auto"/>
            </w:tcBorders>
          </w:tcPr>
          <w:p>
            <w:pPr>
              <w:pStyle w:val="nTable"/>
              <w:spacing w:after="40"/>
              <w:rPr>
                <w:i/>
                <w:sz w:val="19"/>
              </w:rPr>
            </w:pPr>
            <w:r>
              <w:rPr>
                <w:i/>
                <w:sz w:val="19"/>
              </w:rPr>
              <w:t>Litter Amendment Regulations 2012</w:t>
            </w:r>
          </w:p>
        </w:tc>
        <w:tc>
          <w:tcPr>
            <w:tcW w:w="1276" w:type="dxa"/>
            <w:tcBorders>
              <w:bottom w:val="single" w:sz="4" w:space="0" w:color="auto"/>
            </w:tcBorders>
          </w:tcPr>
          <w:p>
            <w:pPr>
              <w:pStyle w:val="nTable"/>
              <w:spacing w:after="40"/>
              <w:rPr>
                <w:sz w:val="19"/>
              </w:rPr>
            </w:pPr>
            <w:r>
              <w:rPr>
                <w:sz w:val="19"/>
              </w:rPr>
              <w:t>11 Jan 2013 p. 43</w:t>
            </w:r>
            <w:r>
              <w:rPr>
                <w:sz w:val="19"/>
              </w:rPr>
              <w:noBreakHyphen/>
              <w:t>7</w:t>
            </w:r>
          </w:p>
        </w:tc>
        <w:tc>
          <w:tcPr>
            <w:tcW w:w="2693" w:type="dxa"/>
            <w:tcBorders>
              <w:bottom w:val="single" w:sz="4" w:space="0" w:color="auto"/>
            </w:tcBorders>
          </w:tcPr>
          <w:p>
            <w:pPr>
              <w:pStyle w:val="nTable"/>
              <w:spacing w:after="40"/>
              <w:rPr>
                <w:sz w:val="19"/>
              </w:rPr>
            </w:pPr>
            <w:r>
              <w:rPr>
                <w:rFonts w:ascii="Times" w:hAnsi="Times"/>
                <w:snapToGrid w:val="0"/>
                <w:sz w:val="19"/>
              </w:rPr>
              <w:t>r. 1 and 2: 11 Jan 2013 (see r. 2(a));</w:t>
            </w:r>
            <w:r>
              <w:rPr>
                <w:rFonts w:ascii="Times" w:hAnsi="Times"/>
                <w:snapToGrid w:val="0"/>
                <w:sz w:val="19"/>
              </w:rPr>
              <w:br/>
              <w:t>Regulations other than r. 1 and 2: 12 Jan 2013 (see r. 2(b))</w:t>
            </w:r>
          </w:p>
        </w:tc>
      </w:tr>
    </w:tbl>
    <w:p>
      <w:pPr>
        <w:pStyle w:val="nSubsection"/>
        <w:spacing w:before="12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pPr>
        <w:pStyle w:val="nSubsection"/>
        <w:spacing w:before="120"/>
      </w:pPr>
      <w:r>
        <w:rPr>
          <w:vertAlign w:val="superscript"/>
        </w:rPr>
        <w:t>3</w:t>
      </w:r>
      <w:r>
        <w:tab/>
        <w:t>The commencement date of 1 Mar 1989 that was specified was before the date of gazettal.</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18" w:name="_Toc377565068"/>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 w:name="DefinedTerms"/>
      <w:bookmarkEnd w:id="19"/>
      <w:r>
        <w:t>commercial waste</w:t>
      </w:r>
      <w:r>
        <w:tab/>
        <w:t>6(2)</w:t>
      </w:r>
    </w:p>
    <w:p>
      <w:pPr>
        <w:pStyle w:val="DefinedTerms"/>
      </w:pPr>
      <w:r>
        <w:t>domestic waste</w:t>
      </w:r>
      <w:r>
        <w:tab/>
        <w:t>6(2)</w:t>
      </w:r>
    </w:p>
    <w:p>
      <w:pPr>
        <w:pStyle w:val="DefinedTerms"/>
      </w:pPr>
      <w:r>
        <w:t>litter creating public risk</w:t>
      </w:r>
      <w:r>
        <w:tab/>
        <w:t>2</w:t>
      </w:r>
    </w:p>
    <w:p>
      <w:pPr>
        <w:pStyle w:val="DefinedTerms"/>
      </w:pPr>
      <w:r>
        <w:t>public litter receptacle</w:t>
      </w:r>
      <w:r>
        <w:tab/>
        <w:t>2</w:t>
      </w:r>
    </w:p>
    <w:p>
      <w:pPr>
        <w:pStyle w:val="DefinedTerms"/>
      </w:pPr>
      <w:r>
        <w:t>Schedule</w:t>
      </w:r>
      <w:r>
        <w:tab/>
        <w:t>2</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Litter Regulations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Regulations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Regulations 1981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Litter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Litter creating public risk</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Regulations 1981</w:t>
            </w:r>
          </w:fldSimple>
        </w:p>
      </w:tc>
    </w:tr>
    <w:tr>
      <w:tc>
        <w:tcPr>
          <w:tcW w:w="5715" w:type="dxa"/>
          <w:vAlign w:val="bottom"/>
        </w:tcPr>
        <w:p>
          <w:pPr>
            <w:pStyle w:val="HeaderTextRight"/>
          </w:pPr>
          <w:fldSimple w:instr=" styleref CharSchText ">
            <w:r>
              <w:rPr>
                <w:noProof/>
              </w:rPr>
              <w:t>Litter creating public risk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Litter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16"/>
  </w:num>
  <w:num w:numId="15">
    <w:abstractNumId w:val="13"/>
  </w:num>
  <w:num w:numId="16">
    <w:abstractNumId w:val="2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802"/>
    <w:docVar w:name="WAFER_20140115155716" w:val="RemoveTocBookmarks,RemoveUnusedBookmarks,RemoveLanguageTags,UsedStyles,ResetPageSize,UpdateArrangement"/>
    <w:docVar w:name="WAFER_20140115155716_GUID" w:val="7e63398f-f2a3-4b7b-a660-b115a0601ad2"/>
    <w:docVar w:name="WAFER_20140115155919" w:val="RemoveTocBookmarks,RunningHeaders"/>
    <w:docVar w:name="WAFER_20140115155919_GUID" w:val="4e7becee-42ae-49c0-9336-caabd6944594"/>
    <w:docVar w:name="WAFER_20151207141802" w:val="RemoveTrackChanges"/>
    <w:docVar w:name="WAFER_20151207141802_GUID" w:val="5c6fb5cd-e99d-4835-b11c-ebfcda29d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2250</Words>
  <Characters>12493</Characters>
  <Application>Microsoft Office Word</Application>
  <DocSecurity>0</DocSecurity>
  <Lines>594</Lines>
  <Paragraphs>421</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
  <LinksUpToDate>false</LinksUpToDate>
  <CharactersWithSpaces>14322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1981 - 02-c0-03</dc:title>
  <dc:subject/>
  <dc:creator/>
  <cp:keywords/>
  <dc:description/>
  <cp:lastModifiedBy>svcMRProcess</cp:lastModifiedBy>
  <cp:revision>4</cp:revision>
  <cp:lastPrinted>2004-03-29T07:07:00Z</cp:lastPrinted>
  <dcterms:created xsi:type="dcterms:W3CDTF">2015-12-08T04:08:00Z</dcterms:created>
  <dcterms:modified xsi:type="dcterms:W3CDTF">2015-12-08T04:08:00Z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CommencementDate">
    <vt:lpwstr>20130112</vt:lpwstr>
  </property>
  <property fmtid="{D5CDD505-2E9C-101B-9397-08002B2CF9AE}" pid="4" name="DocumentType">
    <vt:lpwstr>Reg</vt:lpwstr>
  </property>
  <property fmtid="{D5CDD505-2E9C-101B-9397-08002B2CF9AE}" pid="5" name="OwlsUID">
    <vt:i4>4570</vt:i4>
  </property>
  <property fmtid="{D5CDD505-2E9C-101B-9397-08002B2CF9AE}" pid="6" name="AsAtDate">
    <vt:lpwstr>12 Jan 2013</vt:lpwstr>
  </property>
  <property fmtid="{D5CDD505-2E9C-101B-9397-08002B2CF9AE}" pid="7" name="Suffix">
    <vt:lpwstr>02-c0-03</vt:lpwstr>
  </property>
</Properties>
</file>