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 and other matters</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_Toc137027526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_Toc137027527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_Toc137027528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Relevant Acts</w:t>
      </w:r>
      <w:r>
        <w:rPr>
          <w:noProof/>
        </w:rPr>
        <w:tab/>
      </w:r>
      <w:r>
        <w:rPr>
          <w:noProof/>
        </w:rPr>
        <w:fldChar w:fldCharType="begin"/>
      </w:r>
      <w:r>
        <w:rPr>
          <w:noProof/>
        </w:rPr>
        <w:instrText xml:space="preserve"> PAGEREF _Toc137027529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Vesting interest in land in the Corporation or the Commission</w:t>
      </w:r>
      <w:r>
        <w:rPr>
          <w:noProof/>
        </w:rPr>
        <w:tab/>
      </w:r>
      <w:r>
        <w:rPr>
          <w:noProof/>
        </w:rPr>
        <w:fldChar w:fldCharType="begin"/>
      </w:r>
      <w:r>
        <w:rPr>
          <w:noProof/>
        </w:rPr>
        <w:instrText xml:space="preserve"> PAGEREF _Toc137027530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_Toc137027531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Regulations and by</w:t>
      </w:r>
      <w:r>
        <w:rPr>
          <w:noProof/>
          <w:snapToGrid w:val="0"/>
          <w:szCs w:val="24"/>
        </w:rPr>
        <w:noBreakHyphen/>
        <w:t>laws generally</w:t>
      </w:r>
      <w:r>
        <w:rPr>
          <w:noProof/>
        </w:rPr>
        <w:tab/>
      </w:r>
      <w:r>
        <w:rPr>
          <w:noProof/>
        </w:rPr>
        <w:fldChar w:fldCharType="begin"/>
      </w:r>
      <w:r>
        <w:rPr>
          <w:noProof/>
        </w:rPr>
        <w:instrText xml:space="preserve"> PAGEREF _Toc137027532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_Toc137027533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Revocation or amendment of by</w:t>
      </w:r>
      <w:r>
        <w:rPr>
          <w:noProof/>
          <w:snapToGrid w:val="0"/>
          <w:szCs w:val="24"/>
        </w:rPr>
        <w:noBreakHyphen/>
        <w:t>laws and of town planning schemes</w:t>
      </w:r>
      <w:r>
        <w:rPr>
          <w:noProof/>
        </w:rPr>
        <w:tab/>
      </w:r>
      <w:r>
        <w:rPr>
          <w:noProof/>
        </w:rPr>
        <w:fldChar w:fldCharType="begin"/>
      </w:r>
      <w:r>
        <w:rPr>
          <w:noProof/>
        </w:rPr>
        <w:instrText xml:space="preserve"> PAGEREF _Toc137027534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III — Financial provisions</w:t>
      </w:r>
    </w:p>
    <w:p>
      <w:pPr>
        <w:pStyle w:val="TOC3"/>
        <w:rPr>
          <w:b w:val="0"/>
          <w:noProof/>
          <w:sz w:val="24"/>
          <w:szCs w:val="24"/>
        </w:rPr>
      </w:pPr>
      <w:r>
        <w:rPr>
          <w:noProof/>
          <w:szCs w:val="26"/>
        </w:rPr>
        <w:t>Division 1A</w:t>
      </w:r>
      <w:r>
        <w:rPr>
          <w:noProof/>
          <w:snapToGrid w:val="0"/>
          <w:szCs w:val="26"/>
        </w:rPr>
        <w:t> — </w:t>
      </w:r>
      <w:r>
        <w:rPr>
          <w:noProof/>
          <w:szCs w:val="26"/>
        </w:rPr>
        <w:t>Certain provisions as to charges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By</w:t>
      </w:r>
      <w:r>
        <w:rPr>
          <w:noProof/>
          <w:snapToGrid w:val="0"/>
          <w:szCs w:val="24"/>
        </w:rPr>
        <w:noBreakHyphen/>
        <w:t>laws relating to charges</w:t>
      </w:r>
      <w:r>
        <w:rPr>
          <w:noProof/>
        </w:rPr>
        <w:tab/>
      </w:r>
      <w:r>
        <w:rPr>
          <w:noProof/>
        </w:rPr>
        <w:fldChar w:fldCharType="begin"/>
      </w:r>
      <w:r>
        <w:rPr>
          <w:noProof/>
        </w:rPr>
        <w:instrText xml:space="preserve"> PAGEREF _Toc137027537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41C</w:t>
      </w:r>
      <w:r>
        <w:rPr>
          <w:noProof/>
          <w:snapToGrid w:val="0"/>
          <w:szCs w:val="24"/>
        </w:rPr>
        <w:t xml:space="preserve">. </w:t>
      </w:r>
      <w:r>
        <w:rPr>
          <w:noProof/>
          <w:sz w:val="24"/>
          <w:szCs w:val="24"/>
        </w:rPr>
        <w:tab/>
      </w:r>
      <w:r>
        <w:rPr>
          <w:noProof/>
          <w:snapToGrid w:val="0"/>
          <w:szCs w:val="24"/>
        </w:rPr>
        <w:t>Certain valuations may be indexed</w:t>
      </w:r>
      <w:r>
        <w:rPr>
          <w:noProof/>
        </w:rPr>
        <w:tab/>
      </w:r>
      <w:r>
        <w:rPr>
          <w:noProof/>
        </w:rPr>
        <w:fldChar w:fldCharType="begin"/>
      </w:r>
      <w:r>
        <w:rPr>
          <w:noProof/>
        </w:rPr>
        <w:instrText xml:space="preserve"> PAGEREF _Toc137027538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41D</w:t>
      </w:r>
      <w:r>
        <w:rPr>
          <w:noProof/>
          <w:snapToGrid w:val="0"/>
          <w:szCs w:val="24"/>
        </w:rPr>
        <w:t xml:space="preserve">. </w:t>
      </w:r>
      <w:r>
        <w:rPr>
          <w:noProof/>
          <w:sz w:val="24"/>
          <w:szCs w:val="24"/>
        </w:rPr>
        <w:tab/>
      </w:r>
      <w:r>
        <w:rPr>
          <w:noProof/>
          <w:snapToGrid w:val="0"/>
          <w:szCs w:val="24"/>
        </w:rPr>
        <w:t>Phasing</w:t>
      </w:r>
      <w:r>
        <w:rPr>
          <w:noProof/>
          <w:snapToGrid w:val="0"/>
          <w:szCs w:val="24"/>
        </w:rPr>
        <w:noBreakHyphen/>
        <w:t>in of certain valuations</w:t>
      </w:r>
      <w:r>
        <w:rPr>
          <w:noProof/>
        </w:rPr>
        <w:tab/>
      </w:r>
      <w:r>
        <w:rPr>
          <w:noProof/>
        </w:rPr>
        <w:fldChar w:fldCharType="begin"/>
      </w:r>
      <w:r>
        <w:rPr>
          <w:noProof/>
        </w:rPr>
        <w:instrText xml:space="preserve"> PAGEREF _Toc137027539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41E</w:t>
      </w:r>
      <w:r>
        <w:rPr>
          <w:noProof/>
          <w:snapToGrid w:val="0"/>
          <w:szCs w:val="24"/>
        </w:rPr>
        <w:t>.</w:t>
      </w:r>
      <w:r>
        <w:rPr>
          <w:noProof/>
          <w:sz w:val="24"/>
          <w:szCs w:val="24"/>
        </w:rPr>
        <w:tab/>
      </w:r>
      <w:r>
        <w:rPr>
          <w:noProof/>
          <w:snapToGrid w:val="0"/>
          <w:szCs w:val="24"/>
        </w:rPr>
        <w:t>Interim valuations</w:t>
      </w:r>
      <w:r>
        <w:rPr>
          <w:noProof/>
        </w:rPr>
        <w:tab/>
      </w:r>
      <w:r>
        <w:rPr>
          <w:noProof/>
        </w:rPr>
        <w:fldChar w:fldCharType="begin"/>
      </w:r>
      <w:r>
        <w:rPr>
          <w:noProof/>
        </w:rPr>
        <w:instrText xml:space="preserve"> PAGEREF _Toc137027540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41F</w:t>
      </w:r>
      <w:r>
        <w:rPr>
          <w:noProof/>
          <w:snapToGrid w:val="0"/>
          <w:szCs w:val="24"/>
        </w:rPr>
        <w:t xml:space="preserve">. </w:t>
      </w:r>
      <w:r>
        <w:rPr>
          <w:noProof/>
          <w:sz w:val="24"/>
          <w:szCs w:val="24"/>
        </w:rPr>
        <w:tab/>
      </w:r>
      <w:r>
        <w:rPr>
          <w:noProof/>
          <w:snapToGrid w:val="0"/>
          <w:szCs w:val="24"/>
        </w:rPr>
        <w:t>Postponement of effect of general valuation</w:t>
      </w:r>
      <w:r>
        <w:rPr>
          <w:noProof/>
        </w:rPr>
        <w:tab/>
      </w:r>
      <w:r>
        <w:rPr>
          <w:noProof/>
        </w:rPr>
        <w:fldChar w:fldCharType="begin"/>
      </w:r>
      <w:r>
        <w:rPr>
          <w:noProof/>
        </w:rPr>
        <w:instrText xml:space="preserve"> PAGEREF _Toc137027541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41G</w:t>
      </w:r>
      <w:r>
        <w:rPr>
          <w:noProof/>
          <w:snapToGrid w:val="0"/>
          <w:szCs w:val="24"/>
        </w:rPr>
        <w:t xml:space="preserve">. </w:t>
      </w:r>
      <w:r>
        <w:rPr>
          <w:noProof/>
          <w:sz w:val="24"/>
          <w:szCs w:val="24"/>
        </w:rPr>
        <w:tab/>
      </w:r>
      <w:r>
        <w:rPr>
          <w:noProof/>
          <w:snapToGrid w:val="0"/>
          <w:szCs w:val="24"/>
        </w:rPr>
        <w:t>Incomplete general valuation</w:t>
      </w:r>
      <w:r>
        <w:rPr>
          <w:noProof/>
        </w:rPr>
        <w:tab/>
      </w:r>
      <w:r>
        <w:rPr>
          <w:noProof/>
        </w:rPr>
        <w:fldChar w:fldCharType="begin"/>
      </w:r>
      <w:r>
        <w:rPr>
          <w:noProof/>
        </w:rPr>
        <w:instrText xml:space="preserve"> PAGEREF _Toc137027542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41GA</w:t>
      </w:r>
      <w:r>
        <w:rPr>
          <w:noProof/>
          <w:snapToGrid w:val="0"/>
          <w:szCs w:val="24"/>
        </w:rPr>
        <w:t>.</w:t>
      </w:r>
      <w:r>
        <w:rPr>
          <w:noProof/>
          <w:sz w:val="24"/>
          <w:szCs w:val="24"/>
        </w:rPr>
        <w:tab/>
      </w:r>
      <w:r>
        <w:rPr>
          <w:noProof/>
          <w:snapToGrid w:val="0"/>
          <w:szCs w:val="24"/>
        </w:rPr>
        <w:t>Concession on certain charges after subdivision</w:t>
      </w:r>
      <w:r>
        <w:rPr>
          <w:noProof/>
        </w:rPr>
        <w:tab/>
      </w:r>
      <w:r>
        <w:rPr>
          <w:noProof/>
        </w:rPr>
        <w:fldChar w:fldCharType="begin"/>
      </w:r>
      <w:r>
        <w:rPr>
          <w:noProof/>
        </w:rPr>
        <w:instrText xml:space="preserve"> PAGEREF _Toc137027543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41H</w:t>
      </w:r>
      <w:r>
        <w:rPr>
          <w:noProof/>
          <w:snapToGrid w:val="0"/>
          <w:szCs w:val="24"/>
        </w:rPr>
        <w:t xml:space="preserve">. </w:t>
      </w:r>
      <w:r>
        <w:rPr>
          <w:noProof/>
          <w:sz w:val="24"/>
          <w:szCs w:val="24"/>
        </w:rPr>
        <w:tab/>
      </w:r>
      <w:r>
        <w:rPr>
          <w:noProof/>
          <w:snapToGrid w:val="0"/>
          <w:szCs w:val="24"/>
        </w:rPr>
        <w:t>Apportionment between joint owners or occupiers</w:t>
      </w:r>
      <w:r>
        <w:rPr>
          <w:noProof/>
        </w:rPr>
        <w:tab/>
      </w:r>
      <w:r>
        <w:rPr>
          <w:noProof/>
        </w:rPr>
        <w:fldChar w:fldCharType="begin"/>
      </w:r>
      <w:r>
        <w:rPr>
          <w:noProof/>
        </w:rPr>
        <w:instrText xml:space="preserve"> PAGEREF _Toc137027544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41J</w:t>
      </w:r>
      <w:r>
        <w:rPr>
          <w:noProof/>
          <w:snapToGrid w:val="0"/>
          <w:szCs w:val="24"/>
        </w:rPr>
        <w:t>.</w:t>
      </w:r>
      <w:r>
        <w:rPr>
          <w:noProof/>
          <w:sz w:val="24"/>
          <w:szCs w:val="24"/>
        </w:rPr>
        <w:tab/>
      </w:r>
      <w:r>
        <w:rPr>
          <w:noProof/>
          <w:snapToGrid w:val="0"/>
          <w:szCs w:val="24"/>
        </w:rPr>
        <w:t>Accounts based on estimated quantities</w:t>
      </w:r>
      <w:r>
        <w:rPr>
          <w:noProof/>
        </w:rPr>
        <w:tab/>
      </w:r>
      <w:r>
        <w:rPr>
          <w:noProof/>
        </w:rPr>
        <w:fldChar w:fldCharType="begin"/>
      </w:r>
      <w:r>
        <w:rPr>
          <w:noProof/>
        </w:rPr>
        <w:instrText xml:space="preserve"> PAGEREF _Toc137027545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41K</w:t>
      </w:r>
      <w:r>
        <w:rPr>
          <w:noProof/>
          <w:snapToGrid w:val="0"/>
          <w:szCs w:val="24"/>
        </w:rPr>
        <w:t xml:space="preserve">. </w:t>
      </w:r>
      <w:r>
        <w:rPr>
          <w:noProof/>
          <w:sz w:val="24"/>
          <w:szCs w:val="24"/>
        </w:rPr>
        <w:tab/>
      </w:r>
      <w:r>
        <w:rPr>
          <w:noProof/>
          <w:snapToGrid w:val="0"/>
          <w:szCs w:val="24"/>
        </w:rPr>
        <w:t>Certain information to be made available</w:t>
      </w:r>
      <w:r>
        <w:rPr>
          <w:noProof/>
        </w:rPr>
        <w:tab/>
      </w:r>
      <w:r>
        <w:rPr>
          <w:noProof/>
        </w:rPr>
        <w:fldChar w:fldCharType="begin"/>
      </w:r>
      <w:r>
        <w:rPr>
          <w:noProof/>
        </w:rPr>
        <w:instrText xml:space="preserve"> PAGEREF _Toc137027546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41L</w:t>
      </w:r>
      <w:r>
        <w:rPr>
          <w:noProof/>
          <w:snapToGrid w:val="0"/>
          <w:szCs w:val="24"/>
        </w:rPr>
        <w:t xml:space="preserve">. </w:t>
      </w:r>
      <w:r>
        <w:rPr>
          <w:noProof/>
          <w:sz w:val="24"/>
          <w:szCs w:val="24"/>
        </w:rPr>
        <w:tab/>
      </w:r>
      <w:r>
        <w:rPr>
          <w:noProof/>
          <w:snapToGrid w:val="0"/>
          <w:szCs w:val="24"/>
        </w:rPr>
        <w:t>Interest on overdue amounts</w:t>
      </w:r>
      <w:r>
        <w:rPr>
          <w:noProof/>
        </w:rPr>
        <w:tab/>
      </w:r>
      <w:r>
        <w:rPr>
          <w:noProof/>
        </w:rPr>
        <w:fldChar w:fldCharType="begin"/>
      </w:r>
      <w:r>
        <w:rPr>
          <w:noProof/>
        </w:rPr>
        <w:instrText xml:space="preserve"> PAGEREF _Toc137027547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41M</w:t>
      </w:r>
      <w:r>
        <w:rPr>
          <w:noProof/>
          <w:snapToGrid w:val="0"/>
          <w:szCs w:val="24"/>
        </w:rPr>
        <w:t xml:space="preserve">. </w:t>
      </w:r>
      <w:r>
        <w:rPr>
          <w:noProof/>
          <w:sz w:val="24"/>
          <w:szCs w:val="24"/>
        </w:rPr>
        <w:tab/>
      </w:r>
      <w:r>
        <w:rPr>
          <w:noProof/>
          <w:snapToGrid w:val="0"/>
          <w:szCs w:val="24"/>
        </w:rPr>
        <w:t>Corporation may waive or reduce certain amounts</w:t>
      </w:r>
      <w:r>
        <w:rPr>
          <w:noProof/>
        </w:rPr>
        <w:tab/>
      </w:r>
      <w:r>
        <w:rPr>
          <w:noProof/>
        </w:rPr>
        <w:fldChar w:fldCharType="begin"/>
      </w:r>
      <w:r>
        <w:rPr>
          <w:noProof/>
        </w:rPr>
        <w:instrText xml:space="preserve"> PAGEREF _Toc137027548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41N</w:t>
      </w:r>
      <w:r>
        <w:rPr>
          <w:noProof/>
          <w:snapToGrid w:val="0"/>
          <w:szCs w:val="24"/>
        </w:rPr>
        <w:t>.</w:t>
      </w:r>
      <w:r>
        <w:rPr>
          <w:noProof/>
          <w:sz w:val="24"/>
          <w:szCs w:val="24"/>
        </w:rPr>
        <w:tab/>
      </w:r>
      <w:r>
        <w:rPr>
          <w:noProof/>
          <w:snapToGrid w:val="0"/>
          <w:szCs w:val="24"/>
        </w:rPr>
        <w:t>Charges payable notwithstanding liability to prosecution</w:t>
      </w:r>
      <w:r>
        <w:rPr>
          <w:noProof/>
        </w:rPr>
        <w:tab/>
      </w:r>
      <w:r>
        <w:rPr>
          <w:noProof/>
        </w:rPr>
        <w:fldChar w:fldCharType="begin"/>
      </w:r>
      <w:r>
        <w:rPr>
          <w:noProof/>
        </w:rPr>
        <w:instrText xml:space="preserve"> PAGEREF _Toc137027549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2 — Agreements as to charges</w:t>
      </w:r>
    </w:p>
    <w:p>
      <w:pPr>
        <w:pStyle w:val="TOC4"/>
        <w:tabs>
          <w:tab w:val="left" w:pos="1701"/>
        </w:tabs>
        <w:rPr>
          <w:noProof/>
          <w:sz w:val="24"/>
          <w:szCs w:val="24"/>
        </w:rPr>
      </w:pPr>
      <w:r>
        <w:rPr>
          <w:noProof/>
          <w:szCs w:val="24"/>
        </w:rPr>
        <w:t>42.</w:t>
      </w:r>
      <w:r>
        <w:rPr>
          <w:noProof/>
          <w:sz w:val="24"/>
          <w:szCs w:val="24"/>
        </w:rPr>
        <w:tab/>
      </w:r>
      <w:r>
        <w:rPr>
          <w:noProof/>
          <w:szCs w:val="24"/>
        </w:rPr>
        <w:t>Agreements for different liability</w:t>
      </w:r>
      <w:r>
        <w:rPr>
          <w:noProof/>
        </w:rPr>
        <w:tab/>
      </w:r>
      <w:r>
        <w:rPr>
          <w:noProof/>
        </w:rPr>
        <w:fldChar w:fldCharType="begin"/>
      </w:r>
      <w:r>
        <w:rPr>
          <w:noProof/>
        </w:rPr>
        <w:instrText xml:space="preserve"> PAGEREF _Toc137027551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Liability, indemnity, etc.</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Liability for physical damage to land, etc.</w:t>
      </w:r>
      <w:r>
        <w:rPr>
          <w:noProof/>
        </w:rPr>
        <w:tab/>
      </w:r>
      <w:r>
        <w:rPr>
          <w:noProof/>
        </w:rPr>
        <w:fldChar w:fldCharType="begin"/>
      </w:r>
      <w:r>
        <w:rPr>
          <w:noProof/>
        </w:rPr>
        <w:instrText xml:space="preserve"> PAGEREF _Toc137027553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Actions for damages generally</w:t>
      </w:r>
      <w:r>
        <w:rPr>
          <w:noProof/>
        </w:rPr>
        <w:tab/>
      </w:r>
      <w:r>
        <w:rPr>
          <w:noProof/>
        </w:rPr>
        <w:fldChar w:fldCharType="begin"/>
      </w:r>
      <w:r>
        <w:rPr>
          <w:noProof/>
        </w:rPr>
        <w:instrText xml:space="preserve"> PAGEREF _Toc137027554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IV — Agreements relating to works and water services</w:t>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_Toc137027556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Interpretation of this Part</w:t>
      </w:r>
      <w:r>
        <w:rPr>
          <w:noProof/>
        </w:rPr>
        <w:tab/>
      </w:r>
      <w:r>
        <w:rPr>
          <w:noProof/>
        </w:rPr>
        <w:fldChar w:fldCharType="begin"/>
      </w:r>
      <w:r>
        <w:rPr>
          <w:noProof/>
        </w:rPr>
        <w:instrText xml:space="preserve"> PAGEREF _Toc137027557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Advice and guidelines</w:t>
      </w:r>
      <w:r>
        <w:rPr>
          <w:noProof/>
        </w:rPr>
        <w:tab/>
      </w:r>
      <w:r>
        <w:rPr>
          <w:noProof/>
        </w:rPr>
        <w:fldChar w:fldCharType="begin"/>
      </w:r>
      <w:r>
        <w:rPr>
          <w:noProof/>
        </w:rPr>
        <w:instrText xml:space="preserve"> PAGEREF _Toc137027558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Agreements</w:t>
      </w:r>
      <w:r>
        <w:rPr>
          <w:noProof/>
        </w:rPr>
        <w:tab/>
      </w:r>
      <w:r>
        <w:rPr>
          <w:noProof/>
        </w:rPr>
        <w:fldChar w:fldCharType="begin"/>
      </w:r>
      <w:r>
        <w:rPr>
          <w:noProof/>
        </w:rPr>
        <w:instrText xml:space="preserve"> PAGEREF _Toc137027559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67A</w:t>
      </w:r>
      <w:r>
        <w:rPr>
          <w:noProof/>
          <w:snapToGrid w:val="0"/>
          <w:szCs w:val="24"/>
        </w:rPr>
        <w:t xml:space="preserve">. </w:t>
      </w:r>
      <w:r>
        <w:rPr>
          <w:noProof/>
          <w:sz w:val="24"/>
          <w:szCs w:val="24"/>
        </w:rPr>
        <w:tab/>
      </w:r>
      <w:r>
        <w:rPr>
          <w:noProof/>
          <w:snapToGrid w:val="0"/>
          <w:szCs w:val="24"/>
        </w:rPr>
        <w:t>Deferring headworks payments for certain subdivisions</w:t>
      </w:r>
      <w:r>
        <w:rPr>
          <w:noProof/>
        </w:rPr>
        <w:tab/>
      </w:r>
      <w:r>
        <w:rPr>
          <w:noProof/>
        </w:rPr>
        <w:fldChar w:fldCharType="begin"/>
      </w:r>
      <w:r>
        <w:rPr>
          <w:noProof/>
        </w:rPr>
        <w:instrText xml:space="preserve"> PAGEREF _Toc137027560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67B</w:t>
      </w:r>
      <w:r>
        <w:rPr>
          <w:noProof/>
          <w:snapToGrid w:val="0"/>
          <w:szCs w:val="24"/>
        </w:rPr>
        <w:t xml:space="preserve">. </w:t>
      </w:r>
      <w:r>
        <w:rPr>
          <w:noProof/>
          <w:sz w:val="24"/>
          <w:szCs w:val="24"/>
        </w:rPr>
        <w:tab/>
      </w:r>
      <w:r>
        <w:rPr>
          <w:noProof/>
          <w:snapToGrid w:val="0"/>
          <w:szCs w:val="24"/>
        </w:rPr>
        <w:t>Transfer of land restricted until deferred amount paid</w:t>
      </w:r>
      <w:r>
        <w:rPr>
          <w:noProof/>
        </w:rPr>
        <w:tab/>
      </w:r>
      <w:r>
        <w:rPr>
          <w:noProof/>
        </w:rPr>
        <w:fldChar w:fldCharType="begin"/>
      </w:r>
      <w:r>
        <w:rPr>
          <w:noProof/>
        </w:rPr>
        <w:instrText xml:space="preserve"> PAGEREF _Toc137027561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V — Access to land and information for rating purposes</w:t>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Access to land and information for the purposes of rating, etc.</w:t>
      </w:r>
      <w:r>
        <w:rPr>
          <w:noProof/>
        </w:rPr>
        <w:tab/>
      </w:r>
      <w:r>
        <w:rPr>
          <w:noProof/>
        </w:rPr>
        <w:fldChar w:fldCharType="begin"/>
      </w:r>
      <w:r>
        <w:rPr>
          <w:noProof/>
        </w:rPr>
        <w:instrText xml:space="preserve"> PAGEREF _Toc137027563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Provision of information as to rating, etc.</w:t>
      </w:r>
      <w:r>
        <w:rPr>
          <w:noProof/>
        </w:rPr>
        <w:tab/>
      </w:r>
      <w:r>
        <w:rPr>
          <w:noProof/>
        </w:rPr>
        <w:fldChar w:fldCharType="begin"/>
      </w:r>
      <w:r>
        <w:rPr>
          <w:noProof/>
        </w:rPr>
        <w:instrText xml:space="preserve"> PAGEREF _Toc137027564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69A</w:t>
      </w:r>
      <w:r>
        <w:rPr>
          <w:noProof/>
          <w:snapToGrid w:val="0"/>
          <w:szCs w:val="24"/>
        </w:rPr>
        <w:t xml:space="preserve">. </w:t>
      </w:r>
      <w:r>
        <w:rPr>
          <w:noProof/>
          <w:sz w:val="24"/>
          <w:szCs w:val="24"/>
        </w:rPr>
        <w:tab/>
      </w:r>
      <w:r>
        <w:rPr>
          <w:noProof/>
          <w:snapToGrid w:val="0"/>
          <w:szCs w:val="24"/>
        </w:rPr>
        <w:t>Rating records</w:t>
      </w:r>
      <w:r>
        <w:rPr>
          <w:noProof/>
        </w:rPr>
        <w:tab/>
      </w:r>
      <w:r>
        <w:rPr>
          <w:noProof/>
        </w:rPr>
        <w:fldChar w:fldCharType="begin"/>
      </w:r>
      <w:r>
        <w:rPr>
          <w:noProof/>
        </w:rPr>
        <w:instrText xml:space="preserve"> PAGEREF _Toc137027565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69B</w:t>
      </w:r>
      <w:r>
        <w:rPr>
          <w:noProof/>
          <w:snapToGrid w:val="0"/>
          <w:szCs w:val="24"/>
        </w:rPr>
        <w:t xml:space="preserve">. </w:t>
      </w:r>
      <w:r>
        <w:rPr>
          <w:noProof/>
          <w:sz w:val="24"/>
          <w:szCs w:val="24"/>
        </w:rPr>
        <w:tab/>
      </w:r>
      <w:r>
        <w:rPr>
          <w:noProof/>
          <w:snapToGrid w:val="0"/>
          <w:szCs w:val="24"/>
        </w:rPr>
        <w:t>Records to be basis of assessment</w:t>
      </w:r>
      <w:r>
        <w:rPr>
          <w:noProof/>
        </w:rPr>
        <w:tab/>
      </w:r>
      <w:r>
        <w:rPr>
          <w:noProof/>
        </w:rPr>
        <w:fldChar w:fldCharType="begin"/>
      </w:r>
      <w:r>
        <w:rPr>
          <w:noProof/>
        </w:rPr>
        <w:instrText xml:space="preserve"> PAGEREF _Toc137027566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VI — Entry onto land</w:t>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The power of entry</w:t>
      </w:r>
      <w:r>
        <w:rPr>
          <w:noProof/>
        </w:rPr>
        <w:tab/>
      </w:r>
      <w:r>
        <w:rPr>
          <w:noProof/>
        </w:rPr>
        <w:fldChar w:fldCharType="begin"/>
      </w:r>
      <w:r>
        <w:rPr>
          <w:noProof/>
        </w:rPr>
        <w:instrText xml:space="preserve"> PAGEREF _Toc137027568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_Toc137027569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Notice of entry</w:t>
      </w:r>
      <w:r>
        <w:rPr>
          <w:noProof/>
        </w:rPr>
        <w:tab/>
      </w:r>
      <w:r>
        <w:rPr>
          <w:noProof/>
        </w:rPr>
        <w:fldChar w:fldCharType="begin"/>
      </w:r>
      <w:r>
        <w:rPr>
          <w:noProof/>
        </w:rPr>
        <w:instrText xml:space="preserve"> PAGEREF _Toc137027570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Rights as to entry in emergency</w:t>
      </w:r>
      <w:r>
        <w:rPr>
          <w:noProof/>
        </w:rPr>
        <w:tab/>
      </w:r>
      <w:r>
        <w:rPr>
          <w:noProof/>
        </w:rPr>
        <w:fldChar w:fldCharType="begin"/>
      </w:r>
      <w:r>
        <w:rPr>
          <w:noProof/>
        </w:rPr>
        <w:instrText xml:space="preserve"> PAGEREF _Toc137027571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VII — Acquisition of land or interests in land</w:t>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Estates and interest in land</w:t>
      </w:r>
      <w:r>
        <w:rPr>
          <w:noProof/>
        </w:rPr>
        <w:tab/>
      </w:r>
      <w:r>
        <w:rPr>
          <w:noProof/>
        </w:rPr>
        <w:fldChar w:fldCharType="begin"/>
      </w:r>
      <w:r>
        <w:rPr>
          <w:noProof/>
        </w:rPr>
        <w:instrText xml:space="preserve"> PAGEREF _Toc137027573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Partial interests in land</w:t>
      </w:r>
      <w:r>
        <w:rPr>
          <w:noProof/>
        </w:rPr>
        <w:tab/>
      </w:r>
      <w:r>
        <w:rPr>
          <w:noProof/>
        </w:rPr>
        <w:fldChar w:fldCharType="begin"/>
      </w:r>
      <w:r>
        <w:rPr>
          <w:noProof/>
        </w:rPr>
        <w:instrText xml:space="preserve"> PAGEREF _Toc137027574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Agreements incidental to land matters</w:t>
      </w:r>
      <w:r>
        <w:rPr>
          <w:noProof/>
        </w:rPr>
        <w:tab/>
      </w:r>
      <w:r>
        <w:rPr>
          <w:noProof/>
        </w:rPr>
        <w:fldChar w:fldCharType="begin"/>
      </w:r>
      <w:r>
        <w:rPr>
          <w:noProof/>
        </w:rPr>
        <w:instrText xml:space="preserve"> PAGEREF _Toc137027575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Power to dispose of land</w:t>
      </w:r>
      <w:r>
        <w:rPr>
          <w:noProof/>
        </w:rPr>
        <w:tab/>
      </w:r>
      <w:r>
        <w:rPr>
          <w:noProof/>
        </w:rPr>
        <w:fldChar w:fldCharType="begin"/>
      </w:r>
      <w:r>
        <w:rPr>
          <w:noProof/>
        </w:rPr>
        <w:instrText xml:space="preserve"> PAGEREF _Toc137027576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Planning approval</w:t>
      </w:r>
      <w:r>
        <w:rPr>
          <w:noProof/>
        </w:rPr>
        <w:tab/>
      </w:r>
      <w:r>
        <w:rPr>
          <w:noProof/>
        </w:rPr>
        <w:fldChar w:fldCharType="begin"/>
      </w:r>
      <w:r>
        <w:rPr>
          <w:noProof/>
        </w:rPr>
        <w:instrText xml:space="preserve"> PAGEREF _Toc137027577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 xml:space="preserve">Claims against the Commission or the Corporation for the use of land and the application of the </w:t>
      </w:r>
      <w:r>
        <w:rPr>
          <w:i/>
          <w:noProof/>
          <w:snapToGrid w:val="0"/>
          <w:szCs w:val="24"/>
        </w:rPr>
        <w:t>Public Works Act 1902</w:t>
      </w:r>
      <w:r>
        <w:rPr>
          <w:noProof/>
        </w:rPr>
        <w:tab/>
      </w:r>
      <w:r>
        <w:rPr>
          <w:noProof/>
        </w:rPr>
        <w:fldChar w:fldCharType="begin"/>
      </w:r>
      <w:r>
        <w:rPr>
          <w:noProof/>
        </w:rPr>
        <w:instrText xml:space="preserve"> PAGEREF _Toc137027578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VIII — Works</w:t>
      </w:r>
    </w:p>
    <w:p>
      <w:pPr>
        <w:pStyle w:val="TOC3"/>
        <w:rPr>
          <w:b w:val="0"/>
          <w:noProof/>
          <w:sz w:val="24"/>
          <w:szCs w:val="24"/>
        </w:rPr>
      </w:pPr>
      <w:r>
        <w:rPr>
          <w:noProof/>
          <w:szCs w:val="26"/>
        </w:rPr>
        <w:t>Division 1</w:t>
      </w:r>
      <w:r>
        <w:rPr>
          <w:noProof/>
          <w:snapToGrid w:val="0"/>
          <w:szCs w:val="26"/>
        </w:rPr>
        <w:t> — </w:t>
      </w:r>
      <w:r>
        <w:rPr>
          <w:noProof/>
          <w:szCs w:val="26"/>
        </w:rPr>
        <w:t>Carrying out of works under this Part</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Power to carry out works under this Part</w:t>
      </w:r>
      <w:r>
        <w:rPr>
          <w:noProof/>
        </w:rPr>
        <w:tab/>
      </w:r>
      <w:r>
        <w:rPr>
          <w:noProof/>
        </w:rPr>
        <w:fldChar w:fldCharType="begin"/>
      </w:r>
      <w:r>
        <w:rPr>
          <w:noProof/>
        </w:rPr>
        <w:instrText xml:space="preserve"> PAGEREF _Toc137027581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Powers relating to works</w:t>
      </w:r>
      <w:r>
        <w:rPr>
          <w:noProof/>
        </w:rPr>
        <w:tab/>
      </w:r>
      <w:r>
        <w:rPr>
          <w:noProof/>
        </w:rPr>
        <w:fldChar w:fldCharType="begin"/>
      </w:r>
      <w:r>
        <w:rPr>
          <w:noProof/>
        </w:rPr>
        <w:instrText xml:space="preserve"> PAGEREF _Toc137027582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Property in works</w:t>
      </w:r>
      <w:r>
        <w:rPr>
          <w:noProof/>
        </w:rPr>
        <w:tab/>
      </w:r>
      <w:r>
        <w:rPr>
          <w:noProof/>
        </w:rPr>
        <w:fldChar w:fldCharType="begin"/>
      </w:r>
      <w:r>
        <w:rPr>
          <w:noProof/>
        </w:rPr>
        <w:instrText xml:space="preserve"> PAGEREF _Toc137027583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Local government works constructed with borrowed money</w:t>
      </w:r>
      <w:r>
        <w:rPr>
          <w:noProof/>
        </w:rPr>
        <w:tab/>
      </w:r>
      <w:r>
        <w:rPr>
          <w:noProof/>
        </w:rPr>
        <w:fldChar w:fldCharType="begin"/>
      </w:r>
      <w:r>
        <w:rPr>
          <w:noProof/>
        </w:rPr>
        <w:instrText xml:space="preserve"> PAGEREF _Toc137027584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Preliminaries to works</w:t>
      </w:r>
    </w:p>
    <w:p>
      <w:pPr>
        <w:pStyle w:val="TOC3"/>
        <w:rPr>
          <w:b w:val="0"/>
          <w:noProof/>
          <w:sz w:val="24"/>
          <w:szCs w:val="24"/>
        </w:rPr>
      </w:pPr>
      <w:r>
        <w:rPr>
          <w:noProof/>
          <w:szCs w:val="24"/>
        </w:rPr>
        <w:t>Subdivision A — Interpretation</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_Toc137027587 \h </w:instrText>
      </w:r>
      <w:r>
        <w:rPr>
          <w:noProof/>
        </w:rPr>
      </w:r>
      <w:r>
        <w:rPr>
          <w:noProof/>
        </w:rPr>
        <w:fldChar w:fldCharType="separate"/>
      </w:r>
      <w:r>
        <w:rPr>
          <w:noProof/>
        </w:rPr>
        <w:t>65</w:t>
      </w:r>
      <w:r>
        <w:rPr>
          <w:noProof/>
        </w:rPr>
        <w:fldChar w:fldCharType="end"/>
      </w:r>
    </w:p>
    <w:p>
      <w:pPr>
        <w:pStyle w:val="TOC3"/>
        <w:rPr>
          <w:b w:val="0"/>
          <w:noProof/>
          <w:sz w:val="24"/>
          <w:szCs w:val="24"/>
        </w:rPr>
      </w:pPr>
      <w:r>
        <w:rPr>
          <w:noProof/>
          <w:szCs w:val="24"/>
        </w:rPr>
        <w:t>Subdivision B — Major works</w:t>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Power to carry out major works</w:t>
      </w:r>
      <w:r>
        <w:rPr>
          <w:noProof/>
        </w:rPr>
        <w:tab/>
      </w:r>
      <w:r>
        <w:rPr>
          <w:noProof/>
        </w:rPr>
        <w:fldChar w:fldCharType="begin"/>
      </w:r>
      <w:r>
        <w:rPr>
          <w:noProof/>
        </w:rPr>
        <w:instrText xml:space="preserve"> PAGEREF _Toc137027589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Advertisements and notices</w:t>
      </w:r>
      <w:r>
        <w:rPr>
          <w:noProof/>
        </w:rPr>
        <w:tab/>
      </w:r>
      <w:r>
        <w:rPr>
          <w:noProof/>
        </w:rPr>
        <w:fldChar w:fldCharType="begin"/>
      </w:r>
      <w:r>
        <w:rPr>
          <w:noProof/>
        </w:rPr>
        <w:instrText xml:space="preserve"> PAGEREF _Toc137027590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Objections and comments</w:t>
      </w:r>
      <w:r>
        <w:rPr>
          <w:noProof/>
        </w:rPr>
        <w:tab/>
      </w:r>
      <w:r>
        <w:rPr>
          <w:noProof/>
        </w:rPr>
        <w:fldChar w:fldCharType="begin"/>
      </w:r>
      <w:r>
        <w:rPr>
          <w:noProof/>
        </w:rPr>
        <w:instrText xml:space="preserve"> PAGEREF _Toc137027591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Submission for authorization</w:t>
      </w:r>
      <w:r>
        <w:rPr>
          <w:noProof/>
        </w:rPr>
        <w:tab/>
      </w:r>
      <w:r>
        <w:rPr>
          <w:noProof/>
        </w:rPr>
        <w:fldChar w:fldCharType="begin"/>
      </w:r>
      <w:r>
        <w:rPr>
          <w:noProof/>
        </w:rPr>
        <w:instrText xml:space="preserve"> PAGEREF _Toc137027592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Alteration or extension of major works</w:t>
      </w:r>
      <w:r>
        <w:rPr>
          <w:noProof/>
        </w:rPr>
        <w:tab/>
      </w:r>
      <w:r>
        <w:rPr>
          <w:noProof/>
        </w:rPr>
        <w:fldChar w:fldCharType="begin"/>
      </w:r>
      <w:r>
        <w:rPr>
          <w:noProof/>
        </w:rPr>
        <w:instrText xml:space="preserve"> PAGEREF _Toc137027593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4"/>
        </w:rPr>
        <w:t>Subdivision C — General works</w:t>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Power to carry out general works</w:t>
      </w:r>
      <w:r>
        <w:rPr>
          <w:noProof/>
        </w:rPr>
        <w:tab/>
      </w:r>
      <w:r>
        <w:rPr>
          <w:noProof/>
        </w:rPr>
        <w:fldChar w:fldCharType="begin"/>
      </w:r>
      <w:r>
        <w:rPr>
          <w:noProof/>
        </w:rPr>
        <w:instrText xml:space="preserve"> PAGEREF _Toc137027595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_Toc137027596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Objections and comments</w:t>
      </w:r>
      <w:r>
        <w:rPr>
          <w:noProof/>
        </w:rPr>
        <w:tab/>
      </w:r>
      <w:r>
        <w:rPr>
          <w:noProof/>
        </w:rPr>
        <w:fldChar w:fldCharType="begin"/>
      </w:r>
      <w:r>
        <w:rPr>
          <w:noProof/>
        </w:rPr>
        <w:instrText xml:space="preserve"> PAGEREF _Toc137027597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Authorization for general works</w:t>
      </w:r>
      <w:r>
        <w:rPr>
          <w:noProof/>
        </w:rPr>
        <w:tab/>
      </w:r>
      <w:r>
        <w:rPr>
          <w:noProof/>
        </w:rPr>
        <w:fldChar w:fldCharType="begin"/>
      </w:r>
      <w:r>
        <w:rPr>
          <w:noProof/>
        </w:rPr>
        <w:instrText xml:space="preserve"> PAGEREF _Toc137027598 \h </w:instrText>
      </w:r>
      <w:r>
        <w:rPr>
          <w:noProof/>
        </w:rPr>
      </w:r>
      <w:r>
        <w:rPr>
          <w:noProof/>
        </w:rPr>
        <w:fldChar w:fldCharType="separate"/>
      </w:r>
      <w:r>
        <w:rPr>
          <w:noProof/>
        </w:rPr>
        <w:t>73</w:t>
      </w:r>
      <w:r>
        <w:rPr>
          <w:noProof/>
        </w:rPr>
        <w:fldChar w:fldCharType="end"/>
      </w:r>
    </w:p>
    <w:p>
      <w:pPr>
        <w:pStyle w:val="TOC3"/>
        <w:rPr>
          <w:b w:val="0"/>
          <w:noProof/>
          <w:sz w:val="24"/>
          <w:szCs w:val="24"/>
        </w:rPr>
      </w:pPr>
      <w:r>
        <w:rPr>
          <w:noProof/>
          <w:szCs w:val="24"/>
        </w:rPr>
        <w:t>Subdivision D — Exempt works</w:t>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Commission or the Corporation to carry out exempt works</w:t>
      </w:r>
      <w:r>
        <w:rPr>
          <w:noProof/>
        </w:rPr>
        <w:tab/>
      </w:r>
      <w:r>
        <w:rPr>
          <w:noProof/>
        </w:rPr>
        <w:tab/>
      </w:r>
      <w:r>
        <w:rPr>
          <w:noProof/>
        </w:rPr>
        <w:fldChar w:fldCharType="begin"/>
      </w:r>
      <w:r>
        <w:rPr>
          <w:noProof/>
        </w:rPr>
        <w:instrText xml:space="preserve"> PAGEREF _Toc137027600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4"/>
        </w:rPr>
        <w:t>Subdivision E — Deviation and modification</w:t>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Deviation and modification</w:t>
      </w:r>
      <w:r>
        <w:rPr>
          <w:noProof/>
        </w:rPr>
        <w:tab/>
      </w:r>
      <w:r>
        <w:rPr>
          <w:noProof/>
        </w:rPr>
        <w:fldChar w:fldCharType="begin"/>
      </w:r>
      <w:r>
        <w:rPr>
          <w:noProof/>
        </w:rPr>
        <w:instrText xml:space="preserve"> PAGEREF _Toc137027602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Street works</w:t>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Alterations to fittings in streets</w:t>
      </w:r>
      <w:r>
        <w:rPr>
          <w:noProof/>
        </w:rPr>
        <w:tab/>
      </w:r>
      <w:r>
        <w:rPr>
          <w:noProof/>
        </w:rPr>
        <w:fldChar w:fldCharType="begin"/>
      </w:r>
      <w:r>
        <w:rPr>
          <w:noProof/>
        </w:rPr>
        <w:instrText xml:space="preserve"> PAGEREF _Toc137027604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Street levels and widths</w:t>
      </w:r>
      <w:r>
        <w:rPr>
          <w:noProof/>
        </w:rPr>
        <w:tab/>
      </w:r>
      <w:r>
        <w:rPr>
          <w:noProof/>
        </w:rPr>
        <w:fldChar w:fldCharType="begin"/>
      </w:r>
      <w:r>
        <w:rPr>
          <w:noProof/>
        </w:rPr>
        <w:instrText xml:space="preserve"> PAGEREF _Toc137027605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Breaking up of streets</w:t>
      </w:r>
      <w:r>
        <w:rPr>
          <w:noProof/>
        </w:rPr>
        <w:tab/>
      </w:r>
      <w:r>
        <w:rPr>
          <w:noProof/>
        </w:rPr>
        <w:fldChar w:fldCharType="begin"/>
      </w:r>
      <w:r>
        <w:rPr>
          <w:noProof/>
        </w:rPr>
        <w:instrText xml:space="preserve"> PAGEREF _Toc137027606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Streets broken up to be reinstated</w:t>
      </w:r>
      <w:r>
        <w:rPr>
          <w:noProof/>
        </w:rPr>
        <w:tab/>
      </w:r>
      <w:r>
        <w:rPr>
          <w:noProof/>
        </w:rPr>
        <w:fldChar w:fldCharType="begin"/>
      </w:r>
      <w:r>
        <w:rPr>
          <w:noProof/>
        </w:rPr>
        <w:instrText xml:space="preserve"> PAGEREF _Toc137027607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Provision of information as to works</w:t>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Records and plans</w:t>
      </w:r>
      <w:r>
        <w:rPr>
          <w:noProof/>
        </w:rPr>
        <w:tab/>
      </w:r>
      <w:r>
        <w:rPr>
          <w:noProof/>
        </w:rPr>
        <w:fldChar w:fldCharType="begin"/>
      </w:r>
      <w:r>
        <w:rPr>
          <w:noProof/>
        </w:rPr>
        <w:instrText xml:space="preserve"> PAGEREF _Toc137027609 \h </w:instrText>
      </w:r>
      <w:r>
        <w:rPr>
          <w:noProof/>
        </w:rPr>
      </w:r>
      <w:r>
        <w:rPr>
          <w:noProof/>
        </w:rPr>
        <w:fldChar w:fldCharType="separate"/>
      </w:r>
      <w:r>
        <w:rPr>
          <w:noProof/>
        </w:rPr>
        <w:t>78</w:t>
      </w:r>
      <w:r>
        <w:rPr>
          <w:noProof/>
        </w:rPr>
        <w:fldChar w:fldCharType="end"/>
      </w:r>
    </w:p>
    <w:p>
      <w:pPr>
        <w:pStyle w:val="TOC2"/>
        <w:tabs>
          <w:tab w:val="right" w:leader="dot" w:pos="7086"/>
        </w:tabs>
        <w:rPr>
          <w:b w:val="0"/>
          <w:noProof/>
          <w:sz w:val="24"/>
          <w:szCs w:val="24"/>
        </w:rPr>
      </w:pPr>
      <w:r>
        <w:rPr>
          <w:noProof/>
          <w:szCs w:val="30"/>
        </w:rPr>
        <w:t>Part IX — Infringement notices</w:t>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_Toc137027611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_Toc137027613 \h </w:instrText>
      </w:r>
      <w:r>
        <w:rPr>
          <w:noProof/>
        </w:rPr>
      </w:r>
      <w:r>
        <w:rPr>
          <w:noProof/>
        </w:rPr>
        <w:fldChar w:fldCharType="separate"/>
      </w:r>
      <w:r>
        <w:rPr>
          <w:noProof/>
        </w:rPr>
        <w:t>83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vest powers in the Water Corporation and the Water and Rivers Commission, to make other provision in respect of their functions, and for related and other purposes.</w:t>
      </w:r>
    </w:p>
    <w:p>
      <w:pPr>
        <w:pStyle w:val="Footnotelongtitle"/>
      </w:pPr>
      <w:r>
        <w:tab/>
        <w:t xml:space="preserve">[Long title inserted by No. 73 of 1995 s.4; amended by No. 67 of 2003 s. 62.] </w:t>
      </w:r>
    </w:p>
    <w:p>
      <w:pPr>
        <w:pStyle w:val="Heading2"/>
      </w:pPr>
      <w:bookmarkStart w:id="1" w:name="_Toc92785896"/>
      <w:bookmarkStart w:id="2" w:name="_Toc96326482"/>
      <w:bookmarkStart w:id="3" w:name="_Toc96507521"/>
      <w:bookmarkStart w:id="4" w:name="_Toc103069194"/>
      <w:bookmarkStart w:id="5" w:name="_Toc123004991"/>
      <w:bookmarkStart w:id="6" w:name="_Toc131479788"/>
      <w:bookmarkStart w:id="7" w:name="_Toc137027525"/>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r>
        <w:rPr>
          <w:rStyle w:val="CharPartText"/>
        </w:rPr>
        <w:t xml:space="preserve"> </w:t>
      </w:r>
    </w:p>
    <w:p>
      <w:pPr>
        <w:pStyle w:val="Footnoteheading"/>
        <w:rPr>
          <w:snapToGrid w:val="0"/>
        </w:rPr>
      </w:pPr>
      <w:r>
        <w:rPr>
          <w:snapToGrid w:val="0"/>
        </w:rPr>
        <w:tab/>
        <w:t xml:space="preserve">[Heading amended by No. 73 of 1995 s.5.] </w:t>
      </w:r>
    </w:p>
    <w:p>
      <w:pPr>
        <w:pStyle w:val="Ednotedivision"/>
      </w:pPr>
      <w:r>
        <w:t>[Division 1 heading deleted by No. 73 of 1995 s.6.]</w:t>
      </w:r>
    </w:p>
    <w:p>
      <w:pPr>
        <w:pStyle w:val="Heading5"/>
        <w:rPr>
          <w:snapToGrid w:val="0"/>
        </w:rPr>
      </w:pPr>
      <w:bookmarkStart w:id="8" w:name="_Toc420985149"/>
      <w:bookmarkStart w:id="9" w:name="_Toc486127492"/>
      <w:bookmarkStart w:id="10" w:name="_Toc512908097"/>
      <w:bookmarkStart w:id="11" w:name="_Toc512911155"/>
      <w:bookmarkStart w:id="12" w:name="_Toc137027526"/>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s.7.] </w:t>
      </w:r>
    </w:p>
    <w:p>
      <w:pPr>
        <w:pStyle w:val="Heading5"/>
        <w:rPr>
          <w:snapToGrid w:val="0"/>
        </w:rPr>
      </w:pPr>
      <w:bookmarkStart w:id="13" w:name="_Toc420985150"/>
      <w:bookmarkStart w:id="14" w:name="_Toc486127493"/>
      <w:bookmarkStart w:id="15" w:name="_Toc512908098"/>
      <w:bookmarkStart w:id="16" w:name="_Toc512911156"/>
      <w:bookmarkStart w:id="17" w:name="_Toc137027527"/>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8" w:name="_Toc420985151"/>
      <w:bookmarkStart w:id="19" w:name="_Toc486127494"/>
      <w:bookmarkStart w:id="20" w:name="_Toc512908099"/>
      <w:bookmarkStart w:id="21" w:name="_Toc512911157"/>
      <w:bookmarkStart w:id="22" w:name="_Toc137027528"/>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pPr>
      <w:r>
        <w:tab/>
        <w:t>(b)</w:t>
      </w:r>
      <w:r>
        <w:tab/>
        <w:t>a channel,</w:t>
      </w:r>
    </w:p>
    <w:p>
      <w:pPr>
        <w:pStyle w:val="Defstart"/>
      </w:pPr>
      <w:r>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pPr>
      <w:r>
        <w:rPr>
          <w:b/>
        </w:rPr>
        <w:tab/>
        <w:t>“</w:t>
      </w:r>
      <w:r>
        <w:rPr>
          <w:rStyle w:val="CharDefText"/>
        </w:rPr>
        <w:t>local authority</w:t>
      </w:r>
      <w:r>
        <w:rPr>
          <w:b/>
        </w:rPr>
        <w:t>”</w:t>
      </w:r>
      <w:r>
        <w:t xml:space="preserve"> means — </w:t>
      </w:r>
    </w:p>
    <w:p>
      <w:pPr>
        <w:pStyle w:val="Defpara"/>
      </w:pPr>
      <w:r>
        <w:tab/>
        <w:t>(a)</w:t>
      </w:r>
      <w:r>
        <w:tab/>
        <w:t>a local government;</w:t>
      </w:r>
    </w:p>
    <w:p>
      <w:pPr>
        <w:pStyle w:val="Defpara"/>
      </w:pPr>
      <w:r>
        <w:tab/>
        <w:t>(b)</w:t>
      </w:r>
      <w:r>
        <w:tab/>
        <w:t xml:space="preserve">any other person exercising the powers of a local government under the </w:t>
      </w:r>
      <w:r>
        <w:rPr>
          <w:i/>
        </w:rPr>
        <w:t>Health Act 1911</w:t>
      </w:r>
      <w:r>
        <w:t>; or</w:t>
      </w:r>
    </w:p>
    <w:p>
      <w:pPr>
        <w:pStyle w:val="Defpara"/>
      </w:pPr>
      <w:r>
        <w:tab/>
        <w:t>(c)</w:t>
      </w:r>
      <w:r>
        <w:tab/>
        <w:t xml:space="preserve">a Water Board constituted under the </w:t>
      </w:r>
      <w:r>
        <w:rPr>
          <w:i/>
        </w:rPr>
        <w:t>Water Boards Act 1904</w:t>
      </w:r>
      <w:r>
        <w:t>;</w:t>
      </w:r>
    </w:p>
    <w:p>
      <w:pPr>
        <w:pStyle w:val="Defstart"/>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pPr>
      <w:r>
        <w:rPr>
          <w:b/>
        </w:rPr>
        <w:tab/>
        <w:t>“</w:t>
      </w:r>
      <w:r>
        <w:rPr>
          <w:rStyle w:val="CharDefText"/>
        </w:rPr>
        <w:t>officer</w:t>
      </w:r>
      <w:r>
        <w:rPr>
          <w:b/>
        </w:rPr>
        <w:t>”</w:t>
      </w:r>
      <w:r>
        <w:t>, in relation to —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owner</w:t>
      </w:r>
      <w:r>
        <w:rPr>
          <w:b/>
        </w:rPr>
        <w:t>”</w:t>
      </w:r>
      <w:r>
        <w:t xml:space="preserve"> has the meaning assigned in the </w:t>
      </w:r>
      <w:r>
        <w:rPr>
          <w:i/>
        </w:rPr>
        <w:t>Local Government Act 1995</w:t>
      </w:r>
      <w:r>
        <w:t>;</w:t>
      </w:r>
    </w:p>
    <w:p>
      <w:pPr>
        <w:pStyle w:val="Defstart"/>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t>“</w:t>
      </w:r>
      <w:r>
        <w:rPr>
          <w:rStyle w:val="CharDefText"/>
        </w:rPr>
        <w:t>plant</w:t>
      </w:r>
      <w:r>
        <w:rPr>
          <w:b/>
        </w:rPr>
        <w:t>”</w:t>
      </w:r>
      <w:r>
        <w:t xml:space="preserve"> includes machinery, equipment, vehicles, boats or other apparatus utilised in the provision of water services;</w:t>
      </w:r>
    </w:p>
    <w:p>
      <w:pPr>
        <w:pStyle w:val="Defstart"/>
      </w:pPr>
      <w:r>
        <w:rPr>
          <w:b/>
        </w:rPr>
        <w:tab/>
        <w:t>“</w:t>
      </w:r>
      <w:r>
        <w:rPr>
          <w:rStyle w:val="CharDefText"/>
        </w:rPr>
        <w:t>premises</w:t>
      </w:r>
      <w:r>
        <w:rPr>
          <w:b/>
        </w:rPr>
        <w:t>”</w:t>
      </w:r>
      <w:r>
        <w:t xml:space="preserve"> means any land, street, structure or other place;</w:t>
      </w:r>
    </w:p>
    <w:p>
      <w:pPr>
        <w:pStyle w:val="Defstart"/>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who or which administered or administers, or carried out or carries out on behalf of the Crown in right of the State functions in the public interest (being functions which the Commission or the Corporation, as the case requires, is by this Act authorized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Where a provision of this Act or a relevant Act authorizes the Commission or the Corporation to enter upon, carry out works in, on, over or under, or exercise any other power in relation to, any land, premises or thing for any purpose the provision shall be deemed as also to authorize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 xml:space="preserve">[Section 3 amended by No. 25 of 1985 s.3; No. 110 of 1985 s.4; No. 24 of 1987 s.3; No. 113 of 1987 s.32; No. 73 of 1995 ss.8 and 42; No. 14 of 1996 s.4; No. 67 of 2003 s. 62.] </w:t>
      </w:r>
    </w:p>
    <w:p>
      <w:pPr>
        <w:pStyle w:val="Ednotesection"/>
      </w:pPr>
      <w:r>
        <w:t>[</w:t>
      </w:r>
      <w:r>
        <w:rPr>
          <w:b/>
        </w:rPr>
        <w:t>4.</w:t>
      </w:r>
      <w:r>
        <w:tab/>
        <w:t xml:space="preserve">Repealed by No. 73 of 1995 s.9.] </w:t>
      </w:r>
    </w:p>
    <w:p>
      <w:pPr>
        <w:pStyle w:val="Heading5"/>
        <w:rPr>
          <w:snapToGrid w:val="0"/>
        </w:rPr>
      </w:pPr>
      <w:bookmarkStart w:id="23" w:name="_Toc420985152"/>
      <w:bookmarkStart w:id="24" w:name="_Toc486127495"/>
      <w:bookmarkStart w:id="25" w:name="_Toc512908100"/>
      <w:bookmarkStart w:id="26" w:name="_Toc512911158"/>
      <w:bookmarkStart w:id="27" w:name="_Toc137027529"/>
      <w:r>
        <w:rPr>
          <w:rStyle w:val="CharSectno"/>
        </w:rPr>
        <w:t>5</w:t>
      </w:r>
      <w:r>
        <w:rPr>
          <w:snapToGrid w:val="0"/>
        </w:rPr>
        <w:t>.</w:t>
      </w:r>
      <w:r>
        <w:rPr>
          <w:snapToGrid w:val="0"/>
        </w:rPr>
        <w:tab/>
        <w:t>Relevant Acts</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12</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 xml:space="preserve">[Section 5 amended by No. 25 of 1985 s.5; No. 73 of 1994 s.4; No. 73 of 1995 s.10.] </w:t>
      </w:r>
    </w:p>
    <w:p>
      <w:pPr>
        <w:pStyle w:val="Ednotedivision"/>
      </w:pPr>
      <w:r>
        <w:t xml:space="preserve">[Division 2 (section 6) repealed by No. 73 of 1995 s.11 </w:t>
      </w:r>
      <w:r>
        <w:rPr>
          <w:vertAlign w:val="superscript"/>
        </w:rPr>
        <w:t>5</w:t>
      </w:r>
      <w:r>
        <w:t>.]</w:t>
      </w:r>
    </w:p>
    <w:p>
      <w:pPr>
        <w:pStyle w:val="Ednotepart"/>
      </w:pPr>
      <w:r>
        <w:t>[Part II heading deleted by No. 73 of 1995 s.12.]</w:t>
      </w:r>
    </w:p>
    <w:p>
      <w:pPr>
        <w:pStyle w:val="Ednotedivision"/>
      </w:pPr>
      <w:r>
        <w:t>[Division 1 heading deleted by No. 73 of 1995 s.13.]</w:t>
      </w:r>
    </w:p>
    <w:p>
      <w:pPr>
        <w:pStyle w:val="Ednotesection"/>
      </w:pPr>
      <w:r>
        <w:t>[</w:t>
      </w:r>
      <w:r>
        <w:rPr>
          <w:b/>
        </w:rPr>
        <w:t>7.</w:t>
      </w:r>
      <w:r>
        <w:tab/>
        <w:t xml:space="preserve">Repealed by No. 73 of 1995 s.14.] </w:t>
      </w:r>
    </w:p>
    <w:p>
      <w:pPr>
        <w:pStyle w:val="Heading5"/>
        <w:rPr>
          <w:snapToGrid w:val="0"/>
        </w:rPr>
      </w:pPr>
      <w:bookmarkStart w:id="28" w:name="_Toc420985153"/>
      <w:bookmarkStart w:id="29" w:name="_Toc486127496"/>
      <w:bookmarkStart w:id="30" w:name="_Toc512908101"/>
      <w:bookmarkStart w:id="31" w:name="_Toc512911159"/>
      <w:bookmarkStart w:id="32" w:name="_Toc137027530"/>
      <w:r>
        <w:rPr>
          <w:rStyle w:val="CharSectno"/>
        </w:rPr>
        <w:t>8</w:t>
      </w:r>
      <w:r>
        <w:rPr>
          <w:snapToGrid w:val="0"/>
        </w:rPr>
        <w:t>.</w:t>
      </w:r>
      <w:r>
        <w:rPr>
          <w:snapToGrid w:val="0"/>
        </w:rPr>
        <w:tab/>
      </w:r>
      <w:bookmarkEnd w:id="28"/>
      <w:r>
        <w:rPr>
          <w:snapToGrid w:val="0"/>
        </w:rPr>
        <w:t>Vesting interest in land in the Corporation or the Commission</w:t>
      </w:r>
      <w:bookmarkEnd w:id="29"/>
      <w:bookmarkEnd w:id="30"/>
      <w:bookmarkEnd w:id="31"/>
      <w:bookmarkEnd w:id="32"/>
    </w:p>
    <w:p>
      <w:pPr>
        <w:pStyle w:val="Ednotesubsection"/>
      </w:pPr>
      <w:r>
        <w:tab/>
        <w:t>[(1) and (2)</w:t>
      </w:r>
      <w:r>
        <w:tab/>
        <w:t>repealed]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 xml:space="preserve">[Section 8 amended by No. 110 of 1985 s.5; No. 73 of 1995 s.15; No. 31 of 1997 s.137(1).] </w:t>
      </w:r>
    </w:p>
    <w:p>
      <w:pPr>
        <w:pStyle w:val="Ednotesection"/>
        <w:spacing w:before="120"/>
        <w:ind w:left="890" w:hanging="890"/>
      </w:pPr>
      <w:r>
        <w:t>[</w:t>
      </w:r>
      <w:r>
        <w:rPr>
          <w:b/>
        </w:rPr>
        <w:t>9, 10.</w:t>
      </w:r>
      <w:r>
        <w:tab/>
        <w:t xml:space="preserve">Repealed by No. 73 of 1995 s.16.] </w:t>
      </w:r>
    </w:p>
    <w:p>
      <w:pPr>
        <w:pStyle w:val="Ednotedivision"/>
      </w:pPr>
      <w:r>
        <w:t>[Division 2 (sections 11</w:t>
      </w:r>
      <w:r>
        <w:noBreakHyphen/>
        <w:t xml:space="preserve">17) repealed by No. 73 of 1995 s.17.] </w:t>
      </w:r>
    </w:p>
    <w:p>
      <w:pPr>
        <w:pStyle w:val="Ednotedivision"/>
      </w:pPr>
      <w:r>
        <w:t xml:space="preserve">[Division 3 (section 18) repealed by No. 73 of 1995 s.17.] </w:t>
      </w:r>
    </w:p>
    <w:p>
      <w:pPr>
        <w:pStyle w:val="Ednotedivision"/>
      </w:pPr>
      <w:r>
        <w:t xml:space="preserve">[Division 4 (sections 19, 20) repealed by No. 73 of 1995 s.17.] </w:t>
      </w:r>
    </w:p>
    <w:p>
      <w:pPr>
        <w:pStyle w:val="Ednotedivision"/>
      </w:pPr>
      <w:r>
        <w:t xml:space="preserve">[Division 5 (section 21) repealed by No. 73 of 1995 s.17.] </w:t>
      </w:r>
    </w:p>
    <w:p>
      <w:pPr>
        <w:pStyle w:val="Ednotedivision"/>
      </w:pPr>
      <w:r>
        <w:t xml:space="preserve">[Division 6 (section 22) repealed by No. 73 of 1995 s.17.] </w:t>
      </w:r>
    </w:p>
    <w:p>
      <w:pPr>
        <w:pStyle w:val="Ednotedivision"/>
      </w:pPr>
      <w:r>
        <w:t>[Division 7 (sections 23, 26</w:t>
      </w:r>
      <w:r>
        <w:noBreakHyphen/>
        <w:t xml:space="preserve">27) repealed by No. 73 of 1995 s.17.] </w:t>
      </w:r>
    </w:p>
    <w:p>
      <w:pPr>
        <w:pStyle w:val="Ednotesection"/>
        <w:rPr>
          <w:b/>
        </w:rPr>
      </w:pPr>
      <w:r>
        <w:t>[</w:t>
      </w:r>
      <w:r>
        <w:rPr>
          <w:b/>
        </w:rPr>
        <w:t>24, 25.</w:t>
      </w:r>
      <w:r>
        <w:rPr>
          <w:b/>
        </w:rPr>
        <w:tab/>
      </w:r>
      <w:r>
        <w:t>Repealed by</w:t>
      </w:r>
      <w:r>
        <w:rPr>
          <w:b/>
        </w:rPr>
        <w:t xml:space="preserve"> </w:t>
      </w:r>
      <w:r>
        <w:t>No. 113 of 1987 s.25.]</w:t>
      </w:r>
      <w:r>
        <w:rPr>
          <w:b/>
        </w:rPr>
        <w:t xml:space="preserve"> </w:t>
      </w:r>
    </w:p>
    <w:p>
      <w:pPr>
        <w:pStyle w:val="Ednotedivision"/>
      </w:pPr>
      <w:r>
        <w:t xml:space="preserve">[Division 8 (section 28) repealed by No. 73 of 1995 s.17.] </w:t>
      </w:r>
    </w:p>
    <w:p>
      <w:pPr>
        <w:pStyle w:val="Ednotedivision"/>
      </w:pPr>
      <w:r>
        <w:t>[Division 9 (sections 29</w:t>
      </w:r>
      <w:r>
        <w:noBreakHyphen/>
        <w:t xml:space="preserve">32) repealed by No. 73 of 1995 s.17.] </w:t>
      </w:r>
    </w:p>
    <w:p>
      <w:pPr>
        <w:pStyle w:val="Ednotedivision"/>
      </w:pPr>
      <w:r>
        <w:t xml:space="preserve">[Division 10 heading deleted by No. 73 of 1995 s.18.] </w:t>
      </w:r>
    </w:p>
    <w:p>
      <w:pPr>
        <w:pStyle w:val="Ednotesection"/>
      </w:pPr>
      <w:r>
        <w:t>[</w:t>
      </w:r>
      <w:r>
        <w:rPr>
          <w:b/>
        </w:rPr>
        <w:t>33.</w:t>
      </w:r>
      <w:r>
        <w:tab/>
        <w:t xml:space="preserve">Repealed by No. 73 of 1995 s.19.] </w:t>
      </w:r>
    </w:p>
    <w:p>
      <w:pPr>
        <w:pStyle w:val="Heading5"/>
        <w:rPr>
          <w:snapToGrid w:val="0"/>
        </w:rPr>
      </w:pPr>
      <w:bookmarkStart w:id="33" w:name="_Toc420985154"/>
      <w:bookmarkStart w:id="34" w:name="_Toc486127497"/>
      <w:bookmarkStart w:id="35" w:name="_Toc512908102"/>
      <w:bookmarkStart w:id="36" w:name="_Toc512911160"/>
      <w:bookmarkStart w:id="37" w:name="_Toc137027531"/>
      <w:r>
        <w:rPr>
          <w:rStyle w:val="CharSectno"/>
        </w:rPr>
        <w:t>34</w:t>
      </w:r>
      <w:r>
        <w:rPr>
          <w:snapToGrid w:val="0"/>
        </w:rPr>
        <w:t>.</w:t>
      </w:r>
      <w:r>
        <w:rPr>
          <w:snapToGrid w:val="0"/>
        </w:rPr>
        <w:tab/>
        <w:t>By</w:t>
      </w:r>
      <w:r>
        <w:rPr>
          <w:snapToGrid w:val="0"/>
        </w:rPr>
        <w:noBreakHyphen/>
        <w:t>laws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Commission, the Corporation or the Coordinator of their respective functions under this Act or any relevant Act </w:t>
      </w:r>
      <w:r>
        <w:rPr>
          <w:snapToGrid w:val="0"/>
          <w:vertAlign w:val="superscript"/>
        </w:rPr>
        <w:t>6</w:t>
      </w:r>
      <w:r>
        <w:rPr>
          <w:snapToGrid w:val="0"/>
        </w:rPr>
        <w: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authorization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authorization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 xml:space="preserve">[Section 34 amended by No. 25 of 1985 s.10; No. 110 of 1985 s.8; No. 24 of 1987 s.6; No. 73 of 1995 ss.20 and 41; No. 32 of 1997 s.18; No. 57 of 1997 s.126(1); No. 39 of 1999 s.11(7); No. 67 of 2003 s. 62.] </w:t>
      </w:r>
    </w:p>
    <w:p>
      <w:pPr>
        <w:pStyle w:val="Ednotesection"/>
      </w:pPr>
      <w:r>
        <w:t>[</w:t>
      </w:r>
      <w:r>
        <w:rPr>
          <w:b/>
        </w:rPr>
        <w:t>35.</w:t>
      </w:r>
      <w:r>
        <w:tab/>
        <w:t xml:space="preserve">Repealed by No. 73 of 1995 s.21.] </w:t>
      </w:r>
    </w:p>
    <w:p>
      <w:pPr>
        <w:pStyle w:val="Heading5"/>
        <w:rPr>
          <w:snapToGrid w:val="0"/>
        </w:rPr>
      </w:pPr>
      <w:bookmarkStart w:id="38" w:name="_Toc420985155"/>
      <w:bookmarkStart w:id="39" w:name="_Toc486127498"/>
      <w:bookmarkStart w:id="40" w:name="_Toc512908103"/>
      <w:bookmarkStart w:id="41" w:name="_Toc512911161"/>
      <w:bookmarkStart w:id="42" w:name="_Toc137027532"/>
      <w:r>
        <w:rPr>
          <w:rStyle w:val="CharSectno"/>
        </w:rPr>
        <w:t>36</w:t>
      </w:r>
      <w:r>
        <w:rPr>
          <w:snapToGrid w:val="0"/>
        </w:rPr>
        <w:t>.</w:t>
      </w:r>
      <w:r>
        <w:rPr>
          <w:snapToGrid w:val="0"/>
        </w:rPr>
        <w:tab/>
        <w:t>Regulations and by</w:t>
      </w:r>
      <w:r>
        <w:rPr>
          <w:snapToGrid w:val="0"/>
        </w:rPr>
        <w:noBreakHyphen/>
        <w:t>laws generally</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keepNext/>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authorize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law which provides that any expense, loss or damage incurred by the Commission or the Corporation in consequence of the offence shall be payable by the offender shall, if requested by an officer of the Commission or the Corporation or a person authorized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 affects the right of the Commission or the Corporation to institute any civil action or proceeding for the recovery of damages in any other court of competent jurisdiction against the person convicted.</w:t>
      </w:r>
    </w:p>
    <w:p>
      <w:pPr>
        <w:pStyle w:val="Footnotesection"/>
      </w:pPr>
      <w:r>
        <w:tab/>
        <w:t xml:space="preserve">[Section 36 amended by No. 25 of 1985 s.11; No. 24 of 1987 s.7; No. 73 of 1995 s.42; No. 74 of 2003 s. 125(2).] </w:t>
      </w:r>
    </w:p>
    <w:p>
      <w:pPr>
        <w:pStyle w:val="Heading5"/>
        <w:rPr>
          <w:snapToGrid w:val="0"/>
        </w:rPr>
      </w:pPr>
      <w:bookmarkStart w:id="43" w:name="_Toc420985156"/>
      <w:bookmarkStart w:id="44" w:name="_Toc486127499"/>
      <w:bookmarkStart w:id="45" w:name="_Toc512908104"/>
      <w:bookmarkStart w:id="46" w:name="_Toc512911162"/>
      <w:bookmarkStart w:id="47" w:name="_Toc137027533"/>
      <w:r>
        <w:rPr>
          <w:rStyle w:val="CharSectno"/>
        </w:rPr>
        <w:t>37</w:t>
      </w:r>
      <w:r>
        <w:rPr>
          <w:snapToGrid w:val="0"/>
        </w:rPr>
        <w:t>.</w:t>
      </w:r>
      <w:r>
        <w:rPr>
          <w:snapToGrid w:val="0"/>
        </w:rPr>
        <w:tab/>
        <w:t>Regulations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s.22.] </w:t>
      </w:r>
    </w:p>
    <w:p>
      <w:pPr>
        <w:pStyle w:val="Heading5"/>
        <w:rPr>
          <w:snapToGrid w:val="0"/>
        </w:rPr>
      </w:pPr>
      <w:bookmarkStart w:id="48" w:name="_Toc420985157"/>
      <w:bookmarkStart w:id="49" w:name="_Toc486127500"/>
      <w:bookmarkStart w:id="50" w:name="_Toc512908105"/>
      <w:bookmarkStart w:id="51" w:name="_Toc512911163"/>
      <w:bookmarkStart w:id="52" w:name="_Toc137027534"/>
      <w:r>
        <w:rPr>
          <w:rStyle w:val="CharSectno"/>
        </w:rPr>
        <w:t>38</w:t>
      </w:r>
      <w:r>
        <w:rPr>
          <w:snapToGrid w:val="0"/>
        </w:rPr>
        <w:t>.</w:t>
      </w:r>
      <w:r>
        <w:rPr>
          <w:snapToGrid w:val="0"/>
        </w:rPr>
        <w:tab/>
        <w:t>Revocation or amendment of by</w:t>
      </w:r>
      <w:r>
        <w:rPr>
          <w:snapToGrid w:val="0"/>
        </w:rPr>
        <w:noBreakHyphen/>
        <w:t>laws and of town planning schemes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s.23; No. 14 of 1996 s.4; No. 67 of 2003 s. 62; No. 38 of 2005 s. 15.] </w:t>
      </w:r>
    </w:p>
    <w:p>
      <w:pPr>
        <w:pStyle w:val="Heading2"/>
      </w:pPr>
      <w:bookmarkStart w:id="53" w:name="_Toc92785906"/>
      <w:bookmarkStart w:id="54" w:name="_Toc96326492"/>
      <w:bookmarkStart w:id="55" w:name="_Toc96507531"/>
      <w:bookmarkStart w:id="56" w:name="_Toc103069204"/>
      <w:bookmarkStart w:id="57" w:name="_Toc123005001"/>
      <w:bookmarkStart w:id="58" w:name="_Toc131479798"/>
      <w:bookmarkStart w:id="59" w:name="_Toc137027535"/>
      <w:r>
        <w:rPr>
          <w:rStyle w:val="CharPartNo"/>
        </w:rPr>
        <w:t>Part III</w:t>
      </w:r>
      <w:r>
        <w:t> — </w:t>
      </w:r>
      <w:r>
        <w:rPr>
          <w:rStyle w:val="CharPartText"/>
        </w:rPr>
        <w:t>Financial provisions</w:t>
      </w:r>
      <w:bookmarkEnd w:id="53"/>
      <w:bookmarkEnd w:id="54"/>
      <w:bookmarkEnd w:id="55"/>
      <w:bookmarkEnd w:id="56"/>
      <w:bookmarkEnd w:id="57"/>
      <w:bookmarkEnd w:id="58"/>
      <w:bookmarkEnd w:id="59"/>
      <w:r>
        <w:rPr>
          <w:rStyle w:val="CharPartText"/>
        </w:rPr>
        <w:t xml:space="preserve"> </w:t>
      </w:r>
    </w:p>
    <w:p>
      <w:pPr>
        <w:pStyle w:val="Ednotedivision"/>
      </w:pPr>
      <w:r>
        <w:t>[Division 1 (sections 39, 40) repealed by No. 73 of 1995 s.24.]</w:t>
      </w:r>
    </w:p>
    <w:p>
      <w:pPr>
        <w:pStyle w:val="Heading3"/>
        <w:rPr>
          <w:snapToGrid w:val="0"/>
        </w:rPr>
      </w:pPr>
      <w:bookmarkStart w:id="60" w:name="_Toc92785907"/>
      <w:bookmarkStart w:id="61" w:name="_Toc96326493"/>
      <w:bookmarkStart w:id="62" w:name="_Toc96507532"/>
      <w:bookmarkStart w:id="63" w:name="_Toc103069205"/>
      <w:bookmarkStart w:id="64" w:name="_Toc123005002"/>
      <w:bookmarkStart w:id="65" w:name="_Toc131479799"/>
      <w:bookmarkStart w:id="66" w:name="_Toc137027536"/>
      <w:r>
        <w:rPr>
          <w:rStyle w:val="CharDivNo"/>
        </w:rPr>
        <w:t>Division 1A</w:t>
      </w:r>
      <w:r>
        <w:rPr>
          <w:snapToGrid w:val="0"/>
        </w:rPr>
        <w:t> — </w:t>
      </w:r>
      <w:r>
        <w:rPr>
          <w:rStyle w:val="CharDivText"/>
        </w:rPr>
        <w:t>Certain provisions as to charges</w:t>
      </w:r>
      <w:bookmarkEnd w:id="60"/>
      <w:bookmarkEnd w:id="61"/>
      <w:bookmarkEnd w:id="62"/>
      <w:bookmarkEnd w:id="63"/>
      <w:bookmarkEnd w:id="64"/>
      <w:bookmarkEnd w:id="65"/>
      <w:bookmarkEnd w:id="66"/>
      <w:r>
        <w:rPr>
          <w:rStyle w:val="CharDivText"/>
        </w:rPr>
        <w:t xml:space="preserve"> </w:t>
      </w:r>
    </w:p>
    <w:p>
      <w:pPr>
        <w:pStyle w:val="Footnoteheading"/>
        <w:rPr>
          <w:snapToGrid w:val="0"/>
        </w:rPr>
      </w:pPr>
      <w:r>
        <w:rPr>
          <w:snapToGrid w:val="0"/>
        </w:rPr>
        <w:tab/>
        <w:t>[Heading inserted by No. 24 of 1987 s.8.]</w:t>
      </w:r>
    </w:p>
    <w:p>
      <w:pPr>
        <w:pStyle w:val="Heading5"/>
        <w:rPr>
          <w:snapToGrid w:val="0"/>
        </w:rPr>
      </w:pPr>
      <w:bookmarkStart w:id="67" w:name="_Toc420985158"/>
      <w:bookmarkStart w:id="68" w:name="_Toc486127501"/>
      <w:bookmarkStart w:id="69" w:name="_Toc512908106"/>
      <w:bookmarkStart w:id="70" w:name="_Toc512911164"/>
      <w:bookmarkStart w:id="71" w:name="_Toc137027537"/>
      <w:r>
        <w:rPr>
          <w:rStyle w:val="CharSectno"/>
        </w:rPr>
        <w:t>41</w:t>
      </w:r>
      <w:r>
        <w:rPr>
          <w:snapToGrid w:val="0"/>
        </w:rPr>
        <w:t>.</w:t>
      </w:r>
      <w:r>
        <w:rPr>
          <w:snapToGrid w:val="0"/>
        </w:rPr>
        <w:tab/>
        <w:t>By</w:t>
      </w:r>
      <w:r>
        <w:rPr>
          <w:snapToGrid w:val="0"/>
        </w:rPr>
        <w:noBreakHyphen/>
        <w:t>laws relating to charges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 xml:space="preserve">[Section 41 inserted by No. 24 of 1987 s.8; amended by No. 73 of 1995 ss.25 and 41; No. 25 of 2005 s. 57.] </w:t>
      </w:r>
    </w:p>
    <w:p>
      <w:pPr>
        <w:pStyle w:val="Ednotesection"/>
      </w:pPr>
      <w:bookmarkStart w:id="72" w:name="_Toc420985160"/>
      <w:bookmarkStart w:id="73" w:name="_Toc486127503"/>
      <w:bookmarkStart w:id="74" w:name="_Toc512908108"/>
      <w:bookmarkStart w:id="75" w:name="_Toc512911166"/>
      <w:r>
        <w:t>[</w:t>
      </w:r>
      <w:r>
        <w:rPr>
          <w:b/>
        </w:rPr>
        <w:t>41A.</w:t>
      </w:r>
      <w:r>
        <w:tab/>
        <w:t>Repealed by No. 25 of 2005 s. 58.]</w:t>
      </w:r>
    </w:p>
    <w:p>
      <w:pPr>
        <w:pStyle w:val="Ednotesection"/>
      </w:pPr>
      <w:bookmarkStart w:id="76" w:name="_Toc420985161"/>
      <w:bookmarkStart w:id="77" w:name="_Toc486127504"/>
      <w:bookmarkStart w:id="78" w:name="_Toc512908109"/>
      <w:bookmarkStart w:id="79" w:name="_Toc512911167"/>
      <w:bookmarkEnd w:id="72"/>
      <w:bookmarkEnd w:id="73"/>
      <w:bookmarkEnd w:id="74"/>
      <w:bookmarkEnd w:id="75"/>
      <w:r>
        <w:t>[</w:t>
      </w:r>
      <w:r>
        <w:rPr>
          <w:b/>
        </w:rPr>
        <w:t>41B.</w:t>
      </w:r>
      <w:r>
        <w:tab/>
        <w:t>Repealed by No. 25 of 2005 s. 59.]</w:t>
      </w:r>
    </w:p>
    <w:p>
      <w:pPr>
        <w:pStyle w:val="Heading5"/>
        <w:rPr>
          <w:snapToGrid w:val="0"/>
        </w:rPr>
      </w:pPr>
      <w:bookmarkStart w:id="80" w:name="_Toc137027538"/>
      <w:r>
        <w:rPr>
          <w:rStyle w:val="CharSectno"/>
        </w:rPr>
        <w:t>41C</w:t>
      </w:r>
      <w:r>
        <w:rPr>
          <w:snapToGrid w:val="0"/>
        </w:rPr>
        <w:t xml:space="preserve">. </w:t>
      </w:r>
      <w:r>
        <w:rPr>
          <w:snapToGrid w:val="0"/>
        </w:rPr>
        <w:tab/>
        <w:t>Certain valuations may be indexed</w:t>
      </w:r>
      <w:bookmarkEnd w:id="76"/>
      <w:bookmarkEnd w:id="77"/>
      <w:bookmarkEnd w:id="78"/>
      <w:bookmarkEnd w:id="79"/>
      <w:bookmarkEnd w:id="80"/>
      <w:r>
        <w:rPr>
          <w:snapToGrid w:val="0"/>
        </w:rPr>
        <w:t xml:space="preserve"> </w:t>
      </w:r>
    </w:p>
    <w:p>
      <w:pPr>
        <w:pStyle w:val="Subsection"/>
        <w:spacing w:before="14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spacing w:before="140"/>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 xml:space="preserve">[Section 41C inserted by No. 24 of 1987 s.8.] </w:t>
      </w:r>
    </w:p>
    <w:p>
      <w:pPr>
        <w:pStyle w:val="Heading5"/>
        <w:spacing w:before="200"/>
        <w:rPr>
          <w:snapToGrid w:val="0"/>
        </w:rPr>
      </w:pPr>
      <w:bookmarkStart w:id="81" w:name="_Toc420985162"/>
      <w:bookmarkStart w:id="82" w:name="_Toc486127505"/>
      <w:bookmarkStart w:id="83" w:name="_Toc512908110"/>
      <w:bookmarkStart w:id="84" w:name="_Toc512911168"/>
      <w:bookmarkStart w:id="85" w:name="_Toc137027539"/>
      <w:r>
        <w:rPr>
          <w:rStyle w:val="CharSectno"/>
        </w:rPr>
        <w:t>41D</w:t>
      </w:r>
      <w:r>
        <w:rPr>
          <w:snapToGrid w:val="0"/>
        </w:rPr>
        <w:t xml:space="preserve">. </w:t>
      </w:r>
      <w:r>
        <w:rPr>
          <w:snapToGrid w:val="0"/>
        </w:rPr>
        <w:tab/>
        <w:t>Phasing</w:t>
      </w:r>
      <w:r>
        <w:rPr>
          <w:snapToGrid w:val="0"/>
        </w:rPr>
        <w:noBreakHyphen/>
        <w:t>in of certain valuations</w:t>
      </w:r>
      <w:bookmarkEnd w:id="81"/>
      <w:bookmarkEnd w:id="82"/>
      <w:bookmarkEnd w:id="83"/>
      <w:bookmarkEnd w:id="84"/>
      <w:bookmarkEnd w:id="85"/>
      <w:r>
        <w:rPr>
          <w:snapToGrid w:val="0"/>
        </w:rPr>
        <w:t xml:space="preserve"> </w:t>
      </w:r>
    </w:p>
    <w:p>
      <w:pPr>
        <w:pStyle w:val="Subsection"/>
        <w:spacing w:before="14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40"/>
        <w:rPr>
          <w:snapToGrid w:val="0"/>
          <w:spacing w:val="-3"/>
        </w:rPr>
      </w:pPr>
      <w:r>
        <w:rPr>
          <w:snapToGrid w:val="0"/>
          <w:spacing w:val="-3"/>
        </w:rPr>
        <w:tab/>
        <w:t>(2)</w:t>
      </w:r>
      <w:r>
        <w:rPr>
          <w:snapToGrid w:val="0"/>
          <w:spacing w:val="-3"/>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 xml:space="preserve">[Section 41D inserted by No. 24 of 1987 s.8; amended by No. 17 of 1993 s.13.] </w:t>
      </w:r>
    </w:p>
    <w:p>
      <w:pPr>
        <w:pStyle w:val="Heading5"/>
        <w:rPr>
          <w:snapToGrid w:val="0"/>
        </w:rPr>
      </w:pPr>
      <w:bookmarkStart w:id="86" w:name="_Toc420985163"/>
      <w:bookmarkStart w:id="87" w:name="_Toc486127506"/>
      <w:bookmarkStart w:id="88" w:name="_Toc512908111"/>
      <w:bookmarkStart w:id="89" w:name="_Toc512911169"/>
      <w:bookmarkStart w:id="90" w:name="_Toc137027540"/>
      <w:r>
        <w:rPr>
          <w:rStyle w:val="CharSectno"/>
        </w:rPr>
        <w:t>41E</w:t>
      </w:r>
      <w:r>
        <w:rPr>
          <w:snapToGrid w:val="0"/>
        </w:rPr>
        <w:t>.</w:t>
      </w:r>
      <w:r>
        <w:rPr>
          <w:snapToGrid w:val="0"/>
        </w:rPr>
        <w:tab/>
        <w:t>Interim valuations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rPr>
          <w:snapToGrid w:val="0"/>
        </w:rPr>
      </w:pPr>
      <w:r>
        <w:rPr>
          <w:snapToGrid w:val="0"/>
        </w:rPr>
        <w:tab/>
        <w:t>(2)</w:t>
      </w:r>
      <w:r>
        <w:rPr>
          <w:snapToGrid w:val="0"/>
        </w:rPr>
        <w:tab/>
        <w:t>Except to the extent expressly provided in subsection (1), that subsection does not limit the generality of section 41(1)(h).</w:t>
      </w:r>
    </w:p>
    <w:p>
      <w:pPr>
        <w:pStyle w:val="Subsection"/>
        <w:rPr>
          <w:snapToGrid w:val="0"/>
          <w:spacing w:val="-2"/>
        </w:rPr>
      </w:pPr>
      <w:r>
        <w:rPr>
          <w:snapToGrid w:val="0"/>
          <w:spacing w:val="-2"/>
        </w:rPr>
        <w:tab/>
        <w:t>(3)</w:t>
      </w:r>
      <w:r>
        <w:rPr>
          <w:snapToGrid w:val="0"/>
          <w:spacing w:val="-2"/>
        </w:rPr>
        <w:tab/>
        <w:t xml:space="preserve">Where, in accordance with subsection (1), a charge for a year may be reassessed by reason that an increased gross rental value has been assigned to land pursuant to an interim valuation under the </w:t>
      </w:r>
      <w:r>
        <w:rPr>
          <w:i/>
          <w:snapToGrid w:val="0"/>
          <w:spacing w:val="-2"/>
        </w:rPr>
        <w:t>Valuation of Land Act 1978</w:t>
      </w:r>
      <w:r>
        <w:rPr>
          <w:snapToGrid w:val="0"/>
          <w:spacing w:val="-2"/>
        </w:rPr>
        <w:t xml:space="preserve">, and the value assigned pursuant to the interim valuation exceeds the value (in this section referred to as </w:t>
      </w:r>
      <w:r>
        <w:rPr>
          <w:b/>
          <w:snapToGrid w:val="0"/>
          <w:spacing w:val="-2"/>
        </w:rPr>
        <w:t>“</w:t>
      </w:r>
      <w:r>
        <w:rPr>
          <w:rStyle w:val="CharDefText"/>
          <w:spacing w:val="-2"/>
        </w:rPr>
        <w:t>the notional value</w:t>
      </w:r>
      <w:r>
        <w:rPr>
          <w:b/>
          <w:snapToGrid w:val="0"/>
          <w:spacing w:val="-2"/>
        </w:rPr>
        <w:t>”</w:t>
      </w:r>
      <w:r>
        <w:rPr>
          <w:snapToGrid w:val="0"/>
          <w:spacing w:val="-2"/>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spacing w:val="-2"/>
        </w:rPr>
      </w:pPr>
      <w:r>
        <w:rPr>
          <w:snapToGrid w:val="0"/>
          <w:spacing w:val="-2"/>
        </w:rPr>
        <w:tab/>
        <w:t>(b)</w:t>
      </w:r>
      <w:r>
        <w:rPr>
          <w:snapToGrid w:val="0"/>
          <w:spacing w:val="-2"/>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spacing w:val="-2"/>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spacing w:before="100"/>
        <w:rPr>
          <w:snapToGrid w:val="0"/>
        </w:rPr>
      </w:pPr>
      <w:r>
        <w:rPr>
          <w:snapToGrid w:val="0"/>
        </w:rPr>
        <w:tab/>
        <w:t>(5)</w:t>
      </w:r>
      <w:r>
        <w:rPr>
          <w:snapToGrid w:val="0"/>
        </w:rPr>
        <w:tab/>
        <w:t xml:space="preserve">Where, for the purposes of this Act, the coming into force of a general </w:t>
      </w:r>
      <w:r>
        <w:rPr>
          <w:snapToGrid w:val="0"/>
          <w:spacing w:val="-3"/>
        </w:rPr>
        <w:t>valuation</w:t>
      </w:r>
      <w:r>
        <w:rPr>
          <w:snapToGrid w:val="0"/>
        </w:rPr>
        <w:t xml:space="preserve">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pPr>
      <w:r>
        <w:tab/>
        <w:t xml:space="preserve">[Section 41E inserted by No. 24 of 1987 s.8; amended by No. 17 of 1993 s.13; No. 73 of 1995 s.41.] </w:t>
      </w:r>
    </w:p>
    <w:p>
      <w:pPr>
        <w:pStyle w:val="Heading5"/>
        <w:spacing w:before="120"/>
        <w:rPr>
          <w:snapToGrid w:val="0"/>
        </w:rPr>
      </w:pPr>
      <w:bookmarkStart w:id="91" w:name="_Toc420985164"/>
      <w:bookmarkStart w:id="92" w:name="_Toc486127507"/>
      <w:bookmarkStart w:id="93" w:name="_Toc512908112"/>
      <w:bookmarkStart w:id="94" w:name="_Toc512911170"/>
      <w:bookmarkStart w:id="95" w:name="_Toc137027541"/>
      <w:r>
        <w:rPr>
          <w:rStyle w:val="CharSectno"/>
        </w:rPr>
        <w:t>41F</w:t>
      </w:r>
      <w:r>
        <w:rPr>
          <w:snapToGrid w:val="0"/>
        </w:rPr>
        <w:t xml:space="preserve">. </w:t>
      </w:r>
      <w:r>
        <w:rPr>
          <w:snapToGrid w:val="0"/>
        </w:rPr>
        <w:tab/>
        <w:t>Postponement of effect of general valuation</w:t>
      </w:r>
      <w:bookmarkEnd w:id="91"/>
      <w:bookmarkEnd w:id="92"/>
      <w:bookmarkEnd w:id="93"/>
      <w:bookmarkEnd w:id="94"/>
      <w:bookmarkEnd w:id="95"/>
      <w:r>
        <w:rPr>
          <w:snapToGrid w:val="0"/>
        </w:rPr>
        <w:t xml:space="preserve"> </w:t>
      </w:r>
    </w:p>
    <w:p>
      <w:pPr>
        <w:pStyle w:val="Subsection"/>
        <w:spacing w:before="100"/>
        <w:rPr>
          <w:snapToGrid w:val="0"/>
          <w:spacing w:val="-3"/>
        </w:rPr>
      </w:pPr>
      <w:r>
        <w:rPr>
          <w:snapToGrid w:val="0"/>
          <w:spacing w:val="-3"/>
        </w:rPr>
        <w:tab/>
        <w:t>(1)</w:t>
      </w:r>
      <w:r>
        <w:rPr>
          <w:snapToGrid w:val="0"/>
          <w:spacing w:val="-3"/>
        </w:rPr>
        <w:tab/>
        <w:t xml:space="preserve">Notwithstanding that a notice may have been published under section 21 of the </w:t>
      </w:r>
      <w:r>
        <w:rPr>
          <w:i/>
          <w:snapToGrid w:val="0"/>
          <w:spacing w:val="-3"/>
        </w:rPr>
        <w:t>Valuation of Land Act 1978</w:t>
      </w:r>
      <w:r>
        <w:rPr>
          <w:snapToGrid w:val="0"/>
          <w:spacing w:val="-3"/>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spacing w:val="-3"/>
        </w:rPr>
        <w:t>Government Gazette</w:t>
      </w:r>
      <w:r>
        <w:rPr>
          <w:snapToGrid w:val="0"/>
          <w:spacing w:val="-3"/>
        </w:rPr>
        <w:t>, may authorize the Corporation —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authorization given by the Minister to the Corporation under subsection (1), the general valuation shall, subject to any further authorization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pPr>
      <w:r>
        <w:tab/>
        <w:t xml:space="preserve">[Section 41F inserted by No. 24 of 1987 s.8; amended by No. 73 of 1995 s.41.] </w:t>
      </w:r>
    </w:p>
    <w:p>
      <w:pPr>
        <w:pStyle w:val="Heading5"/>
        <w:rPr>
          <w:snapToGrid w:val="0"/>
        </w:rPr>
      </w:pPr>
      <w:bookmarkStart w:id="96" w:name="_Toc420985165"/>
      <w:bookmarkStart w:id="97" w:name="_Toc486127508"/>
      <w:bookmarkStart w:id="98" w:name="_Toc512908113"/>
      <w:bookmarkStart w:id="99" w:name="_Toc512911171"/>
      <w:bookmarkStart w:id="100" w:name="_Toc137027542"/>
      <w:r>
        <w:rPr>
          <w:rStyle w:val="CharSectno"/>
        </w:rPr>
        <w:t>41G</w:t>
      </w:r>
      <w:r>
        <w:rPr>
          <w:snapToGrid w:val="0"/>
        </w:rPr>
        <w:t xml:space="preserve">. </w:t>
      </w:r>
      <w:r>
        <w:rPr>
          <w:snapToGrid w:val="0"/>
        </w:rPr>
        <w:tab/>
        <w:t>Incomplete general valuation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rPr>
          <w:snapToGrid w:val="0"/>
        </w:rPr>
      </w:pPr>
      <w:r>
        <w:rPr>
          <w:snapToGrid w:val="0"/>
        </w:rPr>
        <w:tab/>
      </w:r>
      <w:r>
        <w:rPr>
          <w:snapToGrid w:val="0"/>
        </w:rPr>
        <w:tab/>
        <w:t>and the Corporation is authorized to give effect thereto.</w:t>
      </w:r>
    </w:p>
    <w:p>
      <w:pPr>
        <w:pStyle w:val="Subsection"/>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pPr>
      <w:r>
        <w:tab/>
        <w:t xml:space="preserve">[Section 41G inserted by No. 24 of 1987 s.8; amended by No. 73 of 1995 s.41.] </w:t>
      </w:r>
    </w:p>
    <w:p>
      <w:pPr>
        <w:pStyle w:val="Heading5"/>
        <w:rPr>
          <w:snapToGrid w:val="0"/>
        </w:rPr>
      </w:pPr>
      <w:bookmarkStart w:id="101" w:name="_Toc420985166"/>
      <w:bookmarkStart w:id="102" w:name="_Toc486127509"/>
      <w:bookmarkStart w:id="103" w:name="_Toc512908114"/>
      <w:bookmarkStart w:id="104" w:name="_Toc512911172"/>
      <w:bookmarkStart w:id="105" w:name="_Toc137027543"/>
      <w:r>
        <w:rPr>
          <w:rStyle w:val="CharSectno"/>
        </w:rPr>
        <w:t>41GA</w:t>
      </w:r>
      <w:r>
        <w:rPr>
          <w:snapToGrid w:val="0"/>
        </w:rPr>
        <w:t>.</w:t>
      </w:r>
      <w:r>
        <w:rPr>
          <w:snapToGrid w:val="0"/>
        </w:rPr>
        <w:tab/>
        <w:t>Concession on certain charges after subdivision</w:t>
      </w:r>
      <w:bookmarkEnd w:id="101"/>
      <w:bookmarkEnd w:id="102"/>
      <w:bookmarkEnd w:id="103"/>
      <w:bookmarkEnd w:id="104"/>
      <w:bookmarkEnd w:id="105"/>
      <w:r>
        <w:rPr>
          <w:snapToGrid w:val="0"/>
        </w:rPr>
        <w:t xml:space="preserve"> </w:t>
      </w:r>
    </w:p>
    <w:p>
      <w:pPr>
        <w:pStyle w:val="Subsection"/>
        <w:keepLines/>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 xml:space="preserve">[Section 41GA inserted by No. 12 of 1996 s.10.] </w:t>
      </w:r>
    </w:p>
    <w:p>
      <w:pPr>
        <w:pStyle w:val="Heading5"/>
        <w:rPr>
          <w:snapToGrid w:val="0"/>
        </w:rPr>
      </w:pPr>
      <w:bookmarkStart w:id="106" w:name="_Toc420985167"/>
      <w:bookmarkStart w:id="107" w:name="_Toc486127510"/>
      <w:bookmarkStart w:id="108" w:name="_Toc512908115"/>
      <w:bookmarkStart w:id="109" w:name="_Toc512911173"/>
      <w:bookmarkStart w:id="110" w:name="_Toc137027544"/>
      <w:r>
        <w:rPr>
          <w:rStyle w:val="CharSectno"/>
        </w:rPr>
        <w:t>41H</w:t>
      </w:r>
      <w:r>
        <w:rPr>
          <w:snapToGrid w:val="0"/>
        </w:rPr>
        <w:t xml:space="preserve">. </w:t>
      </w:r>
      <w:r>
        <w:rPr>
          <w:snapToGrid w:val="0"/>
        </w:rPr>
        <w:tab/>
        <w:t>Apportionment between joint owners or occupiers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 xml:space="preserve">[Section 41H inserted by No. 24 of 1987 s.8; amended by No. 73 of 1995 s.41.] </w:t>
      </w:r>
    </w:p>
    <w:p>
      <w:pPr>
        <w:pStyle w:val="Heading5"/>
        <w:rPr>
          <w:snapToGrid w:val="0"/>
        </w:rPr>
      </w:pPr>
      <w:bookmarkStart w:id="111" w:name="_Toc420985168"/>
      <w:bookmarkStart w:id="112" w:name="_Toc486127511"/>
      <w:bookmarkStart w:id="113" w:name="_Toc512908116"/>
      <w:bookmarkStart w:id="114" w:name="_Toc512911174"/>
      <w:bookmarkStart w:id="115" w:name="_Toc137027545"/>
      <w:r>
        <w:rPr>
          <w:rStyle w:val="CharSectno"/>
        </w:rPr>
        <w:t>41J</w:t>
      </w:r>
      <w:r>
        <w:rPr>
          <w:snapToGrid w:val="0"/>
        </w:rPr>
        <w:t>.</w:t>
      </w:r>
      <w:r>
        <w:rPr>
          <w:snapToGrid w:val="0"/>
        </w:rPr>
        <w:tab/>
        <w:t>Accounts based on estimated quantities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 xml:space="preserve">[Section 41J inserted by No. 24 of 1987 s.8; amended by No. 73 of 1995 s.41.] </w:t>
      </w:r>
    </w:p>
    <w:p>
      <w:pPr>
        <w:pStyle w:val="Heading5"/>
        <w:rPr>
          <w:snapToGrid w:val="0"/>
        </w:rPr>
      </w:pPr>
      <w:bookmarkStart w:id="116" w:name="_Toc420985169"/>
      <w:bookmarkStart w:id="117" w:name="_Toc486127512"/>
      <w:bookmarkStart w:id="118" w:name="_Toc512908117"/>
      <w:bookmarkStart w:id="119" w:name="_Toc512911175"/>
      <w:bookmarkStart w:id="120" w:name="_Toc137027546"/>
      <w:r>
        <w:rPr>
          <w:rStyle w:val="CharSectno"/>
        </w:rPr>
        <w:t>41K</w:t>
      </w:r>
      <w:r>
        <w:rPr>
          <w:snapToGrid w:val="0"/>
        </w:rPr>
        <w:t xml:space="preserve">. </w:t>
      </w:r>
      <w:r>
        <w:rPr>
          <w:snapToGrid w:val="0"/>
        </w:rPr>
        <w:tab/>
        <w:t>Certain information to be made available</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 xml:space="preserve">[Section 41K inserted by No. 24 of 1987 s.8; amended by No. 73 of 1995 s.41.] </w:t>
      </w:r>
    </w:p>
    <w:p>
      <w:pPr>
        <w:pStyle w:val="Heading5"/>
        <w:rPr>
          <w:snapToGrid w:val="0"/>
        </w:rPr>
      </w:pPr>
      <w:bookmarkStart w:id="121" w:name="_Toc420985170"/>
      <w:bookmarkStart w:id="122" w:name="_Toc486127513"/>
      <w:bookmarkStart w:id="123" w:name="_Toc512908118"/>
      <w:bookmarkStart w:id="124" w:name="_Toc512911176"/>
      <w:bookmarkStart w:id="125" w:name="_Toc137027547"/>
      <w:r>
        <w:rPr>
          <w:rStyle w:val="CharSectno"/>
        </w:rPr>
        <w:t>41L</w:t>
      </w:r>
      <w:r>
        <w:rPr>
          <w:snapToGrid w:val="0"/>
        </w:rPr>
        <w:t xml:space="preserve">. </w:t>
      </w:r>
      <w:r>
        <w:rPr>
          <w:snapToGrid w:val="0"/>
        </w:rPr>
        <w:tab/>
        <w:t>Interest on overdue amounts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 xml:space="preserve">[Section 41L inserted by No. 24 of 1987 s.8.] </w:t>
      </w:r>
    </w:p>
    <w:p>
      <w:pPr>
        <w:pStyle w:val="Heading5"/>
        <w:rPr>
          <w:snapToGrid w:val="0"/>
        </w:rPr>
      </w:pPr>
      <w:bookmarkStart w:id="126" w:name="_Toc420985171"/>
      <w:bookmarkStart w:id="127" w:name="_Toc486127514"/>
      <w:bookmarkStart w:id="128" w:name="_Toc512908119"/>
      <w:bookmarkStart w:id="129" w:name="_Toc512911177"/>
      <w:bookmarkStart w:id="130" w:name="_Toc137027548"/>
      <w:r>
        <w:rPr>
          <w:rStyle w:val="CharSectno"/>
        </w:rPr>
        <w:t>41M</w:t>
      </w:r>
      <w:r>
        <w:rPr>
          <w:snapToGrid w:val="0"/>
        </w:rPr>
        <w:t xml:space="preserve">. </w:t>
      </w:r>
      <w:r>
        <w:rPr>
          <w:snapToGrid w:val="0"/>
        </w:rPr>
        <w:tab/>
        <w:t>Corporation may waive or reduce certain amounts</w:t>
      </w:r>
      <w:bookmarkEnd w:id="126"/>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 xml:space="preserve">[Section 41M inserted by No. 24 of 1987 s.8; amended by No. 73 of 1995 s.41.] </w:t>
      </w:r>
    </w:p>
    <w:p>
      <w:pPr>
        <w:pStyle w:val="Heading5"/>
        <w:rPr>
          <w:snapToGrid w:val="0"/>
        </w:rPr>
      </w:pPr>
      <w:bookmarkStart w:id="131" w:name="_Toc420985172"/>
      <w:bookmarkStart w:id="132" w:name="_Toc486127515"/>
      <w:bookmarkStart w:id="133" w:name="_Toc512908120"/>
      <w:bookmarkStart w:id="134" w:name="_Toc512911178"/>
      <w:bookmarkStart w:id="135" w:name="_Toc137027549"/>
      <w:r>
        <w:rPr>
          <w:rStyle w:val="CharSectno"/>
        </w:rPr>
        <w:t>41N</w:t>
      </w:r>
      <w:r>
        <w:rPr>
          <w:snapToGrid w:val="0"/>
        </w:rPr>
        <w:t>.</w:t>
      </w:r>
      <w:r>
        <w:rPr>
          <w:snapToGrid w:val="0"/>
        </w:rPr>
        <w:tab/>
        <w:t>Charges payable notwithstanding liability to prosecution</w:t>
      </w:r>
      <w:bookmarkEnd w:id="131"/>
      <w:bookmarkEnd w:id="132"/>
      <w:bookmarkEnd w:id="133"/>
      <w:bookmarkEnd w:id="134"/>
      <w:bookmarkEnd w:id="135"/>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s.8.]</w:t>
      </w:r>
    </w:p>
    <w:p>
      <w:pPr>
        <w:pStyle w:val="Heading3"/>
        <w:rPr>
          <w:rStyle w:val="CharDivText"/>
        </w:rPr>
      </w:pPr>
      <w:bookmarkStart w:id="136" w:name="_Toc137027550"/>
      <w:r>
        <w:rPr>
          <w:rStyle w:val="CharDivNo"/>
        </w:rPr>
        <w:t>Division 2</w:t>
      </w:r>
      <w:r>
        <w:t> — </w:t>
      </w:r>
      <w:r>
        <w:rPr>
          <w:rStyle w:val="CharDivText"/>
        </w:rPr>
        <w:t>Agreements as to charges</w:t>
      </w:r>
      <w:bookmarkEnd w:id="136"/>
    </w:p>
    <w:p>
      <w:pPr>
        <w:pStyle w:val="Footnoteheading"/>
      </w:pPr>
      <w:r>
        <w:tab/>
        <w:t>[Heading inserted by No. 25 of 2005 s. 60(1).]</w:t>
      </w:r>
    </w:p>
    <w:p>
      <w:pPr>
        <w:pStyle w:val="Heading5"/>
      </w:pPr>
      <w:bookmarkStart w:id="137" w:name="_Toc137027551"/>
      <w:r>
        <w:rPr>
          <w:rStyle w:val="CharSectno"/>
        </w:rPr>
        <w:t>42</w:t>
      </w:r>
      <w:r>
        <w:t>.</w:t>
      </w:r>
      <w:r>
        <w:tab/>
        <w:t>Agreements for different liability</w:t>
      </w:r>
      <w:bookmarkEnd w:id="137"/>
    </w:p>
    <w:p>
      <w:pPr>
        <w:pStyle w:val="Subsection"/>
      </w:pPr>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t>“</w:t>
      </w:r>
      <w:r>
        <w:rPr>
          <w:rStyle w:val="CharDefText"/>
        </w:rPr>
        <w:t>agreed liability</w:t>
      </w:r>
      <w:r>
        <w:rPr>
          <w:b/>
        </w:rPr>
        <w:t>”</w:t>
      </w:r>
      <w:r>
        <w:t xml:space="preserve"> means the customer’s liability under the agreement that is instead of liability to pay the statutory charge;</w:t>
      </w:r>
    </w:p>
    <w:p>
      <w:pPr>
        <w:pStyle w:val="Defstart"/>
      </w:pPr>
      <w:r>
        <w:rPr>
          <w:b/>
        </w:rPr>
        <w:tab/>
        <w:t>“</w:t>
      </w:r>
      <w:r>
        <w:rPr>
          <w:rStyle w:val="CharDefText"/>
        </w:rPr>
        <w:t>statutory charge</w:t>
      </w:r>
      <w:r>
        <w:rPr>
          <w:b/>
        </w:rPr>
        <w:t>”</w:t>
      </w:r>
      <w:r>
        <w:t xml:space="preserve"> means a charge under Division 1A relating to the provision by the Corporation of water services in relation to land;</w:t>
      </w:r>
    </w:p>
    <w:p>
      <w:pPr>
        <w:pStyle w:val="Defstart"/>
      </w:pPr>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Repealed by No. 73 of 1995 s. 26.]</w:t>
      </w:r>
    </w:p>
    <w:p>
      <w:pPr>
        <w:pStyle w:val="Ednotesection"/>
        <w:spacing w:before="120"/>
        <w:ind w:left="890" w:hanging="890"/>
      </w:pPr>
      <w:r>
        <w:t>[</w:t>
      </w:r>
      <w:r>
        <w:rPr>
          <w:b/>
        </w:rPr>
        <w:t>44</w:t>
      </w:r>
      <w:r>
        <w:rPr>
          <w:b/>
        </w:rPr>
        <w:noBreakHyphen/>
        <w:t>48.</w:t>
      </w:r>
      <w:r>
        <w:tab/>
        <w:t xml:space="preserve">Repealed by No. 98 of 1985 s.3.] </w:t>
      </w:r>
    </w:p>
    <w:p>
      <w:pPr>
        <w:pStyle w:val="Ednotedivision"/>
      </w:pPr>
      <w:r>
        <w:t>[Division 3 (sections 49</w:t>
      </w:r>
      <w:r>
        <w:noBreakHyphen/>
        <w:t xml:space="preserve">53)  repealed by No. 73 of 1995 s.26.] </w:t>
      </w:r>
    </w:p>
    <w:p>
      <w:pPr>
        <w:pStyle w:val="Ednotedivision"/>
      </w:pPr>
      <w:r>
        <w:t>[Division 4 (sections 54</w:t>
      </w:r>
      <w:r>
        <w:noBreakHyphen/>
        <w:t xml:space="preserve">56)  repealed by No. 73 of 1995 s.26.] </w:t>
      </w:r>
    </w:p>
    <w:p>
      <w:pPr>
        <w:pStyle w:val="Ednotedivision"/>
      </w:pPr>
      <w:r>
        <w:t>[Division 5 (sections 57</w:t>
      </w:r>
      <w:r>
        <w:noBreakHyphen/>
        <w:t xml:space="preserve">60)  repealed by No. 73 of 1995 s.26.] </w:t>
      </w:r>
    </w:p>
    <w:p>
      <w:pPr>
        <w:pStyle w:val="Heading3"/>
        <w:rPr>
          <w:snapToGrid w:val="0"/>
        </w:rPr>
      </w:pPr>
      <w:bookmarkStart w:id="138" w:name="_Toc92785923"/>
      <w:bookmarkStart w:id="139" w:name="_Toc96326509"/>
      <w:bookmarkStart w:id="140" w:name="_Toc96507548"/>
      <w:bookmarkStart w:id="141" w:name="_Toc103069221"/>
      <w:bookmarkStart w:id="142" w:name="_Toc123005018"/>
      <w:bookmarkStart w:id="143" w:name="_Toc131479815"/>
      <w:bookmarkStart w:id="144" w:name="_Toc137027552"/>
      <w:r>
        <w:rPr>
          <w:rStyle w:val="CharDivNo"/>
        </w:rPr>
        <w:t>Division 6</w:t>
      </w:r>
      <w:r>
        <w:rPr>
          <w:snapToGrid w:val="0"/>
        </w:rPr>
        <w:t> — </w:t>
      </w:r>
      <w:r>
        <w:rPr>
          <w:rStyle w:val="CharDivText"/>
        </w:rPr>
        <w:t>Liability, indemnity, etc.</w:t>
      </w:r>
      <w:bookmarkEnd w:id="138"/>
      <w:bookmarkEnd w:id="139"/>
      <w:bookmarkEnd w:id="140"/>
      <w:bookmarkEnd w:id="141"/>
      <w:bookmarkEnd w:id="142"/>
      <w:bookmarkEnd w:id="143"/>
      <w:bookmarkEnd w:id="144"/>
      <w:r>
        <w:rPr>
          <w:rStyle w:val="CharDivText"/>
        </w:rPr>
        <w:t xml:space="preserve"> </w:t>
      </w:r>
    </w:p>
    <w:p>
      <w:pPr>
        <w:pStyle w:val="Ednotesection"/>
        <w:rPr>
          <w:rFonts w:ascii="Courier New" w:hAnsi="Courier New"/>
        </w:rPr>
      </w:pPr>
      <w:r>
        <w:t>[</w:t>
      </w:r>
      <w:r>
        <w:rPr>
          <w:b/>
        </w:rPr>
        <w:t>61.</w:t>
      </w:r>
      <w:r>
        <w:tab/>
        <w:t>Repealed by No. 73 of 1995 s.27.]</w:t>
      </w:r>
      <w:r>
        <w:rPr>
          <w:rFonts w:ascii="Courier New" w:hAnsi="Courier New"/>
        </w:rPr>
        <w:t xml:space="preserve"> </w:t>
      </w:r>
    </w:p>
    <w:p>
      <w:pPr>
        <w:pStyle w:val="Heading5"/>
        <w:rPr>
          <w:snapToGrid w:val="0"/>
        </w:rPr>
      </w:pPr>
      <w:bookmarkStart w:id="145" w:name="_Toc420985173"/>
      <w:bookmarkStart w:id="146" w:name="_Toc486127516"/>
      <w:bookmarkStart w:id="147" w:name="_Toc512908121"/>
      <w:bookmarkStart w:id="148" w:name="_Toc512911179"/>
      <w:bookmarkStart w:id="149" w:name="_Toc137027553"/>
      <w:r>
        <w:rPr>
          <w:rStyle w:val="CharSectno"/>
        </w:rPr>
        <w:t>62</w:t>
      </w:r>
      <w:r>
        <w:rPr>
          <w:snapToGrid w:val="0"/>
        </w:rPr>
        <w:t>.</w:t>
      </w:r>
      <w:r>
        <w:rPr>
          <w:snapToGrid w:val="0"/>
        </w:rPr>
        <w:tab/>
        <w:t>Liability for physical damage to land, etc.</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authorized to take such amount, if any, into account.</w:t>
      </w:r>
    </w:p>
    <w:p>
      <w:pPr>
        <w:pStyle w:val="Footnotesection"/>
      </w:pPr>
      <w:r>
        <w:tab/>
        <w:t xml:space="preserve">[Section 62 amended by No. 25 of 1985 s.14; No. 73 of 1995 s.42; No. 31 of 1997 s.137(2); No. 55 of 2004 s. 571.] </w:t>
      </w:r>
    </w:p>
    <w:p>
      <w:pPr>
        <w:pStyle w:val="Heading5"/>
        <w:rPr>
          <w:snapToGrid w:val="0"/>
        </w:rPr>
      </w:pPr>
      <w:bookmarkStart w:id="150" w:name="_Toc420985174"/>
      <w:bookmarkStart w:id="151" w:name="_Toc486127517"/>
      <w:bookmarkStart w:id="152" w:name="_Toc512908122"/>
      <w:bookmarkStart w:id="153" w:name="_Toc512911180"/>
      <w:bookmarkStart w:id="154" w:name="_Toc137027554"/>
      <w:r>
        <w:rPr>
          <w:rStyle w:val="CharSectno"/>
        </w:rPr>
        <w:t>63</w:t>
      </w:r>
      <w:r>
        <w:rPr>
          <w:snapToGrid w:val="0"/>
        </w:rPr>
        <w:t>.</w:t>
      </w:r>
      <w:r>
        <w:rPr>
          <w:snapToGrid w:val="0"/>
        </w:rPr>
        <w:tab/>
        <w:t>Actions for damages generally</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authorized by the Commission or the Corporation or a statutory authority unless negligence is established.</w:t>
      </w:r>
    </w:p>
    <w:p>
      <w:pPr>
        <w:pStyle w:val="Subsection"/>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 xml:space="preserve">[Section 63 amended by No. 73 of 1995 s.42.] </w:t>
      </w:r>
    </w:p>
    <w:p>
      <w:pPr>
        <w:pStyle w:val="Heading2"/>
      </w:pPr>
      <w:bookmarkStart w:id="155" w:name="_Toc92785926"/>
      <w:bookmarkStart w:id="156" w:name="_Toc96326512"/>
      <w:bookmarkStart w:id="157" w:name="_Toc96507551"/>
      <w:bookmarkStart w:id="158" w:name="_Toc103069224"/>
      <w:bookmarkStart w:id="159" w:name="_Toc123005021"/>
      <w:bookmarkStart w:id="160" w:name="_Toc131479818"/>
      <w:bookmarkStart w:id="161" w:name="_Toc137027555"/>
      <w:r>
        <w:rPr>
          <w:rStyle w:val="CharPartNo"/>
        </w:rPr>
        <w:t>Part IV</w:t>
      </w:r>
      <w:r>
        <w:rPr>
          <w:rStyle w:val="CharDivNo"/>
        </w:rPr>
        <w:t> </w:t>
      </w:r>
      <w:r>
        <w:t>—</w:t>
      </w:r>
      <w:r>
        <w:rPr>
          <w:rStyle w:val="CharDivText"/>
        </w:rPr>
        <w:t> </w:t>
      </w:r>
      <w:r>
        <w:rPr>
          <w:rStyle w:val="CharPartText"/>
        </w:rPr>
        <w:t>Agreements relating to works and water services</w:t>
      </w:r>
      <w:bookmarkEnd w:id="155"/>
      <w:bookmarkEnd w:id="156"/>
      <w:bookmarkEnd w:id="157"/>
      <w:bookmarkEnd w:id="158"/>
      <w:bookmarkEnd w:id="159"/>
      <w:bookmarkEnd w:id="160"/>
      <w:bookmarkEnd w:id="161"/>
      <w:r>
        <w:rPr>
          <w:rStyle w:val="CharPartText"/>
        </w:rPr>
        <w:t xml:space="preserve"> </w:t>
      </w:r>
    </w:p>
    <w:p>
      <w:pPr>
        <w:pStyle w:val="Footnoteheading"/>
        <w:rPr>
          <w:snapToGrid w:val="0"/>
        </w:rPr>
      </w:pPr>
      <w:r>
        <w:rPr>
          <w:snapToGrid w:val="0"/>
        </w:rPr>
        <w:tab/>
        <w:t>[Heading inserted by No. 25 of 1985 s.15.]</w:t>
      </w:r>
    </w:p>
    <w:p>
      <w:pPr>
        <w:pStyle w:val="Heading5"/>
        <w:rPr>
          <w:snapToGrid w:val="0"/>
        </w:rPr>
      </w:pPr>
      <w:bookmarkStart w:id="162" w:name="_Toc420985175"/>
      <w:bookmarkStart w:id="163" w:name="_Toc486127518"/>
      <w:bookmarkStart w:id="164" w:name="_Toc512908123"/>
      <w:bookmarkStart w:id="165" w:name="_Toc512911181"/>
      <w:bookmarkStart w:id="166" w:name="_Toc137027556"/>
      <w:r>
        <w:rPr>
          <w:rStyle w:val="CharSectno"/>
        </w:rPr>
        <w:t>64</w:t>
      </w:r>
      <w:r>
        <w:rPr>
          <w:snapToGrid w:val="0"/>
        </w:rPr>
        <w:t>.</w:t>
      </w:r>
      <w:r>
        <w:rPr>
          <w:snapToGrid w:val="0"/>
        </w:rPr>
        <w:tab/>
        <w:t>Application</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s.15; amended by No. 73 of 1995 s.41.] </w:t>
      </w:r>
    </w:p>
    <w:p>
      <w:pPr>
        <w:pStyle w:val="Heading5"/>
        <w:rPr>
          <w:snapToGrid w:val="0"/>
        </w:rPr>
      </w:pPr>
      <w:bookmarkStart w:id="167" w:name="_Toc420985176"/>
      <w:bookmarkStart w:id="168" w:name="_Toc486127519"/>
      <w:bookmarkStart w:id="169" w:name="_Toc512908124"/>
      <w:bookmarkStart w:id="170" w:name="_Toc512911182"/>
      <w:bookmarkStart w:id="171" w:name="_Toc137027557"/>
      <w:r>
        <w:rPr>
          <w:rStyle w:val="CharSectno"/>
        </w:rPr>
        <w:t>65</w:t>
      </w:r>
      <w:r>
        <w:rPr>
          <w:snapToGrid w:val="0"/>
        </w:rPr>
        <w:t>.</w:t>
      </w:r>
      <w:r>
        <w:rPr>
          <w:snapToGrid w:val="0"/>
        </w:rPr>
        <w:tab/>
        <w:t>Interpretation of this Part</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pPr>
      <w:r>
        <w:rPr>
          <w:b/>
        </w:rPr>
        <w:tab/>
        <w:t>“</w:t>
      </w:r>
      <w:r>
        <w:rPr>
          <w:rStyle w:val="CharDefText"/>
        </w:rPr>
        <w:t>proposal</w:t>
      </w:r>
      <w:r>
        <w:rPr>
          <w:b/>
        </w:rPr>
        <w:t>”</w:t>
      </w:r>
      <w:r>
        <w:t xml:space="preserve"> includes a plan, specification or design, and any amended proposal, for the development or subdivision of any land;</w:t>
      </w:r>
    </w:p>
    <w:p>
      <w:pPr>
        <w:pStyle w:val="Defstart"/>
        <w:tabs>
          <w:tab w:val="clear" w:pos="879"/>
          <w:tab w:val="left" w:pos="1560"/>
        </w:tabs>
        <w:ind w:left="1843" w:hanging="1843"/>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keepNext/>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pPr>
      <w:r>
        <w:tab/>
        <w:t xml:space="preserve">[Section 65 inserted by No. 25 of 1985 s.15; amended by No. 73 of 1995 s.28; No. 14 of 1996 s.4; No. 67 of 2003 s. 62; No. 38 of 2005 s. 15.] </w:t>
      </w:r>
    </w:p>
    <w:p>
      <w:pPr>
        <w:pStyle w:val="Heading5"/>
        <w:spacing w:before="120"/>
        <w:rPr>
          <w:snapToGrid w:val="0"/>
        </w:rPr>
      </w:pPr>
      <w:bookmarkStart w:id="172" w:name="_Toc420985177"/>
      <w:bookmarkStart w:id="173" w:name="_Toc486127520"/>
      <w:bookmarkStart w:id="174" w:name="_Toc512908125"/>
      <w:bookmarkStart w:id="175" w:name="_Toc512911183"/>
      <w:bookmarkStart w:id="176" w:name="_Toc137027558"/>
      <w:r>
        <w:rPr>
          <w:rStyle w:val="CharSectno"/>
        </w:rPr>
        <w:t>66</w:t>
      </w:r>
      <w:r>
        <w:rPr>
          <w:snapToGrid w:val="0"/>
        </w:rPr>
        <w:t>.</w:t>
      </w:r>
      <w:r>
        <w:rPr>
          <w:snapToGrid w:val="0"/>
        </w:rPr>
        <w:tab/>
        <w:t>Advice and guidelines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pPr>
      <w:r>
        <w:tab/>
        <w:t xml:space="preserve">[Section 66 inserted by No. 15 of 1985 s.15; amended by No. 73 of 1995 s.29; No. 67 of 2003 s. 62.] </w:t>
      </w:r>
    </w:p>
    <w:p>
      <w:pPr>
        <w:pStyle w:val="Heading5"/>
        <w:rPr>
          <w:snapToGrid w:val="0"/>
        </w:rPr>
      </w:pPr>
      <w:bookmarkStart w:id="177" w:name="_Toc420985178"/>
      <w:bookmarkStart w:id="178" w:name="_Toc486127521"/>
      <w:bookmarkStart w:id="179" w:name="_Toc512908126"/>
      <w:bookmarkStart w:id="180" w:name="_Toc512911184"/>
      <w:bookmarkStart w:id="181" w:name="_Toc137027559"/>
      <w:r>
        <w:rPr>
          <w:rStyle w:val="CharSectno"/>
        </w:rPr>
        <w:t>67</w:t>
      </w:r>
      <w:r>
        <w:rPr>
          <w:snapToGrid w:val="0"/>
        </w:rPr>
        <w:t>.</w:t>
      </w:r>
      <w:r>
        <w:rPr>
          <w:snapToGrid w:val="0"/>
        </w:rPr>
        <w:tab/>
        <w:t>Agreements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spacing w:before="180"/>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authorized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spacing w:before="180"/>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spacing w:before="180"/>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rPr>
          <w:snapToGrid w:val="0"/>
        </w:rPr>
      </w:pPr>
      <w:r>
        <w:rPr>
          <w:snapToGrid w:val="0"/>
        </w:rPr>
        <w:tab/>
        <w:t>(a)</w:t>
      </w:r>
      <w:r>
        <w:rPr>
          <w:snapToGrid w:val="0"/>
        </w:rPr>
        <w:tab/>
        <w:t>the planning condition is removed under the provision of that Act;</w:t>
      </w:r>
    </w:p>
    <w:p>
      <w:pPr>
        <w:pStyle w:val="Indenta"/>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s.15; amended by No. 84 of 1994 s.46; No. 73 of 1995 s.41; No. 14 of 1996 s.4; No. 38 of 2005 s. 15.] </w:t>
      </w:r>
    </w:p>
    <w:p>
      <w:pPr>
        <w:pStyle w:val="Heading5"/>
        <w:rPr>
          <w:snapToGrid w:val="0"/>
        </w:rPr>
      </w:pPr>
      <w:bookmarkStart w:id="182" w:name="_Toc420985179"/>
      <w:bookmarkStart w:id="183" w:name="_Toc486127522"/>
      <w:bookmarkStart w:id="184" w:name="_Toc512908127"/>
      <w:bookmarkStart w:id="185" w:name="_Toc512911185"/>
      <w:bookmarkStart w:id="186" w:name="_Toc137027560"/>
      <w:r>
        <w:rPr>
          <w:rStyle w:val="CharSectno"/>
        </w:rPr>
        <w:t>67A</w:t>
      </w:r>
      <w:r>
        <w:rPr>
          <w:snapToGrid w:val="0"/>
        </w:rPr>
        <w:t xml:space="preserve">. </w:t>
      </w:r>
      <w:r>
        <w:rPr>
          <w:snapToGrid w:val="0"/>
        </w:rPr>
        <w:tab/>
        <w:t>Deferring headworks payments for certain subdivisions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 xml:space="preserve">[Section 67A inserted by No. 12 of 1996 s.11.] </w:t>
      </w:r>
    </w:p>
    <w:p>
      <w:pPr>
        <w:pStyle w:val="Heading5"/>
        <w:rPr>
          <w:snapToGrid w:val="0"/>
        </w:rPr>
      </w:pPr>
      <w:bookmarkStart w:id="187" w:name="_Toc420985180"/>
      <w:bookmarkStart w:id="188" w:name="_Toc486127523"/>
      <w:bookmarkStart w:id="189" w:name="_Toc512908128"/>
      <w:bookmarkStart w:id="190" w:name="_Toc512911186"/>
      <w:bookmarkStart w:id="191" w:name="_Toc137027561"/>
      <w:r>
        <w:rPr>
          <w:rStyle w:val="CharSectno"/>
        </w:rPr>
        <w:t>67B</w:t>
      </w:r>
      <w:r>
        <w:rPr>
          <w:snapToGrid w:val="0"/>
        </w:rPr>
        <w:t xml:space="preserve">. </w:t>
      </w:r>
      <w:r>
        <w:rPr>
          <w:snapToGrid w:val="0"/>
        </w:rPr>
        <w:tab/>
        <w:t>Transfer of land restricted until deferred amount paid</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keepNext/>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keepNext/>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authorized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67B inserted by No. 12 of 1996 s.11.] </w:t>
      </w:r>
    </w:p>
    <w:p>
      <w:pPr>
        <w:pStyle w:val="Heading2"/>
      </w:pPr>
      <w:bookmarkStart w:id="192" w:name="_Toc92785933"/>
      <w:bookmarkStart w:id="193" w:name="_Toc96326519"/>
      <w:bookmarkStart w:id="194" w:name="_Toc96507558"/>
      <w:bookmarkStart w:id="195" w:name="_Toc103069231"/>
      <w:bookmarkStart w:id="196" w:name="_Toc123005028"/>
      <w:bookmarkStart w:id="197" w:name="_Toc131479825"/>
      <w:bookmarkStart w:id="198" w:name="_Toc137027562"/>
      <w:r>
        <w:rPr>
          <w:rStyle w:val="CharPartNo"/>
        </w:rPr>
        <w:t>Part V</w:t>
      </w:r>
      <w:r>
        <w:rPr>
          <w:rStyle w:val="CharDivNo"/>
        </w:rPr>
        <w:t> </w:t>
      </w:r>
      <w:r>
        <w:t>—</w:t>
      </w:r>
      <w:r>
        <w:rPr>
          <w:rStyle w:val="CharDivText"/>
        </w:rPr>
        <w:t> </w:t>
      </w:r>
      <w:r>
        <w:rPr>
          <w:rStyle w:val="CharPartText"/>
        </w:rPr>
        <w:t>Access to land and information for rating purposes</w:t>
      </w:r>
      <w:bookmarkEnd w:id="192"/>
      <w:bookmarkEnd w:id="193"/>
      <w:bookmarkEnd w:id="194"/>
      <w:bookmarkEnd w:id="195"/>
      <w:bookmarkEnd w:id="196"/>
      <w:bookmarkEnd w:id="197"/>
      <w:bookmarkEnd w:id="198"/>
    </w:p>
    <w:p>
      <w:pPr>
        <w:pStyle w:val="Footnoteheading"/>
        <w:rPr>
          <w:snapToGrid w:val="0"/>
        </w:rPr>
      </w:pPr>
      <w:r>
        <w:rPr>
          <w:snapToGrid w:val="0"/>
        </w:rPr>
        <w:tab/>
        <w:t xml:space="preserve">[Heading inserted by No. 25 of 1985 s.16.] </w:t>
      </w:r>
    </w:p>
    <w:p>
      <w:pPr>
        <w:pStyle w:val="Heading5"/>
        <w:rPr>
          <w:snapToGrid w:val="0"/>
        </w:rPr>
      </w:pPr>
      <w:bookmarkStart w:id="199" w:name="_Toc420985181"/>
      <w:bookmarkStart w:id="200" w:name="_Toc486127524"/>
      <w:bookmarkStart w:id="201" w:name="_Toc512908129"/>
      <w:bookmarkStart w:id="202" w:name="_Toc512911187"/>
      <w:bookmarkStart w:id="203" w:name="_Toc137027563"/>
      <w:r>
        <w:rPr>
          <w:rStyle w:val="CharSectno"/>
        </w:rPr>
        <w:t>68</w:t>
      </w:r>
      <w:r>
        <w:rPr>
          <w:snapToGrid w:val="0"/>
        </w:rPr>
        <w:t>.</w:t>
      </w:r>
      <w:r>
        <w:rPr>
          <w:snapToGrid w:val="0"/>
        </w:rPr>
        <w:tab/>
        <w:t>Access to land and information for the purposes of rating, etc.</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For the purposes of this Act or a relevant Act, a person authorized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authorization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s.16; amended by No. 73 of 1995 s.41.] </w:t>
      </w:r>
    </w:p>
    <w:p>
      <w:pPr>
        <w:pStyle w:val="Heading5"/>
        <w:rPr>
          <w:snapToGrid w:val="0"/>
        </w:rPr>
      </w:pPr>
      <w:bookmarkStart w:id="204" w:name="_Toc420985182"/>
      <w:bookmarkStart w:id="205" w:name="_Toc486127525"/>
      <w:bookmarkStart w:id="206" w:name="_Toc512908130"/>
      <w:bookmarkStart w:id="207" w:name="_Toc512911188"/>
      <w:bookmarkStart w:id="208" w:name="_Toc137027564"/>
      <w:r>
        <w:rPr>
          <w:rStyle w:val="CharSectno"/>
        </w:rPr>
        <w:t>69</w:t>
      </w:r>
      <w:r>
        <w:rPr>
          <w:snapToGrid w:val="0"/>
        </w:rPr>
        <w:t>.</w:t>
      </w:r>
      <w:r>
        <w:rPr>
          <w:snapToGrid w:val="0"/>
        </w:rPr>
        <w:tab/>
        <w:t>Provision of information as to rating, etc.</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authorized by the owner to serve notices or demands, ceases to be so authorized in relation to,</w:t>
      </w:r>
    </w:p>
    <w:p>
      <w:pPr>
        <w:pStyle w:val="Subsection"/>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rPr>
          <w:snapToGrid w:val="0"/>
        </w:rPr>
      </w:pPr>
      <w:r>
        <w:rPr>
          <w:snapToGrid w:val="0"/>
        </w:rPr>
        <w:tab/>
        <w:t>(2)</w:t>
      </w:r>
      <w:r>
        <w:rPr>
          <w:snapToGrid w:val="0"/>
        </w:rPr>
        <w:tab/>
        <w:t>A person who, after being requested to furnish that name by the Corporation or any officer authorized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authorized to receive the rents of the land; or</w:t>
      </w:r>
    </w:p>
    <w:p>
      <w:pPr>
        <w:pStyle w:val="Indenta"/>
        <w:rPr>
          <w:snapToGrid w:val="0"/>
        </w:rPr>
      </w:pPr>
      <w:r>
        <w:rPr>
          <w:snapToGrid w:val="0"/>
        </w:rPr>
        <w:tab/>
        <w:t>(b)</w:t>
      </w:r>
      <w:r>
        <w:rPr>
          <w:snapToGrid w:val="0"/>
        </w:rPr>
        <w:tab/>
        <w:t>being a person receiving or authorized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s.16; amended by No. 73 of 1995 s.41.] </w:t>
      </w:r>
    </w:p>
    <w:p>
      <w:pPr>
        <w:pStyle w:val="Heading5"/>
        <w:rPr>
          <w:snapToGrid w:val="0"/>
        </w:rPr>
      </w:pPr>
      <w:bookmarkStart w:id="209" w:name="_Toc420985183"/>
      <w:bookmarkStart w:id="210" w:name="_Toc486127526"/>
      <w:bookmarkStart w:id="211" w:name="_Toc512908131"/>
      <w:bookmarkStart w:id="212" w:name="_Toc512911189"/>
      <w:bookmarkStart w:id="213" w:name="_Toc137027565"/>
      <w:r>
        <w:rPr>
          <w:rStyle w:val="CharSectno"/>
        </w:rPr>
        <w:t>69A</w:t>
      </w:r>
      <w:r>
        <w:rPr>
          <w:snapToGrid w:val="0"/>
        </w:rPr>
        <w:t xml:space="preserve">. </w:t>
      </w:r>
      <w:r>
        <w:rPr>
          <w:snapToGrid w:val="0"/>
        </w:rPr>
        <w:tab/>
        <w:t>Rating records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Subsection"/>
        <w:rPr>
          <w:snapToGrid w:val="0"/>
        </w:rPr>
      </w:pPr>
      <w:r>
        <w:rPr>
          <w:snapToGrid w:val="0"/>
        </w:rPr>
        <w:tab/>
      </w:r>
      <w:r>
        <w:rPr>
          <w:snapToGrid w:val="0"/>
        </w:rPr>
        <w:tab/>
        <w:t>where it is relevant to the making of any charge in respect of the land,</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authorized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authorized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authorized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authorized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 xml:space="preserve">[Section 69A inserted by No. 110 of 1985 s.10; amended by No. 24 of 1987 s.9; No. 73 of 1995 s.41; No. 14 of 1996 s.4.] </w:t>
      </w:r>
    </w:p>
    <w:p>
      <w:pPr>
        <w:pStyle w:val="Heading5"/>
        <w:rPr>
          <w:snapToGrid w:val="0"/>
        </w:rPr>
      </w:pPr>
      <w:bookmarkStart w:id="214" w:name="_Toc420985184"/>
      <w:bookmarkStart w:id="215" w:name="_Toc486127527"/>
      <w:bookmarkStart w:id="216" w:name="_Toc512908132"/>
      <w:bookmarkStart w:id="217" w:name="_Toc512911190"/>
      <w:bookmarkStart w:id="218" w:name="_Toc137027566"/>
      <w:r>
        <w:rPr>
          <w:rStyle w:val="CharSectno"/>
        </w:rPr>
        <w:t>69B</w:t>
      </w:r>
      <w:r>
        <w:rPr>
          <w:snapToGrid w:val="0"/>
        </w:rPr>
        <w:t xml:space="preserve">. </w:t>
      </w:r>
      <w:r>
        <w:rPr>
          <w:snapToGrid w:val="0"/>
        </w:rPr>
        <w:tab/>
        <w:t>Records to be basis of assessment</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 xml:space="preserve">[Section 69B inserted by No. 24 of 1987 s.10; amended by No. 73 of 1995 s.41.] </w:t>
      </w:r>
    </w:p>
    <w:p>
      <w:pPr>
        <w:pStyle w:val="Heading2"/>
      </w:pPr>
      <w:bookmarkStart w:id="219" w:name="_Toc92785938"/>
      <w:bookmarkStart w:id="220" w:name="_Toc96326524"/>
      <w:bookmarkStart w:id="221" w:name="_Toc96507563"/>
      <w:bookmarkStart w:id="222" w:name="_Toc103069236"/>
      <w:bookmarkStart w:id="223" w:name="_Toc123005033"/>
      <w:bookmarkStart w:id="224" w:name="_Toc131479830"/>
      <w:bookmarkStart w:id="225" w:name="_Toc137027567"/>
      <w:r>
        <w:rPr>
          <w:rStyle w:val="CharPartNo"/>
        </w:rPr>
        <w:t>Part VI</w:t>
      </w:r>
      <w:r>
        <w:rPr>
          <w:rStyle w:val="CharDivNo"/>
        </w:rPr>
        <w:t> </w:t>
      </w:r>
      <w:r>
        <w:t>—</w:t>
      </w:r>
      <w:r>
        <w:rPr>
          <w:rStyle w:val="CharDivText"/>
        </w:rPr>
        <w:t> </w:t>
      </w:r>
      <w:r>
        <w:rPr>
          <w:rStyle w:val="CharPartText"/>
        </w:rPr>
        <w:t>Entry onto land</w:t>
      </w:r>
      <w:bookmarkEnd w:id="219"/>
      <w:bookmarkEnd w:id="220"/>
      <w:bookmarkEnd w:id="221"/>
      <w:bookmarkEnd w:id="222"/>
      <w:bookmarkEnd w:id="223"/>
      <w:bookmarkEnd w:id="224"/>
      <w:bookmarkEnd w:id="225"/>
      <w:r>
        <w:rPr>
          <w:rStyle w:val="CharPartText"/>
        </w:rPr>
        <w:t xml:space="preserve"> </w:t>
      </w:r>
    </w:p>
    <w:p>
      <w:pPr>
        <w:pStyle w:val="Footnoteheading"/>
      </w:pPr>
      <w:r>
        <w:tab/>
        <w:t xml:space="preserve">[Heading inserted by No. 25 of 1985 s.17; amended by No. 73 of 1995 s.30.] </w:t>
      </w:r>
    </w:p>
    <w:p>
      <w:pPr>
        <w:pStyle w:val="Heading5"/>
        <w:rPr>
          <w:snapToGrid w:val="0"/>
        </w:rPr>
      </w:pPr>
      <w:bookmarkStart w:id="226" w:name="_Toc420985185"/>
      <w:bookmarkStart w:id="227" w:name="_Toc486127528"/>
      <w:bookmarkStart w:id="228" w:name="_Toc512908133"/>
      <w:bookmarkStart w:id="229" w:name="_Toc512911191"/>
      <w:bookmarkStart w:id="230" w:name="_Toc137027568"/>
      <w:r>
        <w:rPr>
          <w:rStyle w:val="CharSectno"/>
        </w:rPr>
        <w:t>70</w:t>
      </w:r>
      <w:r>
        <w:rPr>
          <w:snapToGrid w:val="0"/>
        </w:rPr>
        <w:t>.</w:t>
      </w:r>
      <w:r>
        <w:rPr>
          <w:snapToGrid w:val="0"/>
        </w:rPr>
        <w:tab/>
        <w:t>The power of entry</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Where due notice is served pursuant to subsection (1) a person authorized by the Commission or the Corporation may, unless the owner or occupier or a person authorized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 xml:space="preserve">the Commission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s.17; amended by No. 73 of 1995 s.42; No. 31 of 1997 ss.137(3) and 142.] </w:t>
      </w:r>
    </w:p>
    <w:p>
      <w:pPr>
        <w:pStyle w:val="Heading5"/>
        <w:rPr>
          <w:snapToGrid w:val="0"/>
        </w:rPr>
      </w:pPr>
      <w:bookmarkStart w:id="231" w:name="_Toc420985186"/>
      <w:bookmarkStart w:id="232" w:name="_Toc486127529"/>
      <w:bookmarkStart w:id="233" w:name="_Toc512908134"/>
      <w:bookmarkStart w:id="234" w:name="_Toc512911192"/>
      <w:bookmarkStart w:id="235" w:name="_Toc137027569"/>
      <w:r>
        <w:rPr>
          <w:rStyle w:val="CharSectno"/>
        </w:rPr>
        <w:t>71</w:t>
      </w:r>
      <w:r>
        <w:rPr>
          <w:snapToGrid w:val="0"/>
        </w:rPr>
        <w:t>.</w:t>
      </w:r>
      <w:r>
        <w:rPr>
          <w:snapToGrid w:val="0"/>
        </w:rPr>
        <w:tab/>
        <w:t>Inspection</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 xml:space="preserve">[Section 71 inserted by No. 25 of 1985 s.17; amended by No. 73 of 1995 ss.31, 41 and 42; No. 31 of 1997 s.137(4).] </w:t>
      </w:r>
    </w:p>
    <w:p>
      <w:pPr>
        <w:pStyle w:val="Heading5"/>
        <w:rPr>
          <w:snapToGrid w:val="0"/>
        </w:rPr>
      </w:pPr>
      <w:bookmarkStart w:id="236" w:name="_Toc420985187"/>
      <w:bookmarkStart w:id="237" w:name="_Toc486127530"/>
      <w:bookmarkStart w:id="238" w:name="_Toc512908135"/>
      <w:bookmarkStart w:id="239" w:name="_Toc512911193"/>
      <w:bookmarkStart w:id="240" w:name="_Toc137027570"/>
      <w:r>
        <w:rPr>
          <w:rStyle w:val="CharSectno"/>
        </w:rPr>
        <w:t>72</w:t>
      </w:r>
      <w:r>
        <w:rPr>
          <w:snapToGrid w:val="0"/>
        </w:rPr>
        <w:t>.</w:t>
      </w:r>
      <w:r>
        <w:rPr>
          <w:snapToGrid w:val="0"/>
        </w:rPr>
        <w:tab/>
        <w:t>Notice of entry</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authorize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s.17; amended by No. 73 of 1995 s.42; No. 14 of 1996 s.4; No. 31 of 1997 s.137(5).] </w:t>
      </w:r>
    </w:p>
    <w:p>
      <w:pPr>
        <w:pStyle w:val="Heading5"/>
        <w:rPr>
          <w:snapToGrid w:val="0"/>
        </w:rPr>
      </w:pPr>
      <w:bookmarkStart w:id="241" w:name="_Toc420985188"/>
      <w:bookmarkStart w:id="242" w:name="_Toc486127531"/>
      <w:bookmarkStart w:id="243" w:name="_Toc512908136"/>
      <w:bookmarkStart w:id="244" w:name="_Toc512911194"/>
      <w:bookmarkStart w:id="245" w:name="_Toc137027571"/>
      <w:r>
        <w:rPr>
          <w:rStyle w:val="CharSectno"/>
        </w:rPr>
        <w:t>73</w:t>
      </w:r>
      <w:r>
        <w:rPr>
          <w:snapToGrid w:val="0"/>
        </w:rPr>
        <w:t>.</w:t>
      </w:r>
      <w:r>
        <w:rPr>
          <w:snapToGrid w:val="0"/>
        </w:rPr>
        <w:tab/>
        <w:t>Rights as to entry in emergency</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Where it appears to the Commission or the Corporation an officer of the Commission or the Corporation or any other person who pursuant to section 3(3) is deemed to be authorized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Commission or the Corporation or other person authorized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 xml:space="preserve">[Section 73 inserted by No. 25 of 1985 s.17; amended by No. 73 of 1995 ss.32 and 42.] </w:t>
      </w:r>
    </w:p>
    <w:p>
      <w:pPr>
        <w:pStyle w:val="Heading2"/>
      </w:pPr>
      <w:bookmarkStart w:id="246" w:name="_Toc92785943"/>
      <w:bookmarkStart w:id="247" w:name="_Toc96326529"/>
      <w:bookmarkStart w:id="248" w:name="_Toc96507568"/>
      <w:bookmarkStart w:id="249" w:name="_Toc103069241"/>
      <w:bookmarkStart w:id="250" w:name="_Toc123005038"/>
      <w:bookmarkStart w:id="251" w:name="_Toc131479835"/>
      <w:bookmarkStart w:id="252" w:name="_Toc137027572"/>
      <w:r>
        <w:rPr>
          <w:rStyle w:val="CharPartNo"/>
        </w:rPr>
        <w:t>Part VII</w:t>
      </w:r>
      <w:r>
        <w:rPr>
          <w:rStyle w:val="CharDivNo"/>
        </w:rPr>
        <w:t> </w:t>
      </w:r>
      <w:r>
        <w:t>—</w:t>
      </w:r>
      <w:r>
        <w:rPr>
          <w:rStyle w:val="CharDivText"/>
        </w:rPr>
        <w:t> </w:t>
      </w:r>
      <w:r>
        <w:rPr>
          <w:rStyle w:val="CharPartText"/>
        </w:rPr>
        <w:t>Acquisition of land or interests in land</w:t>
      </w:r>
      <w:bookmarkEnd w:id="246"/>
      <w:bookmarkEnd w:id="247"/>
      <w:bookmarkEnd w:id="248"/>
      <w:bookmarkEnd w:id="249"/>
      <w:bookmarkEnd w:id="250"/>
      <w:bookmarkEnd w:id="251"/>
      <w:bookmarkEnd w:id="252"/>
    </w:p>
    <w:p>
      <w:pPr>
        <w:pStyle w:val="Footnoteheading"/>
      </w:pPr>
      <w:r>
        <w:tab/>
        <w:t xml:space="preserve">[Heading inserted by No. 25 of 1985 s.18; amended by No. 73 of 1995 s.33.] </w:t>
      </w:r>
    </w:p>
    <w:p>
      <w:pPr>
        <w:pStyle w:val="Heading5"/>
        <w:spacing w:before="120"/>
        <w:rPr>
          <w:snapToGrid w:val="0"/>
        </w:rPr>
      </w:pPr>
      <w:bookmarkStart w:id="253" w:name="_Toc420985189"/>
      <w:bookmarkStart w:id="254" w:name="_Toc486127532"/>
      <w:bookmarkStart w:id="255" w:name="_Toc512908137"/>
      <w:bookmarkStart w:id="256" w:name="_Toc512911195"/>
      <w:bookmarkStart w:id="257" w:name="_Toc137027573"/>
      <w:r>
        <w:rPr>
          <w:rStyle w:val="CharSectno"/>
        </w:rPr>
        <w:t>74</w:t>
      </w:r>
      <w:r>
        <w:rPr>
          <w:snapToGrid w:val="0"/>
        </w:rPr>
        <w:t>.</w:t>
      </w:r>
      <w:r>
        <w:rPr>
          <w:snapToGrid w:val="0"/>
        </w:rPr>
        <w:tab/>
        <w:t>Estates and interest in land</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s.18; amended by No. 31 of 1997 s.137(6).] </w:t>
      </w:r>
    </w:p>
    <w:p>
      <w:pPr>
        <w:pStyle w:val="Heading5"/>
        <w:spacing w:before="120"/>
        <w:rPr>
          <w:snapToGrid w:val="0"/>
        </w:rPr>
      </w:pPr>
      <w:bookmarkStart w:id="258" w:name="_Toc420985190"/>
      <w:bookmarkStart w:id="259" w:name="_Toc486127533"/>
      <w:bookmarkStart w:id="260" w:name="_Toc512908138"/>
      <w:bookmarkStart w:id="261" w:name="_Toc512911196"/>
      <w:bookmarkStart w:id="262" w:name="_Toc137027574"/>
      <w:r>
        <w:rPr>
          <w:rStyle w:val="CharSectno"/>
        </w:rPr>
        <w:t>75</w:t>
      </w:r>
      <w:r>
        <w:rPr>
          <w:snapToGrid w:val="0"/>
        </w:rPr>
        <w:t>.</w:t>
      </w:r>
      <w:r>
        <w:rPr>
          <w:snapToGrid w:val="0"/>
        </w:rPr>
        <w:tab/>
        <w:t>Partial interests in land</w:t>
      </w:r>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Commission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spacing w:before="120"/>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 xml:space="preserve">[Section 75 inserted by No. 25 of 1985 s.18; amended by No. 73 of 1995 ss.34 and 42; No. 31 of 1997 s.137(7); No. 25 of 2005 s. 61.] </w:t>
      </w:r>
    </w:p>
    <w:p>
      <w:pPr>
        <w:pStyle w:val="Ednotesection"/>
        <w:spacing w:before="120"/>
        <w:ind w:left="890" w:hanging="890"/>
      </w:pPr>
      <w:r>
        <w:t>[</w:t>
      </w:r>
      <w:r>
        <w:rPr>
          <w:b/>
        </w:rPr>
        <w:t>76.</w:t>
      </w:r>
      <w:r>
        <w:tab/>
        <w:t xml:space="preserve">Repealed by No. 73 of 1995 s.35.] </w:t>
      </w:r>
    </w:p>
    <w:p>
      <w:pPr>
        <w:pStyle w:val="Heading5"/>
        <w:spacing w:before="120"/>
        <w:rPr>
          <w:snapToGrid w:val="0"/>
        </w:rPr>
      </w:pPr>
      <w:bookmarkStart w:id="263" w:name="_Toc420985191"/>
      <w:bookmarkStart w:id="264" w:name="_Toc486127534"/>
      <w:bookmarkStart w:id="265" w:name="_Toc512908139"/>
      <w:bookmarkStart w:id="266" w:name="_Toc512911197"/>
      <w:bookmarkStart w:id="267" w:name="_Toc137027575"/>
      <w:r>
        <w:rPr>
          <w:rStyle w:val="CharSectno"/>
        </w:rPr>
        <w:t>77</w:t>
      </w:r>
      <w:r>
        <w:rPr>
          <w:snapToGrid w:val="0"/>
        </w:rPr>
        <w:t>.</w:t>
      </w:r>
      <w:r>
        <w:rPr>
          <w:snapToGrid w:val="0"/>
        </w:rPr>
        <w:tab/>
        <w:t>Agreements incidental to land matters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s.18; amended by No. 73 of 1995 s.42; No. 31 of 1997 s.137(8).] </w:t>
      </w:r>
    </w:p>
    <w:p>
      <w:pPr>
        <w:pStyle w:val="Heading5"/>
        <w:rPr>
          <w:snapToGrid w:val="0"/>
        </w:rPr>
      </w:pPr>
      <w:bookmarkStart w:id="268" w:name="_Toc420985192"/>
      <w:bookmarkStart w:id="269" w:name="_Toc486127535"/>
      <w:bookmarkStart w:id="270" w:name="_Toc512908140"/>
      <w:bookmarkStart w:id="271" w:name="_Toc512911198"/>
      <w:bookmarkStart w:id="272" w:name="_Toc137027576"/>
      <w:r>
        <w:rPr>
          <w:rStyle w:val="CharSectno"/>
        </w:rPr>
        <w:t>78</w:t>
      </w:r>
      <w:r>
        <w:rPr>
          <w:snapToGrid w:val="0"/>
        </w:rPr>
        <w:t>.</w:t>
      </w:r>
      <w:r>
        <w:rPr>
          <w:snapToGrid w:val="0"/>
        </w:rPr>
        <w:tab/>
        <w:t>Power to dispose of land</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s.18; amended by No. 73 of 1995 s.42; No. 31 of 1997 ss.137(9) and 142.] </w:t>
      </w:r>
    </w:p>
    <w:p>
      <w:pPr>
        <w:pStyle w:val="Heading5"/>
        <w:rPr>
          <w:snapToGrid w:val="0"/>
        </w:rPr>
      </w:pPr>
      <w:bookmarkStart w:id="273" w:name="_Toc420985193"/>
      <w:bookmarkStart w:id="274" w:name="_Toc486127536"/>
      <w:bookmarkStart w:id="275" w:name="_Toc512908141"/>
      <w:bookmarkStart w:id="276" w:name="_Toc512911199"/>
      <w:bookmarkStart w:id="277" w:name="_Toc137027577"/>
      <w:r>
        <w:rPr>
          <w:rStyle w:val="CharSectno"/>
        </w:rPr>
        <w:t>79</w:t>
      </w:r>
      <w:r>
        <w:rPr>
          <w:snapToGrid w:val="0"/>
        </w:rPr>
        <w:t>.</w:t>
      </w:r>
      <w:r>
        <w:rPr>
          <w:snapToGrid w:val="0"/>
        </w:rPr>
        <w:tab/>
        <w:t>Planning approval</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pPr>
      <w:r>
        <w:tab/>
        <w:t xml:space="preserve">[Section 79 inserted by No. 25 of 1985 s.18; amended by No. 84 of 1994 s.46; No. 73 of 1995 s.42; No. 38 of 2005 s. 15.] </w:t>
      </w:r>
    </w:p>
    <w:p>
      <w:pPr>
        <w:pStyle w:val="Ednotesection"/>
      </w:pPr>
      <w:r>
        <w:t>[</w:t>
      </w:r>
      <w:r>
        <w:rPr>
          <w:b/>
        </w:rPr>
        <w:t>80.</w:t>
      </w:r>
      <w:r>
        <w:tab/>
        <w:t xml:space="preserve">Repealed by No. 73 of 1995 s.35.] </w:t>
      </w:r>
    </w:p>
    <w:p>
      <w:pPr>
        <w:pStyle w:val="Heading5"/>
        <w:rPr>
          <w:snapToGrid w:val="0"/>
        </w:rPr>
      </w:pPr>
      <w:bookmarkStart w:id="278" w:name="_Toc420985194"/>
      <w:bookmarkStart w:id="279" w:name="_Toc486127537"/>
      <w:bookmarkStart w:id="280" w:name="_Toc512908142"/>
      <w:bookmarkStart w:id="281" w:name="_Toc512911200"/>
      <w:bookmarkStart w:id="282" w:name="_Toc137027578"/>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278"/>
      <w:bookmarkEnd w:id="279"/>
      <w:bookmarkEnd w:id="280"/>
      <w:bookmarkEnd w:id="281"/>
      <w:bookmarkEnd w:id="282"/>
    </w:p>
    <w:p>
      <w:pPr>
        <w:pStyle w:val="Subsection"/>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20"/>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spacing w:before="120"/>
        <w:rPr>
          <w:snapToGrid w:val="0"/>
        </w:rPr>
      </w:pPr>
      <w:r>
        <w:rPr>
          <w:snapToGrid w:val="0"/>
        </w:rPr>
        <w:tab/>
        <w:t>(4)</w:t>
      </w:r>
      <w:r>
        <w:rPr>
          <w:snapToGrid w:val="0"/>
        </w:rPr>
        <w:tab/>
        <w:t xml:space="preserve">Notwithstanding the powers conferred on the Commission by Part VI, the Commission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Commission be appropriate to its needs in respect of — </w:t>
      </w:r>
    </w:p>
    <w:p>
      <w:pPr>
        <w:pStyle w:val="Indenta"/>
        <w:rPr>
          <w:snapToGrid w:val="0"/>
          <w:spacing w:val="-2"/>
        </w:rPr>
      </w:pPr>
      <w:r>
        <w:rPr>
          <w:snapToGrid w:val="0"/>
          <w:spacing w:val="-2"/>
        </w:rPr>
        <w:tab/>
        <w:t>(a)</w:t>
      </w:r>
      <w:r>
        <w:rPr>
          <w:snapToGrid w:val="0"/>
          <w:spacing w:val="-2"/>
        </w:rPr>
        <w:tab/>
        <w:t>major works, other than works in relation to which the Minister has directed the Commission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 as may in the opinion of the Commission be necessary.</w:t>
      </w:r>
    </w:p>
    <w:p>
      <w:pPr>
        <w:pStyle w:val="Subsection"/>
        <w:rPr>
          <w:snapToGrid w:val="0"/>
        </w:rPr>
      </w:pPr>
      <w:r>
        <w:rPr>
          <w:snapToGrid w:val="0"/>
        </w:rPr>
        <w:tab/>
        <w:t>(5)</w:t>
      </w:r>
      <w:r>
        <w:rPr>
          <w:snapToGrid w:val="0"/>
        </w:rPr>
        <w:tab/>
        <w:t xml:space="preserve">Where for the purposes of this Act or a relevant Act the Commission determines that any land, or any estate or interest in land, is required to be acquired by the Commission otherwise than by agreement the power to do so shall be exercised under and in accordance with, and any compensation payable by the Commission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the Commission no further claim in respect thereof shall lie against the Commission notwithstanding any subsequent works of the Commission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authorized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and the Commission shall be deemed to be a local authority within the meaning of that Act authorized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so requires the Commission may exercise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on behalf of the Commission when requested by the Commission to do so.</w:t>
      </w:r>
    </w:p>
    <w:p>
      <w:pPr>
        <w:pStyle w:val="Subsection"/>
        <w:rPr>
          <w:snapToGrid w:val="0"/>
        </w:rPr>
      </w:pPr>
      <w:r>
        <w:rPr>
          <w:snapToGrid w:val="0"/>
        </w:rPr>
        <w:tab/>
        <w:t>(10)</w:t>
      </w:r>
      <w:r>
        <w:rPr>
          <w:snapToGrid w:val="0"/>
        </w:rPr>
        <w:tab/>
        <w:t xml:space="preserve">Where the Commission fails to serve an offer on a claimant against the Commission for compensation under Part 10 of the </w:t>
      </w:r>
      <w:r>
        <w:rPr>
          <w:i/>
          <w:snapToGrid w:val="0"/>
        </w:rPr>
        <w:t>Land Administration Act 1997</w:t>
      </w:r>
      <w:r>
        <w:rPr>
          <w:snapToGrid w:val="0"/>
        </w:rPr>
        <w:t xml:space="preserve"> within the time limited for that purpose by that Act, then the Minister administering that Act may serve an offer on behalf of the Commission, and such offer shall be deemed to be an offer duly made by the Commission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Commission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 may direct that the proposed taking be varied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Commission under this Act or any other Act that land shall, on the registration of the relevant taking order made under section 177 of that Act, be vested in the Commission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Commission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the land or the estate or interest vested in the Commission shall continue to be so vested, unless the Commission otherwise agrees; and</w:t>
      </w:r>
    </w:p>
    <w:p>
      <w:pPr>
        <w:pStyle w:val="Indenta"/>
        <w:rPr>
          <w:snapToGrid w:val="0"/>
        </w:rPr>
      </w:pPr>
      <w:r>
        <w:rPr>
          <w:snapToGrid w:val="0"/>
        </w:rPr>
        <w:tab/>
        <w:t>(b)</w:t>
      </w:r>
      <w:r>
        <w:rPr>
          <w:snapToGrid w:val="0"/>
        </w:rPr>
        <w:tab/>
        <w:t>the Commission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s.18; amended by No. 73 of 1995 ss.36 and 42; No. 31 of 1997 ss.137(10)</w:t>
      </w:r>
      <w:r>
        <w:noBreakHyphen/>
        <w:t>(17) and 142; No. 25 of 2005 s. 62(1)</w:t>
      </w:r>
      <w:bookmarkStart w:id="283" w:name="UpToHere"/>
      <w:bookmarkEnd w:id="283"/>
      <w:r>
        <w:t xml:space="preserve">.] </w:t>
      </w:r>
    </w:p>
    <w:p>
      <w:pPr>
        <w:pStyle w:val="Heading2"/>
      </w:pPr>
      <w:bookmarkStart w:id="284" w:name="_Toc92785950"/>
      <w:bookmarkStart w:id="285" w:name="_Toc96326536"/>
      <w:bookmarkStart w:id="286" w:name="_Toc96507575"/>
      <w:bookmarkStart w:id="287" w:name="_Toc103069248"/>
      <w:bookmarkStart w:id="288" w:name="_Toc123005045"/>
      <w:bookmarkStart w:id="289" w:name="_Toc131479842"/>
      <w:bookmarkStart w:id="290" w:name="_Toc137027579"/>
      <w:r>
        <w:rPr>
          <w:rStyle w:val="CharPartNo"/>
        </w:rPr>
        <w:t>Part VIII</w:t>
      </w:r>
      <w:r>
        <w:t> — </w:t>
      </w:r>
      <w:r>
        <w:rPr>
          <w:rStyle w:val="CharPartText"/>
        </w:rPr>
        <w:t>Works</w:t>
      </w:r>
      <w:bookmarkEnd w:id="284"/>
      <w:bookmarkEnd w:id="285"/>
      <w:bookmarkEnd w:id="286"/>
      <w:bookmarkEnd w:id="287"/>
      <w:bookmarkEnd w:id="288"/>
      <w:bookmarkEnd w:id="289"/>
      <w:bookmarkEnd w:id="290"/>
      <w:r>
        <w:rPr>
          <w:rStyle w:val="CharPartText"/>
        </w:rPr>
        <w:t xml:space="preserve"> </w:t>
      </w:r>
    </w:p>
    <w:p>
      <w:pPr>
        <w:pStyle w:val="Footnoteheading"/>
        <w:rPr>
          <w:snapToGrid w:val="0"/>
        </w:rPr>
      </w:pPr>
      <w:r>
        <w:rPr>
          <w:snapToGrid w:val="0"/>
        </w:rPr>
        <w:tab/>
        <w:t xml:space="preserve">[Heading inserted by No. 25 of 1985 s.19.] </w:t>
      </w:r>
    </w:p>
    <w:p>
      <w:pPr>
        <w:pStyle w:val="Heading3"/>
        <w:rPr>
          <w:snapToGrid w:val="0"/>
        </w:rPr>
      </w:pPr>
      <w:bookmarkStart w:id="291" w:name="_Toc92785951"/>
      <w:bookmarkStart w:id="292" w:name="_Toc96326537"/>
      <w:bookmarkStart w:id="293" w:name="_Toc96507576"/>
      <w:bookmarkStart w:id="294" w:name="_Toc103069249"/>
      <w:bookmarkStart w:id="295" w:name="_Toc123005046"/>
      <w:bookmarkStart w:id="296" w:name="_Toc131479843"/>
      <w:bookmarkStart w:id="297" w:name="_Toc137027580"/>
      <w:r>
        <w:rPr>
          <w:rStyle w:val="CharDivNo"/>
        </w:rPr>
        <w:t>Division 1</w:t>
      </w:r>
      <w:r>
        <w:rPr>
          <w:snapToGrid w:val="0"/>
        </w:rPr>
        <w:t> — </w:t>
      </w:r>
      <w:r>
        <w:rPr>
          <w:rStyle w:val="CharDivText"/>
        </w:rPr>
        <w:t>Carrying out of works under this Part</w:t>
      </w:r>
      <w:bookmarkEnd w:id="291"/>
      <w:bookmarkEnd w:id="292"/>
      <w:bookmarkEnd w:id="293"/>
      <w:bookmarkEnd w:id="294"/>
      <w:bookmarkEnd w:id="295"/>
      <w:bookmarkEnd w:id="296"/>
      <w:bookmarkEnd w:id="297"/>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298" w:name="_Toc420985195"/>
      <w:bookmarkStart w:id="299" w:name="_Toc486127538"/>
      <w:bookmarkStart w:id="300" w:name="_Toc512908143"/>
      <w:bookmarkStart w:id="301" w:name="_Toc512911201"/>
      <w:bookmarkStart w:id="302" w:name="_Toc137027581"/>
      <w:r>
        <w:rPr>
          <w:rStyle w:val="CharSectno"/>
        </w:rPr>
        <w:t>82</w:t>
      </w:r>
      <w:r>
        <w:rPr>
          <w:snapToGrid w:val="0"/>
        </w:rPr>
        <w:t>.</w:t>
      </w:r>
      <w:r>
        <w:rPr>
          <w:snapToGrid w:val="0"/>
        </w:rPr>
        <w:tab/>
        <w:t>Power to carry out works under this Part</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s.19; amended by No. 73 of 1995 s.37; No. 67 of 2003 s. 62.] </w:t>
      </w:r>
    </w:p>
    <w:p>
      <w:pPr>
        <w:pStyle w:val="Heading5"/>
        <w:rPr>
          <w:snapToGrid w:val="0"/>
        </w:rPr>
      </w:pPr>
      <w:bookmarkStart w:id="303" w:name="_Toc420985196"/>
      <w:bookmarkStart w:id="304" w:name="_Toc486127539"/>
      <w:bookmarkStart w:id="305" w:name="_Toc512908144"/>
      <w:bookmarkStart w:id="306" w:name="_Toc512911202"/>
      <w:bookmarkStart w:id="307" w:name="_Toc137027582"/>
      <w:r>
        <w:rPr>
          <w:rStyle w:val="CharSectno"/>
        </w:rPr>
        <w:t>83</w:t>
      </w:r>
      <w:r>
        <w:rPr>
          <w:snapToGrid w:val="0"/>
        </w:rPr>
        <w:t>.</w:t>
      </w:r>
      <w:r>
        <w:rPr>
          <w:snapToGrid w:val="0"/>
        </w:rPr>
        <w:tab/>
        <w:t>Powers relating to works</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keepNext/>
        <w:rPr>
          <w:snapToGrid w:val="0"/>
        </w:rPr>
      </w:pPr>
      <w:r>
        <w:rPr>
          <w:snapToGrid w:val="0"/>
        </w:rPr>
        <w:tab/>
        <w:t>(1a)</w:t>
      </w:r>
      <w:r>
        <w:rPr>
          <w:snapToGrid w:val="0"/>
        </w:rPr>
        <w:tab/>
        <w:t>For the purposes of its functions under this Act or a relevant Act the Commission, subject to Part 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s.19; amended by No. 73 of 1995 ss.38, 41 and 42; No. 31 of 1997 s.137(18).] </w:t>
      </w:r>
    </w:p>
    <w:p>
      <w:pPr>
        <w:pStyle w:val="Heading5"/>
        <w:rPr>
          <w:snapToGrid w:val="0"/>
        </w:rPr>
      </w:pPr>
      <w:bookmarkStart w:id="308" w:name="_Toc420985197"/>
      <w:bookmarkStart w:id="309" w:name="_Toc486127540"/>
      <w:bookmarkStart w:id="310" w:name="_Toc512908145"/>
      <w:bookmarkStart w:id="311" w:name="_Toc512911203"/>
      <w:bookmarkStart w:id="312" w:name="_Toc137027583"/>
      <w:r>
        <w:rPr>
          <w:rStyle w:val="CharSectno"/>
        </w:rPr>
        <w:t>84</w:t>
      </w:r>
      <w:r>
        <w:rPr>
          <w:snapToGrid w:val="0"/>
        </w:rPr>
        <w:t>.</w:t>
      </w:r>
      <w:r>
        <w:rPr>
          <w:snapToGrid w:val="0"/>
        </w:rPr>
        <w:tab/>
        <w:t>Property in works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 xml:space="preserve">[Section 84 inserted by No. 25 of 1985 s.19; amended by No. 73 of 1995 ss.39 and 42.] </w:t>
      </w:r>
    </w:p>
    <w:p>
      <w:pPr>
        <w:pStyle w:val="Heading5"/>
        <w:rPr>
          <w:snapToGrid w:val="0"/>
        </w:rPr>
      </w:pPr>
      <w:bookmarkStart w:id="313" w:name="_Toc420985198"/>
      <w:bookmarkStart w:id="314" w:name="_Toc486127541"/>
      <w:bookmarkStart w:id="315" w:name="_Toc512908146"/>
      <w:bookmarkStart w:id="316" w:name="_Toc512911204"/>
      <w:bookmarkStart w:id="317" w:name="_Toc137027584"/>
      <w:r>
        <w:rPr>
          <w:rStyle w:val="CharSectno"/>
        </w:rPr>
        <w:t>85</w:t>
      </w:r>
      <w:r>
        <w:rPr>
          <w:snapToGrid w:val="0"/>
        </w:rPr>
        <w:t>.</w:t>
      </w:r>
      <w:r>
        <w:rPr>
          <w:snapToGrid w:val="0"/>
        </w:rPr>
        <w:tab/>
        <w:t>Local government works constructed with borrowed money</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rPr>
          <w:snapToGrid w:val="0"/>
        </w:rPr>
      </w:pPr>
      <w:r>
        <w:rPr>
          <w:snapToGrid w:val="0"/>
        </w:rPr>
        <w:tab/>
        <w:t>(b)</w:t>
      </w:r>
      <w:r>
        <w:rPr>
          <w:snapToGrid w:val="0"/>
        </w:rPr>
        <w:tab/>
        <w:t>shall vest in and be the property of the Corporation; and</w:t>
      </w:r>
    </w:p>
    <w:p>
      <w:pPr>
        <w:pStyle w:val="Indenta"/>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pPr>
      <w:r>
        <w:tab/>
        <w:t xml:space="preserve">[Section 85 inserted by No. 25 of 1985 s.19; amended by No. 73 of 1995 s.41; No. 14 of 1996 s.4; No. 57 of 1997 s.126(2); No. 74 of 2003 s. 125(3).] </w:t>
      </w:r>
    </w:p>
    <w:p>
      <w:pPr>
        <w:pStyle w:val="Heading3"/>
        <w:rPr>
          <w:snapToGrid w:val="0"/>
        </w:rPr>
      </w:pPr>
      <w:bookmarkStart w:id="318" w:name="_Toc92785956"/>
      <w:bookmarkStart w:id="319" w:name="_Toc96326542"/>
      <w:bookmarkStart w:id="320" w:name="_Toc96507581"/>
      <w:bookmarkStart w:id="321" w:name="_Toc103069254"/>
      <w:bookmarkStart w:id="322" w:name="_Toc123005051"/>
      <w:bookmarkStart w:id="323" w:name="_Toc131479848"/>
      <w:bookmarkStart w:id="324" w:name="_Toc137027585"/>
      <w:r>
        <w:rPr>
          <w:rStyle w:val="CharDivNo"/>
        </w:rPr>
        <w:t>Division 2</w:t>
      </w:r>
      <w:r>
        <w:rPr>
          <w:snapToGrid w:val="0"/>
        </w:rPr>
        <w:t> — </w:t>
      </w:r>
      <w:r>
        <w:rPr>
          <w:rStyle w:val="CharDivText"/>
        </w:rPr>
        <w:t>Preliminaries to works</w:t>
      </w:r>
      <w:bookmarkEnd w:id="318"/>
      <w:bookmarkEnd w:id="319"/>
      <w:bookmarkEnd w:id="320"/>
      <w:bookmarkEnd w:id="321"/>
      <w:bookmarkEnd w:id="322"/>
      <w:bookmarkEnd w:id="323"/>
      <w:bookmarkEnd w:id="324"/>
      <w:r>
        <w:rPr>
          <w:rStyle w:val="CharDivText"/>
        </w:rPr>
        <w:t xml:space="preserve"> </w:t>
      </w:r>
    </w:p>
    <w:p>
      <w:pPr>
        <w:pStyle w:val="Footnoteheading"/>
        <w:rPr>
          <w:snapToGrid w:val="0"/>
        </w:rPr>
      </w:pPr>
      <w:r>
        <w:rPr>
          <w:snapToGrid w:val="0"/>
        </w:rPr>
        <w:tab/>
        <w:t>[Heading inserted by No. 25 of 1985 s.19.]</w:t>
      </w:r>
    </w:p>
    <w:p>
      <w:pPr>
        <w:pStyle w:val="Heading4"/>
      </w:pPr>
      <w:bookmarkStart w:id="325" w:name="_Toc92785957"/>
      <w:bookmarkStart w:id="326" w:name="_Toc96326543"/>
      <w:bookmarkStart w:id="327" w:name="_Toc96507582"/>
      <w:bookmarkStart w:id="328" w:name="_Toc103069255"/>
      <w:bookmarkStart w:id="329" w:name="_Toc123005052"/>
      <w:bookmarkStart w:id="330" w:name="_Toc131479849"/>
      <w:bookmarkStart w:id="331" w:name="_Toc137027586"/>
      <w:r>
        <w:t>Subdivision A — Interpretation</w:t>
      </w:r>
      <w:bookmarkEnd w:id="325"/>
      <w:bookmarkEnd w:id="326"/>
      <w:bookmarkEnd w:id="327"/>
      <w:bookmarkEnd w:id="328"/>
      <w:bookmarkEnd w:id="329"/>
      <w:bookmarkEnd w:id="330"/>
      <w:bookmarkEnd w:id="331"/>
      <w:r>
        <w:t xml:space="preserve"> </w:t>
      </w:r>
    </w:p>
    <w:p>
      <w:pPr>
        <w:pStyle w:val="Footnoteheading"/>
        <w:rPr>
          <w:rFonts w:ascii="Courier New" w:hAnsi="Courier New"/>
          <w:snapToGrid w:val="0"/>
        </w:rPr>
      </w:pPr>
      <w:r>
        <w:rPr>
          <w:snapToGrid w:val="0"/>
        </w:rPr>
        <w:tab/>
        <w:t>[Heading inserted by No. 25 of 1985 s.19.]</w:t>
      </w:r>
    </w:p>
    <w:p>
      <w:pPr>
        <w:pStyle w:val="Heading5"/>
        <w:rPr>
          <w:snapToGrid w:val="0"/>
        </w:rPr>
      </w:pPr>
      <w:bookmarkStart w:id="332" w:name="_Toc420985199"/>
      <w:bookmarkStart w:id="333" w:name="_Toc486127542"/>
      <w:bookmarkStart w:id="334" w:name="_Toc512908147"/>
      <w:bookmarkStart w:id="335" w:name="_Toc512911205"/>
      <w:bookmarkStart w:id="336" w:name="_Toc137027587"/>
      <w:r>
        <w:rPr>
          <w:rStyle w:val="CharSectno"/>
        </w:rPr>
        <w:t>86</w:t>
      </w:r>
      <w:r>
        <w:rPr>
          <w:snapToGrid w:val="0"/>
        </w:rPr>
        <w:t>.</w:t>
      </w:r>
      <w:r>
        <w:rPr>
          <w:snapToGrid w:val="0"/>
        </w:rPr>
        <w:tab/>
        <w:t>Interpretation</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pPr>
      <w:r>
        <w:tab/>
        <w:t>(a)</w:t>
      </w:r>
      <w:r>
        <w:tab/>
        <w:t>the maintenance, repair, minor alteration, reinstatement or replacement of existing works;</w:t>
      </w:r>
    </w:p>
    <w:p>
      <w:pPr>
        <w:pStyle w:val="Defpara"/>
      </w:pPr>
      <w:r>
        <w:tab/>
        <w:t>(b)</w:t>
      </w:r>
      <w:r>
        <w:tab/>
        <w:t>the construction or provision of other works — </w:t>
      </w:r>
    </w:p>
    <w:p>
      <w:pPr>
        <w:pStyle w:val="Defsubpara"/>
        <w:rPr>
          <w:snapToGrid w:val="0"/>
        </w:rPr>
      </w:pPr>
      <w:r>
        <w:rPr>
          <w:snapToGrid w:val="0"/>
        </w:rPr>
        <w:tab/>
        <w:t>(i)</w:t>
      </w:r>
      <w:r>
        <w:rPr>
          <w:snapToGrid w:val="0"/>
        </w:rPr>
        <w:tab/>
        <w:t>not being major or general works;</w:t>
      </w:r>
    </w:p>
    <w:p>
      <w:pPr>
        <w:pStyle w:val="Defsubpara"/>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rPr>
          <w:snapToGrid w:val="0"/>
        </w:rPr>
      </w:pPr>
      <w:r>
        <w:rPr>
          <w:snapToGrid w:val="0"/>
        </w:rPr>
        <w:tab/>
        <w:t>(iii)</w:t>
      </w:r>
      <w:r>
        <w:rPr>
          <w:snapToGrid w:val="0"/>
        </w:rPr>
        <w:tab/>
        <w:t>being works in, on, under or over Crown land or road reserves and required to link other exempt works to existing works;</w:t>
      </w:r>
    </w:p>
    <w:p>
      <w:pPr>
        <w:pStyle w:val="Defpara"/>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keepNext/>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pPr>
      <w:r>
        <w:tab/>
        <w:t xml:space="preserve">[Section 86 inserted by No. 25 of 1985 s.19; amended by No. 73 of 1995 s.42.] </w:t>
      </w:r>
    </w:p>
    <w:p>
      <w:pPr>
        <w:pStyle w:val="Heading4"/>
      </w:pPr>
      <w:bookmarkStart w:id="337" w:name="_Toc92785959"/>
      <w:bookmarkStart w:id="338" w:name="_Toc96326545"/>
      <w:bookmarkStart w:id="339" w:name="_Toc96507584"/>
      <w:bookmarkStart w:id="340" w:name="_Toc103069257"/>
      <w:bookmarkStart w:id="341" w:name="_Toc123005054"/>
      <w:bookmarkStart w:id="342" w:name="_Toc131479851"/>
      <w:bookmarkStart w:id="343" w:name="_Toc137027588"/>
      <w:r>
        <w:t>Subdivision B — Major works</w:t>
      </w:r>
      <w:bookmarkEnd w:id="337"/>
      <w:bookmarkEnd w:id="338"/>
      <w:bookmarkEnd w:id="339"/>
      <w:bookmarkEnd w:id="340"/>
      <w:bookmarkEnd w:id="341"/>
      <w:bookmarkEnd w:id="342"/>
      <w:bookmarkEnd w:id="343"/>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344" w:name="_Toc420985200"/>
      <w:bookmarkStart w:id="345" w:name="_Toc486127543"/>
      <w:bookmarkStart w:id="346" w:name="_Toc512908148"/>
      <w:bookmarkStart w:id="347" w:name="_Toc512911206"/>
      <w:bookmarkStart w:id="348" w:name="_Toc137027589"/>
      <w:r>
        <w:rPr>
          <w:rStyle w:val="CharSectno"/>
        </w:rPr>
        <w:t>87</w:t>
      </w:r>
      <w:r>
        <w:rPr>
          <w:snapToGrid w:val="0"/>
        </w:rPr>
        <w:t>.</w:t>
      </w:r>
      <w:r>
        <w:rPr>
          <w:snapToGrid w:val="0"/>
        </w:rPr>
        <w:tab/>
        <w:t>Power to carry out major works</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authorized the carrying out of such works and a notice of such authorization has been published in the </w:t>
      </w:r>
      <w:r>
        <w:rPr>
          <w:i/>
          <w:snapToGrid w:val="0"/>
        </w:rPr>
        <w:t>Government Gazette</w:t>
      </w:r>
      <w:r>
        <w:rPr>
          <w:snapToGrid w:val="0"/>
        </w:rPr>
        <w:t>, but not otherwise.</w:t>
      </w:r>
    </w:p>
    <w:p>
      <w:pPr>
        <w:pStyle w:val="Footnotesection"/>
      </w:pPr>
      <w:r>
        <w:tab/>
        <w:t xml:space="preserve">[Section 87 inserted by No. 25 of 1985 s.19; amended by No. 73 of 1995 s.42.] </w:t>
      </w:r>
    </w:p>
    <w:p>
      <w:pPr>
        <w:pStyle w:val="Heading5"/>
        <w:spacing w:before="120"/>
        <w:rPr>
          <w:snapToGrid w:val="0"/>
        </w:rPr>
      </w:pPr>
      <w:bookmarkStart w:id="349" w:name="_Toc420985201"/>
      <w:bookmarkStart w:id="350" w:name="_Toc486127544"/>
      <w:bookmarkStart w:id="351" w:name="_Toc512908149"/>
      <w:bookmarkStart w:id="352" w:name="_Toc512911207"/>
      <w:bookmarkStart w:id="353" w:name="_Toc137027590"/>
      <w:r>
        <w:rPr>
          <w:rStyle w:val="CharSectno"/>
        </w:rPr>
        <w:t>88</w:t>
      </w:r>
      <w:r>
        <w:rPr>
          <w:snapToGrid w:val="0"/>
        </w:rPr>
        <w:t>.</w:t>
      </w:r>
      <w:r>
        <w:rPr>
          <w:snapToGrid w:val="0"/>
        </w:rPr>
        <w:tab/>
        <w:t>Advertisements and notices</w:t>
      </w:r>
      <w:bookmarkEnd w:id="349"/>
      <w:bookmarkEnd w:id="350"/>
      <w:bookmarkEnd w:id="351"/>
      <w:bookmarkEnd w:id="352"/>
      <w:bookmarkEnd w:id="353"/>
      <w:r>
        <w:rPr>
          <w:snapToGrid w:val="0"/>
        </w:rPr>
        <w:t xml:space="preserve"> </w:t>
      </w:r>
    </w:p>
    <w:p>
      <w:pPr>
        <w:pStyle w:val="Subsection"/>
        <w:keepNext/>
        <w:spacing w:before="12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s.19; amended by No. 73 of 1995 s.42; No. 14 of 1996 s.4.] </w:t>
      </w:r>
    </w:p>
    <w:p>
      <w:pPr>
        <w:pStyle w:val="Heading5"/>
        <w:rPr>
          <w:snapToGrid w:val="0"/>
        </w:rPr>
      </w:pPr>
      <w:bookmarkStart w:id="354" w:name="_Toc420985202"/>
      <w:bookmarkStart w:id="355" w:name="_Toc486127545"/>
      <w:bookmarkStart w:id="356" w:name="_Toc512908150"/>
      <w:bookmarkStart w:id="357" w:name="_Toc512911208"/>
      <w:bookmarkStart w:id="358" w:name="_Toc137027591"/>
      <w:r>
        <w:rPr>
          <w:rStyle w:val="CharSectno"/>
        </w:rPr>
        <w:t>89</w:t>
      </w:r>
      <w:r>
        <w:rPr>
          <w:snapToGrid w:val="0"/>
        </w:rPr>
        <w:t>.</w:t>
      </w:r>
      <w:r>
        <w:rPr>
          <w:snapToGrid w:val="0"/>
        </w:rPr>
        <w:tab/>
        <w:t>Objections and comments</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authorization shall indicate the nature and extent of the alterations effected.</w:t>
      </w:r>
    </w:p>
    <w:p>
      <w:pPr>
        <w:pStyle w:val="Footnotesection"/>
      </w:pPr>
      <w:r>
        <w:tab/>
        <w:t xml:space="preserve">[Section 89 inserted by No. 25 of 1985 s.19; amended by No. 73 of 1995 s.42; No. 14 of 1996 s.4.] </w:t>
      </w:r>
    </w:p>
    <w:p>
      <w:pPr>
        <w:pStyle w:val="Heading5"/>
        <w:rPr>
          <w:snapToGrid w:val="0"/>
        </w:rPr>
      </w:pPr>
      <w:bookmarkStart w:id="359" w:name="_Toc420985203"/>
      <w:bookmarkStart w:id="360" w:name="_Toc486127546"/>
      <w:bookmarkStart w:id="361" w:name="_Toc512908151"/>
      <w:bookmarkStart w:id="362" w:name="_Toc512911209"/>
      <w:bookmarkStart w:id="363" w:name="_Toc137027592"/>
      <w:r>
        <w:rPr>
          <w:rStyle w:val="CharSectno"/>
        </w:rPr>
        <w:t>90</w:t>
      </w:r>
      <w:r>
        <w:rPr>
          <w:snapToGrid w:val="0"/>
        </w:rPr>
        <w:t>.</w:t>
      </w:r>
      <w:r>
        <w:rPr>
          <w:snapToGrid w:val="0"/>
        </w:rPr>
        <w:tab/>
        <w:t>Submission for authorization</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authorize the carrying out, construction, or provision of the proposed major works; or</w:t>
      </w:r>
    </w:p>
    <w:p>
      <w:pPr>
        <w:pStyle w:val="Indenta"/>
        <w:rPr>
          <w:snapToGrid w:val="0"/>
        </w:rPr>
      </w:pPr>
      <w:r>
        <w:rPr>
          <w:snapToGrid w:val="0"/>
        </w:rPr>
        <w:tab/>
        <w:t>(g)</w:t>
      </w:r>
      <w:r>
        <w:rPr>
          <w:snapToGrid w:val="0"/>
        </w:rPr>
        <w:tab/>
        <w:t>decline to authorize the proposed major works.</w:t>
      </w:r>
    </w:p>
    <w:p>
      <w:pPr>
        <w:pStyle w:val="Footnotesection"/>
      </w:pPr>
      <w:r>
        <w:tab/>
        <w:t xml:space="preserve">[Section 90 inserted by No. 25 of 1985 s.19; amended by No. 73 of 1995 s.42.] </w:t>
      </w:r>
    </w:p>
    <w:p>
      <w:pPr>
        <w:pStyle w:val="Heading5"/>
        <w:rPr>
          <w:snapToGrid w:val="0"/>
        </w:rPr>
      </w:pPr>
      <w:bookmarkStart w:id="364" w:name="_Toc420985204"/>
      <w:bookmarkStart w:id="365" w:name="_Toc486127547"/>
      <w:bookmarkStart w:id="366" w:name="_Toc512908152"/>
      <w:bookmarkStart w:id="367" w:name="_Toc512911210"/>
      <w:bookmarkStart w:id="368" w:name="_Toc137027593"/>
      <w:r>
        <w:rPr>
          <w:rStyle w:val="CharSectno"/>
        </w:rPr>
        <w:t>91</w:t>
      </w:r>
      <w:r>
        <w:rPr>
          <w:snapToGrid w:val="0"/>
        </w:rPr>
        <w:t>.</w:t>
      </w:r>
      <w:r>
        <w:rPr>
          <w:snapToGrid w:val="0"/>
        </w:rPr>
        <w:tab/>
        <w:t>Alteration or extension of major works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authorize the proposed extension or alteration; or</w:t>
      </w:r>
    </w:p>
    <w:p>
      <w:pPr>
        <w:pStyle w:val="Indenta"/>
        <w:rPr>
          <w:snapToGrid w:val="0"/>
        </w:rPr>
      </w:pPr>
      <w:r>
        <w:rPr>
          <w:snapToGrid w:val="0"/>
        </w:rPr>
        <w:tab/>
        <w:t>(c)</w:t>
      </w:r>
      <w:r>
        <w:rPr>
          <w:snapToGrid w:val="0"/>
        </w:rPr>
        <w:tab/>
        <w:t>decline to authorize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 xml:space="preserve">[Section 91 inserted by No. 25 of 1985 s.19; amended by No. 73 of 1995 s.42.] </w:t>
      </w:r>
    </w:p>
    <w:p>
      <w:pPr>
        <w:pStyle w:val="Heading4"/>
      </w:pPr>
      <w:bookmarkStart w:id="369" w:name="_Toc92785965"/>
      <w:bookmarkStart w:id="370" w:name="_Toc96326551"/>
      <w:bookmarkStart w:id="371" w:name="_Toc96507590"/>
      <w:bookmarkStart w:id="372" w:name="_Toc103069263"/>
      <w:bookmarkStart w:id="373" w:name="_Toc123005060"/>
      <w:bookmarkStart w:id="374" w:name="_Toc131479857"/>
      <w:bookmarkStart w:id="375" w:name="_Toc137027594"/>
      <w:r>
        <w:t>Subdivision C — General works</w:t>
      </w:r>
      <w:bookmarkEnd w:id="369"/>
      <w:bookmarkEnd w:id="370"/>
      <w:bookmarkEnd w:id="371"/>
      <w:bookmarkEnd w:id="372"/>
      <w:bookmarkEnd w:id="373"/>
      <w:bookmarkEnd w:id="374"/>
      <w:bookmarkEnd w:id="375"/>
      <w:r>
        <w:t xml:space="preserve"> </w:t>
      </w:r>
    </w:p>
    <w:p>
      <w:pPr>
        <w:pStyle w:val="Footnoteheading"/>
        <w:rPr>
          <w:snapToGrid w:val="0"/>
        </w:rPr>
      </w:pPr>
      <w:r>
        <w:rPr>
          <w:snapToGrid w:val="0"/>
        </w:rPr>
        <w:tab/>
        <w:t>[Heading inserted by No. 25 of 1985 s.19.]</w:t>
      </w:r>
    </w:p>
    <w:p>
      <w:pPr>
        <w:pStyle w:val="Heading5"/>
        <w:rPr>
          <w:snapToGrid w:val="0"/>
        </w:rPr>
      </w:pPr>
      <w:bookmarkStart w:id="376" w:name="_Toc420985205"/>
      <w:bookmarkStart w:id="377" w:name="_Toc486127548"/>
      <w:bookmarkStart w:id="378" w:name="_Toc512908153"/>
      <w:bookmarkStart w:id="379" w:name="_Toc512911211"/>
      <w:bookmarkStart w:id="380" w:name="_Toc137027595"/>
      <w:r>
        <w:rPr>
          <w:rStyle w:val="CharSectno"/>
        </w:rPr>
        <w:t>92</w:t>
      </w:r>
      <w:r>
        <w:rPr>
          <w:snapToGrid w:val="0"/>
        </w:rPr>
        <w:t>.</w:t>
      </w:r>
      <w:r>
        <w:rPr>
          <w:snapToGrid w:val="0"/>
        </w:rPr>
        <w:tab/>
        <w:t>Power to carry out general works</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 xml:space="preserve">[Section 92 inserted by No. 25 of 1985 s.19; amended by No. 73 of 1995 s.42.] </w:t>
      </w:r>
    </w:p>
    <w:p>
      <w:pPr>
        <w:pStyle w:val="Heading5"/>
        <w:rPr>
          <w:snapToGrid w:val="0"/>
        </w:rPr>
      </w:pPr>
      <w:bookmarkStart w:id="381" w:name="_Toc420985206"/>
      <w:bookmarkStart w:id="382" w:name="_Toc486127549"/>
      <w:bookmarkStart w:id="383" w:name="_Toc512908154"/>
      <w:bookmarkStart w:id="384" w:name="_Toc512911212"/>
      <w:bookmarkStart w:id="385" w:name="_Toc137027596"/>
      <w:r>
        <w:rPr>
          <w:rStyle w:val="CharSectno"/>
        </w:rPr>
        <w:t>93</w:t>
      </w:r>
      <w:r>
        <w:rPr>
          <w:snapToGrid w:val="0"/>
        </w:rPr>
        <w:t>.</w:t>
      </w:r>
      <w:r>
        <w:rPr>
          <w:snapToGrid w:val="0"/>
        </w:rPr>
        <w:tab/>
        <w:t>Notices</w:t>
      </w:r>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specifying the details set forth in subparagraphs (i), (ii), (iii) and (iv) of section 88(1)(b)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s.19; amended by No. 73 of 1995 s.42; No. 14 of 1996 s.4; No. 57 of 1997 s.126(3).] </w:t>
      </w:r>
    </w:p>
    <w:p>
      <w:pPr>
        <w:pStyle w:val="Heading5"/>
        <w:rPr>
          <w:snapToGrid w:val="0"/>
        </w:rPr>
      </w:pPr>
      <w:bookmarkStart w:id="386" w:name="_Toc420985207"/>
      <w:bookmarkStart w:id="387" w:name="_Toc486127550"/>
      <w:bookmarkStart w:id="388" w:name="_Toc512908155"/>
      <w:bookmarkStart w:id="389" w:name="_Toc512911213"/>
      <w:bookmarkStart w:id="390" w:name="_Toc137027597"/>
      <w:r>
        <w:rPr>
          <w:rStyle w:val="CharSectno"/>
        </w:rPr>
        <w:t>94</w:t>
      </w:r>
      <w:r>
        <w:rPr>
          <w:snapToGrid w:val="0"/>
        </w:rPr>
        <w:t>.</w:t>
      </w:r>
      <w:r>
        <w:rPr>
          <w:snapToGrid w:val="0"/>
        </w:rPr>
        <w:tab/>
        <w:t>Objections and comments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 xml:space="preserve">[Section 94 inserted by No. 25 of 1985 s.19; amended by No. 73 of 1995 s.42; No. 14 of 1996 s.4.] </w:t>
      </w:r>
    </w:p>
    <w:p>
      <w:pPr>
        <w:pStyle w:val="Heading5"/>
        <w:rPr>
          <w:snapToGrid w:val="0"/>
        </w:rPr>
      </w:pPr>
      <w:bookmarkStart w:id="391" w:name="_Toc420985208"/>
      <w:bookmarkStart w:id="392" w:name="_Toc486127551"/>
      <w:bookmarkStart w:id="393" w:name="_Toc512908156"/>
      <w:bookmarkStart w:id="394" w:name="_Toc512911214"/>
      <w:bookmarkStart w:id="395" w:name="_Toc137027598"/>
      <w:r>
        <w:rPr>
          <w:rStyle w:val="CharSectno"/>
        </w:rPr>
        <w:t>95</w:t>
      </w:r>
      <w:r>
        <w:rPr>
          <w:snapToGrid w:val="0"/>
        </w:rPr>
        <w:t>.</w:t>
      </w:r>
      <w:r>
        <w:rPr>
          <w:snapToGrid w:val="0"/>
        </w:rPr>
        <w:tab/>
        <w:t>Authorization for general works</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Commission or the Corporation does not require the authorization of the Minister to a deviation from the plan pursuant to section 97(4),</w:t>
      </w:r>
    </w:p>
    <w:p>
      <w:pPr>
        <w:pStyle w:val="Subsection"/>
        <w:rPr>
          <w:snapToGrid w:val="0"/>
        </w:rPr>
      </w:pPr>
      <w:r>
        <w:rPr>
          <w:snapToGrid w:val="0"/>
        </w:rPr>
        <w:tab/>
      </w:r>
      <w:r>
        <w:rPr>
          <w:snapToGrid w:val="0"/>
        </w:rPr>
        <w:tab/>
        <w:t>the Commission or the Corporation is authorized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 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authorize the carrying out, construction or provision of the proposed general works; or</w:t>
      </w:r>
    </w:p>
    <w:p>
      <w:pPr>
        <w:pStyle w:val="Indenta"/>
        <w:rPr>
          <w:snapToGrid w:val="0"/>
        </w:rPr>
      </w:pPr>
      <w:r>
        <w:rPr>
          <w:snapToGrid w:val="0"/>
        </w:rPr>
        <w:tab/>
        <w:t>(b)</w:t>
      </w:r>
      <w:r>
        <w:rPr>
          <w:snapToGrid w:val="0"/>
        </w:rPr>
        <w:tab/>
        <w:t>decline to authorize the proposed general works.</w:t>
      </w:r>
    </w:p>
    <w:p>
      <w:pPr>
        <w:pStyle w:val="Footnotesection"/>
      </w:pPr>
      <w:r>
        <w:tab/>
        <w:t xml:space="preserve">[Section 95 inserted by No. 25 of 1985 s.19; amended by No. 73 of 1995 s.42.] </w:t>
      </w:r>
    </w:p>
    <w:p>
      <w:pPr>
        <w:pStyle w:val="Heading4"/>
      </w:pPr>
      <w:bookmarkStart w:id="396" w:name="_Toc92785970"/>
      <w:bookmarkStart w:id="397" w:name="_Toc96326556"/>
      <w:bookmarkStart w:id="398" w:name="_Toc96507595"/>
      <w:bookmarkStart w:id="399" w:name="_Toc103069268"/>
      <w:bookmarkStart w:id="400" w:name="_Toc123005065"/>
      <w:bookmarkStart w:id="401" w:name="_Toc131479862"/>
      <w:bookmarkStart w:id="402" w:name="_Toc137027599"/>
      <w:r>
        <w:t>Subdivision D — Exempt works</w:t>
      </w:r>
      <w:bookmarkEnd w:id="396"/>
      <w:bookmarkEnd w:id="397"/>
      <w:bookmarkEnd w:id="398"/>
      <w:bookmarkEnd w:id="399"/>
      <w:bookmarkEnd w:id="400"/>
      <w:bookmarkEnd w:id="401"/>
      <w:bookmarkEnd w:id="402"/>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403" w:name="_Toc420985209"/>
      <w:bookmarkStart w:id="404" w:name="_Toc486127552"/>
      <w:bookmarkStart w:id="405" w:name="_Toc512908157"/>
      <w:bookmarkStart w:id="406" w:name="_Toc512911215"/>
      <w:bookmarkStart w:id="407" w:name="_Toc137027600"/>
      <w:r>
        <w:rPr>
          <w:rStyle w:val="CharSectno"/>
        </w:rPr>
        <w:t>96</w:t>
      </w:r>
      <w:r>
        <w:rPr>
          <w:snapToGrid w:val="0"/>
        </w:rPr>
        <w:t>.</w:t>
      </w:r>
      <w:r>
        <w:rPr>
          <w:snapToGrid w:val="0"/>
        </w:rPr>
        <w:tab/>
        <w:t>Commission or the Corporation to carry out exempt works</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 xml:space="preserve">[Section 96 inserted by No. 25 of 1985 s.19; amended by No. 73 of 1995 s.42.] </w:t>
      </w:r>
    </w:p>
    <w:p>
      <w:pPr>
        <w:pStyle w:val="Heading4"/>
      </w:pPr>
      <w:bookmarkStart w:id="408" w:name="_Toc92785972"/>
      <w:bookmarkStart w:id="409" w:name="_Toc96326558"/>
      <w:bookmarkStart w:id="410" w:name="_Toc96507597"/>
      <w:bookmarkStart w:id="411" w:name="_Toc103069270"/>
      <w:bookmarkStart w:id="412" w:name="_Toc123005067"/>
      <w:bookmarkStart w:id="413" w:name="_Toc131479864"/>
      <w:bookmarkStart w:id="414" w:name="_Toc137027601"/>
      <w:r>
        <w:t>Subdivision E — Deviation and modification</w:t>
      </w:r>
      <w:bookmarkEnd w:id="408"/>
      <w:bookmarkEnd w:id="409"/>
      <w:bookmarkEnd w:id="410"/>
      <w:bookmarkEnd w:id="411"/>
      <w:bookmarkEnd w:id="412"/>
      <w:bookmarkEnd w:id="413"/>
      <w:bookmarkEnd w:id="414"/>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415" w:name="_Toc420985210"/>
      <w:bookmarkStart w:id="416" w:name="_Toc486127553"/>
      <w:bookmarkStart w:id="417" w:name="_Toc512908158"/>
      <w:bookmarkStart w:id="418" w:name="_Toc512911216"/>
      <w:bookmarkStart w:id="419" w:name="_Toc137027602"/>
      <w:r>
        <w:rPr>
          <w:rStyle w:val="CharSectno"/>
        </w:rPr>
        <w:t>97</w:t>
      </w:r>
      <w:r>
        <w:rPr>
          <w:snapToGrid w:val="0"/>
        </w:rPr>
        <w:t>.</w:t>
      </w:r>
      <w:r>
        <w:rPr>
          <w:snapToGrid w:val="0"/>
        </w:rPr>
        <w:tab/>
        <w:t>Deviation and modification</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authorized, be taken to be authorized.</w:t>
      </w:r>
    </w:p>
    <w:p>
      <w:pPr>
        <w:pStyle w:val="Subsection"/>
        <w:keepNext/>
        <w:rPr>
          <w:snapToGrid w:val="0"/>
        </w:rPr>
      </w:pPr>
      <w:r>
        <w:rPr>
          <w:snapToGrid w:val="0"/>
        </w:rPr>
        <w:tab/>
        <w:t>(2)</w:t>
      </w:r>
      <w:r>
        <w:rPr>
          <w:snapToGrid w:val="0"/>
        </w:rPr>
        <w:tab/>
        <w:t>Whether or not a limit within which the line of works may deviate during construction is shown on the plans of authorized works, the Commission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rPr>
          <w:snapToGrid w:val="0"/>
        </w:rPr>
      </w:pPr>
      <w:r>
        <w:rPr>
          <w:snapToGrid w:val="0"/>
        </w:rPr>
        <w:tab/>
        <w:t>(3)</w:t>
      </w:r>
      <w:r>
        <w:rPr>
          <w:snapToGrid w:val="0"/>
        </w:rPr>
        <w:tab/>
        <w:t>The Commission or the Corporation may, during the carrying out, construction or provision of works, depart from any description, proposal or plans authorized, and may make such modifications as are required by the circumstances, if the departure is agreed in writing by the owner and occupier of the affected land.</w:t>
      </w:r>
    </w:p>
    <w:p>
      <w:pPr>
        <w:pStyle w:val="Subsection"/>
        <w:rPr>
          <w:snapToGrid w:val="0"/>
        </w:rPr>
      </w:pPr>
      <w:r>
        <w:rPr>
          <w:snapToGrid w:val="0"/>
        </w:rPr>
        <w:tab/>
        <w:t>(4)</w:t>
      </w:r>
      <w:r>
        <w:rPr>
          <w:snapToGrid w:val="0"/>
        </w:rPr>
        <w:tab/>
        <w:t>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authorize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rPr>
          <w:snapToGrid w:val="0"/>
        </w:rPr>
      </w:pPr>
      <w:r>
        <w:rPr>
          <w:snapToGrid w:val="0"/>
        </w:rPr>
        <w:tab/>
        <w:t>(b)</w:t>
      </w:r>
      <w:r>
        <w:rPr>
          <w:snapToGrid w:val="0"/>
        </w:rPr>
        <w:tab/>
        <w:t>sections 93, 94 and 95,</w:t>
      </w:r>
    </w:p>
    <w:p>
      <w:pPr>
        <w:pStyle w:val="Subsection"/>
        <w:keepNext/>
        <w:rPr>
          <w:snapToGrid w:val="0"/>
        </w:rPr>
      </w:pPr>
      <w:r>
        <w:rPr>
          <w:snapToGrid w:val="0"/>
        </w:rPr>
        <w:tab/>
      </w:r>
      <w:r>
        <w:rPr>
          <w:snapToGrid w:val="0"/>
        </w:rPr>
        <w:tab/>
        <w:t>as the case requires, have not been complied with in relation thereto.</w:t>
      </w:r>
    </w:p>
    <w:p>
      <w:pPr>
        <w:pStyle w:val="Footnotesection"/>
      </w:pPr>
      <w:r>
        <w:tab/>
        <w:t xml:space="preserve">[Section 97 inserted by No. 25 of 1985 s.19; amended by No. 73 of 1995 s.42.] </w:t>
      </w:r>
    </w:p>
    <w:p>
      <w:pPr>
        <w:pStyle w:val="Heading3"/>
        <w:rPr>
          <w:snapToGrid w:val="0"/>
        </w:rPr>
      </w:pPr>
      <w:bookmarkStart w:id="420" w:name="_Toc92785974"/>
      <w:bookmarkStart w:id="421" w:name="_Toc96326560"/>
      <w:bookmarkStart w:id="422" w:name="_Toc96507599"/>
      <w:bookmarkStart w:id="423" w:name="_Toc103069272"/>
      <w:bookmarkStart w:id="424" w:name="_Toc123005069"/>
      <w:bookmarkStart w:id="425" w:name="_Toc131479866"/>
      <w:bookmarkStart w:id="426" w:name="_Toc137027603"/>
      <w:r>
        <w:rPr>
          <w:rStyle w:val="CharDivNo"/>
        </w:rPr>
        <w:t>Division 3</w:t>
      </w:r>
      <w:r>
        <w:rPr>
          <w:snapToGrid w:val="0"/>
        </w:rPr>
        <w:t> — </w:t>
      </w:r>
      <w:r>
        <w:rPr>
          <w:rStyle w:val="CharDivText"/>
        </w:rPr>
        <w:t>Street works</w:t>
      </w:r>
      <w:bookmarkEnd w:id="420"/>
      <w:bookmarkEnd w:id="421"/>
      <w:bookmarkEnd w:id="422"/>
      <w:bookmarkEnd w:id="423"/>
      <w:bookmarkEnd w:id="424"/>
      <w:bookmarkEnd w:id="425"/>
      <w:bookmarkEnd w:id="426"/>
      <w:r>
        <w:rPr>
          <w:rStyle w:val="CharDivText"/>
        </w:rPr>
        <w:t xml:space="preserve"> </w:t>
      </w:r>
    </w:p>
    <w:p>
      <w:pPr>
        <w:pStyle w:val="Footnoteheading"/>
        <w:rPr>
          <w:snapToGrid w:val="0"/>
        </w:rPr>
      </w:pPr>
      <w:r>
        <w:rPr>
          <w:snapToGrid w:val="0"/>
        </w:rPr>
        <w:tab/>
        <w:t>[Heading inserted by No. 25 of 1985 s.19.]</w:t>
      </w:r>
    </w:p>
    <w:p>
      <w:pPr>
        <w:pStyle w:val="Heading5"/>
        <w:rPr>
          <w:snapToGrid w:val="0"/>
        </w:rPr>
      </w:pPr>
      <w:bookmarkStart w:id="427" w:name="_Toc420985211"/>
      <w:bookmarkStart w:id="428" w:name="_Toc486127554"/>
      <w:bookmarkStart w:id="429" w:name="_Toc512908159"/>
      <w:bookmarkStart w:id="430" w:name="_Toc512911217"/>
      <w:bookmarkStart w:id="431" w:name="_Toc137027604"/>
      <w:r>
        <w:rPr>
          <w:rStyle w:val="CharSectno"/>
        </w:rPr>
        <w:t>98</w:t>
      </w:r>
      <w:r>
        <w:rPr>
          <w:snapToGrid w:val="0"/>
        </w:rPr>
        <w:t>.</w:t>
      </w:r>
      <w:r>
        <w:rPr>
          <w:snapToGrid w:val="0"/>
        </w:rPr>
        <w:tab/>
        <w:t>Alterations to fittings in streets</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s.19; amended by No. 73 of 1995 s.41; No. 14 of 1996 s.4.] </w:t>
      </w:r>
    </w:p>
    <w:p>
      <w:pPr>
        <w:pStyle w:val="Heading5"/>
        <w:rPr>
          <w:snapToGrid w:val="0"/>
        </w:rPr>
      </w:pPr>
      <w:bookmarkStart w:id="432" w:name="_Toc420985212"/>
      <w:bookmarkStart w:id="433" w:name="_Toc486127555"/>
      <w:bookmarkStart w:id="434" w:name="_Toc512908160"/>
      <w:bookmarkStart w:id="435" w:name="_Toc512911218"/>
      <w:bookmarkStart w:id="436" w:name="_Toc137027605"/>
      <w:r>
        <w:rPr>
          <w:rStyle w:val="CharSectno"/>
        </w:rPr>
        <w:t>99</w:t>
      </w:r>
      <w:r>
        <w:rPr>
          <w:snapToGrid w:val="0"/>
        </w:rPr>
        <w:t>.</w:t>
      </w:r>
      <w:r>
        <w:rPr>
          <w:snapToGrid w:val="0"/>
        </w:rPr>
        <w:tab/>
        <w:t>Street levels and widths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keepNext/>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s.19; amended by No. 73 of 1995 s.41; No. 14 of 1996 s.4.] </w:t>
      </w:r>
    </w:p>
    <w:p>
      <w:pPr>
        <w:pStyle w:val="Heading5"/>
        <w:rPr>
          <w:snapToGrid w:val="0"/>
        </w:rPr>
      </w:pPr>
      <w:bookmarkStart w:id="437" w:name="_Toc420985213"/>
      <w:bookmarkStart w:id="438" w:name="_Toc486127556"/>
      <w:bookmarkStart w:id="439" w:name="_Toc512908161"/>
      <w:bookmarkStart w:id="440" w:name="_Toc512911219"/>
      <w:bookmarkStart w:id="441" w:name="_Toc137027606"/>
      <w:r>
        <w:rPr>
          <w:rStyle w:val="CharSectno"/>
        </w:rPr>
        <w:t>100</w:t>
      </w:r>
      <w:r>
        <w:rPr>
          <w:snapToGrid w:val="0"/>
        </w:rPr>
        <w:t>.</w:t>
      </w:r>
      <w:r>
        <w:rPr>
          <w:snapToGrid w:val="0"/>
        </w:rPr>
        <w:tab/>
        <w:t>Breaking up of streets</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s.19; amended by No. 73 of 1995 s.41; No. 14 of 1996 s.4.] </w:t>
      </w:r>
    </w:p>
    <w:p>
      <w:pPr>
        <w:pStyle w:val="Heading5"/>
        <w:rPr>
          <w:snapToGrid w:val="0"/>
        </w:rPr>
      </w:pPr>
      <w:bookmarkStart w:id="442" w:name="_Toc420985214"/>
      <w:bookmarkStart w:id="443" w:name="_Toc486127557"/>
      <w:bookmarkStart w:id="444" w:name="_Toc512908162"/>
      <w:bookmarkStart w:id="445" w:name="_Toc512911220"/>
      <w:bookmarkStart w:id="446" w:name="_Toc137027607"/>
      <w:r>
        <w:rPr>
          <w:rStyle w:val="CharSectno"/>
        </w:rPr>
        <w:t>101</w:t>
      </w:r>
      <w:r>
        <w:rPr>
          <w:snapToGrid w:val="0"/>
        </w:rPr>
        <w:t>.</w:t>
      </w:r>
      <w:r>
        <w:rPr>
          <w:snapToGrid w:val="0"/>
        </w:rPr>
        <w:tab/>
        <w:t>Streets broken up to be reinstated</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s.19; amended by No. 73 of 1995 s.41.] </w:t>
      </w:r>
    </w:p>
    <w:p>
      <w:pPr>
        <w:pStyle w:val="Heading3"/>
        <w:rPr>
          <w:snapToGrid w:val="0"/>
        </w:rPr>
      </w:pPr>
      <w:bookmarkStart w:id="447" w:name="_Toc92785979"/>
      <w:bookmarkStart w:id="448" w:name="_Toc96326565"/>
      <w:bookmarkStart w:id="449" w:name="_Toc96507604"/>
      <w:bookmarkStart w:id="450" w:name="_Toc103069277"/>
      <w:bookmarkStart w:id="451" w:name="_Toc123005074"/>
      <w:bookmarkStart w:id="452" w:name="_Toc131479871"/>
      <w:bookmarkStart w:id="453" w:name="_Toc137027608"/>
      <w:r>
        <w:rPr>
          <w:rStyle w:val="CharDivNo"/>
        </w:rPr>
        <w:t>Division 4</w:t>
      </w:r>
      <w:r>
        <w:rPr>
          <w:snapToGrid w:val="0"/>
        </w:rPr>
        <w:t> — </w:t>
      </w:r>
      <w:r>
        <w:rPr>
          <w:rStyle w:val="CharDivText"/>
        </w:rPr>
        <w:t>Provision of information as to works</w:t>
      </w:r>
      <w:bookmarkEnd w:id="447"/>
      <w:bookmarkEnd w:id="448"/>
      <w:bookmarkEnd w:id="449"/>
      <w:bookmarkEnd w:id="450"/>
      <w:bookmarkEnd w:id="451"/>
      <w:bookmarkEnd w:id="452"/>
      <w:bookmarkEnd w:id="453"/>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454" w:name="_Toc420985215"/>
      <w:bookmarkStart w:id="455" w:name="_Toc486127558"/>
      <w:bookmarkStart w:id="456" w:name="_Toc512908163"/>
      <w:bookmarkStart w:id="457" w:name="_Toc512911221"/>
      <w:bookmarkStart w:id="458" w:name="_Toc137027609"/>
      <w:r>
        <w:rPr>
          <w:rStyle w:val="CharSectno"/>
        </w:rPr>
        <w:t>102</w:t>
      </w:r>
      <w:r>
        <w:rPr>
          <w:snapToGrid w:val="0"/>
        </w:rPr>
        <w:t>.</w:t>
      </w:r>
      <w:r>
        <w:rPr>
          <w:snapToGrid w:val="0"/>
        </w:rPr>
        <w:tab/>
        <w:t>Records and plans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s.19; amended by No. 73 of 1995 s.41.] </w:t>
      </w:r>
    </w:p>
    <w:p>
      <w:pPr>
        <w:pStyle w:val="Heading2"/>
      </w:pPr>
      <w:bookmarkStart w:id="459" w:name="_Toc92785981"/>
      <w:bookmarkStart w:id="460" w:name="_Toc96326567"/>
      <w:bookmarkStart w:id="461" w:name="_Toc96507606"/>
      <w:bookmarkStart w:id="462" w:name="_Toc103069279"/>
      <w:bookmarkStart w:id="463" w:name="_Toc123005076"/>
      <w:bookmarkStart w:id="464" w:name="_Toc131479873"/>
      <w:bookmarkStart w:id="465" w:name="_Toc137027610"/>
      <w:r>
        <w:rPr>
          <w:rStyle w:val="CharPartNo"/>
        </w:rPr>
        <w:t>Part IX</w:t>
      </w:r>
      <w:r>
        <w:rPr>
          <w:rStyle w:val="CharDivNo"/>
        </w:rPr>
        <w:t> </w:t>
      </w:r>
      <w:r>
        <w:t>—</w:t>
      </w:r>
      <w:r>
        <w:rPr>
          <w:rStyle w:val="CharDivText"/>
        </w:rPr>
        <w:t> </w:t>
      </w:r>
      <w:r>
        <w:rPr>
          <w:rStyle w:val="CharPartText"/>
        </w:rPr>
        <w:t>Infringement notices</w:t>
      </w:r>
      <w:bookmarkEnd w:id="459"/>
      <w:bookmarkEnd w:id="460"/>
      <w:bookmarkEnd w:id="461"/>
      <w:bookmarkEnd w:id="462"/>
      <w:bookmarkEnd w:id="463"/>
      <w:bookmarkEnd w:id="464"/>
      <w:bookmarkEnd w:id="465"/>
      <w:r>
        <w:rPr>
          <w:rStyle w:val="CharPartText"/>
        </w:rPr>
        <w:t xml:space="preserve"> </w:t>
      </w:r>
    </w:p>
    <w:p>
      <w:pPr>
        <w:pStyle w:val="Footnoteheading"/>
        <w:rPr>
          <w:snapToGrid w:val="0"/>
        </w:rPr>
      </w:pPr>
      <w:r>
        <w:rPr>
          <w:snapToGrid w:val="0"/>
        </w:rPr>
        <w:tab/>
        <w:t xml:space="preserve">[Heading inserted by No. 25 of 1985 s.20.] </w:t>
      </w:r>
    </w:p>
    <w:p>
      <w:pPr>
        <w:pStyle w:val="Heading5"/>
        <w:rPr>
          <w:snapToGrid w:val="0"/>
        </w:rPr>
      </w:pPr>
      <w:bookmarkStart w:id="466" w:name="_Toc420985216"/>
      <w:bookmarkStart w:id="467" w:name="_Toc486127559"/>
      <w:bookmarkStart w:id="468" w:name="_Toc512908164"/>
      <w:bookmarkStart w:id="469" w:name="_Toc512911222"/>
      <w:bookmarkStart w:id="470" w:name="_Toc137027611"/>
      <w:r>
        <w:rPr>
          <w:rStyle w:val="CharSectno"/>
        </w:rPr>
        <w:t>103</w:t>
      </w:r>
      <w:r>
        <w:rPr>
          <w:snapToGrid w:val="0"/>
        </w:rPr>
        <w:t>.</w:t>
      </w:r>
      <w:r>
        <w:rPr>
          <w:snapToGrid w:val="0"/>
        </w:rPr>
        <w:tab/>
        <w:t>Infringement notices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authorized person</w:t>
      </w:r>
      <w:r>
        <w:rPr>
          <w:b/>
        </w:rPr>
        <w:t>”</w:t>
      </w:r>
      <w:r>
        <w:t xml:space="preserve"> means a person authorized, or of a class authorized,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authorized person who has reason to believe that a person has committed an offence against this Act or a relevant Act that is prescribed to be an offence that may be dealt with under this section and is an offence in respect of which the person is authorized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The Commission and the Corporation shall issue to any member of staff who is an authorized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s.20; amended by No. 110 of 1985 s.11; No. 73 of 1995 s.40; No. 78 of 1995 s.130; No. 84 of 2004 s. 80.]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71" w:name="_Toc92785983"/>
      <w:bookmarkStart w:id="472" w:name="_Toc96326569"/>
      <w:bookmarkStart w:id="473" w:name="_Toc96507608"/>
      <w:bookmarkStart w:id="474" w:name="_Toc103069281"/>
      <w:bookmarkStart w:id="475" w:name="_Toc123005078"/>
      <w:bookmarkStart w:id="476" w:name="_Toc131479875"/>
      <w:bookmarkStart w:id="477" w:name="_Toc137027612"/>
      <w:r>
        <w:t>Notes</w:t>
      </w:r>
      <w:bookmarkEnd w:id="471"/>
      <w:bookmarkEnd w:id="472"/>
      <w:bookmarkEnd w:id="473"/>
      <w:bookmarkEnd w:id="474"/>
      <w:bookmarkEnd w:id="475"/>
      <w:bookmarkEnd w:id="476"/>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p>
    <w:p>
      <w:pPr>
        <w:pStyle w:val="nHeading3"/>
        <w:rPr>
          <w:snapToGrid w:val="0"/>
        </w:rPr>
      </w:pPr>
      <w:bookmarkStart w:id="478" w:name="_Toc137027613"/>
      <w:r>
        <w:rPr>
          <w:snapToGrid w:val="0"/>
        </w:rPr>
        <w:t>Compilation table</w:t>
      </w:r>
      <w:bookmarkEnd w:id="4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Water Authority Act 1984</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w:t>
            </w:r>
            <w:r>
              <w:rPr>
                <w:sz w:val="19"/>
              </w:rPr>
              <w:br/>
              <w:t>Part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(Water Authorities) Act 1985</w:t>
            </w:r>
            <w:r>
              <w:rPr>
                <w:sz w:val="19"/>
              </w:rPr>
              <w:t>,</w:t>
            </w:r>
            <w:r>
              <w:rPr>
                <w:sz w:val="19"/>
              </w:rPr>
              <w:br/>
              <w:t xml:space="preserve">Part II </w:t>
            </w:r>
            <w:r>
              <w:rPr>
                <w:sz w:val="19"/>
                <w:vertAlign w:val="superscript"/>
              </w:rPr>
              <w:t> 3</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3 -7, 9-11 and 13: 14 Mar 1986 (see s. 2 and </w:t>
            </w:r>
            <w:r>
              <w:rPr>
                <w:i/>
                <w:sz w:val="19"/>
              </w:rPr>
              <w:t>Gazette</w:t>
            </w:r>
            <w:r>
              <w:rPr>
                <w:sz w:val="19"/>
              </w:rPr>
              <w:t xml:space="preserve"> 14 Mar 1986 p.726);</w:t>
            </w:r>
            <w:r>
              <w:rPr>
                <w:sz w:val="19"/>
              </w:rPr>
              <w:br/>
              <w:t>s. 8: 1 Feb 1990 (see s. 2 and </w:t>
            </w:r>
            <w:r>
              <w:rPr>
                <w:i/>
                <w:sz w:val="19"/>
              </w:rPr>
              <w:t>Gazette</w:t>
            </w:r>
            <w:r>
              <w:rPr>
                <w:sz w:val="19"/>
              </w:rPr>
              <w:t xml:space="preserve"> 5 Jan 1990 p.38);</w:t>
            </w:r>
            <w:r>
              <w:rPr>
                <w:sz w:val="19"/>
              </w:rPr>
              <w:br/>
              <w:t>s. 12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w:t>
            </w:r>
            <w:r>
              <w:rPr>
                <w:sz w:val="19"/>
              </w:rPr>
              <w:br/>
              <w:t>Part I</w:t>
            </w:r>
            <w:r>
              <w:rPr>
                <w:sz w:val="19"/>
                <w:vertAlign w:val="superscript"/>
              </w:rPr>
              <w:t> 12</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13 Nov 1987 (see s. 2 and </w:t>
            </w:r>
            <w:r>
              <w:rPr>
                <w:i/>
                <w:sz w:val="19"/>
              </w:rPr>
              <w:t>Gazette</w:t>
            </w:r>
            <w:r>
              <w:rPr>
                <w:sz w:val="19"/>
              </w:rPr>
              <w:t xml:space="preserve"> 13 Nov 1987 p. 4141)</w:t>
            </w:r>
          </w:p>
        </w:tc>
      </w:tr>
      <w:tr>
        <w:trPr>
          <w:cantSplit/>
        </w:trPr>
        <w:tc>
          <w:tcPr>
            <w:tcW w:w="2268" w:type="dxa"/>
          </w:tcPr>
          <w:p>
            <w:pPr>
              <w:pStyle w:val="nTable"/>
              <w:keepNext/>
              <w:spacing w:after="40"/>
              <w:ind w:right="170"/>
              <w:rPr>
                <w:sz w:val="19"/>
              </w:rPr>
            </w:pPr>
            <w:r>
              <w:rPr>
                <w:i/>
                <w:sz w:val="19"/>
              </w:rPr>
              <w:t>Acts Amendment (Public Service) Act 1987</w:t>
            </w:r>
            <w:r>
              <w:rPr>
                <w:sz w:val="19"/>
              </w:rPr>
              <w:t>,</w:t>
            </w:r>
            <w:r>
              <w:rPr>
                <w:sz w:val="19"/>
              </w:rPr>
              <w:br/>
              <w:t>section 32</w:t>
            </w:r>
            <w:r>
              <w:rPr>
                <w:sz w:val="19"/>
              </w:rPr>
              <w:br/>
              <w:t>(schedule 2, item 53)</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r>
              <w:rPr>
                <w:sz w:val="19"/>
              </w:rPr>
              <w:t>,</w:t>
            </w:r>
            <w:r>
              <w:rPr>
                <w:sz w:val="19"/>
              </w:rPr>
              <w:br/>
              <w:t>Part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r>
              <w:rPr>
                <w:sz w:val="19"/>
              </w:rPr>
              <w:br/>
              <w:t>sections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(Annual Valuations and Land Tax) Act 1993</w:t>
            </w:r>
            <w:r>
              <w:rPr>
                <w:sz w:val="19"/>
              </w:rPr>
              <w:t>,</w:t>
            </w:r>
            <w:r>
              <w:rPr>
                <w:sz w:val="19"/>
              </w:rPr>
              <w:br/>
              <w:t>section 13</w:t>
            </w:r>
            <w:r>
              <w:rPr>
                <w:sz w:val="19"/>
                <w:vertAlign w:val="superscript"/>
              </w:rPr>
              <w:t> 4</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w:t>
            </w:r>
          </w:p>
        </w:tc>
      </w:tr>
      <w:tr>
        <w:trPr>
          <w:cantSplit/>
        </w:trPr>
        <w:tc>
          <w:tcPr>
            <w:tcW w:w="2268" w:type="dxa"/>
          </w:tcPr>
          <w:p>
            <w:pPr>
              <w:pStyle w:val="nTable"/>
              <w:spacing w:after="40"/>
              <w:ind w:right="170"/>
              <w:rPr>
                <w:sz w:val="19"/>
              </w:rPr>
            </w:pPr>
            <w:r>
              <w:rPr>
                <w:i/>
                <w:sz w:val="19"/>
              </w:rPr>
              <w:t>Planning Legislation Amendment Act (No. 2) 1994</w:t>
            </w:r>
            <w:r>
              <w:rPr>
                <w:sz w:val="19"/>
              </w:rPr>
              <w:t>,</w:t>
            </w:r>
            <w:r>
              <w:rPr>
                <w:sz w:val="19"/>
              </w:rPr>
              <w:br/>
              <w:t>section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vertAlign w:val="superscript"/>
              </w:rPr>
            </w:pPr>
            <w:r>
              <w:rPr>
                <w:i/>
                <w:sz w:val="19"/>
              </w:rPr>
              <w:t>Water Agencies Restructure (Transitional and Consequential Provisions) Act 1995</w:t>
            </w:r>
            <w:r>
              <w:rPr>
                <w:sz w:val="19"/>
              </w:rPr>
              <w:t>,</w:t>
            </w:r>
            <w:r>
              <w:rPr>
                <w:sz w:val="19"/>
              </w:rPr>
              <w:br/>
              <w:t>Part 2</w:t>
            </w:r>
            <w:r>
              <w:rPr>
                <w:sz w:val="19"/>
                <w:vertAlign w:val="superscript"/>
              </w:rPr>
              <w:t> 5, 6, 7, 8</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1 Jan 1996 (see s. 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Sentencing (Consequential Provisions) Act 1995,</w:t>
            </w:r>
            <w:r>
              <w:rPr>
                <w:i/>
                <w:sz w:val="19"/>
              </w:rPr>
              <w:br/>
            </w:r>
            <w:r>
              <w:rPr>
                <w:sz w:val="19"/>
              </w:rPr>
              <w:t>Part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Act 1996,</w:t>
            </w:r>
            <w:r>
              <w:rPr>
                <w:sz w:val="19"/>
              </w:rPr>
              <w:br/>
              <w:t>Part 3 </w:t>
            </w:r>
            <w:r>
              <w:rPr>
                <w:sz w:val="19"/>
                <w:vertAlign w:val="superscript"/>
              </w:rPr>
              <w:t>9, 10</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br/>
              <w:t>Part 64 and 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w:t>
            </w:r>
            <w:r>
              <w:rPr>
                <w:sz w:val="19"/>
              </w:rPr>
              <w:br/>
              <w:t>Part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Statutes (Repeals and Minor Amendments) Act 1997,</w:t>
            </w:r>
            <w:r>
              <w:rPr>
                <w:i/>
                <w:sz w:val="19"/>
              </w:rPr>
              <w:br/>
            </w:r>
            <w:r>
              <w:rPr>
                <w:sz w:val="19"/>
              </w:rPr>
              <w:t>section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Water Services Coordination Amendment Act 1999</w:t>
            </w:r>
            <w:r>
              <w:rPr>
                <w:sz w:val="19"/>
              </w:rPr>
              <w:t>,</w:t>
            </w:r>
          </w:p>
          <w:p>
            <w:pPr>
              <w:pStyle w:val="nTable"/>
              <w:spacing w:after="40"/>
              <w:ind w:right="170"/>
              <w:rPr>
                <w:sz w:val="19"/>
              </w:rPr>
            </w:pPr>
            <w:r>
              <w:rPr>
                <w:sz w:val="19"/>
              </w:rPr>
              <w:t>section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13</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14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8" w:type="dxa"/>
            <w:tcBorders>
              <w:top w:val="nil"/>
              <w:bottom w:val="single" w:sz="8" w:space="0" w:color="auto"/>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top w:val="nil"/>
              <w:bottom w:val="single" w:sz="8" w:space="0" w:color="auto"/>
            </w:tcBorders>
          </w:tcPr>
          <w:p>
            <w:pPr>
              <w:pStyle w:val="nTable"/>
              <w:spacing w:after="40"/>
              <w:rPr>
                <w:sz w:val="19"/>
              </w:rPr>
            </w:pPr>
            <w:r>
              <w:rPr>
                <w:sz w:val="19"/>
              </w:rPr>
              <w:t>12 Dec 2005</w:t>
            </w:r>
          </w:p>
        </w:tc>
        <w:tc>
          <w:tcPr>
            <w:tcW w:w="2551" w:type="dxa"/>
            <w:tcBorders>
              <w:top w:val="nil"/>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rPr>
        <w:t>N.B.</w:t>
      </w:r>
      <w:r>
        <w:rPr>
          <w:snapToGrid w:val="0"/>
        </w:rPr>
        <w:tab/>
        <w:t xml:space="preserve">This Act is affected by the </w:t>
      </w:r>
      <w:r>
        <w:rPr>
          <w:i/>
          <w:snapToGrid w:val="0"/>
        </w:rPr>
        <w:t xml:space="preserve">Strata Titles Act 1985 </w:t>
      </w:r>
      <w:r>
        <w:rPr>
          <w:snapToGrid w:val="0"/>
        </w:rPr>
        <w:t>(No. 33 of 1985).</w:t>
      </w:r>
    </w:p>
    <w:p>
      <w:pPr>
        <w:pStyle w:val="nSubsection"/>
        <w:keepNext/>
        <w:keepLines/>
      </w:pPr>
      <w:r>
        <w:rPr>
          <w:snapToGrid w:val="0"/>
          <w:vertAlign w:val="superscript"/>
        </w:rPr>
        <w:t>2</w:t>
      </w:r>
      <w:r>
        <w:rPr>
          <w:snapToGrid w:val="0"/>
        </w:rPr>
        <w:tab/>
        <w:t xml:space="preserve">Now see </w:t>
      </w:r>
      <w:r>
        <w:rPr>
          <w:i/>
          <w:snapToGrid w:val="0"/>
        </w:rPr>
        <w:t>Public Sector Management Act 1994</w:t>
      </w:r>
      <w:r>
        <w:rPr>
          <w:snapToGrid w:val="0"/>
        </w:rPr>
        <w:t xml:space="preserve"> (No. 31 of 1994).</w:t>
      </w:r>
    </w:p>
    <w:p>
      <w:pPr>
        <w:pStyle w:val="nSubsection"/>
        <w:keepNext/>
        <w:keepLines/>
        <w:rPr>
          <w:snapToGrid w:val="0"/>
        </w:rPr>
      </w:pPr>
      <w:r>
        <w:rPr>
          <w:snapToGrid w:val="0"/>
          <w:vertAlign w:val="superscript"/>
        </w:rPr>
        <w:t>3</w:t>
      </w:r>
      <w:r>
        <w:rPr>
          <w:snapToGrid w:val="0"/>
        </w:rPr>
        <w:tab/>
        <w:t xml:space="preserve">Section 13 of the </w:t>
      </w:r>
      <w:r>
        <w:rPr>
          <w:i/>
          <w:snapToGrid w:val="0"/>
        </w:rPr>
        <w:t>Acts Amendment (Water Authorities) Act 1985</w:t>
      </w:r>
      <w:r>
        <w:rPr>
          <w:snapToGrid w:val="0"/>
        </w:rPr>
        <w:t xml:space="preserve"> (No. 110 of 1985) reads as follows — </w:t>
      </w:r>
    </w:p>
    <w:p>
      <w:pPr>
        <w:pStyle w:val="MiscOpen"/>
        <w:spacing w:before="60"/>
        <w:rPr>
          <w:snapToGrid w:val="0"/>
        </w:rPr>
      </w:pPr>
      <w:r>
        <w:rPr>
          <w:snapToGrid w:val="0"/>
        </w:rPr>
        <w:t>“</w:t>
      </w:r>
    </w:p>
    <w:p>
      <w:pPr>
        <w:pStyle w:val="nzHeading5"/>
        <w:spacing w:before="0"/>
        <w:rPr>
          <w:snapToGrid w:val="0"/>
        </w:rPr>
      </w:pPr>
      <w:r>
        <w:rPr>
          <w:snapToGrid w:val="0"/>
        </w:rPr>
        <w:t>13.</w:t>
      </w:r>
      <w:r>
        <w:rPr>
          <w:snapToGrid w:val="0"/>
        </w:rPr>
        <w:tab/>
        <w:t xml:space="preserve">Validation of Order in Council </w:t>
      </w:r>
    </w:p>
    <w:p>
      <w:pPr>
        <w:pStyle w:val="nzSubsection"/>
        <w:rPr>
          <w:snapToGrid w:val="0"/>
        </w:rPr>
      </w:pPr>
      <w:r>
        <w:rPr>
          <w:snapToGrid w:val="0"/>
        </w:rPr>
        <w:tab/>
      </w:r>
      <w:r>
        <w:rPr>
          <w:snapToGrid w:val="0"/>
        </w:rPr>
        <w:tab/>
        <w:t>The transfer of functions from a statutory authority to the Authority by the Governor by Order in Council made, before the coming into operation of this section, under section 4(1) of the principal Act shall not be invalid by reason only of the fixing of a day earlier than 28 days after the making of that Order as the day on which, in respect of that statutory authority, the provisions of subsection (2) of section 7 of the principal Act have effect.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4</w:t>
      </w:r>
      <w:r>
        <w:rPr>
          <w:snapToGrid w:val="0"/>
        </w:rPr>
        <w:tab/>
        <w:t xml:space="preserve">Section 3 of the </w:t>
      </w:r>
      <w:r>
        <w:rPr>
          <w:i/>
          <w:snapToGrid w:val="0"/>
        </w:rPr>
        <w:t xml:space="preserve">Acts Amendment (Annual Valuations and Land Tax) Act 1993 </w:t>
      </w:r>
      <w:r>
        <w:rPr>
          <w:snapToGrid w:val="0"/>
        </w:rPr>
        <w:t>(No. 17 of 1993) reads as follows — </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11(2) and (3)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Section 20(2)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Sections 189</w:t>
      </w:r>
      <w:r>
        <w:rPr>
          <w:snapToGrid w:val="0"/>
        </w:rPr>
        <w:noBreakHyphen/>
        <w:t>200, and sections 203</w:t>
      </w:r>
      <w:r>
        <w:rPr>
          <w:snapToGrid w:val="0"/>
        </w:rPr>
        <w:noBreakHyphen/>
        <w:t xml:space="preserve">218 of the </w:t>
      </w:r>
      <w:r>
        <w:rPr>
          <w:i/>
          <w:snapToGrid w:val="0"/>
        </w:rPr>
        <w:t>Water Agencies Restructure (Transitional and Consequential Provisions) Act 1995</w:t>
      </w:r>
      <w:r>
        <w:rPr>
          <w:snapToGrid w:val="0"/>
        </w:rPr>
        <w:t xml:space="preserve"> (No. 73 of 1995) read as follows — </w:t>
      </w:r>
    </w:p>
    <w:p>
      <w:pPr>
        <w:pStyle w:val="MiscOpen"/>
        <w:spacing w:before="60"/>
        <w:rPr>
          <w:snapToGrid w:val="0"/>
          <w:sz w:val="20"/>
        </w:rPr>
      </w:pPr>
      <w:r>
        <w:rPr>
          <w:snapToGrid w:val="0"/>
          <w:sz w:val="20"/>
        </w:rPr>
        <w:t>“</w:t>
      </w:r>
    </w:p>
    <w:p>
      <w:pPr>
        <w:pStyle w:val="nzHeading2"/>
        <w:spacing w:before="0"/>
      </w:pPr>
      <w:r>
        <w:t>Part 14 — Transitional provisions</w:t>
      </w:r>
    </w:p>
    <w:p>
      <w:pPr>
        <w:pStyle w:val="nzHeading3"/>
        <w:rPr>
          <w:snapToGrid w:val="0"/>
        </w:rPr>
      </w:pPr>
      <w:r>
        <w:rPr>
          <w:snapToGrid w:val="0"/>
        </w:rPr>
        <w:t xml:space="preserve">Division 1 — Preliminary </w:t>
      </w:r>
    </w:p>
    <w:p>
      <w:pPr>
        <w:pStyle w:val="nzHeading5"/>
        <w:rPr>
          <w:snapToGrid w:val="0"/>
        </w:rPr>
      </w:pPr>
      <w:r>
        <w:rPr>
          <w:snapToGrid w:val="0"/>
        </w:rPr>
        <w:t>189.</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rPr>
          <w:b/>
        </w:rPr>
        <w:tab/>
        <w:t>“assets”</w:t>
      </w:r>
      <w:r>
        <w:t xml:space="preserve"> means property of every kind whether tangible or intangible, real or personal, corporeal or incorporeal and includes without limitation — </w:t>
      </w:r>
    </w:p>
    <w:p>
      <w:pPr>
        <w:pStyle w:val="nzDefpara"/>
      </w:pPr>
      <w:r>
        <w:tab/>
        <w:t>(a)</w:t>
      </w:r>
      <w:r>
        <w:tab/>
        <w:t>choses in action;</w:t>
      </w:r>
    </w:p>
    <w:p>
      <w:pPr>
        <w:pStyle w:val="nzDefpara"/>
      </w:pPr>
      <w:r>
        <w:tab/>
        <w:t>(b)</w:t>
      </w:r>
      <w:r>
        <w:tab/>
        <w:t>goodwill;</w:t>
      </w:r>
    </w:p>
    <w:p>
      <w:pPr>
        <w:pStyle w:val="nzDefpara"/>
      </w:pPr>
      <w:r>
        <w:tab/>
        <w:t>(c)</w:t>
      </w:r>
      <w:r>
        <w:tab/>
        <w:t>rights, interests and claims of every kind in or to property,</w:t>
      </w:r>
    </w:p>
    <w:p>
      <w:pPr>
        <w:pStyle w:val="nzDefstart"/>
      </w:pPr>
      <w:r>
        <w:tab/>
      </w:r>
      <w:r>
        <w:tab/>
        <w:t>whether arising from, accruing under, created or evidenced by or the subject of, an instrument or otherwise and whether liquidated or unliquidated, actual, contingent or prospective;</w:t>
      </w:r>
    </w:p>
    <w:p>
      <w:pPr>
        <w:pStyle w:val="nzDefstart"/>
      </w:pPr>
      <w:r>
        <w:rPr>
          <w:b/>
        </w:rPr>
        <w:tab/>
        <w:t>“Authority”</w:t>
      </w:r>
      <w:r>
        <w:t xml:space="preserve"> means the Authority under the principal Act as in force before the commencement day;</w:t>
      </w:r>
    </w:p>
    <w:p>
      <w:pPr>
        <w:pStyle w:val="nzDefstart"/>
      </w:pPr>
      <w:r>
        <w:tab/>
      </w:r>
      <w:r>
        <w:rPr>
          <w:b/>
        </w:rPr>
        <w:t>“commencement day”</w:t>
      </w:r>
      <w:r>
        <w:t xml:space="preserve"> means the day on which Part 2 comes into operation;</w:t>
      </w:r>
    </w:p>
    <w:p>
      <w:pPr>
        <w:pStyle w:val="nzDefstart"/>
      </w:pPr>
      <w:r>
        <w:tab/>
      </w:r>
      <w:r>
        <w:rPr>
          <w:b/>
        </w:rPr>
        <w:t>“Commission”</w:t>
      </w:r>
      <w:r>
        <w:t xml:space="preserve"> means the Water and Rivers Commission established by section 4 of the </w:t>
      </w:r>
      <w:r>
        <w:rPr>
          <w:i/>
        </w:rPr>
        <w:t>Water and Rivers Commission Act 1995</w:t>
      </w:r>
      <w:r>
        <w:t>;</w:t>
      </w:r>
    </w:p>
    <w:p>
      <w:pPr>
        <w:pStyle w:val="nzDefstart"/>
      </w:pPr>
      <w:r>
        <w:rPr>
          <w:b/>
        </w:rPr>
        <w:tab/>
        <w:t>“Coordinator”</w:t>
      </w:r>
      <w:r>
        <w:t xml:space="preserve"> means the Coordinator of Water Services referred to in section 4 of the </w:t>
      </w:r>
      <w:r>
        <w:rPr>
          <w:i/>
        </w:rPr>
        <w:t>Water Services Coordination Act 1995</w:t>
      </w:r>
      <w:r>
        <w:t>;</w:t>
      </w:r>
    </w:p>
    <w:p>
      <w:pPr>
        <w:pStyle w:val="nzDefstart"/>
      </w:pPr>
      <w:r>
        <w:tab/>
      </w:r>
      <w:r>
        <w:rPr>
          <w:b/>
        </w:rPr>
        <w:t>“Corporation”</w:t>
      </w:r>
      <w:r>
        <w:t xml:space="preserve"> means the Water Corporation established by section 4 of the </w:t>
      </w:r>
      <w:r>
        <w:rPr>
          <w:i/>
        </w:rPr>
        <w:t>Water Corporation Act 1995</w:t>
      </w:r>
      <w:r>
        <w:t>;</w:t>
      </w:r>
    </w:p>
    <w:p>
      <w:pPr>
        <w:pStyle w:val="nzDefstart"/>
      </w:pPr>
      <w:r>
        <w:tab/>
      </w:r>
      <w:r>
        <w:rPr>
          <w:b/>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b/>
        </w:rPr>
        <w:t>“principal Act”</w:t>
      </w:r>
      <w:r>
        <w:t xml:space="preserve"> means the </w:t>
      </w:r>
      <w:r>
        <w:rPr>
          <w:i/>
        </w:rPr>
        <w:t>Water Authority Act 1984</w:t>
      </w:r>
      <w:r>
        <w:t>;</w:t>
      </w:r>
    </w:p>
    <w:p>
      <w:pPr>
        <w:pStyle w:val="nzDefstart"/>
      </w:pPr>
      <w:r>
        <w:tab/>
      </w:r>
      <w:r>
        <w:rPr>
          <w:b/>
        </w:rPr>
        <w:t>“right”</w:t>
      </w:r>
      <w:r>
        <w:t xml:space="preserve"> means any right, power, privilege or immunity whether actual, contingent or prospective;</w:t>
      </w:r>
    </w:p>
    <w:p>
      <w:pPr>
        <w:pStyle w:val="nzDefstart"/>
      </w:pPr>
      <w:r>
        <w:tab/>
      </w:r>
      <w:r>
        <w:rPr>
          <w:b/>
        </w:rPr>
        <w:t>“transfer order”</w:t>
      </w:r>
      <w:r>
        <w:t xml:space="preserve"> means the order and any amendments to it made by the Minister under section 190, and includes any order made under section 191;</w:t>
      </w:r>
    </w:p>
    <w:p>
      <w:pPr>
        <w:pStyle w:val="nzDefstart"/>
      </w:pPr>
      <w:r>
        <w:tab/>
      </w:r>
      <w:r>
        <w:rPr>
          <w:b/>
        </w:rPr>
        <w:t>“Water Resources Council”</w:t>
      </w:r>
      <w:r>
        <w:t xml:space="preserve"> means the council established by section 4 of the </w:t>
      </w:r>
      <w:r>
        <w:rPr>
          <w:i/>
        </w:rPr>
        <w:t>Western Australian Water Resources Council Act 1982</w:t>
      </w:r>
      <w:r>
        <w:t>;</w:t>
      </w:r>
    </w:p>
    <w:p>
      <w:pPr>
        <w:pStyle w:val="nzDefstart"/>
      </w:pPr>
      <w:r>
        <w:tab/>
      </w:r>
      <w:r>
        <w:rPr>
          <w:b/>
        </w:rPr>
        <w:t>“Waterways Commission”</w:t>
      </w:r>
      <w:r>
        <w:t xml:space="preserve"> means the body established by section 11 of the </w:t>
      </w:r>
      <w:r>
        <w:rPr>
          <w:i/>
        </w:rPr>
        <w:t>Waterways Conservation Act 1976</w:t>
      </w:r>
      <w:r>
        <w:t xml:space="preserve">. </w:t>
      </w:r>
    </w:p>
    <w:p>
      <w:pPr>
        <w:pStyle w:val="nzHeading3"/>
      </w:pPr>
      <w:r>
        <w:t>Division 2 — Devolution of Water Authority’s assets, liabilities etc.</w:t>
      </w:r>
    </w:p>
    <w:p>
      <w:pPr>
        <w:pStyle w:val="nzHeading5"/>
        <w:rPr>
          <w:snapToGrid w:val="0"/>
        </w:rPr>
      </w:pPr>
      <w:r>
        <w:rPr>
          <w:snapToGrid w:val="0"/>
        </w:rPr>
        <w:t xml:space="preserve">190. </w:t>
      </w:r>
      <w:r>
        <w:rPr>
          <w:snapToGrid w:val="0"/>
        </w:rP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rPr>
        <w:t>Gazette</w:t>
      </w:r>
      <w:r>
        <w:t xml:space="preserve"> an order specifying — </w:t>
      </w:r>
    </w:p>
    <w:p>
      <w:pPr>
        <w:pStyle w:val="nzIndenta"/>
      </w:pPr>
      <w:r>
        <w:tab/>
        <w:t>(a)</w:t>
      </w:r>
      <w:r>
        <w:tab/>
        <w:t>how assets, rights and liabilities of the Authority are to be allocated to the Corporation and the Commission; and</w:t>
      </w:r>
    </w:p>
    <w:p>
      <w:pPr>
        <w:pStyle w:val="nzIndenta"/>
        <w:rPr>
          <w:snapToGrid w:val="0"/>
        </w:rPr>
      </w:pPr>
      <w:r>
        <w:rPr>
          <w:snapToGrid w:val="0"/>
        </w:rPr>
        <w:tab/>
        <w:t>(b)</w:t>
      </w:r>
      <w:r>
        <w:rPr>
          <w:snapToGrid w:val="0"/>
        </w:rPr>
        <w:tab/>
        <w:t>any proceedings in which the Corporation or the Commission is to be, or both of those bodies are to be, substituted for the Authority as a party or parties.</w:t>
      </w:r>
    </w:p>
    <w:p>
      <w:pPr>
        <w:pStyle w:val="nzSubsection"/>
        <w:rPr>
          <w:snapToGrid w:val="0"/>
        </w:rPr>
      </w:pPr>
      <w:r>
        <w:rPr>
          <w:snapToGrid w:val="0"/>
        </w:rPr>
        <w:tab/>
      </w:r>
      <w:r>
        <w:t>(2)</w:t>
      </w:r>
      <w:r>
        <w:tab/>
        <w:t>An allocation under subsection (1)(a) may be made to —</w:t>
      </w:r>
      <w:r>
        <w:rPr>
          <w:snapToGrid w:val="0"/>
        </w:rPr>
        <w:t> </w:t>
      </w:r>
    </w:p>
    <w:p>
      <w:pPr>
        <w:pStyle w:val="nzIndenta"/>
        <w:rPr>
          <w:snapToGrid w:val="0"/>
        </w:rPr>
      </w:pPr>
      <w:r>
        <w:rPr>
          <w:snapToGrid w:val="0"/>
        </w:rPr>
        <w:tab/>
        <w:t>(a)</w:t>
      </w:r>
      <w:r>
        <w:rPr>
          <w:snapToGrid w:val="0"/>
        </w:rPr>
        <w:tab/>
        <w:t>the Corporation;</w:t>
      </w:r>
    </w:p>
    <w:p>
      <w:pPr>
        <w:pStyle w:val="nzIndenta"/>
        <w:rPr>
          <w:snapToGrid w:val="0"/>
        </w:rPr>
      </w:pPr>
      <w:r>
        <w:rPr>
          <w:snapToGrid w:val="0"/>
        </w:rPr>
        <w:tab/>
        <w:t>(b)</w:t>
      </w:r>
      <w:r>
        <w:rPr>
          <w:snapToGrid w:val="0"/>
        </w:rPr>
        <w:tab/>
        <w:t>the Commission; or</w:t>
      </w:r>
    </w:p>
    <w:p>
      <w:pPr>
        <w:pStyle w:val="nzIndenta"/>
        <w:rPr>
          <w:snapToGrid w:val="0"/>
        </w:rPr>
      </w:pPr>
      <w:r>
        <w:rPr>
          <w:snapToGrid w:val="0"/>
        </w:rPr>
        <w:tab/>
        <w:t>(c)</w:t>
      </w:r>
      <w:r>
        <w:rPr>
          <w:snapToGrid w:val="0"/>
        </w:rPr>
        <w:tab/>
        <w:t>both of those bodies either jointly or as tenants in common in equal or unequal shares.</w:t>
      </w:r>
    </w:p>
    <w:p>
      <w:pPr>
        <w:pStyle w:val="nzSubsection"/>
      </w:pPr>
      <w:r>
        <w:tab/>
        <w:t>(3)</w:t>
      </w:r>
      <w:r>
        <w:tab/>
        <w:t>Without limiting subsection (1), an order under that subsection may — </w:t>
      </w:r>
    </w:p>
    <w:p>
      <w:pPr>
        <w:pStyle w:val="nzIndenta"/>
        <w:rPr>
          <w:snapToGrid w:val="0"/>
        </w:rPr>
      </w:pPr>
      <w:r>
        <w:rPr>
          <w:snapToGrid w:val="0"/>
        </w:rPr>
        <w:tab/>
        <w:t>(a)</w:t>
      </w:r>
      <w:r>
        <w:rPr>
          <w:snapToGrid w:val="0"/>
        </w:rPr>
        <w:tab/>
        <w:t>provide for the allocation of income in respect of any asset;</w:t>
      </w:r>
    </w:p>
    <w:p>
      <w:pPr>
        <w:pStyle w:val="nzIndenta"/>
        <w:rPr>
          <w:snapToGrid w:val="0"/>
        </w:rPr>
      </w:pPr>
      <w:r>
        <w:rPr>
          <w:snapToGrid w:val="0"/>
        </w:rPr>
        <w:tab/>
        <w:t>(b)</w:t>
      </w:r>
      <w:r>
        <w:rPr>
          <w:snapToGrid w:val="0"/>
        </w:rPr>
        <w:tab/>
        <w:t>in respect of a particular liability, allocate a specified share of the liability to each of the Corporation and the Commission;</w:t>
      </w:r>
    </w:p>
    <w:p>
      <w:pPr>
        <w:pStyle w:val="nzIndenta"/>
        <w:rPr>
          <w:snapToGrid w:val="0"/>
        </w:rPr>
      </w:pPr>
      <w:r>
        <w:rPr>
          <w:snapToGrid w:val="0"/>
        </w:rPr>
        <w:tab/>
        <w:t>(c)</w:t>
      </w:r>
      <w:r>
        <w:rPr>
          <w:snapToGrid w:val="0"/>
        </w:rPr>
        <w:tab/>
        <w:t>provide for the transfer, debiting, crediting, closing or otherwise dealing with any account, reserve, fund, provision, profit or liability for any levy; and</w:t>
      </w:r>
    </w:p>
    <w:p>
      <w:pPr>
        <w:pStyle w:val="nzIndenta"/>
        <w:rPr>
          <w:snapToGrid w:val="0"/>
        </w:rPr>
      </w:pPr>
      <w:r>
        <w:rPr>
          <w:snapToGrid w:val="0"/>
        </w:rPr>
        <w:tab/>
        <w:t>(d)</w:t>
      </w:r>
      <w:r>
        <w:rPr>
          <w:snapToGrid w:val="0"/>
        </w:rPr>
        <w:tab/>
        <w:t>contain such incidental or supplementary provisions as the Minister thinks fit.</w:t>
      </w:r>
    </w:p>
    <w:p>
      <w:pPr>
        <w:pStyle w:val="nzSubsection"/>
      </w:pPr>
      <w:r>
        <w:rPr>
          <w:snapToGrid w:val="0"/>
        </w:rPr>
        <w:tab/>
      </w:r>
      <w:r>
        <w:t>(4)</w:t>
      </w:r>
      <w:r>
        <w:tab/>
        <w:t>The transfer order may allocate particular assets, rights or liabilities or classes of assets, rights or liabilities by reference to schedules in which they are specified; and those schedules — </w:t>
      </w:r>
    </w:p>
    <w:p>
      <w:pPr>
        <w:pStyle w:val="nz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nzIndenta"/>
        <w:rPr>
          <w:snapToGrid w:val="0"/>
        </w:rPr>
      </w:pPr>
      <w:r>
        <w:rPr>
          <w:snapToGrid w:val="0"/>
        </w:rPr>
        <w:tab/>
        <w:t>(b)</w:t>
      </w:r>
      <w:r>
        <w:rPr>
          <w:snapToGrid w:val="0"/>
        </w:rPr>
        <w:tab/>
        <w:t>must be available for inspection by the public at a place identified in the order.</w:t>
      </w:r>
    </w:p>
    <w:p>
      <w:pPr>
        <w:pStyle w:val="nzSubsection"/>
      </w:pPr>
      <w:r>
        <w:tab/>
        <w:t>(5)</w:t>
      </w:r>
      <w:r>
        <w:tab/>
        <w:t xml:space="preserve">The transfer order may be amended by the Minister, by further order published in the </w:t>
      </w:r>
      <w:r>
        <w:rPr>
          <w:i/>
        </w:rPr>
        <w:t>Gazette</w:t>
      </w:r>
      <w:r>
        <w:t>, but no such amendment may be made after the commencement day.</w:t>
      </w:r>
    </w:p>
    <w:p>
      <w:pPr>
        <w:pStyle w:val="nzHeading5"/>
        <w:rPr>
          <w:snapToGrid w:val="0"/>
        </w:rPr>
      </w:pPr>
      <w:r>
        <w:rPr>
          <w:snapToGrid w:val="0"/>
        </w:rPr>
        <w:t>191.</w:t>
      </w:r>
      <w:r>
        <w:rPr>
          <w:snapToGrid w:val="0"/>
        </w:rPr>
        <w:tab/>
        <w:t xml:space="preserve">Power to make subsequent order </w:t>
      </w:r>
    </w:p>
    <w:p>
      <w:pPr>
        <w:pStyle w:val="nzSubsection"/>
      </w:pPr>
      <w:r>
        <w:tab/>
        <w:t>(1)</w:t>
      </w:r>
      <w:r>
        <w:tab/>
        <w:t>Where for any reason it is not practicable to allocate any asset, right or liability to the Corporation or the Commission, or to both of those bodies, under section 190 before the commencement day — </w:t>
      </w:r>
    </w:p>
    <w:p>
      <w:pPr>
        <w:pStyle w:val="nzIndenta"/>
        <w:rPr>
          <w:snapToGrid w:val="0"/>
        </w:rPr>
      </w:pPr>
      <w:r>
        <w:rPr>
          <w:snapToGrid w:val="0"/>
        </w:rPr>
        <w:tab/>
        <w:t>(a)</w:t>
      </w:r>
      <w:r>
        <w:rPr>
          <w:snapToGrid w:val="0"/>
        </w:rPr>
        <w:tab/>
        <w:t>the transfer order is to specify that the asset, right or liability is to be allocated under this section; and</w:t>
      </w:r>
    </w:p>
    <w:p>
      <w:pPr>
        <w:pStyle w:val="nzIndenta"/>
        <w:rPr>
          <w:snapToGrid w:val="0"/>
        </w:rPr>
      </w:pPr>
      <w:r>
        <w:rPr>
          <w:snapToGrid w:val="0"/>
        </w:rPr>
        <w:tab/>
        <w:t>(b)</w:t>
      </w:r>
      <w:r>
        <w:rPr>
          <w:snapToGrid w:val="0"/>
        </w:rPr>
        <w:tab/>
        <w:t>the Minister may make a further order under section 190 in respect of that asset, right or liability not later than 90 days after the commencement day.</w:t>
      </w:r>
    </w:p>
    <w:p>
      <w:pPr>
        <w:pStyle w:val="nzSubsection"/>
      </w:pPr>
      <w:r>
        <w:tab/>
        <w:t>(2)</w:t>
      </w:r>
      <w:r>
        <w:tab/>
        <w:t>An order under subsection (1) is to have effect from the commencement day.</w:t>
      </w:r>
    </w:p>
    <w:p>
      <w:pPr>
        <w:pStyle w:val="nzSubsection"/>
      </w:pPr>
      <w:r>
        <w:tab/>
        <w:t>(3)</w:t>
      </w:r>
      <w:r>
        <w:tab/>
        <w:t>The Authority is to be taken to continue to hold an asset or right, and to be liable for a liability, to which subsection (1) applies until the further order is made.</w:t>
      </w:r>
    </w:p>
    <w:p>
      <w:pPr>
        <w:pStyle w:val="nzHeading5"/>
        <w:rPr>
          <w:snapToGrid w:val="0"/>
        </w:rPr>
      </w:pPr>
      <w:r>
        <w:rPr>
          <w:snapToGrid w:val="0"/>
        </w:rPr>
        <w:t>192.</w:t>
      </w:r>
      <w:r>
        <w:rPr>
          <w:snapToGrid w:val="0"/>
        </w:rPr>
        <w:tab/>
        <w:t xml:space="preserve">Transfer of assets and liabilities to the Corporation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Corporation by the transfer order vest in the Corporation by force of this section;</w:t>
      </w:r>
    </w:p>
    <w:p>
      <w:pPr>
        <w:pStyle w:val="nzIndenta"/>
        <w:rPr>
          <w:snapToGrid w:val="0"/>
        </w:rPr>
      </w:pPr>
      <w:r>
        <w:rPr>
          <w:snapToGrid w:val="0"/>
        </w:rPr>
        <w:tab/>
        <w:t>(b)</w:t>
      </w:r>
      <w:r>
        <w:rPr>
          <w:snapToGrid w:val="0"/>
        </w:rPr>
        <w:tab/>
        <w:t>the liabilities of the Authority (including a share of a liability) allocated to the Corporation by the transfer order become, by force of this section, the liabilities of the Corporation;</w:t>
      </w:r>
    </w:p>
    <w:p>
      <w:pPr>
        <w:pStyle w:val="nzIndenta"/>
        <w:rPr>
          <w:snapToGrid w:val="0"/>
        </w:rPr>
      </w:pPr>
      <w:r>
        <w:rPr>
          <w:snapToGrid w:val="0"/>
        </w:rPr>
        <w:tab/>
        <w:t>(c)</w:t>
      </w:r>
      <w:r>
        <w:rPr>
          <w:snapToGrid w:val="0"/>
        </w:rPr>
        <w:tab/>
        <w:t>without limiting section 214, any agreement or instrument relating to the assets, rights and liabilities referred to in paragraphs (a) and (b) has effect, by force of this section, as if the Corporation were substituted for the Authority in the agreement or instrument;</w:t>
      </w:r>
    </w:p>
    <w:p>
      <w:pPr>
        <w:pStyle w:val="nzIndenta"/>
        <w:rPr>
          <w:snapToGrid w:val="0"/>
        </w:rPr>
      </w:pPr>
      <w:r>
        <w:rPr>
          <w:snapToGrid w:val="0"/>
        </w:rPr>
        <w:tab/>
        <w:t>(d)</w:t>
      </w:r>
      <w:r>
        <w:rPr>
          <w:snapToGrid w:val="0"/>
        </w:rPr>
        <w:tab/>
        <w:t>the Corporation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Corporation;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Corporation;</w:t>
      </w:r>
    </w:p>
    <w:p>
      <w:pPr>
        <w:pStyle w:val="nzIndenta"/>
        <w:rPr>
          <w:snapToGrid w:val="0"/>
        </w:rPr>
      </w:pPr>
      <w:r>
        <w:rPr>
          <w:snapToGrid w:val="0"/>
        </w:rPr>
        <w:tab/>
        <w:t>(g)</w:t>
      </w:r>
      <w:r>
        <w:rPr>
          <w:snapToGrid w:val="0"/>
        </w:rPr>
        <w:tab/>
        <w:t>the Authority is to deliver to the Corporation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provisions of the transfer order relevant to this section have effect.</w:t>
      </w:r>
    </w:p>
    <w:p>
      <w:pPr>
        <w:pStyle w:val="nzSubsection"/>
      </w:pPr>
      <w:r>
        <w:tab/>
        <w:t>(2)</w:t>
      </w:r>
      <w:r>
        <w:tab/>
        <w:t>Subsection (1)(c) and (e) has effect subject to any provision of the transfer order made under section 190(3)(b).</w:t>
      </w:r>
    </w:p>
    <w:p>
      <w:pPr>
        <w:pStyle w:val="nzHeading5"/>
        <w:rPr>
          <w:snapToGrid w:val="0"/>
        </w:rPr>
      </w:pPr>
      <w:r>
        <w:rPr>
          <w:snapToGrid w:val="0"/>
        </w:rPr>
        <w:t>193.</w:t>
      </w:r>
      <w:r>
        <w:rPr>
          <w:snapToGrid w:val="0"/>
        </w:rPr>
        <w:tab/>
        <w:t xml:space="preserve">Transfer of assets and liabilities to the Commission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Commission by the transfer order vest in the Commission by force of this section;</w:t>
      </w:r>
    </w:p>
    <w:p>
      <w:pPr>
        <w:pStyle w:val="nzIndenta"/>
        <w:rPr>
          <w:snapToGrid w:val="0"/>
        </w:rPr>
      </w:pPr>
      <w:r>
        <w:rPr>
          <w:snapToGrid w:val="0"/>
        </w:rPr>
        <w:tab/>
        <w:t>(b)</w:t>
      </w:r>
      <w:r>
        <w:rPr>
          <w:snapToGrid w:val="0"/>
        </w:rPr>
        <w:tab/>
        <w:t>the liabilities of the Authority (including a share of a liability) allocated to the Commission by the transfer order become, by force of this section, the liabilities of the Commission;</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Commission were substituted for the Authority in the agreement or instrument;</w:t>
      </w:r>
    </w:p>
    <w:p>
      <w:pPr>
        <w:pStyle w:val="nzIndenta"/>
        <w:rPr>
          <w:snapToGrid w:val="0"/>
        </w:rPr>
      </w:pPr>
      <w:r>
        <w:rPr>
          <w:snapToGrid w:val="0"/>
        </w:rPr>
        <w:tab/>
        <w:t>(d)</w:t>
      </w:r>
      <w:r>
        <w:rPr>
          <w:snapToGrid w:val="0"/>
        </w:rPr>
        <w:tab/>
        <w:t>the Commission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Commission;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Commission;</w:t>
      </w:r>
    </w:p>
    <w:p>
      <w:pPr>
        <w:pStyle w:val="nzIndenta"/>
        <w:rPr>
          <w:snapToGrid w:val="0"/>
        </w:rPr>
      </w:pPr>
      <w:r>
        <w:rPr>
          <w:snapToGrid w:val="0"/>
        </w:rPr>
        <w:tab/>
        <w:t>(g)</w:t>
      </w:r>
      <w:r>
        <w:rPr>
          <w:snapToGrid w:val="0"/>
        </w:rPr>
        <w:tab/>
        <w:t>the Authority is to deliver to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of the provisions of the transfer order relevant to this section have effect.</w:t>
      </w:r>
    </w:p>
    <w:p>
      <w:pPr>
        <w:pStyle w:val="nzSubsection"/>
      </w:pPr>
      <w:r>
        <w:tab/>
        <w:t>(2)</w:t>
      </w:r>
      <w:r>
        <w:tab/>
        <w:t>Subsection (1)(c) and (e) has effect subject to any provision of the transfer made under section 190(3)(b).</w:t>
      </w:r>
    </w:p>
    <w:p>
      <w:pPr>
        <w:pStyle w:val="nzHeading5"/>
        <w:rPr>
          <w:snapToGrid w:val="0"/>
        </w:rPr>
      </w:pPr>
      <w:r>
        <w:rPr>
          <w:snapToGrid w:val="0"/>
        </w:rPr>
        <w:t>194.</w:t>
      </w:r>
      <w:r>
        <w:rPr>
          <w:snapToGrid w:val="0"/>
        </w:rPr>
        <w:tab/>
        <w:t xml:space="preserve">Transfer of assets and liabilities to both the Corporation and the Commission </w:t>
      </w:r>
    </w:p>
    <w:p>
      <w:pPr>
        <w:pStyle w:val="nzSubsection"/>
      </w:pPr>
      <w:r>
        <w:rPr>
          <w:snapToGrid w:val="0"/>
        </w:rPr>
        <w:tab/>
      </w:r>
      <w:r>
        <w:tab/>
        <w:t>On and after the commencement day — </w:t>
      </w:r>
    </w:p>
    <w:p>
      <w:pPr>
        <w:pStyle w:val="nzIndenta"/>
        <w:rPr>
          <w:snapToGrid w:val="0"/>
        </w:rPr>
      </w:pPr>
      <w:r>
        <w:rPr>
          <w:snapToGrid w:val="0"/>
        </w:rPr>
        <w:tab/>
        <w:t>(a)</w:t>
      </w:r>
      <w:r>
        <w:rPr>
          <w:snapToGrid w:val="0"/>
        </w:rPr>
        <w:tab/>
        <w:t>the assets and rights of the Authority allocated to the Corporation and the Commission jointly by the transfer order vest in those bodies jointly by force of this section;</w:t>
      </w:r>
    </w:p>
    <w:p>
      <w:pPr>
        <w:pStyle w:val="nzIndenta"/>
        <w:rPr>
          <w:snapToGrid w:val="0"/>
        </w:rPr>
      </w:pPr>
      <w:r>
        <w:rPr>
          <w:snapToGrid w:val="0"/>
        </w:rPr>
        <w:tab/>
        <w:t>(b)</w:t>
      </w:r>
      <w:r>
        <w:rPr>
          <w:snapToGrid w:val="0"/>
        </w:rPr>
        <w:tab/>
        <w:t>the assets and rights of the Authority allocated to the Corporation and the Commission as tenants in common by the transfer order vest in those bodies as tenants in common in the shares specified in the transfer order by force of this section;</w:t>
      </w:r>
    </w:p>
    <w:p>
      <w:pPr>
        <w:pStyle w:val="nzIndenta"/>
        <w:rPr>
          <w:snapToGrid w:val="0"/>
        </w:rPr>
      </w:pPr>
      <w:r>
        <w:rPr>
          <w:snapToGrid w:val="0"/>
        </w:rPr>
        <w:tab/>
        <w:t>(c)</w:t>
      </w:r>
      <w:r>
        <w:rPr>
          <w:snapToGrid w:val="0"/>
        </w:rPr>
        <w:tab/>
        <w:t>the liabilities of the Authority allocated to the Corporation and the Commission jointly by the transfer order become, by force of this section, the liabilities of those bodies jointly;</w:t>
      </w:r>
    </w:p>
    <w:p>
      <w:pPr>
        <w:pStyle w:val="nzIndenta"/>
        <w:rPr>
          <w:snapToGrid w:val="0"/>
          <w:spacing w:val="-4"/>
        </w:rPr>
      </w:pPr>
      <w:r>
        <w:rPr>
          <w:snapToGrid w:val="0"/>
          <w:spacing w:val="-4"/>
        </w:rPr>
        <w:tab/>
        <w:t>(d)</w:t>
      </w:r>
      <w:r>
        <w:rPr>
          <w:snapToGrid w:val="0"/>
          <w:spacing w:val="-4"/>
        </w:rPr>
        <w:tab/>
        <w:t>subject to section 214, any agreement or instrument relating to the assets, rights and liabilities referred to in paragraphs (a), (b) and (c) has effect, by force of this section, as if the Corporation and the Commission were substituted for the Authority in the agreement or instrument;</w:t>
      </w:r>
    </w:p>
    <w:p>
      <w:pPr>
        <w:pStyle w:val="nzIndenta"/>
        <w:rPr>
          <w:snapToGrid w:val="0"/>
        </w:rPr>
      </w:pPr>
      <w:r>
        <w:rPr>
          <w:snapToGrid w:val="0"/>
        </w:rPr>
        <w:tab/>
        <w:t>(e)</w:t>
      </w:r>
      <w:r>
        <w:rPr>
          <w:snapToGrid w:val="0"/>
        </w:rPr>
        <w:tab/>
        <w:t>the Corporation and the Commission jointly are parties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(f)</w:t>
      </w:r>
      <w:r>
        <w:rPr>
          <w:snapToGrid w:val="0"/>
        </w:rPr>
        <w:tab/>
        <w:t>any proceedings or remedy that might have been commenced by or available against or to the Authority in relation to the assets, rights and liabilities referred to in paragraphs (a), (b) and (c), may be commenced and are available, by or against or to the Corporation and the Commission jointly or severally in accordance with the transfer order;</w:t>
      </w:r>
    </w:p>
    <w:p>
      <w:pPr>
        <w:pStyle w:val="nzIndenta"/>
        <w:rPr>
          <w:snapToGrid w:val="0"/>
        </w:rPr>
      </w:pPr>
      <w:r>
        <w:rPr>
          <w:snapToGrid w:val="0"/>
        </w:rPr>
        <w:tab/>
        <w:t>(g)</w:t>
      </w:r>
      <w:r>
        <w:rPr>
          <w:snapToGrid w:val="0"/>
        </w:rPr>
        <w:tab/>
        <w:t>any act, matter or thing done or omitted to be done in relation to the assets, rights and liabilities referred to in paragraphs (a), (b) and (c) before the commencement day by, to or in respect of the Authority (to the extent that that act, matter or thing has any force or effect) is to be taken to have been done or omitted by, to or in respect of the Corporation and the Commission jointly or severally in accordance with the transfer order;</w:t>
      </w:r>
    </w:p>
    <w:p>
      <w:pPr>
        <w:pStyle w:val="nzIndenta"/>
        <w:rPr>
          <w:snapToGrid w:val="0"/>
        </w:rPr>
      </w:pPr>
      <w:r>
        <w:rPr>
          <w:snapToGrid w:val="0"/>
        </w:rPr>
        <w:tab/>
        <w:t>(h)</w:t>
      </w:r>
      <w:r>
        <w:rPr>
          <w:snapToGrid w:val="0"/>
        </w:rPr>
        <w:tab/>
        <w:t>the Authority is to deliver to the Corporation and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(b) and (c); and</w:t>
      </w:r>
    </w:p>
    <w:p>
      <w:pPr>
        <w:pStyle w:val="nzIndenti"/>
        <w:rPr>
          <w:snapToGrid w:val="0"/>
        </w:rPr>
      </w:pPr>
      <w:r>
        <w:rPr>
          <w:snapToGrid w:val="0"/>
        </w:rPr>
        <w:tab/>
        <w:t>(ii)</w:t>
      </w:r>
      <w:r>
        <w:rPr>
          <w:snapToGrid w:val="0"/>
        </w:rPr>
        <w:tab/>
        <w:t>proceedings referred to in paragraph (e);</w:t>
      </w:r>
    </w:p>
    <w:p>
      <w:pPr>
        <w:pStyle w:val="nzIndenta"/>
        <w:rPr>
          <w:snapToGrid w:val="0"/>
        </w:rPr>
      </w:pPr>
      <w:r>
        <w:rPr>
          <w:snapToGrid w:val="0"/>
        </w:rPr>
        <w:tab/>
      </w:r>
      <w:r>
        <w:rPr>
          <w:snapToGrid w:val="0"/>
        </w:rPr>
        <w:tab/>
        <w:t>and</w:t>
      </w:r>
    </w:p>
    <w:p>
      <w:pPr>
        <w:pStyle w:val="nzIndenta"/>
        <w:rPr>
          <w:snapToGrid w:val="0"/>
        </w:rPr>
      </w:pPr>
      <w:r>
        <w:rPr>
          <w:snapToGrid w:val="0"/>
        </w:rPr>
        <w:tab/>
        <w:t>(i)</w:t>
      </w:r>
      <w:r>
        <w:rPr>
          <w:snapToGrid w:val="0"/>
        </w:rPr>
        <w:tab/>
        <w:t>all of the provisions of the transfer order relevant to this section have effect.</w:t>
      </w:r>
    </w:p>
    <w:p>
      <w:pPr>
        <w:pStyle w:val="nzHeading5"/>
        <w:rPr>
          <w:snapToGrid w:val="0"/>
        </w:rPr>
      </w:pPr>
      <w:r>
        <w:rPr>
          <w:snapToGrid w:val="0"/>
        </w:rPr>
        <w:t>195.</w:t>
      </w:r>
      <w:r>
        <w:rPr>
          <w:snapToGrid w:val="0"/>
        </w:rPr>
        <w:tab/>
        <w:t xml:space="preserve">Unallocated assets and liabilities </w:t>
      </w:r>
    </w:p>
    <w:p>
      <w:pPr>
        <w:pStyle w:val="nzSubsection"/>
      </w:pPr>
      <w:r>
        <w:tab/>
      </w:r>
      <w:r>
        <w:tab/>
        <w:t>Subject to section 191, on and after the commencement day — </w:t>
      </w:r>
    </w:p>
    <w:p>
      <w:pPr>
        <w:pStyle w:val="nzIndenta"/>
        <w:rPr>
          <w:snapToGrid w:val="0"/>
        </w:rPr>
      </w:pPr>
      <w:r>
        <w:rPr>
          <w:snapToGrid w:val="0"/>
        </w:rPr>
        <w:tab/>
        <w:t>(a)</w:t>
      </w:r>
      <w:r>
        <w:rPr>
          <w:snapToGrid w:val="0"/>
        </w:rPr>
        <w:tab/>
        <w:t>any assets and rights of the Authority that do not vest in the Corporation or the Commission under section 192, 193 or 194 are to be dealt with as the Minister directs;</w:t>
      </w:r>
    </w:p>
    <w:p>
      <w:pPr>
        <w:pStyle w:val="nzIndenta"/>
        <w:rPr>
          <w:snapToGrid w:val="0"/>
        </w:rPr>
      </w:pPr>
      <w:r>
        <w:rPr>
          <w:snapToGrid w:val="0"/>
        </w:rPr>
        <w:tab/>
        <w:t>(b)</w:t>
      </w:r>
      <w:r>
        <w:rPr>
          <w:snapToGrid w:val="0"/>
        </w:rPr>
        <w:tab/>
        <w:t>any liability of the Authority that does not become a liability of the Corporation or the Commission under section 192, 193 or 194 is, so far as it is properly payable, to be discharged in such manner and from such source as the Minister, with the approval of the Treasurer, directs;</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State were substituted for the Authority in the agreement or instrument;</w:t>
      </w:r>
    </w:p>
    <w:p>
      <w:pPr>
        <w:pStyle w:val="nzIndenta"/>
        <w:rPr>
          <w:snapToGrid w:val="0"/>
        </w:rPr>
      </w:pPr>
      <w:r>
        <w:rPr>
          <w:snapToGrid w:val="0"/>
        </w:rPr>
        <w:tab/>
        <w:t>(d)</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State;</w:t>
      </w:r>
    </w:p>
    <w:p>
      <w:pPr>
        <w:pStyle w:val="nzIndenta"/>
        <w:rPr>
          <w:snapToGrid w:val="0"/>
          <w:spacing w:val="-4"/>
        </w:rPr>
      </w:pPr>
      <w:r>
        <w:rPr>
          <w:snapToGrid w:val="0"/>
          <w:spacing w:val="-4"/>
        </w:rPr>
        <w:tab/>
        <w:t>(e)</w:t>
      </w:r>
      <w:r>
        <w:rPr>
          <w:snapToGrid w:val="0"/>
          <w:spacing w:val="-4"/>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State; and</w:t>
      </w:r>
    </w:p>
    <w:p>
      <w:pPr>
        <w:pStyle w:val="nzIndenta"/>
        <w:rPr>
          <w:snapToGrid w:val="0"/>
        </w:rPr>
      </w:pPr>
      <w:r>
        <w:rPr>
          <w:snapToGrid w:val="0"/>
        </w:rPr>
        <w:tab/>
        <w:t>(f)</w:t>
      </w:r>
      <w:r>
        <w:rPr>
          <w:snapToGrid w:val="0"/>
        </w:rPr>
        <w:tab/>
        <w:t>the Authority is to deliver to the Minister all registers, papers, documents, minutes, receipts, books of account and other records (however compiled, recorded or stored) relating to the assets, rights and liabilities referred to in paragraphs (a) and (b).</w:t>
      </w:r>
    </w:p>
    <w:p>
      <w:pPr>
        <w:pStyle w:val="nzHeading5"/>
        <w:rPr>
          <w:snapToGrid w:val="0"/>
        </w:rPr>
      </w:pPr>
      <w:r>
        <w:rPr>
          <w:snapToGrid w:val="0"/>
        </w:rPr>
        <w:t>196.</w:t>
      </w:r>
      <w:r>
        <w:rPr>
          <w:snapToGrid w:val="0"/>
        </w:rPr>
        <w:tab/>
        <w:t xml:space="preserve">Debt paper </w:t>
      </w:r>
    </w:p>
    <w:p>
      <w:pPr>
        <w:pStyle w:val="nzSubsection"/>
      </w:pPr>
      <w:r>
        <w:tab/>
        <w:t>(1)</w:t>
      </w:r>
      <w:r>
        <w:tab/>
        <w:t>Without limiting section 192, 193 or 194 any debt paper which devolves under any of those sections, and the determination of rights and obligations in respect of the same, continue to be governed by section 54 of the principal Act and by</w:t>
      </w:r>
      <w:r>
        <w:noBreakHyphen/>
        <w:t>laws made under section 55 of that Act, despite the repeal of those sections, as if — </w:t>
      </w:r>
    </w:p>
    <w:p>
      <w:pPr>
        <w:pStyle w:val="nzIndenta"/>
        <w:rPr>
          <w:snapToGrid w:val="0"/>
        </w:rPr>
      </w:pPr>
      <w:r>
        <w:rPr>
          <w:snapToGrid w:val="0"/>
        </w:rPr>
        <w:tab/>
        <w:t>(a)</w:t>
      </w:r>
      <w:r>
        <w:rPr>
          <w:snapToGrid w:val="0"/>
        </w:rPr>
        <w:tab/>
        <w:t>those sections and by</w:t>
      </w:r>
      <w:r>
        <w:rPr>
          <w:snapToGrid w:val="0"/>
        </w:rPr>
        <w:noBreakHyphen/>
        <w:t>laws remained in force; and</w:t>
      </w:r>
    </w:p>
    <w:p>
      <w:pPr>
        <w:pStyle w:val="nzIndenta"/>
        <w:rPr>
          <w:snapToGrid w:val="0"/>
        </w:rPr>
      </w:pPr>
      <w:r>
        <w:rPr>
          <w:snapToGrid w:val="0"/>
        </w:rPr>
        <w:tab/>
        <w:t>(b)</w:t>
      </w:r>
      <w:r>
        <w:rPr>
          <w:snapToGrid w:val="0"/>
        </w:rPr>
        <w:tab/>
        <w:t>references in those sections and by</w:t>
      </w:r>
      <w:r>
        <w:rPr>
          <w:snapToGrid w:val="0"/>
        </w:rPr>
        <w:noBreakHyphen/>
        <w:t>laws to the Authority were references to the Corporation or the Commission either individually, jointly or severally in accordance with the transfer order.</w:t>
      </w:r>
    </w:p>
    <w:p>
      <w:pPr>
        <w:pStyle w:val="nzSubsection"/>
      </w:pPr>
      <w:r>
        <w:tab/>
        <w:t>(2)</w:t>
      </w:r>
      <w:r>
        <w:tab/>
        <w:t>The Minister may, by further by</w:t>
      </w:r>
      <w:r>
        <w:noBreakHyphen/>
        <w:t>laws, amend by</w:t>
      </w:r>
      <w:r>
        <w:noBreakHyphen/>
        <w:t>laws that are made applicable by subsection (1).</w:t>
      </w:r>
    </w:p>
    <w:p>
      <w:pPr>
        <w:pStyle w:val="nzHeading5"/>
        <w:rPr>
          <w:snapToGrid w:val="0"/>
        </w:rPr>
      </w:pPr>
      <w:r>
        <w:rPr>
          <w:snapToGrid w:val="0"/>
        </w:rPr>
        <w:t>197.</w:t>
      </w:r>
      <w:r>
        <w:rPr>
          <w:snapToGrid w:val="0"/>
        </w:rPr>
        <w:tab/>
        <w:t xml:space="preserve">Guarantees in respect of Authority </w:t>
      </w:r>
    </w:p>
    <w:p>
      <w:pPr>
        <w:pStyle w:val="nzSubsection"/>
      </w:pPr>
      <w:r>
        <w:tab/>
        <w:t>(1)</w:t>
      </w:r>
      <w:r>
        <w:tab/>
        <w:t>A guarantee under section 52(1) or 54(4) of the principal Act as in force immediately before the commencement day is not affected by — </w:t>
      </w:r>
    </w:p>
    <w:p>
      <w:pPr>
        <w:pStyle w:val="nzIndenta"/>
        <w:rPr>
          <w:snapToGrid w:val="0"/>
        </w:rPr>
      </w:pPr>
      <w:r>
        <w:rPr>
          <w:snapToGrid w:val="0"/>
        </w:rPr>
        <w:tab/>
        <w:t>(a)</w:t>
      </w:r>
      <w:r>
        <w:rPr>
          <w:snapToGrid w:val="0"/>
        </w:rPr>
        <w:tab/>
        <w:t>any provision of this Act, including without limitation the transfer of any liability of the Authority under section 192, 193 or 194 to the Corporation or the Commission individually or to those bodies jointly; or</w:t>
      </w:r>
    </w:p>
    <w:p>
      <w:pPr>
        <w:pStyle w:val="nzIndenta"/>
        <w:rPr>
          <w:snapToGrid w:val="0"/>
        </w:rPr>
      </w:pPr>
      <w:r>
        <w:rPr>
          <w:snapToGrid w:val="0"/>
        </w:rPr>
        <w:tab/>
        <w:t>(b)</w:t>
      </w:r>
      <w:r>
        <w:rPr>
          <w:snapToGrid w:val="0"/>
        </w:rPr>
        <w:tab/>
        <w:t>any transfer, vesting or assumption of any liability of the Authority to, in or by the Corporation or the Commission, or those bodies jointly, by any other means.</w:t>
      </w:r>
    </w:p>
    <w:p>
      <w:pPr>
        <w:pStyle w:val="nzSubsection"/>
      </w:pPr>
      <w:r>
        <w:tab/>
        <w:t>(2)</w:t>
      </w:r>
      <w:r>
        <w:tab/>
        <w:t>Any guarantee referred to in subsection (1) is to continue in force and is to be read and construed, on and from — </w:t>
      </w:r>
    </w:p>
    <w:p>
      <w:pPr>
        <w:pStyle w:val="nzIndenta"/>
        <w:rPr>
          <w:snapToGrid w:val="0"/>
        </w:rPr>
      </w:pPr>
      <w:r>
        <w:rPr>
          <w:snapToGrid w:val="0"/>
        </w:rPr>
        <w:tab/>
        <w:t>(a)</w:t>
      </w:r>
      <w:r>
        <w:rPr>
          <w:snapToGrid w:val="0"/>
        </w:rPr>
        <w:tab/>
        <w:t>the commencement day; or</w:t>
      </w:r>
    </w:p>
    <w:p>
      <w:pPr>
        <w:pStyle w:val="nzIndenta"/>
        <w:rPr>
          <w:snapToGrid w:val="0"/>
        </w:rPr>
      </w:pPr>
      <w:r>
        <w:rPr>
          <w:snapToGrid w:val="0"/>
        </w:rPr>
        <w:tab/>
        <w:t>(b)</w:t>
      </w:r>
      <w:r>
        <w:rPr>
          <w:snapToGrid w:val="0"/>
        </w:rPr>
        <w:tab/>
        <w:t>the day on which the transfer, vesting or assumption by any other means referred to in subsection (1) is effective,</w:t>
      </w:r>
    </w:p>
    <w:p>
      <w:pPr>
        <w:pStyle w:val="nzSubsection"/>
      </w:pPr>
      <w:r>
        <w:tab/>
      </w:r>
      <w:r>
        <w:tab/>
        <w:t>as if it were a guarantee in respect of the body to, in or by which the liabilities have been transferred, vested or assumed.</w:t>
      </w:r>
    </w:p>
    <w:p>
      <w:pPr>
        <w:pStyle w:val="nzSubsection"/>
      </w:pPr>
      <w:r>
        <w:tab/>
        <w:t>(3)</w:t>
      </w:r>
      <w:r>
        <w:tab/>
        <w:t>Despite its repeal by section 26 of this Act, section 52(4)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 xml:space="preserve">Subject to subsection (7), sections 83 and 84 of the </w:t>
      </w:r>
      <w:r>
        <w:rPr>
          <w:i/>
        </w:rPr>
        <w:t>Water Corporation Act 1995</w:t>
      </w:r>
      <w:r>
        <w:t xml:space="preserve"> are to be taken to apply to a liability of the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Subject to subsection (7), sections 29 and 30 of the </w:t>
      </w:r>
      <w:r>
        <w:rPr>
          <w:i/>
        </w:rPr>
        <w:t>Water and Rivers Commission Act 1995</w:t>
      </w:r>
      <w:r>
        <w:t xml:space="preserve"> are to be taken to apply to a liability of the Commission referred to in subsection (1) if a guarantee of that liability cannot be preserved under this section (whether because the guarantee is governed otherwise than by the law of the State or for any other reason).</w:t>
      </w:r>
    </w:p>
    <w:p>
      <w:pPr>
        <w:pStyle w:val="nzSubsection"/>
      </w:pPr>
      <w:r>
        <w:tab/>
        <w:t>(7)</w:t>
      </w:r>
      <w:r>
        <w:tab/>
        <w:t>If a guarantee (</w:t>
      </w:r>
      <w:r>
        <w:rPr>
          <w:b/>
        </w:rPr>
        <w:t>“the original guarantee”</w:t>
      </w:r>
      <w:r>
        <w:t>) cannot be preserved as mentioned in subsection (5) or (6) and the lender requests the Treasurer to exercise powers referred to in that subsection to give a guarantee in the same terms as the original guarantee, the Treasurer is to comply with that request.</w:t>
      </w:r>
    </w:p>
    <w:p>
      <w:pPr>
        <w:pStyle w:val="nzSubsection"/>
      </w:pPr>
      <w:r>
        <w:tab/>
        <w:t>(8)</w:t>
      </w:r>
      <w:r>
        <w:tab/>
        <w:t>By virtue of this subsection, any sum paid by the Treasurer under a guarantee referred to in subsection (1) in respect of the Corporation constitutes a charge on the assets of the Corporation.</w:t>
      </w:r>
    </w:p>
    <w:p>
      <w:pPr>
        <w:pStyle w:val="nzHeading5"/>
        <w:rPr>
          <w:snapToGrid w:val="0"/>
        </w:rPr>
      </w:pPr>
      <w:r>
        <w:rPr>
          <w:snapToGrid w:val="0"/>
        </w:rPr>
        <w:t>198.</w:t>
      </w:r>
      <w:r>
        <w:rPr>
          <w:snapToGrid w:val="0"/>
        </w:rPr>
        <w:tab/>
        <w:t xml:space="preserve">Authority to complete necessary transactions </w:t>
      </w:r>
    </w:p>
    <w:p>
      <w:pPr>
        <w:pStyle w:val="nzSubsection"/>
      </w:pPr>
      <w:r>
        <w:tab/>
        <w:t>(1)</w:t>
      </w:r>
      <w:r>
        <w:tab/>
        <w:t>Where any asset, right or liability of the Authority cannot be properly vested in or succeeded to by the Corporation or the Commission, or by both of those bodies, by the operation of this Part (whether because the matter is governed otherwise than by the law of the State, or for any other reason) — </w:t>
      </w:r>
    </w:p>
    <w:p>
      <w:pPr>
        <w:pStyle w:val="nzIndenta"/>
        <w:rPr>
          <w:snapToGrid w:val="0"/>
        </w:rPr>
      </w:pPr>
      <w:r>
        <w:rPr>
          <w:snapToGrid w:val="0"/>
        </w:rPr>
        <w:tab/>
        <w:t>(a)</w:t>
      </w:r>
      <w:r>
        <w:rPr>
          <w:snapToGrid w:val="0"/>
        </w:rPr>
        <w:tab/>
        <w:t>the Authority is to be taken to continue to hold or be liable for that asset, right or liability until the same is effectively vested in or succeeded to by the Corporation or the Commission, or by both of those bodies, in accordance with the transfer order; and</w:t>
      </w:r>
    </w:p>
    <w:p>
      <w:pPr>
        <w:pStyle w:val="nzIndenta"/>
        <w:rPr>
          <w:snapToGrid w:val="0"/>
        </w:rPr>
      </w:pPr>
      <w:r>
        <w:rPr>
          <w:snapToGrid w:val="0"/>
        </w:rPr>
        <w:tab/>
        <w:t>(b)</w:t>
      </w:r>
      <w:r>
        <w:rPr>
          <w:snapToGrid w:val="0"/>
        </w:rPr>
        <w:tab/>
        <w:t>the Authority is to take all practicable steps for the purpose of securing that such asset, right or liability is effectively vested in or succeeded to by the Corporation or the Commission, or by both of those bodies, in accordance with the transfer order.</w:t>
      </w:r>
    </w:p>
    <w:p>
      <w:pPr>
        <w:pStyle w:val="nzSubsection"/>
      </w:pPr>
      <w:r>
        <w:tab/>
        <w:t>(2)</w:t>
      </w:r>
      <w:r>
        <w:tab/>
        <w:t>The fact that subsection (1)(a) applies to an asset, right or liability that is allocated to the Corporation or the Commission, or to both of those bodies, under this Part does not affect the duty of the Corporation or the Commission, or both of those bodies, to account for and report on that asset, right or liability under the written law by which the body is established.</w:t>
      </w:r>
    </w:p>
    <w:p>
      <w:pPr>
        <w:pStyle w:val="nzHeading5"/>
        <w:rPr>
          <w:snapToGrid w:val="0"/>
        </w:rPr>
      </w:pPr>
      <w:r>
        <w:rPr>
          <w:snapToGrid w:val="0"/>
        </w:rPr>
        <w:t>199.</w:t>
      </w:r>
      <w:r>
        <w:rPr>
          <w:snapToGrid w:val="0"/>
        </w:rPr>
        <w:tab/>
        <w:t xml:space="preserve">Exemption from State taxation </w:t>
      </w:r>
    </w:p>
    <w:p>
      <w:pPr>
        <w:pStyle w:val="nzSubsection"/>
      </w:pPr>
      <w:r>
        <w:tab/>
        <w:t>(1)</w:t>
      </w:r>
      <w:r>
        <w:tab/>
        <w:t>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State tax is not payable in relation to — </w:t>
      </w:r>
    </w:p>
    <w:p>
      <w:pPr>
        <w:pStyle w:val="nzIndenta"/>
        <w:rPr>
          <w:snapToGrid w:val="0"/>
        </w:rPr>
      </w:pPr>
      <w:r>
        <w:rPr>
          <w:snapToGrid w:val="0"/>
        </w:rPr>
        <w:tab/>
        <w:t>(a)</w:t>
      </w:r>
      <w:r>
        <w:rPr>
          <w:snapToGrid w:val="0"/>
        </w:rPr>
        <w:tab/>
        <w:t>anything that occurs by the operation of this Part; or</w:t>
      </w:r>
    </w:p>
    <w:p>
      <w:pPr>
        <w:pStyle w:val="nzIndenta"/>
        <w:rPr>
          <w:snapToGrid w:val="0"/>
        </w:rPr>
      </w:pPr>
      <w:r>
        <w:rPr>
          <w:snapToGrid w:val="0"/>
        </w:rPr>
        <w:tab/>
        <w:t>(b)</w:t>
      </w:r>
      <w:r>
        <w:rPr>
          <w:snapToGrid w:val="0"/>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keepNext/>
      </w:pPr>
      <w:r>
        <w:tab/>
        <w:t>(3)</w:t>
      </w:r>
      <w:r>
        <w:tab/>
        <w:t>The Treasurer or a person authorized by the Treasurer may, on request by the Corporation or the Commission, certify in writing that — </w:t>
      </w:r>
    </w:p>
    <w:p>
      <w:pPr>
        <w:pStyle w:val="nzIndenta"/>
        <w:rPr>
          <w:snapToGrid w:val="0"/>
        </w:rPr>
      </w:pPr>
      <w:r>
        <w:rPr>
          <w:snapToGrid w:val="0"/>
        </w:rPr>
        <w:tab/>
        <w:t>(a)</w:t>
      </w:r>
      <w:r>
        <w:rPr>
          <w:snapToGrid w:val="0"/>
        </w:rPr>
        <w:tab/>
        <w:t>a specified thing occurred by the operation of this Part; or</w:t>
      </w:r>
    </w:p>
    <w:p>
      <w:pPr>
        <w:pStyle w:val="nzIndenta"/>
        <w:rPr>
          <w:snapToGrid w:val="0"/>
        </w:rPr>
      </w:pPr>
      <w:r>
        <w:rPr>
          <w:snapToGrid w:val="0"/>
        </w:rPr>
        <w:tab/>
        <w:t>(b)</w:t>
      </w:r>
      <w:r>
        <w:rPr>
          <w:snapToGrid w:val="0"/>
        </w:rP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rPr>
          <w:snapToGrid w:val="0"/>
        </w:rPr>
      </w:pPr>
      <w:r>
        <w:rPr>
          <w:snapToGrid w:val="0"/>
        </w:rPr>
        <w:t>200.</w:t>
      </w:r>
      <w:r>
        <w:rPr>
          <w:snapToGrid w:val="0"/>
        </w:rPr>
        <w:tab/>
        <w:t xml:space="preserve">Registration of documents </w:t>
      </w:r>
    </w:p>
    <w:p>
      <w:pPr>
        <w:pStyle w:val="nzSubsection"/>
      </w:pPr>
      <w:r>
        <w:tab/>
        <w:t>(1)</w:t>
      </w:r>
      <w:r>
        <w:tab/>
        <w:t>The relevant officials are to take notice of the provisions of this Part and are empowered to record and register in the appropriate manner the necessary documents, and otherwise to give effect to this Part.</w:t>
      </w:r>
    </w:p>
    <w:p>
      <w:pPr>
        <w:pStyle w:val="nzSubsection"/>
      </w:pPr>
      <w:r>
        <w:tab/>
        <w:t>(2)</w:t>
      </w:r>
      <w:r>
        <w:tab/>
        <w:t>Without limiting subsection (1), a statement in an instrument executed by the Corporation or the Commission that any estate or interest in land or other property has become vested in it or in those bodies jointly or in specified shares under section 192, 193 or 194 is evidence of that fact, and the relevant official is entitled to rely on that statement without making further enquiry.</w:t>
      </w:r>
    </w:p>
    <w:p>
      <w:pPr>
        <w:pStyle w:val="nzSubsection"/>
      </w:pPr>
      <w:r>
        <w:tab/>
        <w:t>(3)</w:t>
      </w:r>
      <w:r>
        <w:tab/>
        <w:t>In subsection (1) — </w:t>
      </w:r>
    </w:p>
    <w:p>
      <w:pPr>
        <w:pStyle w:val="nzDefstart"/>
      </w:pPr>
      <w:r>
        <w:rPr>
          <w:b/>
        </w:rPr>
        <w:tab/>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authorized by a written law to record and give effect to the registration of documents relating to transactions affecting any estate or interest in land or any other property.</w:t>
      </w:r>
    </w:p>
    <w:p>
      <w:pPr>
        <w:pStyle w:val="nzHeading3"/>
        <w:rPr>
          <w:snapToGrid w:val="0"/>
        </w:rPr>
      </w:pPr>
      <w:r>
        <w:rPr>
          <w:snapToGrid w:val="0"/>
        </w:rPr>
        <w:t xml:space="preserve">Division 4 — Staff, transition of employment </w:t>
      </w:r>
    </w:p>
    <w:p>
      <w:pPr>
        <w:pStyle w:val="nzHeading5"/>
        <w:rPr>
          <w:snapToGrid w:val="0"/>
        </w:rPr>
      </w:pPr>
      <w:r>
        <w:rPr>
          <w:snapToGrid w:val="0"/>
        </w:rPr>
        <w:t>203.</w:t>
      </w:r>
      <w:r>
        <w:rPr>
          <w:snapToGrid w:val="0"/>
        </w:rPr>
        <w:tab/>
        <w:t xml:space="preserve">Transition to staff of Corporation </w:t>
      </w:r>
    </w:p>
    <w:p>
      <w:pPr>
        <w:pStyle w:val="nzSubsection"/>
      </w:pPr>
      <w:r>
        <w:rPr>
          <w:snapToGrid w:val="0"/>
        </w:rPr>
        <w:tab/>
      </w:r>
      <w:r>
        <w:rPr>
          <w:snapToGrid w:val="0"/>
        </w:rPr>
        <w:tab/>
      </w:r>
      <w:r>
        <w:t xml:space="preserve">Any agreement made at any time between the Authority and a person for the employment of that person on the staff of the Corporation has effect after the commencement of section 15 of the </w:t>
      </w:r>
      <w:r>
        <w:rPr>
          <w:i/>
        </w:rPr>
        <w:t>Water Corporation Act 1995</w:t>
      </w:r>
      <w:r>
        <w:t xml:space="preserve"> as if the person had been engaged by the board of the Corporation under that section.</w:t>
      </w:r>
    </w:p>
    <w:p>
      <w:pPr>
        <w:pStyle w:val="nzHeading5"/>
        <w:rPr>
          <w:snapToGrid w:val="0"/>
        </w:rPr>
      </w:pPr>
      <w:r>
        <w:rPr>
          <w:snapToGrid w:val="0"/>
        </w:rPr>
        <w:t>204.</w:t>
      </w:r>
      <w:r>
        <w:rPr>
          <w:snapToGrid w:val="0"/>
        </w:rPr>
        <w:tab/>
        <w:t xml:space="preserve">Transition to staff of Commission </w:t>
      </w:r>
    </w:p>
    <w:p>
      <w:pPr>
        <w:pStyle w:val="nzSubsection"/>
        <w:keepNext/>
      </w:pPr>
      <w:r>
        <w:rPr>
          <w:snapToGrid w:val="0"/>
        </w:rPr>
        <w:tab/>
      </w:r>
      <w:r>
        <w:t>(1)</w:t>
      </w:r>
      <w:r>
        <w:tab/>
        <w:t>Any agreement made at any time between a person and — </w:t>
      </w:r>
    </w:p>
    <w:p>
      <w:pPr>
        <w:pStyle w:val="nzIndenta"/>
        <w:rPr>
          <w:snapToGrid w:val="0"/>
        </w:rPr>
      </w:pPr>
      <w:r>
        <w:rPr>
          <w:snapToGrid w:val="0"/>
        </w:rPr>
        <w:tab/>
        <w:t>(a)</w:t>
      </w:r>
      <w:r>
        <w:rPr>
          <w:snapToGrid w:val="0"/>
        </w:rPr>
        <w:tab/>
        <w:t>the employing authority of the department of the Public Service designated as the Water and Rivers Commission (or as it may be redesignated); or</w:t>
      </w:r>
    </w:p>
    <w:p>
      <w:pPr>
        <w:pStyle w:val="nzIndenta"/>
        <w:rPr>
          <w:snapToGrid w:val="0"/>
        </w:rPr>
      </w:pPr>
      <w:r>
        <w:rPr>
          <w:snapToGrid w:val="0"/>
        </w:rPr>
        <w:tab/>
        <w:t>(b)</w:t>
      </w:r>
      <w:r>
        <w:rPr>
          <w:snapToGrid w:val="0"/>
        </w:rPr>
        <w:tab/>
        <w:t>the Commission,</w:t>
      </w:r>
    </w:p>
    <w:p>
      <w:pPr>
        <w:pStyle w:val="nzSubsection"/>
      </w:pPr>
      <w:r>
        <w:rPr>
          <w:snapToGrid w:val="0"/>
        </w:rPr>
        <w:tab/>
      </w:r>
      <w:r>
        <w:tab/>
        <w:t xml:space="preserve">for the employment of that person on the staff of the Commission has effect after the commencement of Part 5 of the </w:t>
      </w:r>
      <w:r>
        <w:rPr>
          <w:i/>
        </w:rPr>
        <w:t>Water and Rivers Commission Act 1995</w:t>
      </w:r>
      <w:r>
        <w:t xml:space="preserve"> as if the person had been appointed in accordance with section 23(1) or engaged under section 23(2) of that Act, as the case may require.</w:t>
      </w:r>
    </w:p>
    <w:p>
      <w:pPr>
        <w:pStyle w:val="nzSubsection"/>
        <w:keepNext/>
      </w:pPr>
      <w:r>
        <w:tab/>
        <w:t>(2)</w:t>
      </w:r>
      <w:r>
        <w:tab/>
        <w:t xml:space="preserve">A person who immediately before the commencement day was engaged under section 39(5)(b) of the </w:t>
      </w:r>
      <w:r>
        <w:rPr>
          <w:i/>
        </w:rPr>
        <w:t>Waterways Conservation Act 1976</w:t>
      </w:r>
      <w:r>
        <w:t xml:space="preserve"> is to be taken after that day to be engaged by the Commission under the power referred to in section 23(5) of the </w:t>
      </w:r>
      <w:r>
        <w:rPr>
          <w:i/>
        </w:rPr>
        <w:t>Water and Rivers Commission Act 1995</w:t>
      </w:r>
      <w:r>
        <w:t>.</w:t>
      </w:r>
    </w:p>
    <w:p>
      <w:pPr>
        <w:pStyle w:val="nzSubsection"/>
      </w:pPr>
      <w:r>
        <w:tab/>
        <w:t>(3)</w:t>
      </w:r>
      <w:r>
        <w:tab/>
        <w:t>A person who immediately before the commencement day — </w:t>
      </w:r>
    </w:p>
    <w:p>
      <w:pPr>
        <w:pStyle w:val="nzIndenta"/>
        <w:rPr>
          <w:snapToGrid w:val="0"/>
        </w:rPr>
      </w:pPr>
      <w:r>
        <w:rPr>
          <w:snapToGrid w:val="0"/>
        </w:rPr>
        <w:tab/>
        <w:t>(a)</w:t>
      </w:r>
      <w:r>
        <w:rPr>
          <w:snapToGrid w:val="0"/>
        </w:rPr>
        <w:tab/>
        <w:t>was employed on the staff of the Water Resources Division of the Authority and does not come within subsection (1), section 203 or 205; or</w:t>
      </w:r>
    </w:p>
    <w:p>
      <w:pPr>
        <w:pStyle w:val="nzIndenta"/>
        <w:rPr>
          <w:snapToGrid w:val="0"/>
        </w:rPr>
      </w:pPr>
      <w:r>
        <w:rPr>
          <w:snapToGrid w:val="0"/>
        </w:rPr>
        <w:tab/>
        <w:t>(b)</w:t>
      </w:r>
      <w:r>
        <w:rPr>
          <w:snapToGrid w:val="0"/>
        </w:rPr>
        <w:tab/>
        <w:t>was employed on the staff of the Waterways Commission and does not come within subsection (1) or (2) or section 203 or 205,</w:t>
      </w:r>
    </w:p>
    <w:p>
      <w:pPr>
        <w:pStyle w:val="nzSubsection"/>
      </w:pPr>
      <w:r>
        <w:rPr>
          <w:snapToGrid w:val="0"/>
        </w:rPr>
        <w:tab/>
      </w:r>
      <w:r>
        <w:tab/>
        <w:t xml:space="preserve">is to be taken after that day to have been appointed in accordance with section 23(1), or engaged under section 23(2), of the </w:t>
      </w:r>
      <w:r>
        <w:rPr>
          <w:i/>
        </w:rPr>
        <w:t>Water and Rivers Commission Act 1995</w:t>
      </w:r>
      <w:r>
        <w:t>, as the case may require.</w:t>
      </w:r>
    </w:p>
    <w:p>
      <w:pPr>
        <w:pStyle w:val="nzHeading5"/>
        <w:rPr>
          <w:snapToGrid w:val="0"/>
        </w:rPr>
      </w:pPr>
      <w:r>
        <w:rPr>
          <w:snapToGrid w:val="0"/>
        </w:rPr>
        <w:t>205.</w:t>
      </w:r>
      <w:r>
        <w:rPr>
          <w:snapToGrid w:val="0"/>
        </w:rPr>
        <w:tab/>
        <w:t xml:space="preserve">Transition to staff of Coordinator </w:t>
      </w:r>
    </w:p>
    <w:p>
      <w:pPr>
        <w:pStyle w:val="nzSubsection"/>
      </w:pPr>
      <w:r>
        <w:rPr>
          <w:snapToGrid w:val="0"/>
        </w:rPr>
        <w:tab/>
      </w:r>
      <w:r>
        <w:rPr>
          <w:snapToGrid w:val="0"/>
        </w:rPr>
        <w:tab/>
      </w:r>
      <w:r>
        <w:t xml:space="preserve">Any agreement made at any time between the employing authority of the department of the Public Service designated as the Office of Water Regulation (or as it may be redesignated) and a person for the employment of that person on the staff of that Office has effect after the commencement of Part 2 of the </w:t>
      </w:r>
      <w:r>
        <w:rPr>
          <w:i/>
        </w:rPr>
        <w:t>Water Services Coordination Act 1995</w:t>
      </w:r>
      <w:r>
        <w:t xml:space="preserve"> as if the person had been appointed in accordance with section 6 of that Act.</w:t>
      </w:r>
    </w:p>
    <w:p>
      <w:pPr>
        <w:pStyle w:val="nzHeading5"/>
        <w:rPr>
          <w:snapToGrid w:val="0"/>
        </w:rPr>
      </w:pPr>
      <w:r>
        <w:rPr>
          <w:snapToGrid w:val="0"/>
        </w:rPr>
        <w:t>206.</w:t>
      </w:r>
      <w:r>
        <w:rPr>
          <w:snapToGrid w:val="0"/>
        </w:rPr>
        <w:tab/>
        <w:t xml:space="preserve">Corporation may be constituted an SES organization </w:t>
      </w:r>
    </w:p>
    <w:p>
      <w:pPr>
        <w:pStyle w:val="nzSubsection"/>
      </w:pPr>
      <w:r>
        <w:rPr>
          <w:snapToGrid w:val="0"/>
        </w:rPr>
        <w:tab/>
      </w:r>
      <w:r>
        <w:t>(1)</w:t>
      </w:r>
      <w:r>
        <w:tab/>
        <w:t xml:space="preserve">Despite sections 5 and 6 of the </w:t>
      </w:r>
      <w:r>
        <w:rPr>
          <w:i/>
        </w:rPr>
        <w:t>Water Corporation Act 1995</w:t>
      </w:r>
      <w:r>
        <w:t xml:space="preserve"> the Minister for Public Sector Management (in this section called </w:t>
      </w:r>
      <w:r>
        <w:rPr>
          <w:b/>
        </w:rPr>
        <w:t>“the Minister”</w:t>
      </w:r>
      <w:r>
        <w:t xml:space="preserve">) may by order published in the </w:t>
      </w:r>
      <w:r>
        <w:rPr>
          <w:i/>
        </w:rPr>
        <w:t>Gazette</w:t>
      </w:r>
      <w:r>
        <w:t xml:space="preserve"> (</w:t>
      </w:r>
      <w:r>
        <w:rPr>
          <w:b/>
        </w:rPr>
        <w:t>“an order”</w:t>
      </w:r>
      <w:r>
        <w:t xml:space="preserve">) constitute the Corporation as an SES organization within the meaning in the </w:t>
      </w:r>
      <w:r>
        <w:rPr>
          <w:i/>
        </w:rPr>
        <w:t>Public Sector Management Act 1994</w:t>
      </w:r>
      <w:r>
        <w:t xml:space="preserve"> (</w:t>
      </w:r>
      <w:r>
        <w:rPr>
          <w:b/>
        </w:rPr>
        <w:t>“the PSMA”</w:t>
      </w:r>
      <w:r>
        <w:t>).</w:t>
      </w:r>
    </w:p>
    <w:p>
      <w:pPr>
        <w:pStyle w:val="nzSubsection"/>
      </w:pPr>
      <w:r>
        <w:tab/>
        <w:t>(2)</w:t>
      </w:r>
      <w:r>
        <w:tab/>
        <w:t>An order is only to be made if the Minister is satisfied that it is necessary to do so to make temporary provision for the employment of persons who before the commencement day were employed on the staff of the Authority but whose employment is not otherwise covered by this Division after that day.</w:t>
      </w:r>
    </w:p>
    <w:p>
      <w:pPr>
        <w:pStyle w:val="nzSubsection"/>
        <w:keepNext/>
      </w:pPr>
      <w:r>
        <w:tab/>
        <w:t>(3)</w:t>
      </w:r>
      <w:r>
        <w:tab/>
        <w:t>An order — </w:t>
      </w:r>
    </w:p>
    <w:p>
      <w:pPr>
        <w:pStyle w:val="nzIndenta"/>
        <w:keepNext/>
        <w:rPr>
          <w:snapToGrid w:val="0"/>
        </w:rPr>
      </w:pPr>
      <w:r>
        <w:rPr>
          <w:snapToGrid w:val="0"/>
        </w:rPr>
        <w:tab/>
        <w:t>(a)</w:t>
      </w:r>
      <w:r>
        <w:rPr>
          <w:snapToGrid w:val="0"/>
        </w:rPr>
        <w:tab/>
        <w:t>is to provide for the expiry of the order on a specified day; and</w:t>
      </w:r>
    </w:p>
    <w:p>
      <w:pPr>
        <w:pStyle w:val="nzIndenta"/>
        <w:rPr>
          <w:snapToGrid w:val="0"/>
        </w:rPr>
      </w:pPr>
      <w:r>
        <w:rPr>
          <w:snapToGrid w:val="0"/>
        </w:rPr>
        <w:tab/>
        <w:t>(b)</w:t>
      </w:r>
      <w:r>
        <w:rPr>
          <w:snapToGrid w:val="0"/>
        </w:rPr>
        <w:tab/>
        <w:t>may contain such incidental and supplementary provisions as the Minister thinks fit.</w:t>
      </w:r>
    </w:p>
    <w:p>
      <w:pPr>
        <w:pStyle w:val="nzSubsection"/>
      </w:pPr>
      <w:r>
        <w:tab/>
        <w:t>(4)</w:t>
      </w:r>
      <w:r>
        <w:tab/>
        <w:t>Subsection (3)(a) does not prevent the amendment of an order to extend its operation or the making of a new order on the expiry of an order.</w:t>
      </w:r>
    </w:p>
    <w:p>
      <w:pPr>
        <w:pStyle w:val="nzSubsection"/>
      </w:pPr>
      <w:r>
        <w:tab/>
        <w:t>(5)</w:t>
      </w:r>
      <w:r>
        <w:tab/>
        <w:t>The effect of an order is that while the order is in force, and subject to its terms — </w:t>
      </w:r>
    </w:p>
    <w:p>
      <w:pPr>
        <w:pStyle w:val="nzIndenta"/>
        <w:rPr>
          <w:snapToGrid w:val="0"/>
        </w:rPr>
      </w:pPr>
      <w:r>
        <w:rPr>
          <w:snapToGrid w:val="0"/>
        </w:rPr>
        <w:tab/>
        <w:t>(a)</w:t>
      </w:r>
      <w:r>
        <w:rPr>
          <w:snapToGrid w:val="0"/>
        </w:rPr>
        <w:tab/>
        <w:t>the board of the Corporation is to perform the functions of an employing authority under the PSMA in respect of persons referred to in subsection (2); and</w:t>
      </w:r>
    </w:p>
    <w:p>
      <w:pPr>
        <w:pStyle w:val="nzIndenta"/>
        <w:rPr>
          <w:snapToGrid w:val="0"/>
        </w:rPr>
      </w:pPr>
      <w:r>
        <w:rPr>
          <w:snapToGrid w:val="0"/>
        </w:rPr>
        <w:tab/>
        <w:t>(b)</w:t>
      </w:r>
      <w:r>
        <w:rPr>
          <w:snapToGrid w:val="0"/>
        </w:rPr>
        <w:tab/>
        <w:t>the chief executive officer of the Corporation is to perform the functions of a chief executive officer under the PSMA in respect of those persons, but only to the extent that he or she would be required to do so if he or she were deemed to be a chief executive officer under section 4(6) of the PSMA.</w:t>
      </w:r>
    </w:p>
    <w:p>
      <w:pPr>
        <w:pStyle w:val="nzSubsection"/>
      </w:pPr>
      <w:r>
        <w:tab/>
        <w:t>(6)</w:t>
      </w:r>
      <w:r>
        <w:tab/>
        <w:t xml:space="preserve">The Minister may amend an order by further order published in the </w:t>
      </w:r>
      <w:r>
        <w:rPr>
          <w:i/>
        </w:rPr>
        <w:t>Gazette</w:t>
      </w:r>
      <w:r>
        <w:t>, and is to revoke an order in like manner as soon as the Minister is satisfied that the need referred to in subsection (2) no longer applies.</w:t>
      </w:r>
    </w:p>
    <w:p>
      <w:pPr>
        <w:pStyle w:val="nzHeading5"/>
        <w:rPr>
          <w:snapToGrid w:val="0"/>
        </w:rPr>
      </w:pPr>
      <w:r>
        <w:rPr>
          <w:snapToGrid w:val="0"/>
        </w:rPr>
        <w:t>207.</w:t>
      </w:r>
      <w:r>
        <w:rPr>
          <w:snapToGrid w:val="0"/>
        </w:rPr>
        <w:tab/>
        <w:t xml:space="preserve">Saving </w:t>
      </w:r>
    </w:p>
    <w:p>
      <w:pPr>
        <w:pStyle w:val="nzSubsection"/>
      </w:pPr>
      <w:r>
        <w:rPr>
          <w:snapToGrid w:val="0"/>
        </w:rPr>
        <w:tab/>
      </w:r>
      <w:r>
        <w:tab/>
        <w:t>A person who comes within section 204(3) or 206 may be party to an agreement referred to in section 204 or 205 after the commencement day, in which case the agreement has effect under that section on the day provided for in the agreement.</w:t>
      </w:r>
    </w:p>
    <w:p>
      <w:pPr>
        <w:pStyle w:val="nzHeading5"/>
        <w:rPr>
          <w:snapToGrid w:val="0"/>
        </w:rPr>
      </w:pPr>
      <w:r>
        <w:rPr>
          <w:snapToGrid w:val="0"/>
        </w:rPr>
        <w:t>208.</w:t>
      </w:r>
      <w:r>
        <w:rPr>
          <w:snapToGrid w:val="0"/>
        </w:rPr>
        <w:tab/>
        <w:t xml:space="preserve">Employees’ rights preserved </w:t>
      </w:r>
    </w:p>
    <w:p>
      <w:pPr>
        <w:pStyle w:val="nzSubsection"/>
        <w:keepNext/>
      </w:pPr>
      <w:r>
        <w:rPr>
          <w:snapToGrid w:val="0"/>
        </w:rPr>
        <w:tab/>
      </w:r>
      <w:r>
        <w:tab/>
        <w:t>Except as otherwise agreed by an employee, the operation of this Division does not — </w:t>
      </w:r>
    </w:p>
    <w:p>
      <w:pPr>
        <w:pStyle w:val="nzIndenta"/>
        <w:rPr>
          <w:snapToGrid w:val="0"/>
        </w:rPr>
      </w:pPr>
      <w:r>
        <w:rPr>
          <w:snapToGrid w:val="0"/>
        </w:rPr>
        <w:tab/>
        <w:t>(a)</w:t>
      </w:r>
      <w:r>
        <w:rPr>
          <w:snapToGrid w:val="0"/>
        </w:rPr>
        <w:tab/>
        <w:t xml:space="preserve">affect the employee’s pay, as that term is defined in regulation 3 of the </w:t>
      </w:r>
      <w:r>
        <w:rPr>
          <w:i/>
          <w:snapToGrid w:val="0"/>
        </w:rPr>
        <w:t>Public Sector Management (Redeployment and Redundancy) Regulations 1994</w:t>
      </w:r>
      <w:r>
        <w:rPr>
          <w:snapToGrid w:val="0"/>
        </w:rPr>
        <w:t>;</w:t>
      </w:r>
    </w:p>
    <w:p>
      <w:pPr>
        <w:pStyle w:val="nzIndenta"/>
        <w:rPr>
          <w:snapToGrid w:val="0"/>
        </w:rPr>
      </w:pPr>
      <w:r>
        <w:rPr>
          <w:snapToGrid w:val="0"/>
        </w:rPr>
        <w:tab/>
        <w:t>(b)</w:t>
      </w:r>
      <w:r>
        <w:rPr>
          <w:snapToGrid w:val="0"/>
        </w:rPr>
        <w:tab/>
        <w:t>prejudice the employee’s existing or accruing rights in respect of annual leave, long service leave or sick leave;</w:t>
      </w:r>
    </w:p>
    <w:p>
      <w:pPr>
        <w:pStyle w:val="nzIndenta"/>
        <w:rPr>
          <w:snapToGrid w:val="0"/>
        </w:rPr>
      </w:pPr>
      <w:r>
        <w:rPr>
          <w:snapToGrid w:val="0"/>
        </w:rPr>
        <w:tab/>
        <w:t>(c)</w:t>
      </w:r>
      <w:r>
        <w:rPr>
          <w:snapToGrid w:val="0"/>
        </w:rPr>
        <w:tab/>
        <w:t>affect any rights under a superannuation scheme; or</w:t>
      </w:r>
    </w:p>
    <w:p>
      <w:pPr>
        <w:pStyle w:val="nzIndenta"/>
        <w:rPr>
          <w:snapToGrid w:val="0"/>
        </w:rPr>
      </w:pPr>
      <w:r>
        <w:rPr>
          <w:snapToGrid w:val="0"/>
        </w:rPr>
        <w:tab/>
        <w:t>(d)</w:t>
      </w:r>
      <w:r>
        <w:rPr>
          <w:snapToGrid w:val="0"/>
        </w:rPr>
        <w:tab/>
        <w:t>interrupt continuity of service.</w:t>
      </w:r>
    </w:p>
    <w:p>
      <w:pPr>
        <w:pStyle w:val="nzHeading3"/>
        <w:rPr>
          <w:snapToGrid w:val="0"/>
        </w:rPr>
      </w:pPr>
      <w:r>
        <w:rPr>
          <w:snapToGrid w:val="0"/>
        </w:rPr>
        <w:t xml:space="preserve">Division 5 — General transitional provisions </w:t>
      </w:r>
    </w:p>
    <w:p>
      <w:pPr>
        <w:pStyle w:val="nzHeading5"/>
        <w:rPr>
          <w:snapToGrid w:val="0"/>
        </w:rPr>
      </w:pPr>
      <w:r>
        <w:rPr>
          <w:snapToGrid w:val="0"/>
        </w:rPr>
        <w:t>209.</w:t>
      </w:r>
      <w:r>
        <w:rPr>
          <w:snapToGrid w:val="0"/>
        </w:rPr>
        <w:tab/>
        <w:t xml:space="preserve">Definitions </w:t>
      </w:r>
    </w:p>
    <w:p>
      <w:pPr>
        <w:pStyle w:val="nzSubsection"/>
      </w:pPr>
      <w:r>
        <w:tab/>
      </w:r>
      <w:r>
        <w:tab/>
        <w:t>In this Division, unless the contrary intention appears — </w:t>
      </w:r>
    </w:p>
    <w:p>
      <w:pPr>
        <w:pStyle w:val="nzDefstart"/>
        <w:rPr>
          <w:b/>
        </w:rPr>
      </w:pPr>
      <w:r>
        <w:rPr>
          <w:b/>
        </w:rPr>
        <w:tab/>
        <w:t xml:space="preserve">“former body” </w:t>
      </w:r>
      <w:r>
        <w:t>means</w:t>
      </w:r>
      <w:r>
        <w:rPr>
          <w:b/>
        </w:rPr>
        <w:t> — </w:t>
      </w:r>
    </w:p>
    <w:p>
      <w:pPr>
        <w:pStyle w:val="nzDefpara"/>
      </w:pPr>
      <w:r>
        <w:tab/>
        <w:t>(a)</w:t>
      </w:r>
      <w:r>
        <w:tab/>
        <w:t>the Authority;</w:t>
      </w:r>
    </w:p>
    <w:p>
      <w:pPr>
        <w:pStyle w:val="nzDefpara"/>
      </w:pPr>
      <w:r>
        <w:tab/>
        <w:t>(b)</w:t>
      </w:r>
      <w:r>
        <w:tab/>
        <w:t>the Waterways Commission;</w:t>
      </w:r>
    </w:p>
    <w:p>
      <w:pPr>
        <w:pStyle w:val="nzDefpara"/>
      </w:pPr>
      <w:r>
        <w:tab/>
        <w:t>(c)</w:t>
      </w:r>
      <w:r>
        <w:tab/>
        <w:t>the Water Resources Council;</w:t>
      </w:r>
    </w:p>
    <w:p>
      <w:pPr>
        <w:pStyle w:val="nzDefstart"/>
      </w:pPr>
      <w:r>
        <w:tab/>
      </w:r>
      <w:r>
        <w:rPr>
          <w:b/>
        </w:rPr>
        <w:t>“relevant successor”</w:t>
      </w:r>
      <w:r>
        <w:t xml:space="preserve"> means — </w:t>
      </w:r>
    </w:p>
    <w:p>
      <w:pPr>
        <w:pStyle w:val="nzDefpara"/>
      </w:pPr>
      <w:r>
        <w:tab/>
        <w:t>(a)</w:t>
      </w:r>
      <w:r>
        <w:tab/>
        <w:t>the Corporation in relation to any function of the Authority that after the commencement day is a function of the Corporation;</w:t>
      </w:r>
    </w:p>
    <w:p>
      <w:pPr>
        <w:pStyle w:val="nzDefpara"/>
      </w:pPr>
      <w:r>
        <w:tab/>
        <w:t>(b)</w:t>
      </w:r>
      <w:r>
        <w:tab/>
        <w:t>the Commission in relation to any function of — </w:t>
      </w:r>
    </w:p>
    <w:p>
      <w:pPr>
        <w:pStyle w:val="nzDefsubpara"/>
        <w:keepLines w:val="0"/>
        <w:tabs>
          <w:tab w:val="clear" w:pos="2608"/>
          <w:tab w:val="clear" w:pos="2892"/>
          <w:tab w:val="right" w:pos="2694"/>
          <w:tab w:val="left" w:pos="2977"/>
        </w:tabs>
        <w:ind w:left="2977"/>
        <w:rPr>
          <w:snapToGrid w:val="0"/>
        </w:rPr>
      </w:pPr>
      <w:r>
        <w:rPr>
          <w:snapToGrid w:val="0"/>
        </w:rPr>
        <w:tab/>
        <w:t>(i)</w:t>
      </w:r>
      <w:r>
        <w:rPr>
          <w:snapToGrid w:val="0"/>
        </w:rPr>
        <w:tab/>
        <w:t>the Authority;</w:t>
      </w:r>
    </w:p>
    <w:p>
      <w:pPr>
        <w:pStyle w:val="nzDefsubpara"/>
        <w:keepLines w:val="0"/>
        <w:tabs>
          <w:tab w:val="clear" w:pos="2608"/>
          <w:tab w:val="clear" w:pos="2892"/>
          <w:tab w:val="right" w:pos="2694"/>
          <w:tab w:val="left" w:pos="2977"/>
        </w:tabs>
        <w:ind w:left="2977"/>
        <w:rPr>
          <w:snapToGrid w:val="0"/>
        </w:rPr>
      </w:pPr>
      <w:r>
        <w:rPr>
          <w:snapToGrid w:val="0"/>
        </w:rPr>
        <w:tab/>
        <w:t>(ii)</w:t>
      </w:r>
      <w:r>
        <w:rPr>
          <w:snapToGrid w:val="0"/>
        </w:rPr>
        <w:tab/>
        <w:t>the Waterways Commission; or</w:t>
      </w:r>
    </w:p>
    <w:p>
      <w:pPr>
        <w:pStyle w:val="nzDefsubpara"/>
        <w:keepLines w:val="0"/>
        <w:tabs>
          <w:tab w:val="clear" w:pos="2608"/>
          <w:tab w:val="clear" w:pos="2892"/>
          <w:tab w:val="right" w:pos="2694"/>
          <w:tab w:val="left" w:pos="2977"/>
        </w:tabs>
        <w:ind w:left="2977"/>
        <w:rPr>
          <w:snapToGrid w:val="0"/>
        </w:rPr>
      </w:pPr>
      <w:r>
        <w:rPr>
          <w:snapToGrid w:val="0"/>
        </w:rPr>
        <w:tab/>
        <w:t>(iii)</w:t>
      </w:r>
      <w:r>
        <w:rPr>
          <w:snapToGrid w:val="0"/>
        </w:rPr>
        <w:tab/>
        <w:t>the Water Resources Council,</w:t>
      </w:r>
    </w:p>
    <w:p>
      <w:pPr>
        <w:pStyle w:val="nzDefpara"/>
      </w:pPr>
      <w:r>
        <w:tab/>
      </w:r>
      <w:r>
        <w:tab/>
        <w:t>that after the commencement day is a function of the Commission;</w:t>
      </w:r>
    </w:p>
    <w:p>
      <w:pPr>
        <w:pStyle w:val="nzDefpara"/>
      </w:pPr>
      <w:r>
        <w:tab/>
        <w:t>(c)</w:t>
      </w:r>
      <w:r>
        <w:tab/>
        <w:t>the Coordinator in relation to any function of the Authority that after the commencement day is a function of the Coordinator.</w:t>
      </w:r>
    </w:p>
    <w:p>
      <w:pPr>
        <w:pStyle w:val="nzHeading5"/>
        <w:rPr>
          <w:snapToGrid w:val="0"/>
        </w:rPr>
      </w:pPr>
      <w:r>
        <w:rPr>
          <w:snapToGrid w:val="0"/>
        </w:rPr>
        <w:t>210.</w:t>
      </w:r>
      <w:r>
        <w:rPr>
          <w:snapToGrid w:val="0"/>
        </w:rPr>
        <w:tab/>
        <w:t xml:space="preserve">Annual report for part of a year </w:t>
      </w:r>
    </w:p>
    <w:p>
      <w:pPr>
        <w:pStyle w:val="nzSubsection"/>
      </w:pPr>
      <w:r>
        <w:rPr>
          <w:snapToGrid w:val="0"/>
        </w:rPr>
        <w:tab/>
      </w:r>
      <w:r>
        <w:rPr>
          <w:snapToGrid w:val="0"/>
        </w:rPr>
        <w:tab/>
      </w:r>
      <w:r>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snapToGrid w:val="0"/>
        </w:rPr>
      </w:pPr>
      <w:r>
        <w:rPr>
          <w:snapToGrid w:val="0"/>
        </w:rPr>
        <w:t>211.</w:t>
      </w:r>
      <w:r>
        <w:rPr>
          <w:snapToGrid w:val="0"/>
        </w:rPr>
        <w:tab/>
        <w:t xml:space="preserve">Completion of things commenced </w:t>
      </w:r>
    </w:p>
    <w:p>
      <w:pPr>
        <w:pStyle w:val="nzSubsection"/>
      </w:pPr>
      <w:r>
        <w:rPr>
          <w:snapToGrid w:val="0"/>
        </w:rPr>
        <w:tab/>
      </w:r>
      <w:r>
        <w:tab/>
        <w:t>Anything commenced to be done by a former body under any written law before the commencement day may be continued by the relevant successor so far as the doing of that thing is within the functions of the relevant successor after the commencement day.</w:t>
      </w:r>
    </w:p>
    <w:p>
      <w:pPr>
        <w:pStyle w:val="nzHeading5"/>
        <w:rPr>
          <w:snapToGrid w:val="0"/>
        </w:rPr>
      </w:pPr>
      <w:r>
        <w:rPr>
          <w:snapToGrid w:val="0"/>
        </w:rPr>
        <w:t>212.</w:t>
      </w:r>
      <w:r>
        <w:rPr>
          <w:snapToGrid w:val="0"/>
        </w:rPr>
        <w:tab/>
        <w:t xml:space="preserve">Continuing effect of things done </w:t>
      </w:r>
    </w:p>
    <w:p>
      <w:pPr>
        <w:pStyle w:val="nzSubsection"/>
      </w:pPr>
      <w:r>
        <w:rPr>
          <w:snapToGrid w:val="0"/>
        </w:rPr>
        <w:tab/>
      </w:r>
      <w:r>
        <w:tab/>
        <w:t>Any act, matter or thing done or omitted to be done before the commencement day by, to or in respect of a former body, to the extent that that act, matter or thing — </w:t>
      </w:r>
    </w:p>
    <w:p>
      <w:pPr>
        <w:pStyle w:val="nzIndenta"/>
        <w:rPr>
          <w:snapToGrid w:val="0"/>
        </w:rPr>
      </w:pPr>
      <w:r>
        <w:rPr>
          <w:snapToGrid w:val="0"/>
        </w:rPr>
        <w:tab/>
        <w:t>(a)</w:t>
      </w:r>
      <w:r>
        <w:rPr>
          <w:snapToGrid w:val="0"/>
        </w:rPr>
        <w:tab/>
        <w:t>has any force or significance after that day; and</w:t>
      </w:r>
    </w:p>
    <w:p>
      <w:pPr>
        <w:pStyle w:val="nzIndenta"/>
        <w:rPr>
          <w:snapToGrid w:val="0"/>
        </w:rPr>
      </w:pPr>
      <w:r>
        <w:rPr>
          <w:snapToGrid w:val="0"/>
        </w:rPr>
        <w:tab/>
        <w:t>(b)</w:t>
      </w:r>
      <w:r>
        <w:rPr>
          <w:snapToGrid w:val="0"/>
        </w:rPr>
        <w:tab/>
        <w:t>where the former body is the Authority, is not governed by section 192(1)(f), 193(1)(f), 194(g) or 195(e),</w:t>
      </w:r>
    </w:p>
    <w:p>
      <w:pPr>
        <w:pStyle w:val="nzSubsection"/>
      </w:pPr>
      <w:r>
        <w:tab/>
      </w:r>
      <w:r>
        <w:tab/>
        <w:t>is to be taken to have been done or omitted by, to or in respect of the relevant successor.</w:t>
      </w:r>
    </w:p>
    <w:p>
      <w:pPr>
        <w:pStyle w:val="nzHeading5"/>
        <w:rPr>
          <w:snapToGrid w:val="0"/>
        </w:rPr>
      </w:pPr>
      <w:r>
        <w:rPr>
          <w:snapToGrid w:val="0"/>
        </w:rPr>
        <w:t>213.</w:t>
      </w:r>
      <w:r>
        <w:rPr>
          <w:snapToGrid w:val="0"/>
        </w:rPr>
        <w:tab/>
        <w:t xml:space="preserve">Immunity to continue </w:t>
      </w:r>
    </w:p>
    <w:p>
      <w:pPr>
        <w:pStyle w:val="nzSubsection"/>
      </w:pPr>
      <w:r>
        <w:rPr>
          <w:snapToGrid w:val="0"/>
        </w:rPr>
        <w:tab/>
      </w:r>
      <w:r>
        <w:rPr>
          <w:snapToGrid w:val="0"/>
        </w:rPr>
        <w:tab/>
      </w:r>
      <w:r>
        <w:t>Despite any repeal effected by Part 2, where the Authority had the benefit of any immunity in respect of an act, matter or thing done or omitted before the commencement day, that immunity continues in that respect for the benefit of the relevant successor.</w:t>
      </w:r>
    </w:p>
    <w:p>
      <w:pPr>
        <w:pStyle w:val="nzHeading5"/>
        <w:rPr>
          <w:snapToGrid w:val="0"/>
        </w:rPr>
      </w:pPr>
      <w:r>
        <w:rPr>
          <w:snapToGrid w:val="0"/>
        </w:rPr>
        <w:t>214.</w:t>
      </w:r>
      <w:r>
        <w:rPr>
          <w:snapToGrid w:val="0"/>
        </w:rPr>
        <w:tab/>
        <w:t xml:space="preserve">References to Authority in Government agreements </w:t>
      </w:r>
    </w:p>
    <w:p>
      <w:pPr>
        <w:pStyle w:val="nzSubsection"/>
      </w:pPr>
      <w:r>
        <w:tab/>
        <w:t>(1)</w:t>
      </w:r>
      <w:r>
        <w:tab/>
        <w:t>A Government agreement which contains a reference to — </w:t>
      </w:r>
    </w:p>
    <w:p>
      <w:pPr>
        <w:pStyle w:val="nzIndenta"/>
        <w:rPr>
          <w:snapToGrid w:val="0"/>
        </w:rPr>
      </w:pPr>
      <w:r>
        <w:rPr>
          <w:snapToGrid w:val="0"/>
        </w:rPr>
        <w:tab/>
        <w:t>(a)</w:t>
      </w:r>
      <w:r>
        <w:rPr>
          <w:snapToGrid w:val="0"/>
        </w:rPr>
        <w:tab/>
        <w:t>the Authority;</w:t>
      </w:r>
    </w:p>
    <w:p>
      <w:pPr>
        <w:pStyle w:val="nzIndenta"/>
        <w:rPr>
          <w:snapToGrid w:val="0"/>
        </w:rPr>
      </w:pPr>
      <w:r>
        <w:rPr>
          <w:snapToGrid w:val="0"/>
        </w:rPr>
        <w:tab/>
        <w:t>(b)</w:t>
      </w:r>
      <w:r>
        <w:rPr>
          <w:snapToGrid w:val="0"/>
        </w:rPr>
        <w:tab/>
        <w:t>the Metropolitan Water Authority;</w:t>
      </w:r>
    </w:p>
    <w:p>
      <w:pPr>
        <w:pStyle w:val="nzIndenta"/>
        <w:rPr>
          <w:snapToGrid w:val="0"/>
        </w:rPr>
      </w:pPr>
      <w:r>
        <w:rPr>
          <w:snapToGrid w:val="0"/>
        </w:rPr>
        <w:tab/>
        <w:t>(c)</w:t>
      </w:r>
      <w:r>
        <w:rPr>
          <w:snapToGrid w:val="0"/>
        </w:rPr>
        <w:tab/>
        <w:t>the Metropolitan Water Supply, Sewerage and Drainage Department; or</w:t>
      </w:r>
    </w:p>
    <w:p>
      <w:pPr>
        <w:pStyle w:val="nzIndenta"/>
        <w:rPr>
          <w:snapToGrid w:val="0"/>
        </w:rPr>
      </w:pPr>
      <w:r>
        <w:rPr>
          <w:snapToGrid w:val="0"/>
        </w:rPr>
        <w:tab/>
        <w:t>(d)</w:t>
      </w:r>
      <w:r>
        <w:rPr>
          <w:snapToGrid w:val="0"/>
        </w:rPr>
        <w:tab/>
        <w:t>the Metropolitan Water Supply, Sewerage and Drainage Board,</w:t>
      </w:r>
    </w:p>
    <w:p>
      <w:pPr>
        <w:pStyle w:val="nzSubsection"/>
      </w:pPr>
      <w:r>
        <w:tab/>
      </w:r>
      <w:r>
        <w:tab/>
        <w:t>has effect after the commencement day as if the reference were to the Corporation.</w:t>
      </w:r>
    </w:p>
    <w:p>
      <w:pPr>
        <w:pStyle w:val="nzSubsection"/>
      </w:pPr>
      <w:r>
        <w:tab/>
        <w:t>(2)</w:t>
      </w:r>
      <w:r>
        <w:tab/>
        <w:t>Subsection (1) does not apply to a provision of a Government agreement that is spent or has had its effect.</w:t>
      </w:r>
    </w:p>
    <w:p>
      <w:pPr>
        <w:pStyle w:val="nzSubsection"/>
      </w:pPr>
      <w:r>
        <w:tab/>
        <w:t>(3)</w:t>
      </w:r>
      <w:r>
        <w:tab/>
        <w:t>In this section — </w:t>
      </w:r>
    </w:p>
    <w:p>
      <w:pPr>
        <w:pStyle w:val="nzDefstart"/>
      </w:pPr>
      <w:r>
        <w:rPr>
          <w:b/>
        </w:rPr>
        <w:tab/>
        <w:t>“Government agreement”</w:t>
      </w:r>
      <w:r>
        <w:t xml:space="preserve"> has the same meaning as it has in the </w:t>
      </w:r>
      <w:r>
        <w:rPr>
          <w:i/>
        </w:rPr>
        <w:t>Government Agreements Act 1979</w:t>
      </w:r>
      <w:r>
        <w:t>.</w:t>
      </w:r>
    </w:p>
    <w:p>
      <w:pPr>
        <w:pStyle w:val="nzHeading5"/>
        <w:rPr>
          <w:snapToGrid w:val="0"/>
        </w:rPr>
      </w:pPr>
      <w:r>
        <w:rPr>
          <w:snapToGrid w:val="0"/>
        </w:rPr>
        <w:t>215.</w:t>
      </w:r>
      <w:r>
        <w:rPr>
          <w:snapToGrid w:val="0"/>
        </w:rPr>
        <w:tab/>
        <w:t xml:space="preserve">Agreements and instruments generally </w:t>
      </w:r>
    </w:p>
    <w:p>
      <w:pPr>
        <w:pStyle w:val="nzSubsection"/>
      </w:pPr>
      <w:r>
        <w:rPr>
          <w:snapToGrid w:val="0"/>
        </w:rPr>
        <w:tab/>
      </w:r>
      <w:r>
        <w:t>(1)</w:t>
      </w:r>
      <w:r>
        <w:tab/>
        <w:t>This section applies to any agreement or instrument subsisting immediately before the commencement day that does not come within the provisions of section 192(1)(c), 193(1)(c), 194(d), 195(c) or 214.</w:t>
      </w:r>
    </w:p>
    <w:p>
      <w:pPr>
        <w:pStyle w:val="nzSubsection"/>
      </w:pPr>
      <w:r>
        <w:tab/>
        <w:t>(2)</w:t>
      </w:r>
      <w:r>
        <w:tab/>
        <w:t>Any agreement or instrument to which this section applies — </w:t>
      </w:r>
    </w:p>
    <w:p>
      <w:pPr>
        <w:pStyle w:val="nzIndenta"/>
        <w:rPr>
          <w:snapToGrid w:val="0"/>
        </w:rPr>
      </w:pPr>
      <w:r>
        <w:rPr>
          <w:snapToGrid w:val="0"/>
        </w:rPr>
        <w:tab/>
        <w:t>(a)</w:t>
      </w:r>
      <w:r>
        <w:rPr>
          <w:snapToGrid w:val="0"/>
        </w:rPr>
        <w:tab/>
        <w:t>to which a former body was a party; or</w:t>
      </w:r>
    </w:p>
    <w:p>
      <w:pPr>
        <w:pStyle w:val="nzIndenta"/>
        <w:rPr>
          <w:snapToGrid w:val="0"/>
        </w:rPr>
      </w:pPr>
      <w:r>
        <w:rPr>
          <w:snapToGrid w:val="0"/>
        </w:rPr>
        <w:tab/>
        <w:t>(b)</w:t>
      </w:r>
      <w:r>
        <w:rPr>
          <w:snapToGrid w:val="0"/>
        </w:rPr>
        <w:tab/>
        <w:t>which contains a reference to a former body,</w:t>
      </w:r>
    </w:p>
    <w:p>
      <w:pPr>
        <w:pStyle w:val="nzSubsection"/>
      </w:pPr>
      <w:r>
        <w:rPr>
          <w:snapToGrid w:val="0"/>
        </w:rPr>
        <w:tab/>
      </w:r>
      <w:r>
        <w:tab/>
        <w:t>has effect after that day as if — </w:t>
      </w:r>
    </w:p>
    <w:p>
      <w:pPr>
        <w:pStyle w:val="nzIndenta"/>
        <w:rPr>
          <w:snapToGrid w:val="0"/>
        </w:rPr>
      </w:pPr>
      <w:r>
        <w:rPr>
          <w:snapToGrid w:val="0"/>
        </w:rPr>
        <w:tab/>
        <w:t>(c)</w:t>
      </w:r>
      <w:r>
        <w:rPr>
          <w:snapToGrid w:val="0"/>
        </w:rPr>
        <w:tab/>
        <w:t>the relevant successor to the former body were substituted for the former body as a party to the agreement or instrument; and</w:t>
      </w:r>
    </w:p>
    <w:p>
      <w:pPr>
        <w:pStyle w:val="nzIndenta"/>
        <w:rPr>
          <w:snapToGrid w:val="0"/>
        </w:rPr>
      </w:pPr>
      <w:r>
        <w:rPr>
          <w:snapToGrid w:val="0"/>
        </w:rPr>
        <w:tab/>
        <w:t>(d)</w:t>
      </w:r>
      <w:r>
        <w:rPr>
          <w:snapToGrid w:val="0"/>
        </w:rPr>
        <w:tab/>
        <w:t>any reference in the agreement or instrument to the former body were (unless the context otherwise requires) amended to be or include a reference to the relevant successor.</w:t>
      </w:r>
    </w:p>
    <w:p>
      <w:pPr>
        <w:pStyle w:val="nzSubsection"/>
      </w:pPr>
      <w:r>
        <w:tab/>
        <w:t>(3)</w:t>
      </w:r>
      <w:r>
        <w:tab/>
        <w:t>In this section — </w:t>
      </w:r>
    </w:p>
    <w:p>
      <w:pPr>
        <w:pStyle w:val="nzDefstart"/>
      </w:pPr>
      <w:r>
        <w:rPr>
          <w:b/>
        </w:rPr>
        <w:tab/>
        <w:t>“instrument”</w:t>
      </w:r>
      <w:r>
        <w:t xml:space="preserve"> includes subsidiary legislation.</w:t>
      </w:r>
    </w:p>
    <w:p>
      <w:pPr>
        <w:pStyle w:val="nzHeading5"/>
        <w:rPr>
          <w:snapToGrid w:val="0"/>
        </w:rPr>
      </w:pPr>
      <w:r>
        <w:rPr>
          <w:snapToGrid w:val="0"/>
        </w:rPr>
        <w:t>216.</w:t>
      </w:r>
      <w:r>
        <w:rPr>
          <w:snapToGrid w:val="0"/>
        </w:rPr>
        <w:tab/>
        <w:t xml:space="preserve">Performance of necessary transitional functions </w:t>
      </w:r>
    </w:p>
    <w:p>
      <w:pPr>
        <w:pStyle w:val="nzSubsection"/>
      </w:pPr>
      <w:r>
        <w:rPr>
          <w:snapToGrid w:val="0"/>
        </w:rPr>
        <w:tab/>
      </w:r>
      <w:r>
        <w:t>(1)</w:t>
      </w:r>
      <w:r>
        <w:tab/>
        <w:t>Despite the repeals effected by sections 14, 163 and 169, a former body continues in existence for the purpose of — </w:t>
      </w:r>
    </w:p>
    <w:p>
      <w:pPr>
        <w:pStyle w:val="nzIndenta"/>
        <w:rPr>
          <w:snapToGrid w:val="0"/>
        </w:rPr>
      </w:pPr>
      <w:r>
        <w:rPr>
          <w:snapToGrid w:val="0"/>
        </w:rPr>
        <w:tab/>
        <w:t>(a)</w:t>
      </w:r>
      <w:r>
        <w:rPr>
          <w:snapToGrid w:val="0"/>
        </w:rPr>
        <w:tab/>
        <w:t>reporting as required by section 210; and</w:t>
      </w:r>
    </w:p>
    <w:p>
      <w:pPr>
        <w:pStyle w:val="nzIndenta"/>
        <w:rPr>
          <w:snapToGrid w:val="0"/>
        </w:rPr>
      </w:pPr>
      <w:r>
        <w:rPr>
          <w:snapToGrid w:val="0"/>
        </w:rPr>
        <w:tab/>
        <w:t>(b)</w:t>
      </w:r>
      <w:r>
        <w:rPr>
          <w:snapToGrid w:val="0"/>
        </w:rPr>
        <w:tab/>
        <w:t>performing the functions described in sections 191(3), 192(1)(g), 193(1)(g), 194(h), 195(f) and 198.</w:t>
      </w:r>
    </w:p>
    <w:p>
      <w:pPr>
        <w:pStyle w:val="nzSubsection"/>
      </w:pPr>
      <w:r>
        <w:rPr>
          <w:snapToGrid w:val="0"/>
        </w:rPr>
        <w:tab/>
      </w:r>
      <w:r>
        <w:t>(2)</w:t>
      </w:r>
      <w:r>
        <w:tab/>
        <w:t xml:space="preserve">The accountable authority, within the meaning in the </w:t>
      </w:r>
      <w:r>
        <w:rPr>
          <w:i/>
        </w:rPr>
        <w:t>Financial Administration and Audit Act 1985</w:t>
      </w:r>
      <w:r>
        <w:t>, of a former body also continues in existence for the purpose described in subsection (1)(a).</w:t>
      </w:r>
    </w:p>
    <w:p>
      <w:pPr>
        <w:pStyle w:val="nzSubsection"/>
      </w:pPr>
      <w:r>
        <w:tab/>
        <w:t>(3)</w:t>
      </w:r>
      <w:r>
        <w:tab/>
        <w:t>Despite the provisions of the relevant written laws — </w:t>
      </w:r>
    </w:p>
    <w:p>
      <w:pPr>
        <w:pStyle w:val="nzIndenta"/>
        <w:rPr>
          <w:snapToGrid w:val="0"/>
        </w:rPr>
      </w:pPr>
      <w:r>
        <w:rPr>
          <w:snapToGrid w:val="0"/>
        </w:rPr>
        <w:tab/>
        <w:t>(a)</w:t>
      </w:r>
      <w:r>
        <w:rPr>
          <w:snapToGrid w:val="0"/>
        </w:rPr>
        <w:tab/>
        <w:t>the members of each of the former bodies immediately before the commencement day cease to hold office on that day; and</w:t>
      </w:r>
    </w:p>
    <w:p>
      <w:pPr>
        <w:pStyle w:val="nzIndenta"/>
        <w:rPr>
          <w:snapToGrid w:val="0"/>
        </w:rPr>
      </w:pPr>
      <w:r>
        <w:rPr>
          <w:snapToGrid w:val="0"/>
        </w:rPr>
        <w:tab/>
        <w:t>(b)</w:t>
      </w:r>
      <w:r>
        <w:rPr>
          <w:snapToGrid w:val="0"/>
        </w:rPr>
        <w:tab/>
        <w:t>each of the former bodies is to — </w:t>
      </w:r>
    </w:p>
    <w:p>
      <w:pPr>
        <w:pStyle w:val="nzIndenti"/>
        <w:rPr>
          <w:snapToGrid w:val="0"/>
        </w:rPr>
      </w:pPr>
      <w:r>
        <w:rPr>
          <w:snapToGrid w:val="0"/>
        </w:rPr>
        <w:tab/>
        <w:t>(i)</w:t>
      </w:r>
      <w:r>
        <w:rPr>
          <w:snapToGrid w:val="0"/>
        </w:rPr>
        <w:tab/>
        <w:t>be constituted by a person appointed by the Minister; and</w:t>
      </w:r>
    </w:p>
    <w:p>
      <w:pPr>
        <w:pStyle w:val="nzIndenti"/>
        <w:rPr>
          <w:snapToGrid w:val="0"/>
        </w:rPr>
      </w:pPr>
      <w:r>
        <w:rPr>
          <w:snapToGrid w:val="0"/>
        </w:rPr>
        <w:tab/>
        <w:t>(ii)</w:t>
      </w:r>
      <w:r>
        <w:rPr>
          <w:snapToGrid w:val="0"/>
        </w:rPr>
        <w:tab/>
        <w:t>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former bodies as constituted under this section have the powers that are necessary or convenient for the purposes of subsection (1).</w:t>
      </w:r>
    </w:p>
    <w:p>
      <w:pPr>
        <w:pStyle w:val="nzSubsection"/>
      </w:pPr>
      <w:r>
        <w:tab/>
        <w:t>(6)</w:t>
      </w:r>
      <w:r>
        <w:tab/>
        <w:t>The relevant successor to a former body is to provide the clerical or other assistance that the former body reasonably requires for the purposes of subsection (1) in respect of the functions that after the commencement day are functions of that successor.</w:t>
      </w:r>
    </w:p>
    <w:p>
      <w:pPr>
        <w:pStyle w:val="nzHeading5"/>
        <w:rPr>
          <w:snapToGrid w:val="0"/>
        </w:rPr>
      </w:pPr>
      <w:r>
        <w:t>217.</w:t>
      </w:r>
      <w:r>
        <w:tab/>
        <w:t>Corporation, time</w:t>
      </w:r>
      <w:r>
        <w:rPr>
          <w:snapToGrid w:val="0"/>
        </w:rPr>
        <w:t xml:space="preserve"> to obtain certain licences </w:t>
      </w:r>
    </w:p>
    <w:p>
      <w:pPr>
        <w:pStyle w:val="nzSubsection"/>
      </w:pPr>
      <w:r>
        <w:rPr>
          <w:snapToGrid w:val="0"/>
        </w:rPr>
        <w:tab/>
      </w:r>
      <w:r>
        <w:rPr>
          <w:snapToGrid w:val="0"/>
        </w:rPr>
        <w:tab/>
      </w:r>
      <w:r>
        <w:t xml:space="preserve">Where before the commencement day the Authority was doing anything and after that day the Corporation in continuing to do that thing is required to hold a licence under the </w:t>
      </w:r>
      <w:r>
        <w:rPr>
          <w:i/>
        </w:rPr>
        <w:t>Rights in Water and Irrigation Act 1914,</w:t>
      </w:r>
      <w:r>
        <w:t xml:space="preserve"> the Corporation is to be treated as if it were the holder of such a licence until the expiry of 120 days after the commencement day.</w:t>
      </w:r>
    </w:p>
    <w:p>
      <w:pPr>
        <w:pStyle w:val="nzHeading5"/>
        <w:rPr>
          <w:snapToGrid w:val="0"/>
        </w:rPr>
      </w:pPr>
      <w:r>
        <w:rPr>
          <w:snapToGrid w:val="0"/>
        </w:rPr>
        <w:t>218.</w:t>
      </w:r>
      <w:r>
        <w:rPr>
          <w:snapToGrid w:val="0"/>
        </w:rPr>
        <w:tab/>
        <w:t xml:space="preserve">Further transitional provision may be made </w:t>
      </w:r>
    </w:p>
    <w:p>
      <w:pPr>
        <w:pStyle w:val="nzSubsection"/>
      </w:pPr>
      <w:r>
        <w:rPr>
          <w:snapToGrid w:val="0"/>
        </w:rPr>
        <w:tab/>
      </w:r>
      <w:r>
        <w:t>(1)</w:t>
      </w:r>
      <w:r>
        <w:tab/>
        <w:t xml:space="preserve">If there is no sufficient provision in this Part for any matter or thing necessary or convenient to give effect to the transition from a former body to the relevant successor the Minister may make that provision by order published in the </w:t>
      </w:r>
      <w:r>
        <w:rPr>
          <w:i/>
        </w:rPr>
        <w:t>Gazette</w:t>
      </w:r>
      <w:r>
        <w:t>.</w:t>
      </w:r>
    </w:p>
    <w:p>
      <w:pPr>
        <w:pStyle w:val="nzSubsection"/>
      </w:pPr>
      <w:r>
        <w:tab/>
        <w:t>(2)</w:t>
      </w:r>
      <w:r>
        <w:tab/>
        <w:t xml:space="preserve">The Minister may by order published in the </w:t>
      </w:r>
      <w:r>
        <w:rPr>
          <w:i/>
        </w:rPr>
        <w:t>Gazette</w:t>
      </w:r>
      <w:r>
        <w:t xml:space="preserve"> make any provision that is necessary to rectify any omission from the transfer order.</w:t>
      </w:r>
    </w:p>
    <w:p>
      <w:pPr>
        <w:pStyle w:val="nzSubsection"/>
      </w:pPr>
      <w:r>
        <w:tab/>
        <w:t>(3)</w:t>
      </w:r>
      <w:r>
        <w:tab/>
        <w:t>An order under this section may be made so as to have effect from the commencement day.</w:t>
      </w:r>
    </w:p>
    <w:p>
      <w:pPr>
        <w:pStyle w:val="nzSubsection"/>
      </w:pPr>
      <w:r>
        <w:tab/>
        <w:t>(4)</w:t>
      </w:r>
      <w:r>
        <w:tab/>
        <w:t xml:space="preserve">To the extent that a provision of any such order has effect on a day that is earlier than the day of its publication in the </w:t>
      </w:r>
      <w:r>
        <w:rPr>
          <w:i/>
        </w:rPr>
        <w:t>Gazette</w:t>
      </w:r>
      <w:r>
        <w:t>, the provision does not operate so as — </w:t>
      </w:r>
    </w:p>
    <w:p>
      <w:pPr>
        <w:pStyle w:val="nzIndenta"/>
        <w:rPr>
          <w:snapToGrid w:val="0"/>
        </w:rPr>
      </w:pPr>
      <w:r>
        <w:rPr>
          <w:snapToGrid w:val="0"/>
        </w:rPr>
        <w:tab/>
        <w:t>(a)</w:t>
      </w:r>
      <w:r>
        <w:rPr>
          <w:snapToGrid w:val="0"/>
        </w:rPr>
        <w:tab/>
        <w:t>to affect, in a manner prejudicial to any person (other than the State, the Corporation, the Commission, the Coordinator or any authority of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the Corporation, the Commission, the Coordinator or any authority of the State), in respect of anything done or omitted to be done before the day of publication.</w:t>
      </w:r>
    </w:p>
    <w:p>
      <w:pPr>
        <w:pStyle w:val="MiscClose"/>
        <w:rPr>
          <w:snapToGrid w:val="0"/>
          <w:sz w:val="20"/>
        </w:rPr>
      </w:pPr>
      <w:r>
        <w:rPr>
          <w:snapToGrid w:val="0"/>
          <w:sz w:val="20"/>
        </w:rPr>
        <w:t>”.</w:t>
      </w:r>
    </w:p>
    <w:p>
      <w:pPr>
        <w:pStyle w:val="nSubsection"/>
        <w:keepNext/>
        <w:rPr>
          <w:snapToGrid w:val="0"/>
        </w:rPr>
      </w:pPr>
      <w:r>
        <w:rPr>
          <w:snapToGrid w:val="0"/>
          <w:vertAlign w:val="superscript"/>
        </w:rPr>
        <w:t>8</w:t>
      </w:r>
      <w:r>
        <w:rPr>
          <w:snapToGrid w:val="0"/>
        </w:rPr>
        <w:tab/>
        <w:t xml:space="preserve">Section 219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Heading5"/>
        <w:spacing w:before="0"/>
        <w:rPr>
          <w:snapToGrid w:val="0"/>
        </w:rPr>
      </w:pPr>
      <w:r>
        <w:rPr>
          <w:snapToGrid w:val="0"/>
        </w:rPr>
        <w:t>219.</w:t>
      </w:r>
      <w:r>
        <w:rPr>
          <w:snapToGrid w:val="0"/>
        </w:rPr>
        <w:tab/>
        <w:t xml:space="preserve">Saving </w:t>
      </w:r>
    </w:p>
    <w:p>
      <w:pPr>
        <w:pStyle w:val="nzSubsection"/>
      </w:pPr>
      <w:r>
        <w:tab/>
      </w:r>
      <w:r>
        <w:tab/>
        <w:t xml:space="preserve">The operation of any provision of this Part is not to be regarded — </w:t>
      </w:r>
    </w:p>
    <w:p>
      <w:pPr>
        <w:pStyle w:val="nzIndenta"/>
        <w:rPr>
          <w:snapToGrid w:val="0"/>
        </w:rPr>
      </w:pPr>
      <w:r>
        <w:rPr>
          <w:snapToGrid w:val="0"/>
        </w:rPr>
        <w:tab/>
        <w:t>(a)</w:t>
      </w:r>
      <w:r>
        <w:rPr>
          <w:snapToGrid w:val="0"/>
        </w:rPr>
        <w:tab/>
        <w:t>as a breach of contract or confidence or otherwise as a civil wrong;</w:t>
      </w:r>
    </w:p>
    <w:p>
      <w:pPr>
        <w:pStyle w:val="nz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nz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rPr>
          <w:snapToGrid w:val="0"/>
        </w:rPr>
      </w:pPr>
      <w:r>
        <w:rPr>
          <w:snapToGrid w:val="0"/>
        </w:rPr>
        <w:tab/>
        <w:t>(e)</w:t>
      </w:r>
      <w:r>
        <w:rPr>
          <w:snapToGrid w:val="0"/>
        </w:rPr>
        <w:tab/>
        <w:t>as releasing or allowing the release of any surety.</w:t>
      </w:r>
    </w:p>
    <w:p>
      <w:pPr>
        <w:pStyle w:val="MiscClose"/>
        <w:rPr>
          <w:snapToGrid w:val="0"/>
          <w:sz w:val="20"/>
        </w:rPr>
      </w:pPr>
      <w:r>
        <w:rPr>
          <w:snapToGrid w:val="0"/>
          <w:sz w:val="20"/>
        </w:rPr>
        <w:t>”.</w:t>
      </w:r>
    </w:p>
    <w:p>
      <w:pPr>
        <w:pStyle w:val="nSubsection"/>
        <w:keepNext/>
        <w:rPr>
          <w:snapToGrid w:val="0"/>
        </w:rPr>
      </w:pPr>
      <w:r>
        <w:rPr>
          <w:snapToGrid w:val="0"/>
          <w:vertAlign w:val="superscript"/>
        </w:rPr>
        <w:t>9</w:t>
      </w:r>
      <w:r>
        <w:rPr>
          <w:snapToGrid w:val="0"/>
        </w:rPr>
        <w:tab/>
        <w:t xml:space="preserve">Section 9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sz w:val="20"/>
        </w:rPr>
        <w:t>“</w:t>
      </w:r>
    </w:p>
    <w:p>
      <w:pPr>
        <w:pStyle w:val="nzHeading3"/>
        <w:spacing w:before="0"/>
        <w:rPr>
          <w:snapToGrid w:val="0"/>
        </w:rPr>
      </w:pPr>
      <w:r>
        <w:rPr>
          <w:snapToGrid w:val="0"/>
        </w:rPr>
        <w:t>Part 6 — Review</w:t>
      </w:r>
    </w:p>
    <w:p>
      <w:pPr>
        <w:pStyle w:val="nzHeading5"/>
        <w:rPr>
          <w:snapToGrid w:val="0"/>
        </w:rPr>
      </w:pPr>
      <w:r>
        <w:rPr>
          <w:snapToGrid w:val="0"/>
        </w:rPr>
        <w:t>17.</w:t>
      </w:r>
      <w:r>
        <w:rPr>
          <w:snapToGrid w:val="0"/>
        </w:rPr>
        <w:tab/>
        <w:t xml:space="preserve">Review </w:t>
      </w:r>
    </w:p>
    <w:p>
      <w:pPr>
        <w:pStyle w:val="nzSubsection"/>
      </w:pPr>
      <w:r>
        <w:tab/>
        <w:t>(1)</w:t>
      </w:r>
      <w:r>
        <w:tab/>
        <w:t>Each relevant Minister is to carry out a review of the operation and effectiveness of the amendments made by this Act as soon as is practicable after the expiration of 3 years from the commencement of this Act.</w:t>
      </w:r>
    </w:p>
    <w:p>
      <w:pPr>
        <w:pStyle w:val="nzSubsection"/>
      </w:pPr>
      <w:r>
        <w:tab/>
        <w:t>(2)</w:t>
      </w:r>
      <w:r>
        <w:tab/>
        <w:t>The relevant Ministers are to prepare a joint report based on the review and, as soon as is practicable after the report is prepared, cause it to be laid before each House of Parliament.</w:t>
      </w:r>
    </w:p>
    <w:p>
      <w:pPr>
        <w:pStyle w:val="nzSubsection"/>
      </w:pPr>
      <w:r>
        <w:tab/>
        <w:t>(3)</w:t>
      </w:r>
      <w:r>
        <w:tab/>
        <w:t>In this section — </w:t>
      </w:r>
    </w:p>
    <w:p>
      <w:pPr>
        <w:pStyle w:val="nzDefstart"/>
      </w:pPr>
      <w:r>
        <w:tab/>
      </w:r>
      <w:r>
        <w:rPr>
          <w:b/>
        </w:rPr>
        <w:t>“</w:t>
      </w:r>
      <w:r>
        <w:rPr>
          <w:b/>
          <w:snapToGrid/>
        </w:rPr>
        <w:t>relevant Minister</w:t>
      </w:r>
      <w:r>
        <w:rPr>
          <w:b/>
        </w:rPr>
        <w:t>”</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rPr>
          <w:sz w:val="20"/>
        </w:rPr>
      </w:pPr>
      <w:r>
        <w:rPr>
          <w:sz w:val="20"/>
        </w:rPr>
        <w:t>”.</w:t>
      </w:r>
    </w:p>
    <w:p>
      <w:pPr>
        <w:pStyle w:val="nSubsection"/>
      </w:pPr>
      <w:r>
        <w:rPr>
          <w:vertAlign w:val="superscript"/>
        </w:rPr>
        <w:t>11</w:t>
      </w:r>
      <w:r>
        <w:tab/>
        <w:t xml:space="preserve">References to the </w:t>
      </w:r>
      <w:r>
        <w:rPr>
          <w:i/>
        </w:rPr>
        <w:t>Land Act 1933</w:t>
      </w:r>
      <w:r>
        <w:t xml:space="preserve"> are to be construed as being references to the </w:t>
      </w:r>
      <w:r>
        <w:rPr>
          <w:i/>
        </w:rPr>
        <w:t>Land Administration Act 1997</w:t>
      </w:r>
      <w:r>
        <w:t xml:space="preserve"> (No. 30 of 1997) according to section 281(3) of that Act.</w:t>
      </w:r>
    </w:p>
    <w:p>
      <w:pPr>
        <w:pStyle w:val="nSubsection"/>
      </w:pPr>
      <w:r>
        <w:rPr>
          <w:vertAlign w:val="superscript"/>
        </w:rPr>
        <w:t>12</w:t>
      </w:r>
      <w:r>
        <w:tab/>
        <w:t xml:space="preserve">Section 4 of the </w:t>
      </w:r>
      <w:r>
        <w:rPr>
          <w:i/>
          <w:iCs/>
        </w:rPr>
        <w:t>Acts Amendment (Water Authority Rates and Charges) Act 1987</w:t>
      </w:r>
      <w:r>
        <w:t xml:space="preserve"> reads as follows:</w:t>
      </w:r>
    </w:p>
    <w:p>
      <w:pPr>
        <w:pStyle w:val="MiscOpen"/>
      </w:pPr>
      <w:r>
        <w:t>“</w:t>
      </w:r>
    </w:p>
    <w:p>
      <w:pPr>
        <w:pStyle w:val="nzHeading5"/>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rStyle w:val="CharDefText"/>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7A1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AE0C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C55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707C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A2EE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643B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C0E9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24B9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906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646259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75C52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65401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4C82B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1B408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337"/>
    <w:docVar w:name="WAFER_20151209172337" w:val="RemoveTrackChanges"/>
    <w:docVar w:name="WAFER_20151209172337_GUID" w:val="5c66260a-2eec-4fc3-abb1-ed945bcc4b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30733</Words>
  <Characters>145680</Characters>
  <Application>Microsoft Office Word</Application>
  <DocSecurity>0</DocSecurity>
  <Lines>3735</Lines>
  <Paragraphs>1618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1984 - 02-h0-04</dc:title>
  <dc:subject/>
  <dc:creator/>
  <cp:keywords/>
  <dc:description/>
  <cp:lastModifiedBy>svcMRProcess</cp:lastModifiedBy>
  <cp:revision>4</cp:revision>
  <cp:lastPrinted>2001-05-08T07:39:00Z</cp:lastPrinted>
  <dcterms:created xsi:type="dcterms:W3CDTF">2018-09-09T09:19:00Z</dcterms:created>
  <dcterms:modified xsi:type="dcterms:W3CDTF">2018-09-09T09:19:00Z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864</vt:i4>
  </property>
  <property fmtid="{D5CDD505-2E9C-101B-9397-08002B2CF9AE}" pid="6" name="AsAtDate">
    <vt:lpwstr>03 Jun 2006</vt:lpwstr>
  </property>
  <property fmtid="{D5CDD505-2E9C-101B-9397-08002B2CF9AE}" pid="7" name="Suffix">
    <vt:lpwstr>02-h0-04</vt:lpwstr>
  </property>
</Properties>
</file>