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Witness Protection (</w:t>
      </w:r>
      <w:smartTag w:uri="urn:schemas-microsoft-com:office:smarttags" w:element="State">
        <w:smartTag w:uri="urn:schemas-microsoft-com:office:smarttags" w:element="place">
          <w:r>
            <w:t>Western Australia</w:t>
          </w:r>
        </w:smartTag>
      </w:smartTag>
      <w:r>
        <w:t>) Act 1996</w:t>
      </w:r>
    </w:p>
    <w:p>
      <w:pPr>
        <w:pStyle w:val="NameofActReg"/>
        <w:spacing w:before="3760" w:after="4200"/>
      </w:pPr>
      <w:r>
        <w:rPr>
          <w:noProof/>
        </w:rPr>
        <w:t>Witness Protection (</w:t>
      </w:r>
      <w:smartTag w:uri="urn:schemas-microsoft-com:office:smarttags" w:element="State">
        <w:smartTag w:uri="urn:schemas-microsoft-com:office:smarttags" w:element="place">
          <w:r>
            <w:rPr>
              <w:noProof/>
            </w:rPr>
            <w:t>Western Australia</w:t>
          </w:r>
        </w:smartTag>
      </w:smartTag>
      <w:r>
        <w:rPr>
          <w:noProof/>
        </w:rPr>
        <w:t>)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Witness Protection (Western Australia) Regulations 1996</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_Toc346870477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_Toc346870478 \h </w:instrText>
      </w:r>
      <w:r>
        <w:fldChar w:fldCharType="separate"/>
      </w:r>
      <w:r>
        <w:t>1</w:t>
      </w:r>
      <w:r>
        <w:fldChar w:fldCharType="end"/>
      </w:r>
    </w:p>
    <w:p>
      <w:pPr>
        <w:pStyle w:val="TOC8"/>
        <w:rPr>
          <w:sz w:val="24"/>
          <w:szCs w:val="24"/>
          <w:lang w:val="en-US"/>
        </w:rPr>
      </w:pPr>
      <w:r>
        <w:t>3.</w:t>
      </w:r>
      <w:r>
        <w:tab/>
        <w:t>Prescribed authorities (s. 3)</w:t>
      </w:r>
      <w:r>
        <w:tab/>
      </w:r>
      <w:r>
        <w:fldChar w:fldCharType="begin"/>
      </w:r>
      <w:r>
        <w:instrText xml:space="preserve"> PAGEREF _Toc346870479 \h </w:instrText>
      </w:r>
      <w:r>
        <w:fldChar w:fldCharType="separate"/>
      </w:r>
      <w:r>
        <w:t>1</w:t>
      </w:r>
      <w:r>
        <w:fldChar w:fldCharType="end"/>
      </w:r>
    </w:p>
    <w:p>
      <w:pPr>
        <w:pStyle w:val="TOC8"/>
        <w:rPr>
          <w:sz w:val="24"/>
          <w:szCs w:val="24"/>
          <w:lang w:val="en-US"/>
        </w:rPr>
      </w:pPr>
      <w:r>
        <w:t>4</w:t>
      </w:r>
      <w:r>
        <w:rPr>
          <w:snapToGrid w:val="0"/>
        </w:rPr>
        <w:t>.</w:t>
      </w:r>
      <w:r>
        <w:rPr>
          <w:snapToGrid w:val="0"/>
        </w:rPr>
        <w:tab/>
        <w:t>Prescribed registers (s. 3)</w:t>
      </w:r>
      <w:r>
        <w:tab/>
      </w:r>
      <w:r>
        <w:fldChar w:fldCharType="begin"/>
      </w:r>
      <w:r>
        <w:instrText xml:space="preserve"> PAGEREF _Toc346870480 \h </w:instrText>
      </w:r>
      <w:r>
        <w:fldChar w:fldCharType="separate"/>
      </w:r>
      <w:r>
        <w:t>2</w:t>
      </w:r>
      <w:r>
        <w:fldChar w:fldCharType="end"/>
      </w:r>
    </w:p>
    <w:p>
      <w:pPr>
        <w:pStyle w:val="TOC8"/>
        <w:rPr>
          <w:sz w:val="24"/>
          <w:szCs w:val="24"/>
          <w:lang w:val="en-US"/>
        </w:rPr>
      </w:pPr>
      <w:r>
        <w:t>5</w:t>
      </w:r>
      <w:r>
        <w:rPr>
          <w:snapToGrid w:val="0"/>
        </w:rPr>
        <w:t>.</w:t>
      </w:r>
      <w:r>
        <w:rPr>
          <w:snapToGrid w:val="0"/>
        </w:rPr>
        <w:tab/>
        <w:t>Information to be provided (s. 10)</w:t>
      </w:r>
      <w:r>
        <w:tab/>
      </w:r>
      <w:r>
        <w:fldChar w:fldCharType="begin"/>
      </w:r>
      <w:r>
        <w:instrText xml:space="preserve"> PAGEREF _Toc346870481 \h </w:instrText>
      </w:r>
      <w:r>
        <w:fldChar w:fldCharType="separate"/>
      </w:r>
      <w:r>
        <w:t>2</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_Toc346870482 \h </w:instrText>
      </w:r>
      <w:r>
        <w:fldChar w:fldCharType="separate"/>
      </w:r>
      <w:r>
        <w:t>4</w:t>
      </w:r>
      <w:r>
        <w:fldChar w:fldCharType="end"/>
      </w:r>
    </w:p>
    <w:p>
      <w:pPr>
        <w:pStyle w:val="TOC2"/>
        <w:tabs>
          <w:tab w:val="right" w:leader="dot" w:pos="7078"/>
        </w:tabs>
        <w:rPr>
          <w:b w:val="0"/>
          <w:sz w:val="24"/>
          <w:szCs w:val="24"/>
          <w:lang w:val="en-US"/>
        </w:rPr>
      </w:pPr>
      <w:r>
        <w:t>Schedule 1</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_Toc346870485 \h </w:instrText>
      </w:r>
      <w:r>
        <w:fldChar w:fldCharType="separate"/>
      </w:r>
      <w:r>
        <w:t>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_Toc346870486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1" w:name="_Toc435339181"/>
      <w:bookmarkStart w:id="2" w:name="_Toc59434154"/>
      <w:bookmarkStart w:id="3" w:name="_Toc241569313"/>
      <w:bookmarkStart w:id="4" w:name="_Toc34687047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5" w:name="_Toc435339182"/>
      <w:bookmarkStart w:id="6" w:name="_Toc59434155"/>
      <w:bookmarkStart w:id="7" w:name="_Toc241569314"/>
      <w:bookmarkStart w:id="8" w:name="_Toc34687047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9" w:name="_Toc241569316"/>
      <w:bookmarkStart w:id="10" w:name="_Toc346870479"/>
      <w:bookmarkStart w:id="11" w:name="_Toc435339184"/>
      <w:bookmarkStart w:id="12" w:name="_Toc59434157"/>
      <w:r>
        <w:rPr>
          <w:rStyle w:val="CharSectno"/>
        </w:rPr>
        <w:t>3</w:t>
      </w:r>
      <w:r>
        <w:t>.</w:t>
      </w:r>
      <w:r>
        <w:tab/>
        <w:t>Prescribed authorities (s. 3)</w:t>
      </w:r>
      <w:bookmarkEnd w:id="9"/>
      <w:bookmarkEnd w:id="10"/>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pPr>
      <w:r>
        <w:tab/>
        <w:t>(c)</w:t>
      </w:r>
      <w:r>
        <w:tab/>
        <w:t xml:space="preserve">the person who, under the </w:t>
      </w:r>
      <w:r>
        <w:rPr>
          <w:i/>
          <w:iCs/>
        </w:rPr>
        <w:t>Road Traffic Act 1974</w:t>
      </w:r>
      <w:r>
        <w:t>, is empowered to grant or renew a driver’s licence, learner’s permit or vehicle licence;</w:t>
      </w:r>
    </w:p>
    <w:p>
      <w:pPr>
        <w:pStyle w:val="Indenta"/>
      </w:pPr>
      <w:r>
        <w:tab/>
        <w:t>(d)</w:t>
      </w:r>
      <w:r>
        <w:tab/>
        <w:t>the person who, under an Act that establishes a University, is empowered to award, confer or grant a degree, diploma or other qualification.</w:t>
      </w:r>
    </w:p>
    <w:p>
      <w:pPr>
        <w:pStyle w:val="Footnotesection"/>
      </w:pPr>
      <w:r>
        <w:tab/>
        <w:t>[Regulation 3 inserted in Gazette 25 Sep 2009 p. 3749-50.]</w:t>
      </w:r>
    </w:p>
    <w:p>
      <w:pPr>
        <w:pStyle w:val="Heading5"/>
        <w:rPr>
          <w:snapToGrid w:val="0"/>
        </w:rPr>
      </w:pPr>
      <w:bookmarkStart w:id="13" w:name="_Toc241569317"/>
      <w:bookmarkStart w:id="14" w:name="_Toc346870480"/>
      <w:r>
        <w:rPr>
          <w:rStyle w:val="CharSectno"/>
        </w:rPr>
        <w:t>4</w:t>
      </w:r>
      <w:r>
        <w:rPr>
          <w:snapToGrid w:val="0"/>
        </w:rPr>
        <w:t>.</w:t>
      </w:r>
      <w:r>
        <w:rPr>
          <w:snapToGrid w:val="0"/>
        </w:rPr>
        <w:tab/>
        <w:t>Prescribed registers (s. 3)</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15" w:name="_Toc435339185"/>
      <w:bookmarkStart w:id="16" w:name="_Toc59434158"/>
      <w:bookmarkStart w:id="17" w:name="_Toc241569318"/>
      <w:bookmarkStart w:id="18" w:name="_Toc346870481"/>
      <w:r>
        <w:rPr>
          <w:rStyle w:val="CharSectno"/>
        </w:rPr>
        <w:t>5</w:t>
      </w:r>
      <w:r>
        <w:rPr>
          <w:snapToGrid w:val="0"/>
        </w:rPr>
        <w:t>.</w:t>
      </w:r>
      <w:r>
        <w:rPr>
          <w:snapToGrid w:val="0"/>
        </w:rPr>
        <w:tab/>
        <w:t>Information to be provided (s. 10)</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 in Gazette 30 Jun 2003 p. 2636.]</w:t>
      </w:r>
    </w:p>
    <w:p>
      <w:pPr>
        <w:pStyle w:val="Heading5"/>
        <w:rPr>
          <w:snapToGrid w:val="0"/>
        </w:rPr>
      </w:pPr>
      <w:bookmarkStart w:id="19" w:name="_Toc435339186"/>
      <w:bookmarkStart w:id="20" w:name="_Toc59434159"/>
      <w:bookmarkStart w:id="21" w:name="_Toc241569319"/>
      <w:bookmarkStart w:id="22" w:name="_Toc346870482"/>
      <w:r>
        <w:rPr>
          <w:rStyle w:val="CharSectno"/>
        </w:rPr>
        <w:t>6</w:t>
      </w:r>
      <w:r>
        <w:rPr>
          <w:snapToGrid w:val="0"/>
        </w:rPr>
        <w:t>.</w:t>
      </w:r>
      <w:r>
        <w:rPr>
          <w:snapToGrid w:val="0"/>
        </w:rPr>
        <w:tab/>
        <w:t>Forms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section 33(1) of the Act, Form 1 in Schedule 1 is the prescribed form.</w:t>
      </w:r>
    </w:p>
    <w:p>
      <w:pPr>
        <w:pStyle w:val="Subsection"/>
        <w:rPr>
          <w:snapToGrid w:val="0"/>
        </w:rPr>
      </w:pPr>
      <w:r>
        <w:rPr>
          <w:snapToGrid w:val="0"/>
        </w:rPr>
        <w:tab/>
        <w:t>(2)</w:t>
      </w:r>
      <w:r>
        <w:rPr>
          <w:snapToGrid w:val="0"/>
        </w:rPr>
        <w:tab/>
        <w:t>For the purposes of section 33(3) of the Act, Form 2 in Schedule 1 is the prescribed form.</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 w:name="_Toc59434160"/>
      <w:bookmarkStart w:id="24" w:name="_Toc241569320"/>
      <w:bookmarkStart w:id="25" w:name="_Toc241569384"/>
      <w:bookmarkStart w:id="26" w:name="_Toc241572761"/>
      <w:bookmarkStart w:id="27" w:name="_Toc346870483"/>
      <w:r>
        <w:rPr>
          <w:rStyle w:val="CharSchNo"/>
        </w:rPr>
        <w:t>Schedule 1</w:t>
      </w:r>
      <w:bookmarkEnd w:id="23"/>
      <w:bookmarkEnd w:id="24"/>
      <w:bookmarkEnd w:id="25"/>
      <w:bookmarkEnd w:id="26"/>
      <w:bookmarkEnd w:id="27"/>
      <w:r>
        <w:rPr>
          <w:rStyle w:val="CharSchNo"/>
        </w:rPr>
        <w:t xml:space="preserve"> </w:t>
      </w:r>
    </w:p>
    <w:p>
      <w:pPr>
        <w:pStyle w:val="yMiscellaneousHeading"/>
        <w:rPr>
          <w:b/>
          <w:snapToGrid w:val="0"/>
          <w:sz w:val="28"/>
        </w:rPr>
      </w:pPr>
      <w:r>
        <w:rPr>
          <w:rStyle w:val="CharSchText"/>
          <w:b/>
          <w:sz w:val="28"/>
        </w:rPr>
        <w:t>Forms</w:t>
      </w:r>
    </w:p>
    <w:p>
      <w:pPr>
        <w:pStyle w:val="yShoulderClause"/>
        <w:spacing w:before="0"/>
        <w:rPr>
          <w:snapToGrid w:val="0"/>
        </w:rPr>
      </w:pPr>
      <w:r>
        <w:rPr>
          <w:snapToGrid w:val="0"/>
        </w:rPr>
        <w:t>[r. 6]</w:t>
      </w:r>
    </w:p>
    <w:p>
      <w:pPr>
        <w:pStyle w:val="yMiscellaneousHeading"/>
        <w:jc w:val="left"/>
        <w:rPr>
          <w:snapToGrid w:val="0"/>
        </w:rPr>
      </w:pPr>
      <w:r>
        <w:rPr>
          <w:snapToGrid w:val="0"/>
        </w:rPr>
        <w:t>Form 1</w:t>
      </w:r>
    </w:p>
    <w:p>
      <w:pPr>
        <w:pStyle w:val="yMiscellaneousHeading"/>
        <w:rPr>
          <w:snapToGrid w:val="0"/>
        </w:rPr>
      </w:pP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br/>
        <w:t>[s. 33(1)]</w:t>
      </w:r>
    </w:p>
    <w:p>
      <w:pPr>
        <w:pStyle w:val="yMiscellaneousHeading"/>
        <w:rPr>
          <w:b/>
          <w:snapToGrid w:val="0"/>
        </w:rPr>
      </w:pPr>
      <w:r>
        <w:rPr>
          <w:b/>
          <w:snapToGrid w:val="0"/>
        </w:rPr>
        <w:t>Permission to participant not to disclose former identity</w:t>
      </w:r>
    </w:p>
    <w:p>
      <w:pPr>
        <w:pStyle w:val="yMiscellaneousBody"/>
        <w:rPr>
          <w:snapToGrid w:val="0"/>
        </w:rPr>
      </w:pPr>
      <w:r>
        <w:rPr>
          <w:snapToGrid w:val="0"/>
        </w:rPr>
        <w:t>Under the above Act [</w:t>
      </w:r>
      <w:r>
        <w:rPr>
          <w:i/>
          <w:snapToGrid w:val="0"/>
        </w:rPr>
        <w:t>new identity of participant</w:t>
      </w:r>
      <w:r>
        <w:rPr>
          <w:snapToGrid w:val="0"/>
        </w:rPr>
        <w:t>], a participant in the State Witness Protection Program, has been given a new identity.</w:t>
      </w:r>
    </w:p>
    <w:p>
      <w:pPr>
        <w:pStyle w:val="yMiscellaneousBody"/>
        <w:rPr>
          <w:snapToGrid w:val="0"/>
        </w:rPr>
      </w:pPr>
      <w:r>
        <w:rPr>
          <w:snapToGrid w:val="0"/>
        </w:rPr>
        <w:t>Under a law of this State the participant would, apart from section 33 of the above Act, be required to disclose his or her former identity for the purpose of [</w:t>
      </w:r>
      <w:r>
        <w:rPr>
          <w:i/>
          <w:snapToGrid w:val="0"/>
        </w:rPr>
        <w:t>state purpose</w:t>
      </w:r>
      <w:r>
        <w:rPr>
          <w:snapToGrid w:val="0"/>
        </w:rPr>
        <w:t>].</w:t>
      </w:r>
    </w:p>
    <w:p>
      <w:pPr>
        <w:pStyle w:val="yMiscellaneousBody"/>
        <w:rPr>
          <w:snapToGrid w:val="0"/>
        </w:rPr>
      </w:pPr>
      <w:r>
        <w:rPr>
          <w:snapToGrid w:val="0"/>
        </w:rPr>
        <w:t>I, [</w:t>
      </w:r>
      <w:r>
        <w:rPr>
          <w:i/>
          <w:snapToGrid w:val="0"/>
        </w:rPr>
        <w:t>name of Commissioner or approved authority</w:t>
      </w:r>
      <w:r>
        <w:rPr>
          <w:snapToGrid w:val="0"/>
        </w:rPr>
        <w:t>], [</w:t>
      </w:r>
      <w:r>
        <w:rPr>
          <w:i/>
          <w:snapToGrid w:val="0"/>
        </w:rPr>
        <w:t>title</w:t>
      </w:r>
      <w:r>
        <w:rPr>
          <w:snapToGrid w:val="0"/>
        </w:rPr>
        <w:t>], acting under section 33(1) of the above Act, give the participant permission not to disclose his or her identity for that purpose.</w:t>
      </w:r>
    </w:p>
    <w:p>
      <w:pPr>
        <w:pStyle w:val="yMiscellaneousBody"/>
        <w:rPr>
          <w:snapToGrid w:val="0"/>
        </w:rPr>
      </w:pPr>
      <w:r>
        <w:rPr>
          <w:snapToGrid w:val="0"/>
        </w:rPr>
        <w:t>Dated:</w:t>
      </w:r>
    </w:p>
    <w:p>
      <w:pPr>
        <w:pStyle w:val="yMiscellaneousBody"/>
        <w:rPr>
          <w:snapToGrid w:val="0"/>
        </w:rPr>
      </w:pPr>
      <w:r>
        <w:rPr>
          <w:snapToGrid w:val="0"/>
        </w:rPr>
        <w:t>Signature:</w:t>
      </w:r>
    </w:p>
    <w:p>
      <w:pPr>
        <w:pStyle w:val="yMiscellaneousHeading"/>
        <w:pageBreakBefore/>
        <w:jc w:val="left"/>
        <w:rPr>
          <w:snapToGrid w:val="0"/>
        </w:rPr>
      </w:pPr>
      <w:r>
        <w:rPr>
          <w:snapToGrid w:val="0"/>
        </w:rPr>
        <w:t>Form 2</w:t>
      </w:r>
    </w:p>
    <w:p>
      <w:pPr>
        <w:pStyle w:val="yMiscellaneousHeading"/>
        <w:rPr>
          <w:snapToGrid w:val="0"/>
        </w:rPr>
      </w:pP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br/>
        <w:t>[s. 33(3)]</w:t>
      </w:r>
    </w:p>
    <w:p>
      <w:pPr>
        <w:pStyle w:val="yMiscellaneousHeading"/>
        <w:rPr>
          <w:b/>
          <w:snapToGrid w:val="0"/>
        </w:rPr>
      </w:pPr>
      <w:r>
        <w:rPr>
          <w:b/>
          <w:snapToGrid w:val="0"/>
        </w:rPr>
        <w:t>Permission under a complementary witness protection law to participant not to disclose former identity</w:t>
      </w:r>
    </w:p>
    <w:p>
      <w:pPr>
        <w:pStyle w:val="yMiscellaneousBody"/>
        <w:rPr>
          <w:snapToGrid w:val="0"/>
        </w:rPr>
      </w:pPr>
      <w:r>
        <w:rPr>
          <w:snapToGrid w:val="0"/>
        </w:rPr>
        <w:t>Under the [</w:t>
      </w:r>
      <w:r>
        <w:rPr>
          <w:i/>
          <w:snapToGrid w:val="0"/>
        </w:rPr>
        <w:t>short title of complementary witness protection law</w:t>
      </w:r>
      <w:r>
        <w:rPr>
          <w:snapToGrid w:val="0"/>
        </w:rPr>
        <w:t>] [</w:t>
      </w:r>
      <w:r>
        <w:rPr>
          <w:i/>
          <w:snapToGrid w:val="0"/>
        </w:rPr>
        <w:t>new identity of participant</w:t>
      </w:r>
      <w:r>
        <w:rPr>
          <w:snapToGrid w:val="0"/>
        </w:rPr>
        <w:t>], a participant in the witness protection program established under that Act, has been given a new identity.</w:t>
      </w:r>
    </w:p>
    <w:p>
      <w:pPr>
        <w:pStyle w:val="yMiscellaneousBody"/>
        <w:rPr>
          <w:snapToGrid w:val="0"/>
        </w:rPr>
      </w:pPr>
      <w:r>
        <w:rPr>
          <w:snapToGrid w:val="0"/>
        </w:rPr>
        <w:t xml:space="preserve">Under a law of this State the participant would, apart from section 33 of the </w:t>
      </w:r>
      <w:r>
        <w:rPr>
          <w:i/>
          <w:snapToGrid w:val="0"/>
        </w:rPr>
        <w:t>Witness Protection (Western Australia) Act 1996</w:t>
      </w:r>
      <w:r>
        <w:rPr>
          <w:snapToGrid w:val="0"/>
        </w:rPr>
        <w:t>, be required to disclose his or her former identity for the purpose of [</w:t>
      </w:r>
      <w:r>
        <w:rPr>
          <w:i/>
          <w:snapToGrid w:val="0"/>
        </w:rPr>
        <w:t>state purpose</w:t>
      </w:r>
      <w:r>
        <w:rPr>
          <w:snapToGrid w:val="0"/>
        </w:rPr>
        <w:t>].</w:t>
      </w:r>
    </w:p>
    <w:p>
      <w:pPr>
        <w:pStyle w:val="yMiscellaneousBody"/>
        <w:rPr>
          <w:snapToGrid w:val="0"/>
        </w:rPr>
      </w:pPr>
      <w:r>
        <w:rPr>
          <w:snapToGrid w:val="0"/>
        </w:rPr>
        <w:t>I, [</w:t>
      </w:r>
      <w:r>
        <w:rPr>
          <w:i/>
          <w:snapToGrid w:val="0"/>
        </w:rPr>
        <w:t>name of Commissioner</w:t>
      </w:r>
      <w:r>
        <w:rPr>
          <w:snapToGrid w:val="0"/>
        </w:rPr>
        <w:t>], Commissioner of Police, acting under section [</w:t>
      </w:r>
      <w:r>
        <w:rPr>
          <w:i/>
          <w:snapToGrid w:val="0"/>
        </w:rPr>
        <w:t>number</w:t>
      </w:r>
      <w:r>
        <w:rPr>
          <w:snapToGrid w:val="0"/>
        </w:rPr>
        <w:t>] of the above complementary witness protection law, give the participant permission not to disclose his or her identity for that purpose.</w:t>
      </w:r>
    </w:p>
    <w:p>
      <w:pPr>
        <w:pStyle w:val="yMiscellaneousBody"/>
        <w:rPr>
          <w:snapToGrid w:val="0"/>
        </w:rPr>
      </w:pPr>
      <w:r>
        <w:rPr>
          <w:snapToGrid w:val="0"/>
        </w:rPr>
        <w:t>Dated:</w:t>
      </w:r>
    </w:p>
    <w:p>
      <w:pPr>
        <w:pStyle w:val="yMiscellaneousBody"/>
        <w:rPr>
          <w:snapToGrid w:val="0"/>
        </w:rPr>
      </w:pPr>
      <w:r>
        <w:rPr>
          <w:snapToGrid w:val="0"/>
        </w:rPr>
        <w:t>Signature: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 w:name="_Toc241569284"/>
      <w:bookmarkStart w:id="29" w:name="_Toc241569321"/>
      <w:bookmarkStart w:id="30" w:name="_Toc241569385"/>
      <w:bookmarkStart w:id="31" w:name="_Toc241572762"/>
      <w:bookmarkStart w:id="32" w:name="_Toc346870484"/>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59434161"/>
      <w:bookmarkStart w:id="34" w:name="_Toc241569322"/>
      <w:bookmarkStart w:id="35" w:name="_Toc346870485"/>
      <w:r>
        <w:rPr>
          <w:snapToGrid w:val="0"/>
        </w:rPr>
        <w:t>Compilation table</w:t>
      </w:r>
      <w:bookmarkEnd w:id="33"/>
      <w:bookmarkEnd w:id="34"/>
      <w:bookmarkEnd w:id="3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Regulations 1996</w:t>
            </w:r>
          </w:p>
        </w:tc>
        <w:tc>
          <w:tcPr>
            <w:tcW w:w="1276" w:type="dxa"/>
            <w:tcBorders>
              <w:top w:val="nil"/>
              <w:bottom w:val="nil"/>
            </w:tcBorders>
          </w:tcPr>
          <w:p>
            <w:pPr>
              <w:pStyle w:val="nTable"/>
              <w:spacing w:after="40"/>
              <w:rPr>
                <w:sz w:val="19"/>
              </w:rPr>
            </w:pPr>
            <w:r>
              <w:rPr>
                <w:sz w:val="19"/>
              </w:rPr>
              <w:t>6 Dec 1996 p. 6779</w:t>
            </w:r>
            <w:r>
              <w:rPr>
                <w:sz w:val="19"/>
              </w:rPr>
              <w:noBreakHyphen/>
              <w:t>82</w:t>
            </w:r>
          </w:p>
        </w:tc>
        <w:tc>
          <w:tcPr>
            <w:tcW w:w="2693" w:type="dxa"/>
            <w:tcBorders>
              <w:top w:val="nil"/>
              <w:bottom w:val="nil"/>
            </w:tcBorders>
          </w:tcPr>
          <w:p>
            <w:pPr>
              <w:pStyle w:val="nTable"/>
              <w:spacing w:after="40"/>
              <w:rPr>
                <w:sz w:val="19"/>
              </w:rPr>
            </w:pPr>
            <w:r>
              <w:rPr>
                <w:sz w:val="19"/>
              </w:rPr>
              <w:t xml:space="preserve">7 Dec 1996 (see r. 2 and </w:t>
            </w:r>
            <w:r>
              <w:rPr>
                <w:i/>
                <w:sz w:val="19"/>
              </w:rPr>
              <w:t>Gazette</w:t>
            </w:r>
            <w:r>
              <w:rPr>
                <w:sz w:val="19"/>
              </w:rPr>
              <w:t xml:space="preserve"> 6 Dec 1996 p. 6699)</w:t>
            </w:r>
          </w:p>
        </w:tc>
      </w:tr>
      <w:tr>
        <w:tc>
          <w:tcPr>
            <w:tcW w:w="3118"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41</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7" w:type="dxa"/>
            <w:gridSpan w:val="3"/>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Regulations 1996</w:t>
            </w:r>
            <w:r>
              <w:rPr>
                <w:b/>
                <w:sz w:val="19"/>
              </w:rPr>
              <w:t xml:space="preserve"> as at 16 Jan 2004</w:t>
            </w:r>
            <w:r>
              <w:rPr>
                <w:sz w:val="19"/>
              </w:rPr>
              <w:t xml:space="preserve"> (includes amendments listed above)</w:t>
            </w:r>
          </w:p>
        </w:tc>
      </w:tr>
      <w:tr>
        <w:tc>
          <w:tcPr>
            <w:tcW w:w="3118" w:type="dxa"/>
            <w:tcBorders>
              <w:top w:val="nil"/>
              <w:bottom w:val="single" w:sz="4" w:space="0" w:color="auto"/>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Amendment Regulations 2009</w:t>
            </w:r>
          </w:p>
        </w:tc>
        <w:tc>
          <w:tcPr>
            <w:tcW w:w="1276" w:type="dxa"/>
            <w:tcBorders>
              <w:top w:val="nil"/>
              <w:bottom w:val="single" w:sz="4" w:space="0" w:color="auto"/>
            </w:tcBorders>
          </w:tcPr>
          <w:p>
            <w:pPr>
              <w:pStyle w:val="nTable"/>
              <w:spacing w:after="40"/>
              <w:rPr>
                <w:sz w:val="19"/>
              </w:rPr>
            </w:pPr>
            <w:r>
              <w:rPr>
                <w:sz w:val="19"/>
              </w:rPr>
              <w:t>25 Sep 2009 p. 3749-50</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25 Sep 2009 (see r. 2(a));</w:t>
            </w:r>
            <w:r>
              <w:rPr>
                <w:snapToGrid w:val="0"/>
                <w:spacing w:val="-2"/>
                <w:sz w:val="19"/>
                <w:lang w:val="en-US"/>
              </w:rPr>
              <w:br/>
              <w:t>Regulations other than r. 1 and 2: 26 Sep 2009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 w:name="_Toc534778309"/>
      <w:bookmarkStart w:id="37" w:name="_Toc7405063"/>
      <w:bookmarkStart w:id="38" w:name="_Toc296601212"/>
      <w:bookmarkStart w:id="39" w:name="_Toc309727460"/>
      <w:bookmarkStart w:id="40" w:name="_Toc346870486"/>
      <w:r>
        <w:rPr>
          <w:snapToGrid w:val="0"/>
        </w:rPr>
        <w:t>Provisions that have not come into operation</w:t>
      </w:r>
      <w:bookmarkEnd w:id="36"/>
      <w:bookmarkEnd w:id="37"/>
      <w:bookmarkEnd w:id="38"/>
      <w:bookmarkEnd w:id="39"/>
      <w:bookmarkEnd w:id="4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vertAlign w:val="superscript"/>
              </w:rPr>
            </w:pPr>
            <w:r>
              <w:rPr>
                <w:i/>
              </w:rPr>
              <w:t>Witness Protection (</w:t>
            </w:r>
            <w:smartTag w:uri="urn:schemas-microsoft-com:office:smarttags" w:element="State">
              <w:smartTag w:uri="urn:schemas-microsoft-com:office:smarttags" w:element="place">
                <w:r>
                  <w:rPr>
                    <w:i/>
                  </w:rPr>
                  <w:t>Western Australia</w:t>
                </w:r>
              </w:smartTag>
            </w:smartTag>
            <w:r>
              <w:rPr>
                <w:i/>
              </w:rPr>
              <w:t>) Amendment Regulations 2013</w:t>
            </w:r>
            <w:r>
              <w:t xml:space="preserve"> r. 3</w:t>
            </w:r>
            <w:r>
              <w:noBreakHyphen/>
              <w:t>5 </w:t>
            </w:r>
            <w:r>
              <w:rPr>
                <w:vertAlign w:val="superscript"/>
              </w:rPr>
              <w:t>2</w:t>
            </w:r>
          </w:p>
        </w:tc>
        <w:tc>
          <w:tcPr>
            <w:tcW w:w="1276" w:type="dxa"/>
            <w:tcBorders>
              <w:top w:val="nil"/>
              <w:bottom w:val="nil"/>
            </w:tcBorders>
          </w:tcPr>
          <w:p>
            <w:pPr>
              <w:pStyle w:val="nTable"/>
              <w:spacing w:after="40"/>
              <w:rPr>
                <w:sz w:val="19"/>
              </w:rPr>
            </w:pPr>
            <w:r>
              <w:rPr>
                <w:sz w:val="19"/>
              </w:rPr>
              <w:t>25 Jan 2013 p. 280</w:t>
            </w:r>
            <w:r>
              <w:rPr>
                <w:sz w:val="19"/>
              </w:rPr>
              <w:noBreakHyphen/>
              <w:t>1</w:t>
            </w:r>
          </w:p>
        </w:tc>
        <w:tc>
          <w:tcPr>
            <w:tcW w:w="2693" w:type="dxa"/>
            <w:tcBorders>
              <w:top w:val="nil"/>
              <w:bottom w:val="nil"/>
            </w:tcBorders>
          </w:tcPr>
          <w:p>
            <w:pPr>
              <w:pStyle w:val="nTable"/>
              <w:spacing w:after="40"/>
              <w:rPr>
                <w:sz w:val="19"/>
              </w:rPr>
            </w:pPr>
            <w:r>
              <w:rPr>
                <w:sz w:val="19"/>
              </w:rPr>
              <w:t>1 Mar 2013 (see r. 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xml:space="preserve">) Amendment Regulations 2013 </w:t>
      </w:r>
      <w:r>
        <w:rPr>
          <w:snapToGrid w:val="0"/>
        </w:rPr>
        <w:t>r. 3</w:t>
      </w:r>
      <w:r>
        <w:rPr>
          <w:snapToGrid w:val="0"/>
        </w:rPr>
        <w:noBreakHyphen/>
        <w:t>5</w:t>
      </w:r>
      <w:r>
        <w:rPr>
          <w:i/>
          <w:snapToGrid w:val="0"/>
        </w:rPr>
        <w:t> </w:t>
      </w:r>
      <w:r>
        <w:rPr>
          <w:snapToGrid w:val="0"/>
        </w:rPr>
        <w:t>had not come into operation.  They read as follows:</w:t>
      </w:r>
    </w:p>
    <w:p>
      <w:pPr>
        <w:pStyle w:val="BlankOpen"/>
      </w:pPr>
    </w:p>
    <w:p>
      <w:pPr>
        <w:pStyle w:val="nzHeading5"/>
        <w:rPr>
          <w:snapToGrid w:val="0"/>
        </w:rPr>
      </w:pPr>
      <w:bookmarkStart w:id="41" w:name="_Toc423332724"/>
      <w:bookmarkStart w:id="42" w:name="_Toc425219443"/>
      <w:bookmarkStart w:id="43" w:name="_Toc426249310"/>
      <w:bookmarkStart w:id="44" w:name="_Toc449924706"/>
      <w:bookmarkStart w:id="45" w:name="_Toc449947724"/>
      <w:bookmarkStart w:id="46" w:name="_Toc454185715"/>
      <w:bookmarkStart w:id="47" w:name="_Toc515958688"/>
      <w:r>
        <w:rPr>
          <w:rStyle w:val="CharSectno"/>
        </w:rPr>
        <w:t>3</w:t>
      </w:r>
      <w:r>
        <w:rPr>
          <w:snapToGrid w:val="0"/>
        </w:rPr>
        <w:t>.</w:t>
      </w:r>
      <w:r>
        <w:rPr>
          <w:snapToGrid w:val="0"/>
        </w:rPr>
        <w:tab/>
        <w:t>Regulations amended</w:t>
      </w:r>
      <w:bookmarkEnd w:id="41"/>
      <w:bookmarkEnd w:id="42"/>
      <w:bookmarkEnd w:id="43"/>
      <w:bookmarkEnd w:id="44"/>
      <w:bookmarkEnd w:id="45"/>
      <w:bookmarkEnd w:id="46"/>
      <w:bookmarkEnd w:id="47"/>
    </w:p>
    <w:p>
      <w:pPr>
        <w:pStyle w:val="nzSubsection"/>
      </w:pPr>
      <w:r>
        <w:tab/>
      </w:r>
      <w:r>
        <w:tab/>
      </w:r>
      <w:r>
        <w:rPr>
          <w:spacing w:val="-2"/>
        </w:rPr>
        <w:t>These</w:t>
      </w:r>
      <w:r>
        <w:t xml:space="preserve"> regulations amend the </w:t>
      </w:r>
      <w:r>
        <w:rPr>
          <w:i/>
        </w:rPr>
        <w:t>Witness Protection (</w:t>
      </w:r>
      <w:smartTag w:uri="urn:schemas-microsoft-com:office:smarttags" w:element="place">
        <w:smartTag w:uri="urn:schemas-microsoft-com:office:smarttags" w:element="State">
          <w:r>
            <w:rPr>
              <w:i/>
            </w:rPr>
            <w:t>Western Australia</w:t>
          </w:r>
        </w:smartTag>
      </w:smartTag>
      <w:r>
        <w:rPr>
          <w:i/>
        </w:rPr>
        <w:t>) Regulations 1996</w:t>
      </w:r>
      <w:r>
        <w:t>.</w:t>
      </w:r>
    </w:p>
    <w:p>
      <w:pPr>
        <w:pStyle w:val="nzHeading5"/>
      </w:pPr>
      <w:r>
        <w:rPr>
          <w:rStyle w:val="CharSectno"/>
        </w:rPr>
        <w:t>4</w:t>
      </w:r>
      <w:r>
        <w:t>.</w:t>
      </w:r>
      <w:r>
        <w:tab/>
        <w:t>Regulation 6 replaced</w:t>
      </w:r>
    </w:p>
    <w:p>
      <w:pPr>
        <w:pStyle w:val="nzSubsection"/>
      </w:pPr>
      <w:r>
        <w:tab/>
      </w:r>
      <w:r>
        <w:tab/>
        <w:t>Delete regulation 6 and insert:</w:t>
      </w:r>
    </w:p>
    <w:p>
      <w:pPr>
        <w:pStyle w:val="BlankOpen"/>
      </w:pPr>
    </w:p>
    <w:p>
      <w:pPr>
        <w:pStyle w:val="nzHeading5"/>
      </w:pPr>
      <w:r>
        <w:t>6.</w:t>
      </w:r>
      <w:r>
        <w:tab/>
        <w:t>Corresponding laws prescribed (s. 33)</w:t>
      </w:r>
    </w:p>
    <w:p>
      <w:pPr>
        <w:pStyle w:val="nzSubsection"/>
      </w:pPr>
      <w:r>
        <w:tab/>
      </w:r>
      <w:r>
        <w:tab/>
        <w:t xml:space="preserve">For the purposes of the definition of </w:t>
      </w:r>
      <w:r>
        <w:rPr>
          <w:b/>
          <w:i/>
        </w:rPr>
        <w:t>corresponding law</w:t>
      </w:r>
      <w:r>
        <w:t xml:space="preserve"> in section 33 of the Act, these laws are prescribed laws — </w:t>
      </w:r>
    </w:p>
    <w:p>
      <w:pPr>
        <w:pStyle w:val="nzIndenta"/>
      </w:pPr>
      <w:r>
        <w:tab/>
        <w:t>(a)</w:t>
      </w:r>
      <w:r>
        <w:tab/>
        <w:t xml:space="preserve">the </w:t>
      </w:r>
      <w:r>
        <w:rPr>
          <w:i/>
        </w:rPr>
        <w:t>Witness Protection Act 2000</w:t>
      </w:r>
      <w:r>
        <w:t xml:space="preserve"> (</w:t>
      </w:r>
      <w:smartTag w:uri="urn:schemas-microsoft-com:office:smarttags" w:element="place">
        <w:smartTag w:uri="urn:schemas-microsoft-com:office:smarttags" w:element="State">
          <w:r>
            <w:t>Queensland</w:t>
          </w:r>
        </w:smartTag>
      </w:smartTag>
      <w:r>
        <w:t>) Part 3 Division 2;</w:t>
      </w:r>
    </w:p>
    <w:p>
      <w:pPr>
        <w:pStyle w:val="nzIndenta"/>
      </w:pPr>
      <w:r>
        <w:tab/>
        <w:t>(b)</w:t>
      </w:r>
      <w:r>
        <w:tab/>
        <w:t xml:space="preserve">the </w:t>
      </w:r>
      <w:r>
        <w:rPr>
          <w:i/>
        </w:rPr>
        <w:t>Witness (Identity Protection) Act 2006</w:t>
      </w:r>
      <w:r>
        <w:t xml:space="preserve"> (</w:t>
      </w:r>
      <w:smartTag w:uri="urn:schemas-microsoft-com:office:smarttags" w:element="place">
        <w:smartTag w:uri="urn:schemas-microsoft-com:office:smarttags" w:element="State">
          <w:r>
            <w:t>Tasmania</w:t>
          </w:r>
        </w:smartTag>
      </w:smartTag>
      <w:r>
        <w:t>) Part 3.</w:t>
      </w:r>
    </w:p>
    <w:p>
      <w:pPr>
        <w:pStyle w:val="BlankClose"/>
      </w:pPr>
    </w:p>
    <w:p>
      <w:pPr>
        <w:pStyle w:val="nzHeading5"/>
      </w:pPr>
      <w:r>
        <w:rPr>
          <w:rStyle w:val="CharSectno"/>
        </w:rPr>
        <w:t>5</w:t>
      </w:r>
      <w:r>
        <w:t>.</w:t>
      </w:r>
      <w:r>
        <w:tab/>
        <w:t>Schedule 1 deleted</w:t>
      </w:r>
    </w:p>
    <w:p>
      <w:pPr>
        <w:pStyle w:val="nzSubsection"/>
      </w:pPr>
      <w:r>
        <w:tab/>
      </w:r>
      <w:r>
        <w:tab/>
        <w:t>Delete Schedule 1.</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Witness Protection (Western Australia)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F601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C2808C0"/>
    <w:multiLevelType w:val="singleLevel"/>
    <w:tmpl w:val="AB8499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55"/>
    <w:docVar w:name="WAFER_20151216150155" w:val="RemoveTrackChanges"/>
    <w:docVar w:name="WAFER_20151216150155_GUID" w:val="6d0bf203-5624-44b7-b54c-ea7a39510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1599</Words>
  <Characters>8171</Characters>
  <Application>Microsoft Office Word</Application>
  <DocSecurity>0</DocSecurity>
  <Lines>255</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1996 - 01-c0-02</dc:title>
  <dc:subject/>
  <dc:creator/>
  <cp:keywords/>
  <dc:description/>
  <cp:lastModifiedBy>svcMRProcess</cp:lastModifiedBy>
  <cp:revision>4</cp:revision>
  <cp:lastPrinted>2004-01-20T08:01:00Z</cp:lastPrinted>
  <dcterms:created xsi:type="dcterms:W3CDTF">2015-12-17T23:56:00Z</dcterms:created>
  <dcterms:modified xsi:type="dcterms:W3CDTF">2015-12-17T23:56:00Z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CommencementDate">
    <vt:lpwstr>20130125</vt:lpwstr>
  </property>
  <property fmtid="{D5CDD505-2E9C-101B-9397-08002B2CF9AE}" pid="4" name="DocumentType">
    <vt:lpwstr>Reg</vt:lpwstr>
  </property>
  <property fmtid="{D5CDD505-2E9C-101B-9397-08002B2CF9AE}" pid="5" name="OwlsUID">
    <vt:i4>4880</vt:i4>
  </property>
  <property fmtid="{D5CDD505-2E9C-101B-9397-08002B2CF9AE}" pid="6" name="AsAtDate">
    <vt:lpwstr>25 Jan 2013</vt:lpwstr>
  </property>
  <property fmtid="{D5CDD505-2E9C-101B-9397-08002B2CF9AE}" pid="7" name="Suffix">
    <vt:lpwstr>01-c0-02</vt:lpwstr>
  </property>
</Properties>
</file>