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2010</w:t>
      </w:r>
    </w:p>
    <w:p>
      <w:pPr>
        <w:pStyle w:val="NameofActRegPage1"/>
        <w:spacing w:before="1800" w:after="4200"/>
      </w:pPr>
      <w:r>
        <w:fldChar w:fldCharType="begin"/>
      </w:r>
      <w:r>
        <w:instrText xml:space="preserve"> STYLEREF "Name Of Act/Reg"</w:instrText>
      </w:r>
      <w:r>
        <w:fldChar w:fldCharType="separate"/>
      </w:r>
      <w:r>
        <w:rPr>
          <w:noProof/>
        </w:rPr>
        <w:t>Fair Trading (Retirement Villages Interim Code) Regulations 2013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2013</w:t>
      </w:r>
      <w:r>
        <w:fldChar w:fldCharType="end"/>
      </w:r>
    </w:p>
    <w:p>
      <w:pPr>
        <w:pStyle w:val="Arrangement"/>
      </w:pPr>
      <w:r>
        <w:t>CONTENTS</w:t>
      </w:r>
    </w:p>
    <w:p>
      <w:pPr>
        <w:pStyle w:val="TOC8"/>
        <w:rPr>
          <w:rFonts w:asciiTheme="minorHAnsi" w:eastAsiaTheme="minorEastAsia" w:hAnsiTheme="minorHAnsi" w:cstheme="minorBidi"/>
          <w:szCs w:val="22"/>
          <w:lang w:eastAsia="en-AU"/>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Citation</w:t>
      </w:r>
      <w:r>
        <w:tab/>
      </w:r>
      <w:r>
        <w:fldChar w:fldCharType="begin"/>
      </w:r>
      <w:r>
        <w:instrText xml:space="preserve"> PAGEREF _Toc348601237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_Toc348601238 \h </w:instrText>
      </w:r>
      <w:r>
        <w:fldChar w:fldCharType="separate"/>
      </w:r>
      <w:r>
        <w:t>1</w:t>
      </w:r>
      <w:r>
        <w:fldChar w:fldCharType="end"/>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_Toc348601240 \h </w:instrText>
      </w:r>
      <w:r>
        <w:fldChar w:fldCharType="separate"/>
      </w:r>
      <w:r>
        <w:t>2</w:t>
      </w:r>
      <w:r>
        <w:fldChar w:fldCharType="end"/>
      </w:r>
    </w:p>
    <w:p>
      <w:pPr>
        <w:pStyle w:val="TOC8"/>
        <w:rPr>
          <w:rFonts w:asciiTheme="minorHAnsi" w:eastAsiaTheme="minorEastAsia" w:hAnsiTheme="minorHAnsi" w:cstheme="minorBidi"/>
          <w:szCs w:val="22"/>
          <w:lang w:eastAsia="en-AU"/>
        </w:rPr>
      </w:pPr>
      <w:r>
        <w:rPr>
          <w:snapToGrid w:val="0"/>
        </w:rPr>
        <w:t>Provisions that have not come into operation</w:t>
      </w:r>
      <w:r>
        <w:tab/>
      </w:r>
      <w:r>
        <w:fldChar w:fldCharType="begin"/>
      </w:r>
      <w:r>
        <w:instrText xml:space="preserve"> PAGEREF _Toc348601241 \h </w:instrText>
      </w:r>
      <w:r>
        <w:fldChar w:fldCharType="separate"/>
      </w:r>
      <w:r>
        <w:t>2</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 — </w:t>
      </w:r>
      <w:r>
        <w:rPr>
          <w:i/>
        </w:rPr>
        <w:t>Interim Code of Fair Practice for Retirement Villages 2013</w:t>
      </w:r>
    </w:p>
    <w:p>
      <w:pPr>
        <w:pStyle w:val="TOC4"/>
        <w:tabs>
          <w:tab w:val="righ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1.1</w:t>
      </w:r>
      <w:r>
        <w:tab/>
        <w:t>Citation</w:t>
      </w:r>
      <w:r>
        <w:tab/>
      </w:r>
      <w:r>
        <w:fldChar w:fldCharType="begin"/>
      </w:r>
      <w:r>
        <w:instrText xml:space="preserve"> PAGEREF _Toc348601244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Application</w:t>
      </w:r>
      <w:r>
        <w:tab/>
      </w:r>
      <w:r>
        <w:fldChar w:fldCharType="begin"/>
      </w:r>
      <w:r>
        <w:instrText xml:space="preserve"> PAGEREF _Toc348601245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General principles</w:t>
      </w:r>
      <w:r>
        <w:tab/>
      </w:r>
      <w:r>
        <w:fldChar w:fldCharType="begin"/>
      </w:r>
      <w:r>
        <w:instrText xml:space="preserve"> PAGEREF _Toc348601246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Objectives of the Code</w:t>
      </w:r>
      <w:r>
        <w:tab/>
      </w:r>
      <w:r>
        <w:fldChar w:fldCharType="begin"/>
      </w:r>
      <w:r>
        <w:instrText xml:space="preserve"> PAGEREF _Toc348601247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Resident’s basic rights</w:t>
      </w:r>
      <w:r>
        <w:tab/>
      </w:r>
      <w:r>
        <w:fldChar w:fldCharType="begin"/>
      </w:r>
      <w:r>
        <w:instrText xml:space="preserve"> PAGEREF _Toc348601248 \h </w:instrText>
      </w:r>
      <w:r>
        <w:fldChar w:fldCharType="separate"/>
      </w:r>
      <w:r>
        <w:t>11</w:t>
      </w:r>
      <w:r>
        <w:fldChar w:fldCharType="end"/>
      </w:r>
    </w:p>
    <w:p>
      <w:pPr>
        <w:pStyle w:val="TOC4"/>
        <w:tabs>
          <w:tab w:val="right" w:pos="7086"/>
        </w:tabs>
        <w:rPr>
          <w:rFonts w:asciiTheme="minorHAnsi" w:eastAsiaTheme="minorEastAsia" w:hAnsiTheme="minorHAnsi" w:cstheme="minorBidi"/>
          <w:b w:val="0"/>
          <w:szCs w:val="22"/>
          <w:lang w:eastAsia="en-AU"/>
        </w:rPr>
      </w:pPr>
      <w:r>
        <w:t>Division 2 — Advertising and promotion of retirement villages</w:t>
      </w:r>
    </w:p>
    <w:p>
      <w:pPr>
        <w:pStyle w:val="TOC8"/>
        <w:rPr>
          <w:rFonts w:asciiTheme="minorHAnsi" w:eastAsiaTheme="minorEastAsia" w:hAnsiTheme="minorHAnsi" w:cstheme="minorBidi"/>
          <w:szCs w:val="22"/>
          <w:lang w:eastAsia="en-AU"/>
        </w:rPr>
      </w:pPr>
      <w:r>
        <w:t>2.1</w:t>
      </w:r>
      <w:r>
        <w:tab/>
        <w:t>General</w:t>
      </w:r>
      <w:r>
        <w:tab/>
      </w:r>
      <w:r>
        <w:fldChar w:fldCharType="begin"/>
      </w:r>
      <w:r>
        <w:instrText xml:space="preserve"> PAGEREF _Toc348601250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Retirement village developments</w:t>
      </w:r>
      <w:r>
        <w:tab/>
      </w:r>
      <w:r>
        <w:fldChar w:fldCharType="begin"/>
      </w:r>
      <w:r>
        <w:instrText xml:space="preserve"> PAGEREF _Toc348601251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Proposed amenities and services</w:t>
      </w:r>
      <w:r>
        <w:tab/>
      </w:r>
      <w:r>
        <w:fldChar w:fldCharType="begin"/>
      </w:r>
      <w:r>
        <w:instrText xml:space="preserve"> PAGEREF _Toc348601252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Approvals for facilities that provide residential aged care services</w:t>
      </w:r>
      <w:r>
        <w:tab/>
      </w:r>
      <w:r>
        <w:fldChar w:fldCharType="begin"/>
      </w:r>
      <w:r>
        <w:instrText xml:space="preserve"> PAGEREF _Toc348601253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Access to residential aged care services</w:t>
      </w:r>
      <w:r>
        <w:tab/>
      </w:r>
      <w:r>
        <w:fldChar w:fldCharType="begin"/>
      </w:r>
      <w:r>
        <w:instrText xml:space="preserve"> PAGEREF _Toc348601254 \h </w:instrText>
      </w:r>
      <w:r>
        <w:fldChar w:fldCharType="separate"/>
      </w:r>
      <w:r>
        <w:t>13</w:t>
      </w:r>
      <w:r>
        <w:fldChar w:fldCharType="end"/>
      </w:r>
    </w:p>
    <w:p>
      <w:pPr>
        <w:pStyle w:val="TOC4"/>
        <w:tabs>
          <w:tab w:val="right" w:pos="7086"/>
        </w:tabs>
        <w:rPr>
          <w:rFonts w:asciiTheme="minorHAnsi" w:eastAsiaTheme="minorEastAsia" w:hAnsiTheme="minorHAnsi" w:cstheme="minorBidi"/>
          <w:b w:val="0"/>
          <w:szCs w:val="22"/>
          <w:lang w:eastAsia="en-AU"/>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lang w:eastAsia="en-AU"/>
        </w:rPr>
      </w:pPr>
      <w:r>
        <w:t>3.1</w:t>
      </w:r>
      <w:r>
        <w:tab/>
        <w:t>Before entering into a residence contract</w:t>
      </w:r>
      <w:r>
        <w:tab/>
      </w:r>
      <w:r>
        <w:fldChar w:fldCharType="begin"/>
      </w:r>
      <w:r>
        <w:instrText xml:space="preserve"> PAGEREF _Toc348601256 \h </w:instrText>
      </w:r>
      <w:r>
        <w:fldChar w:fldCharType="separate"/>
      </w:r>
      <w:r>
        <w:t>14</w:t>
      </w:r>
      <w:r>
        <w:fldChar w:fldCharType="end"/>
      </w:r>
    </w:p>
    <w:p>
      <w:pPr>
        <w:pStyle w:val="TOC8"/>
        <w:rPr>
          <w:rFonts w:asciiTheme="minorHAnsi" w:eastAsiaTheme="minorEastAsia" w:hAnsiTheme="minorHAnsi" w:cstheme="minorBidi"/>
          <w:szCs w:val="22"/>
          <w:lang w:eastAsia="en-AU"/>
        </w:rPr>
      </w:pPr>
      <w:r>
        <w:t>3.2</w:t>
      </w:r>
      <w:r>
        <w:tab/>
        <w:t>Before entering into a service contract</w:t>
      </w:r>
      <w:r>
        <w:tab/>
      </w:r>
      <w:r>
        <w:fldChar w:fldCharType="begin"/>
      </w:r>
      <w:r>
        <w:instrText xml:space="preserve"> PAGEREF _Toc348601257 \h </w:instrText>
      </w:r>
      <w:r>
        <w:fldChar w:fldCharType="separate"/>
      </w:r>
      <w:r>
        <w:t>16</w:t>
      </w:r>
      <w:r>
        <w:fldChar w:fldCharType="end"/>
      </w:r>
    </w:p>
    <w:p>
      <w:pPr>
        <w:pStyle w:val="TOC4"/>
        <w:tabs>
          <w:tab w:val="right" w:pos="7086"/>
        </w:tabs>
        <w:rPr>
          <w:rFonts w:asciiTheme="minorHAnsi" w:eastAsiaTheme="minorEastAsia" w:hAnsiTheme="minorHAnsi" w:cstheme="minorBidi"/>
          <w:b w:val="0"/>
          <w:szCs w:val="22"/>
          <w:lang w:eastAsia="en-AU"/>
        </w:rPr>
      </w:pPr>
      <w:r>
        <w:t>Division 4 — Residence contract and service contract</w:t>
      </w:r>
    </w:p>
    <w:p>
      <w:pPr>
        <w:pStyle w:val="TOC8"/>
        <w:rPr>
          <w:rFonts w:asciiTheme="minorHAnsi" w:eastAsiaTheme="minorEastAsia" w:hAnsiTheme="minorHAnsi" w:cstheme="minorBidi"/>
          <w:szCs w:val="22"/>
          <w:lang w:eastAsia="en-AU"/>
        </w:rPr>
      </w:pPr>
      <w:r>
        <w:t>4.1</w:t>
      </w:r>
      <w:r>
        <w:tab/>
        <w:t>Legibility and presentation requirements</w:t>
      </w:r>
      <w:r>
        <w:tab/>
      </w:r>
      <w:r>
        <w:fldChar w:fldCharType="begin"/>
      </w:r>
      <w:r>
        <w:instrText xml:space="preserve"> PAGEREF _Toc348601259 \h </w:instrText>
      </w:r>
      <w:r>
        <w:fldChar w:fldCharType="separate"/>
      </w:r>
      <w:r>
        <w:t>16</w:t>
      </w:r>
      <w:r>
        <w:fldChar w:fldCharType="end"/>
      </w:r>
    </w:p>
    <w:p>
      <w:pPr>
        <w:pStyle w:val="TOC8"/>
        <w:rPr>
          <w:rFonts w:asciiTheme="minorHAnsi" w:eastAsiaTheme="minorEastAsia" w:hAnsiTheme="minorHAnsi" w:cstheme="minorBidi"/>
          <w:szCs w:val="22"/>
          <w:lang w:eastAsia="en-AU"/>
        </w:rPr>
      </w:pPr>
      <w:r>
        <w:t>4.2</w:t>
      </w:r>
      <w:r>
        <w:tab/>
        <w:t>Title and tenure</w:t>
      </w:r>
      <w:r>
        <w:tab/>
      </w:r>
      <w:r>
        <w:fldChar w:fldCharType="begin"/>
      </w:r>
      <w:r>
        <w:instrText xml:space="preserve"> PAGEREF _Toc348601260 \h </w:instrText>
      </w:r>
      <w:r>
        <w:fldChar w:fldCharType="separate"/>
      </w:r>
      <w:r>
        <w:t>17</w:t>
      </w:r>
      <w:r>
        <w:fldChar w:fldCharType="end"/>
      </w:r>
    </w:p>
    <w:p>
      <w:pPr>
        <w:pStyle w:val="TOC8"/>
        <w:rPr>
          <w:rFonts w:asciiTheme="minorHAnsi" w:eastAsiaTheme="minorEastAsia" w:hAnsiTheme="minorHAnsi" w:cstheme="minorBidi"/>
          <w:szCs w:val="22"/>
          <w:lang w:eastAsia="en-AU"/>
        </w:rPr>
      </w:pPr>
      <w:r>
        <w:t>4.3</w:t>
      </w:r>
      <w:r>
        <w:tab/>
        <w:t>Residential premises</w:t>
      </w:r>
      <w:r>
        <w:tab/>
      </w:r>
      <w:r>
        <w:fldChar w:fldCharType="begin"/>
      </w:r>
      <w:r>
        <w:instrText xml:space="preserve"> PAGEREF _Toc348601261 \h </w:instrText>
      </w:r>
      <w:r>
        <w:fldChar w:fldCharType="separate"/>
      </w:r>
      <w:r>
        <w:t>18</w:t>
      </w:r>
      <w:r>
        <w:fldChar w:fldCharType="end"/>
      </w:r>
    </w:p>
    <w:p>
      <w:pPr>
        <w:pStyle w:val="TOC8"/>
        <w:rPr>
          <w:rFonts w:asciiTheme="minorHAnsi" w:eastAsiaTheme="minorEastAsia" w:hAnsiTheme="minorHAnsi" w:cstheme="minorBidi"/>
          <w:szCs w:val="22"/>
          <w:lang w:eastAsia="en-AU"/>
        </w:rPr>
      </w:pPr>
      <w:r>
        <w:t>4.4</w:t>
      </w:r>
      <w:r>
        <w:tab/>
        <w:t>Amenities</w:t>
      </w:r>
      <w:r>
        <w:tab/>
      </w:r>
      <w:r>
        <w:fldChar w:fldCharType="begin"/>
      </w:r>
      <w:r>
        <w:instrText xml:space="preserve"> PAGEREF _Toc348601262 \h </w:instrText>
      </w:r>
      <w:r>
        <w:fldChar w:fldCharType="separate"/>
      </w:r>
      <w:r>
        <w:t>18</w:t>
      </w:r>
      <w:r>
        <w:fldChar w:fldCharType="end"/>
      </w:r>
    </w:p>
    <w:p>
      <w:pPr>
        <w:pStyle w:val="TOC8"/>
        <w:rPr>
          <w:rFonts w:asciiTheme="minorHAnsi" w:eastAsiaTheme="minorEastAsia" w:hAnsiTheme="minorHAnsi" w:cstheme="minorBidi"/>
          <w:szCs w:val="22"/>
          <w:lang w:eastAsia="en-AU"/>
        </w:rPr>
      </w:pPr>
      <w:r>
        <w:t>4.5</w:t>
      </w:r>
      <w:r>
        <w:tab/>
        <w:t>Services</w:t>
      </w:r>
      <w:r>
        <w:tab/>
      </w:r>
      <w:r>
        <w:fldChar w:fldCharType="begin"/>
      </w:r>
      <w:r>
        <w:instrText xml:space="preserve"> PAGEREF _Toc348601263 \h </w:instrText>
      </w:r>
      <w:r>
        <w:fldChar w:fldCharType="separate"/>
      </w:r>
      <w:r>
        <w:t>19</w:t>
      </w:r>
      <w:r>
        <w:fldChar w:fldCharType="end"/>
      </w:r>
    </w:p>
    <w:p>
      <w:pPr>
        <w:pStyle w:val="TOC8"/>
        <w:rPr>
          <w:rFonts w:asciiTheme="minorHAnsi" w:eastAsiaTheme="minorEastAsia" w:hAnsiTheme="minorHAnsi" w:cstheme="minorBidi"/>
          <w:szCs w:val="22"/>
          <w:lang w:eastAsia="en-AU"/>
        </w:rPr>
      </w:pPr>
      <w:r>
        <w:t>4.6</w:t>
      </w:r>
      <w:r>
        <w:tab/>
        <w:t>Payment of premium and refund entitlement</w:t>
      </w:r>
      <w:r>
        <w:tab/>
      </w:r>
      <w:r>
        <w:fldChar w:fldCharType="begin"/>
      </w:r>
      <w:r>
        <w:instrText xml:space="preserve"> PAGEREF _Toc348601264 \h </w:instrText>
      </w:r>
      <w:r>
        <w:fldChar w:fldCharType="separate"/>
      </w:r>
      <w:r>
        <w:t>19</w:t>
      </w:r>
      <w:r>
        <w:fldChar w:fldCharType="end"/>
      </w:r>
    </w:p>
    <w:p>
      <w:pPr>
        <w:pStyle w:val="TOC8"/>
        <w:rPr>
          <w:rFonts w:asciiTheme="minorHAnsi" w:eastAsiaTheme="minorEastAsia" w:hAnsiTheme="minorHAnsi" w:cstheme="minorBidi"/>
          <w:szCs w:val="22"/>
          <w:lang w:eastAsia="en-AU"/>
        </w:rPr>
      </w:pPr>
      <w:r>
        <w:t>4.7</w:t>
      </w:r>
      <w:r>
        <w:tab/>
        <w:t>Charges for village operating costs</w:t>
      </w:r>
      <w:r>
        <w:tab/>
      </w:r>
      <w:r>
        <w:fldChar w:fldCharType="begin"/>
      </w:r>
      <w:r>
        <w:instrText xml:space="preserve"> PAGEREF _Toc348601265 \h </w:instrText>
      </w:r>
      <w:r>
        <w:fldChar w:fldCharType="separate"/>
      </w:r>
      <w:r>
        <w:t>20</w:t>
      </w:r>
      <w:r>
        <w:fldChar w:fldCharType="end"/>
      </w:r>
    </w:p>
    <w:p>
      <w:pPr>
        <w:pStyle w:val="TOC8"/>
        <w:rPr>
          <w:rFonts w:asciiTheme="minorHAnsi" w:eastAsiaTheme="minorEastAsia" w:hAnsiTheme="minorHAnsi" w:cstheme="minorBidi"/>
          <w:szCs w:val="22"/>
          <w:lang w:eastAsia="en-AU"/>
        </w:rPr>
      </w:pPr>
      <w:r>
        <w:t>4.8</w:t>
      </w:r>
      <w:r>
        <w:tab/>
        <w:t>Reserve funds</w:t>
      </w:r>
      <w:r>
        <w:tab/>
      </w:r>
      <w:r>
        <w:fldChar w:fldCharType="begin"/>
      </w:r>
      <w:r>
        <w:instrText xml:space="preserve"> PAGEREF _Toc348601266 \h </w:instrText>
      </w:r>
      <w:r>
        <w:fldChar w:fldCharType="separate"/>
      </w:r>
      <w:r>
        <w:t>21</w:t>
      </w:r>
      <w:r>
        <w:fldChar w:fldCharType="end"/>
      </w:r>
    </w:p>
    <w:p>
      <w:pPr>
        <w:pStyle w:val="TOC8"/>
        <w:rPr>
          <w:rFonts w:asciiTheme="minorHAnsi" w:eastAsiaTheme="minorEastAsia" w:hAnsiTheme="minorHAnsi" w:cstheme="minorBidi"/>
          <w:szCs w:val="22"/>
          <w:lang w:eastAsia="en-AU"/>
        </w:rPr>
      </w:pPr>
      <w:r>
        <w:t>4.9</w:t>
      </w:r>
      <w:r>
        <w:tab/>
        <w:t>Relocation</w:t>
      </w:r>
      <w:r>
        <w:tab/>
      </w:r>
      <w:r>
        <w:fldChar w:fldCharType="begin"/>
      </w:r>
      <w:r>
        <w:instrText xml:space="preserve"> PAGEREF _Toc348601267 \h </w:instrText>
      </w:r>
      <w:r>
        <w:fldChar w:fldCharType="separate"/>
      </w:r>
      <w:r>
        <w:t>21</w:t>
      </w:r>
      <w:r>
        <w:fldChar w:fldCharType="end"/>
      </w:r>
    </w:p>
    <w:p>
      <w:pPr>
        <w:pStyle w:val="TOC8"/>
        <w:rPr>
          <w:rFonts w:asciiTheme="minorHAnsi" w:eastAsiaTheme="minorEastAsia" w:hAnsiTheme="minorHAnsi" w:cstheme="minorBidi"/>
          <w:szCs w:val="22"/>
          <w:lang w:eastAsia="en-AU"/>
        </w:rPr>
      </w:pPr>
      <w:r>
        <w:t>4.10</w:t>
      </w:r>
      <w:r>
        <w:tab/>
        <w:t>Termination of residence contract and fees payable on termination</w:t>
      </w:r>
      <w:r>
        <w:tab/>
      </w:r>
      <w:r>
        <w:fldChar w:fldCharType="begin"/>
      </w:r>
      <w:r>
        <w:instrText xml:space="preserve"> PAGEREF _Toc348601268 \h </w:instrText>
      </w:r>
      <w:r>
        <w:fldChar w:fldCharType="separate"/>
      </w:r>
      <w:r>
        <w:t>21</w:t>
      </w:r>
      <w:r>
        <w:fldChar w:fldCharType="end"/>
      </w:r>
    </w:p>
    <w:p>
      <w:pPr>
        <w:pStyle w:val="TOC8"/>
        <w:rPr>
          <w:rFonts w:asciiTheme="minorHAnsi" w:eastAsiaTheme="minorEastAsia" w:hAnsiTheme="minorHAnsi" w:cstheme="minorBidi"/>
          <w:szCs w:val="22"/>
          <w:lang w:eastAsia="en-AU"/>
        </w:rPr>
      </w:pPr>
      <w:r>
        <w:t>4.11</w:t>
      </w:r>
      <w:r>
        <w:tab/>
        <w:t xml:space="preserve">Residence contract to refer to this Code and the </w:t>
      </w:r>
      <w:r>
        <w:rPr>
          <w:i/>
        </w:rPr>
        <w:t>Retirement Villages Act 1992</w:t>
      </w:r>
      <w:r>
        <w:tab/>
      </w:r>
      <w:r>
        <w:fldChar w:fldCharType="begin"/>
      </w:r>
      <w:r>
        <w:instrText xml:space="preserve"> PAGEREF _Toc348601269 \h </w:instrText>
      </w:r>
      <w:r>
        <w:fldChar w:fldCharType="separate"/>
      </w:r>
      <w:r>
        <w:t>22</w:t>
      </w:r>
      <w:r>
        <w:fldChar w:fldCharType="end"/>
      </w:r>
    </w:p>
    <w:p>
      <w:pPr>
        <w:pStyle w:val="TOC4"/>
        <w:tabs>
          <w:tab w:val="right" w:pos="7086"/>
        </w:tabs>
        <w:rPr>
          <w:rFonts w:asciiTheme="minorHAnsi" w:eastAsiaTheme="minorEastAsia" w:hAnsiTheme="minorHAnsi" w:cstheme="minorBidi"/>
          <w:b w:val="0"/>
          <w:szCs w:val="22"/>
          <w:lang w:eastAsia="en-AU"/>
        </w:rPr>
      </w:pPr>
      <w:r>
        <w:t>Division 5 — Village management</w:t>
      </w:r>
    </w:p>
    <w:p>
      <w:pPr>
        <w:pStyle w:val="TOC8"/>
        <w:rPr>
          <w:rFonts w:asciiTheme="minorHAnsi" w:eastAsiaTheme="minorEastAsia" w:hAnsiTheme="minorHAnsi" w:cstheme="minorBidi"/>
          <w:szCs w:val="22"/>
          <w:lang w:eastAsia="en-AU"/>
        </w:rPr>
      </w:pPr>
      <w:r>
        <w:t>5.1</w:t>
      </w:r>
      <w:r>
        <w:tab/>
        <w:t>Interpretation</w:t>
      </w:r>
      <w:r>
        <w:tab/>
      </w:r>
      <w:r>
        <w:fldChar w:fldCharType="begin"/>
      </w:r>
      <w:r>
        <w:instrText xml:space="preserve"> PAGEREF _Toc348601271 \h </w:instrText>
      </w:r>
      <w:r>
        <w:fldChar w:fldCharType="separate"/>
      </w:r>
      <w:r>
        <w:t>23</w:t>
      </w:r>
      <w:r>
        <w:fldChar w:fldCharType="end"/>
      </w:r>
    </w:p>
    <w:p>
      <w:pPr>
        <w:pStyle w:val="TOC8"/>
        <w:rPr>
          <w:rFonts w:asciiTheme="minorHAnsi" w:eastAsiaTheme="minorEastAsia" w:hAnsiTheme="minorHAnsi" w:cstheme="minorBidi"/>
          <w:szCs w:val="22"/>
          <w:lang w:eastAsia="en-AU"/>
        </w:rPr>
      </w:pPr>
      <w:r>
        <w:t>5.2</w:t>
      </w:r>
      <w:r>
        <w:tab/>
        <w:t>Management procedures and resident consultation</w:t>
      </w:r>
      <w:r>
        <w:tab/>
      </w:r>
      <w:r>
        <w:fldChar w:fldCharType="begin"/>
      </w:r>
      <w:r>
        <w:instrText xml:space="preserve"> PAGEREF _Toc348601272 \h </w:instrText>
      </w:r>
      <w:r>
        <w:fldChar w:fldCharType="separate"/>
      </w:r>
      <w:r>
        <w:t>24</w:t>
      </w:r>
      <w:r>
        <w:fldChar w:fldCharType="end"/>
      </w:r>
    </w:p>
    <w:p>
      <w:pPr>
        <w:pStyle w:val="TOC8"/>
        <w:rPr>
          <w:rFonts w:asciiTheme="minorHAnsi" w:eastAsiaTheme="minorEastAsia" w:hAnsiTheme="minorHAnsi" w:cstheme="minorBidi"/>
          <w:szCs w:val="22"/>
          <w:lang w:eastAsia="en-AU"/>
        </w:rPr>
      </w:pPr>
      <w:r>
        <w:t>5.3</w:t>
      </w:r>
      <w:r>
        <w:tab/>
        <w:t>Village operating budget</w:t>
      </w:r>
      <w:r>
        <w:tab/>
      </w:r>
      <w:r>
        <w:fldChar w:fldCharType="begin"/>
      </w:r>
      <w:r>
        <w:instrText xml:space="preserve"> PAGEREF _Toc348601273 \h </w:instrText>
      </w:r>
      <w:r>
        <w:fldChar w:fldCharType="separate"/>
      </w:r>
      <w:r>
        <w:t>25</w:t>
      </w:r>
      <w:r>
        <w:fldChar w:fldCharType="end"/>
      </w:r>
    </w:p>
    <w:p>
      <w:pPr>
        <w:pStyle w:val="TOC8"/>
        <w:rPr>
          <w:rFonts w:asciiTheme="minorHAnsi" w:eastAsiaTheme="minorEastAsia" w:hAnsiTheme="minorHAnsi" w:cstheme="minorBidi"/>
          <w:szCs w:val="22"/>
          <w:lang w:eastAsia="en-AU"/>
        </w:rPr>
      </w:pPr>
      <w:r>
        <w:t>5.4</w:t>
      </w:r>
      <w:r>
        <w:tab/>
        <w:t>Quarterly operating income and expenditure statements</w:t>
      </w:r>
      <w:r>
        <w:tab/>
      </w:r>
      <w:r>
        <w:fldChar w:fldCharType="begin"/>
      </w:r>
      <w:r>
        <w:instrText xml:space="preserve"> PAGEREF _Toc348601274 \h </w:instrText>
      </w:r>
      <w:r>
        <w:fldChar w:fldCharType="separate"/>
      </w:r>
      <w:r>
        <w:t>27</w:t>
      </w:r>
      <w:r>
        <w:fldChar w:fldCharType="end"/>
      </w:r>
    </w:p>
    <w:p>
      <w:pPr>
        <w:pStyle w:val="TOC8"/>
        <w:rPr>
          <w:rFonts w:asciiTheme="minorHAnsi" w:eastAsiaTheme="minorEastAsia" w:hAnsiTheme="minorHAnsi" w:cstheme="minorBidi"/>
          <w:szCs w:val="22"/>
          <w:lang w:eastAsia="en-AU"/>
        </w:rPr>
      </w:pPr>
      <w:r>
        <w:t>5.5</w:t>
      </w:r>
      <w:r>
        <w:tab/>
        <w:t>Annual accounts</w:t>
      </w:r>
      <w:r>
        <w:tab/>
      </w:r>
      <w:r>
        <w:fldChar w:fldCharType="begin"/>
      </w:r>
      <w:r>
        <w:instrText xml:space="preserve"> PAGEREF _Toc348601275 \h </w:instrText>
      </w:r>
      <w:r>
        <w:fldChar w:fldCharType="separate"/>
      </w:r>
      <w:r>
        <w:t>27</w:t>
      </w:r>
      <w:r>
        <w:fldChar w:fldCharType="end"/>
      </w:r>
    </w:p>
    <w:p>
      <w:pPr>
        <w:pStyle w:val="TOC8"/>
        <w:rPr>
          <w:rFonts w:asciiTheme="minorHAnsi" w:eastAsiaTheme="minorEastAsia" w:hAnsiTheme="minorHAnsi" w:cstheme="minorBidi"/>
          <w:szCs w:val="22"/>
          <w:lang w:eastAsia="en-AU"/>
        </w:rPr>
      </w:pPr>
      <w:r>
        <w:t>5.6</w:t>
      </w:r>
      <w:r>
        <w:tab/>
        <w:t>Budget surplus</w:t>
      </w:r>
      <w:r>
        <w:tab/>
      </w:r>
      <w:r>
        <w:fldChar w:fldCharType="begin"/>
      </w:r>
      <w:r>
        <w:instrText xml:space="preserve"> PAGEREF _Toc348601276 \h </w:instrText>
      </w:r>
      <w:r>
        <w:fldChar w:fldCharType="separate"/>
      </w:r>
      <w:r>
        <w:t>28</w:t>
      </w:r>
      <w:r>
        <w:fldChar w:fldCharType="end"/>
      </w:r>
    </w:p>
    <w:p>
      <w:pPr>
        <w:pStyle w:val="TOC8"/>
        <w:rPr>
          <w:rFonts w:asciiTheme="minorHAnsi" w:eastAsiaTheme="minorEastAsia" w:hAnsiTheme="minorHAnsi" w:cstheme="minorBidi"/>
          <w:szCs w:val="22"/>
          <w:lang w:eastAsia="en-AU"/>
        </w:rPr>
      </w:pPr>
      <w:r>
        <w:t>5.7</w:t>
      </w:r>
      <w:r>
        <w:tab/>
        <w:t>Marketing of residential premises</w:t>
      </w:r>
      <w:r>
        <w:tab/>
      </w:r>
      <w:r>
        <w:fldChar w:fldCharType="begin"/>
      </w:r>
      <w:r>
        <w:instrText xml:space="preserve"> PAGEREF _Toc348601277 \h </w:instrText>
      </w:r>
      <w:r>
        <w:fldChar w:fldCharType="separate"/>
      </w:r>
      <w:r>
        <w:t>29</w:t>
      </w:r>
      <w:r>
        <w:fldChar w:fldCharType="end"/>
      </w:r>
    </w:p>
    <w:p>
      <w:pPr>
        <w:pStyle w:val="TOC8"/>
        <w:rPr>
          <w:rFonts w:asciiTheme="minorHAnsi" w:eastAsiaTheme="minorEastAsia" w:hAnsiTheme="minorHAnsi" w:cstheme="minorBidi"/>
          <w:szCs w:val="22"/>
          <w:lang w:eastAsia="en-AU"/>
        </w:rPr>
      </w:pPr>
      <w:r>
        <w:t>5.8</w:t>
      </w:r>
      <w:r>
        <w:tab/>
        <w:t>Repair and refurbishment of residential premises</w:t>
      </w:r>
      <w:r>
        <w:tab/>
      </w:r>
      <w:r>
        <w:fldChar w:fldCharType="begin"/>
      </w:r>
      <w:r>
        <w:instrText xml:space="preserve"> PAGEREF _Toc348601278 \h </w:instrText>
      </w:r>
      <w:r>
        <w:fldChar w:fldCharType="separate"/>
      </w:r>
      <w:r>
        <w:t>29</w:t>
      </w:r>
      <w:r>
        <w:fldChar w:fldCharType="end"/>
      </w:r>
    </w:p>
    <w:p>
      <w:pPr>
        <w:pStyle w:val="TOC8"/>
        <w:rPr>
          <w:rFonts w:asciiTheme="minorHAnsi" w:eastAsiaTheme="minorEastAsia" w:hAnsiTheme="minorHAnsi" w:cstheme="minorBidi"/>
          <w:szCs w:val="22"/>
          <w:lang w:eastAsia="en-AU"/>
        </w:rPr>
      </w:pPr>
      <w:r>
        <w:t>5.9</w:t>
      </w:r>
      <w:r>
        <w:tab/>
        <w:t>Residence rules</w:t>
      </w:r>
      <w:r>
        <w:tab/>
      </w:r>
      <w:r>
        <w:fldChar w:fldCharType="begin"/>
      </w:r>
      <w:r>
        <w:instrText xml:space="preserve"> PAGEREF _Toc348601279 \h </w:instrText>
      </w:r>
      <w:r>
        <w:fldChar w:fldCharType="separate"/>
      </w:r>
      <w:r>
        <w:t>30</w:t>
      </w:r>
      <w:r>
        <w:fldChar w:fldCharType="end"/>
      </w:r>
    </w:p>
    <w:p>
      <w:pPr>
        <w:pStyle w:val="TOC8"/>
        <w:rPr>
          <w:rFonts w:asciiTheme="minorHAnsi" w:eastAsiaTheme="minorEastAsia" w:hAnsiTheme="minorHAnsi" w:cstheme="minorBidi"/>
          <w:szCs w:val="22"/>
          <w:lang w:eastAsia="en-AU"/>
        </w:rPr>
      </w:pPr>
      <w:r>
        <w:t>5.10</w:t>
      </w:r>
      <w:r>
        <w:tab/>
        <w:t>Residents’ committee</w:t>
      </w:r>
      <w:r>
        <w:tab/>
      </w:r>
      <w:r>
        <w:fldChar w:fldCharType="begin"/>
      </w:r>
      <w:r>
        <w:instrText xml:space="preserve"> PAGEREF _Toc348601280 \h </w:instrText>
      </w:r>
      <w:r>
        <w:fldChar w:fldCharType="separate"/>
      </w:r>
      <w:r>
        <w:t>30</w:t>
      </w:r>
      <w:r>
        <w:fldChar w:fldCharType="end"/>
      </w:r>
    </w:p>
    <w:p>
      <w:pPr>
        <w:pStyle w:val="TOC8"/>
        <w:rPr>
          <w:rFonts w:asciiTheme="minorHAnsi" w:eastAsiaTheme="minorEastAsia" w:hAnsiTheme="minorHAnsi" w:cstheme="minorBidi"/>
          <w:szCs w:val="22"/>
          <w:lang w:eastAsia="en-AU"/>
        </w:rPr>
      </w:pPr>
      <w:r>
        <w:t>5.11</w:t>
      </w:r>
      <w:r>
        <w:tab/>
        <w:t>Residents’ meetings</w:t>
      </w:r>
      <w:r>
        <w:tab/>
      </w:r>
      <w:r>
        <w:fldChar w:fldCharType="begin"/>
      </w:r>
      <w:r>
        <w:instrText xml:space="preserve"> PAGEREF _Toc348601281 \h </w:instrText>
      </w:r>
      <w:r>
        <w:fldChar w:fldCharType="separate"/>
      </w:r>
      <w:r>
        <w:t>31</w:t>
      </w:r>
      <w:r>
        <w:fldChar w:fldCharType="end"/>
      </w:r>
    </w:p>
    <w:p>
      <w:pPr>
        <w:pStyle w:val="TOC8"/>
        <w:rPr>
          <w:rFonts w:asciiTheme="minorHAnsi" w:eastAsiaTheme="minorEastAsia" w:hAnsiTheme="minorHAnsi" w:cstheme="minorBidi"/>
          <w:szCs w:val="22"/>
          <w:lang w:eastAsia="en-AU"/>
        </w:rPr>
      </w:pPr>
      <w:r>
        <w:t>5.12</w:t>
      </w:r>
      <w:r>
        <w:tab/>
        <w:t>Proxy voting</w:t>
      </w:r>
      <w:r>
        <w:tab/>
      </w:r>
      <w:r>
        <w:fldChar w:fldCharType="begin"/>
      </w:r>
      <w:r>
        <w:instrText xml:space="preserve"> PAGEREF _Toc348601282 \h </w:instrText>
      </w:r>
      <w:r>
        <w:fldChar w:fldCharType="separate"/>
      </w:r>
      <w:r>
        <w:t>33</w:t>
      </w:r>
      <w:r>
        <w:fldChar w:fldCharType="end"/>
      </w:r>
    </w:p>
    <w:p>
      <w:pPr>
        <w:pStyle w:val="TOC4"/>
        <w:tabs>
          <w:tab w:val="right" w:pos="7086"/>
        </w:tabs>
        <w:rPr>
          <w:rFonts w:asciiTheme="minorHAnsi" w:eastAsiaTheme="minorEastAsia" w:hAnsiTheme="minorHAnsi" w:cstheme="minorBidi"/>
          <w:b w:val="0"/>
          <w:szCs w:val="22"/>
          <w:lang w:eastAsia="en-AU"/>
        </w:rPr>
      </w:pPr>
      <w:r>
        <w:t>Division 6 — Dispute resolution</w:t>
      </w:r>
    </w:p>
    <w:p>
      <w:pPr>
        <w:pStyle w:val="TOC8"/>
        <w:rPr>
          <w:rFonts w:asciiTheme="minorHAnsi" w:eastAsiaTheme="minorEastAsia" w:hAnsiTheme="minorHAnsi" w:cstheme="minorBidi"/>
          <w:szCs w:val="22"/>
          <w:lang w:eastAsia="en-AU"/>
        </w:rPr>
      </w:pPr>
      <w:r>
        <w:t>6.1</w:t>
      </w:r>
      <w:r>
        <w:tab/>
        <w:t>Interpretation</w:t>
      </w:r>
      <w:r>
        <w:tab/>
      </w:r>
      <w:r>
        <w:fldChar w:fldCharType="begin"/>
      </w:r>
      <w:r>
        <w:instrText xml:space="preserve"> PAGEREF _Toc348601284 \h </w:instrText>
      </w:r>
      <w:r>
        <w:fldChar w:fldCharType="separate"/>
      </w:r>
      <w:r>
        <w:t>34</w:t>
      </w:r>
      <w:r>
        <w:fldChar w:fldCharType="end"/>
      </w:r>
    </w:p>
    <w:p>
      <w:pPr>
        <w:pStyle w:val="TOC8"/>
        <w:rPr>
          <w:rFonts w:asciiTheme="minorHAnsi" w:eastAsiaTheme="minorEastAsia" w:hAnsiTheme="minorHAnsi" w:cstheme="minorBidi"/>
          <w:szCs w:val="22"/>
          <w:lang w:eastAsia="en-AU"/>
        </w:rPr>
      </w:pPr>
      <w:r>
        <w:t>6.2</w:t>
      </w:r>
      <w:r>
        <w:tab/>
        <w:t>Village dispute process</w:t>
      </w:r>
      <w:r>
        <w:tab/>
      </w:r>
      <w:r>
        <w:fldChar w:fldCharType="begin"/>
      </w:r>
      <w:r>
        <w:instrText xml:space="preserve"> PAGEREF _Toc348601285 \h </w:instrText>
      </w:r>
      <w:r>
        <w:fldChar w:fldCharType="separate"/>
      </w:r>
      <w:r>
        <w:t>35</w:t>
      </w:r>
      <w:r>
        <w:fldChar w:fldCharType="end"/>
      </w:r>
    </w:p>
    <w:p>
      <w:pPr>
        <w:pStyle w:val="TOC8"/>
        <w:rPr>
          <w:rFonts w:asciiTheme="minorHAnsi" w:eastAsiaTheme="minorEastAsia" w:hAnsiTheme="minorHAnsi" w:cstheme="minorBidi"/>
          <w:szCs w:val="22"/>
          <w:lang w:eastAsia="en-AU"/>
        </w:rPr>
      </w:pPr>
      <w:r>
        <w:t>6.3</w:t>
      </w:r>
      <w:r>
        <w:tab/>
        <w:t>Mediation of dispute</w:t>
      </w:r>
      <w:r>
        <w:tab/>
      </w:r>
      <w:r>
        <w:fldChar w:fldCharType="begin"/>
      </w:r>
      <w:r>
        <w:instrText xml:space="preserve"> PAGEREF _Toc348601286 \h </w:instrText>
      </w:r>
      <w:r>
        <w:fldChar w:fldCharType="separate"/>
      </w:r>
      <w:r>
        <w:t>36</w:t>
      </w:r>
      <w:r>
        <w:fldChar w:fldCharType="end"/>
      </w:r>
    </w:p>
    <w:p>
      <w:pPr>
        <w:pStyle w:val="TOC4"/>
        <w:tabs>
          <w:tab w:val="right" w:pos="7086"/>
        </w:tabs>
        <w:rPr>
          <w:rFonts w:asciiTheme="minorHAnsi" w:eastAsiaTheme="minorEastAsia" w:hAnsiTheme="minorHAnsi" w:cstheme="minorBidi"/>
          <w:b w:val="0"/>
          <w:szCs w:val="22"/>
          <w:lang w:eastAsia="en-AU"/>
        </w:rPr>
      </w:pPr>
      <w:r>
        <w:t>Division 7 — Termination of residence contracts</w:t>
      </w:r>
    </w:p>
    <w:p>
      <w:pPr>
        <w:pStyle w:val="TOC8"/>
        <w:rPr>
          <w:rFonts w:asciiTheme="minorHAnsi" w:eastAsiaTheme="minorEastAsia" w:hAnsiTheme="minorHAnsi" w:cstheme="minorBidi"/>
          <w:szCs w:val="22"/>
          <w:lang w:eastAsia="en-AU"/>
        </w:rPr>
      </w:pPr>
      <w:r>
        <w:t>7.1</w:t>
      </w:r>
      <w:r>
        <w:tab/>
        <w:t>Notice of intention to terminate</w:t>
      </w:r>
      <w:r>
        <w:tab/>
      </w:r>
      <w:r>
        <w:fldChar w:fldCharType="begin"/>
      </w:r>
      <w:r>
        <w:instrText xml:space="preserve"> PAGEREF _Toc348601288 \h </w:instrText>
      </w:r>
      <w:r>
        <w:fldChar w:fldCharType="separate"/>
      </w:r>
      <w:r>
        <w:t>40</w:t>
      </w:r>
      <w:r>
        <w:fldChar w:fldCharType="end"/>
      </w:r>
    </w:p>
    <w:p>
      <w:pPr>
        <w:pStyle w:val="TOC4"/>
        <w:tabs>
          <w:tab w:val="right" w:pos="7086"/>
        </w:tabs>
        <w:rPr>
          <w:rFonts w:asciiTheme="minorHAnsi" w:eastAsiaTheme="minorEastAsia" w:hAnsiTheme="minorHAnsi" w:cstheme="minorBidi"/>
          <w:b w:val="0"/>
          <w:szCs w:val="22"/>
          <w:lang w:eastAsia="en-AU"/>
        </w:rPr>
      </w:pPr>
      <w:r>
        <w:t>Division 8 — Miscellaneous</w:t>
      </w:r>
    </w:p>
    <w:p>
      <w:pPr>
        <w:pStyle w:val="TOC8"/>
        <w:rPr>
          <w:rFonts w:asciiTheme="minorHAnsi" w:eastAsiaTheme="minorEastAsia" w:hAnsiTheme="minorHAnsi" w:cstheme="minorBidi"/>
          <w:szCs w:val="22"/>
          <w:lang w:eastAsia="en-AU"/>
        </w:rPr>
      </w:pPr>
      <w:r>
        <w:t>8.1</w:t>
      </w:r>
      <w:r>
        <w:tab/>
        <w:t>Service of documents</w:t>
      </w:r>
      <w:r>
        <w:tab/>
      </w:r>
      <w:r>
        <w:fldChar w:fldCharType="begin"/>
      </w:r>
      <w:r>
        <w:instrText xml:space="preserve"> PAGEREF _Toc348601290 \h </w:instrText>
      </w:r>
      <w:r>
        <w:fldChar w:fldCharType="separate"/>
      </w:r>
      <w:r>
        <w:t>44</w:t>
      </w:r>
      <w:r>
        <w:fldChar w:fldCharType="end"/>
      </w:r>
    </w:p>
    <w:p>
      <w:pPr>
        <w:pStyle w:val="TOC2"/>
        <w:tabs>
          <w:tab w:val="right" w:pos="7086"/>
        </w:tabs>
        <w:rPr>
          <w:rFonts w:asciiTheme="minorHAnsi" w:eastAsiaTheme="minorEastAsia" w:hAnsiTheme="minorHAnsi" w:cstheme="minorBidi"/>
          <w:b w:val="0"/>
          <w:sz w:val="22"/>
          <w:szCs w:val="22"/>
          <w:lang w:eastAsia="en-AU"/>
        </w:rPr>
      </w:pPr>
      <w:r>
        <w:t>Appendix 1 — Checklist for prospective resident</w:t>
      </w:r>
    </w:p>
    <w:p>
      <w:pPr>
        <w:pStyle w:val="TOC2"/>
        <w:tabs>
          <w:tab w:val="right" w:pos="7086"/>
        </w:tabs>
        <w:rPr>
          <w:rFonts w:asciiTheme="minorHAnsi" w:eastAsiaTheme="minorEastAsia" w:hAnsiTheme="minorHAnsi" w:cstheme="minorBidi"/>
          <w:b w:val="0"/>
          <w:sz w:val="22"/>
          <w:szCs w:val="22"/>
          <w:lang w:eastAsia="en-AU"/>
        </w:rPr>
      </w:pPr>
      <w:r>
        <w:t>Appendix 2 — Model proposed operating budget form</w:t>
      </w:r>
    </w:p>
    <w:p>
      <w:pPr>
        <w:pStyle w:val="TOC2"/>
        <w:tabs>
          <w:tab w:val="right" w:pos="7086"/>
        </w:tabs>
        <w:rPr>
          <w:rFonts w:asciiTheme="minorHAnsi" w:eastAsiaTheme="minorEastAsia" w:hAnsiTheme="minorHAnsi" w:cstheme="minorBidi"/>
          <w:b w:val="0"/>
          <w:sz w:val="22"/>
          <w:szCs w:val="22"/>
          <w:lang w:eastAsia="en-AU"/>
        </w:rPr>
      </w:pPr>
      <w:r>
        <w:t>Appendix 3 — Model quarterly income and expenditure statement</w:t>
      </w:r>
    </w:p>
    <w:p>
      <w:pPr>
        <w:pStyle w:val="TOC2"/>
        <w:tabs>
          <w:tab w:val="right" w:pos="7086"/>
        </w:tabs>
        <w:rPr>
          <w:rFonts w:asciiTheme="minorHAnsi" w:eastAsiaTheme="minorEastAsia" w:hAnsiTheme="minorHAnsi" w:cstheme="minorBidi"/>
          <w:b w:val="0"/>
          <w:sz w:val="22"/>
          <w:szCs w:val="22"/>
          <w:lang w:eastAsia="en-AU"/>
        </w:rPr>
      </w:pPr>
      <w:r>
        <w:t>Appendix 4 — Model reserve fund quarterly income and expenditure statement</w:t>
      </w:r>
    </w:p>
    <w:p>
      <w:pPr>
        <w:pStyle w:val="TOC2"/>
        <w:tabs>
          <w:tab w:val="right" w:pos="7086"/>
        </w:tabs>
        <w:rPr>
          <w:rFonts w:asciiTheme="minorHAnsi" w:eastAsiaTheme="minorEastAsia" w:hAnsiTheme="minorHAnsi" w:cstheme="minorBidi"/>
          <w:b w:val="0"/>
          <w:sz w:val="22"/>
          <w:szCs w:val="22"/>
          <w:lang w:eastAsia="en-AU"/>
        </w:rPr>
      </w:pPr>
      <w:r>
        <w:t>Appendix 5 — Form of appointment of proxy</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2010</w:t>
      </w:r>
    </w:p>
    <w:p>
      <w:pPr>
        <w:pStyle w:val="NameofActReg"/>
      </w:pPr>
      <w:r>
        <w:t>Fair Trading (Retirement Villages Interim Code) Regulations 2013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46019056"/>
      <w:bookmarkStart w:id="9" w:name="_Toc347312777"/>
      <w:bookmarkStart w:id="10" w:name="_Toc347319740"/>
      <w:bookmarkStart w:id="11" w:name="_Toc348601237"/>
      <w:r>
        <w:rPr>
          <w:rStyle w:val="CharSectno"/>
        </w:rPr>
        <w:t>1</w:t>
      </w:r>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(Retirement Villages Interim Code) Regulations 2013</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46019057"/>
      <w:bookmarkStart w:id="21" w:name="_Toc347312778"/>
      <w:bookmarkStart w:id="22" w:name="_Toc347319741"/>
      <w:bookmarkStart w:id="23" w:name="_Toc34860123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2013.</w:t>
      </w:r>
    </w:p>
    <w:p>
      <w:pPr>
        <w:pStyle w:val="Ednotesection"/>
      </w:pPr>
      <w:r>
        <w:t>[</w:t>
      </w:r>
      <w:r>
        <w:rPr>
          <w:b/>
        </w:rPr>
        <w:t>3</w:t>
      </w:r>
      <w:r>
        <w:rPr>
          <w:b/>
        </w:rPr>
        <w:noBreakHyphen/>
        <w:t>5.</w:t>
      </w:r>
      <w:r>
        <w:rPr>
          <w:b/>
        </w:rPr>
        <w:tab/>
      </w:r>
      <w:r>
        <w:t>Have not come into operation </w:t>
      </w:r>
      <w:r>
        <w:rPr>
          <w:i w:val="0"/>
          <w:vertAlign w:val="superscript"/>
        </w:rPr>
        <w:t>2</w:t>
      </w:r>
      <w:r>
        <w:t>.]</w:t>
      </w:r>
    </w:p>
    <w:p>
      <w:pPr>
        <w:pStyle w:val="Ednotesection"/>
      </w:pPr>
      <w:r>
        <w:t xml:space="preserve">[Sch. 1 has not come into operation </w:t>
      </w:r>
      <w:r>
        <w:rPr>
          <w:i w:val="0"/>
          <w:vertAlign w:val="superscript"/>
        </w:rPr>
        <w:t>2</w:t>
      </w:r>
      <w:r>
        <w:t>.]</w:t>
      </w:r>
    </w:p>
    <w:p>
      <w:pPr>
        <w:pStyle w:val="Ednotesection"/>
      </w:pPr>
      <w:r>
        <w:t>[Appendix 1</w:t>
      </w:r>
      <w:r>
        <w:noBreakHyphen/>
        <w:t xml:space="preserve">5 have not come into operation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4" w:name="_Toc113695922"/>
      <w:bookmarkStart w:id="25" w:name="_Toc347313307"/>
      <w:bookmarkStart w:id="26" w:name="_Toc347319683"/>
      <w:bookmarkStart w:id="27" w:name="_Toc347319742"/>
      <w:bookmarkStart w:id="28" w:name="_Toc348601239"/>
      <w:r>
        <w:t>Notes</w:t>
      </w:r>
      <w:bookmarkEnd w:id="24"/>
      <w:bookmarkEnd w:id="25"/>
      <w:bookmarkEnd w:id="26"/>
      <w:bookmarkEnd w:id="27"/>
      <w:bookmarkEnd w:id="28"/>
    </w:p>
    <w:p>
      <w:pPr>
        <w:pStyle w:val="nSubsection"/>
        <w:rPr>
          <w:snapToGrid w:val="0"/>
        </w:rPr>
      </w:pPr>
      <w:bookmarkStart w:id="29" w:name="_Toc70311430"/>
      <w:r>
        <w:rPr>
          <w:snapToGrid w:val="0"/>
          <w:vertAlign w:val="superscript"/>
        </w:rPr>
        <w:t>1</w:t>
      </w:r>
      <w:r>
        <w:rPr>
          <w:snapToGrid w:val="0"/>
        </w:rPr>
        <w:tab/>
        <w:t xml:space="preserve">This is a compilation of the </w:t>
      </w:r>
      <w:r>
        <w:rPr>
          <w:i/>
          <w:noProof/>
          <w:snapToGrid w:val="0"/>
        </w:rPr>
        <w:t>Fair Trading (Retirement Villages Interim Code) Regulations 2013</w:t>
      </w:r>
      <w:r>
        <w:rPr>
          <w:snapToGrid w:val="0"/>
        </w:rPr>
        <w:t xml:space="preserve">.  The following table contains information about those regulations. </w:t>
      </w:r>
    </w:p>
    <w:p>
      <w:pPr>
        <w:pStyle w:val="nHeading3"/>
      </w:pPr>
      <w:bookmarkStart w:id="30" w:name="_Toc348601240"/>
      <w:bookmarkEnd w:id="29"/>
      <w:r>
        <w:t>Compilation table</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shd w:val="clear" w:color="auto" w:fill="auto"/>
          </w:tcPr>
          <w:p>
            <w:pPr>
              <w:pStyle w:val="nTable"/>
              <w:spacing w:after="40"/>
              <w:rPr>
                <w:sz w:val="19"/>
              </w:rPr>
            </w:pPr>
            <w:r>
              <w:rPr>
                <w:i/>
                <w:noProof/>
                <w:snapToGrid w:val="0"/>
                <w:sz w:val="19"/>
              </w:rPr>
              <w:t xml:space="preserve">Fair Trading (Retirement Villages Interim Code) Regulations 2013 </w:t>
            </w:r>
            <w:r>
              <w:rPr>
                <w:noProof/>
                <w:snapToGrid w:val="0"/>
                <w:sz w:val="19"/>
              </w:rPr>
              <w:t>r. 1 and 2</w:t>
            </w:r>
          </w:p>
        </w:tc>
        <w:tc>
          <w:tcPr>
            <w:tcW w:w="1276" w:type="dxa"/>
            <w:tcBorders>
              <w:top w:val="single" w:sz="8" w:space="0" w:color="auto"/>
              <w:bottom w:val="single" w:sz="8" w:space="0" w:color="auto"/>
            </w:tcBorders>
            <w:shd w:val="clear" w:color="auto" w:fill="auto"/>
          </w:tcPr>
          <w:p>
            <w:pPr>
              <w:pStyle w:val="nTable"/>
              <w:spacing w:after="40"/>
              <w:rPr>
                <w:sz w:val="19"/>
              </w:rPr>
            </w:pPr>
            <w:r>
              <w:rPr>
                <w:sz w:val="19"/>
              </w:rPr>
              <w:t>31 Jan 2013 p. 351</w:t>
            </w:r>
            <w:r>
              <w:rPr>
                <w:sz w:val="19"/>
              </w:rPr>
              <w:noBreakHyphen/>
              <w:t>415</w:t>
            </w:r>
          </w:p>
        </w:tc>
        <w:tc>
          <w:tcPr>
            <w:tcW w:w="2693" w:type="dxa"/>
            <w:tcBorders>
              <w:top w:val="single" w:sz="8" w:space="0" w:color="auto"/>
              <w:bottom w:val="single" w:sz="8" w:space="0" w:color="auto"/>
            </w:tcBorders>
            <w:shd w:val="clear" w:color="auto" w:fill="auto"/>
          </w:tcPr>
          <w:p>
            <w:pPr>
              <w:pStyle w:val="nTable"/>
              <w:spacing w:after="40"/>
              <w:rPr>
                <w:sz w:val="19"/>
              </w:rPr>
            </w:pPr>
            <w:r>
              <w:rPr>
                <w:sz w:val="19"/>
              </w:rPr>
              <w:t>31 Jan 2013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 w:name="_Toc534778309"/>
      <w:bookmarkStart w:id="32" w:name="_Toc7405063"/>
      <w:bookmarkStart w:id="33" w:name="_Toc296601212"/>
      <w:bookmarkStart w:id="34" w:name="_Toc309727460"/>
      <w:bookmarkStart w:id="35" w:name="_Toc347319744"/>
      <w:bookmarkStart w:id="36" w:name="_Toc348601241"/>
      <w:r>
        <w:rPr>
          <w:snapToGrid w:val="0"/>
        </w:rPr>
        <w:t>Provisions that have not come into operation</w:t>
      </w:r>
      <w:bookmarkEnd w:id="31"/>
      <w:bookmarkEnd w:id="32"/>
      <w:bookmarkEnd w:id="33"/>
      <w:bookmarkEnd w:id="34"/>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Pr>
          <w:p>
            <w:pPr>
              <w:pStyle w:val="nTable"/>
              <w:spacing w:after="40"/>
              <w:rPr>
                <w:sz w:val="19"/>
                <w:szCs w:val="19"/>
                <w:vertAlign w:val="superscript"/>
              </w:rPr>
            </w:pPr>
            <w:r>
              <w:rPr>
                <w:i/>
                <w:noProof/>
                <w:snapToGrid w:val="0"/>
                <w:sz w:val="19"/>
                <w:szCs w:val="19"/>
              </w:rPr>
              <w:t xml:space="preserve">Fair Trading (Retirement Villages Interim Code) Regulations 2013 </w:t>
            </w:r>
            <w:r>
              <w:rPr>
                <w:noProof/>
                <w:snapToGrid w:val="0"/>
                <w:sz w:val="19"/>
                <w:szCs w:val="19"/>
              </w:rPr>
              <w:t>r. 3</w:t>
            </w:r>
            <w:r>
              <w:rPr>
                <w:noProof/>
                <w:snapToGrid w:val="0"/>
                <w:sz w:val="19"/>
                <w:szCs w:val="19"/>
              </w:rPr>
              <w:noBreakHyphen/>
              <w:t>5, Sch. 1 and Appendix 1</w:t>
            </w:r>
            <w:r>
              <w:rPr>
                <w:noProof/>
                <w:snapToGrid w:val="0"/>
                <w:sz w:val="19"/>
                <w:szCs w:val="19"/>
              </w:rPr>
              <w:noBreakHyphen/>
              <w:t>5 </w:t>
            </w:r>
            <w:r>
              <w:rPr>
                <w:noProof/>
                <w:snapToGrid w:val="0"/>
                <w:sz w:val="19"/>
                <w:szCs w:val="19"/>
                <w:vertAlign w:val="superscript"/>
              </w:rPr>
              <w:t>2</w:t>
            </w:r>
          </w:p>
        </w:tc>
        <w:tc>
          <w:tcPr>
            <w:tcW w:w="1276" w:type="dxa"/>
          </w:tcPr>
          <w:p>
            <w:pPr>
              <w:pStyle w:val="nTable"/>
              <w:spacing w:after="40"/>
              <w:rPr>
                <w:sz w:val="19"/>
                <w:szCs w:val="19"/>
              </w:rPr>
            </w:pPr>
            <w:r>
              <w:rPr>
                <w:sz w:val="19"/>
                <w:szCs w:val="19"/>
              </w:rPr>
              <w:t>31 Jan 2013 p. 351</w:t>
            </w:r>
            <w:r>
              <w:rPr>
                <w:sz w:val="19"/>
                <w:szCs w:val="19"/>
              </w:rPr>
              <w:noBreakHyphen/>
              <w:t>416</w:t>
            </w:r>
          </w:p>
        </w:tc>
        <w:tc>
          <w:tcPr>
            <w:tcW w:w="2693" w:type="dxa"/>
          </w:tcPr>
          <w:p>
            <w:pPr>
              <w:pStyle w:val="nTable"/>
              <w:spacing w:after="40"/>
              <w:rPr>
                <w:sz w:val="19"/>
                <w:szCs w:val="19"/>
              </w:rPr>
            </w:pPr>
            <w:r>
              <w:rPr>
                <w:sz w:val="19"/>
                <w:szCs w:val="19"/>
              </w:rPr>
              <w:t>1 Apr 2013 (see r. 2(b))</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Fair Trading (Retirement Villages Interim Code) Regulations 2013 </w:t>
      </w:r>
      <w:r>
        <w:rPr>
          <w:snapToGrid w:val="0"/>
        </w:rPr>
        <w:t>r. 3</w:t>
      </w:r>
      <w:r>
        <w:rPr>
          <w:snapToGrid w:val="0"/>
        </w:rPr>
        <w:noBreakHyphen/>
        <w:t>5, Sch. 1 and Appendix 1 5 had not come into operation.  They read as follows:</w:t>
      </w:r>
    </w:p>
    <w:p>
      <w:pPr>
        <w:pStyle w:val="BlankOpen"/>
      </w:pPr>
    </w:p>
    <w:p>
      <w:pPr>
        <w:pStyle w:val="nzHeading5"/>
        <w:rPr>
          <w:snapToGrid w:val="0"/>
        </w:rPr>
      </w:pPr>
      <w:bookmarkStart w:id="37" w:name="_Toc423332724"/>
      <w:bookmarkStart w:id="38" w:name="_Toc425219443"/>
      <w:bookmarkStart w:id="39" w:name="_Toc426249310"/>
      <w:bookmarkStart w:id="40" w:name="_Toc449924706"/>
      <w:bookmarkStart w:id="41" w:name="_Toc449947724"/>
      <w:bookmarkStart w:id="42" w:name="_Toc454185715"/>
      <w:bookmarkStart w:id="43" w:name="_Toc515958688"/>
      <w:bookmarkStart w:id="44" w:name="_Toc334513820"/>
      <w:bookmarkStart w:id="45" w:name="_Toc346019058"/>
      <w:r>
        <w:rPr>
          <w:rStyle w:val="CharSectno"/>
        </w:rPr>
        <w:t>3</w:t>
      </w:r>
      <w:r>
        <w:rPr>
          <w:snapToGrid w:val="0"/>
        </w:rPr>
        <w:t>.</w:t>
      </w:r>
      <w:r>
        <w:rPr>
          <w:snapToGrid w:val="0"/>
        </w:rPr>
        <w:tab/>
        <w:t>Code of practice prescribed</w:t>
      </w:r>
      <w:bookmarkEnd w:id="37"/>
      <w:bookmarkEnd w:id="38"/>
      <w:bookmarkEnd w:id="39"/>
      <w:bookmarkEnd w:id="40"/>
      <w:bookmarkEnd w:id="41"/>
      <w:bookmarkEnd w:id="42"/>
      <w:bookmarkEnd w:id="43"/>
      <w:bookmarkEnd w:id="44"/>
      <w:bookmarkEnd w:id="45"/>
    </w:p>
    <w:p>
      <w:pPr>
        <w:pStyle w:val="nzSubsection"/>
      </w:pPr>
      <w:r>
        <w:tab/>
        <w:t>(1)</w:t>
      </w:r>
      <w:r>
        <w:tab/>
        <w:t xml:space="preserve">The code of practice set out in Schedule 1 and cited as the </w:t>
      </w:r>
      <w:r>
        <w:rPr>
          <w:i/>
        </w:rPr>
        <w:t>Interim Code of Fair Practice for Retirement Villages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nzSubsection"/>
      </w:pPr>
      <w:r>
        <w:tab/>
        <w:t>(2)</w:t>
      </w:r>
      <w:r>
        <w:tab/>
        <w:t xml:space="preserve">The </w:t>
      </w:r>
      <w:r>
        <w:rPr>
          <w:i/>
        </w:rPr>
        <w:t xml:space="preserve">Interim Code of Fair Practice for Retirement Villages 2013 </w:t>
      </w:r>
      <w:r>
        <w:t>is to remain in force for the period of 6 months beginning on 1 April 2013.</w:t>
      </w:r>
    </w:p>
    <w:p>
      <w:pPr>
        <w:pStyle w:val="nzHeading5"/>
      </w:pPr>
      <w:bookmarkStart w:id="46" w:name="_Toc334513821"/>
      <w:bookmarkStart w:id="47" w:name="_Toc346019059"/>
      <w:r>
        <w:rPr>
          <w:rStyle w:val="CharSectno"/>
        </w:rPr>
        <w:t>4</w:t>
      </w:r>
      <w:r>
        <w:t>.</w:t>
      </w:r>
      <w:r>
        <w:tab/>
        <w:t>Terms used in the code of practice</w:t>
      </w:r>
      <w:bookmarkEnd w:id="46"/>
      <w:bookmarkEnd w:id="47"/>
    </w:p>
    <w:p>
      <w:pPr>
        <w:pStyle w:val="nzSubsection"/>
      </w:pPr>
      <w:r>
        <w:tab/>
        <w:t>(1)</w:t>
      </w:r>
      <w:r>
        <w:tab/>
        <w:t xml:space="preserve">Except where the contrary intention appears, words and expressions used in the </w:t>
      </w:r>
      <w:r>
        <w:rPr>
          <w:i/>
        </w:rPr>
        <w:t>Interim Code of Fair Practice for Retirement Villages 2013</w:t>
      </w:r>
      <w:r>
        <w:t xml:space="preserve"> have the same meaning as in the </w:t>
      </w:r>
      <w:r>
        <w:rPr>
          <w:i/>
        </w:rPr>
        <w:t>Retirement Villages Act 1992</w:t>
      </w:r>
      <w:r>
        <w:t>.</w:t>
      </w:r>
    </w:p>
    <w:p>
      <w:pPr>
        <w:pStyle w:val="nzSubsection"/>
      </w:pPr>
      <w:r>
        <w:tab/>
        <w:t>(2)</w:t>
      </w:r>
      <w:r>
        <w:tab/>
        <w:t xml:space="preserve">Boxed and shaded paragraphs in the </w:t>
      </w:r>
      <w:r>
        <w:rPr>
          <w:i/>
        </w:rPr>
        <w:t>Interim Code of Fair Practice for Retirement Villages 2013</w:t>
      </w:r>
      <w:r>
        <w:t xml:space="preserve"> are not part of the Code and are included only to assist readers of the Code.</w:t>
      </w:r>
    </w:p>
    <w:p>
      <w:pPr>
        <w:pStyle w:val="nzHeading5"/>
      </w:pPr>
      <w:bookmarkStart w:id="48" w:name="_Toc334513822"/>
      <w:bookmarkStart w:id="49" w:name="_Toc346019060"/>
      <w:r>
        <w:rPr>
          <w:rStyle w:val="CharSectno"/>
        </w:rPr>
        <w:t>5</w:t>
      </w:r>
      <w:r>
        <w:t>.</w:t>
      </w:r>
      <w:r>
        <w:tab/>
      </w:r>
      <w:r>
        <w:rPr>
          <w:i/>
        </w:rPr>
        <w:t>Fair Trading (Retirement Villages Interim Code) Regulations 2012</w:t>
      </w:r>
      <w:r>
        <w:t> repealed</w:t>
      </w:r>
      <w:bookmarkEnd w:id="48"/>
      <w:bookmarkEnd w:id="49"/>
    </w:p>
    <w:p>
      <w:pPr>
        <w:pStyle w:val="nzSubsection"/>
      </w:pPr>
      <w:r>
        <w:tab/>
      </w:r>
      <w:r>
        <w:tab/>
        <w:t xml:space="preserve">The </w:t>
      </w:r>
      <w:r>
        <w:rPr>
          <w:i/>
        </w:rPr>
        <w:t>Fair Trading (Retirement Villages Interim Code) Regulations 2012</w:t>
      </w:r>
      <w:r>
        <w:t xml:space="preserve"> are repealed.</w:t>
      </w:r>
    </w:p>
    <w:p>
      <w:pPr>
        <w:pStyle w:val="yHeading2"/>
        <w:outlineLvl w:val="9"/>
        <w:rPr>
          <w:sz w:val="24"/>
          <w:szCs w:val="24"/>
        </w:rPr>
      </w:pPr>
      <w:bookmarkStart w:id="50" w:name="_Toc334513764"/>
      <w:bookmarkStart w:id="51" w:name="_Toc334513823"/>
      <w:bookmarkStart w:id="52" w:name="_Toc345922790"/>
      <w:bookmarkStart w:id="53" w:name="_Toc345922849"/>
      <w:bookmarkStart w:id="54" w:name="_Toc345923532"/>
      <w:bookmarkStart w:id="55" w:name="_Toc345923709"/>
      <w:bookmarkStart w:id="56" w:name="_Toc345924758"/>
      <w:bookmarkStart w:id="57" w:name="_Toc345924817"/>
      <w:bookmarkStart w:id="58" w:name="_Toc345931899"/>
      <w:bookmarkStart w:id="59" w:name="_Toc345931984"/>
      <w:bookmarkStart w:id="60" w:name="_Toc346016307"/>
      <w:bookmarkStart w:id="61" w:name="_Toc346019061"/>
      <w:bookmarkStart w:id="62" w:name="_Toc347318868"/>
      <w:bookmarkStart w:id="63" w:name="_Toc347319686"/>
      <w:bookmarkStart w:id="64" w:name="_Toc347319745"/>
      <w:bookmarkStart w:id="65" w:name="_Toc348601242"/>
      <w:r>
        <w:rPr>
          <w:rStyle w:val="CharSchNo"/>
          <w:sz w:val="24"/>
          <w:szCs w:val="24"/>
        </w:rPr>
        <w:t>Schedule 1</w:t>
      </w:r>
      <w:r>
        <w:rPr>
          <w:rStyle w:val="CharSDivNo"/>
          <w:szCs w:val="24"/>
        </w:rPr>
        <w:t> </w:t>
      </w:r>
      <w:r>
        <w:rPr>
          <w:sz w:val="24"/>
          <w:szCs w:val="24"/>
        </w:rPr>
        <w:t>—</w:t>
      </w:r>
      <w:bookmarkStart w:id="66" w:name="AutoSch"/>
      <w:bookmarkEnd w:id="66"/>
      <w:r>
        <w:rPr>
          <w:rStyle w:val="CharSDivText"/>
          <w:szCs w:val="24"/>
        </w:rPr>
        <w:t> </w:t>
      </w:r>
      <w:r>
        <w:rPr>
          <w:rStyle w:val="CharSchText"/>
          <w:i/>
          <w:sz w:val="24"/>
          <w:szCs w:val="24"/>
        </w:rPr>
        <w:t>Interim Code of Fair Practice for Retirement Villages 2013</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2012, </w:t>
      </w:r>
      <w:r>
        <w:rPr>
          <w:sz w:val="24"/>
          <w:szCs w:val="24"/>
        </w:rPr>
        <w:t>which</w:t>
      </w:r>
      <w:r>
        <w:rPr>
          <w:i/>
          <w:sz w:val="24"/>
          <w:szCs w:val="24"/>
        </w:rPr>
        <w:t xml:space="preserve"> </w:t>
      </w:r>
      <w:r>
        <w:rPr>
          <w:sz w:val="24"/>
          <w:szCs w:val="24"/>
        </w:rPr>
        <w:t>lapsed on 31 March 2013.  This Code will remain in force for 6 months from 1 April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cease contravening the Code; and/or</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outlineLvl w:val="9"/>
      </w:pPr>
      <w:bookmarkStart w:id="67" w:name="_Toc241299833"/>
      <w:bookmarkStart w:id="68" w:name="_Toc241301090"/>
      <w:bookmarkStart w:id="69" w:name="_Toc241463643"/>
      <w:bookmarkStart w:id="70" w:name="_Toc241555907"/>
      <w:bookmarkStart w:id="71" w:name="_Toc297275952"/>
      <w:bookmarkStart w:id="72" w:name="_Toc334513765"/>
      <w:bookmarkStart w:id="73" w:name="_Toc334513824"/>
      <w:bookmarkStart w:id="74" w:name="_Toc345922791"/>
      <w:bookmarkStart w:id="75" w:name="_Toc345922850"/>
      <w:bookmarkStart w:id="76" w:name="_Toc345923533"/>
      <w:bookmarkStart w:id="77" w:name="_Toc345923710"/>
      <w:bookmarkStart w:id="78" w:name="_Toc345924759"/>
      <w:bookmarkStart w:id="79" w:name="_Toc345924818"/>
      <w:bookmarkStart w:id="80" w:name="_Toc345931900"/>
      <w:bookmarkStart w:id="81" w:name="_Toc345931985"/>
      <w:bookmarkStart w:id="82" w:name="_Toc346016308"/>
      <w:bookmarkStart w:id="83" w:name="_Toc346019062"/>
      <w:bookmarkStart w:id="84" w:name="_Toc347318869"/>
      <w:bookmarkStart w:id="85" w:name="_Toc347319687"/>
      <w:bookmarkStart w:id="86" w:name="_Toc347319746"/>
      <w:bookmarkStart w:id="87" w:name="_Toc348601243"/>
      <w:bookmarkStart w:id="88" w:name="_Toc49158007"/>
      <w:bookmarkStart w:id="89" w:name="_Toc49229989"/>
      <w:r>
        <w:rPr>
          <w:rStyle w:val="CharSDivNo"/>
        </w:rPr>
        <w:t>Division 1</w:t>
      </w:r>
      <w:r>
        <w:t> — </w:t>
      </w:r>
      <w:r>
        <w:rPr>
          <w:rStyle w:val="CharSDivText"/>
        </w:rPr>
        <w:t>Preliminary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yHeading5"/>
        <w:keepLines w:val="0"/>
        <w:spacing w:before="120"/>
        <w:outlineLvl w:val="9"/>
        <w:rPr>
          <w:sz w:val="24"/>
        </w:rPr>
      </w:pPr>
      <w:bookmarkStart w:id="90" w:name="_Toc524425319"/>
      <w:bookmarkStart w:id="91" w:name="_Toc524429498"/>
      <w:bookmarkStart w:id="92" w:name="_Toc524484940"/>
      <w:bookmarkStart w:id="93" w:name="_Toc524485124"/>
      <w:bookmarkStart w:id="94" w:name="_Toc524843366"/>
      <w:bookmarkStart w:id="95" w:name="_Toc34798999"/>
      <w:bookmarkStart w:id="96" w:name="_Toc49158008"/>
      <w:bookmarkStart w:id="97" w:name="_Toc49229990"/>
      <w:bookmarkStart w:id="98" w:name="_Toc297275953"/>
      <w:bookmarkStart w:id="99" w:name="_Toc334513825"/>
      <w:bookmarkStart w:id="100" w:name="_Toc346019063"/>
      <w:bookmarkStart w:id="101" w:name="_Toc347318870"/>
      <w:bookmarkStart w:id="102" w:name="_Toc347319747"/>
      <w:bookmarkStart w:id="103" w:name="_Toc348601244"/>
      <w:bookmarkEnd w:id="88"/>
      <w:bookmarkEnd w:id="89"/>
      <w:r>
        <w:rPr>
          <w:rStyle w:val="CharSClsNo"/>
          <w:sz w:val="24"/>
        </w:rPr>
        <w:t>1.1</w:t>
      </w:r>
      <w:r>
        <w:rPr>
          <w:sz w:val="24"/>
        </w:rPr>
        <w:tab/>
        <w:t>Citation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ySubsection"/>
      </w:pPr>
      <w:r>
        <w:tab/>
      </w:r>
      <w:r>
        <w:tab/>
        <w:t xml:space="preserve">This Code is the </w:t>
      </w:r>
      <w:r>
        <w:rPr>
          <w:i/>
        </w:rPr>
        <w:t>Interim Code of Fair Practice for Retirement Villages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bookmarkStart w:id="104" w:name="endcomma"/>
      <w:bookmarkEnd w:id="104"/>
      <w:r>
        <w:rPr>
          <w:sz w:val="24"/>
          <w:szCs w:val="24"/>
        </w:rPr>
        <w:t xml:space="preserve"> </w:t>
      </w:r>
      <w:bookmarkStart w:id="105" w:name="comma"/>
      <w:bookmarkEnd w:id="105"/>
      <w:r>
        <w:rPr>
          <w:sz w:val="24"/>
          <w:szCs w:val="24"/>
        </w:rPr>
        <w:t>means a day other than a Saturday, a Sunday or a public holiday.</w:t>
      </w:r>
    </w:p>
    <w:p>
      <w:pPr>
        <w:pStyle w:val="yHeading5"/>
        <w:outlineLvl w:val="9"/>
        <w:rPr>
          <w:sz w:val="24"/>
        </w:rPr>
      </w:pPr>
      <w:bookmarkStart w:id="106" w:name="_Toc524425320"/>
      <w:bookmarkStart w:id="107" w:name="_Toc524429499"/>
      <w:bookmarkStart w:id="108" w:name="_Toc524484941"/>
      <w:bookmarkStart w:id="109" w:name="_Toc524485125"/>
      <w:bookmarkStart w:id="110" w:name="_Toc524843367"/>
      <w:bookmarkStart w:id="111" w:name="_Toc34799000"/>
      <w:bookmarkStart w:id="112" w:name="_Toc49158009"/>
      <w:bookmarkStart w:id="113" w:name="_Toc49229991"/>
      <w:bookmarkStart w:id="114" w:name="_Toc297275954"/>
      <w:bookmarkStart w:id="115" w:name="_Toc334513826"/>
      <w:bookmarkStart w:id="116" w:name="_Toc346019064"/>
      <w:bookmarkStart w:id="117" w:name="_Toc347318871"/>
      <w:bookmarkStart w:id="118" w:name="_Toc347319748"/>
      <w:bookmarkStart w:id="119" w:name="_Toc348601245"/>
      <w:r>
        <w:rPr>
          <w:rStyle w:val="CharSClsNo"/>
          <w:sz w:val="24"/>
        </w:rPr>
        <w:t>1.2</w:t>
      </w:r>
      <w:r>
        <w:rPr>
          <w:sz w:val="24"/>
        </w:rPr>
        <w:tab/>
        <w:t>Application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outlineLvl w:val="9"/>
        <w:rPr>
          <w:sz w:val="24"/>
        </w:rPr>
      </w:pPr>
      <w:bookmarkStart w:id="120" w:name="_Toc524425321"/>
      <w:bookmarkStart w:id="121" w:name="_Toc524429500"/>
      <w:bookmarkStart w:id="122" w:name="_Toc524484942"/>
      <w:bookmarkStart w:id="123" w:name="_Toc524485126"/>
      <w:bookmarkStart w:id="124" w:name="_Toc524843368"/>
      <w:bookmarkStart w:id="125" w:name="_Toc34799001"/>
      <w:bookmarkStart w:id="126" w:name="_Toc49158010"/>
      <w:bookmarkStart w:id="127" w:name="_Toc49229992"/>
      <w:bookmarkStart w:id="128" w:name="_Toc297275955"/>
      <w:bookmarkStart w:id="129" w:name="_Toc334513827"/>
      <w:bookmarkStart w:id="130" w:name="_Toc346019065"/>
      <w:bookmarkStart w:id="131" w:name="_Toc347318872"/>
      <w:bookmarkStart w:id="132" w:name="_Toc347319749"/>
      <w:bookmarkStart w:id="133" w:name="_Toc348601246"/>
      <w:r>
        <w:rPr>
          <w:rStyle w:val="CharSClsNo"/>
          <w:sz w:val="24"/>
        </w:rPr>
        <w:t>1.3</w:t>
      </w:r>
      <w:r>
        <w:rPr>
          <w:sz w:val="24"/>
        </w:rPr>
        <w:tab/>
        <w:t>General principles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outlineLvl w:val="9"/>
        <w:rPr>
          <w:sz w:val="24"/>
        </w:rPr>
      </w:pPr>
      <w:bookmarkStart w:id="134" w:name="_Toc524425322"/>
      <w:bookmarkStart w:id="135" w:name="_Toc524429501"/>
      <w:bookmarkStart w:id="136" w:name="_Toc524484943"/>
      <w:bookmarkStart w:id="137" w:name="_Toc524485127"/>
      <w:bookmarkStart w:id="138" w:name="_Toc524843369"/>
      <w:bookmarkStart w:id="139" w:name="_Toc34799002"/>
      <w:bookmarkStart w:id="140" w:name="_Toc49158011"/>
      <w:bookmarkStart w:id="141" w:name="_Toc49229993"/>
      <w:bookmarkStart w:id="142" w:name="_Toc297275956"/>
      <w:bookmarkStart w:id="143" w:name="_Toc334513828"/>
      <w:bookmarkStart w:id="144" w:name="_Toc346019066"/>
      <w:bookmarkStart w:id="145" w:name="_Toc347318873"/>
      <w:bookmarkStart w:id="146" w:name="_Toc347319750"/>
      <w:bookmarkStart w:id="147" w:name="_Toc348601247"/>
      <w:r>
        <w:rPr>
          <w:rStyle w:val="CharSClsNo"/>
          <w:sz w:val="24"/>
        </w:rPr>
        <w:t>1.4</w:t>
      </w:r>
      <w:r>
        <w:rPr>
          <w:sz w:val="24"/>
        </w:rPr>
        <w:tab/>
        <w:t>Objectives of the Code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outlineLvl w:val="9"/>
        <w:rPr>
          <w:sz w:val="24"/>
        </w:rPr>
      </w:pPr>
      <w:bookmarkStart w:id="148" w:name="_Toc524425323"/>
      <w:bookmarkStart w:id="149" w:name="_Toc524429502"/>
      <w:bookmarkStart w:id="150" w:name="_Toc524484944"/>
      <w:bookmarkStart w:id="151" w:name="_Toc524485128"/>
      <w:bookmarkStart w:id="152" w:name="_Toc524843370"/>
      <w:bookmarkStart w:id="153" w:name="_Toc34799003"/>
      <w:bookmarkStart w:id="154" w:name="_Toc49158012"/>
      <w:bookmarkStart w:id="155" w:name="_Toc49229994"/>
      <w:bookmarkStart w:id="156" w:name="_Toc297275957"/>
      <w:bookmarkStart w:id="157" w:name="_Toc334513829"/>
      <w:bookmarkStart w:id="158" w:name="_Toc346019067"/>
      <w:bookmarkStart w:id="159" w:name="_Toc347318874"/>
      <w:bookmarkStart w:id="160" w:name="_Toc347319751"/>
      <w:bookmarkStart w:id="161" w:name="_Toc348601248"/>
      <w:r>
        <w:rPr>
          <w:rStyle w:val="CharSClsNo"/>
          <w:sz w:val="24"/>
        </w:rPr>
        <w:t>1.5</w:t>
      </w:r>
      <w:r>
        <w:rPr>
          <w:sz w:val="24"/>
        </w:rPr>
        <w:tab/>
        <w:t>Resident’s basic rights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outlineLvl w:val="9"/>
      </w:pPr>
      <w:bookmarkStart w:id="162" w:name="_Toc241299839"/>
      <w:bookmarkStart w:id="163" w:name="_Toc241301096"/>
      <w:bookmarkStart w:id="164" w:name="_Toc241463649"/>
      <w:bookmarkStart w:id="165" w:name="_Toc241555913"/>
      <w:bookmarkStart w:id="166" w:name="_Toc297275958"/>
      <w:bookmarkStart w:id="167" w:name="_Toc334513771"/>
      <w:bookmarkStart w:id="168" w:name="_Toc334513830"/>
      <w:bookmarkStart w:id="169" w:name="_Toc345922797"/>
      <w:bookmarkStart w:id="170" w:name="_Toc345922856"/>
      <w:bookmarkStart w:id="171" w:name="_Toc345923539"/>
      <w:bookmarkStart w:id="172" w:name="_Toc345923716"/>
      <w:bookmarkStart w:id="173" w:name="_Toc345924765"/>
      <w:bookmarkStart w:id="174" w:name="_Toc345924824"/>
      <w:bookmarkStart w:id="175" w:name="_Toc345931906"/>
      <w:bookmarkStart w:id="176" w:name="_Toc345931991"/>
      <w:bookmarkStart w:id="177" w:name="_Toc346016314"/>
      <w:bookmarkStart w:id="178" w:name="_Toc346019068"/>
      <w:bookmarkStart w:id="179" w:name="_Toc347318875"/>
      <w:bookmarkStart w:id="180" w:name="_Toc347319693"/>
      <w:bookmarkStart w:id="181" w:name="_Toc347319752"/>
      <w:bookmarkStart w:id="182" w:name="_Toc348601249"/>
      <w:bookmarkStart w:id="183" w:name="_Toc524429503"/>
      <w:bookmarkStart w:id="184" w:name="_Toc524484945"/>
      <w:bookmarkStart w:id="185" w:name="_Toc524485129"/>
      <w:bookmarkStart w:id="186" w:name="_Toc524843371"/>
      <w:bookmarkStart w:id="187" w:name="_Toc34799004"/>
      <w:bookmarkStart w:id="188" w:name="_Toc49158013"/>
      <w:bookmarkStart w:id="189" w:name="_Toc49229995"/>
      <w:r>
        <w:rPr>
          <w:rStyle w:val="CharSDivNo"/>
        </w:rPr>
        <w:t>Division 2</w:t>
      </w:r>
      <w:r>
        <w:t> — </w:t>
      </w:r>
      <w:r>
        <w:rPr>
          <w:rStyle w:val="CharSDivText"/>
        </w:rPr>
        <w:t xml:space="preserve">Advertising and promotion of retirement </w:t>
      </w:r>
      <w:r>
        <w:t>villages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Heading5"/>
        <w:outlineLvl w:val="9"/>
        <w:rPr>
          <w:sz w:val="24"/>
        </w:rPr>
      </w:pPr>
      <w:bookmarkStart w:id="190" w:name="_Toc524425324"/>
      <w:bookmarkStart w:id="191" w:name="_Toc524429504"/>
      <w:bookmarkStart w:id="192" w:name="_Toc524484946"/>
      <w:bookmarkStart w:id="193" w:name="_Toc524485130"/>
      <w:bookmarkStart w:id="194" w:name="_Toc524843372"/>
      <w:bookmarkStart w:id="195" w:name="_Toc34799005"/>
      <w:bookmarkStart w:id="196" w:name="_Toc49158014"/>
      <w:bookmarkStart w:id="197" w:name="_Toc49229996"/>
      <w:bookmarkStart w:id="198" w:name="_Toc297275959"/>
      <w:bookmarkStart w:id="199" w:name="_Toc334513831"/>
      <w:bookmarkStart w:id="200" w:name="_Toc346019069"/>
      <w:bookmarkStart w:id="201" w:name="_Toc347318876"/>
      <w:bookmarkStart w:id="202" w:name="_Toc347319753"/>
      <w:bookmarkStart w:id="203" w:name="_Toc348601250"/>
      <w:bookmarkEnd w:id="183"/>
      <w:bookmarkEnd w:id="184"/>
      <w:bookmarkEnd w:id="185"/>
      <w:bookmarkEnd w:id="186"/>
      <w:bookmarkEnd w:id="187"/>
      <w:bookmarkEnd w:id="188"/>
      <w:bookmarkEnd w:id="189"/>
      <w:r>
        <w:rPr>
          <w:rStyle w:val="CharSClsNo"/>
          <w:sz w:val="24"/>
        </w:rPr>
        <w:t>2.1</w:t>
      </w:r>
      <w:r>
        <w:rPr>
          <w:sz w:val="24"/>
        </w:rPr>
        <w:tab/>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outlineLvl w:val="9"/>
        <w:rPr>
          <w:sz w:val="24"/>
        </w:rPr>
      </w:pPr>
      <w:bookmarkStart w:id="204" w:name="_Toc524425325"/>
      <w:bookmarkStart w:id="205" w:name="_Toc524429505"/>
      <w:bookmarkStart w:id="206" w:name="_Toc524484947"/>
      <w:bookmarkStart w:id="207" w:name="_Toc524485131"/>
      <w:bookmarkStart w:id="208" w:name="_Toc524843373"/>
      <w:bookmarkStart w:id="209" w:name="_Toc34799006"/>
      <w:bookmarkStart w:id="210" w:name="_Toc49158015"/>
      <w:bookmarkStart w:id="211" w:name="_Toc49229997"/>
      <w:bookmarkStart w:id="212" w:name="_Toc297275960"/>
      <w:bookmarkStart w:id="213" w:name="_Toc334513832"/>
      <w:bookmarkStart w:id="214" w:name="_Toc346019070"/>
      <w:bookmarkStart w:id="215" w:name="_Toc347318877"/>
      <w:bookmarkStart w:id="216" w:name="_Toc347319754"/>
      <w:bookmarkStart w:id="217" w:name="_Toc348601251"/>
      <w:r>
        <w:rPr>
          <w:rStyle w:val="CharSClsNo"/>
          <w:sz w:val="24"/>
        </w:rPr>
        <w:t>2.2</w:t>
      </w:r>
      <w:r>
        <w:rPr>
          <w:sz w:val="24"/>
        </w:rPr>
        <w:tab/>
        <w:t>Retirement village developments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outlineLvl w:val="9"/>
        <w:rPr>
          <w:sz w:val="24"/>
        </w:rPr>
      </w:pPr>
      <w:bookmarkStart w:id="218" w:name="_Toc524425326"/>
      <w:bookmarkStart w:id="219" w:name="_Toc524429506"/>
      <w:bookmarkStart w:id="220" w:name="_Toc524484948"/>
      <w:bookmarkStart w:id="221" w:name="_Toc524485132"/>
      <w:bookmarkStart w:id="222" w:name="_Toc524843374"/>
      <w:bookmarkStart w:id="223" w:name="_Toc34799007"/>
      <w:bookmarkStart w:id="224" w:name="_Toc49158016"/>
      <w:bookmarkStart w:id="225" w:name="_Toc49229998"/>
      <w:bookmarkStart w:id="226" w:name="_Toc297275961"/>
      <w:bookmarkStart w:id="227" w:name="_Toc334513833"/>
      <w:bookmarkStart w:id="228" w:name="_Toc346019071"/>
      <w:bookmarkStart w:id="229" w:name="_Toc347318878"/>
      <w:bookmarkStart w:id="230" w:name="_Toc347319755"/>
      <w:bookmarkStart w:id="231" w:name="_Toc348601252"/>
      <w:r>
        <w:rPr>
          <w:rStyle w:val="CharSClsNo"/>
          <w:sz w:val="24"/>
        </w:rPr>
        <w:t>2.3</w:t>
      </w:r>
      <w:r>
        <w:rPr>
          <w:sz w:val="24"/>
        </w:rPr>
        <w:tab/>
        <w:t>Proposed amenities and services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232" w:name="_Toc524425327"/>
      <w:bookmarkStart w:id="233" w:name="_Toc524429507"/>
      <w:bookmarkStart w:id="234" w:name="_Toc524484949"/>
      <w:bookmarkStart w:id="235" w:name="_Toc524485133"/>
      <w:bookmarkStart w:id="236" w:name="_Toc524843375"/>
      <w:bookmarkStart w:id="237"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outlineLvl w:val="9"/>
        <w:rPr>
          <w:sz w:val="24"/>
        </w:rPr>
      </w:pPr>
      <w:bookmarkStart w:id="238" w:name="_Toc49158017"/>
      <w:bookmarkStart w:id="239" w:name="_Toc49229999"/>
      <w:bookmarkStart w:id="240" w:name="_Toc297275962"/>
      <w:bookmarkStart w:id="241" w:name="_Toc334513834"/>
      <w:bookmarkStart w:id="242" w:name="_Toc346019072"/>
      <w:bookmarkStart w:id="243" w:name="_Toc347318879"/>
      <w:bookmarkStart w:id="244" w:name="_Toc347319756"/>
      <w:bookmarkStart w:id="245" w:name="_Toc348601253"/>
      <w:r>
        <w:rPr>
          <w:rStyle w:val="CharSClsNo"/>
          <w:sz w:val="24"/>
        </w:rPr>
        <w:t>2.4</w:t>
      </w:r>
      <w:r>
        <w:rPr>
          <w:sz w:val="24"/>
        </w:rPr>
        <w:tab/>
      </w:r>
      <w:bookmarkEnd w:id="232"/>
      <w:bookmarkEnd w:id="233"/>
      <w:bookmarkEnd w:id="234"/>
      <w:bookmarkEnd w:id="235"/>
      <w:bookmarkEnd w:id="236"/>
      <w:bookmarkEnd w:id="237"/>
      <w:r>
        <w:rPr>
          <w:sz w:val="24"/>
        </w:rPr>
        <w:t>Approvals for facilities that provide residential aged care services</w:t>
      </w:r>
      <w:bookmarkEnd w:id="238"/>
      <w:bookmarkEnd w:id="239"/>
      <w:bookmarkEnd w:id="240"/>
      <w:bookmarkEnd w:id="241"/>
      <w:bookmarkEnd w:id="242"/>
      <w:bookmarkEnd w:id="243"/>
      <w:bookmarkEnd w:id="244"/>
      <w:bookmarkEnd w:id="245"/>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outlineLvl w:val="9"/>
        <w:rPr>
          <w:sz w:val="24"/>
        </w:rPr>
      </w:pPr>
      <w:bookmarkStart w:id="246" w:name="_Toc524843376"/>
      <w:bookmarkStart w:id="247" w:name="_Toc34799009"/>
      <w:bookmarkStart w:id="248" w:name="_Toc49158018"/>
      <w:bookmarkStart w:id="249" w:name="_Toc49230000"/>
      <w:bookmarkStart w:id="250" w:name="_Toc297275963"/>
      <w:bookmarkStart w:id="251" w:name="_Toc334513835"/>
      <w:bookmarkStart w:id="252" w:name="_Toc346019073"/>
      <w:bookmarkStart w:id="253" w:name="_Toc347318880"/>
      <w:bookmarkStart w:id="254" w:name="_Toc347319757"/>
      <w:bookmarkStart w:id="255" w:name="_Toc348601254"/>
      <w:r>
        <w:rPr>
          <w:rStyle w:val="CharSClsNo"/>
          <w:sz w:val="24"/>
        </w:rPr>
        <w:t>2.5</w:t>
      </w:r>
      <w:r>
        <w:tab/>
      </w:r>
      <w:bookmarkEnd w:id="246"/>
      <w:bookmarkEnd w:id="247"/>
      <w:r>
        <w:rPr>
          <w:sz w:val="24"/>
        </w:rPr>
        <w:t>Access to residential aged care services</w:t>
      </w:r>
      <w:bookmarkEnd w:id="248"/>
      <w:bookmarkEnd w:id="249"/>
      <w:bookmarkEnd w:id="250"/>
      <w:bookmarkEnd w:id="251"/>
      <w:bookmarkEnd w:id="252"/>
      <w:bookmarkEnd w:id="253"/>
      <w:bookmarkEnd w:id="254"/>
      <w:bookmarkEnd w:id="25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outlineLvl w:val="9"/>
      </w:pPr>
      <w:bookmarkStart w:id="256" w:name="_Toc241299845"/>
      <w:bookmarkStart w:id="257" w:name="_Toc241301102"/>
      <w:bookmarkStart w:id="258" w:name="_Toc241463655"/>
      <w:bookmarkStart w:id="259" w:name="_Toc241555919"/>
      <w:bookmarkStart w:id="260" w:name="_Toc297275964"/>
      <w:bookmarkStart w:id="261" w:name="_Toc334513777"/>
      <w:bookmarkStart w:id="262" w:name="_Toc334513836"/>
      <w:bookmarkStart w:id="263" w:name="_Toc345922803"/>
      <w:bookmarkStart w:id="264" w:name="_Toc345922862"/>
      <w:bookmarkStart w:id="265" w:name="_Toc345923545"/>
      <w:bookmarkStart w:id="266" w:name="_Toc345923722"/>
      <w:bookmarkStart w:id="267" w:name="_Toc345924771"/>
      <w:bookmarkStart w:id="268" w:name="_Toc345924830"/>
      <w:bookmarkStart w:id="269" w:name="_Toc345931912"/>
      <w:bookmarkStart w:id="270" w:name="_Toc345931997"/>
      <w:bookmarkStart w:id="271" w:name="_Toc346016320"/>
      <w:bookmarkStart w:id="272" w:name="_Toc346019074"/>
      <w:bookmarkStart w:id="273" w:name="_Toc347318881"/>
      <w:bookmarkStart w:id="274" w:name="_Toc347319699"/>
      <w:bookmarkStart w:id="275" w:name="_Toc347319758"/>
      <w:bookmarkStart w:id="276" w:name="_Toc348601255"/>
      <w:bookmarkStart w:id="277" w:name="_Toc524429509"/>
      <w:bookmarkStart w:id="278" w:name="_Toc524484951"/>
      <w:bookmarkStart w:id="279" w:name="_Toc524485135"/>
      <w:bookmarkStart w:id="280" w:name="_Toc524843377"/>
      <w:bookmarkStart w:id="281" w:name="_Toc34799010"/>
      <w:bookmarkStart w:id="282" w:name="_Toc49158019"/>
      <w:bookmarkStart w:id="283" w:name="_Toc49230001"/>
      <w:r>
        <w:rPr>
          <w:rStyle w:val="CharSDivNo"/>
        </w:rPr>
        <w:t>Division 3</w:t>
      </w:r>
      <w:r>
        <w:t> — </w:t>
      </w:r>
      <w:r>
        <w:rPr>
          <w:rStyle w:val="CharSDivText"/>
        </w:rPr>
        <w:t>Prospective resident’s right to information before entering into a residence contract or service contract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yHeading5"/>
        <w:spacing w:before="160"/>
        <w:outlineLvl w:val="9"/>
        <w:rPr>
          <w:sz w:val="24"/>
        </w:rPr>
      </w:pPr>
      <w:bookmarkStart w:id="284" w:name="_Toc524425329"/>
      <w:bookmarkStart w:id="285" w:name="_Toc524429510"/>
      <w:bookmarkStart w:id="286" w:name="_Toc524484952"/>
      <w:bookmarkStart w:id="287" w:name="_Toc524485136"/>
      <w:bookmarkStart w:id="288" w:name="_Toc524843378"/>
      <w:bookmarkStart w:id="289" w:name="_Toc34799011"/>
      <w:bookmarkStart w:id="290" w:name="_Toc49158020"/>
      <w:bookmarkStart w:id="291" w:name="_Toc49230002"/>
      <w:bookmarkStart w:id="292" w:name="_Toc297275965"/>
      <w:bookmarkStart w:id="293" w:name="_Toc334513837"/>
      <w:bookmarkStart w:id="294" w:name="_Toc346019075"/>
      <w:bookmarkStart w:id="295" w:name="_Toc347318882"/>
      <w:bookmarkStart w:id="296" w:name="_Toc347319759"/>
      <w:bookmarkStart w:id="297" w:name="_Toc348601256"/>
      <w:bookmarkEnd w:id="277"/>
      <w:bookmarkEnd w:id="278"/>
      <w:bookmarkEnd w:id="279"/>
      <w:bookmarkEnd w:id="280"/>
      <w:bookmarkEnd w:id="281"/>
      <w:bookmarkEnd w:id="282"/>
      <w:bookmarkEnd w:id="283"/>
      <w:r>
        <w:rPr>
          <w:rStyle w:val="CharSClsNo"/>
          <w:sz w:val="24"/>
        </w:rPr>
        <w:t>3.1</w:t>
      </w:r>
      <w:r>
        <w:tab/>
      </w:r>
      <w:r>
        <w:rPr>
          <w:sz w:val="24"/>
        </w:rPr>
        <w:t>Before entering into a residence contract</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premium (i.e. the ingoing contribution) and other costs payable by the resident to enter the retirement village;</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village operating costs payable by the resident and the method or calculation used to determine and vary those costs;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amenities and services that are provided or made available to the resident and the charges or fees payable by the resident to access or use those amenities and services;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details of costs associated with moving to and living in alternative accommodation within the retirement village; and</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sz w:val="24"/>
          <w:szCs w:val="24"/>
        </w:rPr>
      </w:pP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outlineLvl w:val="9"/>
        <w:rPr>
          <w:sz w:val="24"/>
        </w:rPr>
      </w:pPr>
      <w:bookmarkStart w:id="298" w:name="_Toc524425330"/>
      <w:bookmarkStart w:id="299" w:name="_Toc524429511"/>
      <w:bookmarkStart w:id="300" w:name="_Toc524484953"/>
      <w:bookmarkStart w:id="301" w:name="_Toc524485137"/>
      <w:bookmarkStart w:id="302" w:name="_Toc524843379"/>
      <w:bookmarkStart w:id="303" w:name="_Toc34799012"/>
      <w:bookmarkStart w:id="304" w:name="_Toc49158021"/>
      <w:bookmarkStart w:id="305" w:name="_Toc49230003"/>
      <w:bookmarkStart w:id="306" w:name="_Toc297275966"/>
      <w:bookmarkStart w:id="307" w:name="_Toc334513838"/>
      <w:bookmarkStart w:id="308" w:name="_Toc346019076"/>
      <w:bookmarkStart w:id="309" w:name="_Toc347318883"/>
      <w:bookmarkStart w:id="310" w:name="_Toc347319760"/>
      <w:bookmarkStart w:id="311" w:name="_Toc348601257"/>
      <w:r>
        <w:rPr>
          <w:rStyle w:val="CharSClsNo"/>
          <w:sz w:val="24"/>
        </w:rPr>
        <w:t>3.2</w:t>
      </w:r>
      <w:r>
        <w:rPr>
          <w:sz w:val="24"/>
        </w:rPr>
        <w:tab/>
        <w:t>Before entering into a service contract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outlineLvl w:val="9"/>
      </w:pPr>
      <w:bookmarkStart w:id="312" w:name="_Toc241299848"/>
      <w:bookmarkStart w:id="313" w:name="_Toc241301105"/>
      <w:bookmarkStart w:id="314" w:name="_Toc241463658"/>
      <w:bookmarkStart w:id="315" w:name="_Toc241555922"/>
      <w:bookmarkStart w:id="316" w:name="_Toc297275967"/>
      <w:bookmarkStart w:id="317" w:name="_Toc334513780"/>
      <w:bookmarkStart w:id="318" w:name="_Toc334513839"/>
      <w:bookmarkStart w:id="319" w:name="_Toc345922806"/>
      <w:bookmarkStart w:id="320" w:name="_Toc345922865"/>
      <w:bookmarkStart w:id="321" w:name="_Toc345923548"/>
      <w:bookmarkStart w:id="322" w:name="_Toc345923725"/>
      <w:bookmarkStart w:id="323" w:name="_Toc345924774"/>
      <w:bookmarkStart w:id="324" w:name="_Toc345924833"/>
      <w:bookmarkStart w:id="325" w:name="_Toc345931915"/>
      <w:bookmarkStart w:id="326" w:name="_Toc345932000"/>
      <w:bookmarkStart w:id="327" w:name="_Toc346016323"/>
      <w:bookmarkStart w:id="328" w:name="_Toc346019077"/>
      <w:bookmarkStart w:id="329" w:name="_Toc347318884"/>
      <w:bookmarkStart w:id="330" w:name="_Toc347319702"/>
      <w:bookmarkStart w:id="331" w:name="_Toc347319761"/>
      <w:bookmarkStart w:id="332" w:name="_Toc348601258"/>
      <w:bookmarkStart w:id="333" w:name="_Toc524429512"/>
      <w:bookmarkStart w:id="334" w:name="_Toc524484954"/>
      <w:bookmarkStart w:id="335" w:name="_Toc524485138"/>
      <w:bookmarkStart w:id="336" w:name="_Toc524843380"/>
      <w:bookmarkStart w:id="337" w:name="_Toc34799013"/>
      <w:bookmarkStart w:id="338" w:name="_Toc49158022"/>
      <w:bookmarkStart w:id="339" w:name="_Toc49230004"/>
      <w:r>
        <w:rPr>
          <w:rStyle w:val="CharSDivNo"/>
        </w:rPr>
        <w:t>Division 4</w:t>
      </w:r>
      <w:r>
        <w:t> — </w:t>
      </w:r>
      <w:r>
        <w:rPr>
          <w:rStyle w:val="CharSDivText"/>
        </w:rPr>
        <w:t>Residence contract and service contract</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Heading5"/>
        <w:outlineLvl w:val="9"/>
        <w:rPr>
          <w:sz w:val="24"/>
        </w:rPr>
      </w:pPr>
      <w:bookmarkStart w:id="340" w:name="_Toc524425331"/>
      <w:bookmarkStart w:id="341" w:name="_Toc524429513"/>
      <w:bookmarkStart w:id="342" w:name="_Toc524484955"/>
      <w:bookmarkStart w:id="343" w:name="_Toc524485139"/>
      <w:bookmarkStart w:id="344" w:name="_Toc524843381"/>
      <w:bookmarkStart w:id="345" w:name="_Toc34799014"/>
      <w:bookmarkStart w:id="346" w:name="_Toc49158023"/>
      <w:bookmarkStart w:id="347" w:name="_Toc49230005"/>
      <w:bookmarkStart w:id="348" w:name="_Toc297275968"/>
      <w:bookmarkStart w:id="349" w:name="_Toc334513840"/>
      <w:bookmarkStart w:id="350" w:name="_Toc346019078"/>
      <w:bookmarkStart w:id="351" w:name="_Toc347318885"/>
      <w:bookmarkStart w:id="352" w:name="_Toc347319762"/>
      <w:bookmarkStart w:id="353" w:name="_Toc348601259"/>
      <w:bookmarkEnd w:id="333"/>
      <w:bookmarkEnd w:id="334"/>
      <w:bookmarkEnd w:id="335"/>
      <w:bookmarkEnd w:id="336"/>
      <w:bookmarkEnd w:id="337"/>
      <w:bookmarkEnd w:id="338"/>
      <w:bookmarkEnd w:id="339"/>
      <w:r>
        <w:rPr>
          <w:rStyle w:val="CharSClsNo"/>
          <w:sz w:val="24"/>
        </w:rPr>
        <w:t>4.1</w:t>
      </w:r>
      <w:r>
        <w:rPr>
          <w:sz w:val="24"/>
        </w:rPr>
        <w:tab/>
        <w:t>Legibility and presentation requirements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outlineLvl w:val="9"/>
        <w:rPr>
          <w:sz w:val="24"/>
        </w:rPr>
      </w:pPr>
      <w:bookmarkStart w:id="354" w:name="_Toc524425332"/>
      <w:bookmarkStart w:id="355" w:name="_Toc524429514"/>
      <w:bookmarkStart w:id="356" w:name="_Toc524484956"/>
      <w:bookmarkStart w:id="357" w:name="_Toc524485140"/>
      <w:bookmarkStart w:id="358" w:name="_Toc524843382"/>
      <w:bookmarkStart w:id="359" w:name="_Toc34799015"/>
      <w:bookmarkStart w:id="360" w:name="_Toc49158024"/>
      <w:bookmarkStart w:id="361" w:name="_Toc49230006"/>
      <w:bookmarkStart w:id="362" w:name="_Toc297275969"/>
      <w:bookmarkStart w:id="363" w:name="_Toc334513841"/>
      <w:bookmarkStart w:id="364" w:name="_Toc346019079"/>
      <w:bookmarkStart w:id="365" w:name="_Toc347318886"/>
      <w:bookmarkStart w:id="366" w:name="_Toc347319763"/>
      <w:bookmarkStart w:id="367" w:name="_Toc348601260"/>
      <w:r>
        <w:rPr>
          <w:rStyle w:val="CharSClsNo"/>
          <w:sz w:val="24"/>
        </w:rPr>
        <w:t>4.2</w:t>
      </w:r>
      <w:r>
        <w:rPr>
          <w:sz w:val="24"/>
        </w:rPr>
        <w:tab/>
        <w:t>Title and tenure</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outlineLvl w:val="9"/>
        <w:rPr>
          <w:sz w:val="24"/>
        </w:rPr>
      </w:pPr>
      <w:bookmarkStart w:id="368" w:name="_Toc524425333"/>
      <w:bookmarkStart w:id="369" w:name="_Toc524429515"/>
      <w:bookmarkStart w:id="370" w:name="_Toc524484957"/>
      <w:bookmarkStart w:id="371" w:name="_Toc524485141"/>
      <w:bookmarkStart w:id="372" w:name="_Toc524843383"/>
      <w:bookmarkStart w:id="373" w:name="_Toc34799016"/>
      <w:bookmarkStart w:id="374" w:name="_Toc49158025"/>
      <w:bookmarkStart w:id="375" w:name="_Toc49230007"/>
      <w:bookmarkStart w:id="376" w:name="_Toc297275970"/>
      <w:bookmarkStart w:id="377" w:name="_Toc334513842"/>
      <w:bookmarkStart w:id="378" w:name="_Toc346019080"/>
      <w:bookmarkStart w:id="379" w:name="_Toc347318887"/>
      <w:bookmarkStart w:id="380" w:name="_Toc347319764"/>
      <w:bookmarkStart w:id="381" w:name="_Toc348601261"/>
      <w:r>
        <w:rPr>
          <w:rStyle w:val="CharSClsNo"/>
          <w:sz w:val="24"/>
        </w:rPr>
        <w:t>4.3</w:t>
      </w:r>
      <w:r>
        <w:tab/>
      </w:r>
      <w:bookmarkEnd w:id="368"/>
      <w:bookmarkEnd w:id="369"/>
      <w:bookmarkEnd w:id="370"/>
      <w:bookmarkEnd w:id="371"/>
      <w:bookmarkEnd w:id="372"/>
      <w:bookmarkEnd w:id="373"/>
      <w:r>
        <w:rPr>
          <w:sz w:val="24"/>
        </w:rPr>
        <w:t>Residential premises</w:t>
      </w:r>
      <w:bookmarkEnd w:id="374"/>
      <w:bookmarkEnd w:id="375"/>
      <w:bookmarkEnd w:id="376"/>
      <w:bookmarkEnd w:id="377"/>
      <w:bookmarkEnd w:id="378"/>
      <w:bookmarkEnd w:id="379"/>
      <w:bookmarkEnd w:id="380"/>
      <w:bookmarkEnd w:id="381"/>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outlineLvl w:val="9"/>
        <w:rPr>
          <w:sz w:val="24"/>
        </w:rPr>
      </w:pPr>
      <w:bookmarkStart w:id="382" w:name="_Toc524425334"/>
      <w:bookmarkStart w:id="383" w:name="_Toc524429516"/>
      <w:bookmarkStart w:id="384" w:name="_Toc524484958"/>
      <w:bookmarkStart w:id="385" w:name="_Toc524485142"/>
      <w:bookmarkStart w:id="386" w:name="_Toc524843384"/>
      <w:bookmarkStart w:id="387" w:name="_Toc34799017"/>
      <w:bookmarkStart w:id="388" w:name="_Toc49158026"/>
      <w:bookmarkStart w:id="389" w:name="_Toc49230008"/>
      <w:bookmarkStart w:id="390" w:name="_Toc297275971"/>
      <w:bookmarkStart w:id="391" w:name="_Toc334513843"/>
      <w:bookmarkStart w:id="392" w:name="_Toc346019081"/>
      <w:bookmarkStart w:id="393" w:name="_Toc347318888"/>
      <w:bookmarkStart w:id="394" w:name="_Toc347319765"/>
      <w:bookmarkStart w:id="395" w:name="_Toc348601262"/>
      <w:r>
        <w:rPr>
          <w:rStyle w:val="CharSClsNo"/>
          <w:sz w:val="24"/>
        </w:rPr>
        <w:t>4.4</w:t>
      </w:r>
      <w:r>
        <w:tab/>
      </w:r>
      <w:bookmarkEnd w:id="382"/>
      <w:bookmarkEnd w:id="383"/>
      <w:bookmarkEnd w:id="384"/>
      <w:bookmarkEnd w:id="385"/>
      <w:bookmarkEnd w:id="386"/>
      <w:bookmarkEnd w:id="387"/>
      <w:r>
        <w:rPr>
          <w:sz w:val="24"/>
        </w:rPr>
        <w:t>Amenities</w:t>
      </w:r>
      <w:bookmarkEnd w:id="388"/>
      <w:bookmarkEnd w:id="389"/>
      <w:bookmarkEnd w:id="390"/>
      <w:bookmarkEnd w:id="391"/>
      <w:bookmarkEnd w:id="392"/>
      <w:bookmarkEnd w:id="393"/>
      <w:bookmarkEnd w:id="394"/>
      <w:bookmarkEnd w:id="395"/>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396" w:name="_Toc524425335"/>
      <w:bookmarkStart w:id="397" w:name="_Toc524429517"/>
      <w:bookmarkStart w:id="398" w:name="_Toc524484959"/>
      <w:bookmarkStart w:id="399" w:name="_Toc524485143"/>
      <w:bookmarkStart w:id="400" w:name="_Toc524843385"/>
      <w:bookmarkStart w:id="401" w:name="_Toc34799018"/>
      <w:r>
        <w:rPr>
          <w:sz w:val="24"/>
        </w:rPr>
        <w:tab/>
        <w:t>(c)</w:t>
      </w:r>
      <w:r>
        <w:rPr>
          <w:sz w:val="24"/>
        </w:rPr>
        <w:tab/>
        <w:t>the basis for the future determination of the costs of providing or making those amenities available.</w:t>
      </w:r>
    </w:p>
    <w:p>
      <w:pPr>
        <w:pStyle w:val="yHeading5"/>
        <w:outlineLvl w:val="9"/>
        <w:rPr>
          <w:sz w:val="24"/>
        </w:rPr>
      </w:pPr>
      <w:bookmarkStart w:id="402" w:name="_Toc49158027"/>
      <w:bookmarkStart w:id="403" w:name="_Toc49230009"/>
      <w:bookmarkStart w:id="404" w:name="_Toc297275972"/>
      <w:bookmarkStart w:id="405" w:name="_Toc334513844"/>
      <w:bookmarkStart w:id="406" w:name="_Toc346019082"/>
      <w:bookmarkStart w:id="407" w:name="_Toc347318889"/>
      <w:bookmarkStart w:id="408" w:name="_Toc347319766"/>
      <w:bookmarkStart w:id="409" w:name="_Toc348601263"/>
      <w:r>
        <w:rPr>
          <w:rStyle w:val="CharSClsNo"/>
          <w:sz w:val="24"/>
        </w:rPr>
        <w:t>4.5</w:t>
      </w:r>
      <w:r>
        <w:tab/>
      </w:r>
      <w:bookmarkEnd w:id="396"/>
      <w:bookmarkEnd w:id="397"/>
      <w:bookmarkEnd w:id="398"/>
      <w:bookmarkEnd w:id="399"/>
      <w:bookmarkEnd w:id="400"/>
      <w:bookmarkEnd w:id="401"/>
      <w:r>
        <w:rPr>
          <w:sz w:val="24"/>
        </w:rPr>
        <w:t>Services</w:t>
      </w:r>
      <w:bookmarkEnd w:id="402"/>
      <w:bookmarkEnd w:id="403"/>
      <w:bookmarkEnd w:id="404"/>
      <w:bookmarkEnd w:id="405"/>
      <w:bookmarkEnd w:id="406"/>
      <w:bookmarkEnd w:id="407"/>
      <w:bookmarkEnd w:id="408"/>
      <w:bookmarkEnd w:id="409"/>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outlineLvl w:val="9"/>
      </w:pPr>
      <w:bookmarkStart w:id="410" w:name="_Toc524425336"/>
      <w:bookmarkStart w:id="411" w:name="_Toc524429518"/>
      <w:bookmarkStart w:id="412" w:name="_Toc524484960"/>
      <w:bookmarkStart w:id="413" w:name="_Toc524485144"/>
      <w:bookmarkStart w:id="414" w:name="_Toc524843386"/>
      <w:bookmarkStart w:id="415" w:name="_Toc34799019"/>
      <w:bookmarkStart w:id="416" w:name="_Toc49158028"/>
      <w:bookmarkStart w:id="417" w:name="_Toc49230010"/>
      <w:bookmarkStart w:id="418" w:name="_Toc297275973"/>
      <w:bookmarkStart w:id="419" w:name="_Toc334513845"/>
      <w:bookmarkStart w:id="420" w:name="_Toc346019083"/>
      <w:bookmarkStart w:id="421" w:name="_Toc347318890"/>
      <w:bookmarkStart w:id="422" w:name="_Toc347319767"/>
      <w:bookmarkStart w:id="423" w:name="_Toc348601264"/>
      <w:r>
        <w:rPr>
          <w:rStyle w:val="CharSClsNo"/>
          <w:sz w:val="24"/>
        </w:rPr>
        <w:t>4.6</w:t>
      </w:r>
      <w:r>
        <w:tab/>
      </w:r>
      <w:bookmarkEnd w:id="410"/>
      <w:bookmarkEnd w:id="411"/>
      <w:bookmarkEnd w:id="412"/>
      <w:bookmarkEnd w:id="413"/>
      <w:bookmarkEnd w:id="414"/>
      <w:bookmarkEnd w:id="415"/>
      <w:r>
        <w:rPr>
          <w:sz w:val="24"/>
        </w:rPr>
        <w:t>Payment of premium and refund entitlement</w:t>
      </w:r>
      <w:bookmarkEnd w:id="416"/>
      <w:bookmarkEnd w:id="417"/>
      <w:bookmarkEnd w:id="418"/>
      <w:bookmarkEnd w:id="419"/>
      <w:bookmarkEnd w:id="420"/>
      <w:bookmarkEnd w:id="421"/>
      <w:bookmarkEnd w:id="422"/>
      <w:bookmarkEnd w:id="423"/>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bookmarkStart w:id="424" w:name="_Toc524425337"/>
      <w:bookmarkStart w:id="425" w:name="_Toc524429519"/>
      <w:bookmarkStart w:id="426" w:name="_Toc524484961"/>
      <w:bookmarkStart w:id="427" w:name="_Toc524485145"/>
      <w:bookmarkStart w:id="428" w:name="_Toc524843387"/>
      <w:bookmarkStart w:id="429" w:name="_Toc34799020"/>
      <w:r>
        <w:rPr>
          <w:sz w:val="24"/>
          <w:szCs w:val="24"/>
        </w:rPr>
        <w:t>An example of a cost referred to in paragraph (b)(iii) above is the cost of any repair or refurbishment of the residential premises.</w:t>
      </w:r>
    </w:p>
    <w:p>
      <w:pPr>
        <w:pStyle w:val="yHeading5"/>
        <w:outlineLvl w:val="9"/>
      </w:pPr>
      <w:bookmarkStart w:id="430" w:name="_Toc49158029"/>
      <w:bookmarkStart w:id="431" w:name="_Toc49230011"/>
      <w:bookmarkStart w:id="432" w:name="_Toc297275974"/>
      <w:bookmarkStart w:id="433" w:name="_Toc334513846"/>
      <w:bookmarkStart w:id="434" w:name="_Toc346019084"/>
      <w:bookmarkStart w:id="435" w:name="_Toc347318891"/>
      <w:bookmarkStart w:id="436" w:name="_Toc347319768"/>
      <w:bookmarkStart w:id="437" w:name="_Toc348601265"/>
      <w:r>
        <w:rPr>
          <w:rStyle w:val="CharSClsNo"/>
          <w:sz w:val="24"/>
        </w:rPr>
        <w:t>4.7</w:t>
      </w:r>
      <w:r>
        <w:tab/>
      </w:r>
      <w:bookmarkEnd w:id="424"/>
      <w:bookmarkEnd w:id="425"/>
      <w:bookmarkEnd w:id="426"/>
      <w:bookmarkEnd w:id="427"/>
      <w:bookmarkEnd w:id="428"/>
      <w:bookmarkEnd w:id="429"/>
      <w:r>
        <w:rPr>
          <w:sz w:val="24"/>
        </w:rPr>
        <w:t>Charges for village operating costs</w:t>
      </w:r>
      <w:bookmarkEnd w:id="430"/>
      <w:bookmarkEnd w:id="431"/>
      <w:bookmarkEnd w:id="432"/>
      <w:bookmarkEnd w:id="433"/>
      <w:bookmarkEnd w:id="434"/>
      <w:bookmarkEnd w:id="435"/>
      <w:bookmarkEnd w:id="436"/>
      <w:bookmarkEnd w:id="437"/>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438" w:name="_Toc524425338"/>
      <w:bookmarkStart w:id="439" w:name="_Toc524429520"/>
      <w:bookmarkStart w:id="440" w:name="_Toc524484962"/>
      <w:bookmarkStart w:id="441" w:name="_Toc524485146"/>
      <w:bookmarkStart w:id="442" w:name="_Toc524843388"/>
      <w:bookmarkStart w:id="443"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outlineLvl w:val="9"/>
      </w:pPr>
      <w:bookmarkStart w:id="444" w:name="_Toc49158030"/>
      <w:bookmarkStart w:id="445" w:name="_Toc49230012"/>
      <w:bookmarkStart w:id="446" w:name="_Toc297275975"/>
      <w:bookmarkStart w:id="447" w:name="_Toc334513847"/>
      <w:bookmarkStart w:id="448" w:name="_Toc346019085"/>
      <w:bookmarkStart w:id="449" w:name="_Toc347318892"/>
      <w:bookmarkStart w:id="450" w:name="_Toc347319769"/>
      <w:bookmarkStart w:id="451" w:name="_Toc348601266"/>
      <w:r>
        <w:rPr>
          <w:rStyle w:val="CharSClsNo"/>
          <w:sz w:val="24"/>
        </w:rPr>
        <w:t>4.8</w:t>
      </w:r>
      <w:r>
        <w:tab/>
      </w:r>
      <w:r>
        <w:rPr>
          <w:sz w:val="24"/>
        </w:rPr>
        <w:t>Reserve funds</w:t>
      </w:r>
      <w:bookmarkEnd w:id="444"/>
      <w:bookmarkEnd w:id="445"/>
      <w:bookmarkEnd w:id="446"/>
      <w:bookmarkEnd w:id="447"/>
      <w:bookmarkEnd w:id="448"/>
      <w:bookmarkEnd w:id="449"/>
      <w:bookmarkEnd w:id="450"/>
      <w:bookmarkEnd w:id="451"/>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outlineLvl w:val="9"/>
        <w:rPr>
          <w:sz w:val="24"/>
        </w:rPr>
      </w:pPr>
      <w:bookmarkStart w:id="452" w:name="_Toc49158031"/>
      <w:bookmarkStart w:id="453" w:name="_Toc49230013"/>
      <w:bookmarkStart w:id="454" w:name="_Toc297275976"/>
      <w:bookmarkStart w:id="455" w:name="_Toc334513848"/>
      <w:bookmarkStart w:id="456" w:name="_Toc346019086"/>
      <w:bookmarkStart w:id="457" w:name="_Toc347318893"/>
      <w:bookmarkStart w:id="458" w:name="_Toc347319770"/>
      <w:bookmarkStart w:id="459" w:name="_Toc348601267"/>
      <w:r>
        <w:rPr>
          <w:rStyle w:val="CharSClsNo"/>
          <w:sz w:val="24"/>
        </w:rPr>
        <w:t>4.9</w:t>
      </w:r>
      <w:r>
        <w:tab/>
      </w:r>
      <w:r>
        <w:rPr>
          <w:sz w:val="24"/>
        </w:rPr>
        <w:t>Relocation</w:t>
      </w:r>
      <w:bookmarkEnd w:id="452"/>
      <w:bookmarkEnd w:id="453"/>
      <w:bookmarkEnd w:id="454"/>
      <w:bookmarkEnd w:id="455"/>
      <w:bookmarkEnd w:id="456"/>
      <w:bookmarkEnd w:id="457"/>
      <w:bookmarkEnd w:id="458"/>
      <w:bookmarkEnd w:id="459"/>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outlineLvl w:val="9"/>
      </w:pPr>
      <w:bookmarkStart w:id="460" w:name="_Toc49158032"/>
      <w:bookmarkStart w:id="461" w:name="_Toc49230014"/>
      <w:bookmarkStart w:id="462" w:name="_Toc297275977"/>
      <w:bookmarkStart w:id="463" w:name="_Toc334513849"/>
      <w:bookmarkStart w:id="464" w:name="_Toc346019087"/>
      <w:bookmarkStart w:id="465" w:name="_Toc347318894"/>
      <w:bookmarkStart w:id="466" w:name="_Toc347319771"/>
      <w:bookmarkStart w:id="467" w:name="_Toc348601268"/>
      <w:r>
        <w:rPr>
          <w:rStyle w:val="CharSClsNo"/>
          <w:sz w:val="24"/>
        </w:rPr>
        <w:t>4.10</w:t>
      </w:r>
      <w:r>
        <w:tab/>
      </w:r>
      <w:bookmarkEnd w:id="438"/>
      <w:bookmarkEnd w:id="439"/>
      <w:bookmarkEnd w:id="440"/>
      <w:bookmarkEnd w:id="441"/>
      <w:bookmarkEnd w:id="442"/>
      <w:bookmarkEnd w:id="443"/>
      <w:r>
        <w:rPr>
          <w:sz w:val="24"/>
        </w:rPr>
        <w:t>Termination of residence contract and fees payable on termination</w:t>
      </w:r>
      <w:bookmarkEnd w:id="460"/>
      <w:bookmarkEnd w:id="461"/>
      <w:bookmarkEnd w:id="462"/>
      <w:bookmarkEnd w:id="463"/>
      <w:bookmarkEnd w:id="464"/>
      <w:bookmarkEnd w:id="465"/>
      <w:bookmarkEnd w:id="466"/>
      <w:bookmarkEnd w:id="467"/>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outlineLvl w:val="9"/>
        <w:rPr>
          <w:sz w:val="24"/>
        </w:rPr>
      </w:pPr>
      <w:bookmarkStart w:id="468" w:name="_Toc524425339"/>
      <w:bookmarkStart w:id="469" w:name="_Toc524429521"/>
      <w:bookmarkStart w:id="470" w:name="_Toc524484963"/>
      <w:bookmarkStart w:id="471" w:name="_Toc524485147"/>
      <w:bookmarkStart w:id="472" w:name="_Toc524843389"/>
      <w:bookmarkStart w:id="473" w:name="_Toc34799022"/>
      <w:bookmarkStart w:id="474" w:name="_Toc49158033"/>
      <w:bookmarkStart w:id="475" w:name="_Toc49230015"/>
      <w:bookmarkStart w:id="476" w:name="_Toc297275978"/>
      <w:bookmarkStart w:id="477" w:name="_Toc334513850"/>
      <w:bookmarkStart w:id="478" w:name="_Toc346019088"/>
      <w:bookmarkStart w:id="479" w:name="_Toc347318895"/>
      <w:bookmarkStart w:id="480" w:name="_Toc347319772"/>
      <w:bookmarkStart w:id="481" w:name="_Toc348601269"/>
      <w:r>
        <w:rPr>
          <w:rStyle w:val="CharSClsNo"/>
          <w:sz w:val="24"/>
        </w:rPr>
        <w:t>4.11</w:t>
      </w:r>
      <w:r>
        <w:rPr>
          <w:sz w:val="24"/>
        </w:rPr>
        <w:tab/>
        <w:t xml:space="preserve">Residence contract to refer to this Code and the </w:t>
      </w:r>
      <w:r>
        <w:rPr>
          <w:i/>
          <w:sz w:val="24"/>
        </w:rPr>
        <w:t>Retirement Villages Act 1992</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outlineLvl w:val="9"/>
      </w:pPr>
      <w:bookmarkStart w:id="482" w:name="_Toc241299860"/>
      <w:bookmarkStart w:id="483" w:name="_Toc241301117"/>
      <w:bookmarkStart w:id="484" w:name="_Toc241463670"/>
      <w:bookmarkStart w:id="485" w:name="_Toc241555934"/>
      <w:bookmarkStart w:id="486" w:name="_Toc297275979"/>
      <w:bookmarkStart w:id="487" w:name="_Toc334513792"/>
      <w:bookmarkStart w:id="488" w:name="_Toc334513851"/>
      <w:bookmarkStart w:id="489" w:name="_Toc345922818"/>
      <w:bookmarkStart w:id="490" w:name="_Toc345922877"/>
      <w:bookmarkStart w:id="491" w:name="_Toc345923560"/>
      <w:bookmarkStart w:id="492" w:name="_Toc345923737"/>
      <w:bookmarkStart w:id="493" w:name="_Toc345924786"/>
      <w:bookmarkStart w:id="494" w:name="_Toc345924845"/>
      <w:bookmarkStart w:id="495" w:name="_Toc345931927"/>
      <w:bookmarkStart w:id="496" w:name="_Toc345932012"/>
      <w:bookmarkStart w:id="497" w:name="_Toc346016335"/>
      <w:bookmarkStart w:id="498" w:name="_Toc346019089"/>
      <w:bookmarkStart w:id="499" w:name="_Toc347318896"/>
      <w:bookmarkStart w:id="500" w:name="_Toc347319714"/>
      <w:bookmarkStart w:id="501" w:name="_Toc347319773"/>
      <w:bookmarkStart w:id="502" w:name="_Toc348601270"/>
      <w:bookmarkStart w:id="503" w:name="_Toc49158034"/>
      <w:bookmarkStart w:id="504" w:name="_Toc49230016"/>
      <w:r>
        <w:rPr>
          <w:rStyle w:val="CharSDivNo"/>
        </w:rPr>
        <w:t>Division 5</w:t>
      </w:r>
      <w:r>
        <w:t> — </w:t>
      </w:r>
      <w:r>
        <w:rPr>
          <w:rStyle w:val="CharSDivText"/>
        </w:rPr>
        <w:t>Village management</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Heading5"/>
        <w:outlineLvl w:val="9"/>
      </w:pPr>
      <w:bookmarkStart w:id="505" w:name="_Toc524425340"/>
      <w:bookmarkStart w:id="506" w:name="_Toc524429523"/>
      <w:bookmarkStart w:id="507" w:name="_Toc524484965"/>
      <w:bookmarkStart w:id="508" w:name="_Toc524485149"/>
      <w:bookmarkStart w:id="509" w:name="_Toc524843391"/>
      <w:bookmarkStart w:id="510" w:name="_Toc34799024"/>
      <w:bookmarkStart w:id="511" w:name="_Toc49158035"/>
      <w:bookmarkStart w:id="512" w:name="_Toc49230017"/>
      <w:bookmarkStart w:id="513" w:name="_Toc297275980"/>
      <w:bookmarkStart w:id="514" w:name="_Toc334513852"/>
      <w:bookmarkStart w:id="515" w:name="_Toc346019090"/>
      <w:bookmarkStart w:id="516" w:name="_Toc347318897"/>
      <w:bookmarkStart w:id="517" w:name="_Toc347319774"/>
      <w:bookmarkStart w:id="518" w:name="_Toc348601271"/>
      <w:bookmarkEnd w:id="503"/>
      <w:bookmarkEnd w:id="504"/>
      <w:r>
        <w:rPr>
          <w:rStyle w:val="CharSClsNo"/>
          <w:sz w:val="24"/>
        </w:rPr>
        <w:t>5.1</w:t>
      </w:r>
      <w:r>
        <w:tab/>
      </w:r>
      <w:r>
        <w:rPr>
          <w:sz w:val="24"/>
        </w:rPr>
        <w:t>Interpretation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outlineLvl w:val="9"/>
      </w:pPr>
      <w:bookmarkStart w:id="519" w:name="_Toc49158036"/>
      <w:bookmarkStart w:id="520" w:name="_Toc49230018"/>
      <w:bookmarkStart w:id="521" w:name="_Toc297275981"/>
      <w:bookmarkStart w:id="522" w:name="_Toc334513853"/>
      <w:bookmarkStart w:id="523" w:name="_Toc346019091"/>
      <w:bookmarkStart w:id="524" w:name="_Toc347318898"/>
      <w:bookmarkStart w:id="525" w:name="_Toc347319775"/>
      <w:bookmarkStart w:id="526" w:name="_Toc348601272"/>
      <w:r>
        <w:rPr>
          <w:rStyle w:val="CharSClsNo"/>
          <w:sz w:val="24"/>
        </w:rPr>
        <w:t>5.2</w:t>
      </w:r>
      <w:r>
        <w:tab/>
      </w:r>
      <w:r>
        <w:rPr>
          <w:sz w:val="24"/>
        </w:rPr>
        <w:t>Management procedures and resident consultation</w:t>
      </w:r>
      <w:bookmarkEnd w:id="519"/>
      <w:bookmarkEnd w:id="520"/>
      <w:bookmarkEnd w:id="521"/>
      <w:bookmarkEnd w:id="522"/>
      <w:bookmarkEnd w:id="523"/>
      <w:bookmarkEnd w:id="524"/>
      <w:bookmarkEnd w:id="525"/>
      <w:bookmarkEnd w:id="526"/>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keepNext/>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spacing w:before="100"/>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spacing w:before="100"/>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outlineLvl w:val="9"/>
      </w:pPr>
      <w:bookmarkStart w:id="527" w:name="_Toc524425341"/>
      <w:bookmarkStart w:id="528" w:name="_Toc524429524"/>
      <w:bookmarkStart w:id="529" w:name="_Toc524484966"/>
      <w:bookmarkStart w:id="530" w:name="_Toc524485150"/>
      <w:bookmarkStart w:id="531" w:name="_Toc524843392"/>
      <w:bookmarkStart w:id="532" w:name="_Toc34799025"/>
      <w:bookmarkStart w:id="533" w:name="_Toc49158037"/>
      <w:bookmarkStart w:id="534" w:name="_Toc49230019"/>
      <w:bookmarkStart w:id="535" w:name="_Toc297275982"/>
      <w:bookmarkStart w:id="536" w:name="_Toc334513854"/>
      <w:bookmarkStart w:id="537" w:name="_Toc346019092"/>
      <w:bookmarkStart w:id="538" w:name="_Toc347318899"/>
      <w:bookmarkStart w:id="539" w:name="_Toc347319776"/>
      <w:bookmarkStart w:id="540" w:name="_Toc348601273"/>
      <w:r>
        <w:rPr>
          <w:rStyle w:val="CharSClsNo"/>
          <w:sz w:val="24"/>
        </w:rPr>
        <w:t>5.3</w:t>
      </w:r>
      <w:r>
        <w:tab/>
      </w:r>
      <w:bookmarkEnd w:id="527"/>
      <w:bookmarkEnd w:id="528"/>
      <w:bookmarkEnd w:id="529"/>
      <w:bookmarkEnd w:id="530"/>
      <w:bookmarkEnd w:id="531"/>
      <w:bookmarkEnd w:id="532"/>
      <w:r>
        <w:rPr>
          <w:sz w:val="24"/>
        </w:rPr>
        <w:t>Village operating budget</w:t>
      </w:r>
      <w:bookmarkEnd w:id="533"/>
      <w:bookmarkEnd w:id="534"/>
      <w:bookmarkEnd w:id="535"/>
      <w:bookmarkEnd w:id="536"/>
      <w:bookmarkEnd w:id="537"/>
      <w:bookmarkEnd w:id="538"/>
      <w:bookmarkEnd w:id="539"/>
      <w:bookmarkEnd w:id="540"/>
    </w:p>
    <w:p>
      <w:pPr>
        <w:pStyle w:val="ySubsection"/>
        <w:spacing w:before="100"/>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541" w:name="_Hlt48105213"/>
      <w:bookmarkEnd w:id="541"/>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outlineLvl w:val="9"/>
      </w:pPr>
      <w:bookmarkStart w:id="542" w:name="_Hlt48116945"/>
      <w:bookmarkStart w:id="543" w:name="_Toc49158038"/>
      <w:bookmarkStart w:id="544" w:name="_Toc49230020"/>
      <w:bookmarkStart w:id="545" w:name="_Toc297275983"/>
      <w:bookmarkStart w:id="546" w:name="_Toc334513855"/>
      <w:bookmarkStart w:id="547" w:name="_Toc346019093"/>
      <w:bookmarkStart w:id="548" w:name="_Toc347318900"/>
      <w:bookmarkStart w:id="549" w:name="_Toc347319777"/>
      <w:bookmarkStart w:id="550" w:name="_Toc348601274"/>
      <w:bookmarkEnd w:id="542"/>
      <w:r>
        <w:rPr>
          <w:rStyle w:val="CharSClsNo"/>
          <w:sz w:val="24"/>
        </w:rPr>
        <w:t>5.4</w:t>
      </w:r>
      <w:r>
        <w:tab/>
      </w:r>
      <w:r>
        <w:rPr>
          <w:sz w:val="24"/>
        </w:rPr>
        <w:t>Quarterly operating income and expenditure statements</w:t>
      </w:r>
      <w:bookmarkEnd w:id="543"/>
      <w:bookmarkEnd w:id="544"/>
      <w:bookmarkEnd w:id="545"/>
      <w:bookmarkEnd w:id="546"/>
      <w:bookmarkEnd w:id="547"/>
      <w:bookmarkEnd w:id="548"/>
      <w:bookmarkEnd w:id="549"/>
      <w:bookmarkEnd w:id="550"/>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551" w:name="_Hlt48116458"/>
      <w:bookmarkEnd w:id="551"/>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outlineLvl w:val="9"/>
      </w:pPr>
      <w:bookmarkStart w:id="552" w:name="_Toc49158039"/>
      <w:bookmarkStart w:id="553" w:name="_Toc49230021"/>
      <w:bookmarkStart w:id="554" w:name="_Toc297275984"/>
      <w:bookmarkStart w:id="555" w:name="_Toc334513856"/>
      <w:bookmarkStart w:id="556" w:name="_Toc346019094"/>
      <w:bookmarkStart w:id="557" w:name="_Toc347318901"/>
      <w:bookmarkStart w:id="558" w:name="_Toc347319778"/>
      <w:bookmarkStart w:id="559" w:name="_Toc348601275"/>
      <w:r>
        <w:rPr>
          <w:rStyle w:val="CharSClsNo"/>
          <w:sz w:val="24"/>
        </w:rPr>
        <w:t>5.5</w:t>
      </w:r>
      <w:r>
        <w:tab/>
      </w:r>
      <w:r>
        <w:rPr>
          <w:sz w:val="24"/>
        </w:rPr>
        <w:t>Annual accounts</w:t>
      </w:r>
      <w:bookmarkEnd w:id="552"/>
      <w:bookmarkEnd w:id="553"/>
      <w:bookmarkEnd w:id="554"/>
      <w:bookmarkEnd w:id="555"/>
      <w:bookmarkEnd w:id="556"/>
      <w:bookmarkEnd w:id="557"/>
      <w:bookmarkEnd w:id="558"/>
      <w:bookmarkEnd w:id="559"/>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outlineLvl w:val="9"/>
      </w:pPr>
      <w:bookmarkStart w:id="560" w:name="_Toc49158040"/>
      <w:bookmarkStart w:id="561" w:name="_Toc49230022"/>
      <w:bookmarkStart w:id="562" w:name="_Toc297275985"/>
      <w:bookmarkStart w:id="563" w:name="_Toc334513857"/>
      <w:bookmarkStart w:id="564" w:name="_Toc346019095"/>
      <w:bookmarkStart w:id="565" w:name="_Toc347318902"/>
      <w:bookmarkStart w:id="566" w:name="_Toc347319779"/>
      <w:bookmarkStart w:id="567" w:name="_Toc348601276"/>
      <w:r>
        <w:rPr>
          <w:rStyle w:val="CharSClsNo"/>
          <w:sz w:val="24"/>
        </w:rPr>
        <w:t>5.6</w:t>
      </w:r>
      <w:r>
        <w:tab/>
      </w:r>
      <w:r>
        <w:rPr>
          <w:sz w:val="24"/>
        </w:rPr>
        <w:t>Budget surplus</w:t>
      </w:r>
      <w:bookmarkEnd w:id="560"/>
      <w:bookmarkEnd w:id="561"/>
      <w:bookmarkEnd w:id="562"/>
      <w:bookmarkEnd w:id="563"/>
      <w:bookmarkEnd w:id="564"/>
      <w:bookmarkEnd w:id="565"/>
      <w:bookmarkEnd w:id="566"/>
      <w:bookmarkEnd w:id="567"/>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outlineLvl w:val="9"/>
      </w:pPr>
      <w:bookmarkStart w:id="568" w:name="_Toc49158041"/>
      <w:bookmarkStart w:id="569" w:name="_Toc49230023"/>
      <w:bookmarkStart w:id="570" w:name="_Toc297275986"/>
      <w:bookmarkStart w:id="571" w:name="_Toc334513858"/>
      <w:bookmarkStart w:id="572" w:name="_Toc346019096"/>
      <w:bookmarkStart w:id="573" w:name="_Toc347318903"/>
      <w:bookmarkStart w:id="574" w:name="_Toc347319780"/>
      <w:bookmarkStart w:id="575" w:name="_Toc348601277"/>
      <w:r>
        <w:rPr>
          <w:rStyle w:val="CharSClsNo"/>
          <w:sz w:val="24"/>
        </w:rPr>
        <w:t>5.7</w:t>
      </w:r>
      <w:r>
        <w:tab/>
      </w:r>
      <w:r>
        <w:rPr>
          <w:sz w:val="24"/>
        </w:rPr>
        <w:t>Marketing of residential premises</w:t>
      </w:r>
      <w:bookmarkEnd w:id="568"/>
      <w:bookmarkEnd w:id="569"/>
      <w:bookmarkEnd w:id="570"/>
      <w:bookmarkEnd w:id="571"/>
      <w:bookmarkEnd w:id="572"/>
      <w:bookmarkEnd w:id="573"/>
      <w:bookmarkEnd w:id="574"/>
      <w:bookmarkEnd w:id="575"/>
    </w:p>
    <w:p>
      <w:pPr>
        <w:pStyle w:val="ySubsection"/>
        <w:keepNext/>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outlineLvl w:val="9"/>
      </w:pPr>
      <w:bookmarkStart w:id="576" w:name="_Toc49158042"/>
      <w:bookmarkStart w:id="577" w:name="_Toc49230024"/>
      <w:bookmarkStart w:id="578" w:name="_Toc297275987"/>
      <w:bookmarkStart w:id="579" w:name="_Toc334513859"/>
      <w:bookmarkStart w:id="580" w:name="_Toc346019097"/>
      <w:bookmarkStart w:id="581" w:name="_Toc347318904"/>
      <w:bookmarkStart w:id="582" w:name="_Toc347319781"/>
      <w:bookmarkStart w:id="583" w:name="_Toc348601278"/>
      <w:r>
        <w:rPr>
          <w:rStyle w:val="CharSClsNo"/>
          <w:sz w:val="24"/>
        </w:rPr>
        <w:t>5.8</w:t>
      </w:r>
      <w:r>
        <w:tab/>
      </w:r>
      <w:r>
        <w:rPr>
          <w:sz w:val="24"/>
        </w:rPr>
        <w:t>Repair and refurbishment of residential premises</w:t>
      </w:r>
      <w:bookmarkEnd w:id="576"/>
      <w:bookmarkEnd w:id="577"/>
      <w:bookmarkEnd w:id="578"/>
      <w:bookmarkEnd w:id="579"/>
      <w:bookmarkEnd w:id="580"/>
      <w:bookmarkEnd w:id="581"/>
      <w:bookmarkEnd w:id="582"/>
      <w:bookmarkEnd w:id="583"/>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outlineLvl w:val="9"/>
      </w:pPr>
      <w:bookmarkStart w:id="584" w:name="_Toc524425343"/>
      <w:bookmarkStart w:id="585" w:name="_Toc524429526"/>
      <w:bookmarkStart w:id="586" w:name="_Toc524484968"/>
      <w:bookmarkStart w:id="587" w:name="_Toc524485152"/>
      <w:bookmarkStart w:id="588" w:name="_Toc524843394"/>
      <w:bookmarkStart w:id="589" w:name="_Toc34799027"/>
      <w:bookmarkStart w:id="590" w:name="_Toc49158043"/>
      <w:bookmarkStart w:id="591" w:name="_Toc49230025"/>
      <w:bookmarkStart w:id="592" w:name="_Toc297275988"/>
      <w:bookmarkStart w:id="593" w:name="_Toc334513860"/>
      <w:bookmarkStart w:id="594" w:name="_Toc346019098"/>
      <w:bookmarkStart w:id="595" w:name="_Toc347318905"/>
      <w:bookmarkStart w:id="596" w:name="_Toc347319782"/>
      <w:bookmarkStart w:id="597" w:name="_Toc348601279"/>
      <w:r>
        <w:rPr>
          <w:rStyle w:val="CharSClsNo"/>
          <w:sz w:val="24"/>
        </w:rPr>
        <w:t>5.9</w:t>
      </w:r>
      <w:r>
        <w:tab/>
      </w:r>
      <w:r>
        <w:rPr>
          <w:sz w:val="24"/>
        </w:rPr>
        <w:t>Residence rules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outlineLvl w:val="9"/>
      </w:pPr>
      <w:bookmarkStart w:id="598" w:name="_Toc49158044"/>
      <w:bookmarkStart w:id="599" w:name="_Toc49230026"/>
      <w:bookmarkStart w:id="600" w:name="_Toc297275989"/>
      <w:bookmarkStart w:id="601" w:name="_Toc334513861"/>
      <w:bookmarkStart w:id="602" w:name="_Toc346019099"/>
      <w:bookmarkStart w:id="603" w:name="_Toc347318906"/>
      <w:bookmarkStart w:id="604" w:name="_Toc347319783"/>
      <w:bookmarkStart w:id="605" w:name="_Toc348601280"/>
      <w:r>
        <w:rPr>
          <w:rStyle w:val="CharSClsNo"/>
          <w:sz w:val="24"/>
        </w:rPr>
        <w:t>5.10</w:t>
      </w:r>
      <w:r>
        <w:tab/>
      </w:r>
      <w:r>
        <w:rPr>
          <w:sz w:val="24"/>
        </w:rPr>
        <w:t>Residents’ committee</w:t>
      </w:r>
      <w:bookmarkEnd w:id="598"/>
      <w:bookmarkEnd w:id="599"/>
      <w:bookmarkEnd w:id="600"/>
      <w:bookmarkEnd w:id="601"/>
      <w:bookmarkEnd w:id="602"/>
      <w:bookmarkEnd w:id="603"/>
      <w:bookmarkEnd w:id="604"/>
      <w:bookmarkEnd w:id="605"/>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outlineLvl w:val="9"/>
      </w:pPr>
      <w:bookmarkStart w:id="606" w:name="_Toc49158045"/>
      <w:bookmarkStart w:id="607" w:name="_Toc49230027"/>
      <w:bookmarkStart w:id="608" w:name="_Toc297275990"/>
      <w:bookmarkStart w:id="609" w:name="_Toc334513862"/>
      <w:bookmarkStart w:id="610" w:name="_Toc346019100"/>
      <w:bookmarkStart w:id="611" w:name="_Toc347318907"/>
      <w:bookmarkStart w:id="612" w:name="_Toc347319784"/>
      <w:bookmarkStart w:id="613" w:name="_Toc348601281"/>
      <w:r>
        <w:rPr>
          <w:rStyle w:val="CharSClsNo"/>
          <w:sz w:val="24"/>
        </w:rPr>
        <w:t>5.11</w:t>
      </w:r>
      <w:r>
        <w:tab/>
      </w:r>
      <w:r>
        <w:rPr>
          <w:sz w:val="24"/>
        </w:rPr>
        <w:t>Residents’ meetings</w:t>
      </w:r>
      <w:bookmarkEnd w:id="606"/>
      <w:bookmarkEnd w:id="607"/>
      <w:bookmarkEnd w:id="608"/>
      <w:bookmarkEnd w:id="609"/>
      <w:bookmarkEnd w:id="610"/>
      <w:bookmarkEnd w:id="611"/>
      <w:bookmarkEnd w:id="612"/>
      <w:bookmarkEnd w:id="613"/>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outlineLvl w:val="9"/>
      </w:pPr>
      <w:bookmarkStart w:id="614" w:name="_Toc49158046"/>
      <w:bookmarkStart w:id="615" w:name="_Toc49230028"/>
      <w:bookmarkStart w:id="616" w:name="_Toc297275991"/>
      <w:bookmarkStart w:id="617" w:name="_Toc334513863"/>
      <w:bookmarkStart w:id="618" w:name="_Toc346019101"/>
      <w:bookmarkStart w:id="619" w:name="_Toc347318908"/>
      <w:bookmarkStart w:id="620" w:name="_Toc347319785"/>
      <w:bookmarkStart w:id="621" w:name="_Toc348601282"/>
      <w:r>
        <w:rPr>
          <w:rStyle w:val="CharSClsNo"/>
          <w:sz w:val="24"/>
        </w:rPr>
        <w:t>5.12</w:t>
      </w:r>
      <w:r>
        <w:tab/>
      </w:r>
      <w:r>
        <w:rPr>
          <w:sz w:val="24"/>
        </w:rPr>
        <w:t>Proxy voting</w:t>
      </w:r>
      <w:bookmarkEnd w:id="614"/>
      <w:bookmarkEnd w:id="615"/>
      <w:bookmarkEnd w:id="616"/>
      <w:bookmarkEnd w:id="617"/>
      <w:bookmarkEnd w:id="618"/>
      <w:bookmarkEnd w:id="619"/>
      <w:bookmarkEnd w:id="620"/>
      <w:bookmarkEnd w:id="621"/>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622" w:name="_Hlt48104582"/>
      <w:bookmarkEnd w:id="622"/>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outlineLvl w:val="9"/>
      </w:pPr>
      <w:bookmarkStart w:id="623" w:name="_Toc241299873"/>
      <w:bookmarkStart w:id="624" w:name="_Toc241301130"/>
      <w:bookmarkStart w:id="625" w:name="_Toc241463683"/>
      <w:bookmarkStart w:id="626" w:name="_Toc241555947"/>
      <w:bookmarkStart w:id="627" w:name="_Toc297275992"/>
      <w:bookmarkStart w:id="628" w:name="_Toc334513805"/>
      <w:bookmarkStart w:id="629" w:name="_Toc334513864"/>
      <w:bookmarkStart w:id="630" w:name="_Toc345922831"/>
      <w:bookmarkStart w:id="631" w:name="_Toc345922890"/>
      <w:bookmarkStart w:id="632" w:name="_Toc345923573"/>
      <w:bookmarkStart w:id="633" w:name="_Toc345923750"/>
      <w:bookmarkStart w:id="634" w:name="_Toc345924799"/>
      <w:bookmarkStart w:id="635" w:name="_Toc345924858"/>
      <w:bookmarkStart w:id="636" w:name="_Toc345931940"/>
      <w:bookmarkStart w:id="637" w:name="_Toc345932025"/>
      <w:bookmarkStart w:id="638" w:name="_Toc346016348"/>
      <w:bookmarkStart w:id="639" w:name="_Toc346019102"/>
      <w:bookmarkStart w:id="640" w:name="_Toc347318909"/>
      <w:bookmarkStart w:id="641" w:name="_Toc347319727"/>
      <w:bookmarkStart w:id="642" w:name="_Toc347319786"/>
      <w:bookmarkStart w:id="643" w:name="_Toc348601283"/>
      <w:bookmarkStart w:id="644" w:name="_Toc524429527"/>
      <w:bookmarkStart w:id="645" w:name="_Toc524484969"/>
      <w:bookmarkStart w:id="646" w:name="_Toc524485153"/>
      <w:bookmarkStart w:id="647" w:name="_Toc524843395"/>
      <w:bookmarkStart w:id="648" w:name="_Toc34799028"/>
      <w:bookmarkStart w:id="649" w:name="_Toc49158047"/>
      <w:bookmarkStart w:id="650" w:name="_Toc49230029"/>
      <w:r>
        <w:rPr>
          <w:rStyle w:val="CharSDivNo"/>
        </w:rPr>
        <w:t>Division 6</w:t>
      </w:r>
      <w:r>
        <w:t> — </w:t>
      </w:r>
      <w:r>
        <w:rPr>
          <w:rStyle w:val="CharSDivText"/>
        </w:rPr>
        <w:t>Dispute resolution</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Heading5"/>
        <w:spacing w:before="160"/>
        <w:outlineLvl w:val="9"/>
      </w:pPr>
      <w:bookmarkStart w:id="651" w:name="_Toc524425344"/>
      <w:bookmarkStart w:id="652" w:name="_Toc524429528"/>
      <w:bookmarkStart w:id="653" w:name="_Toc524484970"/>
      <w:bookmarkStart w:id="654" w:name="_Toc524485154"/>
      <w:bookmarkStart w:id="655" w:name="_Toc524843396"/>
      <w:bookmarkStart w:id="656" w:name="_Toc34799029"/>
      <w:bookmarkStart w:id="657" w:name="_Toc49158048"/>
      <w:bookmarkStart w:id="658" w:name="_Toc49230030"/>
      <w:bookmarkStart w:id="659" w:name="_Toc297275993"/>
      <w:bookmarkStart w:id="660" w:name="_Toc334513865"/>
      <w:bookmarkStart w:id="661" w:name="_Toc346019103"/>
      <w:bookmarkStart w:id="662" w:name="_Toc347318910"/>
      <w:bookmarkStart w:id="663" w:name="_Toc347319787"/>
      <w:bookmarkStart w:id="664" w:name="_Toc348601284"/>
      <w:bookmarkEnd w:id="644"/>
      <w:bookmarkEnd w:id="645"/>
      <w:bookmarkEnd w:id="646"/>
      <w:bookmarkEnd w:id="647"/>
      <w:bookmarkEnd w:id="648"/>
      <w:bookmarkEnd w:id="649"/>
      <w:bookmarkEnd w:id="650"/>
      <w:r>
        <w:rPr>
          <w:rStyle w:val="CharSClsNo"/>
          <w:sz w:val="24"/>
        </w:rPr>
        <w:t>6.1</w:t>
      </w:r>
      <w:r>
        <w:tab/>
      </w:r>
      <w:bookmarkEnd w:id="651"/>
      <w:bookmarkEnd w:id="652"/>
      <w:bookmarkEnd w:id="653"/>
      <w:bookmarkEnd w:id="654"/>
      <w:bookmarkEnd w:id="655"/>
      <w:bookmarkEnd w:id="656"/>
      <w:r>
        <w:rPr>
          <w:sz w:val="24"/>
        </w:rPr>
        <w:t>Interpretation</w:t>
      </w:r>
      <w:bookmarkEnd w:id="657"/>
      <w:bookmarkEnd w:id="658"/>
      <w:bookmarkEnd w:id="659"/>
      <w:bookmarkEnd w:id="660"/>
      <w:bookmarkEnd w:id="661"/>
      <w:bookmarkEnd w:id="662"/>
      <w:bookmarkEnd w:id="663"/>
      <w:bookmarkEnd w:id="664"/>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outlineLvl w:val="9"/>
      </w:pPr>
      <w:bookmarkStart w:id="665" w:name="_Toc49158049"/>
      <w:bookmarkStart w:id="666" w:name="_Toc49230031"/>
      <w:bookmarkStart w:id="667" w:name="_Toc297275994"/>
      <w:bookmarkStart w:id="668" w:name="_Toc334513866"/>
      <w:bookmarkStart w:id="669" w:name="_Toc346019104"/>
      <w:bookmarkStart w:id="670" w:name="_Toc347318911"/>
      <w:bookmarkStart w:id="671" w:name="_Toc347319788"/>
      <w:bookmarkStart w:id="672" w:name="_Toc348601285"/>
      <w:r>
        <w:rPr>
          <w:rStyle w:val="CharSClsNo"/>
          <w:sz w:val="24"/>
        </w:rPr>
        <w:t>6.2</w:t>
      </w:r>
      <w:r>
        <w:tab/>
      </w:r>
      <w:r>
        <w:rPr>
          <w:sz w:val="24"/>
        </w:rPr>
        <w:t>Village dispute process</w:t>
      </w:r>
      <w:bookmarkEnd w:id="665"/>
      <w:bookmarkEnd w:id="666"/>
      <w:bookmarkEnd w:id="667"/>
      <w:bookmarkEnd w:id="668"/>
      <w:bookmarkEnd w:id="669"/>
      <w:bookmarkEnd w:id="670"/>
      <w:bookmarkEnd w:id="671"/>
      <w:bookmarkEnd w:id="672"/>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outlineLvl w:val="9"/>
      </w:pPr>
      <w:bookmarkStart w:id="673" w:name="_Toc49158050"/>
      <w:bookmarkStart w:id="674" w:name="_Toc49230032"/>
      <w:bookmarkStart w:id="675" w:name="_Toc297275995"/>
      <w:bookmarkStart w:id="676" w:name="_Toc334513867"/>
      <w:bookmarkStart w:id="677" w:name="_Toc346019105"/>
      <w:bookmarkStart w:id="678" w:name="_Toc347318912"/>
      <w:bookmarkStart w:id="679" w:name="_Toc347319789"/>
      <w:bookmarkStart w:id="680" w:name="_Toc348601286"/>
      <w:r>
        <w:rPr>
          <w:rStyle w:val="CharSClsNo"/>
          <w:sz w:val="24"/>
        </w:rPr>
        <w:t>6.3</w:t>
      </w:r>
      <w:r>
        <w:tab/>
      </w:r>
      <w:r>
        <w:rPr>
          <w:sz w:val="24"/>
        </w:rPr>
        <w:t>Mediation of dispute</w:t>
      </w:r>
      <w:bookmarkEnd w:id="673"/>
      <w:bookmarkEnd w:id="674"/>
      <w:bookmarkEnd w:id="675"/>
      <w:bookmarkEnd w:id="676"/>
      <w:bookmarkEnd w:id="677"/>
      <w:bookmarkEnd w:id="678"/>
      <w:bookmarkEnd w:id="679"/>
      <w:bookmarkEnd w:id="680"/>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keepNext/>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keepNext/>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outlineLvl w:val="9"/>
      </w:pPr>
      <w:bookmarkStart w:id="681" w:name="_Toc241299877"/>
      <w:bookmarkStart w:id="682" w:name="_Toc241301134"/>
      <w:bookmarkStart w:id="683" w:name="_Toc241463687"/>
      <w:bookmarkStart w:id="684" w:name="_Toc241555951"/>
      <w:bookmarkStart w:id="685" w:name="_Toc297275996"/>
      <w:bookmarkStart w:id="686" w:name="_Toc334513809"/>
      <w:bookmarkStart w:id="687" w:name="_Toc334513868"/>
      <w:bookmarkStart w:id="688" w:name="_Toc345922835"/>
      <w:bookmarkStart w:id="689" w:name="_Toc345922894"/>
      <w:bookmarkStart w:id="690" w:name="_Toc345923577"/>
      <w:bookmarkStart w:id="691" w:name="_Toc345923754"/>
      <w:bookmarkStart w:id="692" w:name="_Toc345924803"/>
      <w:bookmarkStart w:id="693" w:name="_Toc345924862"/>
      <w:bookmarkStart w:id="694" w:name="_Toc345931944"/>
      <w:bookmarkStart w:id="695" w:name="_Toc345932029"/>
      <w:bookmarkStart w:id="696" w:name="_Toc346016352"/>
      <w:bookmarkStart w:id="697" w:name="_Toc346019106"/>
      <w:bookmarkStart w:id="698" w:name="_Toc347318913"/>
      <w:bookmarkStart w:id="699" w:name="_Toc347319731"/>
      <w:bookmarkStart w:id="700" w:name="_Toc347319790"/>
      <w:bookmarkStart w:id="701" w:name="_Toc348601287"/>
      <w:bookmarkStart w:id="702" w:name="_Toc49158051"/>
      <w:bookmarkStart w:id="703" w:name="_Toc49230033"/>
      <w:r>
        <w:rPr>
          <w:rStyle w:val="CharSDivNo"/>
        </w:rPr>
        <w:t>Division 7</w:t>
      </w:r>
      <w:r>
        <w:t> — </w:t>
      </w:r>
      <w:r>
        <w:rPr>
          <w:rStyle w:val="CharSDivText"/>
        </w:rPr>
        <w:t>Termination of residence contracts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Heading5"/>
        <w:spacing w:before="160"/>
        <w:outlineLvl w:val="9"/>
        <w:rPr>
          <w:sz w:val="24"/>
        </w:rPr>
      </w:pPr>
      <w:bookmarkStart w:id="704" w:name="_Toc49158052"/>
      <w:bookmarkStart w:id="705" w:name="_Toc49230034"/>
      <w:bookmarkStart w:id="706" w:name="_Toc297275997"/>
      <w:bookmarkStart w:id="707" w:name="_Toc334513869"/>
      <w:bookmarkStart w:id="708" w:name="_Toc346019107"/>
      <w:bookmarkStart w:id="709" w:name="_Toc347318914"/>
      <w:bookmarkStart w:id="710" w:name="_Toc347319791"/>
      <w:bookmarkStart w:id="711" w:name="_Toc348601288"/>
      <w:bookmarkEnd w:id="702"/>
      <w:bookmarkEnd w:id="703"/>
      <w:r>
        <w:rPr>
          <w:rStyle w:val="CharSClsNo"/>
          <w:sz w:val="24"/>
        </w:rPr>
        <w:t>7.1</w:t>
      </w:r>
      <w:r>
        <w:rPr>
          <w:sz w:val="24"/>
        </w:rPr>
        <w:tab/>
        <w:t>Notice of intention to terminate</w:t>
      </w:r>
      <w:bookmarkEnd w:id="704"/>
      <w:bookmarkEnd w:id="705"/>
      <w:bookmarkEnd w:id="706"/>
      <w:bookmarkEnd w:id="707"/>
      <w:bookmarkEnd w:id="708"/>
      <w:bookmarkEnd w:id="709"/>
      <w:bookmarkEnd w:id="710"/>
      <w:bookmarkEnd w:id="711"/>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w:t>
      </w:r>
      <w:r>
        <w:rPr>
          <w:sz w:val="24"/>
          <w:szCs w:val="24"/>
        </w:rPr>
        <w:t xml:space="preserve">2 Part 4 Division 5, an administering body may apply to the State Administrative Tribunal to terminate a residence contract on the grounds that —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resident’s physical or mental health is such as to make the residential premises unsuitable for occupation by the resident (section 58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breached the residence contract or the residence rules and has failed to rectify that breach (section 59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restrains the administering body from transferring the resident to another kind of accommodation in the village;</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 xml:space="preserve">requires the resident to transfer, or the administering body to transfer the resident, to another kind of accommodation in the village; or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within 7 days of the succeeding resident taking occupation of the residential premises;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outlineLvl w:val="9"/>
      </w:pPr>
      <w:bookmarkStart w:id="712" w:name="_Toc241299879"/>
      <w:bookmarkStart w:id="713" w:name="_Toc241301136"/>
      <w:bookmarkStart w:id="714" w:name="_Toc241463689"/>
      <w:bookmarkStart w:id="715" w:name="_Toc241555953"/>
      <w:bookmarkStart w:id="716" w:name="_Toc297275998"/>
      <w:bookmarkStart w:id="717" w:name="_Toc334513811"/>
      <w:bookmarkStart w:id="718" w:name="_Toc334513870"/>
      <w:bookmarkStart w:id="719" w:name="_Toc345922837"/>
      <w:bookmarkStart w:id="720" w:name="_Toc345922896"/>
      <w:bookmarkStart w:id="721" w:name="_Toc345923579"/>
      <w:bookmarkStart w:id="722" w:name="_Toc345923756"/>
      <w:bookmarkStart w:id="723" w:name="_Toc345924805"/>
      <w:bookmarkStart w:id="724" w:name="_Toc345924864"/>
      <w:bookmarkStart w:id="725" w:name="_Toc345931946"/>
      <w:bookmarkStart w:id="726" w:name="_Toc345932031"/>
      <w:bookmarkStart w:id="727" w:name="_Toc346016354"/>
      <w:bookmarkStart w:id="728" w:name="_Toc346019108"/>
      <w:bookmarkStart w:id="729" w:name="_Toc347318915"/>
      <w:bookmarkStart w:id="730" w:name="_Toc347319733"/>
      <w:bookmarkStart w:id="731" w:name="_Toc347319792"/>
      <w:bookmarkStart w:id="732" w:name="_Toc348601289"/>
      <w:bookmarkStart w:id="733" w:name="_Toc49158053"/>
      <w:bookmarkStart w:id="734" w:name="_Toc49230035"/>
      <w:bookmarkStart w:id="735" w:name="_Toc524429531"/>
      <w:bookmarkStart w:id="736" w:name="_Toc524484973"/>
      <w:bookmarkStart w:id="737" w:name="_Toc524485157"/>
      <w:bookmarkStart w:id="738" w:name="_Toc524843399"/>
      <w:bookmarkStart w:id="739" w:name="_Toc34799032"/>
      <w:r>
        <w:rPr>
          <w:rStyle w:val="CharSDivNo"/>
        </w:rPr>
        <w:t>Division 8</w:t>
      </w:r>
      <w:r>
        <w:t> — </w:t>
      </w:r>
      <w:r>
        <w:rPr>
          <w:rStyle w:val="CharSDivText"/>
        </w:rPr>
        <w:t>Miscellaneous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Heading5"/>
        <w:spacing w:before="160"/>
        <w:outlineLvl w:val="9"/>
        <w:rPr>
          <w:sz w:val="24"/>
        </w:rPr>
      </w:pPr>
      <w:bookmarkStart w:id="740" w:name="_Toc49158054"/>
      <w:bookmarkStart w:id="741" w:name="_Toc49230036"/>
      <w:bookmarkStart w:id="742" w:name="_Toc297275999"/>
      <w:bookmarkStart w:id="743" w:name="_Toc334513871"/>
      <w:bookmarkStart w:id="744" w:name="_Toc346019109"/>
      <w:bookmarkStart w:id="745" w:name="_Toc347318916"/>
      <w:bookmarkStart w:id="746" w:name="_Toc347319793"/>
      <w:bookmarkStart w:id="747" w:name="_Toc348601290"/>
      <w:bookmarkEnd w:id="733"/>
      <w:bookmarkEnd w:id="734"/>
      <w:r>
        <w:rPr>
          <w:rStyle w:val="CharSClsNo"/>
          <w:sz w:val="24"/>
        </w:rPr>
        <w:t>8.1</w:t>
      </w:r>
      <w:r>
        <w:rPr>
          <w:sz w:val="24"/>
        </w:rPr>
        <w:tab/>
        <w:t>Service of documents</w:t>
      </w:r>
      <w:bookmarkEnd w:id="740"/>
      <w:bookmarkEnd w:id="741"/>
      <w:bookmarkEnd w:id="742"/>
      <w:bookmarkEnd w:id="743"/>
      <w:bookmarkEnd w:id="744"/>
      <w:bookmarkEnd w:id="745"/>
      <w:bookmarkEnd w:id="746"/>
      <w:bookmarkEnd w:id="747"/>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cheduleHeading"/>
        <w:outlineLvl w:val="9"/>
      </w:pPr>
      <w:bookmarkStart w:id="748" w:name="_Toc334513813"/>
      <w:bookmarkStart w:id="749" w:name="_Toc334513872"/>
      <w:bookmarkStart w:id="750" w:name="_Toc345922839"/>
      <w:bookmarkStart w:id="751" w:name="_Toc345922898"/>
      <w:bookmarkStart w:id="752" w:name="_Toc345923581"/>
      <w:bookmarkStart w:id="753" w:name="_Toc345923758"/>
      <w:bookmarkStart w:id="754" w:name="_Toc345924807"/>
      <w:bookmarkStart w:id="755" w:name="_Toc345924866"/>
      <w:bookmarkStart w:id="756" w:name="_Toc345931948"/>
      <w:bookmarkStart w:id="757" w:name="_Toc345932033"/>
      <w:bookmarkStart w:id="758" w:name="_Toc346016356"/>
      <w:bookmarkStart w:id="759" w:name="_Toc346019110"/>
      <w:bookmarkStart w:id="760" w:name="_Toc347318917"/>
      <w:bookmarkStart w:id="761" w:name="_Toc347319735"/>
      <w:bookmarkStart w:id="762" w:name="_Toc347319794"/>
      <w:bookmarkStart w:id="763" w:name="_Toc348601291"/>
      <w:bookmarkEnd w:id="735"/>
      <w:bookmarkEnd w:id="736"/>
      <w:bookmarkEnd w:id="737"/>
      <w:bookmarkEnd w:id="738"/>
      <w:bookmarkEnd w:id="739"/>
      <w:r>
        <w:rPr>
          <w:rStyle w:val="CharSchNo"/>
        </w:rPr>
        <w:t>Appendix 1</w:t>
      </w:r>
      <w:r>
        <w:rPr>
          <w:rStyle w:val="CharSDivNo"/>
        </w:rPr>
        <w:t> </w:t>
      </w:r>
      <w:r>
        <w:t>—</w:t>
      </w:r>
      <w:r>
        <w:rPr>
          <w:rStyle w:val="CharSDivText"/>
        </w:rPr>
        <w:t> </w:t>
      </w:r>
      <w:r>
        <w:rPr>
          <w:rStyle w:val="CharSchText"/>
        </w:rPr>
        <w:t>Checklist for prospective resident</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w:t>
      </w:r>
      <w:r>
        <w:rPr>
          <w:sz w:val="24"/>
          <w:szCs w:val="24"/>
        </w:rPr>
        <w:t xml:space="preserve"> </w:t>
      </w:r>
      <w:r>
        <w:rPr>
          <w:i/>
          <w:sz w:val="24"/>
          <w:szCs w:val="24"/>
        </w:rPr>
        <w:t>Retirement Villages 2013</w:t>
      </w:r>
      <w:r>
        <w:rPr>
          <w:sz w:val="24"/>
          <w:szCs w:val="24"/>
        </w:rPr>
        <w:t xml:space="preserve"> and the </w:t>
      </w:r>
      <w:r>
        <w:rPr>
          <w:i/>
          <w:sz w:val="24"/>
          <w:szCs w:val="24"/>
        </w:rPr>
        <w:t>Retirement Villages Act 1992</w:t>
      </w:r>
      <w:r>
        <w:rPr>
          <w:sz w:val="24"/>
          <w:szCs w:val="24"/>
        </w:rPr>
        <w:t>?</w:t>
      </w:r>
    </w:p>
    <w:p>
      <w:pPr>
        <w:pStyle w:val="yHeading2"/>
        <w:pageBreakBefore/>
        <w:spacing w:before="0"/>
        <w:outlineLvl w:val="9"/>
      </w:pPr>
      <w:bookmarkStart w:id="764" w:name="_Toc49158056"/>
      <w:bookmarkStart w:id="765" w:name="_Toc49230038"/>
      <w:bookmarkStart w:id="766" w:name="_Toc241299882"/>
      <w:bookmarkStart w:id="767" w:name="_Toc241301139"/>
      <w:bookmarkStart w:id="768" w:name="_Toc241463692"/>
      <w:bookmarkStart w:id="769" w:name="_Toc241555956"/>
      <w:bookmarkStart w:id="770" w:name="_Toc297276001"/>
      <w:bookmarkStart w:id="771" w:name="_Toc334513814"/>
      <w:bookmarkStart w:id="772" w:name="_Toc334513873"/>
      <w:bookmarkStart w:id="773" w:name="_Toc345922840"/>
      <w:bookmarkStart w:id="774" w:name="_Toc345922899"/>
      <w:bookmarkStart w:id="775" w:name="_Toc345923582"/>
      <w:bookmarkStart w:id="776" w:name="_Toc345923759"/>
      <w:bookmarkStart w:id="777" w:name="_Toc345924808"/>
      <w:bookmarkStart w:id="778" w:name="_Toc345924867"/>
      <w:bookmarkStart w:id="779" w:name="_Toc345931949"/>
      <w:bookmarkStart w:id="780" w:name="_Toc345932034"/>
      <w:bookmarkStart w:id="781" w:name="_Toc346016357"/>
      <w:bookmarkStart w:id="782" w:name="_Toc346019111"/>
      <w:bookmarkStart w:id="783" w:name="_Toc347318918"/>
      <w:bookmarkStart w:id="784" w:name="_Toc347319736"/>
      <w:bookmarkStart w:id="785" w:name="_Toc347319795"/>
      <w:bookmarkStart w:id="786" w:name="_Toc348601292"/>
      <w:r>
        <w:rPr>
          <w:rStyle w:val="CharSchNo"/>
        </w:rPr>
        <w:t>Appendix 2</w:t>
      </w:r>
      <w:r>
        <w:rPr>
          <w:rStyle w:val="CharPartText"/>
        </w:rPr>
        <w:t> — </w:t>
      </w:r>
      <w:r>
        <w:rPr>
          <w:rStyle w:val="CharSchText"/>
        </w:rPr>
        <w:t>Model proposed operating budget form</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outlineLvl w:val="9"/>
      </w:pPr>
      <w:bookmarkStart w:id="787" w:name="_Toc49158057"/>
      <w:bookmarkStart w:id="788" w:name="_Toc49230039"/>
      <w:bookmarkStart w:id="789" w:name="_Toc241299883"/>
      <w:bookmarkStart w:id="790" w:name="_Toc241301140"/>
      <w:bookmarkStart w:id="791" w:name="_Toc241463693"/>
      <w:bookmarkStart w:id="792" w:name="_Toc241555957"/>
      <w:bookmarkStart w:id="793" w:name="_Toc297276002"/>
      <w:bookmarkStart w:id="794" w:name="_Toc334513815"/>
      <w:bookmarkStart w:id="795" w:name="_Toc334513874"/>
      <w:bookmarkStart w:id="796" w:name="_Toc345922841"/>
      <w:bookmarkStart w:id="797" w:name="_Toc345922900"/>
      <w:bookmarkStart w:id="798" w:name="_Toc345923583"/>
      <w:bookmarkStart w:id="799" w:name="_Toc345923760"/>
      <w:bookmarkStart w:id="800" w:name="_Toc345924809"/>
      <w:bookmarkStart w:id="801" w:name="_Toc345924868"/>
      <w:bookmarkStart w:id="802" w:name="_Toc345931950"/>
      <w:bookmarkStart w:id="803" w:name="_Toc345932035"/>
      <w:bookmarkStart w:id="804" w:name="_Toc346016358"/>
      <w:bookmarkStart w:id="805" w:name="_Toc346019112"/>
      <w:bookmarkStart w:id="806" w:name="_Toc347318919"/>
      <w:bookmarkStart w:id="807" w:name="_Toc347319737"/>
      <w:bookmarkStart w:id="808" w:name="_Toc347319796"/>
      <w:bookmarkStart w:id="809" w:name="_Toc348601293"/>
      <w:r>
        <w:rPr>
          <w:rStyle w:val="CharSchNo"/>
        </w:rPr>
        <w:t>Appendix 3</w:t>
      </w:r>
      <w:r>
        <w:t> — </w:t>
      </w:r>
      <w:r>
        <w:rPr>
          <w:rStyle w:val="CharSchText"/>
        </w:rPr>
        <w:t>Model quarterly income and expenditure statement</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outlineLvl w:val="9"/>
      </w:pPr>
      <w:bookmarkStart w:id="810" w:name="_Toc49158058"/>
      <w:bookmarkStart w:id="811" w:name="_Toc49230040"/>
      <w:bookmarkStart w:id="812" w:name="_Toc241299884"/>
      <w:bookmarkStart w:id="813" w:name="_Toc241301141"/>
      <w:bookmarkStart w:id="814" w:name="_Toc241463694"/>
      <w:bookmarkStart w:id="815" w:name="_Toc241555958"/>
      <w:bookmarkStart w:id="816" w:name="_Toc297276003"/>
      <w:bookmarkStart w:id="817" w:name="_Toc334513816"/>
      <w:bookmarkStart w:id="818" w:name="_Toc334513875"/>
      <w:bookmarkStart w:id="819" w:name="_Toc345922842"/>
      <w:bookmarkStart w:id="820" w:name="_Toc345922901"/>
      <w:bookmarkStart w:id="821" w:name="_Toc345923584"/>
      <w:bookmarkStart w:id="822" w:name="_Toc345923761"/>
      <w:bookmarkStart w:id="823" w:name="_Toc345924810"/>
      <w:bookmarkStart w:id="824" w:name="_Toc345924869"/>
      <w:bookmarkStart w:id="825" w:name="_Toc345931951"/>
      <w:bookmarkStart w:id="826" w:name="_Toc345932036"/>
      <w:bookmarkStart w:id="827" w:name="_Toc346016359"/>
      <w:bookmarkStart w:id="828" w:name="_Toc346019113"/>
      <w:bookmarkStart w:id="829" w:name="_Toc347318920"/>
      <w:bookmarkStart w:id="830" w:name="_Toc347319738"/>
      <w:bookmarkStart w:id="831" w:name="_Toc347319797"/>
      <w:bookmarkStart w:id="832" w:name="_Toc348601294"/>
      <w:r>
        <w:rPr>
          <w:rStyle w:val="CharSchNo"/>
        </w:rPr>
        <w:t>Appendix 4</w:t>
      </w:r>
      <w:r>
        <w:rPr>
          <w:rStyle w:val="CharPartText"/>
        </w:rPr>
        <w:t> — </w:t>
      </w:r>
      <w:r>
        <w:rPr>
          <w:rStyle w:val="CharSchText"/>
        </w:rPr>
        <w:t>Model reserve fund quarterly income and expenditure statement</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outlineLvl w:val="9"/>
      </w:pPr>
      <w:bookmarkStart w:id="833" w:name="_Toc49158059"/>
      <w:bookmarkStart w:id="834" w:name="_Toc49230041"/>
      <w:bookmarkStart w:id="835" w:name="_Toc241299885"/>
      <w:bookmarkStart w:id="836" w:name="_Toc241301142"/>
      <w:bookmarkStart w:id="837" w:name="_Toc241463695"/>
      <w:bookmarkStart w:id="838" w:name="_Toc241555959"/>
      <w:bookmarkStart w:id="839" w:name="_Toc297276004"/>
      <w:bookmarkStart w:id="840" w:name="_Toc334513817"/>
      <w:bookmarkStart w:id="841" w:name="_Toc334513876"/>
      <w:bookmarkStart w:id="842" w:name="_Toc345922843"/>
      <w:bookmarkStart w:id="843" w:name="_Toc345922902"/>
      <w:bookmarkStart w:id="844" w:name="_Toc345923585"/>
      <w:bookmarkStart w:id="845" w:name="_Toc345923762"/>
      <w:bookmarkStart w:id="846" w:name="_Toc345924811"/>
      <w:bookmarkStart w:id="847" w:name="_Toc345924870"/>
      <w:bookmarkStart w:id="848" w:name="_Toc345931952"/>
      <w:bookmarkStart w:id="849" w:name="_Toc345932037"/>
      <w:bookmarkStart w:id="850" w:name="_Toc346016360"/>
      <w:bookmarkStart w:id="851" w:name="_Toc346019114"/>
      <w:bookmarkStart w:id="852" w:name="_Toc347318921"/>
      <w:bookmarkStart w:id="853" w:name="_Toc347319739"/>
      <w:bookmarkStart w:id="854" w:name="_Toc347319798"/>
      <w:bookmarkStart w:id="855" w:name="_Toc348601295"/>
      <w:r>
        <w:rPr>
          <w:rStyle w:val="CharSchNo"/>
        </w:rPr>
        <w:t>Appendix 5</w:t>
      </w:r>
      <w:r>
        <w:t> — </w:t>
      </w:r>
      <w:r>
        <w:rPr>
          <w:rStyle w:val="CharSchText"/>
        </w:rPr>
        <w:t>Form of appointment of proxy</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22"/>
        </w:numPr>
        <w:spacing w:before="120"/>
      </w:pPr>
      <w:r>
        <w:t>All matters raised at the meeting that require, or provide for, a vote of the residents, at my proxy’s discretion.</w:t>
      </w:r>
    </w:p>
    <w:p>
      <w:pPr>
        <w:pStyle w:val="yMiscellaneousBody"/>
        <w:numPr>
          <w:ilvl w:val="0"/>
          <w:numId w:val="23"/>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5"/>
        </w:numPr>
        <w:ind w:left="786"/>
      </w:pPr>
      <w:r>
        <w:t>the person appointed as the resident’s proxy; and</w:t>
      </w:r>
    </w:p>
    <w:p>
      <w:pPr>
        <w:pStyle w:val="yMiscellaneousBody"/>
        <w:numPr>
          <w:ilvl w:val="0"/>
          <w:numId w:val="25"/>
        </w:numPr>
        <w:ind w:left="786"/>
      </w:pPr>
      <w:r>
        <w:t>the chairperson of the meeting at which the proxy was to vote.</w:t>
      </w:r>
    </w:p>
    <w:p>
      <w:pPr>
        <w:pStyle w:val="nzSubsection"/>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0D4070AC"/>
    <w:multiLevelType w:val="hybridMultilevel"/>
    <w:tmpl w:val="6D306C40"/>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21EA4D2D"/>
    <w:multiLevelType w:val="hybridMultilevel"/>
    <w:tmpl w:val="EED2AC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nsid w:val="238F6758"/>
    <w:multiLevelType w:val="hybridMultilevel"/>
    <w:tmpl w:val="AD94B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6">
    <w:nsid w:val="3F1D7FC5"/>
    <w:multiLevelType w:val="singleLevel"/>
    <w:tmpl w:val="0C09000F"/>
    <w:lvl w:ilvl="0">
      <w:start w:val="1"/>
      <w:numFmt w:val="decimal"/>
      <w:lvlText w:val="%1."/>
      <w:lvlJc w:val="left"/>
      <w:pPr>
        <w:tabs>
          <w:tab w:val="num" w:pos="360"/>
        </w:tabs>
        <w:ind w:left="360" w:hanging="360"/>
      </w:pPr>
    </w:lvl>
  </w:abstractNum>
  <w:abstractNum w:abstractNumId="37">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8">
    <w:nsid w:val="490468B5"/>
    <w:multiLevelType w:val="hybridMultilevel"/>
    <w:tmpl w:val="7ECE1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0">
    <w:nsid w:val="4CC03303"/>
    <w:multiLevelType w:val="singleLevel"/>
    <w:tmpl w:val="0809000F"/>
    <w:lvl w:ilvl="0">
      <w:start w:val="1"/>
      <w:numFmt w:val="decimal"/>
      <w:lvlText w:val="%1."/>
      <w:lvlJc w:val="left"/>
      <w:pPr>
        <w:tabs>
          <w:tab w:val="num" w:pos="360"/>
        </w:tabs>
        <w:ind w:left="360" w:hanging="360"/>
      </w:pPr>
    </w:lvl>
  </w:abstractNum>
  <w:abstractNum w:abstractNumId="4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2">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3">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4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5">
    <w:nsid w:val="5C614485"/>
    <w:multiLevelType w:val="hybridMultilevel"/>
    <w:tmpl w:val="BFF2483A"/>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9">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2">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9"/>
  </w:num>
  <w:num w:numId="2">
    <w:abstractNumId w:val="40"/>
  </w:num>
  <w:num w:numId="3">
    <w:abstractNumId w:val="21"/>
  </w:num>
  <w:num w:numId="4">
    <w:abstractNumId w:val="14"/>
  </w:num>
  <w:num w:numId="5">
    <w:abstractNumId w:val="2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5"/>
  </w:num>
  <w:num w:numId="17">
    <w:abstractNumId w:val="48"/>
  </w:num>
  <w:num w:numId="18">
    <w:abstractNumId w:val="19"/>
  </w:num>
  <w:num w:numId="19">
    <w:abstractNumId w:val="13"/>
  </w:num>
  <w:num w:numId="20">
    <w:abstractNumId w:val="43"/>
  </w:num>
  <w:num w:numId="21">
    <w:abstractNumId w:val="11"/>
  </w:num>
  <w:num w:numId="22">
    <w:abstractNumId w:val="23"/>
  </w:num>
  <w:num w:numId="23">
    <w:abstractNumId w:val="39"/>
  </w:num>
  <w:num w:numId="24">
    <w:abstractNumId w:val="36"/>
  </w:num>
  <w:num w:numId="25">
    <w:abstractNumId w:val="16"/>
  </w:num>
  <w:num w:numId="26">
    <w:abstractNumId w:val="27"/>
  </w:num>
  <w:num w:numId="27">
    <w:abstractNumId w:val="49"/>
  </w:num>
  <w:num w:numId="28">
    <w:abstractNumId w:val="52"/>
  </w:num>
  <w:num w:numId="29">
    <w:abstractNumId w:val="38"/>
  </w:num>
  <w:num w:numId="30">
    <w:abstractNumId w:val="24"/>
  </w:num>
  <w:num w:numId="31">
    <w:abstractNumId w:val="17"/>
  </w:num>
  <w:num w:numId="32">
    <w:abstractNumId w:val="37"/>
  </w:num>
  <w:num w:numId="33">
    <w:abstractNumId w:val="46"/>
  </w:num>
  <w:num w:numId="34">
    <w:abstractNumId w:val="42"/>
  </w:num>
  <w:num w:numId="35">
    <w:abstractNumId w:val="45"/>
  </w:num>
  <w:num w:numId="36">
    <w:abstractNumId w:val="26"/>
  </w:num>
  <w:num w:numId="37">
    <w:abstractNumId w:val="44"/>
  </w:num>
  <w:num w:numId="38">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631"/>
    <w:docVar w:name="WAFER_20151204112631" w:val="RemoveTrackChanges"/>
    <w:docVar w:name="WAFER_20151204112631_GUID" w:val="67f5ed81-ed41-4587-884d-db65f4049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zTable">
    <w:name w:val="zTable"/>
    <w:basedOn w:val="Normal"/>
    <w:pPr>
      <w:shd w:val="clear" w:color="808080" w:fill="auto"/>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zTable">
    <w:name w:val="zTable"/>
    <w:basedOn w:val="Normal"/>
    <w:pPr>
      <w:shd w:val="clear" w:color="808080" w:fill="auto"/>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12625</Words>
  <Characters>66789</Characters>
  <Application>Microsoft Office Word</Application>
  <DocSecurity>0</DocSecurity>
  <Lines>2087</Lines>
  <Paragraphs>956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78458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2013 - 00-a0-04</dc:title>
  <dc:subject/>
  <dc:creator/>
  <cp:keywords/>
  <dc:description/>
  <cp:lastModifiedBy>svcMRProcess</cp:lastModifiedBy>
  <cp:revision>4</cp:revision>
  <cp:lastPrinted>2013-01-15T05:17:00Z</cp:lastPrinted>
  <dcterms:created xsi:type="dcterms:W3CDTF">2018-09-19T00:57:00Z</dcterms:created>
  <dcterms:modified xsi:type="dcterms:W3CDTF">2018-09-19T00:57:00Z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Jan 2013 p 351-416</vt:lpwstr>
  </property>
  <property fmtid="{D5CDD505-2E9C-101B-9397-08002B2CF9AE}" pid="3" name="CommencementDate">
    <vt:lpwstr>20130131</vt:lpwstr>
  </property>
  <property fmtid="{D5CDD505-2E9C-101B-9397-08002B2CF9AE}" pid="4" name="AsAtDate">
    <vt:lpwstr>31 Jan 2013</vt:lpwstr>
  </property>
  <property fmtid="{D5CDD505-2E9C-101B-9397-08002B2CF9AE}" pid="5" name="Suffix">
    <vt:lpwstr>00-a0-04</vt:lpwstr>
  </property>
  <property fmtid="{D5CDD505-2E9C-101B-9397-08002B2CF9AE}" pid="6" name="StationID">
    <vt:lpwstr>12</vt:lpwstr>
  </property>
  <property fmtid="{D5CDD505-2E9C-101B-9397-08002B2CF9AE}" pid="7" name="DocumentType">
    <vt:lpwstr>Reg</vt:lpwstr>
  </property>
</Properties>
</file>