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Agriculture and Related Resources Protection Act 1976</w:t>
      </w:r>
    </w:p>
    <w:p>
      <w:pPr>
        <w:pStyle w:val="NameofActRegPage1"/>
        <w:spacing w:before="1800" w:after="420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284"/>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_Toc280613299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_Toc280613300 \h </w:instrText>
      </w:r>
      <w:r>
        <w:fldChar w:fldCharType="separate"/>
      </w:r>
      <w:r>
        <w:t>1</w:t>
      </w:r>
      <w:r>
        <w:fldChar w:fldCharType="end"/>
      </w:r>
    </w:p>
    <w:p>
      <w:pPr>
        <w:pStyle w:val="TOC8"/>
        <w:rPr>
          <w:sz w:val="24"/>
          <w:szCs w:val="24"/>
        </w:rPr>
      </w:pPr>
      <w:r>
        <w:rPr>
          <w:szCs w:val="24"/>
        </w:rPr>
        <w:t>3.</w:t>
      </w:r>
      <w:r>
        <w:rPr>
          <w:szCs w:val="24"/>
        </w:rPr>
        <w:tab/>
        <w:t>Notice to carry out full search of private land</w:t>
      </w:r>
      <w:r>
        <w:tab/>
      </w:r>
      <w:r>
        <w:fldChar w:fldCharType="begin"/>
      </w:r>
      <w:r>
        <w:instrText xml:space="preserve"> PAGEREF _Toc280613301 \h </w:instrText>
      </w:r>
      <w:r>
        <w:fldChar w:fldCharType="separate"/>
      </w:r>
      <w:r>
        <w:t>2</w:t>
      </w:r>
      <w:r>
        <w:fldChar w:fldCharType="end"/>
      </w:r>
    </w:p>
    <w:p>
      <w:pPr>
        <w:pStyle w:val="TOC8"/>
        <w:rPr>
          <w:sz w:val="24"/>
          <w:szCs w:val="24"/>
        </w:rPr>
      </w:pPr>
      <w:r>
        <w:rPr>
          <w:szCs w:val="24"/>
        </w:rPr>
        <w:t>4.</w:t>
      </w:r>
      <w:r>
        <w:rPr>
          <w:szCs w:val="24"/>
        </w:rPr>
        <w:tab/>
        <w:t>Notice to carry out surveillance search of private land</w:t>
      </w:r>
      <w:r>
        <w:tab/>
      </w:r>
      <w:r>
        <w:fldChar w:fldCharType="begin"/>
      </w:r>
      <w:r>
        <w:instrText xml:space="preserve"> PAGEREF _Toc280613302 \h </w:instrText>
      </w:r>
      <w:r>
        <w:fldChar w:fldCharType="separate"/>
      </w:r>
      <w:r>
        <w:t>3</w:t>
      </w:r>
      <w:r>
        <w:fldChar w:fldCharType="end"/>
      </w:r>
    </w:p>
    <w:p>
      <w:pPr>
        <w:pStyle w:val="TOC8"/>
        <w:rPr>
          <w:sz w:val="24"/>
          <w:szCs w:val="24"/>
        </w:rPr>
      </w:pPr>
      <w:r>
        <w:rPr>
          <w:szCs w:val="24"/>
        </w:rPr>
        <w:t>5.</w:t>
      </w:r>
      <w:r>
        <w:rPr>
          <w:szCs w:val="24"/>
        </w:rPr>
        <w:tab/>
        <w:t>Searches and recovery of costs</w:t>
      </w:r>
      <w:r>
        <w:tab/>
      </w:r>
      <w:r>
        <w:fldChar w:fldCharType="begin"/>
      </w:r>
      <w:r>
        <w:instrText xml:space="preserve"> PAGEREF _Toc280613303 \h </w:instrText>
      </w:r>
      <w:r>
        <w:fldChar w:fldCharType="separate"/>
      </w:r>
      <w:r>
        <w:t>4</w:t>
      </w:r>
      <w:r>
        <w:fldChar w:fldCharType="end"/>
      </w:r>
    </w:p>
    <w:p>
      <w:pPr>
        <w:pStyle w:val="TOC8"/>
        <w:rPr>
          <w:sz w:val="24"/>
          <w:szCs w:val="24"/>
        </w:rPr>
      </w:pPr>
      <w:r>
        <w:rPr>
          <w:szCs w:val="24"/>
        </w:rPr>
        <w:t>6.</w:t>
      </w:r>
      <w:r>
        <w:rPr>
          <w:szCs w:val="24"/>
        </w:rPr>
        <w:tab/>
        <w:t>Records of searches</w:t>
      </w:r>
      <w:r>
        <w:tab/>
      </w:r>
      <w:r>
        <w:fldChar w:fldCharType="begin"/>
      </w:r>
      <w:r>
        <w:instrText xml:space="preserve"> PAGEREF _Toc280613304 \h </w:instrText>
      </w:r>
      <w:r>
        <w:fldChar w:fldCharType="separate"/>
      </w:r>
      <w:r>
        <w:t>4</w:t>
      </w:r>
      <w:r>
        <w:fldChar w:fldCharType="end"/>
      </w:r>
    </w:p>
    <w:p>
      <w:pPr>
        <w:pStyle w:val="TOC2"/>
        <w:tabs>
          <w:tab w:val="right" w:leader="dot" w:pos="7078"/>
        </w:tabs>
        <w:rPr>
          <w:b w:val="0"/>
          <w:sz w:val="24"/>
          <w:szCs w:val="24"/>
        </w:rPr>
      </w:pPr>
      <w:r>
        <w:rPr>
          <w:szCs w:val="28"/>
        </w:rPr>
        <w:t>Schedule 1 — Prescribed plants and search protocols</w:t>
      </w:r>
    </w:p>
    <w:p>
      <w:pPr>
        <w:pStyle w:val="TOC4"/>
        <w:tabs>
          <w:tab w:val="right" w:leader="dot" w:pos="7078"/>
        </w:tabs>
        <w:rPr>
          <w:b w:val="0"/>
          <w:sz w:val="24"/>
          <w:szCs w:val="24"/>
        </w:rPr>
      </w:pPr>
      <w:r>
        <w:rPr>
          <w:szCs w:val="24"/>
        </w:rPr>
        <w:t>Division 1</w:t>
      </w:r>
      <w:r>
        <w:rPr>
          <w:b w:val="0"/>
          <w:szCs w:val="24"/>
        </w:rPr>
        <w:t> — </w:t>
      </w:r>
      <w:r>
        <w:rPr>
          <w:szCs w:val="24"/>
        </w:rPr>
        <w:t>Prescribed plants</w:t>
      </w:r>
    </w:p>
    <w:p>
      <w:pPr>
        <w:pStyle w:val="TOC4"/>
        <w:tabs>
          <w:tab w:val="right" w:leader="dot" w:pos="7078"/>
        </w:tabs>
        <w:rPr>
          <w:b w:val="0"/>
          <w:sz w:val="24"/>
          <w:szCs w:val="24"/>
        </w:rPr>
      </w:pPr>
      <w:r>
        <w:rPr>
          <w:szCs w:val="24"/>
        </w:rPr>
        <w:t>Division 2</w:t>
      </w:r>
      <w:r>
        <w:rPr>
          <w:b w:val="0"/>
          <w:szCs w:val="24"/>
        </w:rPr>
        <w:t> — </w:t>
      </w:r>
      <w:r>
        <w:rPr>
          <w:szCs w:val="24"/>
        </w:rPr>
        <w:t>Full search protocol</w:t>
      </w:r>
    </w:p>
    <w:p>
      <w:pPr>
        <w:pStyle w:val="TOC4"/>
        <w:tabs>
          <w:tab w:val="right" w:leader="dot" w:pos="7078"/>
        </w:tabs>
        <w:rPr>
          <w:b w:val="0"/>
          <w:sz w:val="24"/>
          <w:szCs w:val="24"/>
        </w:rPr>
      </w:pPr>
      <w:r>
        <w:rPr>
          <w:szCs w:val="24"/>
        </w:rPr>
        <w:t>Division 3</w:t>
      </w:r>
      <w:r>
        <w:rPr>
          <w:b w:val="0"/>
          <w:szCs w:val="24"/>
        </w:rPr>
        <w:t> — </w:t>
      </w:r>
      <w:r>
        <w:rPr>
          <w:szCs w:val="24"/>
        </w:rPr>
        <w:t>Surveillance search protocol</w:t>
      </w:r>
    </w:p>
    <w:p>
      <w:pPr>
        <w:pStyle w:val="TOC2"/>
        <w:tabs>
          <w:tab w:val="right" w:leader="dot" w:pos="7078"/>
        </w:tabs>
        <w:rPr>
          <w:b w:val="0"/>
          <w:sz w:val="24"/>
          <w:szCs w:val="24"/>
        </w:rPr>
      </w:pPr>
      <w:r>
        <w:rPr>
          <w:szCs w:val="28"/>
        </w:rPr>
        <w:t>Schedule 2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_Toc280613311 \h </w:instrText>
      </w:r>
      <w:r>
        <w:fldChar w:fldCharType="separate"/>
      </w:r>
      <w:r>
        <w:t>10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40084020"/>
      <w:bookmarkStart w:id="9" w:name="_Toc280613299"/>
      <w:r>
        <w:rPr>
          <w:rStyle w:val="CharSectno"/>
        </w:rPr>
        <w:t>1</w:t>
      </w:r>
      <w:r>
        <w:t>.</w:t>
      </w:r>
      <w:r>
        <w:tab/>
        <w:t>Citation</w:t>
      </w:r>
      <w:bookmarkEnd w:id="1"/>
      <w:bookmarkEnd w:id="2"/>
      <w:bookmarkEnd w:id="3"/>
      <w:bookmarkEnd w:id="4"/>
      <w:bookmarkEnd w:id="5"/>
      <w:bookmarkEnd w:id="6"/>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11" w:name="_Hlt30990498"/>
      <w:bookmarkStart w:id="12" w:name="_Toc40084021"/>
      <w:bookmarkStart w:id="13" w:name="_Toc280613300"/>
      <w:bookmarkEnd w:id="11"/>
      <w:r>
        <w:rPr>
          <w:rStyle w:val="CharSectno"/>
        </w:rPr>
        <w:t>2</w:t>
      </w:r>
      <w:r>
        <w:t>.</w:t>
      </w:r>
      <w:r>
        <w:tab/>
        <w:t>Interpretation</w:t>
      </w:r>
      <w:bookmarkEnd w:id="12"/>
      <w:bookmarkEnd w:id="13"/>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w:t>
      </w:r>
      <w:bookmarkStart w:id="14" w:name="_Hlt35337249"/>
      <w:r>
        <w:t>1</w:t>
      </w:r>
      <w:bookmarkEnd w:id="14"/>
      <w:r>
        <w:t xml:space="preserve"> Division </w:t>
      </w:r>
      <w:bookmarkStart w:id="15" w:name="_Hlt35337253"/>
      <w:r>
        <w:t>2</w:t>
      </w:r>
      <w:bookmarkEnd w:id="15"/>
      <w:r>
        <w:t>;</w:t>
      </w:r>
    </w:p>
    <w:p>
      <w:pPr>
        <w:pStyle w:val="Defstart"/>
      </w:pPr>
      <w:r>
        <w:rPr>
          <w:b/>
        </w:rPr>
        <w:tab/>
      </w:r>
      <w:r>
        <w:rPr>
          <w:rStyle w:val="CharDefText"/>
        </w:rPr>
        <w:t>prescribed plant</w:t>
      </w:r>
      <w:r>
        <w:t xml:space="preserve"> means a declared plant that is listed in Schedule </w:t>
      </w:r>
      <w:bookmarkStart w:id="16" w:name="_Hlt30923669"/>
      <w:r>
        <w:t>1</w:t>
      </w:r>
      <w:bookmarkEnd w:id="16"/>
      <w:r>
        <w:t xml:space="preserve"> Division </w:t>
      </w:r>
      <w:bookmarkStart w:id="17" w:name="_Hlt35337259"/>
      <w:r>
        <w:t>1</w:t>
      </w:r>
      <w:bookmarkEnd w:id="17"/>
      <w:r>
        <w:t>;</w:t>
      </w:r>
    </w:p>
    <w:p>
      <w:pPr>
        <w:pStyle w:val="Defstart"/>
      </w:pPr>
      <w:r>
        <w:rPr>
          <w:b/>
        </w:rPr>
        <w:tab/>
      </w:r>
      <w:r>
        <w:rPr>
          <w:rStyle w:val="CharDefText"/>
        </w:rPr>
        <w:t>search sheet</w:t>
      </w:r>
      <w:r>
        <w:t xml:space="preserve"> means Form 1 of Schedule </w:t>
      </w:r>
      <w:bookmarkStart w:id="18" w:name="_Hlt35338108"/>
      <w:r>
        <w:t>2</w:t>
      </w:r>
      <w:bookmarkEnd w:id="18"/>
      <w:r>
        <w:t>;</w:t>
      </w:r>
    </w:p>
    <w:p>
      <w:pPr>
        <w:pStyle w:val="Defstart"/>
      </w:pPr>
      <w:r>
        <w:rPr>
          <w:b/>
        </w:rPr>
        <w:tab/>
      </w:r>
      <w:r>
        <w:rPr>
          <w:rStyle w:val="CharDefText"/>
        </w:rPr>
        <w:t>surveillance search</w:t>
      </w:r>
      <w:r>
        <w:t xml:space="preserve"> means a search in accordance with the relevant surveillance search protocol specified in Schedule 1 Division </w:t>
      </w:r>
      <w:bookmarkStart w:id="19" w:name="_Hlt35337434"/>
      <w:r>
        <w:t>3</w:t>
      </w:r>
      <w:bookmarkEnd w:id="19"/>
      <w:r>
        <w:t>.</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20" w:name="_Hlt30996394"/>
      <w:bookmarkStart w:id="21" w:name="_Toc40084022"/>
      <w:bookmarkStart w:id="22" w:name="_Toc280613301"/>
      <w:bookmarkEnd w:id="20"/>
      <w:r>
        <w:rPr>
          <w:rStyle w:val="CharSectno"/>
        </w:rPr>
        <w:t>3</w:t>
      </w:r>
      <w:r>
        <w:t>.</w:t>
      </w:r>
      <w:r>
        <w:tab/>
        <w:t>Notice to carry out full search of private land</w:t>
      </w:r>
      <w:bookmarkEnd w:id="21"/>
      <w:bookmarkEnd w:id="22"/>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3" w:name="_Hlt30996397"/>
      <w:bookmarkStart w:id="24" w:name="_Toc40084023"/>
      <w:bookmarkStart w:id="25" w:name="_Toc280613302"/>
      <w:bookmarkEnd w:id="23"/>
      <w:r>
        <w:rPr>
          <w:rStyle w:val="CharSectno"/>
        </w:rPr>
        <w:t>4</w:t>
      </w:r>
      <w:r>
        <w:t>.</w:t>
      </w:r>
      <w:r>
        <w:tab/>
        <w:t>Notice to carry out surveillance search of private land</w:t>
      </w:r>
      <w:bookmarkEnd w:id="24"/>
      <w:bookmarkEnd w:id="25"/>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6" w:name="_Toc40084024"/>
      <w:bookmarkStart w:id="27" w:name="_Toc280613303"/>
      <w:r>
        <w:rPr>
          <w:rStyle w:val="CharSectno"/>
        </w:rPr>
        <w:t>5</w:t>
      </w:r>
      <w:r>
        <w:t>.</w:t>
      </w:r>
      <w:r>
        <w:tab/>
      </w:r>
      <w:bookmarkEnd w:id="26"/>
      <w:r>
        <w:t>Searches and recovery of costs</w:t>
      </w:r>
      <w:bookmarkEnd w:id="27"/>
    </w:p>
    <w:p>
      <w:pPr>
        <w:pStyle w:val="Subsection"/>
      </w:pPr>
      <w:r>
        <w:tab/>
      </w:r>
      <w:bookmarkStart w:id="28" w:name="_Hlt30996410"/>
      <w:bookmarkEnd w:id="28"/>
      <w:r>
        <w:t>(1)</w:t>
      </w:r>
      <w:r>
        <w:tab/>
        <w:t>Without affecting any proceeding against or liability of any owner or occupier under regulation </w:t>
      </w:r>
      <w:bookmarkStart w:id="29" w:name="_Hlt30996393"/>
      <w:r>
        <w:t>3</w:t>
      </w:r>
      <w:bookmarkEnd w:id="29"/>
      <w:r>
        <w:t xml:space="preserve"> or </w:t>
      </w:r>
      <w:bookmarkStart w:id="30" w:name="_Hlt30996396"/>
      <w:r>
        <w:t>4</w:t>
      </w:r>
      <w:bookmarkEnd w:id="30"/>
      <w:r>
        <w:t>, if an inspector is of the opinion that neither the owner nor the occupier of private land has complied with the direction contained in a notice served on either or both of them under regulation </w:t>
      </w:r>
      <w:bookmarkStart w:id="31" w:name="_Hlt30996399"/>
      <w:r>
        <w:t>3</w:t>
      </w:r>
      <w:bookmarkEnd w:id="31"/>
      <w:r>
        <w:t xml:space="preserve"> or </w:t>
      </w:r>
      <w:bookmarkStart w:id="32" w:name="_Hlt30996403"/>
      <w:r>
        <w:t>4</w:t>
      </w:r>
      <w:bookmarkEnd w:id="32"/>
      <w:r>
        <w:t>,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are a debt to the State due by the owner or occupier served with the notice (and if both are served, by them jointly and each of them severally); and</w:t>
      </w:r>
    </w:p>
    <w:p>
      <w:pPr>
        <w:pStyle w:val="Indenta"/>
      </w:pPr>
      <w:r>
        <w:tab/>
        <w:t>(b)</w:t>
      </w:r>
      <w:r>
        <w:tab/>
        <w:t>may be sued for and recovered by the Director General on behalf of the State in a court of competent jurisdiction.</w:t>
      </w:r>
    </w:p>
    <w:p>
      <w:pPr>
        <w:pStyle w:val="Footnotesection"/>
      </w:pPr>
      <w:r>
        <w:tab/>
        <w:t>[Regulation 5 amended in Gazette 17 Dec 2010 p. 6413.]</w:t>
      </w:r>
    </w:p>
    <w:p>
      <w:pPr>
        <w:pStyle w:val="Heading5"/>
      </w:pPr>
      <w:bookmarkStart w:id="33" w:name="_Toc40084025"/>
      <w:bookmarkStart w:id="34" w:name="_Toc280613304"/>
      <w:r>
        <w:rPr>
          <w:rStyle w:val="CharSectno"/>
        </w:rPr>
        <w:t>6</w:t>
      </w:r>
      <w:r>
        <w:t>.</w:t>
      </w:r>
      <w:r>
        <w:tab/>
        <w:t>Records of searches</w:t>
      </w:r>
      <w:bookmarkEnd w:id="33"/>
      <w:bookmarkEnd w:id="34"/>
    </w:p>
    <w:p>
      <w:pPr>
        <w:pStyle w:val="Subsection"/>
      </w:pPr>
      <w:r>
        <w:tab/>
        <w:t>(1)</w:t>
      </w:r>
      <w:r>
        <w:tab/>
        <w:t>An owner or occupier who has conducted a search in accordance with a notice under regulation </w:t>
      </w:r>
      <w:bookmarkStart w:id="35" w:name="_Hlt30996427"/>
      <w:r>
        <w:t>3</w:t>
      </w:r>
      <w:bookmarkEnd w:id="35"/>
      <w:r>
        <w:t xml:space="preserve"> or </w:t>
      </w:r>
      <w:bookmarkStart w:id="36" w:name="_Hlt30996432"/>
      <w:r>
        <w:t>4</w:t>
      </w:r>
      <w:bookmarkEnd w:id="36"/>
      <w:r>
        <w:t xml:space="preserve">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 w:name="_Toc40084026"/>
      <w:bookmarkStart w:id="38" w:name="_Toc280613305"/>
      <w:r>
        <w:rPr>
          <w:rStyle w:val="CharSchNo"/>
        </w:rPr>
        <w:t xml:space="preserve">Schedule </w:t>
      </w:r>
      <w:bookmarkStart w:id="39" w:name="_Hlt30923671"/>
      <w:bookmarkEnd w:id="39"/>
      <w:r>
        <w:rPr>
          <w:rStyle w:val="CharSchNo"/>
        </w:rPr>
        <w:t>1</w:t>
      </w:r>
      <w:r>
        <w:t xml:space="preserve"> —</w:t>
      </w:r>
      <w:bookmarkStart w:id="40" w:name="AutoSch"/>
      <w:bookmarkEnd w:id="40"/>
      <w:r>
        <w:t xml:space="preserve"> </w:t>
      </w:r>
      <w:r>
        <w:rPr>
          <w:rStyle w:val="CharSchText"/>
        </w:rPr>
        <w:t>Prescribed plants and search protocols</w:t>
      </w:r>
      <w:bookmarkEnd w:id="37"/>
      <w:bookmarkEnd w:id="38"/>
    </w:p>
    <w:p>
      <w:pPr>
        <w:pStyle w:val="yShoulderClause"/>
      </w:pPr>
      <w:r>
        <w:t>[r. </w:t>
      </w:r>
      <w:bookmarkStart w:id="41" w:name="_Hlt30990495"/>
      <w:r>
        <w:t>2</w:t>
      </w:r>
      <w:bookmarkEnd w:id="41"/>
      <w:r>
        <w:t>]</w:t>
      </w:r>
    </w:p>
    <w:p>
      <w:pPr>
        <w:pStyle w:val="yHeading3"/>
        <w:spacing w:before="200"/>
      </w:pPr>
      <w:bookmarkStart w:id="42" w:name="_Toc40084027"/>
      <w:bookmarkStart w:id="43" w:name="_Toc280613306"/>
      <w:r>
        <w:t xml:space="preserve">Division </w:t>
      </w:r>
      <w:bookmarkStart w:id="44" w:name="_Hlt35337261"/>
      <w:bookmarkEnd w:id="44"/>
      <w:r>
        <w:t>1</w:t>
      </w:r>
      <w:r>
        <w:rPr>
          <w:b w:val="0"/>
        </w:rPr>
        <w:t> — </w:t>
      </w:r>
      <w:r>
        <w:rPr>
          <w:rStyle w:val="CharDivText"/>
        </w:rPr>
        <w:t>Prescribed plants</w:t>
      </w:r>
      <w:bookmarkEnd w:id="42"/>
      <w:bookmarkEnd w:id="43"/>
    </w:p>
    <w:p>
      <w:pPr>
        <w:pStyle w:val="yNumberedItem"/>
        <w:spacing w:before="80"/>
      </w:pPr>
      <w:r>
        <w:tab/>
        <w:t>Skeleton weed (</w:t>
      </w:r>
      <w:r>
        <w:rPr>
          <w:i/>
        </w:rPr>
        <w:t>Chondrilla juncea</w:t>
      </w:r>
      <w:r>
        <w:t>)</w:t>
      </w:r>
    </w:p>
    <w:p>
      <w:pPr>
        <w:pStyle w:val="yHeading3"/>
        <w:spacing w:before="200"/>
      </w:pPr>
      <w:bookmarkStart w:id="45" w:name="_Toc40084028"/>
      <w:bookmarkStart w:id="46" w:name="_Toc280613307"/>
      <w:r>
        <w:t xml:space="preserve">Division </w:t>
      </w:r>
      <w:bookmarkStart w:id="47" w:name="_Hlt35337256"/>
      <w:bookmarkEnd w:id="47"/>
      <w:r>
        <w:t>2</w:t>
      </w:r>
      <w:r>
        <w:rPr>
          <w:b w:val="0"/>
        </w:rPr>
        <w:t> — </w:t>
      </w:r>
      <w:r>
        <w:rPr>
          <w:rStyle w:val="CharDivText"/>
        </w:rPr>
        <w:t>Full search protocol</w:t>
      </w:r>
      <w:bookmarkEnd w:id="45"/>
      <w:bookmarkEnd w:id="46"/>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NotesPerm"/>
        <w:tabs>
          <w:tab w:val="clear" w:pos="879"/>
          <w:tab w:val="left" w:pos="1049"/>
        </w:tabs>
        <w:ind w:left="1063" w:hanging="1063"/>
        <w:rPr>
          <w:sz w:val="16"/>
        </w:rPr>
      </w:pPr>
      <w:r>
        <w:rPr>
          <w:sz w:val="16"/>
        </w:rPr>
        <w:tab/>
        <w:t>Note: 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tab/>
      </w:r>
      <w:r>
        <w:rPr>
          <w:sz w:val="16"/>
        </w:rPr>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48" w:name="_Toc40084029"/>
      <w:bookmarkStart w:id="49" w:name="_Toc280613308"/>
      <w:r>
        <w:t xml:space="preserve">Division </w:t>
      </w:r>
      <w:bookmarkStart w:id="50" w:name="_Hlt35337437"/>
      <w:bookmarkEnd w:id="50"/>
      <w:r>
        <w:t>3</w:t>
      </w:r>
      <w:r>
        <w:rPr>
          <w:b w:val="0"/>
        </w:rPr>
        <w:t> — </w:t>
      </w:r>
      <w:r>
        <w:rPr>
          <w:rStyle w:val="CharDivText"/>
        </w:rPr>
        <w:t>Surveillance search protocol</w:t>
      </w:r>
      <w:bookmarkEnd w:id="48"/>
      <w:bookmarkEnd w:id="49"/>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NotesPerm"/>
        <w:tabs>
          <w:tab w:val="clear" w:pos="879"/>
          <w:tab w:val="left" w:pos="851"/>
          <w:tab w:val="left" w:pos="2127"/>
        </w:tabs>
        <w:ind w:left="1560" w:hanging="1560"/>
        <w:rPr>
          <w:sz w:val="16"/>
        </w:rPr>
      </w:pPr>
      <w:r>
        <w:tab/>
      </w:r>
      <w:r>
        <w:tab/>
      </w:r>
      <w:r>
        <w:rPr>
          <w:sz w:val="16"/>
        </w:rPr>
        <w:t>Note:</w:t>
      </w:r>
      <w:r>
        <w:rPr>
          <w:sz w:val="16"/>
        </w:rPr>
        <w:tab/>
        <w:t xml:space="preserve">Searching with 2 people at 20 km/h with 30 metre swaths will </w:t>
      </w:r>
      <w:r>
        <w:rPr>
          <w:sz w:val="16"/>
        </w:rPr>
        <w:tab/>
        <w:t>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rPr>
          <w:sz w:val="16"/>
        </w:rPr>
        <w:tab/>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51" w:name="_Toc40084030"/>
      <w:bookmarkStart w:id="52" w:name="_Toc280613309"/>
      <w:r>
        <w:rPr>
          <w:rStyle w:val="CharSchNo"/>
        </w:rPr>
        <w:t xml:space="preserve">Schedule </w:t>
      </w:r>
      <w:bookmarkStart w:id="53" w:name="_Hlt35338114"/>
      <w:bookmarkEnd w:id="53"/>
      <w:r>
        <w:rPr>
          <w:rStyle w:val="CharSchNo"/>
        </w:rPr>
        <w:t>2</w:t>
      </w:r>
      <w:r>
        <w:t> — </w:t>
      </w:r>
      <w:r>
        <w:rPr>
          <w:rStyle w:val="CharSchText"/>
        </w:rPr>
        <w:t>Forms</w:t>
      </w:r>
      <w:bookmarkEnd w:id="51"/>
      <w:bookmarkEnd w:id="52"/>
    </w:p>
    <w:p>
      <w:pPr>
        <w:pStyle w:val="yShoulderClause"/>
        <w:spacing w:before="0"/>
      </w:pPr>
      <w:r>
        <w:t>[r. </w:t>
      </w:r>
      <w:bookmarkStart w:id="54" w:name="_Hlt35161548"/>
      <w:r>
        <w:t>2</w:t>
      </w:r>
      <w:bookmarkEnd w:id="54"/>
      <w:r>
        <w:t>]</w:t>
      </w:r>
    </w:p>
    <w:p>
      <w:pPr>
        <w:pStyle w:val="yMiscellaneousHeading"/>
        <w:spacing w:before="80"/>
      </w:pPr>
      <w:r>
        <w:t>Form 1</w:t>
      </w:r>
    </w:p>
    <w:p>
      <w:pPr>
        <w:jc w:val="center"/>
      </w:pPr>
      <w:r>
        <w:rPr>
          <w:noProof/>
          <w:lang w:eastAsia="en-AU"/>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56" w:name="_Toc280613310"/>
      <w:r>
        <w:t>Notes</w:t>
      </w:r>
      <w:bookmarkEnd w:id="56"/>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 </w:t>
      </w:r>
      <w:r>
        <w:rPr>
          <w:snapToGrid w:val="0"/>
          <w:vertAlign w:val="superscript"/>
        </w:rPr>
        <w:t>1a</w:t>
      </w:r>
      <w:r>
        <w:rPr>
          <w:snapToGrid w:val="0"/>
        </w:rPr>
        <w:t>.</w:t>
      </w:r>
    </w:p>
    <w:p>
      <w:pPr>
        <w:pStyle w:val="nHeading3"/>
      </w:pPr>
      <w:bookmarkStart w:id="57" w:name="_Toc511102520"/>
      <w:bookmarkStart w:id="58" w:name="_Toc513888953"/>
      <w:bookmarkStart w:id="59" w:name="_Toc40084031"/>
      <w:bookmarkStart w:id="60" w:name="_Toc280613311"/>
      <w:r>
        <w:t>Compilation table</w:t>
      </w:r>
      <w:bookmarkEnd w:id="57"/>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tcBorders>
          </w:tcPr>
          <w:p>
            <w:pPr>
              <w:pStyle w:val="nTable"/>
            </w:pPr>
            <w:r>
              <w:t>7 May 2003 p. 1601-11</w:t>
            </w:r>
          </w:p>
        </w:tc>
        <w:tc>
          <w:tcPr>
            <w:tcW w:w="2693" w:type="dxa"/>
            <w:tcBorders>
              <w:top w:val="single" w:sz="8" w:space="0" w:color="auto"/>
            </w:tcBorders>
          </w:tcPr>
          <w:p>
            <w:pPr>
              <w:pStyle w:val="nTable"/>
            </w:pPr>
            <w:r>
              <w:t>7 May 2003</w:t>
            </w:r>
          </w:p>
        </w:tc>
      </w:tr>
      <w:tr>
        <w:tc>
          <w:tcPr>
            <w:tcW w:w="3119" w:type="dxa"/>
            <w:tcBorders>
              <w:bottom w:val="single" w:sz="8" w:space="0" w:color="auto"/>
            </w:tcBorders>
          </w:tcPr>
          <w:p>
            <w:pPr>
              <w:pStyle w:val="nTable"/>
              <w:rPr>
                <w:i/>
              </w:rPr>
            </w:pPr>
            <w:r>
              <w:rPr>
                <w:i/>
                <w:sz w:val="19"/>
              </w:rPr>
              <w:t>Agriculture and Related Resources Protection (Repeals and Amendments) Regulations 2010</w:t>
            </w:r>
            <w:r>
              <w:rPr>
                <w:sz w:val="19"/>
              </w:rPr>
              <w:t xml:space="preserve"> Pt. 4</w:t>
            </w:r>
          </w:p>
        </w:tc>
        <w:tc>
          <w:tcPr>
            <w:tcW w:w="1276" w:type="dxa"/>
            <w:tcBorders>
              <w:bottom w:val="single" w:sz="8" w:space="0" w:color="auto"/>
            </w:tcBorders>
          </w:tcPr>
          <w:p>
            <w:pPr>
              <w:pStyle w:val="nTable"/>
            </w:pPr>
            <w:r>
              <w:rPr>
                <w:sz w:val="19"/>
              </w:rPr>
              <w:t>17 Dec 2010 p. 6403-32</w:t>
            </w:r>
          </w:p>
        </w:tc>
        <w:tc>
          <w:tcPr>
            <w:tcW w:w="2693" w:type="dxa"/>
            <w:tcBorders>
              <w:bottom w:val="single" w:sz="8" w:space="0" w:color="auto"/>
            </w:tcBorders>
          </w:tcPr>
          <w:p>
            <w:pPr>
              <w:pStyle w:val="nTable"/>
              <w:rPr>
                <w:u w:val="words"/>
              </w:rPr>
            </w:pPr>
            <w:r>
              <w:rPr>
                <w:sz w:val="19"/>
              </w:rPr>
              <w:t xml:space="preserve">18 Dec 2010 (see r. 2(b) and </w:t>
            </w:r>
            <w:r>
              <w:rPr>
                <w:i/>
                <w:iCs/>
                <w:sz w:val="19"/>
              </w:rPr>
              <w:t>Gazette</w:t>
            </w:r>
            <w:r>
              <w:rPr>
                <w:sz w:val="19"/>
              </w:rPr>
              <w:t xml:space="preserve"> 17 Dec 2010 p. 6349)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 w:name="_Toc534778309"/>
      <w:bookmarkStart w:id="62" w:name="_Toc7405063"/>
      <w:bookmarkStart w:id="63" w:name="_Toc296601212"/>
      <w:bookmarkStart w:id="64" w:name="_Toc309727460"/>
      <w:r>
        <w:rPr>
          <w:snapToGrid w:val="0"/>
        </w:rPr>
        <w:t>Provisions that have not come into operation</w:t>
      </w:r>
      <w:bookmarkEnd w:id="61"/>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noProof/>
                <w:snapToGrid w:val="0"/>
              </w:rPr>
              <w:t>Biosecurity and Agriculture Management Regulations 2013</w:t>
            </w:r>
            <w:r>
              <w:rPr>
                <w:noProof/>
                <w:snapToGrid w:val="0"/>
              </w:rPr>
              <w:t xml:space="preserve"> r. 137(b) and 138 </w:t>
            </w:r>
            <w:r>
              <w:rPr>
                <w:noProof/>
                <w:snapToGrid w:val="0"/>
                <w:vertAlign w:val="superscript"/>
              </w:rPr>
              <w:t>2</w:t>
            </w:r>
          </w:p>
        </w:tc>
        <w:tc>
          <w:tcPr>
            <w:tcW w:w="1276" w:type="dxa"/>
          </w:tcPr>
          <w:p>
            <w:pPr>
              <w:pStyle w:val="nTable"/>
              <w:spacing w:after="40"/>
              <w:rPr>
                <w:sz w:val="19"/>
              </w:rPr>
            </w:pPr>
            <w:r>
              <w:rPr>
                <w:sz w:val="19"/>
              </w:rPr>
              <w:t>5 Feb 2013 p. 465</w:t>
            </w:r>
            <w:r>
              <w:rPr>
                <w:sz w:val="19"/>
              </w:rPr>
              <w:noBreakHyphen/>
              <w:t>591</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137(b) and 138 </w:t>
      </w:r>
      <w:r>
        <w:rPr>
          <w:snapToGrid w:val="0"/>
        </w:rPr>
        <w:t>had not come into operation.  They read as follows:</w:t>
      </w:r>
    </w:p>
    <w:p>
      <w:pPr>
        <w:pStyle w:val="BlankOpen"/>
        <w:rPr>
          <w:snapToGrid w:val="0"/>
        </w:rPr>
      </w:pPr>
    </w:p>
    <w:p>
      <w:pPr>
        <w:pStyle w:val="nzHeading5"/>
      </w:pPr>
      <w:bookmarkStart w:id="65" w:name="_Toc346111048"/>
      <w:r>
        <w:rPr>
          <w:rStyle w:val="CharSectno"/>
        </w:rPr>
        <w:t>137</w:t>
      </w:r>
      <w:r>
        <w:t>.</w:t>
      </w:r>
      <w:r>
        <w:tab/>
        <w:t>Regulations repealed</w:t>
      </w:r>
      <w:bookmarkEnd w:id="65"/>
    </w:p>
    <w:p>
      <w:pPr>
        <w:pStyle w:val="nzSubsection"/>
      </w:pPr>
      <w:r>
        <w:tab/>
      </w:r>
      <w:r>
        <w:tab/>
        <w:t>These regulations are repealed:</w:t>
      </w:r>
    </w:p>
    <w:p>
      <w:pPr>
        <w:pStyle w:val="nzIndenta"/>
      </w:pPr>
      <w:r>
        <w:tab/>
        <w:t>(b)</w:t>
      </w:r>
      <w:r>
        <w:tab/>
      </w:r>
      <w:r>
        <w:rPr>
          <w:i/>
        </w:rPr>
        <w:t>Agriculture and Related Resources (Searches for Declared Plants and Animals) Regulations 2003</w:t>
      </w:r>
      <w:r>
        <w:t>;</w:t>
      </w:r>
    </w:p>
    <w:p>
      <w:pPr>
        <w:pStyle w:val="BlankClose"/>
      </w:pPr>
    </w:p>
    <w:p>
      <w:pPr>
        <w:pStyle w:val="BlankClose"/>
      </w:pPr>
    </w:p>
    <w:p>
      <w:pPr>
        <w:pStyle w:val="nzHeading5"/>
      </w:pPr>
      <w:bookmarkStart w:id="66" w:name="_Toc346111049"/>
      <w:r>
        <w:rPr>
          <w:rStyle w:val="CharSectno"/>
        </w:rPr>
        <w:t>138</w:t>
      </w:r>
      <w:r>
        <w:t>.</w:t>
      </w:r>
      <w:r>
        <w:tab/>
        <w:t>Fees and expenses</w:t>
      </w:r>
      <w:bookmarkEnd w:id="66"/>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(Searches for Declared Plants and Animals)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Agriculture and Related Resources (Searches for Declared Plants and Animals) Regulations 2003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Agriculture and Related Resources (Searches for Declared Plants and Animals)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Agriculture and Related Resources (Searches for Declared Plants and Animals)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plants and search protocols</w:t>
            </w:r>
          </w:fldSimple>
        </w:p>
      </w:tc>
    </w:tr>
    <w:tr>
      <w:tc>
        <w:tcPr>
          <w:tcW w:w="1548" w:type="dxa"/>
        </w:tcPr>
        <w:p>
          <w:pPr>
            <w:pStyle w:val="HeaderNumberLeft"/>
            <w:rPr>
              <w:b w:val="0"/>
            </w:rPr>
          </w:pPr>
          <w:bookmarkStart w:id="55" w:name="UpToHere"/>
          <w:bookmarkEnd w:id="55"/>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vAlign w:val="bottom"/>
        </w:tcPr>
        <w:p>
          <w:pPr>
            <w:pStyle w:val="HeaderTextRight"/>
          </w:pPr>
          <w:fldSimple w:instr=" styleref CharSchText ">
            <w:r>
              <w:rPr>
                <w:noProof/>
              </w:rPr>
              <w:t>Prescribed plants and search protocols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CCB3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24C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8473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721D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B076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C891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2013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96CF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9A27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A1B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3ECB0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6E73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46464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F6061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2314</Words>
  <Characters>11087</Characters>
  <Application>Microsoft Office Word</Application>
  <DocSecurity>0</DocSecurity>
  <Lines>326</Lines>
  <Paragraphs>209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Prescribed plants and search protocols</vt:lpstr>
      <vt:lpstr>        Division 1 — Prescribed plants</vt:lpstr>
      <vt:lpstr>        Division 2 — Full search protocol</vt:lpstr>
      <vt:lpstr>        Division 3 — Surveillance search protocol</vt:lpstr>
      <vt:lpstr>    Schedule 2 — Forms</vt:lpstr>
      <vt:lpstr>    Notes</vt:lpstr>
    </vt:vector>
  </TitlesOfParts>
  <Manager/>
  <Company/>
  <LinksUpToDate>false</LinksUpToDate>
  <CharactersWithSpaces>13192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2003 - 00-c0-01</dc:title>
  <dc:subject/>
  <dc:creator/>
  <cp:keywords/>
  <dc:description/>
  <cp:lastModifiedBy>svcMRProcess</cp:lastModifiedBy>
  <cp:revision>4</cp:revision>
  <cp:lastPrinted>2003-05-07T07:18:00Z</cp:lastPrinted>
  <dcterms:created xsi:type="dcterms:W3CDTF">2018-09-10T02:17:00Z</dcterms:created>
  <dcterms:modified xsi:type="dcterms:W3CDTF">2018-09-10T02:17:00Z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20130205</vt:lpwstr>
  </property>
  <property fmtid="{D5CDD505-2E9C-101B-9397-08002B2CF9AE}" pid="4" name="DocumentType">
    <vt:lpwstr>Reg</vt:lpwstr>
  </property>
  <property fmtid="{D5CDD505-2E9C-101B-9397-08002B2CF9AE}" pid="5" name="AsAtDate">
    <vt:lpwstr>05 Feb 2013</vt:lpwstr>
  </property>
  <property fmtid="{D5CDD505-2E9C-101B-9397-08002B2CF9AE}" pid="6" name="Suffix">
    <vt:lpwstr>00-c0-01</vt:lpwstr>
  </property>
  <property fmtid="{D5CDD505-2E9C-101B-9397-08002B2CF9AE}" pid="7" name="ThisVersion">
    <vt:lpwstr>00-a0-06</vt:lpwstr>
  </property>
  <property fmtid="{D5CDD505-2E9C-101B-9397-08002B2CF9AE}" pid="8" name="OwlsUID">
    <vt:i4>8934</vt:i4>
  </property>
</Properties>
</file>