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Animal Welfare Act 2002</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Animal Welfare (General) Regulations 2003</w:t>
      </w:r>
      <w:r>
        <w:rPr>
          <w:sz w:val="48"/>
        </w:rPr>
        <w:fldChar w:fldCharType="end"/>
      </w:r>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_Toc347825088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_Toc347825089 \h </w:instrText>
      </w:r>
      <w:r>
        <w:fldChar w:fldCharType="separate"/>
      </w:r>
      <w:r>
        <w:t>1</w:t>
      </w:r>
      <w:r>
        <w:fldChar w:fldCharType="end"/>
      </w:r>
    </w:p>
    <w:p>
      <w:pPr>
        <w:pStyle w:val="TOC2"/>
        <w:tabs>
          <w:tab w:val="right" w:leader="dot" w:pos="7086"/>
        </w:tabs>
        <w:rPr>
          <w:b w:val="0"/>
          <w:sz w:val="24"/>
          <w:szCs w:val="24"/>
          <w:lang w:val="en-US"/>
        </w:rPr>
      </w:pPr>
      <w:r>
        <w:t>Part 2 — Offences against animals</w:t>
      </w:r>
    </w:p>
    <w:p>
      <w:pPr>
        <w:pStyle w:val="TOC8"/>
        <w:rPr>
          <w:sz w:val="24"/>
          <w:szCs w:val="24"/>
          <w:lang w:val="en-US"/>
        </w:rPr>
      </w:pPr>
      <w:r>
        <w:t>3.</w:t>
      </w:r>
      <w:r>
        <w:tab/>
        <w:t>Inhumane devices (s. 19(2)(b))</w:t>
      </w:r>
      <w:r>
        <w:tab/>
      </w:r>
      <w:r>
        <w:fldChar w:fldCharType="begin"/>
      </w:r>
      <w:r>
        <w:instrText xml:space="preserve"> PAGEREF _Toc347825091 \h </w:instrText>
      </w:r>
      <w:r>
        <w:fldChar w:fldCharType="separate"/>
      </w:r>
      <w:r>
        <w:t>2</w:t>
      </w:r>
      <w:r>
        <w:fldChar w:fldCharType="end"/>
      </w:r>
    </w:p>
    <w:p>
      <w:pPr>
        <w:pStyle w:val="TOC8"/>
        <w:rPr>
          <w:sz w:val="24"/>
          <w:szCs w:val="24"/>
          <w:lang w:val="en-US"/>
        </w:rPr>
      </w:pPr>
      <w:r>
        <w:t>4.</w:t>
      </w:r>
      <w:r>
        <w:tab/>
        <w:t>Prescribed acts (s. 19(2)(d) and (3)(b)(i))</w:t>
      </w:r>
      <w:r>
        <w:tab/>
      </w:r>
      <w:r>
        <w:fldChar w:fldCharType="begin"/>
      </w:r>
      <w:r>
        <w:instrText xml:space="preserve"> PAGEREF _Toc347825092 \h </w:instrText>
      </w:r>
      <w:r>
        <w:fldChar w:fldCharType="separate"/>
      </w:r>
      <w:r>
        <w:t>2</w:t>
      </w:r>
      <w:r>
        <w:fldChar w:fldCharType="end"/>
      </w:r>
    </w:p>
    <w:p>
      <w:pPr>
        <w:pStyle w:val="TOC8"/>
        <w:rPr>
          <w:sz w:val="24"/>
          <w:szCs w:val="24"/>
          <w:lang w:val="en-US"/>
        </w:rPr>
      </w:pPr>
      <w:r>
        <w:t>5.</w:t>
      </w:r>
      <w:r>
        <w:tab/>
        <w:t>Pests (s. 24(2))</w:t>
      </w:r>
      <w:r>
        <w:tab/>
      </w:r>
      <w:r>
        <w:fldChar w:fldCharType="begin"/>
      </w:r>
      <w:r>
        <w:instrText xml:space="preserve"> PAGEREF _Toc347825093 \h </w:instrText>
      </w:r>
      <w:r>
        <w:fldChar w:fldCharType="separate"/>
      </w:r>
      <w:r>
        <w:t>2</w:t>
      </w:r>
      <w:r>
        <w:fldChar w:fldCharType="end"/>
      </w:r>
    </w:p>
    <w:p>
      <w:pPr>
        <w:pStyle w:val="TOC8"/>
        <w:rPr>
          <w:sz w:val="24"/>
          <w:szCs w:val="24"/>
          <w:lang w:val="en-US"/>
        </w:rPr>
      </w:pPr>
      <w:r>
        <w:t>6.</w:t>
      </w:r>
      <w:r>
        <w:tab/>
        <w:t>Codes of practice adopted as defences (s. 25 and 94(2)(d))</w:t>
      </w:r>
      <w:r>
        <w:tab/>
      </w:r>
      <w:r>
        <w:fldChar w:fldCharType="begin"/>
      </w:r>
      <w:r>
        <w:instrText xml:space="preserve"> PAGEREF _Toc347825094 \h </w:instrText>
      </w:r>
      <w:r>
        <w:fldChar w:fldCharType="separate"/>
      </w:r>
      <w:r>
        <w:t>3</w:t>
      </w:r>
      <w:r>
        <w:fldChar w:fldCharType="end"/>
      </w:r>
    </w:p>
    <w:p>
      <w:pPr>
        <w:pStyle w:val="TOC8"/>
        <w:rPr>
          <w:sz w:val="24"/>
          <w:szCs w:val="24"/>
          <w:lang w:val="en-US"/>
        </w:rPr>
      </w:pPr>
      <w:r>
        <w:t>7.</w:t>
      </w:r>
      <w:r>
        <w:tab/>
        <w:t>Use of devices — electric shock (s. 29)</w:t>
      </w:r>
      <w:r>
        <w:tab/>
      </w:r>
      <w:r>
        <w:fldChar w:fldCharType="begin"/>
      </w:r>
      <w:r>
        <w:instrText xml:space="preserve"> PAGEREF _Toc347825095 \h </w:instrText>
      </w:r>
      <w:r>
        <w:fldChar w:fldCharType="separate"/>
      </w:r>
      <w:r>
        <w:t>3</w:t>
      </w:r>
      <w:r>
        <w:fldChar w:fldCharType="end"/>
      </w:r>
    </w:p>
    <w:p>
      <w:pPr>
        <w:pStyle w:val="TOC8"/>
        <w:rPr>
          <w:sz w:val="24"/>
          <w:szCs w:val="24"/>
          <w:lang w:val="en-US"/>
        </w:rPr>
      </w:pPr>
      <w:r>
        <w:t>8.</w:t>
      </w:r>
      <w:r>
        <w:tab/>
        <w:t>Use of devices — metal</w:t>
      </w:r>
      <w:r>
        <w:noBreakHyphen/>
        <w:t>jawed traps (s. 29)</w:t>
      </w:r>
      <w:r>
        <w:tab/>
      </w:r>
      <w:r>
        <w:fldChar w:fldCharType="begin"/>
      </w:r>
      <w:r>
        <w:instrText xml:space="preserve"> PAGEREF _Toc347825096 \h </w:instrText>
      </w:r>
      <w:r>
        <w:fldChar w:fldCharType="separate"/>
      </w:r>
      <w:r>
        <w:t>4</w:t>
      </w:r>
      <w:r>
        <w:fldChar w:fldCharType="end"/>
      </w:r>
    </w:p>
    <w:p>
      <w:pPr>
        <w:pStyle w:val="TOC2"/>
        <w:tabs>
          <w:tab w:val="right" w:leader="dot" w:pos="7086"/>
        </w:tabs>
        <w:rPr>
          <w:b w:val="0"/>
          <w:sz w:val="24"/>
          <w:szCs w:val="24"/>
          <w:lang w:val="en-US"/>
        </w:rPr>
      </w:pPr>
      <w:r>
        <w:t>Part 3 — Enforcement</w:t>
      </w:r>
    </w:p>
    <w:p>
      <w:pPr>
        <w:pStyle w:val="TOC8"/>
        <w:rPr>
          <w:sz w:val="24"/>
          <w:szCs w:val="24"/>
          <w:lang w:val="en-US"/>
        </w:rPr>
      </w:pPr>
      <w:r>
        <w:t>9.</w:t>
      </w:r>
      <w:r>
        <w:tab/>
        <w:t>Warrant (s. 61)</w:t>
      </w:r>
      <w:r>
        <w:tab/>
      </w:r>
      <w:r>
        <w:fldChar w:fldCharType="begin"/>
      </w:r>
      <w:r>
        <w:instrText xml:space="preserve"> PAGEREF _Toc347825098 \h </w:instrText>
      </w:r>
      <w:r>
        <w:fldChar w:fldCharType="separate"/>
      </w:r>
      <w:r>
        <w:t>7</w:t>
      </w:r>
      <w:r>
        <w:fldChar w:fldCharType="end"/>
      </w:r>
    </w:p>
    <w:p>
      <w:pPr>
        <w:pStyle w:val="TOC8"/>
        <w:rPr>
          <w:sz w:val="24"/>
          <w:szCs w:val="24"/>
          <w:lang w:val="en-US"/>
        </w:rPr>
      </w:pPr>
      <w:r>
        <w:t>10.</w:t>
      </w:r>
      <w:r>
        <w:tab/>
        <w:t>Objections (s. 72)</w:t>
      </w:r>
      <w:r>
        <w:tab/>
      </w:r>
      <w:r>
        <w:fldChar w:fldCharType="begin"/>
      </w:r>
      <w:r>
        <w:instrText xml:space="preserve"> PAGEREF _Toc347825099 \h </w:instrText>
      </w:r>
      <w:r>
        <w:fldChar w:fldCharType="separate"/>
      </w:r>
      <w:r>
        <w:t>7</w:t>
      </w:r>
      <w:r>
        <w:fldChar w:fldCharType="end"/>
      </w:r>
    </w:p>
    <w:p>
      <w:pPr>
        <w:pStyle w:val="TOC2"/>
        <w:tabs>
          <w:tab w:val="right" w:leader="dot" w:pos="7086"/>
        </w:tabs>
        <w:rPr>
          <w:b w:val="0"/>
          <w:sz w:val="24"/>
          <w:szCs w:val="24"/>
          <w:lang w:val="en-US"/>
        </w:rPr>
      </w:pPr>
      <w:r>
        <w:t>Part 4 — Miscellaneous</w:t>
      </w:r>
    </w:p>
    <w:p>
      <w:pPr>
        <w:pStyle w:val="TOC8"/>
        <w:rPr>
          <w:sz w:val="24"/>
          <w:szCs w:val="24"/>
          <w:lang w:val="en-US"/>
        </w:rPr>
      </w:pPr>
      <w:r>
        <w:t>12.</w:t>
      </w:r>
      <w:r>
        <w:tab/>
        <w:t>Disposal of forfeited property (s. 87)</w:t>
      </w:r>
      <w:r>
        <w:tab/>
      </w:r>
      <w:r>
        <w:fldChar w:fldCharType="begin"/>
      </w:r>
      <w:r>
        <w:instrText xml:space="preserve"> PAGEREF _Toc347825101 \h </w:instrText>
      </w:r>
      <w:r>
        <w:fldChar w:fldCharType="separate"/>
      </w:r>
      <w:r>
        <w:t>8</w:t>
      </w:r>
      <w:r>
        <w:fldChar w:fldCharType="end"/>
      </w:r>
    </w:p>
    <w:p>
      <w:pPr>
        <w:pStyle w:val="TOC8"/>
        <w:rPr>
          <w:sz w:val="24"/>
          <w:szCs w:val="24"/>
          <w:lang w:val="en-US"/>
        </w:rPr>
      </w:pPr>
      <w:r>
        <w:t>13.</w:t>
      </w:r>
      <w:r>
        <w:tab/>
        <w:t>Claim for compensation (s. 93)</w:t>
      </w:r>
      <w:r>
        <w:tab/>
      </w:r>
      <w:r>
        <w:fldChar w:fldCharType="begin"/>
      </w:r>
      <w:r>
        <w:instrText xml:space="preserve"> PAGEREF _Toc347825102 \h </w:instrText>
      </w:r>
      <w:r>
        <w:fldChar w:fldCharType="separate"/>
      </w:r>
      <w:r>
        <w:t>8</w:t>
      </w:r>
      <w:r>
        <w:fldChar w:fldCharType="end"/>
      </w:r>
    </w:p>
    <w:p>
      <w:pPr>
        <w:pStyle w:val="TOC8"/>
        <w:rPr>
          <w:sz w:val="24"/>
          <w:szCs w:val="24"/>
          <w:lang w:val="en-US"/>
        </w:rPr>
      </w:pPr>
      <w:r>
        <w:t>14.</w:t>
      </w:r>
      <w:r>
        <w:tab/>
        <w:t>Further offences (s. 94) — tail docking</w:t>
      </w:r>
      <w:r>
        <w:tab/>
      </w:r>
      <w:r>
        <w:fldChar w:fldCharType="begin"/>
      </w:r>
      <w:r>
        <w:instrText xml:space="preserve"> PAGEREF _Toc347825103 \h </w:instrText>
      </w:r>
      <w:r>
        <w:fldChar w:fldCharType="separate"/>
      </w:r>
      <w:r>
        <w:t>8</w:t>
      </w:r>
      <w:r>
        <w:fldChar w:fldCharType="end"/>
      </w:r>
    </w:p>
    <w:p>
      <w:pPr>
        <w:pStyle w:val="TOC2"/>
        <w:tabs>
          <w:tab w:val="right" w:leader="dot" w:pos="7086"/>
        </w:tabs>
        <w:rPr>
          <w:b w:val="0"/>
          <w:sz w:val="24"/>
          <w:szCs w:val="24"/>
          <w:lang w:val="en-US"/>
        </w:rPr>
      </w:pPr>
      <w:r>
        <w:lastRenderedPageBreak/>
        <w:t>Schedule 1 — Codes of practice</w:t>
      </w:r>
    </w:p>
    <w:p>
      <w:pPr>
        <w:pStyle w:val="TOC2"/>
        <w:tabs>
          <w:tab w:val="right" w:leader="dot" w:pos="7086"/>
        </w:tabs>
        <w:rPr>
          <w:b w:val="0"/>
          <w:sz w:val="24"/>
          <w:szCs w:val="24"/>
          <w:lang w:val="en-US"/>
        </w:rPr>
      </w:pPr>
      <w:r>
        <w:t>Schedule 2 — Forms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_Toc347825107 \h </w:instrText>
      </w:r>
      <w:r>
        <w:fldChar w:fldCharType="separate"/>
      </w:r>
      <w:r>
        <w:t>18</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_Toc347825108 \h </w:instrText>
      </w:r>
      <w:r>
        <w:fldChar w:fldCharType="separate"/>
      </w:r>
      <w:r>
        <w:t>19</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 w:name="_Toc92776380"/>
      <w:bookmarkStart w:id="2" w:name="_Toc92954501"/>
      <w:bookmarkStart w:id="3" w:name="_Toc138749189"/>
      <w:bookmarkStart w:id="4" w:name="_Toc138749254"/>
      <w:bookmarkStart w:id="5" w:name="_Toc138820187"/>
      <w:bookmarkStart w:id="6" w:name="_Toc169334561"/>
      <w:bookmarkStart w:id="7" w:name="_Toc169334645"/>
      <w:bookmarkStart w:id="8" w:name="_Toc169412172"/>
      <w:bookmarkStart w:id="9" w:name="_Toc201651535"/>
      <w:bookmarkStart w:id="10" w:name="_Toc202243926"/>
      <w:bookmarkStart w:id="11" w:name="_Toc202244204"/>
      <w:bookmarkStart w:id="12" w:name="_Toc205861798"/>
      <w:bookmarkStart w:id="13" w:name="_Toc206390851"/>
      <w:bookmarkStart w:id="14" w:name="_Toc254014634"/>
      <w:bookmarkStart w:id="15" w:name="_Toc254079305"/>
      <w:bookmarkStart w:id="16" w:name="_Toc256501353"/>
      <w:bookmarkStart w:id="17" w:name="_Toc256501459"/>
      <w:bookmarkStart w:id="18" w:name="_Toc34782508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19" w:name="_Toc423332722"/>
      <w:bookmarkStart w:id="20" w:name="_Toc425219441"/>
      <w:bookmarkStart w:id="21" w:name="_Toc426249308"/>
      <w:bookmarkStart w:id="22" w:name="_Toc449924704"/>
      <w:bookmarkStart w:id="23" w:name="_Toc449947722"/>
      <w:bookmarkStart w:id="24" w:name="_Toc454185713"/>
      <w:bookmarkStart w:id="25" w:name="_Toc515958686"/>
      <w:bookmarkStart w:id="26" w:name="_Toc138749190"/>
      <w:bookmarkStart w:id="27" w:name="_Toc347825088"/>
      <w:r>
        <w:rPr>
          <w:rStyle w:val="CharSectno"/>
        </w:rPr>
        <w:t>1</w:t>
      </w:r>
      <w:r>
        <w:t>.</w:t>
      </w:r>
      <w:r>
        <w:tab/>
        <w:t>Citation</w:t>
      </w:r>
      <w:bookmarkEnd w:id="19"/>
      <w:bookmarkEnd w:id="20"/>
      <w:bookmarkEnd w:id="21"/>
      <w:bookmarkEnd w:id="22"/>
      <w:bookmarkEnd w:id="23"/>
      <w:bookmarkEnd w:id="24"/>
      <w:bookmarkEnd w:id="25"/>
      <w:bookmarkEnd w:id="26"/>
      <w:bookmarkEnd w:id="27"/>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28" w:name="_Toc138749191"/>
      <w:bookmarkStart w:id="29" w:name="_Toc347825089"/>
      <w:bookmarkStart w:id="30" w:name="_Toc32989668"/>
      <w:bookmarkStart w:id="31" w:name="_Toc33930205"/>
      <w:r>
        <w:rPr>
          <w:rStyle w:val="CharSectno"/>
        </w:rPr>
        <w:t>2</w:t>
      </w:r>
      <w:r>
        <w:t>.</w:t>
      </w:r>
      <w:r>
        <w:tab/>
        <w:t>Commencement</w:t>
      </w:r>
      <w:bookmarkEnd w:id="28"/>
      <w:bookmarkEnd w:id="29"/>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32" w:name="_Toc92776383"/>
      <w:bookmarkStart w:id="33" w:name="_Toc92954504"/>
      <w:bookmarkStart w:id="34" w:name="_Toc138749192"/>
      <w:bookmarkStart w:id="35" w:name="_Toc138749257"/>
      <w:bookmarkStart w:id="36" w:name="_Toc138820190"/>
      <w:bookmarkStart w:id="37" w:name="_Toc169334564"/>
      <w:bookmarkStart w:id="38" w:name="_Toc169334648"/>
      <w:bookmarkStart w:id="39" w:name="_Toc169412175"/>
      <w:bookmarkStart w:id="40" w:name="_Toc201651538"/>
      <w:bookmarkStart w:id="41" w:name="_Toc202243929"/>
      <w:bookmarkStart w:id="42" w:name="_Toc202244207"/>
      <w:bookmarkStart w:id="43" w:name="_Toc205861801"/>
      <w:bookmarkStart w:id="44" w:name="_Toc206390854"/>
      <w:bookmarkStart w:id="45" w:name="_Toc254014637"/>
      <w:bookmarkStart w:id="46" w:name="_Toc254079308"/>
      <w:bookmarkStart w:id="47" w:name="_Toc256501356"/>
      <w:bookmarkStart w:id="48" w:name="_Toc256501462"/>
      <w:bookmarkStart w:id="49" w:name="_Toc347825090"/>
      <w:bookmarkEnd w:id="30"/>
      <w:bookmarkEnd w:id="31"/>
      <w:r>
        <w:rPr>
          <w:rStyle w:val="CharPartNo"/>
        </w:rPr>
        <w:t>Part 2</w:t>
      </w:r>
      <w:r>
        <w:rPr>
          <w:rStyle w:val="CharDivNo"/>
        </w:rPr>
        <w:t xml:space="preserve"> </w:t>
      </w:r>
      <w:r>
        <w:t>—</w:t>
      </w:r>
      <w:r>
        <w:rPr>
          <w:rStyle w:val="CharDivText"/>
        </w:rPr>
        <w:t xml:space="preserve"> </w:t>
      </w:r>
      <w:r>
        <w:rPr>
          <w:rStyle w:val="CharPartText"/>
        </w:rPr>
        <w:t>Offences against animals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0" w:name="_Toc25638009"/>
      <w:bookmarkStart w:id="51" w:name="_Toc138749193"/>
      <w:bookmarkStart w:id="52" w:name="_Toc347825091"/>
      <w:r>
        <w:rPr>
          <w:rStyle w:val="CharSectno"/>
        </w:rPr>
        <w:t>3</w:t>
      </w:r>
      <w:r>
        <w:t>.</w:t>
      </w:r>
      <w:r>
        <w:tab/>
        <w:t>Inhumane devices (s. 19(2)(b))</w:t>
      </w:r>
      <w:bookmarkEnd w:id="50"/>
      <w:bookmarkEnd w:id="51"/>
      <w:bookmarkEnd w:id="52"/>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53" w:name="_Hlt35656647"/>
      <w:bookmarkStart w:id="54" w:name="_Toc138749194"/>
      <w:bookmarkStart w:id="55" w:name="_Toc347825092"/>
      <w:bookmarkEnd w:id="53"/>
      <w:r>
        <w:rPr>
          <w:rStyle w:val="CharSectno"/>
        </w:rPr>
        <w:t>4</w:t>
      </w:r>
      <w:r>
        <w:t>.</w:t>
      </w:r>
      <w:r>
        <w:tab/>
        <w:t>Prescribed acts (s. 19(2)(d) and (3)(b)(i))</w:t>
      </w:r>
      <w:bookmarkEnd w:id="54"/>
      <w:bookmarkEnd w:id="55"/>
    </w:p>
    <w:p>
      <w:pPr>
        <w:pStyle w:val="Subsection"/>
      </w:pPr>
      <w:r>
        <w:tab/>
      </w:r>
      <w:r>
        <w:tab/>
        <w:t>The administration of an electric shock to an animal in a manner that is not set out in regulation </w:t>
      </w:r>
      <w:bookmarkStart w:id="56" w:name="_Hlt35657286"/>
      <w:r>
        <w:t>7</w:t>
      </w:r>
      <w:bookmarkEnd w:id="56"/>
      <w:r>
        <w:t xml:space="preserve"> is a prescribed act for the purposes of section 19(2)(d) and (3)(b)(i) of the Act.</w:t>
      </w:r>
    </w:p>
    <w:p>
      <w:pPr>
        <w:pStyle w:val="Heading5"/>
      </w:pPr>
      <w:bookmarkStart w:id="57" w:name="_Toc138749195"/>
      <w:bookmarkStart w:id="58" w:name="_Toc347825093"/>
      <w:r>
        <w:rPr>
          <w:rStyle w:val="CharSectno"/>
        </w:rPr>
        <w:t>5</w:t>
      </w:r>
      <w:r>
        <w:t>.</w:t>
      </w:r>
      <w:r>
        <w:tab/>
        <w:t>Pests (s. 24(2))</w:t>
      </w:r>
      <w:bookmarkEnd w:id="57"/>
      <w:bookmarkEnd w:id="58"/>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59" w:name="_Toc138749196"/>
      <w:bookmarkStart w:id="60" w:name="_Toc347825094"/>
      <w:r>
        <w:rPr>
          <w:rStyle w:val="CharSectno"/>
        </w:rPr>
        <w:t>6</w:t>
      </w:r>
      <w:r>
        <w:t>.</w:t>
      </w:r>
      <w:r>
        <w:tab/>
        <w:t>Codes of practice adopted as defences (s. 25 and 94(2)(d))</w:t>
      </w:r>
      <w:bookmarkEnd w:id="59"/>
      <w:bookmarkEnd w:id="60"/>
    </w:p>
    <w:p>
      <w:pPr>
        <w:pStyle w:val="Subsection"/>
        <w:spacing w:before="120"/>
      </w:pPr>
      <w:r>
        <w:tab/>
      </w:r>
      <w:r>
        <w:tab/>
        <w:t>The codes of practice relating to the use, care, welfare, safety or health of animals set out in Schedule </w:t>
      </w:r>
      <w:bookmarkStart w:id="61" w:name="_Hlt35657019"/>
      <w:r>
        <w:t>1</w:t>
      </w:r>
      <w:bookmarkEnd w:id="61"/>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62" w:name="_Toc138749197"/>
      <w:bookmarkStart w:id="63" w:name="_Toc347825095"/>
      <w:r>
        <w:rPr>
          <w:rStyle w:val="CharSectno"/>
        </w:rPr>
        <w:t>7</w:t>
      </w:r>
      <w:r>
        <w:t>.</w:t>
      </w:r>
      <w:r>
        <w:tab/>
        <w:t>Use of devices — electric shock (s. 29)</w:t>
      </w:r>
      <w:bookmarkEnd w:id="62"/>
      <w:bookmarkEnd w:id="63"/>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64" w:name="_Toc138749198"/>
      <w:bookmarkStart w:id="65" w:name="_Toc347825096"/>
      <w:r>
        <w:rPr>
          <w:rStyle w:val="CharSectno"/>
        </w:rPr>
        <w:t>8</w:t>
      </w:r>
      <w:r>
        <w:t>.</w:t>
      </w:r>
      <w:r>
        <w:tab/>
        <w:t>Use of devices — metal</w:t>
      </w:r>
      <w:r>
        <w:noBreakHyphen/>
        <w:t>jawed traps (s. 29)</w:t>
      </w:r>
      <w:bookmarkEnd w:id="64"/>
      <w:bookmarkEnd w:id="65"/>
    </w:p>
    <w:p>
      <w:pPr>
        <w:pStyle w:val="Subsection"/>
      </w:pPr>
      <w:r>
        <w:tab/>
      </w:r>
      <w:bookmarkStart w:id="66" w:name="_Hlt35656714"/>
      <w:bookmarkEnd w:id="66"/>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67" w:name="_Hlt35656765"/>
      <w:bookmarkEnd w:id="67"/>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68" w:name="_Hlt35656840"/>
      <w:bookmarkEnd w:id="68"/>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69" w:name="_Toc92776390"/>
      <w:bookmarkStart w:id="70" w:name="_Toc92954511"/>
      <w:bookmarkStart w:id="71" w:name="_Toc138749199"/>
      <w:bookmarkStart w:id="72" w:name="_Toc138749264"/>
      <w:bookmarkStart w:id="73" w:name="_Toc138820197"/>
      <w:bookmarkStart w:id="74" w:name="_Toc169334571"/>
      <w:bookmarkStart w:id="75" w:name="_Toc169334655"/>
      <w:bookmarkStart w:id="76" w:name="_Toc169412182"/>
      <w:bookmarkStart w:id="77" w:name="_Toc201651545"/>
      <w:bookmarkStart w:id="78" w:name="_Toc202243936"/>
      <w:bookmarkStart w:id="79" w:name="_Toc202244214"/>
      <w:bookmarkStart w:id="80" w:name="_Toc205861808"/>
      <w:bookmarkStart w:id="81" w:name="_Toc206390861"/>
      <w:bookmarkStart w:id="82" w:name="_Toc254014644"/>
      <w:bookmarkStart w:id="83" w:name="_Toc254079315"/>
      <w:bookmarkStart w:id="84" w:name="_Toc256501363"/>
      <w:bookmarkStart w:id="85" w:name="_Toc256501469"/>
      <w:bookmarkStart w:id="86" w:name="_Toc347825097"/>
      <w:r>
        <w:rPr>
          <w:rStyle w:val="CharPartNo"/>
        </w:rPr>
        <w:t>Part 3</w:t>
      </w:r>
      <w:r>
        <w:rPr>
          <w:rStyle w:val="CharDivNo"/>
        </w:rPr>
        <w:t> </w:t>
      </w:r>
      <w:r>
        <w:t>—</w:t>
      </w:r>
      <w:r>
        <w:rPr>
          <w:rStyle w:val="CharDivText"/>
        </w:rPr>
        <w:t> </w:t>
      </w:r>
      <w:r>
        <w:rPr>
          <w:rStyle w:val="CharPartText"/>
        </w:rPr>
        <w:t>Enforcement</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Hlt35420748"/>
      <w:bookmarkStart w:id="88" w:name="_Hlt35420875"/>
      <w:bookmarkStart w:id="89" w:name="_Toc138749200"/>
      <w:bookmarkStart w:id="90" w:name="_Toc347825098"/>
      <w:bookmarkEnd w:id="87"/>
      <w:bookmarkEnd w:id="88"/>
      <w:r>
        <w:rPr>
          <w:rStyle w:val="CharSectno"/>
        </w:rPr>
        <w:t>9</w:t>
      </w:r>
      <w:r>
        <w:t>.</w:t>
      </w:r>
      <w:r>
        <w:tab/>
        <w:t>Warrant (s. 61)</w:t>
      </w:r>
      <w:bookmarkEnd w:id="89"/>
      <w:bookmarkEnd w:id="90"/>
    </w:p>
    <w:p>
      <w:pPr>
        <w:pStyle w:val="Subsection"/>
      </w:pPr>
      <w:r>
        <w:tab/>
      </w:r>
      <w:r>
        <w:tab/>
        <w:t>The form of a warrant is Form 1 in Schedule 2.</w:t>
      </w:r>
    </w:p>
    <w:p>
      <w:pPr>
        <w:pStyle w:val="Heading5"/>
      </w:pPr>
      <w:bookmarkStart w:id="91" w:name="_Toc138749201"/>
      <w:bookmarkStart w:id="92" w:name="_Toc347825099"/>
      <w:r>
        <w:rPr>
          <w:rStyle w:val="CharSectno"/>
        </w:rPr>
        <w:t>10</w:t>
      </w:r>
      <w:r>
        <w:t>.</w:t>
      </w:r>
      <w:r>
        <w:tab/>
        <w:t>Objections (s. 72)</w:t>
      </w:r>
      <w:bookmarkEnd w:id="91"/>
      <w:bookmarkEnd w:id="92"/>
    </w:p>
    <w:p>
      <w:pPr>
        <w:pStyle w:val="Subsection"/>
      </w:pPr>
      <w:r>
        <w:tab/>
      </w:r>
      <w:r>
        <w:tab/>
        <w:t>An objection under section 72 of the Act is to be made by completing Form 2 in Schedule </w:t>
      </w:r>
      <w:bookmarkStart w:id="93" w:name="_Hlt35657081"/>
      <w:r>
        <w:t>2</w:t>
      </w:r>
      <w:bookmarkEnd w:id="93"/>
      <w:r>
        <w:t xml:space="preserve"> and lodging that completed form with the Minister within the time period set out in the Act.</w:t>
      </w:r>
    </w:p>
    <w:p>
      <w:pPr>
        <w:pStyle w:val="Ednotesection"/>
      </w:pPr>
      <w:bookmarkStart w:id="94" w:name="_Hlt35421163"/>
      <w:bookmarkEnd w:id="94"/>
      <w:r>
        <w:t>[</w:t>
      </w:r>
      <w:r>
        <w:rPr>
          <w:b/>
          <w:bCs/>
        </w:rPr>
        <w:t>11.</w:t>
      </w:r>
      <w:r>
        <w:tab/>
        <w:t>Deleted in Gazette 30 Dec 2004 p. 7010.]</w:t>
      </w:r>
    </w:p>
    <w:p>
      <w:pPr>
        <w:pStyle w:val="Heading2"/>
      </w:pPr>
      <w:bookmarkStart w:id="95" w:name="_Toc92776394"/>
      <w:bookmarkStart w:id="96" w:name="_Toc92954514"/>
      <w:bookmarkStart w:id="97" w:name="_Toc138749202"/>
      <w:bookmarkStart w:id="98" w:name="_Toc138749267"/>
      <w:bookmarkStart w:id="99" w:name="_Toc138820200"/>
      <w:bookmarkStart w:id="100" w:name="_Toc169334574"/>
      <w:bookmarkStart w:id="101" w:name="_Toc169334658"/>
      <w:bookmarkStart w:id="102" w:name="_Toc169412185"/>
      <w:bookmarkStart w:id="103" w:name="_Toc201651548"/>
      <w:bookmarkStart w:id="104" w:name="_Toc202243939"/>
      <w:bookmarkStart w:id="105" w:name="_Toc202244217"/>
      <w:bookmarkStart w:id="106" w:name="_Toc205861811"/>
      <w:bookmarkStart w:id="107" w:name="_Toc206390864"/>
      <w:bookmarkStart w:id="108" w:name="_Toc254014647"/>
      <w:bookmarkStart w:id="109" w:name="_Toc254079318"/>
      <w:bookmarkStart w:id="110" w:name="_Toc256501366"/>
      <w:bookmarkStart w:id="111" w:name="_Toc256501472"/>
      <w:bookmarkStart w:id="112" w:name="_Toc347825100"/>
      <w:r>
        <w:rPr>
          <w:rStyle w:val="CharPartNo"/>
        </w:rPr>
        <w:t>Part 4</w:t>
      </w:r>
      <w:r>
        <w:rPr>
          <w:rStyle w:val="CharDivNo"/>
        </w:rPr>
        <w:t> </w:t>
      </w:r>
      <w:r>
        <w:t>—</w:t>
      </w:r>
      <w:r>
        <w:rPr>
          <w:rStyle w:val="CharDivText"/>
        </w:rPr>
        <w:t> </w:t>
      </w:r>
      <w:r>
        <w:rPr>
          <w:rStyle w:val="CharPartText"/>
        </w:rPr>
        <w:t>Miscellaneous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Hlt33237919"/>
      <w:bookmarkStart w:id="114" w:name="_Toc138749203"/>
      <w:bookmarkStart w:id="115" w:name="_Toc347825101"/>
      <w:bookmarkStart w:id="116" w:name="_Toc32989671"/>
      <w:bookmarkStart w:id="117" w:name="_Toc33930210"/>
      <w:bookmarkEnd w:id="113"/>
      <w:r>
        <w:rPr>
          <w:rStyle w:val="CharSectno"/>
        </w:rPr>
        <w:t>12</w:t>
      </w:r>
      <w:r>
        <w:t>.</w:t>
      </w:r>
      <w:r>
        <w:tab/>
        <w:t>Disposal of forfeited property (s. 87)</w:t>
      </w:r>
      <w:bookmarkEnd w:id="114"/>
      <w:bookmarkEnd w:id="115"/>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18" w:name="_Toc138749204"/>
      <w:bookmarkStart w:id="119" w:name="_Toc347825102"/>
      <w:r>
        <w:rPr>
          <w:rStyle w:val="CharSectno"/>
        </w:rPr>
        <w:t>13</w:t>
      </w:r>
      <w:r>
        <w:t>.</w:t>
      </w:r>
      <w:r>
        <w:tab/>
        <w:t>Claim for compensation (s. 93)</w:t>
      </w:r>
      <w:bookmarkEnd w:id="118"/>
      <w:bookmarkEnd w:id="119"/>
    </w:p>
    <w:p>
      <w:pPr>
        <w:pStyle w:val="Subsection"/>
      </w:pPr>
      <w:r>
        <w:tab/>
      </w:r>
      <w:r>
        <w:tab/>
        <w:t>A claim for compensation under section 93 of the Act is to be made by completing Form 4 in Schedule </w:t>
      </w:r>
      <w:bookmarkStart w:id="120" w:name="_Hlt35657112"/>
      <w:r>
        <w:t>2</w:t>
      </w:r>
      <w:bookmarkEnd w:id="120"/>
      <w:r>
        <w:t xml:space="preserve"> and lodging that completed form with the Minister within the time period set out in the Act.</w:t>
      </w:r>
    </w:p>
    <w:p>
      <w:pPr>
        <w:pStyle w:val="Heading5"/>
      </w:pPr>
      <w:bookmarkStart w:id="121" w:name="_Toc138749205"/>
      <w:bookmarkStart w:id="122" w:name="_Toc347825103"/>
      <w:r>
        <w:rPr>
          <w:rStyle w:val="CharSectno"/>
        </w:rPr>
        <w:t>14</w:t>
      </w:r>
      <w:r>
        <w:t>.</w:t>
      </w:r>
      <w:r>
        <w:tab/>
        <w:t>Further offences (s. 94) — tail docking</w:t>
      </w:r>
      <w:bookmarkEnd w:id="121"/>
      <w:bookmarkEnd w:id="122"/>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bookmarkStart w:id="123" w:name="_Toc33953094"/>
      <w:bookmarkEnd w:id="116"/>
      <w:bookmarkEnd w:id="117"/>
      <w:r>
        <w:tab/>
        <w:t>[Regulation 14 amended in Gazette 16 Mar 2010 p. 978.]</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24" w:name="_Toc138749206"/>
      <w:bookmarkStart w:id="125" w:name="_Toc138749271"/>
      <w:bookmarkStart w:id="126" w:name="_Toc138820204"/>
      <w:bookmarkStart w:id="127" w:name="_Toc169334578"/>
      <w:bookmarkStart w:id="128" w:name="_Toc169334662"/>
      <w:bookmarkStart w:id="129" w:name="_Toc169412189"/>
      <w:bookmarkStart w:id="130" w:name="_Toc201651552"/>
      <w:bookmarkStart w:id="131" w:name="_Toc202243943"/>
      <w:bookmarkStart w:id="132" w:name="_Toc202244221"/>
      <w:bookmarkStart w:id="133" w:name="_Toc205861815"/>
      <w:bookmarkStart w:id="134" w:name="_Toc206390868"/>
      <w:bookmarkStart w:id="135" w:name="_Toc254014651"/>
      <w:bookmarkStart w:id="136" w:name="_Toc254079322"/>
      <w:bookmarkStart w:id="137" w:name="_Toc256501370"/>
      <w:bookmarkStart w:id="138" w:name="_Toc256501476"/>
      <w:bookmarkStart w:id="139" w:name="_Toc347825104"/>
      <w:r>
        <w:rPr>
          <w:rStyle w:val="CharSchNo"/>
        </w:rPr>
        <w:t>Schedule 1</w:t>
      </w:r>
      <w:r>
        <w:t> — </w:t>
      </w:r>
      <w:r>
        <w:rPr>
          <w:rStyle w:val="CharSchText"/>
        </w:rPr>
        <w:t>Codes of practice</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bookmarkEnd w:id="123"/>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smartTag w:uri="urn:schemas-microsoft-com:office:smarttags" w:element="City">
              <w:r>
                <w:t>Buffalo</w:t>
              </w:r>
            </w:smartTag>
            <w:r>
              <w:t xml:space="preserve"> — Code of practice for farmed buffalo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r>
              <w:rPr>
                <w:i/>
              </w:rPr>
              <w:tab/>
              <w:t>deleted]</w:t>
            </w:r>
          </w:p>
        </w:tc>
      </w:tr>
      <w:tr>
        <w:tc>
          <w:tcPr>
            <w:tcW w:w="873" w:type="dxa"/>
          </w:tcPr>
          <w:p>
            <w:pPr>
              <w:pStyle w:val="yTableNAm"/>
            </w:pPr>
            <w:r>
              <w:t>5.</w:t>
            </w:r>
          </w:p>
        </w:tc>
        <w:tc>
          <w:tcPr>
            <w:tcW w:w="5790" w:type="dxa"/>
            <w:gridSpan w:val="2"/>
          </w:tcPr>
          <w:p>
            <w:pPr>
              <w:pStyle w:val="yTableNAm"/>
            </w:pPr>
            <w:r>
              <w:t xml:space="preserve">Cattle Transportation — Code of practice for the transportation of cattle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 xml:space="preserve">Circuses — Code of practice for the conduct of circuses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 xml:space="preserve">Deer — Code of practice for farming deer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t>deleted]</w:t>
            </w:r>
          </w:p>
        </w:tc>
      </w:tr>
      <w:tr>
        <w:tc>
          <w:tcPr>
            <w:tcW w:w="873" w:type="dxa"/>
          </w:tcPr>
          <w:p>
            <w:pPr>
              <w:pStyle w:val="yTableNAm"/>
            </w:pPr>
            <w:r>
              <w:t>9.</w:t>
            </w:r>
          </w:p>
        </w:tc>
        <w:tc>
          <w:tcPr>
            <w:tcW w:w="5790" w:type="dxa"/>
            <w:gridSpan w:val="2"/>
          </w:tcPr>
          <w:p>
            <w:pPr>
              <w:pStyle w:val="yTableNAm"/>
            </w:pPr>
            <w:r>
              <w:t xml:space="preserve">Exhibited Animals — Code of practice for exhibited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 xml:space="preserve">Feral Animals — Code of practice for the capture and marketing of feral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 xml:space="preserve">Goats — Code of practice for goats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 xml:space="preserve">Horse Transportation — Code of practice for the transportation of horses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12DA.</w:t>
            </w:r>
          </w:p>
        </w:tc>
        <w:tc>
          <w:tcPr>
            <w:tcW w:w="5790" w:type="dxa"/>
            <w:gridSpan w:val="2"/>
          </w:tcPr>
          <w:p>
            <w:pPr>
              <w:pStyle w:val="yTableNAm"/>
            </w:pPr>
            <w:r>
              <w:t>Model Code of Practice for the Welfare of Animals: Livestock at Slaughtering Establishments</w:t>
            </w:r>
          </w:p>
        </w:tc>
      </w:tr>
      <w:tr>
        <w:tc>
          <w:tcPr>
            <w:tcW w:w="1113" w:type="dxa"/>
            <w:gridSpan w:val="2"/>
          </w:tcPr>
          <w:p>
            <w:pPr>
              <w:pStyle w:val="yTableNAm"/>
            </w:pPr>
          </w:p>
        </w:tc>
        <w:tc>
          <w:tcPr>
            <w:tcW w:w="5550" w:type="dxa"/>
          </w:tcPr>
          <w:p>
            <w:pPr>
              <w:pStyle w:val="yTableNAm"/>
              <w:rPr>
                <w:i/>
              </w:rPr>
            </w:pPr>
            <w:r>
              <w:rPr>
                <w:i/>
                <w:iCs/>
              </w:rPr>
              <w:t>First published in 2001 (paperback) and 2002 (on</w:t>
            </w:r>
            <w:r>
              <w:rPr>
                <w:i/>
                <w:iCs/>
              </w:rPr>
              <w:noBreakHyphen/>
              <w:t>line) by CSIRO publishing, acting on behalf of the Agriculture and Resource Management Council of Australia and New Zealand.</w:t>
            </w:r>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 xml:space="preserve">Pig Transportation — Code of practice for the transportation of pigs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 xml:space="preserve">Pigeons — Code of practice for pigeon keeping and racing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 xml:space="preserve">Poultry — Code of practice for poultry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 xml:space="preserve">Rabbits — Code of practice for keeping rabbits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 xml:space="preserve">Rodeos — Code of practice for the conduct of rodeos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 xml:space="preserve">Saleyards — Code of practice for animals at saleyards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 xml:space="preserve">Sheep — Code of practice for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 xml:space="preserve">Sheep Transportation — Code of practice for the transportation of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 in Gazette 23 Jun 2006 p. 2193; 12 Jun 2007 p. 2720</w:t>
      </w:r>
      <w:r>
        <w:noBreakHyphen/>
        <w:t>1; 20 Jun 2008 p. 2719; 16 Feb 2010 p. 645.]</w:t>
      </w:r>
    </w:p>
    <w:p>
      <w:pPr>
        <w:pStyle w:val="yScheduleHeading"/>
      </w:pPr>
      <w:bookmarkStart w:id="140" w:name="_Toc138749207"/>
      <w:bookmarkStart w:id="141" w:name="_Toc138749272"/>
      <w:bookmarkStart w:id="142" w:name="_Toc138820205"/>
      <w:bookmarkStart w:id="143" w:name="_Toc169334579"/>
      <w:bookmarkStart w:id="144" w:name="_Toc169334663"/>
      <w:bookmarkStart w:id="145" w:name="_Toc169412190"/>
      <w:bookmarkStart w:id="146" w:name="_Toc201651553"/>
      <w:bookmarkStart w:id="147" w:name="_Toc202243944"/>
      <w:bookmarkStart w:id="148" w:name="_Toc202244222"/>
      <w:bookmarkStart w:id="149" w:name="_Toc205861816"/>
      <w:bookmarkStart w:id="150" w:name="_Toc206390869"/>
      <w:bookmarkStart w:id="151" w:name="_Toc254014652"/>
      <w:bookmarkStart w:id="152" w:name="_Toc254079323"/>
      <w:bookmarkStart w:id="153" w:name="_Toc256501371"/>
      <w:bookmarkStart w:id="154" w:name="_Toc256501477"/>
      <w:bookmarkStart w:id="155" w:name="_Toc347825105"/>
      <w:r>
        <w:rPr>
          <w:rStyle w:val="CharSchNo"/>
        </w:rPr>
        <w:t>Schedule 2</w:t>
      </w:r>
      <w:r>
        <w:t> — </w:t>
      </w:r>
      <w:r>
        <w:rPr>
          <w:rStyle w:val="CharSchText"/>
        </w:rPr>
        <w:t>Forms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yMiscellaneousHeading"/>
        <w:spacing w:before="120"/>
      </w:pPr>
      <w:r>
        <w:t>Form 1</w:t>
      </w:r>
    </w:p>
    <w:p>
      <w:pPr>
        <w:pStyle w:val="yShoulderClause"/>
        <w:spacing w:after="120"/>
      </w:pPr>
      <w:r>
        <w:t>[r. </w:t>
      </w:r>
      <w:bookmarkStart w:id="156" w:name="_Hlt35420744"/>
      <w:r>
        <w:t>9</w:t>
      </w:r>
      <w:bookmarkEnd w:id="156"/>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157" w:name="_Hlt35060681"/>
      <w:r>
        <w:t> 10</w:t>
      </w:r>
      <w:bookmarkEnd w:id="157"/>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p>
    <w:p>
      <w:pPr>
        <w:pStyle w:val="yEdnoteschedule"/>
      </w:pPr>
      <w:r>
        <w:t>[Schedule 3 deleted in Gazette 30 Dec 2004 p. 7010.]</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158" w:name="_Toc92776401"/>
      <w:bookmarkStart w:id="159" w:name="_Toc92954520"/>
      <w:bookmarkStart w:id="160" w:name="_Toc138749208"/>
      <w:bookmarkStart w:id="161" w:name="_Toc138749273"/>
      <w:bookmarkStart w:id="162" w:name="_Toc138820206"/>
      <w:bookmarkStart w:id="163" w:name="_Toc169334580"/>
      <w:bookmarkStart w:id="164" w:name="_Toc169334664"/>
      <w:bookmarkStart w:id="165" w:name="_Toc169412191"/>
      <w:bookmarkStart w:id="166" w:name="_Toc201651554"/>
      <w:bookmarkStart w:id="167" w:name="_Toc202243945"/>
      <w:bookmarkStart w:id="168" w:name="_Toc202244223"/>
      <w:bookmarkStart w:id="169" w:name="_Toc205861817"/>
      <w:bookmarkStart w:id="170" w:name="_Toc206390870"/>
      <w:bookmarkStart w:id="171" w:name="_Toc254014653"/>
      <w:bookmarkStart w:id="172" w:name="_Toc254079324"/>
      <w:bookmarkStart w:id="173" w:name="_Toc256501372"/>
      <w:bookmarkStart w:id="174" w:name="_Toc256501478"/>
      <w:bookmarkStart w:id="175" w:name="_Toc347825106"/>
      <w:r>
        <w:t>Notes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nSubsection"/>
        <w:rPr>
          <w:snapToGrid w:val="0"/>
        </w:rPr>
      </w:pPr>
      <w:r>
        <w:rPr>
          <w:snapToGrid w:val="0"/>
          <w:vertAlign w:val="superscript"/>
        </w:rPr>
        <w:t>1</w:t>
      </w:r>
      <w:r>
        <w:rPr>
          <w:snapToGrid w:val="0"/>
        </w:rPr>
        <w:tab/>
        <w:t xml:space="preserve">This is a compilation of the </w:t>
      </w:r>
      <w:r>
        <w:rPr>
          <w:i/>
          <w:noProof/>
          <w:snapToGrid w:val="0"/>
        </w:rPr>
        <w:t>Animal Welfare (General) Regulations 2003</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76" w:name="_Toc347825107"/>
      <w:r>
        <w:t>Compilation table</w:t>
      </w:r>
      <w:bookmarkEnd w:id="17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r>
              <w:rPr>
                <w:sz w:val="19"/>
              </w:rPr>
              <w:noBreakHyphen/>
              <w:t>96</w:t>
            </w:r>
          </w:p>
        </w:tc>
        <w:tc>
          <w:tcPr>
            <w:tcW w:w="2693" w:type="dxa"/>
            <w:tcBorders>
              <w:top w:val="single" w:sz="8" w:space="0" w:color="auto"/>
            </w:tcBorders>
          </w:tcPr>
          <w:p>
            <w:pPr>
              <w:pStyle w:val="nTable"/>
              <w:spacing w:after="40"/>
              <w:rPr>
                <w:sz w:val="19"/>
              </w:rPr>
            </w:pPr>
            <w:r>
              <w:rPr>
                <w:sz w:val="19"/>
              </w:rPr>
              <w:t xml:space="preserve">4 Apr 2003 (see r. 2 and </w:t>
            </w:r>
            <w:r>
              <w:rPr>
                <w:i/>
                <w:iCs/>
                <w:sz w:val="19"/>
              </w:rPr>
              <w:t>Gazette</w:t>
            </w:r>
            <w:r>
              <w:rPr>
                <w:sz w:val="19"/>
              </w:rPr>
              <w:t xml:space="preserve"> 4 Apr 2003 p. 1023)</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spacing w:after="40"/>
              <w:rPr>
                <w:sz w:val="19"/>
              </w:rPr>
            </w:pPr>
            <w:r>
              <w:rPr>
                <w:sz w:val="19"/>
              </w:rPr>
              <w:t>r. 1 and 2: 12 Jun 2007 (see r. 2(a));</w:t>
            </w:r>
            <w:r>
              <w:rPr>
                <w:sz w:val="19"/>
              </w:rPr>
              <w:br/>
              <w:t>Regulations other than 1 and 2: 13 Jun 2007 (see r. 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spacing w:after="40"/>
              <w:rPr>
                <w:sz w:val="19"/>
              </w:rPr>
            </w:pPr>
            <w:r>
              <w:rPr>
                <w:sz w:val="19"/>
              </w:rPr>
              <w:t>r. 1 and 2: 20 Jun 2008 (see r. 2(a));</w:t>
            </w:r>
            <w:r>
              <w:rPr>
                <w:sz w:val="19"/>
              </w:rPr>
              <w:b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spacing w:after="40"/>
              <w:rPr>
                <w:sz w:val="19"/>
              </w:rPr>
            </w:pPr>
            <w:r>
              <w:rPr>
                <w:sz w:val="19"/>
              </w:rPr>
              <w:t>r. 1 and 2: 18 Jul 2008 (see r. 2(a));</w:t>
            </w:r>
            <w:r>
              <w:rPr>
                <w:sz w:val="19"/>
              </w:rPr>
              <w:br/>
              <w:t>Regulations other than r. 1 and 2: 19 Jul 2008 (see r. 2(b))</w:t>
            </w:r>
          </w:p>
        </w:tc>
      </w:tr>
      <w:tr>
        <w:trPr>
          <w:cantSplit/>
        </w:trPr>
        <w:tc>
          <w:tcPr>
            <w:tcW w:w="7088" w:type="dxa"/>
            <w:gridSpan w:val="3"/>
          </w:tcPr>
          <w:p>
            <w:pPr>
              <w:pStyle w:val="nTable"/>
              <w:spacing w:after="40"/>
              <w:rPr>
                <w:sz w:val="19"/>
              </w:rPr>
            </w:pPr>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p>
        </w:tc>
      </w:tr>
      <w:tr>
        <w:tc>
          <w:tcPr>
            <w:tcW w:w="3119" w:type="dxa"/>
          </w:tcPr>
          <w:p>
            <w:pPr>
              <w:pStyle w:val="nTable"/>
              <w:spacing w:after="40"/>
              <w:rPr>
                <w:i/>
                <w:sz w:val="19"/>
              </w:rPr>
            </w:pPr>
            <w:r>
              <w:rPr>
                <w:i/>
                <w:sz w:val="19"/>
              </w:rPr>
              <w:t>Animal Welfare (General) Amendment Regulations (No. 2) 2010</w:t>
            </w:r>
          </w:p>
        </w:tc>
        <w:tc>
          <w:tcPr>
            <w:tcW w:w="1276" w:type="dxa"/>
          </w:tcPr>
          <w:p>
            <w:pPr>
              <w:pStyle w:val="nTable"/>
              <w:spacing w:after="40"/>
              <w:rPr>
                <w:sz w:val="19"/>
              </w:rPr>
            </w:pPr>
            <w:r>
              <w:rPr>
                <w:sz w:val="19"/>
              </w:rPr>
              <w:t>16 Feb 2010 p. 644</w:t>
            </w:r>
            <w:r>
              <w:rPr>
                <w:sz w:val="19"/>
              </w:rPr>
              <w:noBreakHyphen/>
              <w:t>5</w:t>
            </w:r>
          </w:p>
        </w:tc>
        <w:tc>
          <w:tcPr>
            <w:tcW w:w="2693" w:type="dxa"/>
          </w:tcPr>
          <w:p>
            <w:pPr>
              <w:pStyle w:val="nTable"/>
              <w:spacing w:after="40"/>
              <w:rPr>
                <w:sz w:val="19"/>
              </w:rPr>
            </w:pPr>
            <w:r>
              <w:rPr>
                <w:sz w:val="19"/>
              </w:rPr>
              <w:t>r. 1 and 2: 16 Feb 2010 (see r. 2(a));</w:t>
            </w:r>
            <w:r>
              <w:rPr>
                <w:sz w:val="19"/>
              </w:rPr>
              <w:br/>
              <w:t>Regulations other than r. 1 and 2: 17 Feb 2010 (see r. 2(b))</w:t>
            </w:r>
          </w:p>
        </w:tc>
      </w:tr>
      <w:tr>
        <w:tc>
          <w:tcPr>
            <w:tcW w:w="3119" w:type="dxa"/>
            <w:tcBorders>
              <w:bottom w:val="single" w:sz="4" w:space="0" w:color="auto"/>
            </w:tcBorders>
          </w:tcPr>
          <w:p>
            <w:pPr>
              <w:pStyle w:val="nTable"/>
              <w:spacing w:after="40"/>
              <w:rPr>
                <w:i/>
                <w:sz w:val="19"/>
              </w:rPr>
            </w:pPr>
            <w:r>
              <w:rPr>
                <w:i/>
                <w:sz w:val="19"/>
              </w:rPr>
              <w:t>Animal Welfare (General) Amendment Regulations 2010</w:t>
            </w:r>
          </w:p>
        </w:tc>
        <w:tc>
          <w:tcPr>
            <w:tcW w:w="1276" w:type="dxa"/>
            <w:tcBorders>
              <w:bottom w:val="single" w:sz="4" w:space="0" w:color="auto"/>
            </w:tcBorders>
          </w:tcPr>
          <w:p>
            <w:pPr>
              <w:pStyle w:val="nTable"/>
              <w:spacing w:after="40"/>
              <w:rPr>
                <w:sz w:val="19"/>
              </w:rPr>
            </w:pPr>
            <w:r>
              <w:rPr>
                <w:sz w:val="19"/>
              </w:rPr>
              <w:t>16 Mar 2010 p. 977-8</w:t>
            </w:r>
          </w:p>
        </w:tc>
        <w:tc>
          <w:tcPr>
            <w:tcW w:w="2693" w:type="dxa"/>
            <w:tcBorders>
              <w:bottom w:val="single" w:sz="4" w:space="0" w:color="auto"/>
            </w:tcBorders>
          </w:tcPr>
          <w:p>
            <w:pPr>
              <w:pStyle w:val="nTable"/>
              <w:spacing w:after="40"/>
              <w:rPr>
                <w:sz w:val="19"/>
              </w:rPr>
            </w:pPr>
            <w:r>
              <w:rPr>
                <w:sz w:val="19"/>
              </w:rPr>
              <w:t>r. 1 and 2: 16 Mar 2010 (see r. 2(a));</w:t>
            </w:r>
            <w:r>
              <w:rPr>
                <w:sz w:val="19"/>
              </w:rPr>
              <w:br/>
              <w:t>Regulations other than r. 1 and 2: 17 Mar 2010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77" w:name="_Toc534778309"/>
      <w:bookmarkStart w:id="178" w:name="_Toc7405063"/>
      <w:bookmarkStart w:id="179" w:name="_Toc296601212"/>
      <w:bookmarkStart w:id="180" w:name="_Toc309727460"/>
      <w:bookmarkStart w:id="181" w:name="_Toc347825108"/>
      <w:r>
        <w:rPr>
          <w:snapToGrid w:val="0"/>
        </w:rPr>
        <w:t>Provisions that have not come into operation</w:t>
      </w:r>
      <w:bookmarkEnd w:id="177"/>
      <w:bookmarkEnd w:id="178"/>
      <w:bookmarkEnd w:id="179"/>
      <w:bookmarkEnd w:id="180"/>
      <w:bookmarkEnd w:id="18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keepNext/>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keepNext/>
              <w:spacing w:before="60" w:after="60"/>
              <w:rPr>
                <w:b/>
                <w:sz w:val="19"/>
              </w:rPr>
            </w:pPr>
            <w:r>
              <w:rPr>
                <w:b/>
                <w:sz w:val="19"/>
              </w:rPr>
              <w:t>Gazettal</w:t>
            </w:r>
          </w:p>
        </w:tc>
        <w:tc>
          <w:tcPr>
            <w:tcW w:w="2693" w:type="dxa"/>
            <w:tcBorders>
              <w:top w:val="single" w:sz="8" w:space="0" w:color="auto"/>
              <w:bottom w:val="single" w:sz="8" w:space="0" w:color="auto"/>
            </w:tcBorders>
          </w:tcPr>
          <w:p>
            <w:pPr>
              <w:pStyle w:val="nTable"/>
              <w:keepNext/>
              <w:spacing w:before="60" w:after="60"/>
              <w:rPr>
                <w:b/>
                <w:sz w:val="19"/>
              </w:rPr>
            </w:pPr>
            <w:r>
              <w:rPr>
                <w:b/>
                <w:sz w:val="19"/>
              </w:rPr>
              <w:t>Commencement</w:t>
            </w:r>
          </w:p>
        </w:tc>
      </w:tr>
      <w:tr>
        <w:tblPrEx>
          <w:tblBorders>
            <w:top w:val="single" w:sz="8" w:space="0" w:color="auto"/>
            <w:bottom w:val="single" w:sz="4" w:space="0" w:color="auto"/>
            <w:insideH w:val="single" w:sz="8" w:space="0" w:color="auto"/>
          </w:tblBorders>
        </w:tblPrEx>
        <w:tc>
          <w:tcPr>
            <w:tcW w:w="3119" w:type="dxa"/>
          </w:tcPr>
          <w:p>
            <w:pPr>
              <w:pStyle w:val="nTable"/>
              <w:spacing w:after="40"/>
              <w:rPr>
                <w:sz w:val="19"/>
                <w:vertAlign w:val="superscript"/>
              </w:rPr>
            </w:pPr>
            <w:r>
              <w:rPr>
                <w:i/>
              </w:rPr>
              <w:t>Animal Welfare (General) Amendment Regulations 2013</w:t>
            </w:r>
            <w:r>
              <w:t xml:space="preserve"> r. </w:t>
            </w:r>
            <w:r>
              <w:rPr>
                <w:noProof/>
                <w:snapToGrid w:val="0"/>
              </w:rPr>
              <w:t>3</w:t>
            </w:r>
            <w:r>
              <w:rPr>
                <w:noProof/>
                <w:snapToGrid w:val="0"/>
              </w:rPr>
              <w:noBreakHyphen/>
              <w:t>5</w:t>
            </w:r>
            <w:r>
              <w:rPr>
                <w:noProof/>
                <w:snapToGrid w:val="0"/>
                <w:vertAlign w:val="superscript"/>
              </w:rPr>
              <w:t> 2</w:t>
            </w:r>
          </w:p>
        </w:tc>
        <w:tc>
          <w:tcPr>
            <w:tcW w:w="1276" w:type="dxa"/>
          </w:tcPr>
          <w:p>
            <w:pPr>
              <w:pStyle w:val="nTable"/>
              <w:spacing w:after="40"/>
              <w:rPr>
                <w:sz w:val="19"/>
              </w:rPr>
            </w:pPr>
            <w:r>
              <w:rPr>
                <w:sz w:val="19"/>
              </w:rPr>
              <w:t>5 Feb 2013 p. 826</w:t>
            </w:r>
            <w:r>
              <w:rPr>
                <w:sz w:val="19"/>
              </w:rPr>
              <w:noBreakHyphen/>
              <w:t>7</w:t>
            </w:r>
          </w:p>
        </w:tc>
        <w:tc>
          <w:tcPr>
            <w:tcW w:w="2693" w:type="dxa"/>
          </w:tcPr>
          <w:p>
            <w:pPr>
              <w:pStyle w:val="nTable"/>
              <w:spacing w:after="40"/>
              <w:rPr>
                <w:sz w:val="19"/>
              </w:rPr>
            </w:pPr>
            <w:r>
              <w:rPr>
                <w:sz w:val="19"/>
              </w:rPr>
              <w:t xml:space="preserve">1 May 2013 (see r. 2(b) and </w:t>
            </w:r>
            <w:r>
              <w:rPr>
                <w:i/>
                <w:sz w:val="19"/>
              </w:rPr>
              <w:t>Gazette</w:t>
            </w:r>
            <w:r>
              <w:rPr>
                <w:sz w:val="19"/>
              </w:rPr>
              <w:t xml:space="preserve"> 5 Feb 2013 p. 823)</w:t>
            </w:r>
          </w:p>
        </w:tc>
      </w:tr>
    </w:tbl>
    <w:p>
      <w:pPr>
        <w:pStyle w:val="nSubsection"/>
        <w:keepNext/>
        <w:ind w:left="480" w:hanging="48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Animal Welfare (General) Amendment Regulations 2013 </w:t>
      </w:r>
      <w:r>
        <w:rPr>
          <w:snapToGrid w:val="0"/>
        </w:rPr>
        <w:t>r. 3</w:t>
      </w:r>
      <w:r>
        <w:rPr>
          <w:snapToGrid w:val="0"/>
        </w:rPr>
        <w:noBreakHyphen/>
        <w:t>5</w:t>
      </w:r>
      <w:r>
        <w:rPr>
          <w:noProof/>
          <w:snapToGrid w:val="0"/>
        </w:rPr>
        <w:t xml:space="preserve"> </w:t>
      </w:r>
      <w:r>
        <w:rPr>
          <w:snapToGrid w:val="0"/>
        </w:rPr>
        <w:t>had not come into operation.  They read as follows:</w:t>
      </w:r>
    </w:p>
    <w:p>
      <w:pPr>
        <w:pStyle w:val="BlankOpen"/>
      </w:pPr>
    </w:p>
    <w:p>
      <w:pPr>
        <w:pStyle w:val="nzHeading5"/>
        <w:rPr>
          <w:snapToGrid w:val="0"/>
        </w:rPr>
      </w:pPr>
      <w:bookmarkStart w:id="182" w:name="_Toc423332724"/>
      <w:bookmarkStart w:id="183" w:name="_Toc425219443"/>
      <w:bookmarkStart w:id="184" w:name="_Toc426249310"/>
      <w:bookmarkStart w:id="185" w:name="_Toc449924706"/>
      <w:bookmarkStart w:id="186" w:name="_Toc449947724"/>
      <w:bookmarkStart w:id="187" w:name="_Toc454185715"/>
      <w:bookmarkStart w:id="188" w:name="_Toc515958688"/>
      <w:r>
        <w:rPr>
          <w:rStyle w:val="CharSectno"/>
        </w:rPr>
        <w:t>3</w:t>
      </w:r>
      <w:r>
        <w:rPr>
          <w:snapToGrid w:val="0"/>
        </w:rPr>
        <w:t>.</w:t>
      </w:r>
      <w:r>
        <w:rPr>
          <w:snapToGrid w:val="0"/>
        </w:rPr>
        <w:tab/>
        <w:t>Regulations amended</w:t>
      </w:r>
      <w:bookmarkEnd w:id="182"/>
      <w:bookmarkEnd w:id="183"/>
      <w:bookmarkEnd w:id="184"/>
      <w:bookmarkEnd w:id="185"/>
      <w:bookmarkEnd w:id="186"/>
      <w:bookmarkEnd w:id="187"/>
      <w:bookmarkEnd w:id="188"/>
    </w:p>
    <w:p>
      <w:pPr>
        <w:pStyle w:val="nzSubsection"/>
      </w:pPr>
      <w:r>
        <w:tab/>
      </w:r>
      <w:r>
        <w:tab/>
      </w:r>
      <w:r>
        <w:rPr>
          <w:spacing w:val="-2"/>
        </w:rPr>
        <w:t>These</w:t>
      </w:r>
      <w:r>
        <w:t xml:space="preserve"> regulations amend the </w:t>
      </w:r>
      <w:r>
        <w:rPr>
          <w:i/>
        </w:rPr>
        <w:t>Animal Welfare (General) Regulations 2003</w:t>
      </w:r>
      <w:r>
        <w:t>.</w:t>
      </w:r>
    </w:p>
    <w:p>
      <w:pPr>
        <w:pStyle w:val="nzHeading5"/>
      </w:pPr>
      <w:r>
        <w:rPr>
          <w:rStyle w:val="CharSectno"/>
        </w:rPr>
        <w:t>4</w:t>
      </w:r>
      <w:r>
        <w:t>.</w:t>
      </w:r>
      <w:r>
        <w:tab/>
        <w:t>Regulation 5 amended</w:t>
      </w:r>
    </w:p>
    <w:p>
      <w:pPr>
        <w:pStyle w:val="nzSubsection"/>
      </w:pPr>
      <w:r>
        <w:tab/>
        <w:t>(1)</w:t>
      </w:r>
      <w:r>
        <w:tab/>
        <w:t>At the beginning of regulation 5 insert:</w:t>
      </w:r>
    </w:p>
    <w:p>
      <w:pPr>
        <w:pStyle w:val="BlankOpen"/>
      </w:pPr>
    </w:p>
    <w:p>
      <w:pPr>
        <w:pStyle w:val="nzSubsection"/>
      </w:pPr>
      <w:r>
        <w:tab/>
        <w:t>(1)</w:t>
      </w:r>
      <w:r>
        <w:tab/>
        <w:t xml:space="preserve">In this regulation — </w:t>
      </w:r>
    </w:p>
    <w:p>
      <w:pPr>
        <w:pStyle w:val="nzDefstart"/>
      </w:pPr>
      <w:r>
        <w:tab/>
      </w:r>
      <w:r>
        <w:rPr>
          <w:rStyle w:val="CharDefText"/>
        </w:rPr>
        <w:t>BAM Act</w:t>
      </w:r>
      <w:r>
        <w:t xml:space="preserve"> means the </w:t>
      </w:r>
      <w:r>
        <w:rPr>
          <w:i/>
        </w:rPr>
        <w:t>Biosecurity and Agriculture Management Act 2007</w:t>
      </w:r>
      <w:r>
        <w:t>;</w:t>
      </w:r>
    </w:p>
    <w:p>
      <w:pPr>
        <w:pStyle w:val="nzDefstart"/>
      </w:pPr>
      <w:r>
        <w:tab/>
      </w:r>
      <w:r>
        <w:rPr>
          <w:rStyle w:val="CharDefText"/>
        </w:rPr>
        <w:t>BAM Act list</w:t>
      </w:r>
      <w:r>
        <w:t xml:space="preserve"> means either of following lists established and maintained under the BAM Act section 158 — </w:t>
      </w:r>
    </w:p>
    <w:p>
      <w:pPr>
        <w:pStyle w:val="nzDefpara"/>
      </w:pPr>
      <w:r>
        <w:tab/>
        <w:t>(a)</w:t>
      </w:r>
      <w:r>
        <w:tab/>
        <w:t>the list of all organisms for which a declaration under the BAM Act section 12 (prohibited organisms) is in force;</w:t>
      </w:r>
    </w:p>
    <w:p>
      <w:pPr>
        <w:pStyle w:val="nzDefpara"/>
      </w:pPr>
      <w:r>
        <w:tab/>
        <w:t>(b)</w:t>
      </w:r>
      <w:r>
        <w:tab/>
        <w:t>the list of all organisms for which a declaration under the BAM Act section 22(2) (declared pests) is in force.</w:t>
      </w:r>
    </w:p>
    <w:p>
      <w:pPr>
        <w:pStyle w:val="BlankClose"/>
      </w:pPr>
    </w:p>
    <w:p>
      <w:pPr>
        <w:pStyle w:val="nzSubsection"/>
      </w:pPr>
      <w:r>
        <w:tab/>
        <w:t>(2)</w:t>
      </w:r>
      <w:r>
        <w:tab/>
        <w:t xml:space="preserve">In regulation 5 delete “An animal set out in the list of declared animals published under section 35 of the </w:t>
      </w:r>
      <w:r>
        <w:rPr>
          <w:i/>
        </w:rPr>
        <w:t>Agriculture and Related Resources Protection Act 1976</w:t>
      </w:r>
      <w:r>
        <w:t>” and insert:</w:t>
      </w:r>
    </w:p>
    <w:p>
      <w:pPr>
        <w:pStyle w:val="BlankOpen"/>
      </w:pPr>
    </w:p>
    <w:p>
      <w:pPr>
        <w:pStyle w:val="nzSubsection"/>
      </w:pPr>
      <w:r>
        <w:tab/>
        <w:t>(2)</w:t>
      </w:r>
      <w:r>
        <w:tab/>
        <w:t>An animal set out in a BAM Act list</w:t>
      </w:r>
    </w:p>
    <w:p>
      <w:pPr>
        <w:pStyle w:val="BlankClose"/>
      </w:pPr>
    </w:p>
    <w:p>
      <w:pPr>
        <w:pStyle w:val="nzHeading5"/>
      </w:pPr>
      <w:r>
        <w:rPr>
          <w:rStyle w:val="CharSectno"/>
        </w:rPr>
        <w:t>5</w:t>
      </w:r>
      <w:r>
        <w:t>.</w:t>
      </w:r>
      <w:r>
        <w:tab/>
        <w:t>Regulation 8 amended</w:t>
      </w:r>
    </w:p>
    <w:p>
      <w:pPr>
        <w:pStyle w:val="nzSubsection"/>
      </w:pPr>
      <w:r>
        <w:tab/>
      </w:r>
      <w:r>
        <w:tab/>
        <w:t>Delete regulation 8(6)(b) and insert:</w:t>
      </w:r>
    </w:p>
    <w:p>
      <w:pPr>
        <w:pStyle w:val="BlankOpen"/>
      </w:pPr>
    </w:p>
    <w:p>
      <w:pPr>
        <w:pStyle w:val="nzIndenta"/>
      </w:pPr>
      <w:r>
        <w:tab/>
        <w:t>(b)</w:t>
      </w:r>
      <w:r>
        <w:tab/>
        <w:t xml:space="preserve">any permit to set the trap required under the </w:t>
      </w:r>
      <w:r>
        <w:rPr>
          <w:i/>
        </w:rPr>
        <w:t xml:space="preserve">Biosecurity and Agriculture Management Regulations 2013 </w:t>
      </w:r>
      <w:r>
        <w:t xml:space="preserve">has first been obtained. </w:t>
      </w:r>
    </w:p>
    <w:p>
      <w:pPr>
        <w:pStyle w:val="BlankClose"/>
      </w:pPr>
    </w:p>
    <w:p>
      <w:pPr>
        <w:pStyle w:val="BlankClose"/>
      </w:pPr>
    </w:p>
    <w:p>
      <w:pPr>
        <w:rPr>
          <w:iCs/>
        </w:rPr>
      </w:pP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189" w:name="_Toc202244225"/>
      <w:bookmarkStart w:id="190" w:name="_Toc205861819"/>
      <w:bookmarkStart w:id="191" w:name="_Toc206390872"/>
      <w:bookmarkStart w:id="192" w:name="_Toc254014655"/>
      <w:bookmarkStart w:id="193" w:name="_Toc254079326"/>
      <w:bookmarkStart w:id="194" w:name="_Toc256501374"/>
      <w:bookmarkStart w:id="195" w:name="_Toc256501480"/>
      <w:bookmarkStart w:id="196" w:name="_Toc347825109"/>
      <w:r>
        <w:rPr>
          <w:sz w:val="28"/>
        </w:rPr>
        <w:t>Defined Terms</w:t>
      </w:r>
      <w:bookmarkEnd w:id="189"/>
      <w:bookmarkEnd w:id="190"/>
      <w:bookmarkEnd w:id="191"/>
      <w:bookmarkEnd w:id="192"/>
      <w:bookmarkEnd w:id="193"/>
      <w:bookmarkEnd w:id="194"/>
      <w:bookmarkEnd w:id="195"/>
      <w:bookmarkEnd w:id="1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7" w:name="DefinedTerms"/>
      <w:bookmarkEnd w:id="197"/>
      <w:r>
        <w:t>tail docking</w:t>
      </w:r>
      <w:r>
        <w:tab/>
        <w:t>14(1)</w:t>
      </w:r>
    </w:p>
    <w:p>
      <w:pPr>
        <w:pStyle w:val="DefinedTerms"/>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Feb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5A18C6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FB8A880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437"/>
    <w:docVar w:name="WAFER_20151204144437" w:val="RemoveTrackChanges"/>
    <w:docVar w:name="WAFER_20151204144437_GUID" w:val="a285a6da-572d-4016-8a47-7d2e1681d79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3489</Words>
  <Characters>20518</Characters>
  <Application>Microsoft Office Word</Application>
  <DocSecurity>0</DocSecurity>
  <Lines>707</Lines>
  <Paragraphs>428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2003 - 01-d0-02</dc:title>
  <dc:subject/>
  <dc:creator/>
  <cp:keywords/>
  <dc:description/>
  <cp:lastModifiedBy>svcMRProcess</cp:lastModifiedBy>
  <cp:revision>4</cp:revision>
  <cp:lastPrinted>2010-02-15T07:53:00Z</cp:lastPrinted>
  <dcterms:created xsi:type="dcterms:W3CDTF">2015-12-04T16:38:00Z</dcterms:created>
  <dcterms:modified xsi:type="dcterms:W3CDTF">2015-12-04T16:38:00Z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9058</vt:i4>
  </property>
  <property fmtid="{D5CDD505-2E9C-101B-9397-08002B2CF9AE}" pid="6" name="AsAtDate">
    <vt:lpwstr>05 Feb 2013</vt:lpwstr>
  </property>
  <property fmtid="{D5CDD505-2E9C-101B-9397-08002B2CF9AE}" pid="7" name="Suffix">
    <vt:lpwstr>01-d0-02</vt:lpwstr>
  </property>
  <property fmtid="{D5CDD505-2E9C-101B-9397-08002B2CF9AE}" pid="8" name="ReprintNo">
    <vt:lpwstr>1</vt:lpwstr>
  </property>
</Properties>
</file>