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_Toc425243237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_Toc425243238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_Toc425243239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_Toc425243240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_Toc425243241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_Toc425243242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_Toc425243243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_Toc425243244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_Toc425243245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_Toc425243246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_Toc425243249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9207843"/>
      <w:bookmarkStart w:id="4" w:name="_Toc425243237"/>
      <w:r>
        <w:rPr>
          <w:rStyle w:val="CharSectno"/>
        </w:rPr>
        <w:t>1</w:t>
      </w:r>
      <w:r>
        <w:t>.</w:t>
      </w:r>
      <w:r>
        <w:tab/>
        <w:t>Citation</w:t>
      </w:r>
      <w:bookmarkEnd w:id="3"/>
      <w:bookmarkEnd w:id="4"/>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25243238"/>
      <w:r>
        <w:rPr>
          <w:rStyle w:val="CharSectno"/>
        </w:rPr>
        <w:t>2</w:t>
      </w:r>
      <w:r>
        <w:rPr>
          <w:spacing w:val="-2"/>
        </w:rPr>
        <w:t>.</w:t>
      </w:r>
      <w:r>
        <w:rPr>
          <w:spacing w:val="-2"/>
        </w:rPr>
        <w:tab/>
        <w:t>Commencement</w:t>
      </w:r>
      <w:bookmarkEnd w:id="5"/>
      <w:bookmarkEnd w:id="6"/>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7" w:name="_Toc379207845"/>
      <w:bookmarkStart w:id="8" w:name="_Toc425243239"/>
      <w:r>
        <w:rPr>
          <w:rStyle w:val="CharSectno"/>
        </w:rPr>
        <w:t>3</w:t>
      </w:r>
      <w:r>
        <w:t>.</w:t>
      </w:r>
      <w:r>
        <w:tab/>
        <w:t>Forms</w:t>
      </w:r>
      <w:bookmarkEnd w:id="7"/>
      <w:bookmarkEnd w:id="8"/>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9" w:name="_Toc379207846"/>
      <w:bookmarkStart w:id="10" w:name="_Toc425243240"/>
      <w:r>
        <w:rPr>
          <w:rStyle w:val="CharSectno"/>
        </w:rPr>
        <w:t>4</w:t>
      </w:r>
      <w:r>
        <w:t>.</w:t>
      </w:r>
      <w:r>
        <w:tab/>
        <w:t>Law enforcement officers, classes prescribed</w:t>
      </w:r>
      <w:bookmarkEnd w:id="9"/>
      <w:bookmarkEnd w:id="10"/>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1" w:name="_Toc379207847"/>
      <w:bookmarkStart w:id="12" w:name="_Toc425243241"/>
      <w:r>
        <w:rPr>
          <w:rStyle w:val="CharSectno"/>
        </w:rPr>
        <w:t>5</w:t>
      </w:r>
      <w:r>
        <w:t>.</w:t>
      </w:r>
      <w:r>
        <w:tab/>
        <w:t>Commonwealth agencies, instrumentalities and bodies</w:t>
      </w:r>
      <w:bookmarkEnd w:id="11"/>
      <w:bookmarkEnd w:id="12"/>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Indenta"/>
      </w:pPr>
      <w:r>
        <w:tab/>
        <w:t>(c)</w:t>
      </w:r>
      <w:r>
        <w:tab/>
        <w:t xml:space="preserve">Australian Customs Service referred to in the </w:t>
      </w:r>
      <w:r>
        <w:rPr>
          <w:i/>
        </w:rPr>
        <w:t>Customs Act 1901</w:t>
      </w:r>
      <w:r>
        <w:t xml:space="preserve"> of the Commonwealth; and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13" w:name="_Toc379207848"/>
      <w:bookmarkStart w:id="14" w:name="_Toc425243242"/>
      <w:r>
        <w:rPr>
          <w:rStyle w:val="CharSectno"/>
        </w:rPr>
        <w:t>6</w:t>
      </w:r>
      <w:r>
        <w:t>.</w:t>
      </w:r>
      <w:r>
        <w:tab/>
        <w:t>Use of tracking devices without warrant</w:t>
      </w:r>
      <w:bookmarkEnd w:id="13"/>
      <w:bookmarkEnd w:id="14"/>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w:t>
      </w:r>
    </w:p>
    <w:p>
      <w:pPr>
        <w:pStyle w:val="Heading5"/>
        <w:rPr>
          <w:rStyle w:val="CharSectno"/>
        </w:rPr>
      </w:pPr>
      <w:bookmarkStart w:id="15" w:name="_Toc379207849"/>
      <w:bookmarkStart w:id="16" w:name="_Toc425243243"/>
      <w:r>
        <w:rPr>
          <w:rStyle w:val="CharSectno"/>
        </w:rPr>
        <w:t>7</w:t>
      </w:r>
      <w:r>
        <w:t>.</w:t>
      </w:r>
      <w:r>
        <w:rPr>
          <w:rStyle w:val="CharSectno"/>
        </w:rPr>
        <w:tab/>
      </w:r>
      <w:r>
        <w:t>Storage and destruction of Part 5 records</w:t>
      </w:r>
      <w:bookmarkEnd w:id="15"/>
      <w:bookmarkEnd w:id="1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7" w:name="_Toc379207850"/>
      <w:bookmarkStart w:id="18" w:name="_Toc425243244"/>
      <w:r>
        <w:rPr>
          <w:rStyle w:val="CharSectno"/>
        </w:rPr>
        <w:t>8</w:t>
      </w:r>
      <w:r>
        <w:t>.</w:t>
      </w:r>
      <w:r>
        <w:tab/>
        <w:t>Annual reports</w:t>
      </w:r>
      <w:bookmarkEnd w:id="17"/>
      <w:bookmarkEnd w:id="18"/>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9" w:name="_Toc379207851"/>
      <w:bookmarkStart w:id="20" w:name="_Toc425243245"/>
      <w:r>
        <w:rPr>
          <w:rStyle w:val="CharSectno"/>
        </w:rPr>
        <w:t>8A</w:t>
      </w:r>
      <w:r>
        <w:t>.</w:t>
      </w:r>
      <w:r>
        <w:tab/>
        <w:t>Reports by designated Commission</w:t>
      </w:r>
      <w:bookmarkEnd w:id="19"/>
      <w:bookmarkEnd w:id="2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21" w:name="_Toc379207852"/>
      <w:bookmarkStart w:id="22" w:name="_Toc425243246"/>
      <w:r>
        <w:rPr>
          <w:rStyle w:val="CharSectno"/>
        </w:rPr>
        <w:t>9</w:t>
      </w:r>
      <w:r>
        <w:t>.</w:t>
      </w:r>
      <w:r>
        <w:tab/>
        <w:t>Unlawful possession of surveillance information</w:t>
      </w:r>
      <w:bookmarkEnd w:id="21"/>
      <w:bookmarkEnd w:id="2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9207853"/>
      <w:bookmarkStart w:id="24" w:name="_Toc425243247"/>
      <w:r>
        <w:rPr>
          <w:rStyle w:val="CharSchNo"/>
        </w:rPr>
        <w:t>Schedule 1</w:t>
      </w:r>
      <w:r>
        <w:t xml:space="preserve"> — </w:t>
      </w:r>
      <w:r>
        <w:rPr>
          <w:rStyle w:val="CharSchText"/>
        </w:rPr>
        <w:t>Forms</w:t>
      </w:r>
      <w:bookmarkEnd w:id="23"/>
      <w:bookmarkEnd w:id="24"/>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6" w:name="_Toc379207854"/>
      <w:bookmarkStart w:id="27" w:name="_Toc425243248"/>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8" w:name="_Toc379207855"/>
      <w:bookmarkStart w:id="29" w:name="_Toc425243249"/>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Surveillance Devices Amendment Regulations 2012</w:t>
            </w:r>
          </w:p>
        </w:tc>
        <w:tc>
          <w:tcPr>
            <w:tcW w:w="1276" w:type="dxa"/>
            <w:gridSpan w:val="2"/>
            <w:tcBorders>
              <w:bottom w:val="single" w:sz="4" w:space="0" w:color="auto"/>
            </w:tcBorders>
          </w:tcPr>
          <w:p>
            <w:pPr>
              <w:pStyle w:val="nTable"/>
              <w:spacing w:after="40"/>
            </w:pPr>
            <w:r>
              <w:t>19 Feb 2013 p. 991</w:t>
            </w:r>
            <w:r>
              <w:noBreakHyphen/>
              <w:t>2</w:t>
            </w:r>
          </w:p>
        </w:tc>
        <w:tc>
          <w:tcPr>
            <w:tcW w:w="2693" w:type="dxa"/>
            <w:gridSpan w:val="2"/>
            <w:tcBorders>
              <w:bottom w:val="single" w:sz="4" w:space="0" w:color="auto"/>
            </w:tcBorders>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4476</Words>
  <Characters>24843</Characters>
  <Application>Microsoft Office Word</Application>
  <DocSecurity>0</DocSecurity>
  <Lines>1035</Lines>
  <Paragraphs>623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1999 - 02-d0-03</dc:title>
  <dc:subject/>
  <dc:creator/>
  <cp:keywords/>
  <dc:description/>
  <cp:lastModifiedBy>svcMRProcess</cp:lastModifiedBy>
  <cp:revision>4</cp:revision>
  <cp:lastPrinted>2010-09-08T06:36:00Z</cp:lastPrinted>
  <dcterms:created xsi:type="dcterms:W3CDTF">2015-11-11T08:39:00Z</dcterms:created>
  <dcterms:modified xsi:type="dcterms:W3CDTF">2015-11-11T08:39:00Z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ReprintedAsAt">
    <vt:filetime>2010-09-09T16:00:00Z</vt:filetime>
  </property>
  <property fmtid="{D5CDD505-2E9C-101B-9397-08002B2CF9AE}" pid="8" name="AsAtDate">
    <vt:lpwstr>20 Feb 2013</vt:lpwstr>
  </property>
  <property fmtid="{D5CDD505-2E9C-101B-9397-08002B2CF9AE}" pid="9" name="Suffix">
    <vt:lpwstr>02-d0-03</vt:lpwstr>
  </property>
</Properties>
</file>