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Western Australian Treasury Corporation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_Toc116814064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_Toc116814065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_Toc116814066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_Toc116814067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_Toc116814069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_Toc116814070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_Toc116814071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_Toc116814072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_Toc116814073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_Toc116814074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_Toc116814075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_Toc116814076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_Toc116814077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_Toc116814078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_Toc116814079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_Toc116814081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_Toc116814082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_Toc116814083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_Toc116814084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_Toc116814085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_Toc116814086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_Toc116814087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_Toc116814088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_Toc116814089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_Toc116814090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Treasurer</w:t>
      </w:r>
      <w:r>
        <w:tab/>
      </w:r>
      <w:r>
        <w:fldChar w:fldCharType="begin"/>
      </w:r>
      <w:r>
        <w:instrText xml:space="preserve"> PAGEREF _Toc116814093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_Toc116814094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_Toc116814095 \h </w:instrText>
      </w:r>
      <w:r>
        <w:fldChar w:fldCharType="separate"/>
      </w:r>
      <w:r>
        <w:t>23</w:t>
      </w:r>
      <w:r>
        <w:fldChar w:fldCharType="end"/>
      </w:r>
    </w:p>
    <w:p>
      <w:pPr>
        <w:pStyle w:val="TOC8"/>
        <w:rPr>
          <w:sz w:val="24"/>
          <w:szCs w:val="24"/>
        </w:rPr>
      </w:pPr>
      <w:r>
        <w:rPr>
          <w:szCs w:val="24"/>
        </w:rPr>
        <w:t>16E.</w:t>
      </w:r>
      <w:r>
        <w:rPr>
          <w:szCs w:val="24"/>
        </w:rPr>
        <w:tab/>
        <w:t>Treasurer’s powers in relation to draft strategic development plan</w:t>
      </w:r>
      <w:r>
        <w:tab/>
      </w:r>
      <w:r>
        <w:fldChar w:fldCharType="begin"/>
      </w:r>
      <w:r>
        <w:instrText xml:space="preserve"> PAGEREF _Toc116814096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_Toc116814097 \h </w:instrText>
      </w:r>
      <w:r>
        <w:fldChar w:fldCharType="separate"/>
      </w:r>
      <w:r>
        <w:t>24</w:t>
      </w:r>
      <w:r>
        <w:fldChar w:fldCharType="end"/>
      </w:r>
    </w:p>
    <w:p>
      <w:pPr>
        <w:pStyle w:val="TOC8"/>
        <w:rPr>
          <w:sz w:val="24"/>
          <w:szCs w:val="24"/>
        </w:rPr>
      </w:pPr>
      <w:r>
        <w:rPr>
          <w:szCs w:val="24"/>
        </w:rPr>
        <w:t>16G.</w:t>
      </w:r>
      <w:r>
        <w:rPr>
          <w:szCs w:val="24"/>
        </w:rPr>
        <w:tab/>
        <w:t>Treasurer’s agreement to draft strategic development plan</w:t>
      </w:r>
      <w:r>
        <w:tab/>
      </w:r>
      <w:r>
        <w:fldChar w:fldCharType="begin"/>
      </w:r>
      <w:r>
        <w:instrText xml:space="preserve"> PAGEREF _Toc116814098 \h </w:instrText>
      </w:r>
      <w:r>
        <w:fldChar w:fldCharType="separate"/>
      </w:r>
      <w:r>
        <w:t>25</w:t>
      </w:r>
      <w:r>
        <w:fldChar w:fldCharType="end"/>
      </w:r>
    </w:p>
    <w:p>
      <w:pPr>
        <w:pStyle w:val="TOC8"/>
        <w:rPr>
          <w:sz w:val="24"/>
          <w:szCs w:val="24"/>
        </w:rPr>
      </w:pPr>
      <w:r>
        <w:rPr>
          <w:szCs w:val="24"/>
        </w:rPr>
        <w:t>16H.</w:t>
      </w:r>
      <w:r>
        <w:rPr>
          <w:szCs w:val="24"/>
        </w:rPr>
        <w:tab/>
        <w:t>Modifications of strategic development plan</w:t>
      </w:r>
      <w:r>
        <w:tab/>
      </w:r>
      <w:r>
        <w:fldChar w:fldCharType="begin"/>
      </w:r>
      <w:r>
        <w:instrText xml:space="preserve"> PAGEREF _Toc116814099 \h </w:instrText>
      </w:r>
      <w:r>
        <w:fldChar w:fldCharType="separate"/>
      </w:r>
      <w:r>
        <w:t>25</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Treasurer</w:t>
      </w:r>
      <w:r>
        <w:tab/>
      </w:r>
      <w:r>
        <w:fldChar w:fldCharType="begin"/>
      </w:r>
      <w:r>
        <w:instrText xml:space="preserve"> PAGEREF _Toc116814101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_Toc116814102 \h </w:instrText>
      </w:r>
      <w:r>
        <w:fldChar w:fldCharType="separate"/>
      </w:r>
      <w:r>
        <w:t>26</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_Toc116814103 \h </w:instrText>
      </w:r>
      <w:r>
        <w:fldChar w:fldCharType="separate"/>
      </w:r>
      <w:r>
        <w:t>27</w:t>
      </w:r>
      <w:r>
        <w:fldChar w:fldCharType="end"/>
      </w:r>
    </w:p>
    <w:p>
      <w:pPr>
        <w:pStyle w:val="TOC8"/>
        <w:rPr>
          <w:sz w:val="24"/>
          <w:szCs w:val="24"/>
        </w:rPr>
      </w:pPr>
      <w:r>
        <w:rPr>
          <w:szCs w:val="24"/>
        </w:rPr>
        <w:t>16M.</w:t>
      </w:r>
      <w:r>
        <w:rPr>
          <w:szCs w:val="24"/>
        </w:rPr>
        <w:tab/>
        <w:t>Treasurer’s powers in relation to draft statement of corporate intent</w:t>
      </w:r>
      <w:r>
        <w:tab/>
      </w:r>
      <w:r>
        <w:fldChar w:fldCharType="begin"/>
      </w:r>
      <w:r>
        <w:instrText xml:space="preserve"> PAGEREF _Toc116814104 \h </w:instrText>
      </w:r>
      <w:r>
        <w:fldChar w:fldCharType="separate"/>
      </w:r>
      <w:r>
        <w:t>27</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_Toc116814105 \h </w:instrText>
      </w:r>
      <w:r>
        <w:fldChar w:fldCharType="separate"/>
      </w:r>
      <w:r>
        <w:t>28</w:t>
      </w:r>
      <w:r>
        <w:fldChar w:fldCharType="end"/>
      </w:r>
    </w:p>
    <w:p>
      <w:pPr>
        <w:pStyle w:val="TOC8"/>
        <w:rPr>
          <w:sz w:val="24"/>
          <w:szCs w:val="24"/>
        </w:rPr>
      </w:pPr>
      <w:r>
        <w:rPr>
          <w:szCs w:val="24"/>
        </w:rPr>
        <w:t>16O.</w:t>
      </w:r>
      <w:r>
        <w:rPr>
          <w:szCs w:val="24"/>
        </w:rPr>
        <w:tab/>
        <w:t>Treasurer’s agreement to draft statement of corporate intent</w:t>
      </w:r>
      <w:r>
        <w:tab/>
      </w:r>
      <w:r>
        <w:fldChar w:fldCharType="begin"/>
      </w:r>
      <w:r>
        <w:instrText xml:space="preserve"> PAGEREF _Toc116814106 \h </w:instrText>
      </w:r>
      <w:r>
        <w:fldChar w:fldCharType="separate"/>
      </w:r>
      <w:r>
        <w:t>28</w:t>
      </w:r>
      <w:r>
        <w:fldChar w:fldCharType="end"/>
      </w:r>
    </w:p>
    <w:p>
      <w:pPr>
        <w:pStyle w:val="TOC8"/>
        <w:rPr>
          <w:sz w:val="24"/>
          <w:szCs w:val="24"/>
        </w:rPr>
      </w:pPr>
      <w:r>
        <w:rPr>
          <w:szCs w:val="24"/>
        </w:rPr>
        <w:t>16P.</w:t>
      </w:r>
      <w:r>
        <w:rPr>
          <w:szCs w:val="24"/>
        </w:rPr>
        <w:tab/>
        <w:t>Modifications of statement of corporate intent</w:t>
      </w:r>
      <w:r>
        <w:tab/>
      </w:r>
      <w:r>
        <w:fldChar w:fldCharType="begin"/>
      </w:r>
      <w:r>
        <w:instrText xml:space="preserve"> PAGEREF _Toc116814107 \h </w:instrText>
      </w:r>
      <w:r>
        <w:fldChar w:fldCharType="separate"/>
      </w:r>
      <w:r>
        <w:t>29</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_Toc116814109 \h </w:instrText>
      </w:r>
      <w:r>
        <w:fldChar w:fldCharType="separate"/>
      </w:r>
      <w:r>
        <w:t>29</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_Toc116814111 \h </w:instrText>
      </w:r>
      <w:r>
        <w:fldChar w:fldCharType="separate"/>
      </w:r>
      <w:r>
        <w:t>31</w:t>
      </w:r>
      <w:r>
        <w:fldChar w:fldCharType="end"/>
      </w:r>
    </w:p>
    <w:p>
      <w:pPr>
        <w:pStyle w:val="TOC8"/>
        <w:rPr>
          <w:sz w:val="24"/>
          <w:szCs w:val="24"/>
        </w:rPr>
      </w:pPr>
      <w:r>
        <w:rPr>
          <w:szCs w:val="24"/>
        </w:rPr>
        <w:t>17A.</w:t>
      </w:r>
      <w:r>
        <w:rPr>
          <w:szCs w:val="24"/>
        </w:rPr>
        <w:tab/>
        <w:t>Dividends</w:t>
      </w:r>
      <w:r>
        <w:tab/>
      </w:r>
      <w:r>
        <w:fldChar w:fldCharType="begin"/>
      </w:r>
      <w:r>
        <w:instrText xml:space="preserve"> PAGEREF _Toc116814112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_Toc116814113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Treasurer of power of approval</w:t>
      </w:r>
      <w:r>
        <w:tab/>
      </w:r>
      <w:r>
        <w:fldChar w:fldCharType="begin"/>
      </w:r>
      <w:r>
        <w:instrText xml:space="preserve"> PAGEREF _Toc116814114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Directions by Treasurer</w:t>
      </w:r>
      <w:r>
        <w:tab/>
      </w:r>
      <w:r>
        <w:fldChar w:fldCharType="begin"/>
      </w:r>
      <w:r>
        <w:instrText xml:space="preserve"> PAGEREF _Toc116814115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_Toc116814116 \h </w:instrText>
      </w:r>
      <w:r>
        <w:fldChar w:fldCharType="separate"/>
      </w:r>
      <w:r>
        <w:t>34</w:t>
      </w:r>
      <w:r>
        <w:fldChar w:fldCharType="end"/>
      </w:r>
    </w:p>
    <w:p>
      <w:pPr>
        <w:pStyle w:val="TOC8"/>
        <w:rPr>
          <w:sz w:val="24"/>
          <w:szCs w:val="24"/>
        </w:rPr>
      </w:pPr>
      <w:r>
        <w:rPr>
          <w:szCs w:val="24"/>
        </w:rPr>
        <w:t>21A</w:t>
      </w:r>
      <w:r>
        <w:rPr>
          <w:snapToGrid w:val="0"/>
          <w:szCs w:val="24"/>
        </w:rPr>
        <w:t xml:space="preserve">. </w:t>
      </w:r>
      <w:r>
        <w:rPr>
          <w:snapToGrid w:val="0"/>
          <w:szCs w:val="24"/>
        </w:rPr>
        <w:tab/>
        <w:t>Treasurer to have access to information</w:t>
      </w:r>
      <w:r>
        <w:tab/>
      </w:r>
      <w:r>
        <w:fldChar w:fldCharType="begin"/>
      </w:r>
      <w:r>
        <w:instrText xml:space="preserve"> PAGEREF _Toc116814117 \h </w:instrText>
      </w:r>
      <w:r>
        <w:fldChar w:fldCharType="separate"/>
      </w:r>
      <w:r>
        <w:t>34</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_Toc116814118 \h </w:instrText>
      </w:r>
      <w:r>
        <w:fldChar w:fldCharType="separate"/>
      </w:r>
      <w:r>
        <w:t>35</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_Toc116814119 \h </w:instrText>
      </w:r>
      <w:r>
        <w:fldChar w:fldCharType="separate"/>
      </w:r>
      <w:r>
        <w:t>36</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_Toc116814121 \h </w:instrText>
      </w:r>
      <w:r>
        <w:fldChar w:fldCharType="separate"/>
      </w:r>
      <w:r>
        <w:t>38</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_Toc116814122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_Toc116814123 \h </w:instrText>
      </w:r>
      <w:r>
        <w:fldChar w:fldCharType="separate"/>
      </w:r>
      <w:r>
        <w:t>40</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_Toc116814127 \h </w:instrText>
      </w:r>
      <w:r>
        <w:fldChar w:fldCharType="separate"/>
      </w:r>
      <w:r>
        <w:t>42</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_Toc116814128 \h </w:instrText>
      </w:r>
      <w:r>
        <w:fldChar w:fldCharType="separate"/>
      </w:r>
      <w:r>
        <w:t>42</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_Toc116814129 \h </w:instrText>
      </w:r>
      <w:r>
        <w:fldChar w:fldCharType="separate"/>
      </w:r>
      <w:r>
        <w:t>42</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_Toc116814130 \h </w:instrText>
      </w:r>
      <w:r>
        <w:fldChar w:fldCharType="separate"/>
      </w:r>
      <w:r>
        <w:t>43</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_Toc116814131 \h </w:instrText>
      </w:r>
      <w:r>
        <w:fldChar w:fldCharType="separate"/>
      </w:r>
      <w:r>
        <w:t>43</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_Toc116814132 \h </w:instrText>
      </w:r>
      <w:r>
        <w:fldChar w:fldCharType="separate"/>
      </w:r>
      <w:r>
        <w:t>43</w:t>
      </w:r>
      <w:r>
        <w:fldChar w:fldCharType="end"/>
      </w:r>
    </w:p>
    <w:p>
      <w:pPr>
        <w:pStyle w:val="TOC8"/>
        <w:rPr>
          <w:sz w:val="24"/>
          <w:szCs w:val="24"/>
        </w:rPr>
      </w:pPr>
      <w:r>
        <w:rPr>
          <w:szCs w:val="22"/>
        </w:rPr>
        <w:t>7.</w:t>
      </w:r>
      <w:r>
        <w:rPr>
          <w:szCs w:val="22"/>
        </w:rPr>
        <w:tab/>
        <w:t>Saving</w:t>
      </w:r>
      <w:r>
        <w:tab/>
      </w:r>
      <w:r>
        <w:fldChar w:fldCharType="begin"/>
      </w:r>
      <w:r>
        <w:instrText xml:space="preserve"> PAGEREF _Toc116814133 \h </w:instrText>
      </w:r>
      <w:r>
        <w:fldChar w:fldCharType="separate"/>
      </w:r>
      <w:r>
        <w:t>43</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_Toc116814134 \h </w:instrText>
      </w:r>
      <w:r>
        <w:fldChar w:fldCharType="separate"/>
      </w:r>
      <w:r>
        <w:t>44</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_Toc116814135 \h </w:instrText>
      </w:r>
      <w:r>
        <w:fldChar w:fldCharType="separate"/>
      </w:r>
      <w:r>
        <w:t>44</w:t>
      </w:r>
      <w:r>
        <w:fldChar w:fldCharType="end"/>
      </w:r>
    </w:p>
    <w:p>
      <w:pPr>
        <w:pStyle w:val="TOC8"/>
        <w:rPr>
          <w:sz w:val="24"/>
          <w:szCs w:val="24"/>
        </w:rPr>
      </w:pPr>
      <w:r>
        <w:rPr>
          <w:szCs w:val="22"/>
        </w:rPr>
        <w:t>10.</w:t>
      </w:r>
      <w:r>
        <w:rPr>
          <w:szCs w:val="22"/>
        </w:rPr>
        <w:tab/>
        <w:t>Quorum</w:t>
      </w:r>
      <w:r>
        <w:tab/>
      </w:r>
      <w:r>
        <w:fldChar w:fldCharType="begin"/>
      </w:r>
      <w:r>
        <w:instrText xml:space="preserve"> PAGEREF _Toc116814136 \h </w:instrText>
      </w:r>
      <w:r>
        <w:fldChar w:fldCharType="separate"/>
      </w:r>
      <w:r>
        <w:t>44</w:t>
      </w:r>
      <w:r>
        <w:fldChar w:fldCharType="end"/>
      </w:r>
    </w:p>
    <w:p>
      <w:pPr>
        <w:pStyle w:val="TOC8"/>
        <w:rPr>
          <w:sz w:val="24"/>
          <w:szCs w:val="24"/>
        </w:rPr>
      </w:pPr>
      <w:r>
        <w:rPr>
          <w:szCs w:val="22"/>
        </w:rPr>
        <w:t>11.</w:t>
      </w:r>
      <w:r>
        <w:rPr>
          <w:szCs w:val="22"/>
        </w:rPr>
        <w:tab/>
        <w:t>Voting</w:t>
      </w:r>
      <w:r>
        <w:tab/>
      </w:r>
      <w:r>
        <w:fldChar w:fldCharType="begin"/>
      </w:r>
      <w:r>
        <w:instrText xml:space="preserve"> PAGEREF _Toc116814137 \h </w:instrText>
      </w:r>
      <w:r>
        <w:fldChar w:fldCharType="separate"/>
      </w:r>
      <w:r>
        <w:t>44</w:t>
      </w:r>
      <w:r>
        <w:fldChar w:fldCharType="end"/>
      </w:r>
    </w:p>
    <w:p>
      <w:pPr>
        <w:pStyle w:val="TOC8"/>
        <w:rPr>
          <w:sz w:val="24"/>
          <w:szCs w:val="24"/>
        </w:rPr>
      </w:pPr>
      <w:r>
        <w:rPr>
          <w:szCs w:val="22"/>
        </w:rPr>
        <w:t>12.</w:t>
      </w:r>
      <w:r>
        <w:rPr>
          <w:szCs w:val="22"/>
        </w:rPr>
        <w:tab/>
        <w:t>Minutes</w:t>
      </w:r>
      <w:r>
        <w:tab/>
      </w:r>
      <w:r>
        <w:fldChar w:fldCharType="begin"/>
      </w:r>
      <w:r>
        <w:instrText xml:space="preserve"> PAGEREF _Toc116814138 \h </w:instrText>
      </w:r>
      <w:r>
        <w:fldChar w:fldCharType="separate"/>
      </w:r>
      <w:r>
        <w:t>45</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_Toc116814139 \h </w:instrText>
      </w:r>
      <w:r>
        <w:fldChar w:fldCharType="separate"/>
      </w:r>
      <w:r>
        <w:t>45</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_Toc116814140 \h </w:instrText>
      </w:r>
      <w:r>
        <w:fldChar w:fldCharType="separate"/>
      </w:r>
      <w:r>
        <w:t>45</w:t>
      </w:r>
      <w:r>
        <w:fldChar w:fldCharType="end"/>
      </w:r>
    </w:p>
    <w:p>
      <w:pPr>
        <w:pStyle w:val="TOC8"/>
        <w:rPr>
          <w:sz w:val="24"/>
          <w:szCs w:val="24"/>
        </w:rPr>
      </w:pPr>
      <w:r>
        <w:rPr>
          <w:szCs w:val="22"/>
        </w:rPr>
        <w:t>15.</w:t>
      </w:r>
      <w:r>
        <w:rPr>
          <w:szCs w:val="22"/>
        </w:rPr>
        <w:tab/>
        <w:t>Committees</w:t>
      </w:r>
      <w:r>
        <w:tab/>
      </w:r>
      <w:r>
        <w:fldChar w:fldCharType="begin"/>
      </w:r>
      <w:r>
        <w:instrText xml:space="preserve"> PAGEREF _Toc116814141 \h </w:instrText>
      </w:r>
      <w:r>
        <w:fldChar w:fldCharType="separate"/>
      </w:r>
      <w:r>
        <w:t>45</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_Toc116814142 \h </w:instrText>
      </w:r>
      <w:r>
        <w:fldChar w:fldCharType="separate"/>
      </w:r>
      <w:r>
        <w:t>46</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_Toc116814144 \h </w:instrText>
      </w:r>
      <w:r>
        <w:fldChar w:fldCharType="separate"/>
      </w:r>
      <w:r>
        <w:t>46</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_Toc116814145 \h </w:instrText>
      </w:r>
      <w:r>
        <w:fldChar w:fldCharType="separate"/>
      </w:r>
      <w:r>
        <w:t>46</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_Toc116814146 \h </w:instrText>
      </w:r>
      <w:r>
        <w:fldChar w:fldCharType="separate"/>
      </w:r>
      <w:r>
        <w:t>47</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_Toc116814147 \h </w:instrText>
      </w:r>
      <w:r>
        <w:fldChar w:fldCharType="separate"/>
      </w:r>
      <w:r>
        <w:t>47</w:t>
      </w:r>
      <w:r>
        <w:fldChar w:fldCharType="end"/>
      </w:r>
    </w:p>
    <w:p>
      <w:pPr>
        <w:pStyle w:val="TOC8"/>
        <w:rPr>
          <w:sz w:val="24"/>
          <w:szCs w:val="24"/>
        </w:rPr>
      </w:pPr>
      <w:r>
        <w:rPr>
          <w:szCs w:val="22"/>
        </w:rPr>
        <w:t>21.</w:t>
      </w:r>
      <w:r>
        <w:rPr>
          <w:szCs w:val="22"/>
        </w:rPr>
        <w:tab/>
        <w:t>Treasurer may declare clauses 18 and 20 inapplicable</w:t>
      </w:r>
      <w:r>
        <w:tab/>
      </w:r>
      <w:r>
        <w:fldChar w:fldCharType="begin"/>
      </w:r>
      <w:r>
        <w:instrText xml:space="preserve"> PAGEREF _Toc116814148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_Toc116814150 \h </w:instrText>
      </w:r>
      <w:r>
        <w:fldChar w:fldCharType="separate"/>
      </w:r>
      <w:r>
        <w:t>48</w:t>
      </w:r>
      <w:r>
        <w:fldChar w:fldCharType="end"/>
      </w:r>
    </w:p>
    <w:p>
      <w:pPr>
        <w:pStyle w:val="TOC8"/>
        <w:rPr>
          <w:sz w:val="24"/>
        </w:rPr>
      </w:pPr>
      <w:r>
        <w:rPr>
          <w:snapToGrid w:val="0"/>
        </w:rPr>
        <w:tab/>
        <w:t>Provisions that have not come into operation</w:t>
      </w:r>
      <w:r>
        <w:tab/>
      </w:r>
      <w:r>
        <w:fldChar w:fldCharType="begin"/>
      </w:r>
      <w:r>
        <w:instrText xml:space="preserve"> PAGEREF _Toc116814151 \h </w:instrText>
      </w:r>
      <w:r>
        <w:fldChar w:fldCharType="separate"/>
      </w:r>
      <w:r>
        <w:t>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Western Australian Treasury Corporation Act 1986 </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87871037"/>
      <w:bookmarkStart w:id="10" w:name="_Toc520106623"/>
      <w:bookmarkStart w:id="11" w:name="_Toc116814064"/>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2" w:name="_Toc487871038"/>
      <w:bookmarkStart w:id="13" w:name="_Toc520106624"/>
      <w:bookmarkStart w:id="14" w:name="_Toc116814065"/>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5" w:name="_Toc487871039"/>
      <w:bookmarkStart w:id="16" w:name="_Toc520106625"/>
      <w:bookmarkStart w:id="17" w:name="_Toc116814066"/>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director</w:t>
      </w:r>
      <w:r>
        <w:rPr>
          <w:b/>
        </w:rPr>
        <w:t>”</w:t>
      </w:r>
      <w:r>
        <w:t xml:space="preserve"> means a director appointed under section 5B(1)(d);</w:t>
      </w:r>
    </w:p>
    <w:p>
      <w:pPr>
        <w:pStyle w:val="Defstart"/>
      </w:pPr>
      <w:r>
        <w:rPr>
          <w:b/>
        </w:rPr>
        <w:tab/>
        <w:t>“</w:t>
      </w:r>
      <w:r>
        <w:rPr>
          <w:rStyle w:val="CharDefText"/>
        </w:rPr>
        <w:t>authority</w:t>
      </w:r>
      <w:r>
        <w:rPr>
          <w:b/>
        </w:rPr>
        <w:t>”</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r>
      <w:r>
        <w:tab/>
        <w:t>but does not include body corporate belonging to any of the classes of body corporate specified in Schedule 1;</w:t>
      </w:r>
    </w:p>
    <w:p>
      <w:pPr>
        <w:pStyle w:val="Defstart"/>
      </w:pPr>
      <w:r>
        <w:tab/>
      </w:r>
      <w:r>
        <w:rPr>
          <w:b/>
        </w:rPr>
        <w:t>“</w:t>
      </w:r>
      <w:r>
        <w:rPr>
          <w:rStyle w:val="CharDefText"/>
        </w:rPr>
        <w:t>board</w:t>
      </w:r>
      <w:r>
        <w:rPr>
          <w:b/>
        </w:rPr>
        <w:t>”</w:t>
      </w:r>
      <w:r>
        <w:t xml:space="preserve"> means the board of directors provided for by section 5B;</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r>
      <w:r>
        <w:tab/>
        <w:t xml:space="preserve">and </w:t>
      </w:r>
      <w:r>
        <w:rPr>
          <w:b/>
        </w:rPr>
        <w:t>“</w:t>
      </w:r>
      <w:r>
        <w:rPr>
          <w:rStyle w:val="CharDefText"/>
        </w:rPr>
        <w:t>lend</w:t>
      </w:r>
      <w:r>
        <w:rPr>
          <w:b/>
        </w:rPr>
        <w:t>”</w:t>
      </w:r>
      <w:r>
        <w:t xml:space="preserve"> shall be construed accordingly;</w:t>
      </w:r>
    </w:p>
    <w:p>
      <w:pPr>
        <w:pStyle w:val="Defstart"/>
      </w:pPr>
      <w:r>
        <w:tab/>
      </w:r>
      <w:r>
        <w:rPr>
          <w:b/>
        </w:rPr>
        <w:t>“</w:t>
      </w:r>
      <w:r>
        <w:rPr>
          <w:rStyle w:val="CharDefText"/>
        </w:rPr>
        <w:t>chief executive officer</w:t>
      </w:r>
      <w:r>
        <w:rPr>
          <w:b/>
        </w:rPr>
        <w:t>”</w:t>
      </w:r>
      <w:r>
        <w:t xml:space="preserve"> means the person appointed as such under section 8;</w:t>
      </w:r>
    </w:p>
    <w:p>
      <w:pPr>
        <w:pStyle w:val="Defstart"/>
      </w:pPr>
      <w:r>
        <w:rPr>
          <w:b/>
        </w:rPr>
        <w:tab/>
        <w:t>“</w:t>
      </w:r>
      <w:r>
        <w:rPr>
          <w:rStyle w:val="CharDefText"/>
        </w:rPr>
        <w:t>create</w:t>
      </w:r>
      <w:r>
        <w:rPr>
          <w:b/>
        </w:rPr>
        <w:t>”</w:t>
      </w:r>
      <w:r>
        <w:t>, in relation to debt paper, includes issue and sell;</w:t>
      </w:r>
    </w:p>
    <w:p>
      <w:pPr>
        <w:pStyle w:val="Defstart"/>
      </w:pPr>
      <w:r>
        <w:rPr>
          <w:b/>
        </w:rPr>
        <w:tab/>
        <w:t>“</w:t>
      </w:r>
      <w:r>
        <w:rPr>
          <w:rStyle w:val="CharDefText"/>
        </w:rPr>
        <w:t>debt paper</w:t>
      </w:r>
      <w:r>
        <w:rPr>
          <w:b/>
        </w:rPr>
        <w:t>”</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b/>
        </w:rPr>
        <w:t>“</w:t>
      </w:r>
      <w:r>
        <w:rPr>
          <w:rStyle w:val="CharDefText"/>
        </w:rPr>
        <w:t>director</w:t>
      </w:r>
      <w:r>
        <w:rPr>
          <w:b/>
        </w:rPr>
        <w:t>”</w:t>
      </w:r>
      <w:r>
        <w:t xml:space="preserve"> means a member of the board;</w:t>
      </w:r>
    </w:p>
    <w:p>
      <w:pPr>
        <w:pStyle w:val="Defstart"/>
        <w:spacing w:before="60"/>
      </w:pPr>
      <w:r>
        <w:rPr>
          <w:b/>
        </w:rPr>
        <w:tab/>
        <w:t>“</w:t>
      </w:r>
      <w:r>
        <w:rPr>
          <w:rStyle w:val="CharDefText"/>
        </w:rPr>
        <w:t>financial institution</w:t>
      </w:r>
      <w:r>
        <w:rPr>
          <w:b/>
        </w:rPr>
        <w:t>”</w:t>
      </w:r>
      <w:r>
        <w:t xml:space="preserve"> means financial institution situated inside or outside Australia;</w:t>
      </w:r>
    </w:p>
    <w:p>
      <w:pPr>
        <w:pStyle w:val="Defstart"/>
        <w:spacing w:before="60"/>
      </w:pPr>
      <w:r>
        <w:rPr>
          <w:b/>
        </w:rPr>
        <w:tab/>
        <w:t>“</w:t>
      </w:r>
      <w:r>
        <w:rPr>
          <w:rStyle w:val="CharDefText"/>
        </w:rPr>
        <w:t>interest rate</w:t>
      </w:r>
      <w:r>
        <w:rPr>
          <w:b/>
        </w:rPr>
        <w:t>”</w:t>
      </w:r>
      <w:r>
        <w:t xml:space="preserve"> includes coupon rate, discount rate and yield;</w:t>
      </w:r>
    </w:p>
    <w:p>
      <w:pPr>
        <w:pStyle w:val="Defstart"/>
        <w:spacing w:before="60"/>
      </w:pPr>
      <w:r>
        <w:rPr>
          <w:b/>
        </w:rPr>
        <w:tab/>
        <w:t>“</w:t>
      </w:r>
      <w:r>
        <w:rPr>
          <w:rStyle w:val="CharDefText"/>
        </w:rPr>
        <w:t>the Account</w:t>
      </w:r>
      <w:r>
        <w:rPr>
          <w:b/>
        </w:rPr>
        <w:t>”</w:t>
      </w:r>
      <w:r>
        <w:t xml:space="preserve"> means the Western Australian Treasury Corporation Account referred to in section 17(1);</w:t>
      </w:r>
    </w:p>
    <w:p>
      <w:pPr>
        <w:pStyle w:val="Defstart"/>
        <w:spacing w:before="60"/>
      </w:pPr>
      <w:r>
        <w:rPr>
          <w:b/>
        </w:rPr>
        <w:tab/>
        <w:t>“</w:t>
      </w:r>
      <w:r>
        <w:rPr>
          <w:rStyle w:val="CharDefText"/>
        </w:rPr>
        <w:t>the Corporation</w:t>
      </w:r>
      <w:r>
        <w:rPr>
          <w:b/>
        </w:rPr>
        <w:t>”</w:t>
      </w:r>
      <w:r>
        <w:t xml:space="preserve"> means the Western Australian Treasury Corporation established by section 5(1);</w:t>
      </w:r>
    </w:p>
    <w:p>
      <w:pPr>
        <w:pStyle w:val="Defstart"/>
        <w:spacing w:before="60"/>
      </w:pPr>
      <w:r>
        <w:rPr>
          <w:b/>
        </w:rPr>
        <w:tab/>
        <w:t>“</w:t>
      </w:r>
      <w:r>
        <w:rPr>
          <w:rStyle w:val="CharDefText"/>
        </w:rPr>
        <w:t>the repealed Act</w:t>
      </w:r>
      <w:r>
        <w:rPr>
          <w:b/>
        </w:rPr>
        <w:t>”</w:t>
      </w:r>
      <w:r>
        <w:t xml:space="preserve"> means the </w:t>
      </w:r>
      <w:r>
        <w:rPr>
          <w:i/>
        </w:rPr>
        <w:t>Borrowings for Authorities Act 1981</w:t>
      </w:r>
      <w:r>
        <w:t>;</w:t>
      </w:r>
    </w:p>
    <w:p>
      <w:pPr>
        <w:pStyle w:val="Defstart"/>
        <w:spacing w:before="60"/>
      </w:pPr>
      <w:r>
        <w:tab/>
      </w:r>
      <w:r>
        <w:rPr>
          <w:b/>
        </w:rPr>
        <w:t>“</w:t>
      </w:r>
      <w:r>
        <w:rPr>
          <w:rStyle w:val="CharDefText"/>
        </w:rPr>
        <w:t>Under Treasurer</w:t>
      </w:r>
      <w:r>
        <w:rPr>
          <w:b/>
        </w:rPr>
        <w:t>”</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 xml:space="preserve">[Section 3 amended by No. 24 of 1992 s. 4; No. 25 of 1998 s. 5.] </w:t>
      </w:r>
    </w:p>
    <w:p>
      <w:pPr>
        <w:pStyle w:val="Heading5"/>
        <w:spacing w:before="180"/>
        <w:rPr>
          <w:snapToGrid w:val="0"/>
        </w:rPr>
      </w:pPr>
      <w:bookmarkStart w:id="18" w:name="_Toc487871040"/>
      <w:bookmarkStart w:id="19" w:name="_Toc520106626"/>
      <w:bookmarkStart w:id="20" w:name="_Toc116814067"/>
      <w:r>
        <w:rPr>
          <w:rStyle w:val="CharSectno"/>
        </w:rPr>
        <w:t>4</w:t>
      </w:r>
      <w:r>
        <w:rPr>
          <w:snapToGrid w:val="0"/>
        </w:rPr>
        <w:t>.</w:t>
      </w:r>
      <w:r>
        <w:rPr>
          <w:snapToGrid w:val="0"/>
        </w:rPr>
        <w:tab/>
        <w:t>Act to prevail over certain written laws</w:t>
      </w:r>
      <w:bookmarkEnd w:id="18"/>
      <w:bookmarkEnd w:id="19"/>
      <w:bookmarkEnd w:id="20"/>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1" w:name="_Toc112230221"/>
      <w:bookmarkStart w:id="22" w:name="_Toc112464869"/>
      <w:bookmarkStart w:id="23" w:name="_Toc113080854"/>
      <w:bookmarkStart w:id="24" w:name="_Toc113253435"/>
      <w:bookmarkStart w:id="25" w:name="_Toc113253793"/>
      <w:bookmarkStart w:id="26" w:name="_Toc114894633"/>
      <w:bookmarkStart w:id="27" w:name="_Toc116717718"/>
      <w:bookmarkStart w:id="28" w:name="_Toc116814068"/>
      <w:r>
        <w:rPr>
          <w:rStyle w:val="CharPartNo"/>
        </w:rPr>
        <w:t>Part II</w:t>
      </w:r>
      <w:r>
        <w:rPr>
          <w:rStyle w:val="CharDivNo"/>
        </w:rPr>
        <w:t> </w:t>
      </w:r>
      <w:r>
        <w:t>—</w:t>
      </w:r>
      <w:r>
        <w:rPr>
          <w:rStyle w:val="CharDivText"/>
        </w:rPr>
        <w:t> </w:t>
      </w:r>
      <w:r>
        <w:rPr>
          <w:rStyle w:val="CharPartText"/>
        </w:rPr>
        <w:t>Western Australian Treasury Corporation</w:t>
      </w:r>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7871041"/>
      <w:bookmarkStart w:id="30" w:name="_Toc520106627"/>
      <w:bookmarkStart w:id="31" w:name="_Toc116814069"/>
      <w:r>
        <w:rPr>
          <w:rStyle w:val="CharSectno"/>
        </w:rPr>
        <w:t>5</w:t>
      </w:r>
      <w:r>
        <w:rPr>
          <w:snapToGrid w:val="0"/>
        </w:rPr>
        <w:t>.</w:t>
      </w:r>
      <w:r>
        <w:rPr>
          <w:snapToGrid w:val="0"/>
        </w:rPr>
        <w:tab/>
        <w:t>Western Australian Treasury Corporation established as body corporate</w:t>
      </w:r>
      <w:bookmarkEnd w:id="29"/>
      <w:bookmarkEnd w:id="30"/>
      <w:bookmarkEnd w:id="31"/>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32" w:name="_Toc487871042"/>
      <w:bookmarkStart w:id="33" w:name="_Toc520106628"/>
      <w:bookmarkStart w:id="34" w:name="_Toc116814070"/>
      <w:r>
        <w:rPr>
          <w:rStyle w:val="CharSectno"/>
        </w:rPr>
        <w:t>5A</w:t>
      </w:r>
      <w:r>
        <w:t>.</w:t>
      </w:r>
      <w:r>
        <w:tab/>
        <w:t>Agent of Crown</w:t>
      </w:r>
      <w:bookmarkEnd w:id="32"/>
      <w:bookmarkEnd w:id="33"/>
      <w:bookmarkEnd w:id="34"/>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35" w:name="_Toc487871043"/>
      <w:bookmarkStart w:id="36" w:name="_Toc520106629"/>
      <w:bookmarkStart w:id="37" w:name="_Toc116814071"/>
      <w:r>
        <w:rPr>
          <w:rStyle w:val="CharSectno"/>
        </w:rPr>
        <w:t>5B</w:t>
      </w:r>
      <w:r>
        <w:t>.</w:t>
      </w:r>
      <w:r>
        <w:tab/>
        <w:t>Board of directors</w:t>
      </w:r>
      <w:bookmarkEnd w:id="35"/>
      <w:bookmarkEnd w:id="36"/>
      <w:bookmarkEnd w:id="37"/>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for the time being; and</w:t>
      </w:r>
    </w:p>
    <w:p>
      <w:pPr>
        <w:pStyle w:val="Indenta"/>
      </w:pPr>
      <w:r>
        <w:tab/>
        <w:t>(d)</w:t>
      </w:r>
      <w:r>
        <w:tab/>
        <w:t xml:space="preserve">up to 3 other persons with relevant commercial or financial experience appointed by the Treasurer.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w:t>
      </w:r>
    </w:p>
    <w:p>
      <w:pPr>
        <w:pStyle w:val="Heading5"/>
      </w:pPr>
      <w:bookmarkStart w:id="38" w:name="_Toc487871044"/>
      <w:bookmarkStart w:id="39" w:name="_Toc520106630"/>
      <w:bookmarkStart w:id="40" w:name="_Toc116814072"/>
      <w:r>
        <w:rPr>
          <w:rStyle w:val="CharSectno"/>
        </w:rPr>
        <w:t>5C</w:t>
      </w:r>
      <w:r>
        <w:t>.</w:t>
      </w:r>
      <w:r>
        <w:tab/>
        <w:t>Constitution and proceedings of board</w:t>
      </w:r>
      <w:bookmarkEnd w:id="38"/>
      <w:bookmarkEnd w:id="39"/>
      <w:bookmarkEnd w:id="40"/>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41" w:name="_Toc487871045"/>
      <w:bookmarkStart w:id="42" w:name="_Toc520106631"/>
      <w:bookmarkStart w:id="43" w:name="_Toc116814073"/>
      <w:r>
        <w:rPr>
          <w:rStyle w:val="CharSectno"/>
        </w:rPr>
        <w:t>5D</w:t>
      </w:r>
      <w:r>
        <w:t>.</w:t>
      </w:r>
      <w:r>
        <w:tab/>
        <w:t>Remuneration of directors and committee members</w:t>
      </w:r>
      <w:bookmarkEnd w:id="41"/>
      <w:bookmarkEnd w:id="42"/>
      <w:bookmarkEnd w:id="43"/>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Treasurer on the recommendation of the Minister for Public Sector Management.</w:t>
      </w:r>
    </w:p>
    <w:p>
      <w:pPr>
        <w:pStyle w:val="Footnotesection"/>
      </w:pPr>
      <w:r>
        <w:tab/>
        <w:t>[Section 5D inserted by No. 25 of 1998 s. 7(1).]</w:t>
      </w:r>
    </w:p>
    <w:p>
      <w:pPr>
        <w:pStyle w:val="Heading5"/>
        <w:rPr>
          <w:snapToGrid w:val="0"/>
        </w:rPr>
      </w:pPr>
      <w:bookmarkStart w:id="44" w:name="_Toc487871046"/>
      <w:bookmarkStart w:id="45" w:name="_Toc520106632"/>
      <w:bookmarkStart w:id="46" w:name="_Toc116814074"/>
      <w:r>
        <w:rPr>
          <w:rStyle w:val="CharSectno"/>
        </w:rPr>
        <w:t>6</w:t>
      </w:r>
      <w:r>
        <w:rPr>
          <w:snapToGrid w:val="0"/>
        </w:rPr>
        <w:t>.</w:t>
      </w:r>
      <w:r>
        <w:rPr>
          <w:snapToGrid w:val="0"/>
        </w:rPr>
        <w:tab/>
        <w:t>Common seal, agents, attorneys and facsimiles of Corporation</w:t>
      </w:r>
      <w:bookmarkEnd w:id="44"/>
      <w:bookmarkEnd w:id="45"/>
      <w:bookmarkEnd w:id="46"/>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47" w:name="_Toc487871047"/>
      <w:bookmarkStart w:id="48" w:name="_Toc520106633"/>
      <w:bookmarkStart w:id="49" w:name="_Toc116814075"/>
      <w:r>
        <w:rPr>
          <w:rStyle w:val="CharSectno"/>
        </w:rPr>
        <w:t>7</w:t>
      </w:r>
      <w:r>
        <w:rPr>
          <w:snapToGrid w:val="0"/>
        </w:rPr>
        <w:t>.</w:t>
      </w:r>
      <w:r>
        <w:rPr>
          <w:snapToGrid w:val="0"/>
        </w:rPr>
        <w:tab/>
        <w:t>Liability of Corporation for duties, taxes etc.</w:t>
      </w:r>
      <w:bookmarkEnd w:id="47"/>
      <w:bookmarkEnd w:id="48"/>
      <w:bookmarkEnd w:id="49"/>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50" w:name="_Toc487871048"/>
      <w:bookmarkStart w:id="51" w:name="_Toc520106634"/>
      <w:bookmarkStart w:id="52" w:name="_Toc116814076"/>
      <w:r>
        <w:rPr>
          <w:rStyle w:val="CharSectno"/>
        </w:rPr>
        <w:t>8</w:t>
      </w:r>
      <w:r>
        <w:t>.</w:t>
      </w:r>
      <w:r>
        <w:tab/>
        <w:t>Chief executive officer</w:t>
      </w:r>
      <w:bookmarkEnd w:id="50"/>
      <w:bookmarkEnd w:id="51"/>
      <w:bookmarkEnd w:id="52"/>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The board shall obtain the concurrence of the Treasurer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10(1).]</w:t>
      </w:r>
    </w:p>
    <w:p>
      <w:pPr>
        <w:pStyle w:val="Heading5"/>
      </w:pPr>
      <w:bookmarkStart w:id="53" w:name="_Toc487871049"/>
      <w:bookmarkStart w:id="54" w:name="_Toc520106635"/>
      <w:bookmarkStart w:id="55" w:name="_Toc116814077"/>
      <w:r>
        <w:rPr>
          <w:rStyle w:val="CharSectno"/>
        </w:rPr>
        <w:t>8A</w:t>
      </w:r>
      <w:r>
        <w:t>.</w:t>
      </w:r>
      <w:r>
        <w:tab/>
        <w:t>Role of chief executive officer</w:t>
      </w:r>
      <w:bookmarkEnd w:id="53"/>
      <w:bookmarkEnd w:id="54"/>
      <w:bookmarkEnd w:id="55"/>
    </w:p>
    <w:p>
      <w:pPr>
        <w:pStyle w:val="Subsection"/>
      </w:pPr>
      <w:r>
        <w:tab/>
      </w:r>
      <w:r>
        <w:tab/>
        <w:t>Subject to the control of the board, the chief executive officer is responsible for the day to day operations of the Corporation.</w:t>
      </w:r>
    </w:p>
    <w:p>
      <w:pPr>
        <w:pStyle w:val="Footnotesection"/>
      </w:pPr>
      <w:r>
        <w:tab/>
        <w:t>[Section 8A inserted by No. 25 of 1998 s. 10(1).]</w:t>
      </w:r>
    </w:p>
    <w:p>
      <w:pPr>
        <w:pStyle w:val="Heading5"/>
      </w:pPr>
      <w:bookmarkStart w:id="56" w:name="_Toc487871050"/>
      <w:bookmarkStart w:id="57" w:name="_Toc520106636"/>
      <w:bookmarkStart w:id="58" w:name="_Toc116814078"/>
      <w:r>
        <w:rPr>
          <w:rStyle w:val="CharSectno"/>
        </w:rPr>
        <w:t>8B</w:t>
      </w:r>
      <w:r>
        <w:t>.</w:t>
      </w:r>
      <w:r>
        <w:tab/>
        <w:t>Staff</w:t>
      </w:r>
      <w:bookmarkEnd w:id="56"/>
      <w:bookmarkEnd w:id="57"/>
      <w:bookmarkEnd w:id="58"/>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59" w:name="_Toc487871051"/>
      <w:bookmarkStart w:id="60" w:name="_Toc520106637"/>
      <w:bookmarkStart w:id="61" w:name="_Toc116814079"/>
      <w:r>
        <w:rPr>
          <w:rStyle w:val="CharSectno"/>
        </w:rPr>
        <w:t>8C</w:t>
      </w:r>
      <w:r>
        <w:t>.</w:t>
      </w:r>
      <w:r>
        <w:tab/>
        <w:t>Use of other government staff etc.</w:t>
      </w:r>
      <w:bookmarkEnd w:id="59"/>
      <w:bookmarkEnd w:id="60"/>
      <w:bookmarkEnd w:id="61"/>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62" w:name="_Toc112230233"/>
      <w:bookmarkStart w:id="63" w:name="_Toc112464881"/>
      <w:bookmarkStart w:id="64" w:name="_Toc113080866"/>
      <w:bookmarkStart w:id="65" w:name="_Toc113253447"/>
      <w:bookmarkStart w:id="66" w:name="_Toc113253805"/>
      <w:bookmarkStart w:id="67" w:name="_Toc114894645"/>
      <w:bookmarkStart w:id="68" w:name="_Toc116717730"/>
      <w:bookmarkStart w:id="69" w:name="_Toc116814080"/>
      <w:r>
        <w:rPr>
          <w:rStyle w:val="CharPartNo"/>
        </w:rPr>
        <w:t>Part III</w:t>
      </w:r>
      <w:r>
        <w:rPr>
          <w:rStyle w:val="CharDivNo"/>
        </w:rPr>
        <w:t> </w:t>
      </w:r>
      <w:r>
        <w:t>—</w:t>
      </w:r>
      <w:r>
        <w:rPr>
          <w:rStyle w:val="CharDivText"/>
        </w:rPr>
        <w:t> </w:t>
      </w:r>
      <w:r>
        <w:rPr>
          <w:rStyle w:val="CharPartText"/>
        </w:rPr>
        <w:t>Functions and powers of Corporation</w:t>
      </w:r>
      <w:bookmarkEnd w:id="62"/>
      <w:bookmarkEnd w:id="63"/>
      <w:bookmarkEnd w:id="64"/>
      <w:bookmarkEnd w:id="65"/>
      <w:bookmarkEnd w:id="66"/>
      <w:bookmarkEnd w:id="67"/>
      <w:bookmarkEnd w:id="68"/>
      <w:bookmarkEnd w:id="69"/>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70" w:name="_Toc487871052"/>
      <w:bookmarkStart w:id="71" w:name="_Toc520106638"/>
      <w:bookmarkStart w:id="72" w:name="_Toc116814081"/>
      <w:r>
        <w:rPr>
          <w:rStyle w:val="CharSectno"/>
        </w:rPr>
        <w:t>9</w:t>
      </w:r>
      <w:r>
        <w:rPr>
          <w:snapToGrid w:val="0"/>
        </w:rPr>
        <w:t>.</w:t>
      </w:r>
      <w:r>
        <w:rPr>
          <w:snapToGrid w:val="0"/>
        </w:rPr>
        <w:tab/>
        <w:t>Functions of Corporation</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b/>
        </w:rPr>
        <w:t>“</w:t>
      </w:r>
      <w:r>
        <w:rPr>
          <w:rStyle w:val="CharDefText"/>
        </w:rPr>
        <w:t>authorities</w:t>
      </w:r>
      <w:r>
        <w:rPr>
          <w:b/>
        </w:rPr>
        <w:t>”</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73" w:name="_Toc487871053"/>
      <w:bookmarkStart w:id="74" w:name="_Toc520106639"/>
      <w:bookmarkStart w:id="75" w:name="_Toc116814082"/>
      <w:r>
        <w:rPr>
          <w:rStyle w:val="CharSectno"/>
        </w:rPr>
        <w:t>9A</w:t>
      </w:r>
      <w:r>
        <w:t>.</w:t>
      </w:r>
      <w:r>
        <w:rPr>
          <w:rStyle w:val="CharSectno"/>
        </w:rPr>
        <w:tab/>
      </w:r>
      <w:r>
        <w:t>Further provision as to assumption of liabilities on behalf of State</w:t>
      </w:r>
      <w:bookmarkEnd w:id="73"/>
      <w:bookmarkEnd w:id="74"/>
      <w:bookmarkEnd w:id="75"/>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Fund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w:t>
      </w:r>
    </w:p>
    <w:p>
      <w:pPr>
        <w:pStyle w:val="Heading5"/>
        <w:rPr>
          <w:snapToGrid w:val="0"/>
        </w:rPr>
      </w:pPr>
      <w:bookmarkStart w:id="76" w:name="_Toc487871054"/>
      <w:bookmarkStart w:id="77" w:name="_Toc520106640"/>
      <w:bookmarkStart w:id="78" w:name="_Toc116814083"/>
      <w:r>
        <w:rPr>
          <w:rStyle w:val="CharSectno"/>
        </w:rPr>
        <w:t>10</w:t>
      </w:r>
      <w:r>
        <w:rPr>
          <w:snapToGrid w:val="0"/>
        </w:rPr>
        <w:t>.</w:t>
      </w:r>
      <w:r>
        <w:rPr>
          <w:snapToGrid w:val="0"/>
        </w:rPr>
        <w:tab/>
        <w:t>General powers of Corporation</w:t>
      </w:r>
      <w:bookmarkEnd w:id="76"/>
      <w:bookmarkEnd w:id="77"/>
      <w:bookmarkEnd w:id="78"/>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repealed]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b/>
          <w:snapToGrid w:val="0"/>
        </w:rPr>
        <w:t>“</w:t>
      </w:r>
      <w:r>
        <w:rPr>
          <w:rStyle w:val="CharDefText"/>
        </w:rPr>
        <w:t>prescribed debt paper</w:t>
      </w:r>
      <w:r>
        <w:rPr>
          <w:b/>
          <w:snapToGrid w:val="0"/>
        </w:rPr>
        <w:t>”</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 xml:space="preserve">[Section 10 amended by No. 24 of 1992 s. 7; No. 14 of 1996 s. 4; No. 25 of 1998 s. 14; No. 10 of 2001 s. 214; No. 21 of 2003 s. 36.] </w:t>
      </w:r>
    </w:p>
    <w:p>
      <w:pPr>
        <w:pStyle w:val="Heading5"/>
        <w:spacing w:before="180"/>
      </w:pPr>
      <w:bookmarkStart w:id="79" w:name="_Toc487871055"/>
      <w:bookmarkStart w:id="80" w:name="_Toc520106641"/>
      <w:bookmarkStart w:id="81" w:name="_Toc116814084"/>
      <w:r>
        <w:rPr>
          <w:rStyle w:val="CharSectno"/>
        </w:rPr>
        <w:t>10A</w:t>
      </w:r>
      <w:r>
        <w:t>.</w:t>
      </w:r>
      <w:r>
        <w:tab/>
        <w:t>Borrowing limits</w:t>
      </w:r>
      <w:bookmarkEnd w:id="79"/>
      <w:bookmarkEnd w:id="80"/>
      <w:bookmarkEnd w:id="81"/>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82" w:name="_Toc487871056"/>
      <w:bookmarkStart w:id="83" w:name="_Toc520106642"/>
      <w:bookmarkStart w:id="84" w:name="_Toc116814085"/>
      <w:r>
        <w:rPr>
          <w:rStyle w:val="CharSectno"/>
        </w:rPr>
        <w:t>11</w:t>
      </w:r>
      <w:r>
        <w:rPr>
          <w:snapToGrid w:val="0"/>
        </w:rPr>
        <w:t>.</w:t>
      </w:r>
      <w:r>
        <w:rPr>
          <w:snapToGrid w:val="0"/>
        </w:rPr>
        <w:tab/>
        <w:t>Payment of debts incurred by Corporation</w:t>
      </w:r>
      <w:bookmarkEnd w:id="82"/>
      <w:bookmarkEnd w:id="83"/>
      <w:bookmarkEnd w:id="84"/>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85" w:name="_Toc487871057"/>
      <w:bookmarkStart w:id="86" w:name="_Toc520106643"/>
      <w:bookmarkStart w:id="87" w:name="_Toc116814086"/>
      <w:r>
        <w:rPr>
          <w:rStyle w:val="CharSectno"/>
        </w:rPr>
        <w:t>12</w:t>
      </w:r>
      <w:r>
        <w:rPr>
          <w:snapToGrid w:val="0"/>
        </w:rPr>
        <w:t>.</w:t>
      </w:r>
      <w:r>
        <w:rPr>
          <w:snapToGrid w:val="0"/>
        </w:rPr>
        <w:tab/>
        <w:t>Advances to Corporation from Treasurer</w:t>
      </w:r>
      <w:bookmarkEnd w:id="85"/>
      <w:bookmarkEnd w:id="86"/>
      <w:bookmarkEnd w:id="87"/>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88" w:name="_Toc487871058"/>
      <w:bookmarkStart w:id="89" w:name="_Toc520106644"/>
      <w:bookmarkStart w:id="90" w:name="_Toc116814087"/>
      <w:r>
        <w:rPr>
          <w:rStyle w:val="CharSectno"/>
        </w:rPr>
        <w:t>13</w:t>
      </w:r>
      <w:r>
        <w:rPr>
          <w:snapToGrid w:val="0"/>
        </w:rPr>
        <w:t>.</w:t>
      </w:r>
      <w:r>
        <w:rPr>
          <w:snapToGrid w:val="0"/>
        </w:rPr>
        <w:tab/>
        <w:t>State guarantee</w:t>
      </w:r>
      <w:bookmarkEnd w:id="88"/>
      <w:bookmarkEnd w:id="89"/>
      <w:bookmarkEnd w:id="90"/>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 Consolidated Fund,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 Consolidated Fund.</w:t>
      </w:r>
    </w:p>
    <w:p>
      <w:pPr>
        <w:pStyle w:val="Subsection"/>
        <w:rPr>
          <w:snapToGrid w:val="0"/>
        </w:rPr>
      </w:pPr>
      <w:r>
        <w:rPr>
          <w:snapToGrid w:val="0"/>
        </w:rPr>
        <w:tab/>
        <w:t>(4)</w:t>
      </w:r>
      <w:r>
        <w:rPr>
          <w:snapToGrid w:val="0"/>
        </w:rPr>
        <w:tab/>
        <w:t>In subsection (2a) — </w:t>
      </w:r>
    </w:p>
    <w:p>
      <w:pPr>
        <w:pStyle w:val="Defstart"/>
      </w:pPr>
      <w:r>
        <w:rPr>
          <w:b/>
        </w:rPr>
        <w:tab/>
        <w:t>“</w:t>
      </w:r>
      <w:r>
        <w:rPr>
          <w:rStyle w:val="CharDefText"/>
        </w:rPr>
        <w:t>foreign</w:t>
      </w:r>
      <w:r>
        <w:rPr>
          <w:b/>
        </w:rPr>
        <w:t>”</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w:t>
      </w:r>
    </w:p>
    <w:p>
      <w:pPr>
        <w:pStyle w:val="Heading5"/>
        <w:rPr>
          <w:snapToGrid w:val="0"/>
        </w:rPr>
      </w:pPr>
      <w:bookmarkStart w:id="91" w:name="_Toc487871059"/>
      <w:bookmarkStart w:id="92" w:name="_Toc520106645"/>
      <w:bookmarkStart w:id="93" w:name="_Toc116814088"/>
      <w:r>
        <w:rPr>
          <w:rStyle w:val="CharSectno"/>
        </w:rPr>
        <w:t>14</w:t>
      </w:r>
      <w:r>
        <w:rPr>
          <w:snapToGrid w:val="0"/>
        </w:rPr>
        <w:t>.</w:t>
      </w:r>
      <w:r>
        <w:rPr>
          <w:snapToGrid w:val="0"/>
        </w:rPr>
        <w:tab/>
        <w:t>Disposal of moneys borrowed by Corporation</w:t>
      </w:r>
      <w:bookmarkEnd w:id="91"/>
      <w:bookmarkEnd w:id="92"/>
      <w:bookmarkEnd w:id="93"/>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94" w:name="_Toc487871060"/>
      <w:bookmarkStart w:id="95" w:name="_Toc520106646"/>
      <w:bookmarkStart w:id="96" w:name="_Toc116814089"/>
      <w:r>
        <w:rPr>
          <w:rStyle w:val="CharSectno"/>
        </w:rPr>
        <w:t>15</w:t>
      </w:r>
      <w:r>
        <w:rPr>
          <w:snapToGrid w:val="0"/>
        </w:rPr>
        <w:t>.</w:t>
      </w:r>
      <w:r>
        <w:rPr>
          <w:snapToGrid w:val="0"/>
        </w:rPr>
        <w:tab/>
        <w:t>Borrowers to pay certain amounts to Corporation</w:t>
      </w:r>
      <w:bookmarkEnd w:id="94"/>
      <w:bookmarkEnd w:id="95"/>
      <w:bookmarkEnd w:id="96"/>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97" w:name="_Toc487871061"/>
      <w:bookmarkStart w:id="98" w:name="_Toc520106647"/>
      <w:bookmarkStart w:id="99" w:name="_Toc116814090"/>
      <w:r>
        <w:rPr>
          <w:rStyle w:val="CharSectno"/>
        </w:rPr>
        <w:t>16</w:t>
      </w:r>
      <w:r>
        <w:rPr>
          <w:snapToGrid w:val="0"/>
        </w:rPr>
        <w:t>.</w:t>
      </w:r>
      <w:r>
        <w:rPr>
          <w:snapToGrid w:val="0"/>
        </w:rPr>
        <w:tab/>
        <w:t>Repayment of guarantee moneys</w:t>
      </w:r>
      <w:bookmarkEnd w:id="97"/>
      <w:bookmarkEnd w:id="98"/>
      <w:bookmarkEnd w:id="99"/>
      <w:r>
        <w:rPr>
          <w:snapToGrid w:val="0"/>
        </w:rPr>
        <w:t xml:space="preserve"> </w:t>
      </w:r>
    </w:p>
    <w:p>
      <w:pPr>
        <w:pStyle w:val="Subsection"/>
        <w:rPr>
          <w:snapToGrid w:val="0"/>
        </w:rPr>
      </w:pPr>
      <w:r>
        <w:rPr>
          <w:snapToGrid w:val="0"/>
        </w:rPr>
        <w:tab/>
      </w:r>
      <w:r>
        <w:rPr>
          <w:snapToGrid w:val="0"/>
        </w:rPr>
        <w:tab/>
        <w:t>If moneys have been charged to the Consolidated Fund under section 13, any moneys received or recovered by the Treasurer from the Corporation or otherwise in respect of an amount so charged shall be credited to the Consolidated Fund.</w:t>
      </w:r>
    </w:p>
    <w:p>
      <w:pPr>
        <w:pStyle w:val="Footnotesection"/>
      </w:pPr>
      <w:r>
        <w:tab/>
        <w:t xml:space="preserve">[Section 16 amended by No. 6 of 1993 s. 11; No. 49 of 1996 s. 64.] </w:t>
      </w:r>
    </w:p>
    <w:p>
      <w:pPr>
        <w:pStyle w:val="Heading2"/>
      </w:pPr>
      <w:bookmarkStart w:id="100" w:name="_Toc112230244"/>
      <w:bookmarkStart w:id="101" w:name="_Toc112464892"/>
      <w:bookmarkStart w:id="102" w:name="_Toc113080877"/>
      <w:bookmarkStart w:id="103" w:name="_Toc113253458"/>
      <w:bookmarkStart w:id="104" w:name="_Toc113253816"/>
      <w:bookmarkStart w:id="105" w:name="_Toc114894656"/>
      <w:bookmarkStart w:id="106" w:name="_Toc116717741"/>
      <w:bookmarkStart w:id="107" w:name="_Toc116814091"/>
      <w:r>
        <w:rPr>
          <w:rStyle w:val="CharPartNo"/>
        </w:rPr>
        <w:t>Part IIIA</w:t>
      </w:r>
      <w:r>
        <w:t xml:space="preserve"> — </w:t>
      </w:r>
      <w:r>
        <w:rPr>
          <w:rStyle w:val="CharPartText"/>
        </w:rPr>
        <w:t>Corporate planning documents</w:t>
      </w:r>
      <w:bookmarkEnd w:id="100"/>
      <w:bookmarkEnd w:id="101"/>
      <w:bookmarkEnd w:id="102"/>
      <w:bookmarkEnd w:id="103"/>
      <w:bookmarkEnd w:id="104"/>
      <w:bookmarkEnd w:id="105"/>
      <w:bookmarkEnd w:id="106"/>
      <w:bookmarkEnd w:id="107"/>
    </w:p>
    <w:p>
      <w:pPr>
        <w:pStyle w:val="Footnoteheading"/>
      </w:pPr>
      <w:r>
        <w:tab/>
        <w:t>[Heading inserted by No. 25 of 1998 s. 18.]</w:t>
      </w:r>
    </w:p>
    <w:p>
      <w:pPr>
        <w:pStyle w:val="Heading3"/>
      </w:pPr>
      <w:bookmarkStart w:id="108" w:name="_Toc112230245"/>
      <w:bookmarkStart w:id="109" w:name="_Toc112464893"/>
      <w:bookmarkStart w:id="110" w:name="_Toc113080878"/>
      <w:bookmarkStart w:id="111" w:name="_Toc113253459"/>
      <w:bookmarkStart w:id="112" w:name="_Toc113253817"/>
      <w:bookmarkStart w:id="113" w:name="_Toc114894657"/>
      <w:bookmarkStart w:id="114" w:name="_Toc116717742"/>
      <w:bookmarkStart w:id="115" w:name="_Toc116814092"/>
      <w:r>
        <w:rPr>
          <w:rStyle w:val="CharDivNo"/>
        </w:rPr>
        <w:t>Division 1</w:t>
      </w:r>
      <w:r>
        <w:t xml:space="preserve"> — </w:t>
      </w:r>
      <w:r>
        <w:rPr>
          <w:rStyle w:val="CharDivText"/>
        </w:rPr>
        <w:t>Strategic development plans</w:t>
      </w:r>
      <w:bookmarkEnd w:id="108"/>
      <w:bookmarkEnd w:id="109"/>
      <w:bookmarkEnd w:id="110"/>
      <w:bookmarkEnd w:id="111"/>
      <w:bookmarkEnd w:id="112"/>
      <w:bookmarkEnd w:id="113"/>
      <w:bookmarkEnd w:id="114"/>
      <w:bookmarkEnd w:id="115"/>
    </w:p>
    <w:p>
      <w:pPr>
        <w:pStyle w:val="Footnoteheading"/>
      </w:pPr>
      <w:r>
        <w:tab/>
        <w:t>[Heading inserted by No. 25 of 1998 s. 18.]</w:t>
      </w:r>
    </w:p>
    <w:p>
      <w:pPr>
        <w:pStyle w:val="Heading5"/>
      </w:pPr>
      <w:bookmarkStart w:id="116" w:name="_Toc487871062"/>
      <w:bookmarkStart w:id="117" w:name="_Toc520106648"/>
      <w:bookmarkStart w:id="118" w:name="_Toc116814093"/>
      <w:r>
        <w:rPr>
          <w:rStyle w:val="CharSectno"/>
        </w:rPr>
        <w:t>16A</w:t>
      </w:r>
      <w:r>
        <w:t>.</w:t>
      </w:r>
      <w:r>
        <w:tab/>
        <w:t>Draft strategic development plan to be submitted to Treasurer</w:t>
      </w:r>
      <w:bookmarkEnd w:id="116"/>
      <w:bookmarkEnd w:id="117"/>
      <w:bookmarkEnd w:id="118"/>
    </w:p>
    <w:p>
      <w:pPr>
        <w:pStyle w:val="Subsection"/>
      </w:pPr>
      <w:r>
        <w:tab/>
        <w:t>(1)</w:t>
      </w:r>
      <w:r>
        <w:tab/>
        <w:t>The board shall in each year prepare, and submit to the Treasurer for his or her agreement, a draft strategic development plan for the Corporation.</w:t>
      </w:r>
    </w:p>
    <w:p>
      <w:pPr>
        <w:pStyle w:val="Subsection"/>
      </w:pPr>
      <w:r>
        <w:tab/>
        <w:t>(2)</w:t>
      </w:r>
      <w:r>
        <w:tab/>
        <w:t>Each draft strategic development plan shall be submitted not later than 2 months before the start of the next financial year.</w:t>
      </w:r>
    </w:p>
    <w:p>
      <w:pPr>
        <w:pStyle w:val="Footnotesection"/>
      </w:pPr>
      <w:r>
        <w:tab/>
        <w:t>[Section 16A inserted by No. 25 of 1998 s. 18.]</w:t>
      </w:r>
    </w:p>
    <w:p>
      <w:pPr>
        <w:pStyle w:val="Ednotesection"/>
      </w:pPr>
      <w:r>
        <w:t>[</w:t>
      </w:r>
      <w:r>
        <w:rPr>
          <w:b/>
          <w:bCs/>
        </w:rPr>
        <w:t>16B.</w:t>
      </w:r>
      <w:r>
        <w:tab/>
        <w:t>Omitted under the Reprints Act 1984 s. 7(4)(g).]</w:t>
      </w:r>
    </w:p>
    <w:p>
      <w:pPr>
        <w:pStyle w:val="Heading5"/>
      </w:pPr>
      <w:bookmarkStart w:id="119" w:name="_Toc487871064"/>
      <w:bookmarkStart w:id="120" w:name="_Toc520106650"/>
      <w:bookmarkStart w:id="121" w:name="_Toc116814094"/>
      <w:r>
        <w:rPr>
          <w:rStyle w:val="CharSectno"/>
        </w:rPr>
        <w:t>16C</w:t>
      </w:r>
      <w:r>
        <w:t>.</w:t>
      </w:r>
      <w:r>
        <w:tab/>
        <w:t>Matters to be included in strategic development plan</w:t>
      </w:r>
      <w:bookmarkEnd w:id="119"/>
      <w:bookmarkEnd w:id="120"/>
      <w:bookmarkEnd w:id="121"/>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Treasurer.</w:t>
      </w:r>
    </w:p>
    <w:p>
      <w:pPr>
        <w:pStyle w:val="Footnotesection"/>
      </w:pPr>
      <w:r>
        <w:tab/>
        <w:t>[Section 16C inserted by No. 25 of 1998 s. 18.]</w:t>
      </w:r>
    </w:p>
    <w:p>
      <w:pPr>
        <w:pStyle w:val="Heading5"/>
      </w:pPr>
      <w:bookmarkStart w:id="122" w:name="_Toc487871065"/>
      <w:bookmarkStart w:id="123" w:name="_Toc520106651"/>
      <w:bookmarkStart w:id="124" w:name="_Toc116814095"/>
      <w:r>
        <w:rPr>
          <w:rStyle w:val="CharSectno"/>
        </w:rPr>
        <w:t>16D</w:t>
      </w:r>
      <w:r>
        <w:t>.</w:t>
      </w:r>
      <w:r>
        <w:tab/>
        <w:t>Strategic development plan to be agreed if possible</w:t>
      </w:r>
      <w:bookmarkEnd w:id="122"/>
      <w:bookmarkEnd w:id="123"/>
      <w:bookmarkEnd w:id="124"/>
    </w:p>
    <w:p>
      <w:pPr>
        <w:pStyle w:val="Subsection"/>
      </w:pPr>
      <w:r>
        <w:tab/>
      </w:r>
      <w:r>
        <w:tab/>
        <w:t>The board and the Treasurer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w:t>
      </w:r>
    </w:p>
    <w:p>
      <w:pPr>
        <w:pStyle w:val="Heading5"/>
      </w:pPr>
      <w:bookmarkStart w:id="125" w:name="_Toc487871066"/>
      <w:bookmarkStart w:id="126" w:name="_Toc520106652"/>
      <w:bookmarkStart w:id="127" w:name="_Toc116814096"/>
      <w:r>
        <w:rPr>
          <w:rStyle w:val="CharSectno"/>
        </w:rPr>
        <w:t>16E</w:t>
      </w:r>
      <w:r>
        <w:t>.</w:t>
      </w:r>
      <w:r>
        <w:tab/>
        <w:t>Treasurer’s powers in relation to draft strategic development plan</w:t>
      </w:r>
      <w:bookmarkEnd w:id="125"/>
      <w:bookmarkEnd w:id="126"/>
      <w:bookmarkEnd w:id="127"/>
    </w:p>
    <w:p>
      <w:pPr>
        <w:pStyle w:val="Subsection"/>
      </w:pPr>
      <w:r>
        <w:tab/>
        <w:t>(1)</w:t>
      </w:r>
      <w:r>
        <w:tab/>
        <w:t xml:space="preserve">The Treasurer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Treasurer by one month before the start of the next financial year, the Treasurer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Treasurer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18.]</w:t>
      </w:r>
    </w:p>
    <w:p>
      <w:pPr>
        <w:pStyle w:val="Heading5"/>
      </w:pPr>
      <w:bookmarkStart w:id="128" w:name="_Toc487871067"/>
      <w:bookmarkStart w:id="129" w:name="_Toc520106653"/>
      <w:bookmarkStart w:id="130" w:name="_Toc116814097"/>
      <w:r>
        <w:rPr>
          <w:rStyle w:val="CharSectno"/>
        </w:rPr>
        <w:t>16F</w:t>
      </w:r>
      <w:r>
        <w:t>.</w:t>
      </w:r>
      <w:r>
        <w:tab/>
        <w:t>Strategic development plan pending agreement</w:t>
      </w:r>
      <w:bookmarkEnd w:id="128"/>
      <w:bookmarkEnd w:id="129"/>
      <w:bookmarkEnd w:id="130"/>
    </w:p>
    <w:p>
      <w:pPr>
        <w:pStyle w:val="Subsection"/>
      </w:pPr>
      <w:r>
        <w:tab/>
        <w:t>(1)</w:t>
      </w:r>
      <w:r>
        <w:tab/>
        <w:t>If the Treasurer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Treasurer before the start of the financial year with any modifications made by the board, whether before or after that time, at the direction of the Treasurer.</w:t>
      </w:r>
    </w:p>
    <w:p>
      <w:pPr>
        <w:pStyle w:val="Footnotesection"/>
      </w:pPr>
      <w:r>
        <w:tab/>
        <w:t>[Section 16F inserted by No. 25 of 1998 s. 18.]</w:t>
      </w:r>
    </w:p>
    <w:p>
      <w:pPr>
        <w:pStyle w:val="Heading5"/>
      </w:pPr>
      <w:bookmarkStart w:id="131" w:name="_Toc487871068"/>
      <w:bookmarkStart w:id="132" w:name="_Toc520106654"/>
      <w:bookmarkStart w:id="133" w:name="_Toc116814098"/>
      <w:r>
        <w:rPr>
          <w:rStyle w:val="CharSectno"/>
        </w:rPr>
        <w:t>16G</w:t>
      </w:r>
      <w:r>
        <w:t>.</w:t>
      </w:r>
      <w:r>
        <w:tab/>
        <w:t>Treasurer’s agreement to draft strategic development plan</w:t>
      </w:r>
      <w:bookmarkEnd w:id="131"/>
      <w:bookmarkEnd w:id="132"/>
      <w:bookmarkEnd w:id="133"/>
    </w:p>
    <w:p>
      <w:pPr>
        <w:pStyle w:val="Subsection"/>
      </w:pPr>
      <w:r>
        <w:tab/>
      </w:r>
      <w:r>
        <w:tab/>
        <w:t>When a draft strategic development plan is agreed to by the Treasurer, it becomes the strategic development plan for the relevant financial year or the remainder of the year, as the case may be.</w:t>
      </w:r>
    </w:p>
    <w:p>
      <w:pPr>
        <w:pStyle w:val="Footnotesection"/>
      </w:pPr>
      <w:r>
        <w:tab/>
        <w:t>[Section 16G inserted by No. 25 of 1998 s. 18.]</w:t>
      </w:r>
    </w:p>
    <w:p>
      <w:pPr>
        <w:pStyle w:val="Heading5"/>
      </w:pPr>
      <w:bookmarkStart w:id="134" w:name="_Toc487871069"/>
      <w:bookmarkStart w:id="135" w:name="_Toc520106655"/>
      <w:bookmarkStart w:id="136" w:name="_Toc116814099"/>
      <w:r>
        <w:rPr>
          <w:rStyle w:val="CharSectno"/>
        </w:rPr>
        <w:t>16H</w:t>
      </w:r>
      <w:r>
        <w:t>.</w:t>
      </w:r>
      <w:r>
        <w:tab/>
        <w:t>Modifications of</w:t>
      </w:r>
      <w:r>
        <w:rPr>
          <w:b w:val="0"/>
        </w:rPr>
        <w:t xml:space="preserve"> </w:t>
      </w:r>
      <w:r>
        <w:t>strategic development plan</w:t>
      </w:r>
      <w:bookmarkEnd w:id="134"/>
      <w:bookmarkEnd w:id="135"/>
      <w:bookmarkEnd w:id="136"/>
    </w:p>
    <w:p>
      <w:pPr>
        <w:pStyle w:val="Subsection"/>
      </w:pPr>
      <w:r>
        <w:tab/>
        <w:t>(1)</w:t>
      </w:r>
      <w:r>
        <w:tab/>
        <w:t>A strategic development plan may be modified by the board with the agreement of the Treasurer.</w:t>
      </w:r>
    </w:p>
    <w:p>
      <w:pPr>
        <w:pStyle w:val="Subsection"/>
      </w:pPr>
      <w:r>
        <w:tab/>
        <w:t>(2)</w:t>
      </w:r>
      <w:r>
        <w:tab/>
        <w:t>The Treasurer may, by written notice, direct the board to modify the strategic development plan.</w:t>
      </w:r>
    </w:p>
    <w:p>
      <w:pPr>
        <w:pStyle w:val="Subsection"/>
      </w:pPr>
      <w:r>
        <w:tab/>
        <w:t>(3)</w:t>
      </w:r>
      <w:r>
        <w:tab/>
        <w:t>Before giving the direction the Treasurer shall consult with the board and take its views into account.</w:t>
      </w:r>
    </w:p>
    <w:p>
      <w:pPr>
        <w:pStyle w:val="Subsection"/>
      </w:pPr>
      <w:r>
        <w:tab/>
        <w:t>(4)</w:t>
      </w:r>
      <w:r>
        <w:tab/>
        <w:t xml:space="preserve">The Treasurer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18.]</w:t>
      </w:r>
    </w:p>
    <w:p>
      <w:pPr>
        <w:pStyle w:val="Heading3"/>
      </w:pPr>
      <w:bookmarkStart w:id="137" w:name="_Toc112230254"/>
      <w:bookmarkStart w:id="138" w:name="_Toc112464902"/>
      <w:bookmarkStart w:id="139" w:name="_Toc113080886"/>
      <w:bookmarkStart w:id="140" w:name="_Toc113253467"/>
      <w:bookmarkStart w:id="141" w:name="_Toc113253825"/>
      <w:bookmarkStart w:id="142" w:name="_Toc114894665"/>
      <w:bookmarkStart w:id="143" w:name="_Toc116717750"/>
      <w:bookmarkStart w:id="144" w:name="_Toc116814100"/>
      <w:r>
        <w:rPr>
          <w:rStyle w:val="CharDivNo"/>
        </w:rPr>
        <w:t>Division 2</w:t>
      </w:r>
      <w:r>
        <w:t xml:space="preserve"> — </w:t>
      </w:r>
      <w:r>
        <w:rPr>
          <w:rStyle w:val="CharDivText"/>
        </w:rPr>
        <w:t>Statement of corporate intent</w:t>
      </w:r>
      <w:bookmarkEnd w:id="137"/>
      <w:bookmarkEnd w:id="138"/>
      <w:bookmarkEnd w:id="139"/>
      <w:bookmarkEnd w:id="140"/>
      <w:bookmarkEnd w:id="141"/>
      <w:bookmarkEnd w:id="142"/>
      <w:bookmarkEnd w:id="143"/>
      <w:bookmarkEnd w:id="144"/>
    </w:p>
    <w:p>
      <w:pPr>
        <w:pStyle w:val="Footnoteheading"/>
        <w:keepNext/>
      </w:pPr>
      <w:r>
        <w:tab/>
        <w:t>[Heading inserted by No. 25 of 1998 s. 18.]</w:t>
      </w:r>
    </w:p>
    <w:p>
      <w:pPr>
        <w:pStyle w:val="Heading5"/>
      </w:pPr>
      <w:bookmarkStart w:id="145" w:name="_Toc487871070"/>
      <w:bookmarkStart w:id="146" w:name="_Toc520106656"/>
      <w:bookmarkStart w:id="147" w:name="_Toc116814101"/>
      <w:r>
        <w:rPr>
          <w:rStyle w:val="CharSectno"/>
        </w:rPr>
        <w:t>16I</w:t>
      </w:r>
      <w:r>
        <w:t>.</w:t>
      </w:r>
      <w:r>
        <w:tab/>
        <w:t>Draft statement of corporate intent to be submitted to Treasurer</w:t>
      </w:r>
      <w:bookmarkEnd w:id="145"/>
      <w:bookmarkEnd w:id="146"/>
      <w:bookmarkEnd w:id="147"/>
    </w:p>
    <w:p>
      <w:pPr>
        <w:pStyle w:val="Subsection"/>
      </w:pPr>
      <w:r>
        <w:tab/>
        <w:t>(1)</w:t>
      </w:r>
      <w:r>
        <w:tab/>
        <w:t xml:space="preserve">The board shall in each year prepare, and submit to the Treasurer for his or her agreement, a draft statement of corporate intent for the Corporation. </w:t>
      </w:r>
    </w:p>
    <w:p>
      <w:pPr>
        <w:pStyle w:val="Subsection"/>
      </w:pPr>
      <w:r>
        <w:tab/>
        <w:t>(2)</w:t>
      </w:r>
      <w:r>
        <w:tab/>
        <w:t>Each draft statement of corporate intent shall be submitted not later than 2 months before the start of the next financial year.</w:t>
      </w:r>
    </w:p>
    <w:p>
      <w:pPr>
        <w:pStyle w:val="Footnotesection"/>
      </w:pPr>
      <w:r>
        <w:tab/>
        <w:t>[Section 16I inserted by No. 25 of 1998 s. 18.]</w:t>
      </w:r>
    </w:p>
    <w:p>
      <w:pPr>
        <w:pStyle w:val="Ednotesection"/>
      </w:pPr>
      <w:bookmarkStart w:id="148" w:name="_Toc487871072"/>
      <w:bookmarkStart w:id="149" w:name="_Toc520106658"/>
      <w:r>
        <w:t>[</w:t>
      </w:r>
      <w:r>
        <w:rPr>
          <w:b/>
          <w:bCs/>
        </w:rPr>
        <w:t>16J.</w:t>
      </w:r>
      <w:r>
        <w:tab/>
        <w:t>Omitted under the Reprints Act 1984 s. 7(4)(g).]</w:t>
      </w:r>
    </w:p>
    <w:p>
      <w:pPr>
        <w:pStyle w:val="Heading5"/>
      </w:pPr>
      <w:bookmarkStart w:id="150" w:name="_Toc116814102"/>
      <w:r>
        <w:rPr>
          <w:rStyle w:val="CharSectno"/>
        </w:rPr>
        <w:t>16K</w:t>
      </w:r>
      <w:r>
        <w:t>.</w:t>
      </w:r>
      <w:r>
        <w:tab/>
        <w:t>Matters to be included in statement of corporate intent</w:t>
      </w:r>
      <w:bookmarkEnd w:id="148"/>
      <w:bookmarkEnd w:id="149"/>
      <w:bookmarkEnd w:id="150"/>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the type of information to be given to the Treasurer, including information to be given in quarterly and annual reports; and</w:t>
      </w:r>
    </w:p>
    <w:p>
      <w:pPr>
        <w:pStyle w:val="Indenta"/>
      </w:pPr>
      <w:r>
        <w:tab/>
        <w:t>(f)</w:t>
      </w:r>
      <w:r>
        <w:tab/>
        <w:t>such other matters as may be agreed on by the Treasurer and the board.</w:t>
      </w:r>
    </w:p>
    <w:p>
      <w:pPr>
        <w:pStyle w:val="Subsection"/>
      </w:pPr>
      <w:r>
        <w:tab/>
        <w:t>(3)</w:t>
      </w:r>
      <w:r>
        <w:tab/>
        <w:t>The Treasurer may exempt the Corporation from including any matter, or any aspect of a matter, mentioned in subsection (2) in the statement of corporate intent.</w:t>
      </w:r>
    </w:p>
    <w:p>
      <w:pPr>
        <w:pStyle w:val="Footnotesection"/>
      </w:pPr>
      <w:r>
        <w:tab/>
        <w:t>[Section 16K inserted by No. 25 of 1998 s. 18; amended by No. 24 of 2000 s. 47.]</w:t>
      </w:r>
    </w:p>
    <w:p>
      <w:pPr>
        <w:pStyle w:val="Heading5"/>
      </w:pPr>
      <w:bookmarkStart w:id="151" w:name="_Toc487871073"/>
      <w:bookmarkStart w:id="152" w:name="_Toc520106659"/>
      <w:bookmarkStart w:id="153" w:name="_Toc116814103"/>
      <w:r>
        <w:rPr>
          <w:rStyle w:val="CharSectno"/>
        </w:rPr>
        <w:t>16L</w:t>
      </w:r>
      <w:r>
        <w:t>.</w:t>
      </w:r>
      <w:r>
        <w:tab/>
        <w:t>Statement of corporate intent to be agreed if possible</w:t>
      </w:r>
      <w:bookmarkEnd w:id="151"/>
      <w:bookmarkEnd w:id="152"/>
      <w:bookmarkEnd w:id="153"/>
    </w:p>
    <w:p>
      <w:pPr>
        <w:pStyle w:val="Subsection"/>
      </w:pPr>
      <w:r>
        <w:tab/>
      </w:r>
      <w:r>
        <w:tab/>
        <w:t>The board and the Treasurer shall endeavour to reach agreement on the draft statement as soon as possible, and in any event not later than the start of the next financial year.</w:t>
      </w:r>
    </w:p>
    <w:p>
      <w:pPr>
        <w:pStyle w:val="Footnotesection"/>
      </w:pPr>
      <w:r>
        <w:tab/>
        <w:t>[Section 16L inserted by No. 25 of 1998 s. 18.]</w:t>
      </w:r>
    </w:p>
    <w:p>
      <w:pPr>
        <w:pStyle w:val="Heading5"/>
      </w:pPr>
      <w:bookmarkStart w:id="154" w:name="_Toc487871074"/>
      <w:bookmarkStart w:id="155" w:name="_Toc520106660"/>
      <w:bookmarkStart w:id="156" w:name="_Toc116814104"/>
      <w:r>
        <w:rPr>
          <w:rStyle w:val="CharSectno"/>
        </w:rPr>
        <w:t>16M</w:t>
      </w:r>
      <w:r>
        <w:t>.</w:t>
      </w:r>
      <w:r>
        <w:tab/>
        <w:t>Treasurer’s powers in relation to draft statement of corporate intent</w:t>
      </w:r>
      <w:bookmarkEnd w:id="154"/>
      <w:bookmarkEnd w:id="155"/>
      <w:bookmarkEnd w:id="156"/>
    </w:p>
    <w:p>
      <w:pPr>
        <w:pStyle w:val="Subsection"/>
      </w:pPr>
      <w:r>
        <w:tab/>
        <w:t>(1)</w:t>
      </w:r>
      <w:r>
        <w:tab/>
        <w:t xml:space="preserve">The Treasurer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Treasurer by one month before the start of the financial year, the Treasurer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Treasurer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18.]</w:t>
      </w:r>
    </w:p>
    <w:p>
      <w:pPr>
        <w:pStyle w:val="Heading5"/>
      </w:pPr>
      <w:bookmarkStart w:id="157" w:name="_Toc487871075"/>
      <w:bookmarkStart w:id="158" w:name="_Toc520106661"/>
      <w:bookmarkStart w:id="159" w:name="_Toc116814105"/>
      <w:r>
        <w:rPr>
          <w:rStyle w:val="CharSectno"/>
        </w:rPr>
        <w:t>16N</w:t>
      </w:r>
      <w:r>
        <w:t>.</w:t>
      </w:r>
      <w:r>
        <w:tab/>
        <w:t>Statement of co</w:t>
      </w:r>
      <w:r>
        <w:rPr>
          <w:b w:val="0"/>
        </w:rPr>
        <w:t>r</w:t>
      </w:r>
      <w:r>
        <w:t>porate intent pending agreement</w:t>
      </w:r>
      <w:bookmarkEnd w:id="157"/>
      <w:bookmarkEnd w:id="158"/>
      <w:bookmarkEnd w:id="159"/>
    </w:p>
    <w:p>
      <w:pPr>
        <w:pStyle w:val="Subsection"/>
      </w:pPr>
      <w:r>
        <w:tab/>
        <w:t>(1)</w:t>
      </w:r>
      <w:r>
        <w:tab/>
        <w:t>If the Treasurer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Treasurer before the start of the financial year with any modifications made by the board, whether before or after that time, at the direction of the Treasurer.</w:t>
      </w:r>
    </w:p>
    <w:p>
      <w:pPr>
        <w:pStyle w:val="Footnotesection"/>
      </w:pPr>
      <w:r>
        <w:tab/>
        <w:t>[Section 16N inserted by No. 25 of 1998 s. 18.]</w:t>
      </w:r>
    </w:p>
    <w:p>
      <w:pPr>
        <w:pStyle w:val="Heading5"/>
      </w:pPr>
      <w:bookmarkStart w:id="160" w:name="_Toc487871076"/>
      <w:bookmarkStart w:id="161" w:name="_Toc520106662"/>
      <w:bookmarkStart w:id="162" w:name="_Toc116814106"/>
      <w:r>
        <w:rPr>
          <w:rStyle w:val="CharSectno"/>
        </w:rPr>
        <w:t>16O</w:t>
      </w:r>
      <w:r>
        <w:t>.</w:t>
      </w:r>
      <w:r>
        <w:tab/>
        <w:t>Treasurer’s agreement to draft statement of corporate intent</w:t>
      </w:r>
      <w:bookmarkEnd w:id="160"/>
      <w:bookmarkEnd w:id="161"/>
      <w:bookmarkEnd w:id="162"/>
    </w:p>
    <w:p>
      <w:pPr>
        <w:pStyle w:val="Subsection"/>
      </w:pPr>
      <w:r>
        <w:tab/>
        <w:t>(1)</w:t>
      </w:r>
      <w:r>
        <w:tab/>
        <w:t>When a draft statement of corporate intent is agreed to by the Treasurer, it becomes the statement of corporate intent for the relevant financial year or the remainder of the year, as the case may be.</w:t>
      </w:r>
    </w:p>
    <w:p>
      <w:pPr>
        <w:pStyle w:val="Subsection"/>
      </w:pPr>
      <w:r>
        <w:tab/>
        <w:t>(2)</w:t>
      </w:r>
      <w:r>
        <w:tab/>
        <w:t xml:space="preserve">The Treasurer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The board may request the Treasurer to delete from the copy of a statement of corporate intent that is to be laid before Parliament a matter that is of a commercially sensitive nature, and the Treasurer may, despite subsection (2), comply with the request.</w:t>
      </w:r>
    </w:p>
    <w:p>
      <w:pPr>
        <w:pStyle w:val="Footnotesection"/>
      </w:pPr>
      <w:r>
        <w:tab/>
        <w:t>[Section 16O inserted by No. 25 of 1998 s. 18.]</w:t>
      </w:r>
    </w:p>
    <w:p>
      <w:pPr>
        <w:pStyle w:val="Heading5"/>
      </w:pPr>
      <w:bookmarkStart w:id="163" w:name="_Toc487871077"/>
      <w:bookmarkStart w:id="164" w:name="_Toc520106663"/>
      <w:bookmarkStart w:id="165" w:name="_Toc116814107"/>
      <w:r>
        <w:rPr>
          <w:rStyle w:val="CharSectno"/>
        </w:rPr>
        <w:t>16P</w:t>
      </w:r>
      <w:r>
        <w:t>.</w:t>
      </w:r>
      <w:r>
        <w:tab/>
        <w:t>Modifications of statement of corporate intent</w:t>
      </w:r>
      <w:bookmarkEnd w:id="163"/>
      <w:bookmarkEnd w:id="164"/>
      <w:bookmarkEnd w:id="165"/>
    </w:p>
    <w:p>
      <w:pPr>
        <w:pStyle w:val="Subsection"/>
        <w:spacing w:before="140"/>
      </w:pPr>
      <w:r>
        <w:tab/>
        <w:t>(1)</w:t>
      </w:r>
      <w:r>
        <w:tab/>
        <w:t>A statement of corporate intent may be modified by the board with the agreement of the Treasurer.</w:t>
      </w:r>
    </w:p>
    <w:p>
      <w:pPr>
        <w:pStyle w:val="Subsection"/>
        <w:spacing w:before="140"/>
      </w:pPr>
      <w:r>
        <w:tab/>
        <w:t>(2)</w:t>
      </w:r>
      <w:r>
        <w:tab/>
        <w:t>The Treasurer may, by written notice, direct the board to modify the statement of corporate intent, and the board shall comply with any such direction.</w:t>
      </w:r>
    </w:p>
    <w:p>
      <w:pPr>
        <w:pStyle w:val="Subsection"/>
        <w:spacing w:before="140"/>
      </w:pPr>
      <w:r>
        <w:tab/>
        <w:t>(3)</w:t>
      </w:r>
      <w:r>
        <w:tab/>
        <w:t>Before giving the direction, the Treasurer shall consult with the board and take its views into account.</w:t>
      </w:r>
    </w:p>
    <w:p>
      <w:pPr>
        <w:pStyle w:val="Subsection"/>
        <w:spacing w:before="140"/>
      </w:pPr>
      <w:r>
        <w:tab/>
        <w:t>(4)</w:t>
      </w:r>
      <w:r>
        <w:tab/>
        <w:t xml:space="preserve">The Treasurer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18.]</w:t>
      </w:r>
    </w:p>
    <w:p>
      <w:pPr>
        <w:pStyle w:val="Heading3"/>
        <w:keepLines/>
      </w:pPr>
      <w:bookmarkStart w:id="166" w:name="_Toc112230263"/>
      <w:bookmarkStart w:id="167" w:name="_Toc112464911"/>
      <w:bookmarkStart w:id="168" w:name="_Toc113080894"/>
      <w:bookmarkStart w:id="169" w:name="_Toc113253475"/>
      <w:bookmarkStart w:id="170" w:name="_Toc113253833"/>
      <w:bookmarkStart w:id="171" w:name="_Toc114894673"/>
      <w:bookmarkStart w:id="172" w:name="_Toc116717758"/>
      <w:bookmarkStart w:id="173" w:name="_Toc116814108"/>
      <w:r>
        <w:rPr>
          <w:rStyle w:val="CharDivNo"/>
        </w:rPr>
        <w:t>Division 3</w:t>
      </w:r>
      <w:r>
        <w:t xml:space="preserve"> — </w:t>
      </w:r>
      <w:r>
        <w:rPr>
          <w:rStyle w:val="CharDivText"/>
        </w:rPr>
        <w:t>Supplementary provision as to laying directions before Parliament</w:t>
      </w:r>
      <w:bookmarkEnd w:id="166"/>
      <w:bookmarkEnd w:id="167"/>
      <w:bookmarkEnd w:id="168"/>
      <w:bookmarkEnd w:id="169"/>
      <w:bookmarkEnd w:id="170"/>
      <w:bookmarkEnd w:id="171"/>
      <w:bookmarkEnd w:id="172"/>
      <w:bookmarkEnd w:id="173"/>
    </w:p>
    <w:p>
      <w:pPr>
        <w:pStyle w:val="Footnoteheading"/>
        <w:keepNext/>
        <w:keepLines/>
      </w:pPr>
      <w:r>
        <w:tab/>
        <w:t>[Heading inserted by No. 25 of 1998 s. 18.]</w:t>
      </w:r>
    </w:p>
    <w:p>
      <w:pPr>
        <w:pStyle w:val="Heading5"/>
      </w:pPr>
      <w:bookmarkStart w:id="174" w:name="_Toc487871078"/>
      <w:bookmarkStart w:id="175" w:name="_Toc520106664"/>
      <w:bookmarkStart w:id="176" w:name="_Toc116814109"/>
      <w:r>
        <w:rPr>
          <w:rStyle w:val="CharSectno"/>
        </w:rPr>
        <w:t>16Q</w:t>
      </w:r>
      <w:r>
        <w:t>.</w:t>
      </w:r>
      <w:r>
        <w:tab/>
        <w:t>Procedure where a House is not sitting</w:t>
      </w:r>
      <w:bookmarkEnd w:id="174"/>
      <w:bookmarkEnd w:id="175"/>
      <w:bookmarkEnd w:id="176"/>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the Treasurer is of the opinion that that House will not sit during that period,</w:t>
      </w:r>
    </w:p>
    <w:p>
      <w:pPr>
        <w:pStyle w:val="Subsection"/>
        <w:spacing w:before="80"/>
      </w:pPr>
      <w:r>
        <w:tab/>
      </w:r>
      <w:r>
        <w:tab/>
        <w:t>the Treasurer shall transmit a copy of the document to the Clerk of that House.</w:t>
      </w:r>
    </w:p>
    <w:p>
      <w:pPr>
        <w:pStyle w:val="Subsection"/>
      </w:pPr>
      <w:r>
        <w:tab/>
        <w:t>(2)</w:t>
      </w:r>
      <w:r>
        <w:tab/>
        <w:t xml:space="preserve">A copy of a document transmitted to the Clerk of a House shall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shall be recorded in the Minutes, or Votes and Proceedings, of the House on the first sitting day of the House after the receipt of the copy by the Clerk.</w:t>
      </w:r>
    </w:p>
    <w:p>
      <w:pPr>
        <w:pStyle w:val="Footnotesection"/>
      </w:pPr>
      <w:r>
        <w:tab/>
        <w:t>[Section 16Q inserted by No. 25 of 1998 s. 18.]</w:t>
      </w:r>
    </w:p>
    <w:p>
      <w:pPr>
        <w:pStyle w:val="Heading2"/>
      </w:pPr>
      <w:bookmarkStart w:id="177" w:name="_Toc112230265"/>
      <w:bookmarkStart w:id="178" w:name="_Toc112464913"/>
      <w:bookmarkStart w:id="179" w:name="_Toc113080896"/>
      <w:bookmarkStart w:id="180" w:name="_Toc113253477"/>
      <w:bookmarkStart w:id="181" w:name="_Toc113253835"/>
      <w:bookmarkStart w:id="182" w:name="_Toc114894675"/>
      <w:bookmarkStart w:id="183" w:name="_Toc116717760"/>
      <w:bookmarkStart w:id="184" w:name="_Toc116814110"/>
      <w:r>
        <w:rPr>
          <w:rStyle w:val="CharPartNo"/>
        </w:rPr>
        <w:t>Part IV</w:t>
      </w:r>
      <w:r>
        <w:rPr>
          <w:rStyle w:val="CharDivNo"/>
        </w:rPr>
        <w:t> </w:t>
      </w:r>
      <w:r>
        <w:t>—</w:t>
      </w:r>
      <w:r>
        <w:rPr>
          <w:rStyle w:val="CharDivText"/>
        </w:rPr>
        <w:t> </w:t>
      </w:r>
      <w:r>
        <w:rPr>
          <w:rStyle w:val="CharPartText"/>
        </w:rPr>
        <w:t>General</w:t>
      </w:r>
      <w:bookmarkEnd w:id="177"/>
      <w:bookmarkEnd w:id="178"/>
      <w:bookmarkEnd w:id="179"/>
      <w:bookmarkEnd w:id="180"/>
      <w:bookmarkEnd w:id="181"/>
      <w:bookmarkEnd w:id="182"/>
      <w:bookmarkEnd w:id="183"/>
      <w:bookmarkEnd w:id="184"/>
      <w:r>
        <w:rPr>
          <w:rStyle w:val="CharPartText"/>
        </w:rPr>
        <w:t xml:space="preserve"> </w:t>
      </w:r>
    </w:p>
    <w:p>
      <w:pPr>
        <w:pStyle w:val="Heading5"/>
        <w:rPr>
          <w:snapToGrid w:val="0"/>
        </w:rPr>
      </w:pPr>
      <w:bookmarkStart w:id="185" w:name="_Toc487871079"/>
      <w:bookmarkStart w:id="186" w:name="_Toc520106665"/>
      <w:bookmarkStart w:id="187" w:name="_Toc116814111"/>
      <w:r>
        <w:rPr>
          <w:rStyle w:val="CharSectno"/>
        </w:rPr>
        <w:t>17</w:t>
      </w:r>
      <w:r>
        <w:rPr>
          <w:snapToGrid w:val="0"/>
        </w:rPr>
        <w:t>.</w:t>
      </w:r>
      <w:r>
        <w:rPr>
          <w:snapToGrid w:val="0"/>
        </w:rPr>
        <w:tab/>
        <w:t>Western Australian Treasury Corporation Account</w:t>
      </w:r>
      <w:bookmarkEnd w:id="185"/>
      <w:bookmarkEnd w:id="186"/>
      <w:bookmarkEnd w:id="187"/>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188" w:name="_Toc487871080"/>
      <w:bookmarkStart w:id="189" w:name="_Toc520106666"/>
      <w:bookmarkStart w:id="190" w:name="_Toc116814112"/>
      <w:r>
        <w:rPr>
          <w:rStyle w:val="CharSectno"/>
        </w:rPr>
        <w:t>17A</w:t>
      </w:r>
      <w:r>
        <w:t>.</w:t>
      </w:r>
      <w:r>
        <w:tab/>
        <w:t>Dividends</w:t>
      </w:r>
      <w:bookmarkEnd w:id="188"/>
      <w:bookmarkEnd w:id="189"/>
      <w:bookmarkEnd w:id="190"/>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Fund;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Treasurer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Treasurer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w:t>
      </w:r>
    </w:p>
    <w:p>
      <w:pPr>
        <w:pStyle w:val="Heading5"/>
        <w:rPr>
          <w:snapToGrid w:val="0"/>
        </w:rPr>
      </w:pPr>
      <w:bookmarkStart w:id="191" w:name="_Toc487871081"/>
      <w:bookmarkStart w:id="192" w:name="_Toc520106667"/>
      <w:bookmarkStart w:id="193" w:name="_Toc116814113"/>
      <w:r>
        <w:rPr>
          <w:rStyle w:val="CharSectno"/>
        </w:rPr>
        <w:t>18</w:t>
      </w:r>
      <w:r>
        <w:rPr>
          <w:snapToGrid w:val="0"/>
        </w:rPr>
        <w:t>.</w:t>
      </w:r>
      <w:r>
        <w:rPr>
          <w:snapToGrid w:val="0"/>
        </w:rPr>
        <w:tab/>
        <w:t>Delegation by Corporation</w:t>
      </w:r>
      <w:bookmarkEnd w:id="191"/>
      <w:bookmarkEnd w:id="192"/>
      <w:bookmarkEnd w:id="193"/>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b/>
        </w:rPr>
        <w:t>“</w:t>
      </w:r>
      <w:r>
        <w:rPr>
          <w:rStyle w:val="CharDefText"/>
        </w:rPr>
        <w:t>eligible person</w:t>
      </w:r>
      <w:r>
        <w:rPr>
          <w:b/>
        </w:rPr>
        <w:t>”</w:t>
      </w:r>
      <w:r>
        <w:t xml:space="preserve"> means — </w:t>
      </w:r>
    </w:p>
    <w:p>
      <w:pPr>
        <w:pStyle w:val="Defpara"/>
      </w:pPr>
      <w:r>
        <w:tab/>
        <w:t>(a)</w:t>
      </w:r>
      <w:r>
        <w:tab/>
        <w:t>the chief executive officer;</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w:t>
      </w:r>
    </w:p>
    <w:p>
      <w:pPr>
        <w:pStyle w:val="Heading5"/>
        <w:rPr>
          <w:snapToGrid w:val="0"/>
        </w:rPr>
      </w:pPr>
      <w:bookmarkStart w:id="194" w:name="_Toc487871082"/>
      <w:bookmarkStart w:id="195" w:name="_Toc520106668"/>
      <w:bookmarkStart w:id="196" w:name="_Toc116814114"/>
      <w:r>
        <w:rPr>
          <w:rStyle w:val="CharSectno"/>
        </w:rPr>
        <w:t>19</w:t>
      </w:r>
      <w:r>
        <w:rPr>
          <w:snapToGrid w:val="0"/>
        </w:rPr>
        <w:t>.</w:t>
      </w:r>
      <w:r>
        <w:rPr>
          <w:snapToGrid w:val="0"/>
        </w:rPr>
        <w:tab/>
        <w:t>Delegation by Treasurer of power of approval</w:t>
      </w:r>
      <w:bookmarkEnd w:id="194"/>
      <w:bookmarkEnd w:id="195"/>
      <w:bookmarkEnd w:id="196"/>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 Treasurer.</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Heading5"/>
        <w:rPr>
          <w:snapToGrid w:val="0"/>
        </w:rPr>
      </w:pPr>
      <w:bookmarkStart w:id="197" w:name="_Toc487871083"/>
      <w:bookmarkStart w:id="198" w:name="_Toc520106669"/>
      <w:bookmarkStart w:id="199" w:name="_Toc116814115"/>
      <w:r>
        <w:rPr>
          <w:rStyle w:val="CharSectno"/>
        </w:rPr>
        <w:t>20</w:t>
      </w:r>
      <w:r>
        <w:rPr>
          <w:snapToGrid w:val="0"/>
        </w:rPr>
        <w:t>.</w:t>
      </w:r>
      <w:r>
        <w:rPr>
          <w:snapToGrid w:val="0"/>
        </w:rPr>
        <w:tab/>
        <w:t>Directions by Treasurer</w:t>
      </w:r>
      <w:bookmarkEnd w:id="197"/>
      <w:bookmarkEnd w:id="198"/>
      <w:bookmarkEnd w:id="199"/>
      <w:r>
        <w:rPr>
          <w:snapToGrid w:val="0"/>
        </w:rPr>
        <w:t xml:space="preserve"> </w:t>
      </w:r>
    </w:p>
    <w:p>
      <w:pPr>
        <w:pStyle w:val="Subsection"/>
        <w:rPr>
          <w:snapToGrid w:val="0"/>
        </w:rPr>
      </w:pPr>
      <w:r>
        <w:rPr>
          <w:snapToGrid w:val="0"/>
        </w:rPr>
        <w:tab/>
        <w:t>(1)</w:t>
      </w:r>
      <w:r>
        <w:rPr>
          <w:snapToGrid w:val="0"/>
        </w:rPr>
        <w:tab/>
        <w:t>The Treasurer may give directions in writing to the Corporation in relation to the exercise of the powers, or of any specified power, conferred on the Corporation by Part III, including a direction that the Corporation shall not exercise such a power without the prior approval in writing of the Treasurer, and the Corporation shall give effect to any such direction.</w:t>
      </w:r>
    </w:p>
    <w:p>
      <w:pPr>
        <w:pStyle w:val="Subsection"/>
        <w:rPr>
          <w:snapToGrid w:val="0"/>
        </w:rPr>
      </w:pPr>
      <w:r>
        <w:rPr>
          <w:snapToGrid w:val="0"/>
        </w:rPr>
        <w:tab/>
        <w:t>(2)</w:t>
      </w:r>
      <w:r>
        <w:rPr>
          <w:snapToGrid w:val="0"/>
        </w:rPr>
        <w:tab/>
        <w:t>The approval in writing referred to in subsection (1) may be given on, or subject to, such terms and conditions as the Treasurer 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20 amended by No. 24 of 1992 s. 11; No. 25 of 1998 s. 22.] </w:t>
      </w:r>
    </w:p>
    <w:p>
      <w:pPr>
        <w:pStyle w:val="Heading5"/>
        <w:rPr>
          <w:snapToGrid w:val="0"/>
        </w:rPr>
      </w:pPr>
      <w:bookmarkStart w:id="200" w:name="_Toc487871084"/>
      <w:bookmarkStart w:id="201" w:name="_Toc520106670"/>
      <w:bookmarkStart w:id="202" w:name="_Toc116814116"/>
      <w:r>
        <w:rPr>
          <w:rStyle w:val="CharSectno"/>
        </w:rPr>
        <w:t>21</w:t>
      </w:r>
      <w:r>
        <w:rPr>
          <w:snapToGrid w:val="0"/>
        </w:rPr>
        <w:t>.</w:t>
      </w:r>
      <w:r>
        <w:rPr>
          <w:snapToGrid w:val="0"/>
        </w:rPr>
        <w:tab/>
        <w:t>Financial administration, audit and reporting</w:t>
      </w:r>
      <w:bookmarkEnd w:id="200"/>
      <w:bookmarkEnd w:id="201"/>
      <w:bookmarkEnd w:id="20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5"/>
        <w:rPr>
          <w:snapToGrid w:val="0"/>
        </w:rPr>
      </w:pPr>
      <w:bookmarkStart w:id="203" w:name="_Toc487871085"/>
      <w:bookmarkStart w:id="204" w:name="_Toc520106671"/>
      <w:bookmarkStart w:id="205" w:name="_Toc116814117"/>
      <w:r>
        <w:rPr>
          <w:rStyle w:val="CharSectno"/>
        </w:rPr>
        <w:t>21A</w:t>
      </w:r>
      <w:r>
        <w:rPr>
          <w:snapToGrid w:val="0"/>
        </w:rPr>
        <w:t xml:space="preserve">. </w:t>
      </w:r>
      <w:r>
        <w:rPr>
          <w:snapToGrid w:val="0"/>
        </w:rPr>
        <w:tab/>
        <w:t>Treasurer to have access to information</w:t>
      </w:r>
      <w:bookmarkEnd w:id="203"/>
      <w:bookmarkEnd w:id="204"/>
      <w:bookmarkEnd w:id="205"/>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Treasurer that relates to the functions of the Corporation;</w:t>
      </w:r>
    </w:p>
    <w:p>
      <w:pPr>
        <w:pStyle w:val="Defstart"/>
      </w:pPr>
      <w:r>
        <w:rPr>
          <w:b/>
        </w:rPr>
        <w:tab/>
        <w:t>“</w:t>
      </w:r>
      <w:r>
        <w:rPr>
          <w:rStyle w:val="CharDefText"/>
        </w:rPr>
        <w:t>parliamentary purposes</w:t>
      </w:r>
      <w:r>
        <w:rPr>
          <w:b/>
        </w:rPr>
        <w:t>”</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21A inserted by No. 24 of 1992 s. 12.] </w:t>
      </w:r>
    </w:p>
    <w:p>
      <w:pPr>
        <w:pStyle w:val="Heading5"/>
        <w:rPr>
          <w:snapToGrid w:val="0"/>
        </w:rPr>
      </w:pPr>
      <w:bookmarkStart w:id="206" w:name="_Toc487871086"/>
      <w:bookmarkStart w:id="207" w:name="_Toc520106672"/>
      <w:bookmarkStart w:id="208" w:name="_Toc116814118"/>
      <w:r>
        <w:rPr>
          <w:rStyle w:val="CharSectno"/>
        </w:rPr>
        <w:t>21B</w:t>
      </w:r>
      <w:r>
        <w:rPr>
          <w:snapToGrid w:val="0"/>
        </w:rPr>
        <w:t>.</w:t>
      </w:r>
      <w:r>
        <w:rPr>
          <w:snapToGrid w:val="0"/>
        </w:rPr>
        <w:tab/>
        <w:t>Quarterly reports</w:t>
      </w:r>
      <w:bookmarkEnd w:id="206"/>
      <w:bookmarkEnd w:id="207"/>
      <w:bookmarkEnd w:id="208"/>
    </w:p>
    <w:p>
      <w:pPr>
        <w:pStyle w:val="Subsection"/>
      </w:pPr>
      <w:r>
        <w:tab/>
        <w:t>(1)</w:t>
      </w:r>
      <w:r>
        <w:tab/>
        <w:t>In addition to the reporting requirements referred to in section 21, the Corporation shall give to the Treasurer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Treasurer — </w:t>
      </w:r>
    </w:p>
    <w:p>
      <w:pPr>
        <w:pStyle w:val="Indenta"/>
      </w:pPr>
      <w:r>
        <w:tab/>
        <w:t>(a)</w:t>
      </w:r>
      <w:r>
        <w:tab/>
        <w:t>within one month after the end of the quarter; or</w:t>
      </w:r>
    </w:p>
    <w:p>
      <w:pPr>
        <w:pStyle w:val="Indenta"/>
      </w:pPr>
      <w:r>
        <w:tab/>
        <w:t>(b)</w:t>
      </w:r>
      <w:r>
        <w:tab/>
        <w:t>if another period after the end of the quarter is agreed between the Corporation and the Treasurer, within the agreed period.</w:t>
      </w:r>
    </w:p>
    <w:p>
      <w:pPr>
        <w:pStyle w:val="Subsection"/>
      </w:pPr>
      <w:r>
        <w:tab/>
        <w:t>(4)</w:t>
      </w:r>
      <w:r>
        <w:tab/>
        <w:t xml:space="preserve">The Treasurer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23(1).]</w:t>
      </w:r>
    </w:p>
    <w:p>
      <w:pPr>
        <w:pStyle w:val="Heading5"/>
        <w:rPr>
          <w:snapToGrid w:val="0"/>
        </w:rPr>
      </w:pPr>
      <w:bookmarkStart w:id="209" w:name="_Toc487871087"/>
      <w:bookmarkStart w:id="210" w:name="_Toc520106673"/>
      <w:bookmarkStart w:id="211" w:name="_Toc116814119"/>
      <w:r>
        <w:rPr>
          <w:rStyle w:val="CharSectno"/>
        </w:rPr>
        <w:t>22</w:t>
      </w:r>
      <w:r>
        <w:rPr>
          <w:snapToGrid w:val="0"/>
        </w:rPr>
        <w:t>.</w:t>
      </w:r>
      <w:r>
        <w:rPr>
          <w:snapToGrid w:val="0"/>
        </w:rPr>
        <w:tab/>
        <w:t>Regulations</w:t>
      </w:r>
      <w:bookmarkEnd w:id="209"/>
      <w:bookmarkEnd w:id="210"/>
      <w:bookmarkEnd w:id="2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212" w:name="_Toc112230275"/>
      <w:bookmarkStart w:id="213" w:name="_Toc112464923"/>
      <w:bookmarkStart w:id="214" w:name="_Toc113080906"/>
      <w:bookmarkStart w:id="215" w:name="_Toc113253487"/>
      <w:bookmarkStart w:id="216" w:name="_Toc113253845"/>
      <w:bookmarkStart w:id="217" w:name="_Toc114894685"/>
      <w:bookmarkStart w:id="218" w:name="_Toc116717770"/>
      <w:bookmarkStart w:id="219" w:name="_Toc116814120"/>
      <w:r>
        <w:rPr>
          <w:rStyle w:val="CharPartNo"/>
        </w:rPr>
        <w:t>Part V</w:t>
      </w:r>
      <w:r>
        <w:rPr>
          <w:rStyle w:val="CharDivNo"/>
        </w:rPr>
        <w:t> </w:t>
      </w:r>
      <w:r>
        <w:t>—</w:t>
      </w:r>
      <w:r>
        <w:rPr>
          <w:rStyle w:val="CharDivText"/>
        </w:rPr>
        <w:t> </w:t>
      </w:r>
      <w:r>
        <w:rPr>
          <w:rStyle w:val="CharPartText"/>
        </w:rPr>
        <w:t>Transitional, validation and consequential amendment</w:t>
      </w:r>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487871088"/>
      <w:bookmarkStart w:id="221" w:name="_Toc520106674"/>
      <w:bookmarkStart w:id="222" w:name="_Toc116814121"/>
      <w:r>
        <w:rPr>
          <w:rStyle w:val="CharSectno"/>
        </w:rPr>
        <w:t>23</w:t>
      </w:r>
      <w:r>
        <w:rPr>
          <w:snapToGrid w:val="0"/>
        </w:rPr>
        <w:t>.</w:t>
      </w:r>
      <w:r>
        <w:rPr>
          <w:snapToGrid w:val="0"/>
        </w:rPr>
        <w:tab/>
        <w:t>Repeal</w:t>
      </w:r>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223" w:name="_Toc487871089"/>
      <w:bookmarkStart w:id="224" w:name="_Toc520106675"/>
      <w:bookmarkStart w:id="225" w:name="_Toc116814122"/>
      <w:r>
        <w:rPr>
          <w:rStyle w:val="CharSectno"/>
        </w:rPr>
        <w:t>24</w:t>
      </w:r>
      <w:r>
        <w:rPr>
          <w:snapToGrid w:val="0"/>
        </w:rPr>
        <w:t>.</w:t>
      </w:r>
      <w:r>
        <w:rPr>
          <w:snapToGrid w:val="0"/>
        </w:rPr>
        <w:tab/>
        <w:t>Transitional provisions</w:t>
      </w:r>
      <w:bookmarkEnd w:id="223"/>
      <w:bookmarkEnd w:id="224"/>
      <w:bookmarkEnd w:id="225"/>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226" w:name="_Toc487871090"/>
      <w:bookmarkStart w:id="227" w:name="_Toc520106676"/>
      <w:bookmarkStart w:id="228" w:name="_Toc116814123"/>
      <w:r>
        <w:rPr>
          <w:rStyle w:val="CharSectno"/>
        </w:rPr>
        <w:t>25</w:t>
      </w:r>
      <w:r>
        <w:rPr>
          <w:snapToGrid w:val="0"/>
        </w:rPr>
        <w:t>.</w:t>
      </w:r>
      <w:r>
        <w:rPr>
          <w:snapToGrid w:val="0"/>
        </w:rPr>
        <w:tab/>
        <w:t>Validation</w:t>
      </w:r>
      <w:bookmarkEnd w:id="226"/>
      <w:bookmarkEnd w:id="227"/>
      <w:bookmarkEnd w:id="228"/>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bCs/>
        </w:rPr>
        <w:t>26.</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9" w:name="_Toc112230280"/>
      <w:bookmarkStart w:id="230" w:name="_Toc112464928"/>
      <w:bookmarkStart w:id="231" w:name="_Toc113080910"/>
      <w:bookmarkStart w:id="232" w:name="_Toc113253491"/>
      <w:bookmarkStart w:id="233" w:name="_Toc113253849"/>
      <w:bookmarkStart w:id="234" w:name="_Toc114894689"/>
      <w:bookmarkStart w:id="235" w:name="_Toc116717774"/>
      <w:bookmarkStart w:id="236" w:name="_Toc116814124"/>
      <w:r>
        <w:rPr>
          <w:rStyle w:val="CharSchNo"/>
        </w:rPr>
        <w:t>Schedule 1</w:t>
      </w:r>
      <w:r>
        <w:t> — </w:t>
      </w:r>
      <w:r>
        <w:rPr>
          <w:rStyle w:val="CharSchText"/>
        </w:rPr>
        <w:t>Bodies that are not authorities</w:t>
      </w:r>
      <w:bookmarkEnd w:id="229"/>
      <w:bookmarkEnd w:id="230"/>
      <w:bookmarkEnd w:id="231"/>
      <w:bookmarkEnd w:id="232"/>
      <w:bookmarkEnd w:id="233"/>
      <w:bookmarkEnd w:id="234"/>
      <w:bookmarkEnd w:id="235"/>
      <w:bookmarkEnd w:id="236"/>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bCs/>
          <w:snapToGrid w:val="0"/>
        </w:rPr>
      </w:pPr>
      <w:r>
        <w:rPr>
          <w:b/>
          <w:bCs/>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37" w:name="_Toc112230281"/>
    </w:p>
    <w:p>
      <w:pPr>
        <w:pStyle w:val="yScheduleHeading"/>
      </w:pPr>
      <w:bookmarkStart w:id="238" w:name="_Toc112464929"/>
      <w:bookmarkStart w:id="239" w:name="_Toc113080911"/>
      <w:bookmarkStart w:id="240" w:name="_Toc113253492"/>
      <w:bookmarkStart w:id="241" w:name="_Toc113253850"/>
      <w:bookmarkStart w:id="242" w:name="_Toc114894690"/>
      <w:bookmarkStart w:id="243" w:name="_Toc116717775"/>
      <w:bookmarkStart w:id="244" w:name="_Toc116814125"/>
      <w:r>
        <w:rPr>
          <w:rStyle w:val="CharSchNo"/>
        </w:rPr>
        <w:t>Schedule 2</w:t>
      </w:r>
      <w:r>
        <w:t> — </w:t>
      </w:r>
      <w:r>
        <w:rPr>
          <w:rStyle w:val="CharSchText"/>
        </w:rPr>
        <w:t>Constitution and proceedings of board</w:t>
      </w:r>
      <w:bookmarkEnd w:id="237"/>
      <w:bookmarkEnd w:id="238"/>
      <w:bookmarkEnd w:id="239"/>
      <w:bookmarkEnd w:id="240"/>
      <w:bookmarkEnd w:id="241"/>
      <w:bookmarkEnd w:id="242"/>
      <w:bookmarkEnd w:id="243"/>
      <w:bookmarkEnd w:id="244"/>
    </w:p>
    <w:p>
      <w:pPr>
        <w:pStyle w:val="yShoulderClause"/>
      </w:pPr>
      <w:r>
        <w:t>[Section 5C]</w:t>
      </w:r>
    </w:p>
    <w:p>
      <w:pPr>
        <w:pStyle w:val="yFootnoteheading"/>
        <w:spacing w:before="0"/>
      </w:pPr>
      <w:bookmarkStart w:id="245" w:name="_Toc112230282"/>
      <w:r>
        <w:tab/>
        <w:t>[Heading inserted by No. 25 of 1998 s. 25.]</w:t>
      </w:r>
    </w:p>
    <w:p>
      <w:pPr>
        <w:pStyle w:val="yHeading3"/>
        <w:spacing w:before="120"/>
      </w:pPr>
      <w:bookmarkStart w:id="246" w:name="_Toc112464930"/>
      <w:bookmarkStart w:id="247" w:name="_Toc113080912"/>
      <w:bookmarkStart w:id="248" w:name="_Toc113253493"/>
      <w:bookmarkStart w:id="249" w:name="_Toc113253851"/>
      <w:bookmarkStart w:id="250" w:name="_Toc114894691"/>
      <w:bookmarkStart w:id="251" w:name="_Toc116717776"/>
      <w:bookmarkStart w:id="252" w:name="_Toc116814126"/>
      <w:r>
        <w:rPr>
          <w:rStyle w:val="CharSDivNo"/>
        </w:rPr>
        <w:t>Division 1</w:t>
      </w:r>
      <w:r>
        <w:t> — </w:t>
      </w:r>
      <w:r>
        <w:rPr>
          <w:rStyle w:val="CharSDivText"/>
        </w:rPr>
        <w:t>Terms of office, meetings etc.</w:t>
      </w:r>
      <w:bookmarkEnd w:id="245"/>
      <w:bookmarkEnd w:id="246"/>
      <w:bookmarkEnd w:id="247"/>
      <w:bookmarkEnd w:id="248"/>
      <w:bookmarkEnd w:id="249"/>
      <w:bookmarkEnd w:id="250"/>
      <w:bookmarkEnd w:id="251"/>
      <w:bookmarkEnd w:id="252"/>
    </w:p>
    <w:p>
      <w:pPr>
        <w:pStyle w:val="yFootnoteheading"/>
      </w:pPr>
      <w:bookmarkStart w:id="253" w:name="_Toc520106678"/>
      <w:r>
        <w:tab/>
        <w:t>[Heading inserted by No. 25 of 1998 s. 25.]</w:t>
      </w:r>
    </w:p>
    <w:p>
      <w:pPr>
        <w:pStyle w:val="yHeading5"/>
        <w:spacing w:before="120"/>
        <w:outlineLvl w:val="9"/>
      </w:pPr>
      <w:bookmarkStart w:id="254" w:name="_Toc116814127"/>
      <w:r>
        <w:rPr>
          <w:rStyle w:val="CharSClsNo"/>
        </w:rPr>
        <w:t>1</w:t>
      </w:r>
      <w:r>
        <w:t>.</w:t>
      </w:r>
      <w:r>
        <w:tab/>
        <w:t>Term of office</w:t>
      </w:r>
      <w:bookmarkEnd w:id="253"/>
      <w:bookmarkEnd w:id="254"/>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255" w:name="_Toc520106679"/>
      <w:r>
        <w:tab/>
        <w:t>[Clause 1 inserted by No. 25 of 1998 s. 25.]</w:t>
      </w:r>
    </w:p>
    <w:p>
      <w:pPr>
        <w:pStyle w:val="yHeading5"/>
        <w:spacing w:before="120"/>
      </w:pPr>
      <w:bookmarkStart w:id="256" w:name="_Toc116814128"/>
      <w:r>
        <w:rPr>
          <w:rStyle w:val="CharSClsNo"/>
        </w:rPr>
        <w:t>2</w:t>
      </w:r>
      <w:r>
        <w:t>.</w:t>
      </w:r>
      <w:r>
        <w:tab/>
        <w:t>Resignation, removal, etc.</w:t>
      </w:r>
      <w:bookmarkEnd w:id="255"/>
      <w:bookmarkEnd w:id="256"/>
    </w:p>
    <w:p>
      <w:pPr>
        <w:pStyle w:val="ySubsection"/>
      </w:pPr>
      <w:r>
        <w:tab/>
        <w:t>(1)</w:t>
      </w:r>
      <w:r>
        <w:tab/>
        <w:t xml:space="preserve">The office of an appointed director becomes vacant if he or she — </w:t>
      </w:r>
    </w:p>
    <w:p>
      <w:pPr>
        <w:pStyle w:val="yIndenta"/>
      </w:pPr>
      <w:r>
        <w:tab/>
        <w:t>(a)</w:t>
      </w:r>
      <w:r>
        <w:tab/>
        <w:t>resigns the office by written notice addressed to the Treasurer;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Treasurer under subclause (2).</w:t>
      </w:r>
    </w:p>
    <w:p>
      <w:pPr>
        <w:pStyle w:val="ySubsection"/>
      </w:pPr>
      <w:r>
        <w:tab/>
        <w:t>(2)</w:t>
      </w:r>
      <w:r>
        <w:tab/>
        <w:t xml:space="preserve">The Treasurer may remove an appointed director from office if the Treasurer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257" w:name="_Toc520106680"/>
      <w:r>
        <w:tab/>
        <w:t>[Clause 2 inserted by No. 25 of 1998 s. 25; amended by No. 10 of 2001 s. 216.]</w:t>
      </w:r>
    </w:p>
    <w:p>
      <w:pPr>
        <w:pStyle w:val="yHeading5"/>
      </w:pPr>
      <w:bookmarkStart w:id="258" w:name="_Toc116814129"/>
      <w:r>
        <w:rPr>
          <w:rStyle w:val="CharSClsNo"/>
        </w:rPr>
        <w:t>3</w:t>
      </w:r>
      <w:r>
        <w:t>.</w:t>
      </w:r>
      <w:r>
        <w:tab/>
        <w:t>Leave of absence</w:t>
      </w:r>
      <w:bookmarkEnd w:id="257"/>
      <w:bookmarkEnd w:id="258"/>
    </w:p>
    <w:p>
      <w:pPr>
        <w:pStyle w:val="ySubsection"/>
      </w:pPr>
      <w:r>
        <w:tab/>
      </w:r>
      <w:r>
        <w:tab/>
        <w:t>The board may grant leave of absence to a director on such terms and conditions as it thinks fit.</w:t>
      </w:r>
    </w:p>
    <w:p>
      <w:pPr>
        <w:pStyle w:val="yFootnotesection"/>
      </w:pPr>
      <w:bookmarkStart w:id="259" w:name="_Toc520106681"/>
      <w:r>
        <w:tab/>
        <w:t>[Clause 3 inserted by No. 25 of 1998 s. 25.]</w:t>
      </w:r>
    </w:p>
    <w:p>
      <w:pPr>
        <w:pStyle w:val="yHeading5"/>
      </w:pPr>
      <w:bookmarkStart w:id="260" w:name="_Toc116814130"/>
      <w:r>
        <w:rPr>
          <w:rStyle w:val="CharSClsNo"/>
        </w:rPr>
        <w:t>4</w:t>
      </w:r>
      <w:r>
        <w:t>.</w:t>
      </w:r>
      <w:r>
        <w:tab/>
        <w:t>Director under section 5B(1)(b) unable to act</w:t>
      </w:r>
      <w:bookmarkEnd w:id="259"/>
      <w:bookmarkEnd w:id="260"/>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261" w:name="_Toc520106682"/>
      <w:r>
        <w:tab/>
        <w:t>[Clause 4 inserted by No. 25 of 1998 s. 25.]</w:t>
      </w:r>
    </w:p>
    <w:p>
      <w:pPr>
        <w:pStyle w:val="yHeading5"/>
      </w:pPr>
      <w:bookmarkStart w:id="262" w:name="_Toc116814131"/>
      <w:r>
        <w:rPr>
          <w:rStyle w:val="CharSClsNo"/>
        </w:rPr>
        <w:t>5</w:t>
      </w:r>
      <w:r>
        <w:t>.</w:t>
      </w:r>
      <w:r>
        <w:tab/>
        <w:t>Chief executive officer unable to attend</w:t>
      </w:r>
      <w:bookmarkEnd w:id="261"/>
      <w:bookmarkEnd w:id="262"/>
    </w:p>
    <w:p>
      <w:pPr>
        <w:pStyle w:val="ySubsection"/>
      </w:pPr>
      <w:r>
        <w:tab/>
      </w:r>
      <w:r>
        <w:tab/>
        <w:t>The chief executive officer, or an acting chief executive officer,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263" w:name="_Toc520106683"/>
      <w:r>
        <w:tab/>
        <w:t>[Clause 5 inserted by No. 25 of 1998 s. 25.]</w:t>
      </w:r>
    </w:p>
    <w:p>
      <w:pPr>
        <w:pStyle w:val="yHeading5"/>
      </w:pPr>
      <w:bookmarkStart w:id="264" w:name="_Toc116814132"/>
      <w:r>
        <w:rPr>
          <w:rStyle w:val="CharSClsNo"/>
        </w:rPr>
        <w:t>6</w:t>
      </w:r>
      <w:r>
        <w:t>.</w:t>
      </w:r>
      <w:r>
        <w:tab/>
        <w:t>Appointed director unable to act</w:t>
      </w:r>
      <w:bookmarkEnd w:id="263"/>
      <w:bookmarkEnd w:id="264"/>
    </w:p>
    <w:p>
      <w:pPr>
        <w:pStyle w:val="ySubsection"/>
      </w:pPr>
      <w:r>
        <w:tab/>
        <w:t>(1)</w:t>
      </w:r>
      <w:r>
        <w:tab/>
        <w:t>If an appointed director is unable to act by reason of sickness, absence or other cause, the Treasurer may appoint another person to act temporarily in his or her place and, while so acting according to the tenor of his or her appointment, that other person shall be taken to be a director.</w:t>
      </w:r>
    </w:p>
    <w:p>
      <w:pPr>
        <w:pStyle w:val="ySubsection"/>
      </w:pPr>
      <w:r>
        <w:tab/>
        <w:t>(2)</w:t>
      </w:r>
      <w:r>
        <w:tab/>
        <w:t>The appointment of a person under subclause (1) may be terminated at any time by the Treasurer.</w:t>
      </w:r>
    </w:p>
    <w:p>
      <w:pPr>
        <w:pStyle w:val="yFootnotesection"/>
      </w:pPr>
      <w:bookmarkStart w:id="265" w:name="_Toc520106684"/>
      <w:r>
        <w:tab/>
        <w:t>[Clause 6 inserted by No. 25 of 1998 s. 25.]</w:t>
      </w:r>
    </w:p>
    <w:p>
      <w:pPr>
        <w:pStyle w:val="yHeading5"/>
      </w:pPr>
      <w:bookmarkStart w:id="266" w:name="_Toc116814133"/>
      <w:r>
        <w:rPr>
          <w:rStyle w:val="CharSClsNo"/>
        </w:rPr>
        <w:t>7</w:t>
      </w:r>
      <w:r>
        <w:t>.</w:t>
      </w:r>
      <w:r>
        <w:tab/>
        <w:t>Saving</w:t>
      </w:r>
      <w:bookmarkEnd w:id="265"/>
      <w:bookmarkEnd w:id="266"/>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267" w:name="_Toc520106685"/>
      <w:r>
        <w:tab/>
        <w:t>[Clause 7 inserted by No. 25 of 1998 s. 25.]</w:t>
      </w:r>
    </w:p>
    <w:p>
      <w:pPr>
        <w:pStyle w:val="yHeading5"/>
      </w:pPr>
      <w:bookmarkStart w:id="268" w:name="_Toc116814134"/>
      <w:r>
        <w:rPr>
          <w:rStyle w:val="CharSClsNo"/>
        </w:rPr>
        <w:t>8</w:t>
      </w:r>
      <w:r>
        <w:t>.</w:t>
      </w:r>
      <w:r>
        <w:tab/>
        <w:t>Calling of meetings</w:t>
      </w:r>
      <w:bookmarkEnd w:id="267"/>
      <w:bookmarkEnd w:id="268"/>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269" w:name="_Toc520106686"/>
      <w:r>
        <w:tab/>
        <w:t>[Clause 8 inserted by No. 25 of 1998 s. 25.]</w:t>
      </w:r>
    </w:p>
    <w:p>
      <w:pPr>
        <w:pStyle w:val="yHeading5"/>
      </w:pPr>
      <w:bookmarkStart w:id="270" w:name="_Toc116814135"/>
      <w:r>
        <w:rPr>
          <w:rStyle w:val="CharSClsNo"/>
        </w:rPr>
        <w:t>9</w:t>
      </w:r>
      <w:r>
        <w:t>.</w:t>
      </w:r>
      <w:r>
        <w:tab/>
        <w:t>Presiding officer</w:t>
      </w:r>
      <w:bookmarkEnd w:id="269"/>
      <w:bookmarkEnd w:id="270"/>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271" w:name="_Toc520106687"/>
      <w:r>
        <w:tab/>
        <w:t>[Clause 9 inserted by No. 25 of 1998 s. 25.]</w:t>
      </w:r>
    </w:p>
    <w:p>
      <w:pPr>
        <w:pStyle w:val="yHeading5"/>
      </w:pPr>
      <w:bookmarkStart w:id="272" w:name="_Toc116814136"/>
      <w:r>
        <w:rPr>
          <w:rStyle w:val="CharSClsNo"/>
        </w:rPr>
        <w:t>10</w:t>
      </w:r>
      <w:r>
        <w:t>.</w:t>
      </w:r>
      <w:r>
        <w:tab/>
        <w:t>Quorum</w:t>
      </w:r>
      <w:bookmarkEnd w:id="271"/>
      <w:bookmarkEnd w:id="272"/>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273" w:name="_Toc520106688"/>
      <w:r>
        <w:tab/>
        <w:t>[Clause 10 inserted by No. 25 of 1998 s. 25.]</w:t>
      </w:r>
    </w:p>
    <w:p>
      <w:pPr>
        <w:pStyle w:val="yHeading5"/>
      </w:pPr>
      <w:bookmarkStart w:id="274" w:name="_Toc116814137"/>
      <w:r>
        <w:rPr>
          <w:rStyle w:val="CharSClsNo"/>
        </w:rPr>
        <w:t>11</w:t>
      </w:r>
      <w:r>
        <w:t>.</w:t>
      </w:r>
      <w:r>
        <w:tab/>
        <w:t>Voting</w:t>
      </w:r>
      <w:bookmarkEnd w:id="273"/>
      <w:bookmarkEnd w:id="274"/>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275" w:name="_Toc520106689"/>
      <w:r>
        <w:tab/>
        <w:t>[Clause 11 inserted by No. 25 of 1998 s. 25.]</w:t>
      </w:r>
    </w:p>
    <w:p>
      <w:pPr>
        <w:pStyle w:val="yHeading5"/>
      </w:pPr>
      <w:bookmarkStart w:id="276" w:name="_Toc116814138"/>
      <w:r>
        <w:rPr>
          <w:rStyle w:val="CharSClsNo"/>
        </w:rPr>
        <w:t>12</w:t>
      </w:r>
      <w:r>
        <w:t>.</w:t>
      </w:r>
      <w:r>
        <w:tab/>
        <w:t>Minutes</w:t>
      </w:r>
      <w:bookmarkEnd w:id="275"/>
      <w:bookmarkEnd w:id="276"/>
    </w:p>
    <w:p>
      <w:pPr>
        <w:pStyle w:val="ySubsection"/>
      </w:pPr>
      <w:r>
        <w:tab/>
      </w:r>
      <w:r>
        <w:tab/>
        <w:t>The board shall cause accurate minutes to be kept of the proceedings at its meetings.</w:t>
      </w:r>
    </w:p>
    <w:p>
      <w:pPr>
        <w:pStyle w:val="yFootnotesection"/>
      </w:pPr>
      <w:bookmarkStart w:id="277" w:name="_Toc520106690"/>
      <w:r>
        <w:tab/>
        <w:t>[Clause 12 inserted by No. 25 of 1998 s. 25.]</w:t>
      </w:r>
    </w:p>
    <w:p>
      <w:pPr>
        <w:pStyle w:val="yHeading5"/>
      </w:pPr>
      <w:bookmarkStart w:id="278" w:name="_Toc116814139"/>
      <w:r>
        <w:rPr>
          <w:rStyle w:val="CharSClsNo"/>
        </w:rPr>
        <w:t>13</w:t>
      </w:r>
      <w:r>
        <w:t>.</w:t>
      </w:r>
      <w:r>
        <w:tab/>
        <w:t>Resolution without meeting</w:t>
      </w:r>
      <w:bookmarkEnd w:id="277"/>
      <w:bookmarkEnd w:id="278"/>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279" w:name="_Toc520106691"/>
      <w:r>
        <w:tab/>
        <w:t>[Clause 13 inserted by No. 25 of 1998 s. 25.]</w:t>
      </w:r>
    </w:p>
    <w:p>
      <w:pPr>
        <w:pStyle w:val="yHeading5"/>
      </w:pPr>
      <w:bookmarkStart w:id="280" w:name="_Toc116814140"/>
      <w:r>
        <w:rPr>
          <w:rStyle w:val="CharSClsNo"/>
        </w:rPr>
        <w:t>14</w:t>
      </w:r>
      <w:r>
        <w:t>.</w:t>
      </w:r>
      <w:r>
        <w:tab/>
        <w:t>Telephone or video meetings</w:t>
      </w:r>
      <w:bookmarkEnd w:id="279"/>
      <w:bookmarkEnd w:id="280"/>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281" w:name="_Toc520106692"/>
      <w:r>
        <w:tab/>
        <w:t>[Clause 14 inserted by No. 25 of 1998 s. 25.]</w:t>
      </w:r>
    </w:p>
    <w:p>
      <w:pPr>
        <w:pStyle w:val="yHeading5"/>
      </w:pPr>
      <w:bookmarkStart w:id="282" w:name="_Toc116814141"/>
      <w:r>
        <w:rPr>
          <w:rStyle w:val="CharSClsNo"/>
        </w:rPr>
        <w:t>15</w:t>
      </w:r>
      <w:r>
        <w:t>.</w:t>
      </w:r>
      <w:r>
        <w:tab/>
        <w:t>Committees</w:t>
      </w:r>
      <w:bookmarkEnd w:id="281"/>
      <w:bookmarkEnd w:id="282"/>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directors but, unless the Treasurer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283" w:name="_Toc520106693"/>
      <w:r>
        <w:tab/>
        <w:t>[Clause 15 inserted by No. 25 of 1998 s. 25.]</w:t>
      </w:r>
    </w:p>
    <w:p>
      <w:pPr>
        <w:pStyle w:val="yHeading5"/>
      </w:pPr>
      <w:bookmarkStart w:id="284" w:name="_Toc116814142"/>
      <w:r>
        <w:rPr>
          <w:rStyle w:val="CharSClsNo"/>
        </w:rPr>
        <w:t>16</w:t>
      </w:r>
      <w:r>
        <w:t>.</w:t>
      </w:r>
      <w:r>
        <w:tab/>
        <w:t>Board to determine own procedures</w:t>
      </w:r>
      <w:bookmarkEnd w:id="283"/>
      <w:bookmarkEnd w:id="284"/>
    </w:p>
    <w:p>
      <w:pPr>
        <w:pStyle w:val="ySubsection"/>
      </w:pPr>
      <w:r>
        <w:tab/>
      </w:r>
      <w:r>
        <w:tab/>
        <w:t>Subject to this Act, the board shall determine its own procedures.</w:t>
      </w:r>
    </w:p>
    <w:p>
      <w:pPr>
        <w:pStyle w:val="yFootnotesection"/>
      </w:pPr>
      <w:bookmarkStart w:id="285" w:name="_Toc112230299"/>
      <w:r>
        <w:tab/>
        <w:t>[Clause 16 inserted by No. 25 of 1998 s. 25.]</w:t>
      </w:r>
    </w:p>
    <w:p>
      <w:pPr>
        <w:pStyle w:val="yHeading3"/>
      </w:pPr>
      <w:bookmarkStart w:id="286" w:name="_Toc112464947"/>
      <w:bookmarkStart w:id="287" w:name="_Toc113080929"/>
      <w:bookmarkStart w:id="288" w:name="_Toc113253510"/>
      <w:bookmarkStart w:id="289" w:name="_Toc113253868"/>
      <w:bookmarkStart w:id="290" w:name="_Toc114894708"/>
      <w:bookmarkStart w:id="291" w:name="_Toc116717793"/>
      <w:bookmarkStart w:id="292" w:name="_Toc116814143"/>
      <w:r>
        <w:rPr>
          <w:rStyle w:val="CharSDivNo"/>
        </w:rPr>
        <w:t>Division 2</w:t>
      </w:r>
      <w:r>
        <w:t xml:space="preserve"> — </w:t>
      </w:r>
      <w:r>
        <w:rPr>
          <w:rStyle w:val="CharSDivText"/>
        </w:rPr>
        <w:t>Disclosure of interests etc.</w:t>
      </w:r>
      <w:bookmarkEnd w:id="285"/>
      <w:bookmarkEnd w:id="286"/>
      <w:bookmarkEnd w:id="287"/>
      <w:bookmarkEnd w:id="288"/>
      <w:bookmarkEnd w:id="289"/>
      <w:bookmarkEnd w:id="290"/>
      <w:bookmarkEnd w:id="291"/>
      <w:bookmarkEnd w:id="292"/>
    </w:p>
    <w:p>
      <w:pPr>
        <w:pStyle w:val="yFootnoteheading"/>
      </w:pPr>
      <w:bookmarkStart w:id="293" w:name="_Toc520106694"/>
      <w:r>
        <w:tab/>
        <w:t>[Heading inserted by No. 25 of 1998 s. 25.]</w:t>
      </w:r>
    </w:p>
    <w:p>
      <w:pPr>
        <w:pStyle w:val="yHeading5"/>
      </w:pPr>
      <w:bookmarkStart w:id="294" w:name="_Toc116814144"/>
      <w:r>
        <w:rPr>
          <w:rStyle w:val="CharSClsNo"/>
        </w:rPr>
        <w:t>17</w:t>
      </w:r>
      <w:r>
        <w:t>.</w:t>
      </w:r>
      <w:r>
        <w:tab/>
        <w:t>Disclosure of interests</w:t>
      </w:r>
      <w:bookmarkEnd w:id="293"/>
      <w:bookmarkEnd w:id="294"/>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295" w:name="_Toc520106695"/>
      <w:r>
        <w:tab/>
        <w:t>[Clause 17 inserted by No. 25 of 1998 s. 25.]</w:t>
      </w:r>
    </w:p>
    <w:p>
      <w:pPr>
        <w:pStyle w:val="yHeading5"/>
      </w:pPr>
      <w:bookmarkStart w:id="296" w:name="_Toc116814145"/>
      <w:r>
        <w:rPr>
          <w:rStyle w:val="CharSClsNo"/>
        </w:rPr>
        <w:t>18</w:t>
      </w:r>
      <w:r>
        <w:t>.</w:t>
      </w:r>
      <w:r>
        <w:tab/>
        <w:t>Voting by interested directors</w:t>
      </w:r>
      <w:bookmarkEnd w:id="295"/>
      <w:bookmarkEnd w:id="296"/>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297" w:name="_Toc520106696"/>
      <w:r>
        <w:tab/>
        <w:t>[Clause 18 inserted by No. 25 of 1998 s. 25.]</w:t>
      </w:r>
    </w:p>
    <w:p>
      <w:pPr>
        <w:pStyle w:val="yHeading5"/>
      </w:pPr>
      <w:bookmarkStart w:id="298" w:name="_Toc116814146"/>
      <w:r>
        <w:rPr>
          <w:rStyle w:val="CharSClsNo"/>
        </w:rPr>
        <w:t>19</w:t>
      </w:r>
      <w:r>
        <w:t>.</w:t>
      </w:r>
      <w:r>
        <w:tab/>
        <w:t>Clause 18 may be declared inapplicable</w:t>
      </w:r>
      <w:bookmarkEnd w:id="297"/>
      <w:bookmarkEnd w:id="298"/>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299" w:name="_Toc520106697"/>
      <w:r>
        <w:tab/>
        <w:t>[Clause 19 inserted by No. 25 of 1998 s. 25.]</w:t>
      </w:r>
    </w:p>
    <w:p>
      <w:pPr>
        <w:pStyle w:val="yHeading5"/>
      </w:pPr>
      <w:bookmarkStart w:id="300" w:name="_Toc116814147"/>
      <w:r>
        <w:rPr>
          <w:rStyle w:val="CharSClsNo"/>
        </w:rPr>
        <w:t>20</w:t>
      </w:r>
      <w:r>
        <w:t>.</w:t>
      </w:r>
      <w:r>
        <w:tab/>
        <w:t>Quorum where clause 18 applies</w:t>
      </w:r>
      <w:bookmarkEnd w:id="299"/>
      <w:bookmarkEnd w:id="300"/>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Treasurer may deal with a matter insofar as the board cannot deal with it because of subclause (1).</w:t>
      </w:r>
    </w:p>
    <w:p>
      <w:pPr>
        <w:pStyle w:val="yFootnotesection"/>
      </w:pPr>
      <w:bookmarkStart w:id="301" w:name="_Toc520106698"/>
      <w:r>
        <w:tab/>
        <w:t>[Clause 20 inserted by No. 25 of 1998 s. 25.]</w:t>
      </w:r>
    </w:p>
    <w:p>
      <w:pPr>
        <w:pStyle w:val="yHeading5"/>
      </w:pPr>
      <w:bookmarkStart w:id="302" w:name="_Toc116814148"/>
      <w:r>
        <w:rPr>
          <w:rStyle w:val="CharSClsNo"/>
        </w:rPr>
        <w:t>21</w:t>
      </w:r>
      <w:r>
        <w:t>.</w:t>
      </w:r>
      <w:r>
        <w:tab/>
        <w:t>Treasurer may declare clauses 18 and 20 inapplicable</w:t>
      </w:r>
      <w:bookmarkEnd w:id="301"/>
      <w:bookmarkEnd w:id="302"/>
    </w:p>
    <w:p>
      <w:pPr>
        <w:pStyle w:val="ySubsection"/>
      </w:pPr>
      <w:r>
        <w:tab/>
        <w:t>(1)</w:t>
      </w:r>
      <w:r>
        <w:tab/>
        <w:t>The Treasurer may by writing declare that clause 18 or 20 or both of them do not apply in relation to a specified matter either generally or in voting on particular resolutions.</w:t>
      </w:r>
    </w:p>
    <w:p>
      <w:pPr>
        <w:pStyle w:val="ySubsection"/>
      </w:pPr>
      <w:r>
        <w:tab/>
        <w:t>(2)</w:t>
      </w:r>
      <w:r>
        <w:tab/>
        <w:t>The Treasurer shall within 14 days after a declaration under subclause (1) is made cause a copy of the declaration to be laid before each House of Parliament.</w:t>
      </w:r>
    </w:p>
    <w:p>
      <w:pPr>
        <w:pStyle w:val="yFootnotesection"/>
      </w:pPr>
      <w:r>
        <w:tab/>
        <w:t>[Clause 21 inserted by No. 25 of 1998 s. 25.]</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3" w:name="_Toc112230305"/>
      <w:bookmarkStart w:id="304" w:name="_Toc112464953"/>
      <w:bookmarkStart w:id="305" w:name="_Toc113080935"/>
      <w:bookmarkStart w:id="306" w:name="_Toc113253516"/>
      <w:bookmarkStart w:id="307" w:name="_Toc113253874"/>
      <w:bookmarkStart w:id="308" w:name="_Toc114894714"/>
      <w:bookmarkStart w:id="309" w:name="_Toc116717799"/>
      <w:bookmarkStart w:id="310" w:name="_Toc116814149"/>
      <w:r>
        <w:t>Notes</w:t>
      </w:r>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1" w:name="_Toc116814150"/>
      <w:r>
        <w:rPr>
          <w:snapToGrid w:val="0"/>
        </w:rPr>
        <w:t>Compilation table</w:t>
      </w:r>
      <w:bookmarkEnd w:id="311"/>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5"/>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4"/>
          </w:tcPr>
          <w:p>
            <w:pPr>
              <w:pStyle w:val="nTable"/>
              <w:spacing w:after="40"/>
              <w:rPr>
                <w:iCs/>
                <w:sz w:val="19"/>
              </w:rPr>
            </w:pPr>
            <w:r>
              <w:rPr>
                <w:b/>
                <w:bCs/>
                <w:sz w:val="19"/>
              </w:rPr>
              <w:t xml:space="preserve">Reprint of the </w:t>
            </w:r>
            <w:r>
              <w:rPr>
                <w:b/>
                <w:bCs/>
                <w:i/>
                <w:sz w:val="19"/>
              </w:rPr>
              <w:t>Western Australian Treasury Corporation Act 1986</w:t>
            </w:r>
            <w:r>
              <w:rPr>
                <w:b/>
                <w:bCs/>
                <w:iCs/>
                <w:sz w:val="19"/>
              </w:rPr>
              <w:t xml:space="preserve"> as at 5 Jan 2001</w:t>
            </w:r>
            <w:r>
              <w:rPr>
                <w:iCs/>
                <w:sz w:val="19"/>
              </w:rPr>
              <w:t xml:space="preserve"> (includes amendments listed above)</w:t>
            </w:r>
          </w:p>
        </w:tc>
      </w:tr>
      <w:tr>
        <w:trPr>
          <w:cantSplit/>
        </w:trPr>
        <w:tc>
          <w:tcPr>
            <w:tcW w:w="2267" w:type="dxa"/>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4"/>
            <w:tcBorders>
              <w:bottom w:val="single" w:sz="8" w:space="0" w:color="auto"/>
            </w:tcBorders>
          </w:tcPr>
          <w:p>
            <w:pPr>
              <w:pStyle w:val="nTable"/>
              <w:spacing w:after="40"/>
              <w:rPr>
                <w:spacing w:val="-2"/>
                <w:sz w:val="19"/>
              </w:rPr>
            </w:pPr>
            <w:r>
              <w:rPr>
                <w:b/>
                <w:bCs/>
                <w:sz w:val="19"/>
              </w:rPr>
              <w:t xml:space="preserve">Reprint 2: The </w:t>
            </w:r>
            <w:r>
              <w:rPr>
                <w:b/>
                <w:bCs/>
                <w:i/>
                <w:sz w:val="19"/>
              </w:rPr>
              <w:t>Western Australian Treasury Corporation Act 1986</w:t>
            </w:r>
            <w:r>
              <w:rPr>
                <w:b/>
                <w:bCs/>
                <w:iCs/>
                <w:sz w:val="19"/>
              </w:rPr>
              <w:t xml:space="preserve"> as at 2 Sep 2005</w:t>
            </w:r>
            <w:r>
              <w:rPr>
                <w:iCs/>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2" w:name="_Toc534778309"/>
      <w:bookmarkStart w:id="313" w:name="_Toc7405063"/>
      <w:bookmarkStart w:id="314" w:name="_Toc116703346"/>
      <w:bookmarkStart w:id="315" w:name="_Toc116814151"/>
      <w:r>
        <w:rPr>
          <w:snapToGrid w:val="0"/>
        </w:rPr>
        <w:t>Provisions that have not come into operation</w:t>
      </w:r>
      <w:bookmarkEnd w:id="312"/>
      <w:bookmarkEnd w:id="313"/>
      <w:bookmarkEnd w:id="314"/>
      <w:bookmarkEnd w:id="31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16" w:name="_Toc471793482"/>
      <w:bookmarkStart w:id="317" w:name="_Toc38091139"/>
      <w:r>
        <w:rPr>
          <w:rStyle w:val="CharSectno"/>
        </w:rPr>
        <w:t>2</w:t>
      </w:r>
      <w:r>
        <w:rPr>
          <w:snapToGrid w:val="0"/>
        </w:rPr>
        <w:t>.</w:t>
      </w:r>
      <w:r>
        <w:rPr>
          <w:snapToGrid w:val="0"/>
        </w:rPr>
        <w:tab/>
        <w:t>Commencement</w:t>
      </w:r>
      <w:bookmarkEnd w:id="316"/>
      <w:bookmarkEnd w:id="31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18" w:name="_Toc38091140"/>
      <w:r>
        <w:rPr>
          <w:rStyle w:val="CharSectno"/>
        </w:rPr>
        <w:t>3</w:t>
      </w:r>
      <w:r>
        <w:t>.</w:t>
      </w:r>
      <w:r>
        <w:tab/>
        <w:t>Interpretation</w:t>
      </w:r>
      <w:bookmarkEnd w:id="318"/>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319" w:name="_Toc38091141"/>
      <w:r>
        <w:rPr>
          <w:rStyle w:val="CharSectno"/>
        </w:rPr>
        <w:t>4</w:t>
      </w:r>
      <w:r>
        <w:t>.</w:t>
      </w:r>
      <w:r>
        <w:tab/>
        <w:t>Validation</w:t>
      </w:r>
      <w:bookmarkEnd w:id="31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31 had</w:t>
      </w:r>
      <w:r>
        <w:rPr>
          <w:snapToGrid w:val="0"/>
        </w:rPr>
        <w:t xml:space="preserve"> not come into operation.  It reads as follows:</w:t>
      </w:r>
    </w:p>
    <w:p>
      <w:pPr>
        <w:pStyle w:val="MiscOpen"/>
        <w:rPr>
          <w:snapToGrid w:val="0"/>
        </w:rPr>
      </w:pPr>
      <w:r>
        <w:rPr>
          <w:snapToGrid w:val="0"/>
        </w:rPr>
        <w:t>“</w:t>
      </w:r>
    </w:p>
    <w:p>
      <w:pPr>
        <w:pStyle w:val="nzHeading5"/>
      </w:pPr>
      <w:bookmarkStart w:id="320" w:name="_Toc102877599"/>
      <w:bookmarkStart w:id="321" w:name="_Toc115180713"/>
      <w:r>
        <w:rPr>
          <w:rStyle w:val="CharSectno"/>
        </w:rPr>
        <w:t>31</w:t>
      </w:r>
      <w:r>
        <w:t>.</w:t>
      </w:r>
      <w:r>
        <w:tab/>
      </w:r>
      <w:r>
        <w:rPr>
          <w:i/>
        </w:rPr>
        <w:t xml:space="preserve">Western Australian Treasury Corporation Act 1986 </w:t>
      </w:r>
      <w:r>
        <w:rPr>
          <w:iCs/>
        </w:rPr>
        <w:t>amended</w:t>
      </w:r>
      <w:bookmarkEnd w:id="320"/>
      <w:bookmarkEnd w:id="321"/>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separate"/>
          </w:r>
          <w:r>
            <w:rPr>
              <w:bCs/>
              <w:noProof/>
            </w:rPr>
            <w:t>Bodies that are not authorities</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508"/>
    <w:docVar w:name="WAFER_20151216145508" w:val="RemoveTrackChanges"/>
    <w:docVar w:name="WAFER_20151216145508_GUID" w:val="7ad59338-7f51-4c37-b1b3-2eee1b8f6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13070</Words>
  <Characters>62741</Characters>
  <Application>Microsoft Office Word</Application>
  <DocSecurity>0</DocSecurity>
  <Lines>1742</Lines>
  <Paragraphs>1083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1986 - 02-b0-04</dc:title>
  <dc:subject/>
  <dc:creator/>
  <cp:keywords/>
  <dc:description/>
  <cp:lastModifiedBy>svcMRProcess</cp:lastModifiedBy>
  <cp:revision>4</cp:revision>
  <cp:lastPrinted>2005-09-01T01:16:00Z</cp:lastPrinted>
  <dcterms:created xsi:type="dcterms:W3CDTF">2018-09-09T10:48:00Z</dcterms:created>
  <dcterms:modified xsi:type="dcterms:W3CDTF">2018-09-09T10:48:00Z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20051005</vt:lpwstr>
  </property>
  <property fmtid="{D5CDD505-2E9C-101B-9397-08002B2CF9AE}" pid="4" name="DocumentType">
    <vt:lpwstr>Act</vt:lpwstr>
  </property>
  <property fmtid="{D5CDD505-2E9C-101B-9397-08002B2CF9AE}" pid="5" name="OwlsUID">
    <vt:i4>896</vt:i4>
  </property>
  <property fmtid="{D5CDD505-2E9C-101B-9397-08002B2CF9AE}" pid="6" name="AsAtDate">
    <vt:lpwstr>05 Oct 2005</vt:lpwstr>
  </property>
  <property fmtid="{D5CDD505-2E9C-101B-9397-08002B2CF9AE}" pid="7" name="Suffix">
    <vt:lpwstr>02-b0-04</vt:lpwstr>
  </property>
</Properties>
</file>