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Witness Protection (Western Australia)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Witness Protection (Western Australia) Act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_Toc377039029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_Toc377039030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 used in this Act</w:t>
      </w:r>
      <w:r>
        <w:tab/>
      </w:r>
      <w:r>
        <w:fldChar w:fldCharType="begin"/>
      </w:r>
      <w:r>
        <w:instrText xml:space="preserve"> PAGEREF _Toc377039031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Meaning of “witness”</w:t>
      </w:r>
      <w:r>
        <w:tab/>
      </w:r>
      <w:r>
        <w:fldChar w:fldCharType="begin"/>
      </w:r>
      <w:r>
        <w:instrText xml:space="preserve"> PAGEREF _Toc377039032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State Witness Protection Program</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5</w:t>
      </w:r>
      <w:r>
        <w:rPr>
          <w:snapToGrid w:val="0"/>
        </w:rPr>
        <w:t>.</w:t>
      </w:r>
      <w:r>
        <w:rPr>
          <w:snapToGrid w:val="0"/>
        </w:rPr>
        <w:tab/>
        <w:t>Commissioner to establish SWPP</w:t>
      </w:r>
      <w:r>
        <w:tab/>
      </w:r>
      <w:r>
        <w:fldChar w:fldCharType="begin"/>
      </w:r>
      <w:r>
        <w:instrText xml:space="preserve"> PAGEREF _Toc377039035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Arrangements with approved authorities</w:t>
      </w:r>
      <w:r>
        <w:tab/>
      </w:r>
      <w:r>
        <w:fldChar w:fldCharType="begin"/>
      </w:r>
      <w:r>
        <w:instrText xml:space="preserve"> PAGEREF _Toc377039036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Authorisation of approved authorities</w:t>
      </w:r>
      <w:r>
        <w:tab/>
      </w:r>
      <w:r>
        <w:fldChar w:fldCharType="begin"/>
      </w:r>
      <w:r>
        <w:instrText xml:space="preserve"> PAGEREF _Toc377039037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Including witnesses in the SWPP</w:t>
      </w:r>
    </w:p>
    <w:p>
      <w:pPr>
        <w:pStyle w:val="TOC8"/>
        <w:rPr>
          <w:rFonts w:asciiTheme="minorHAnsi" w:eastAsiaTheme="minorEastAsia" w:hAnsiTheme="minorHAnsi" w:cstheme="minorBidi"/>
          <w:szCs w:val="22"/>
        </w:rPr>
      </w:pPr>
      <w:r>
        <w:t>8</w:t>
      </w:r>
      <w:r>
        <w:rPr>
          <w:snapToGrid w:val="0"/>
        </w:rPr>
        <w:t>.</w:t>
      </w:r>
      <w:r>
        <w:rPr>
          <w:snapToGrid w:val="0"/>
        </w:rPr>
        <w:tab/>
        <w:t>Commissioner to decide who is included</w:t>
      </w:r>
      <w:r>
        <w:tab/>
      </w:r>
      <w:r>
        <w:fldChar w:fldCharType="begin"/>
      </w:r>
      <w:r>
        <w:instrText xml:space="preserve"> PAGEREF _Toc377039039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Inclusion not to be a reward for giving evidence etc.</w:t>
      </w:r>
      <w:r>
        <w:tab/>
      </w:r>
      <w:r>
        <w:fldChar w:fldCharType="begin"/>
      </w:r>
      <w:r>
        <w:instrText xml:space="preserve"> PAGEREF _Toc377039040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Witness to provide Commissioner with information before inclusion</w:t>
      </w:r>
      <w:r>
        <w:tab/>
      </w:r>
      <w:r>
        <w:fldChar w:fldCharType="begin"/>
      </w:r>
      <w:r>
        <w:instrText xml:space="preserve"> PAGEREF _Toc377039041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Memorandum of understanding</w:t>
      </w:r>
      <w:r>
        <w:tab/>
      </w:r>
      <w:r>
        <w:fldChar w:fldCharType="begin"/>
      </w:r>
      <w:r>
        <w:instrText xml:space="preserve"> PAGEREF _Toc377039042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Amending a memorandum of understanding</w:t>
      </w:r>
      <w:r>
        <w:tab/>
      </w:r>
      <w:r>
        <w:fldChar w:fldCharType="begin"/>
      </w:r>
      <w:r>
        <w:instrText xml:space="preserve"> PAGEREF _Toc377039043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Register of participants</w:t>
      </w:r>
    </w:p>
    <w:p>
      <w:pPr>
        <w:pStyle w:val="TOC8"/>
        <w:rPr>
          <w:rFonts w:asciiTheme="minorHAnsi" w:eastAsiaTheme="minorEastAsia" w:hAnsiTheme="minorHAnsi" w:cstheme="minorBidi"/>
          <w:szCs w:val="22"/>
        </w:rPr>
      </w:pPr>
      <w:r>
        <w:t>13</w:t>
      </w:r>
      <w:r>
        <w:rPr>
          <w:snapToGrid w:val="0"/>
        </w:rPr>
        <w:t>.</w:t>
      </w:r>
      <w:r>
        <w:rPr>
          <w:snapToGrid w:val="0"/>
        </w:rPr>
        <w:tab/>
        <w:t>Commissioner to keep register</w:t>
      </w:r>
      <w:r>
        <w:tab/>
      </w:r>
      <w:r>
        <w:fldChar w:fldCharType="begin"/>
      </w:r>
      <w:r>
        <w:instrText xml:space="preserve"> PAGEREF _Toc377039045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Access to the register</w:t>
      </w:r>
      <w:r>
        <w:tab/>
      </w:r>
      <w:r>
        <w:fldChar w:fldCharType="begin"/>
      </w:r>
      <w:r>
        <w:instrText xml:space="preserve"> PAGEREF _Toc377039046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Protecting and assisting witnesses and participants</w:t>
      </w:r>
    </w:p>
    <w:p>
      <w:pPr>
        <w:pStyle w:val="TOC8"/>
        <w:rPr>
          <w:rFonts w:asciiTheme="minorHAnsi" w:eastAsiaTheme="minorEastAsia" w:hAnsiTheme="minorHAnsi" w:cstheme="minorBidi"/>
          <w:szCs w:val="22"/>
        </w:rPr>
      </w:pPr>
      <w:r>
        <w:t>15</w:t>
      </w:r>
      <w:r>
        <w:rPr>
          <w:snapToGrid w:val="0"/>
        </w:rPr>
        <w:t>.</w:t>
      </w:r>
      <w:r>
        <w:rPr>
          <w:snapToGrid w:val="0"/>
        </w:rPr>
        <w:tab/>
        <w:t>Commissioner must take action to protect etc.</w:t>
      </w:r>
      <w:r>
        <w:tab/>
      </w:r>
      <w:r>
        <w:fldChar w:fldCharType="begin"/>
      </w:r>
      <w:r>
        <w:instrText xml:space="preserve"> PAGEREF _Toc377039048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Action as to obligations etc. of a participant</w:t>
      </w:r>
      <w:r>
        <w:tab/>
      </w:r>
      <w:r>
        <w:fldChar w:fldCharType="begin"/>
      </w:r>
      <w:r>
        <w:instrText xml:space="preserve"> PAGEREF _Toc377039049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Commercial arrangements for benefit of participant</w:t>
      </w:r>
      <w:r>
        <w:tab/>
      </w:r>
      <w:r>
        <w:fldChar w:fldCharType="begin"/>
      </w:r>
      <w:r>
        <w:instrText xml:space="preserve"> PAGEREF _Toc377039050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Identity documents in urgent cases</w:t>
      </w:r>
      <w:r>
        <w:tab/>
      </w:r>
      <w:r>
        <w:fldChar w:fldCharType="begin"/>
      </w:r>
      <w:r>
        <w:instrText xml:space="preserve"> PAGEREF _Toc377039051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New identity orders</w:t>
      </w:r>
    </w:p>
    <w:p>
      <w:pPr>
        <w:pStyle w:val="TOC8"/>
        <w:rPr>
          <w:rFonts w:asciiTheme="minorHAnsi" w:eastAsiaTheme="minorEastAsia" w:hAnsiTheme="minorHAnsi" w:cstheme="minorBidi"/>
          <w:szCs w:val="22"/>
        </w:rPr>
      </w:pPr>
      <w:r>
        <w:t>19</w:t>
      </w:r>
      <w:r>
        <w:rPr>
          <w:snapToGrid w:val="0"/>
        </w:rPr>
        <w:t>.</w:t>
      </w:r>
      <w:r>
        <w:rPr>
          <w:snapToGrid w:val="0"/>
        </w:rPr>
        <w:tab/>
        <w:t>Terms used in this Division</w:t>
      </w:r>
      <w:r>
        <w:tab/>
      </w:r>
      <w:r>
        <w:fldChar w:fldCharType="begin"/>
      </w:r>
      <w:r>
        <w:instrText xml:space="preserve"> PAGEREF _Toc377039053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Supreme Court</w:t>
      </w:r>
      <w:r>
        <w:tab/>
      </w:r>
      <w:r>
        <w:fldChar w:fldCharType="begin"/>
      </w:r>
      <w:r>
        <w:instrText xml:space="preserve"> PAGEREF _Toc377039054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Supreme Court may make order</w:t>
      </w:r>
      <w:r>
        <w:tab/>
      </w:r>
      <w:r>
        <w:fldChar w:fldCharType="begin"/>
      </w:r>
      <w:r>
        <w:instrText xml:space="preserve"> PAGEREF _Toc377039055 \h </w:instrText>
      </w:r>
      <w:r>
        <w:fldChar w:fldCharType="separate"/>
      </w:r>
      <w:r>
        <w:t>19</w:t>
      </w:r>
      <w:r>
        <w:fldChar w:fldCharType="end"/>
      </w:r>
    </w:p>
    <w:p>
      <w:pPr>
        <w:pStyle w:val="TOC8"/>
        <w:rPr>
          <w:rFonts w:asciiTheme="minorHAnsi" w:eastAsiaTheme="minorEastAsia" w:hAnsiTheme="minorHAnsi" w:cstheme="minorBidi"/>
          <w:szCs w:val="22"/>
        </w:rPr>
      </w:pPr>
      <w:r>
        <w:t>22A.</w:t>
      </w:r>
      <w:r>
        <w:tab/>
        <w:t>Effect of new identity order</w:t>
      </w:r>
      <w:r>
        <w:tab/>
      </w:r>
      <w:r>
        <w:fldChar w:fldCharType="begin"/>
      </w:r>
      <w:r>
        <w:instrText xml:space="preserve"> PAGEREF _Toc377039056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Supreme Court may order former identity to be restored</w:t>
      </w:r>
      <w:r>
        <w:tab/>
      </w:r>
      <w:r>
        <w:fldChar w:fldCharType="begin"/>
      </w:r>
      <w:r>
        <w:instrText xml:space="preserve"> PAGEREF _Toc377039057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Proceedings to be in private</w:t>
      </w:r>
      <w:r>
        <w:tab/>
      </w:r>
      <w:r>
        <w:fldChar w:fldCharType="begin"/>
      </w:r>
      <w:r>
        <w:instrText xml:space="preserve"> PAGEREF _Toc377039058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actions done under order</w:t>
      </w:r>
      <w:r>
        <w:tab/>
      </w:r>
      <w:r>
        <w:fldChar w:fldCharType="begin"/>
      </w:r>
      <w:r>
        <w:instrText xml:space="preserve"> PAGEREF _Toc377039059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Terminating protection and assistance</w:t>
      </w:r>
    </w:p>
    <w:p>
      <w:pPr>
        <w:pStyle w:val="TOC8"/>
        <w:rPr>
          <w:rFonts w:asciiTheme="minorHAnsi" w:eastAsiaTheme="minorEastAsia" w:hAnsiTheme="minorHAnsi" w:cstheme="minorBidi"/>
          <w:szCs w:val="22"/>
        </w:rPr>
      </w:pPr>
      <w:r>
        <w:t>25</w:t>
      </w:r>
      <w:r>
        <w:rPr>
          <w:snapToGrid w:val="0"/>
        </w:rPr>
        <w:t>.</w:t>
      </w:r>
      <w:r>
        <w:rPr>
          <w:snapToGrid w:val="0"/>
        </w:rPr>
        <w:tab/>
        <w:t>Commissioner may terminate protection</w:t>
      </w:r>
      <w:r>
        <w:tab/>
      </w:r>
      <w:r>
        <w:fldChar w:fldCharType="begin"/>
      </w:r>
      <w:r>
        <w:instrText xml:space="preserve"> PAGEREF _Toc377039061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Restoring a former identity</w:t>
      </w:r>
      <w:r>
        <w:tab/>
      </w:r>
      <w:r>
        <w:fldChar w:fldCharType="begin"/>
      </w:r>
      <w:r>
        <w:instrText xml:space="preserve"> PAGEREF _Toc377039062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 — Secrecy and disclosure</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rPr>
          <w:snapToGrid w:val="0"/>
        </w:rPr>
        <w:t>.</w:t>
      </w:r>
      <w:r>
        <w:rPr>
          <w:snapToGrid w:val="0"/>
        </w:rPr>
        <w:tab/>
        <w:t>Duty not to disclose</w:t>
      </w:r>
      <w:r>
        <w:tab/>
      </w:r>
      <w:r>
        <w:fldChar w:fldCharType="begin"/>
      </w:r>
      <w:r>
        <w:instrText xml:space="preserve"> PAGEREF _Toc377039065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Disclosure of information cannot be compelled</w:t>
      </w:r>
      <w:r>
        <w:tab/>
      </w:r>
      <w:r>
        <w:fldChar w:fldCharType="begin"/>
      </w:r>
      <w:r>
        <w:instrText xml:space="preserve"> PAGEREF _Toc377039066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Disclosing information to approved authorities</w:t>
      </w:r>
      <w:r>
        <w:tab/>
      </w:r>
      <w:r>
        <w:fldChar w:fldCharType="begin"/>
      </w:r>
      <w:r>
        <w:instrText xml:space="preserve"> PAGEREF _Toc377039067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disclosures to court to be in private</w:t>
      </w:r>
      <w:r>
        <w:tab/>
      </w:r>
      <w:r>
        <w:fldChar w:fldCharType="begin"/>
      </w:r>
      <w:r>
        <w:instrText xml:space="preserve"> PAGEREF _Toc377039068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 — Evidence by participants</w:t>
      </w:r>
    </w:p>
    <w:p>
      <w:pPr>
        <w:pStyle w:val="TOC6"/>
        <w:tabs>
          <w:tab w:val="right" w:leader="dot" w:pos="7086"/>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_Toc377039071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rPr>
      </w:pPr>
      <w:r>
        <w:t>Subdivision 2 — Non-disclosure certificates for protected persons</w:t>
      </w:r>
    </w:p>
    <w:p>
      <w:pPr>
        <w:pStyle w:val="TOC8"/>
        <w:rPr>
          <w:rFonts w:asciiTheme="minorHAnsi" w:eastAsiaTheme="minorEastAsia" w:hAnsiTheme="minorHAnsi" w:cstheme="minorBidi"/>
          <w:szCs w:val="22"/>
        </w:rPr>
      </w:pPr>
      <w:r>
        <w:t>34A.</w:t>
      </w:r>
      <w:r>
        <w:tab/>
        <w:t>Non</w:t>
      </w:r>
      <w:r>
        <w:noBreakHyphen/>
        <w:t>disclosure certificates</w:t>
      </w:r>
      <w:r>
        <w:tab/>
      </w:r>
      <w:r>
        <w:fldChar w:fldCharType="begin"/>
      </w:r>
      <w:r>
        <w:instrText xml:space="preserve"> PAGEREF _Toc377039073 \h </w:instrText>
      </w:r>
      <w:r>
        <w:fldChar w:fldCharType="separate"/>
      </w:r>
      <w:r>
        <w:t>29</w:t>
      </w:r>
      <w:r>
        <w:fldChar w:fldCharType="end"/>
      </w:r>
    </w:p>
    <w:p>
      <w:pPr>
        <w:pStyle w:val="TOC8"/>
        <w:rPr>
          <w:rFonts w:asciiTheme="minorHAnsi" w:eastAsiaTheme="minorEastAsia" w:hAnsiTheme="minorHAnsi" w:cstheme="minorBidi"/>
          <w:szCs w:val="22"/>
        </w:rPr>
      </w:pPr>
      <w:r>
        <w:t>34B.</w:t>
      </w:r>
      <w:r>
        <w:tab/>
        <w:t>What non</w:t>
      </w:r>
      <w:r>
        <w:noBreakHyphen/>
        <w:t>disclosure certificate must state</w:t>
      </w:r>
      <w:r>
        <w:tab/>
      </w:r>
      <w:r>
        <w:fldChar w:fldCharType="begin"/>
      </w:r>
      <w:r>
        <w:instrText xml:space="preserve"> PAGEREF _Toc377039074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Provisions applicable to court proceedings</w:t>
      </w:r>
    </w:p>
    <w:p>
      <w:pPr>
        <w:pStyle w:val="TOC8"/>
        <w:rPr>
          <w:rFonts w:asciiTheme="minorHAnsi" w:eastAsiaTheme="minorEastAsia" w:hAnsiTheme="minorHAnsi" w:cstheme="minorBidi"/>
          <w:szCs w:val="22"/>
        </w:rPr>
      </w:pPr>
      <w:r>
        <w:t>34CA.</w:t>
      </w:r>
      <w:r>
        <w:tab/>
        <w:t>Application of Subdivision</w:t>
      </w:r>
      <w:r>
        <w:tab/>
      </w:r>
      <w:r>
        <w:fldChar w:fldCharType="begin"/>
      </w:r>
      <w:r>
        <w:instrText xml:space="preserve"> PAGEREF _Toc377039076 \h </w:instrText>
      </w:r>
      <w:r>
        <w:fldChar w:fldCharType="separate"/>
      </w:r>
      <w:r>
        <w:t>30</w:t>
      </w:r>
      <w:r>
        <w:fldChar w:fldCharType="end"/>
      </w:r>
    </w:p>
    <w:p>
      <w:pPr>
        <w:pStyle w:val="TOC8"/>
        <w:rPr>
          <w:rFonts w:asciiTheme="minorHAnsi" w:eastAsiaTheme="minorEastAsia" w:hAnsiTheme="minorHAnsi" w:cstheme="minorBidi"/>
          <w:szCs w:val="22"/>
        </w:rPr>
      </w:pPr>
      <w:r>
        <w:t>34C.</w:t>
      </w:r>
      <w:r>
        <w:tab/>
        <w:t>Effect of non</w:t>
      </w:r>
      <w:r>
        <w:noBreakHyphen/>
        <w:t>disclosure certificate</w:t>
      </w:r>
      <w:r>
        <w:tab/>
      </w:r>
      <w:r>
        <w:fldChar w:fldCharType="begin"/>
      </w:r>
      <w:r>
        <w:instrText xml:space="preserve"> PAGEREF _Toc377039077 \h </w:instrText>
      </w:r>
      <w:r>
        <w:fldChar w:fldCharType="separate"/>
      </w:r>
      <w:r>
        <w:t>30</w:t>
      </w:r>
      <w:r>
        <w:fldChar w:fldCharType="end"/>
      </w:r>
    </w:p>
    <w:p>
      <w:pPr>
        <w:pStyle w:val="TOC8"/>
        <w:rPr>
          <w:rFonts w:asciiTheme="minorHAnsi" w:eastAsiaTheme="minorEastAsia" w:hAnsiTheme="minorHAnsi" w:cstheme="minorBidi"/>
          <w:szCs w:val="22"/>
        </w:rPr>
      </w:pPr>
      <w:r>
        <w:t>34D.</w:t>
      </w:r>
      <w:r>
        <w:tab/>
        <w:t>Disclosure of protected person’s identity despite certificate</w:t>
      </w:r>
      <w:r>
        <w:tab/>
      </w:r>
      <w:r>
        <w:fldChar w:fldCharType="begin"/>
      </w:r>
      <w:r>
        <w:instrText xml:space="preserve"> PAGEREF _Toc377039078 \h </w:instrText>
      </w:r>
      <w:r>
        <w:fldChar w:fldCharType="separate"/>
      </w:r>
      <w:r>
        <w:t>32</w:t>
      </w:r>
      <w:r>
        <w:fldChar w:fldCharType="end"/>
      </w:r>
    </w:p>
    <w:p>
      <w:pPr>
        <w:pStyle w:val="TOC8"/>
        <w:rPr>
          <w:rFonts w:asciiTheme="minorHAnsi" w:eastAsiaTheme="minorEastAsia" w:hAnsiTheme="minorHAnsi" w:cstheme="minorBidi"/>
          <w:szCs w:val="22"/>
        </w:rPr>
      </w:pPr>
      <w:r>
        <w:t>34E.</w:t>
      </w:r>
      <w:r>
        <w:tab/>
        <w:t>Directions to jury</w:t>
      </w:r>
      <w:r>
        <w:tab/>
      </w:r>
      <w:r>
        <w:fldChar w:fldCharType="begin"/>
      </w:r>
      <w:r>
        <w:instrText xml:space="preserve"> PAGEREF _Toc377039079 \h </w:instrText>
      </w:r>
      <w:r>
        <w:fldChar w:fldCharType="separate"/>
      </w:r>
      <w:r>
        <w:t>34</w:t>
      </w:r>
      <w:r>
        <w:fldChar w:fldCharType="end"/>
      </w:r>
    </w:p>
    <w:p>
      <w:pPr>
        <w:pStyle w:val="TOC8"/>
        <w:rPr>
          <w:rFonts w:asciiTheme="minorHAnsi" w:eastAsiaTheme="minorEastAsia" w:hAnsiTheme="minorHAnsi" w:cstheme="minorBidi"/>
          <w:szCs w:val="22"/>
        </w:rPr>
      </w:pPr>
      <w:r>
        <w:t>34F.</w:t>
      </w:r>
      <w:r>
        <w:tab/>
        <w:t>Adjournment for appeal decision</w:t>
      </w:r>
      <w:r>
        <w:tab/>
      </w:r>
      <w:r>
        <w:fldChar w:fldCharType="begin"/>
      </w:r>
      <w:r>
        <w:instrText xml:space="preserve"> PAGEREF _Toc377039080 \h </w:instrText>
      </w:r>
      <w:r>
        <w:fldChar w:fldCharType="separate"/>
      </w:r>
      <w:r>
        <w:t>34</w:t>
      </w:r>
      <w:r>
        <w:fldChar w:fldCharType="end"/>
      </w:r>
    </w:p>
    <w:p>
      <w:pPr>
        <w:pStyle w:val="TOC8"/>
        <w:rPr>
          <w:rFonts w:asciiTheme="minorHAnsi" w:eastAsiaTheme="minorEastAsia" w:hAnsiTheme="minorHAnsi" w:cstheme="minorBidi"/>
          <w:szCs w:val="22"/>
        </w:rPr>
      </w:pPr>
      <w:r>
        <w:t>34G.</w:t>
      </w:r>
      <w:r>
        <w:tab/>
        <w:t>Jurisdiction to hear and determine appeals</w:t>
      </w:r>
      <w:r>
        <w:tab/>
      </w:r>
      <w:r>
        <w:fldChar w:fldCharType="begin"/>
      </w:r>
      <w:r>
        <w:instrText xml:space="preserve"> PAGEREF _Toc377039081 \h </w:instrText>
      </w:r>
      <w:r>
        <w:fldChar w:fldCharType="separate"/>
      </w:r>
      <w:r>
        <w:t>35</w:t>
      </w:r>
      <w:r>
        <w:fldChar w:fldCharType="end"/>
      </w:r>
    </w:p>
    <w:p>
      <w:pPr>
        <w:pStyle w:val="TOC8"/>
        <w:rPr>
          <w:rFonts w:asciiTheme="minorHAnsi" w:eastAsiaTheme="minorEastAsia" w:hAnsiTheme="minorHAnsi" w:cstheme="minorBidi"/>
          <w:szCs w:val="22"/>
        </w:rPr>
      </w:pPr>
      <w:r>
        <w:t>34H.</w:t>
      </w:r>
      <w:r>
        <w:tab/>
        <w:t>Recognition of non</w:t>
      </w:r>
      <w:r>
        <w:noBreakHyphen/>
        <w:t>disclosure certificates under corresponding laws</w:t>
      </w:r>
      <w:r>
        <w:tab/>
      </w:r>
      <w:r>
        <w:fldChar w:fldCharType="begin"/>
      </w:r>
      <w:r>
        <w:instrText xml:space="preserve"> PAGEREF _Toc377039082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rPr>
      </w:pPr>
      <w:r>
        <w:t>Subdivision 4 — Provisions applicable to parliamentary proceedings</w:t>
      </w:r>
    </w:p>
    <w:p>
      <w:pPr>
        <w:pStyle w:val="TOC8"/>
        <w:rPr>
          <w:rFonts w:asciiTheme="minorHAnsi" w:eastAsiaTheme="minorEastAsia" w:hAnsiTheme="minorHAnsi" w:cstheme="minorBidi"/>
          <w:szCs w:val="22"/>
        </w:rPr>
      </w:pPr>
      <w:r>
        <w:t>34I.</w:t>
      </w:r>
      <w:r>
        <w:tab/>
        <w:t>Application of Subdivision</w:t>
      </w:r>
      <w:r>
        <w:tab/>
      </w:r>
      <w:r>
        <w:fldChar w:fldCharType="begin"/>
      </w:r>
      <w:r>
        <w:instrText xml:space="preserve"> PAGEREF _Toc377039084 \h </w:instrText>
      </w:r>
      <w:r>
        <w:fldChar w:fldCharType="separate"/>
      </w:r>
      <w:r>
        <w:t>36</w:t>
      </w:r>
      <w:r>
        <w:fldChar w:fldCharType="end"/>
      </w:r>
    </w:p>
    <w:p>
      <w:pPr>
        <w:pStyle w:val="TOC8"/>
        <w:rPr>
          <w:rFonts w:asciiTheme="minorHAnsi" w:eastAsiaTheme="minorEastAsia" w:hAnsiTheme="minorHAnsi" w:cstheme="minorBidi"/>
          <w:szCs w:val="22"/>
        </w:rPr>
      </w:pPr>
      <w:r>
        <w:t>34J.</w:t>
      </w:r>
      <w:r>
        <w:tab/>
        <w:t>Effect of non-disclosure certificate</w:t>
      </w:r>
      <w:r>
        <w:tab/>
      </w:r>
      <w:r>
        <w:fldChar w:fldCharType="begin"/>
      </w:r>
      <w:r>
        <w:instrText xml:space="preserve"> PAGEREF _Toc377039085 \h </w:instrText>
      </w:r>
      <w:r>
        <w:fldChar w:fldCharType="separate"/>
      </w:r>
      <w:r>
        <w:t>36</w:t>
      </w:r>
      <w:r>
        <w:fldChar w:fldCharType="end"/>
      </w:r>
    </w:p>
    <w:p>
      <w:pPr>
        <w:pStyle w:val="TOC8"/>
        <w:rPr>
          <w:rFonts w:asciiTheme="minorHAnsi" w:eastAsiaTheme="minorEastAsia" w:hAnsiTheme="minorHAnsi" w:cstheme="minorBidi"/>
          <w:szCs w:val="22"/>
        </w:rPr>
      </w:pPr>
      <w:r>
        <w:t>34K.</w:t>
      </w:r>
      <w:r>
        <w:tab/>
        <w:t>Disclosure of protected person’s identity despite certificate</w:t>
      </w:r>
      <w:r>
        <w:tab/>
      </w:r>
      <w:r>
        <w:fldChar w:fldCharType="begin"/>
      </w:r>
      <w:r>
        <w:instrText xml:space="preserve"> PAGEREF _Toc377039086 \h </w:instrText>
      </w:r>
      <w:r>
        <w:fldChar w:fldCharType="separate"/>
      </w:r>
      <w:r>
        <w:t>37</w:t>
      </w:r>
      <w:r>
        <w:fldChar w:fldCharType="end"/>
      </w:r>
    </w:p>
    <w:p>
      <w:pPr>
        <w:pStyle w:val="TOC8"/>
        <w:rPr>
          <w:rFonts w:asciiTheme="minorHAnsi" w:eastAsiaTheme="minorEastAsia" w:hAnsiTheme="minorHAnsi" w:cstheme="minorBidi"/>
          <w:szCs w:val="22"/>
        </w:rPr>
      </w:pPr>
      <w:r>
        <w:t>34L.</w:t>
      </w:r>
      <w:r>
        <w:tab/>
        <w:t>Restrictions on content of reports to Parliament</w:t>
      </w:r>
      <w:r>
        <w:tab/>
      </w:r>
      <w:r>
        <w:fldChar w:fldCharType="begin"/>
      </w:r>
      <w:r>
        <w:instrText xml:space="preserve"> PAGEREF _Toc377039087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34</w:t>
      </w:r>
      <w:r>
        <w:rPr>
          <w:snapToGrid w:val="0"/>
        </w:rPr>
        <w:t>.</w:t>
      </w:r>
      <w:r>
        <w:rPr>
          <w:snapToGrid w:val="0"/>
        </w:rPr>
        <w:tab/>
        <w:t xml:space="preserve">Disclosure by Auditor General, Parliamentary Commissioner or </w:t>
      </w:r>
      <w:r>
        <w:t>Corruption and Crime Commission</w:t>
      </w:r>
      <w:r>
        <w:tab/>
      </w:r>
      <w:r>
        <w:fldChar w:fldCharType="begin"/>
      </w:r>
      <w:r>
        <w:instrText xml:space="preserve"> PAGEREF _Toc377039089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_Toc377039091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Delegation</w:t>
      </w:r>
      <w:r>
        <w:tab/>
      </w:r>
      <w:r>
        <w:fldChar w:fldCharType="begin"/>
      </w:r>
      <w:r>
        <w:instrText xml:space="preserve"> PAGEREF _Toc377039092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Reporting on the SWPP</w:t>
      </w:r>
      <w:r>
        <w:tab/>
      </w:r>
      <w:r>
        <w:fldChar w:fldCharType="begin"/>
      </w:r>
      <w:r>
        <w:instrText xml:space="preserve"> PAGEREF _Toc377039093 \h </w:instrText>
      </w:r>
      <w:r>
        <w:fldChar w:fldCharType="separate"/>
      </w:r>
      <w:r>
        <w:t>41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from liability for wrongdoing</w:t>
      </w:r>
      <w:r>
        <w:tab/>
      </w:r>
      <w:r>
        <w:fldChar w:fldCharType="begin"/>
      </w:r>
      <w:r>
        <w:instrText xml:space="preserve"> PAGEREF _Toc377039094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_Toc377039095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40</w:t>
      </w:r>
      <w:r>
        <w:rPr>
          <w:snapToGrid w:val="0"/>
        </w:rPr>
        <w:t>.</w:t>
      </w:r>
      <w:r>
        <w:rPr>
          <w:snapToGrid w:val="0"/>
        </w:rPr>
        <w:tab/>
        <w:t>Transitional</w:t>
      </w:r>
      <w:r>
        <w:tab/>
      </w:r>
      <w:r>
        <w:fldChar w:fldCharType="begin"/>
      </w:r>
      <w:r>
        <w:instrText xml:space="preserve"> PAGEREF _Toc377039097 \h </w:instrText>
      </w:r>
      <w:r>
        <w:fldChar w:fldCharType="separate"/>
      </w:r>
      <w:r>
        <w:t>43</w:t>
      </w:r>
      <w:r>
        <w:fldChar w:fldCharType="end"/>
      </w:r>
    </w:p>
    <w:p>
      <w:pPr>
        <w:pStyle w:val="TOC8"/>
        <w:rPr>
          <w:rFonts w:asciiTheme="minorHAnsi" w:eastAsiaTheme="minorEastAsia" w:hAnsiTheme="minorHAnsi" w:cstheme="minorBidi"/>
          <w:szCs w:val="22"/>
        </w:rPr>
      </w:pPr>
      <w:r>
        <w:t>41.</w:t>
      </w:r>
      <w:r>
        <w:tab/>
        <w:t xml:space="preserve">Savings provision relating to </w:t>
      </w:r>
      <w:r>
        <w:rPr>
          <w:i/>
        </w:rPr>
        <w:t>Criminal Investigation (Covert Powers) Act 2012</w:t>
      </w:r>
      <w:r>
        <w:tab/>
      </w:r>
      <w:r>
        <w:fldChar w:fldCharType="begin"/>
      </w:r>
      <w:r>
        <w:instrText xml:space="preserve"> PAGEREF _Toc377039098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_Toc377039100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200" w:after="960"/>
      </w:pPr>
      <w:r>
        <w:t>Witness Protection (</w:t>
      </w:r>
      <w:smartTag w:uri="urn:schemas-microsoft-com:office:smarttags" w:element="State">
        <w:smartTag w:uri="urn:schemas-microsoft-com:office:smarttags" w:element="place">
          <w:r>
            <w:t>Western Australia</w:t>
          </w:r>
        </w:smartTag>
      </w:smartTag>
      <w:r>
        <w:t>) Act 1996</w:t>
      </w:r>
    </w:p>
    <w:p>
      <w:pPr>
        <w:pStyle w:val="LongTitle"/>
        <w:rPr>
          <w:snapToGrid w:val="0"/>
        </w:rPr>
      </w:pPr>
      <w:r>
        <w:rPr>
          <w:snapToGrid w:val="0"/>
        </w:rPr>
        <w:t>An Act to establish a program to give protection and assistance to certain witnesses and other persons and for related purposes.</w:t>
      </w:r>
    </w:p>
    <w:p>
      <w:pPr>
        <w:pStyle w:val="Heading2"/>
      </w:pPr>
      <w:bookmarkStart w:id="1" w:name="_Toc377039028"/>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7039029"/>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vertAlign w:val="superscript"/>
        </w:rPr>
        <w:t> 1</w:t>
      </w:r>
      <w:r>
        <w:rPr>
          <w:snapToGrid w:val="0"/>
        </w:rPr>
        <w:t>.</w:t>
      </w:r>
    </w:p>
    <w:p>
      <w:pPr>
        <w:pStyle w:val="Heading5"/>
        <w:rPr>
          <w:snapToGrid w:val="0"/>
        </w:rPr>
      </w:pPr>
      <w:bookmarkStart w:id="3" w:name="_Toc377039030"/>
      <w:r>
        <w:rPr>
          <w:rStyle w:val="CharSectno"/>
        </w:rPr>
        <w:t>2</w:t>
      </w:r>
      <w:r>
        <w:rPr>
          <w:snapToGrid w:val="0"/>
        </w:rPr>
        <w:t>.</w:t>
      </w:r>
      <w:r>
        <w:rPr>
          <w:snapToGrid w:val="0"/>
        </w:rPr>
        <w:tab/>
        <w:t>Commencement</w:t>
      </w:r>
      <w:bookmarkEnd w:id="3"/>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2</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4" w:name="_Toc377039031"/>
      <w:r>
        <w:rPr>
          <w:rStyle w:val="CharSectno"/>
        </w:rPr>
        <w:t>3</w:t>
      </w:r>
      <w:r>
        <w:rPr>
          <w:snapToGrid w:val="0"/>
        </w:rPr>
        <w:t>.</w:t>
      </w:r>
      <w:r>
        <w:rPr>
          <w:snapToGrid w:val="0"/>
        </w:rPr>
        <w:tab/>
        <w:t>Terms and abbreviation used in this Act</w:t>
      </w:r>
      <w:bookmarkEnd w:id="4"/>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and Sch. 3</w:t>
      </w:r>
      <w:r>
        <w:rPr>
          <w:vertAlign w:val="superscript"/>
        </w:rPr>
        <w:t> 3</w:t>
      </w:r>
      <w:r>
        <w:t xml:space="preserve"> cl. 11; No. 4 of 2004 s. 58; No. 74 of 2004 s. 75; No. 8 of 2008 s. 22 and 23(9).]</w:t>
      </w:r>
    </w:p>
    <w:p>
      <w:pPr>
        <w:pStyle w:val="Heading5"/>
        <w:rPr>
          <w:snapToGrid w:val="0"/>
        </w:rPr>
      </w:pPr>
      <w:bookmarkStart w:id="5" w:name="_Toc377039032"/>
      <w:r>
        <w:rPr>
          <w:rStyle w:val="CharSectno"/>
        </w:rPr>
        <w:t>4</w:t>
      </w:r>
      <w:r>
        <w:rPr>
          <w:snapToGrid w:val="0"/>
        </w:rPr>
        <w:t>.</w:t>
      </w:r>
      <w:r>
        <w:rPr>
          <w:snapToGrid w:val="0"/>
        </w:rPr>
        <w:tab/>
        <w:t>Meaning of “witness”</w:t>
      </w:r>
      <w:bookmarkEnd w:id="5"/>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6" w:name="_Toc377039033"/>
      <w:r>
        <w:rPr>
          <w:rStyle w:val="CharPartNo"/>
        </w:rPr>
        <w:t>Part 2</w:t>
      </w:r>
      <w:r>
        <w:t> — </w:t>
      </w:r>
      <w:r>
        <w:rPr>
          <w:rStyle w:val="CharPartText"/>
        </w:rPr>
        <w:t>State Witness Protection Program</w:t>
      </w:r>
      <w:bookmarkEnd w:id="6"/>
    </w:p>
    <w:p>
      <w:pPr>
        <w:pStyle w:val="Heading3"/>
      </w:pPr>
      <w:bookmarkStart w:id="7" w:name="_Toc377039034"/>
      <w:r>
        <w:rPr>
          <w:rStyle w:val="CharDivNo"/>
        </w:rPr>
        <w:t>Division 1</w:t>
      </w:r>
      <w:r>
        <w:rPr>
          <w:snapToGrid w:val="0"/>
        </w:rPr>
        <w:t> — </w:t>
      </w:r>
      <w:r>
        <w:rPr>
          <w:rStyle w:val="CharDivText"/>
        </w:rPr>
        <w:t>Establishment</w:t>
      </w:r>
      <w:bookmarkEnd w:id="7"/>
    </w:p>
    <w:p>
      <w:pPr>
        <w:pStyle w:val="Heading5"/>
        <w:rPr>
          <w:snapToGrid w:val="0"/>
        </w:rPr>
      </w:pPr>
      <w:bookmarkStart w:id="8" w:name="_Toc377039035"/>
      <w:r>
        <w:rPr>
          <w:rStyle w:val="CharSectno"/>
        </w:rPr>
        <w:t>5</w:t>
      </w:r>
      <w:r>
        <w:rPr>
          <w:snapToGrid w:val="0"/>
        </w:rPr>
        <w:t>.</w:t>
      </w:r>
      <w:r>
        <w:rPr>
          <w:snapToGrid w:val="0"/>
        </w:rPr>
        <w:tab/>
        <w:t>Commissioner to establish SWPP</w:t>
      </w:r>
      <w:bookmarkEnd w:id="8"/>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9" w:name="_Toc377039036"/>
      <w:r>
        <w:rPr>
          <w:rStyle w:val="CharSectno"/>
        </w:rPr>
        <w:t>6</w:t>
      </w:r>
      <w:r>
        <w:rPr>
          <w:snapToGrid w:val="0"/>
        </w:rPr>
        <w:t>.</w:t>
      </w:r>
      <w:r>
        <w:rPr>
          <w:snapToGrid w:val="0"/>
        </w:rPr>
        <w:tab/>
        <w:t>Arrangements with approved authorities</w:t>
      </w:r>
      <w:bookmarkEnd w:id="9"/>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10" w:name="_Toc377039037"/>
      <w:r>
        <w:rPr>
          <w:rStyle w:val="CharSectno"/>
        </w:rPr>
        <w:t>7</w:t>
      </w:r>
      <w:r>
        <w:rPr>
          <w:snapToGrid w:val="0"/>
        </w:rPr>
        <w:t>.</w:t>
      </w:r>
      <w:r>
        <w:rPr>
          <w:snapToGrid w:val="0"/>
        </w:rPr>
        <w:tab/>
        <w:t>Authorisation of approved authorities</w:t>
      </w:r>
      <w:bookmarkEnd w:id="10"/>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11" w:name="_Toc377039038"/>
      <w:r>
        <w:rPr>
          <w:rStyle w:val="CharDivNo"/>
        </w:rPr>
        <w:t>Division 2</w:t>
      </w:r>
      <w:r>
        <w:rPr>
          <w:snapToGrid w:val="0"/>
        </w:rPr>
        <w:t> — </w:t>
      </w:r>
      <w:r>
        <w:rPr>
          <w:rStyle w:val="CharDivText"/>
        </w:rPr>
        <w:t>Including witnesses in the SWPP</w:t>
      </w:r>
      <w:bookmarkEnd w:id="11"/>
    </w:p>
    <w:p>
      <w:pPr>
        <w:pStyle w:val="Heading5"/>
        <w:rPr>
          <w:snapToGrid w:val="0"/>
        </w:rPr>
      </w:pPr>
      <w:bookmarkStart w:id="12" w:name="_Toc377039039"/>
      <w:r>
        <w:rPr>
          <w:rStyle w:val="CharSectno"/>
        </w:rPr>
        <w:t>8</w:t>
      </w:r>
      <w:r>
        <w:rPr>
          <w:snapToGrid w:val="0"/>
        </w:rPr>
        <w:t>.</w:t>
      </w:r>
      <w:r>
        <w:rPr>
          <w:snapToGrid w:val="0"/>
        </w:rPr>
        <w:tab/>
        <w:t>Commissioner to decide who is included</w:t>
      </w:r>
      <w:bookmarkEnd w:id="12"/>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13" w:name="_Toc377039040"/>
      <w:r>
        <w:rPr>
          <w:rStyle w:val="CharSectno"/>
        </w:rPr>
        <w:t>9</w:t>
      </w:r>
      <w:r>
        <w:rPr>
          <w:snapToGrid w:val="0"/>
        </w:rPr>
        <w:t>.</w:t>
      </w:r>
      <w:r>
        <w:rPr>
          <w:snapToGrid w:val="0"/>
        </w:rPr>
        <w:tab/>
        <w:t>Inclusion not to be a reward for giving evidence etc.</w:t>
      </w:r>
      <w:bookmarkEnd w:id="13"/>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14" w:name="_Toc377039041"/>
      <w:r>
        <w:rPr>
          <w:rStyle w:val="CharSectno"/>
        </w:rPr>
        <w:t>10</w:t>
      </w:r>
      <w:r>
        <w:rPr>
          <w:snapToGrid w:val="0"/>
        </w:rPr>
        <w:t>.</w:t>
      </w:r>
      <w:r>
        <w:rPr>
          <w:snapToGrid w:val="0"/>
        </w:rPr>
        <w:tab/>
        <w:t>Witness to provide Commissioner with information before inclusion</w:t>
      </w:r>
      <w:bookmarkEnd w:id="14"/>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15" w:name="_Toc377039042"/>
      <w:r>
        <w:rPr>
          <w:rStyle w:val="CharSectno"/>
        </w:rPr>
        <w:t>11</w:t>
      </w:r>
      <w:r>
        <w:rPr>
          <w:snapToGrid w:val="0"/>
        </w:rPr>
        <w:t>.</w:t>
      </w:r>
      <w:r>
        <w:rPr>
          <w:snapToGrid w:val="0"/>
        </w:rPr>
        <w:tab/>
        <w:t>Memorandum of understanding</w:t>
      </w:r>
      <w:bookmarkEnd w:id="15"/>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 and Sch. 3</w:t>
      </w:r>
      <w:r>
        <w:rPr>
          <w:vertAlign w:val="superscript"/>
        </w:rPr>
        <w:t> 3</w:t>
      </w:r>
      <w:r>
        <w:t xml:space="preserve"> cl. 11.]</w:t>
      </w:r>
    </w:p>
    <w:p>
      <w:pPr>
        <w:pStyle w:val="Heading5"/>
        <w:rPr>
          <w:snapToGrid w:val="0"/>
        </w:rPr>
      </w:pPr>
      <w:bookmarkStart w:id="16" w:name="_Toc377039043"/>
      <w:r>
        <w:rPr>
          <w:rStyle w:val="CharSectno"/>
        </w:rPr>
        <w:t>12</w:t>
      </w:r>
      <w:r>
        <w:rPr>
          <w:snapToGrid w:val="0"/>
        </w:rPr>
        <w:t>.</w:t>
      </w:r>
      <w:r>
        <w:rPr>
          <w:snapToGrid w:val="0"/>
        </w:rPr>
        <w:tab/>
        <w:t>Amending a memorandum of understanding</w:t>
      </w:r>
      <w:bookmarkEnd w:id="16"/>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17" w:name="_Toc377039044"/>
      <w:r>
        <w:rPr>
          <w:rStyle w:val="CharDivNo"/>
        </w:rPr>
        <w:t>Division 3</w:t>
      </w:r>
      <w:r>
        <w:rPr>
          <w:snapToGrid w:val="0"/>
        </w:rPr>
        <w:t> — </w:t>
      </w:r>
      <w:r>
        <w:rPr>
          <w:rStyle w:val="CharDivText"/>
        </w:rPr>
        <w:t>Register of participants</w:t>
      </w:r>
      <w:bookmarkEnd w:id="17"/>
    </w:p>
    <w:p>
      <w:pPr>
        <w:pStyle w:val="Heading5"/>
        <w:rPr>
          <w:snapToGrid w:val="0"/>
        </w:rPr>
      </w:pPr>
      <w:bookmarkStart w:id="18" w:name="_Toc377039045"/>
      <w:r>
        <w:rPr>
          <w:rStyle w:val="CharSectno"/>
        </w:rPr>
        <w:t>13</w:t>
      </w:r>
      <w:r>
        <w:rPr>
          <w:snapToGrid w:val="0"/>
        </w:rPr>
        <w:t>.</w:t>
      </w:r>
      <w:r>
        <w:rPr>
          <w:snapToGrid w:val="0"/>
        </w:rPr>
        <w:tab/>
        <w:t>Commissioner to keep register</w:t>
      </w:r>
      <w:bookmarkEnd w:id="18"/>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19" w:name="_Toc377039046"/>
      <w:r>
        <w:rPr>
          <w:rStyle w:val="CharSectno"/>
        </w:rPr>
        <w:t>14</w:t>
      </w:r>
      <w:r>
        <w:rPr>
          <w:snapToGrid w:val="0"/>
        </w:rPr>
        <w:t>.</w:t>
      </w:r>
      <w:r>
        <w:rPr>
          <w:snapToGrid w:val="0"/>
        </w:rPr>
        <w:tab/>
        <w:t>Access to the register</w:t>
      </w:r>
      <w:bookmarkEnd w:id="19"/>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r>
        <w:tab/>
        <w:t>[Section 14 amended by No. 48 of 2003 s. 62 and Sch. 3</w:t>
      </w:r>
      <w:r>
        <w:rPr>
          <w:vertAlign w:val="superscript"/>
        </w:rPr>
        <w:t> 3</w:t>
      </w:r>
      <w:r>
        <w:t xml:space="preserve"> cl. 11; No. 77 of 2006 s. 17.]</w:t>
      </w:r>
    </w:p>
    <w:p>
      <w:pPr>
        <w:pStyle w:val="Heading3"/>
        <w:rPr>
          <w:snapToGrid w:val="0"/>
        </w:rPr>
      </w:pPr>
      <w:bookmarkStart w:id="20" w:name="_Toc377039047"/>
      <w:r>
        <w:rPr>
          <w:rStyle w:val="CharDivNo"/>
        </w:rPr>
        <w:t>Division 4</w:t>
      </w:r>
      <w:r>
        <w:rPr>
          <w:snapToGrid w:val="0"/>
        </w:rPr>
        <w:t> — </w:t>
      </w:r>
      <w:r>
        <w:rPr>
          <w:rStyle w:val="CharDivText"/>
        </w:rPr>
        <w:t>Protecting and assisting witnesses and participants</w:t>
      </w:r>
      <w:bookmarkEnd w:id="20"/>
    </w:p>
    <w:p>
      <w:pPr>
        <w:pStyle w:val="Heading5"/>
        <w:rPr>
          <w:snapToGrid w:val="0"/>
        </w:rPr>
      </w:pPr>
      <w:bookmarkStart w:id="21" w:name="_Toc377039048"/>
      <w:r>
        <w:rPr>
          <w:rStyle w:val="CharSectno"/>
        </w:rPr>
        <w:t>15</w:t>
      </w:r>
      <w:r>
        <w:rPr>
          <w:snapToGrid w:val="0"/>
        </w:rPr>
        <w:t>.</w:t>
      </w:r>
      <w:r>
        <w:rPr>
          <w:snapToGrid w:val="0"/>
        </w:rPr>
        <w:tab/>
        <w:t>Commissioner must take action to protect etc.</w:t>
      </w:r>
      <w:bookmarkEnd w:id="21"/>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22" w:name="_Toc377039049"/>
      <w:r>
        <w:rPr>
          <w:rStyle w:val="CharSectno"/>
        </w:rPr>
        <w:t>16</w:t>
      </w:r>
      <w:r>
        <w:rPr>
          <w:snapToGrid w:val="0"/>
        </w:rPr>
        <w:t>.</w:t>
      </w:r>
      <w:r>
        <w:rPr>
          <w:snapToGrid w:val="0"/>
        </w:rPr>
        <w:tab/>
        <w:t>Action as to obligations etc. of a participant</w:t>
      </w:r>
      <w:bookmarkEnd w:id="22"/>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23" w:name="_Toc377039050"/>
      <w:r>
        <w:rPr>
          <w:rStyle w:val="CharSectno"/>
        </w:rPr>
        <w:t>17</w:t>
      </w:r>
      <w:r>
        <w:rPr>
          <w:snapToGrid w:val="0"/>
        </w:rPr>
        <w:t>.</w:t>
      </w:r>
      <w:r>
        <w:rPr>
          <w:snapToGrid w:val="0"/>
        </w:rPr>
        <w:tab/>
        <w:t>Commercial arrangements for benefit of participant</w:t>
      </w:r>
      <w:bookmarkEnd w:id="23"/>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24" w:name="_Toc377039051"/>
      <w:r>
        <w:rPr>
          <w:rStyle w:val="CharSectno"/>
        </w:rPr>
        <w:t>18</w:t>
      </w:r>
      <w:r>
        <w:rPr>
          <w:snapToGrid w:val="0"/>
        </w:rPr>
        <w:t>.</w:t>
      </w:r>
      <w:r>
        <w:rPr>
          <w:snapToGrid w:val="0"/>
        </w:rPr>
        <w:tab/>
        <w:t>Identity documents in urgent cases</w:t>
      </w:r>
      <w:bookmarkEnd w:id="24"/>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pPr>
      <w:bookmarkStart w:id="25" w:name="_Toc377039052"/>
      <w:r>
        <w:rPr>
          <w:rStyle w:val="CharDivNo"/>
        </w:rPr>
        <w:t>Division 5</w:t>
      </w:r>
      <w:r>
        <w:rPr>
          <w:snapToGrid w:val="0"/>
        </w:rPr>
        <w:t> — </w:t>
      </w:r>
      <w:r>
        <w:rPr>
          <w:rStyle w:val="CharDivText"/>
        </w:rPr>
        <w:t>New identity orders</w:t>
      </w:r>
      <w:bookmarkEnd w:id="25"/>
    </w:p>
    <w:p>
      <w:pPr>
        <w:pStyle w:val="Heading5"/>
        <w:rPr>
          <w:snapToGrid w:val="0"/>
        </w:rPr>
      </w:pPr>
      <w:bookmarkStart w:id="26" w:name="_Toc377039053"/>
      <w:r>
        <w:rPr>
          <w:rStyle w:val="CharSectno"/>
        </w:rPr>
        <w:t>19</w:t>
      </w:r>
      <w:r>
        <w:rPr>
          <w:snapToGrid w:val="0"/>
        </w:rPr>
        <w:t>.</w:t>
      </w:r>
      <w:r>
        <w:rPr>
          <w:snapToGrid w:val="0"/>
        </w:rPr>
        <w:tab/>
        <w:t>Terms used in this Division</w:t>
      </w:r>
      <w:bookmarkEnd w:id="26"/>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by No. 40 of 1998 s. 18(5).]</w:t>
      </w:r>
    </w:p>
    <w:p>
      <w:pPr>
        <w:pStyle w:val="Heading5"/>
        <w:rPr>
          <w:snapToGrid w:val="0"/>
        </w:rPr>
      </w:pPr>
      <w:bookmarkStart w:id="27" w:name="_Toc377039054"/>
      <w:r>
        <w:rPr>
          <w:rStyle w:val="CharSectno"/>
        </w:rPr>
        <w:t>20</w:t>
      </w:r>
      <w:r>
        <w:rPr>
          <w:snapToGrid w:val="0"/>
        </w:rPr>
        <w:t>.</w:t>
      </w:r>
      <w:r>
        <w:rPr>
          <w:snapToGrid w:val="0"/>
        </w:rPr>
        <w:tab/>
        <w:t>Application to Supreme Court</w:t>
      </w:r>
      <w:bookmarkEnd w:id="27"/>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28" w:name="_Toc377039055"/>
      <w:r>
        <w:rPr>
          <w:rStyle w:val="CharSectno"/>
        </w:rPr>
        <w:t>21</w:t>
      </w:r>
      <w:r>
        <w:rPr>
          <w:snapToGrid w:val="0"/>
        </w:rPr>
        <w:t>.</w:t>
      </w:r>
      <w:r>
        <w:rPr>
          <w:snapToGrid w:val="0"/>
        </w:rPr>
        <w:tab/>
        <w:t>Supreme Court may make order</w:t>
      </w:r>
      <w:bookmarkEnd w:id="28"/>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pPr>
      <w:bookmarkStart w:id="29" w:name="_Toc377039056"/>
      <w:r>
        <w:rPr>
          <w:rStyle w:val="CharSectno"/>
        </w:rPr>
        <w:t>22A</w:t>
      </w:r>
      <w:r>
        <w:t>.</w:t>
      </w:r>
      <w:r>
        <w:tab/>
        <w:t>Effect of new identity order</w:t>
      </w:r>
      <w:bookmarkEnd w:id="29"/>
    </w:p>
    <w:p>
      <w:pPr>
        <w:pStyle w:val="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Footnotesection"/>
      </w:pPr>
      <w:r>
        <w:tab/>
        <w:t>[Section 22A inserted by No. 55 of 2012 s. 127.]</w:t>
      </w:r>
    </w:p>
    <w:p>
      <w:pPr>
        <w:pStyle w:val="Heading5"/>
        <w:rPr>
          <w:snapToGrid w:val="0"/>
        </w:rPr>
      </w:pPr>
      <w:bookmarkStart w:id="30" w:name="_Toc377039057"/>
      <w:r>
        <w:rPr>
          <w:rStyle w:val="CharSectno"/>
        </w:rPr>
        <w:t>22</w:t>
      </w:r>
      <w:r>
        <w:rPr>
          <w:snapToGrid w:val="0"/>
        </w:rPr>
        <w:t>.</w:t>
      </w:r>
      <w:r>
        <w:rPr>
          <w:snapToGrid w:val="0"/>
        </w:rPr>
        <w:tab/>
        <w:t>Supreme Court may order former identity to be restored</w:t>
      </w:r>
      <w:bookmarkEnd w:id="30"/>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31" w:name="_Toc377039058"/>
      <w:r>
        <w:rPr>
          <w:rStyle w:val="CharSectno"/>
        </w:rPr>
        <w:t>23</w:t>
      </w:r>
      <w:r>
        <w:rPr>
          <w:snapToGrid w:val="0"/>
        </w:rPr>
        <w:t>.</w:t>
      </w:r>
      <w:r>
        <w:rPr>
          <w:snapToGrid w:val="0"/>
        </w:rPr>
        <w:tab/>
        <w:t>Proceedings to be in private</w:t>
      </w:r>
      <w:bookmarkEnd w:id="31"/>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32" w:name="_Toc377039059"/>
      <w:r>
        <w:rPr>
          <w:rStyle w:val="CharSectno"/>
        </w:rPr>
        <w:t>24</w:t>
      </w:r>
      <w:r>
        <w:rPr>
          <w:snapToGrid w:val="0"/>
        </w:rPr>
        <w:t>.</w:t>
      </w:r>
      <w:r>
        <w:rPr>
          <w:snapToGrid w:val="0"/>
        </w:rPr>
        <w:tab/>
        <w:t>Effect of actions done under order</w:t>
      </w:r>
      <w:bookmarkEnd w:id="32"/>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60"/>
      </w:pPr>
      <w:bookmarkStart w:id="33" w:name="_Toc377039060"/>
      <w:r>
        <w:rPr>
          <w:rStyle w:val="CharDivNo"/>
        </w:rPr>
        <w:t>Division 6</w:t>
      </w:r>
      <w:r>
        <w:rPr>
          <w:snapToGrid w:val="0"/>
        </w:rPr>
        <w:t> — </w:t>
      </w:r>
      <w:r>
        <w:rPr>
          <w:rStyle w:val="CharDivText"/>
        </w:rPr>
        <w:t>Terminating protection and assistance</w:t>
      </w:r>
      <w:bookmarkEnd w:id="33"/>
    </w:p>
    <w:p>
      <w:pPr>
        <w:pStyle w:val="Heading5"/>
        <w:spacing w:before="200"/>
        <w:rPr>
          <w:snapToGrid w:val="0"/>
        </w:rPr>
      </w:pPr>
      <w:bookmarkStart w:id="34" w:name="_Toc377039061"/>
      <w:r>
        <w:rPr>
          <w:rStyle w:val="CharSectno"/>
        </w:rPr>
        <w:t>25</w:t>
      </w:r>
      <w:r>
        <w:rPr>
          <w:snapToGrid w:val="0"/>
        </w:rPr>
        <w:t>.</w:t>
      </w:r>
      <w:r>
        <w:rPr>
          <w:snapToGrid w:val="0"/>
        </w:rPr>
        <w:tab/>
        <w:t>Commissioner may terminate protection</w:t>
      </w:r>
      <w:bookmarkEnd w:id="34"/>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r>
        <w:t xml:space="preserve"> or</w:t>
      </w:r>
    </w:p>
    <w:p>
      <w:pPr>
        <w:pStyle w:val="Indenta"/>
        <w:rPr>
          <w:snapToGrid w:val="0"/>
        </w:rPr>
      </w:pPr>
      <w:r>
        <w:rPr>
          <w:snapToGrid w:val="0"/>
        </w:rPr>
        <w:tab/>
        <w:t>(b)</w:t>
      </w:r>
      <w:r>
        <w:rPr>
          <w:snapToGrid w:val="0"/>
        </w:rPr>
        <w:tab/>
        <w:t>the participant breaches a term of the memorandum of understanding;</w:t>
      </w:r>
      <w:r>
        <w:t xml:space="preserve"> or</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r>
        <w:t xml:space="preserve"> or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r>
        <w:t xml:space="preserve"> or</w:t>
      </w:r>
    </w:p>
    <w:p>
      <w:pPr>
        <w:pStyle w:val="Indenta"/>
        <w:rPr>
          <w:snapToGrid w:val="0"/>
        </w:rPr>
      </w:pPr>
      <w:r>
        <w:rPr>
          <w:snapToGrid w:val="0"/>
        </w:rPr>
        <w:tab/>
        <w:t>(e)</w:t>
      </w:r>
      <w:r>
        <w:rPr>
          <w:snapToGrid w:val="0"/>
        </w:rPr>
        <w:tab/>
        <w:t>the circumstances that gave rise to the need for protection and assistance for the participant cease to exist;</w:t>
      </w:r>
      <w:r>
        <w:t xml:space="preserve"> or</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r>
        <w:t xml:space="preserve"> or</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w:t>
      </w:r>
      <w:r>
        <w:t xml:space="preserve"> SWPP;</w:t>
      </w:r>
    </w:p>
    <w:p>
      <w:pPr>
        <w:pStyle w:val="Indenta"/>
      </w:pPr>
      <w:r>
        <w:tab/>
        <w:t>(i)</w:t>
      </w:r>
      <w:r>
        <w:tab/>
        <w:t>the participant fails to comply with section 34A(2),</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Footnotesection"/>
      </w:pPr>
      <w:r>
        <w:tab/>
        <w:t>[Section 25 amended by No. 55 of 2012 s. 128.]</w:t>
      </w:r>
    </w:p>
    <w:p>
      <w:pPr>
        <w:pStyle w:val="Heading5"/>
        <w:spacing w:before="200"/>
        <w:rPr>
          <w:snapToGrid w:val="0"/>
        </w:rPr>
      </w:pPr>
      <w:bookmarkStart w:id="35" w:name="_Toc377039062"/>
      <w:r>
        <w:rPr>
          <w:rStyle w:val="CharSectno"/>
        </w:rPr>
        <w:t>26</w:t>
      </w:r>
      <w:r>
        <w:rPr>
          <w:snapToGrid w:val="0"/>
        </w:rPr>
        <w:t>.</w:t>
      </w:r>
      <w:r>
        <w:rPr>
          <w:snapToGrid w:val="0"/>
        </w:rPr>
        <w:tab/>
        <w:t>Restoring a former identity</w:t>
      </w:r>
      <w:bookmarkEnd w:id="35"/>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36" w:name="_Toc377039063"/>
      <w:r>
        <w:rPr>
          <w:rStyle w:val="CharPartNo"/>
        </w:rPr>
        <w:t>Part 3</w:t>
      </w:r>
      <w:r>
        <w:t> — </w:t>
      </w:r>
      <w:r>
        <w:rPr>
          <w:rStyle w:val="CharPartText"/>
        </w:rPr>
        <w:t>Secrecy and disclosure</w:t>
      </w:r>
      <w:bookmarkEnd w:id="36"/>
    </w:p>
    <w:p>
      <w:pPr>
        <w:pStyle w:val="Heading3"/>
      </w:pPr>
      <w:bookmarkStart w:id="37" w:name="_Toc377039064"/>
      <w:r>
        <w:rPr>
          <w:rStyle w:val="CharDivNo"/>
        </w:rPr>
        <w:t>Division 1</w:t>
      </w:r>
      <w:r>
        <w:t> — </w:t>
      </w:r>
      <w:r>
        <w:rPr>
          <w:rStyle w:val="CharDivText"/>
        </w:rPr>
        <w:t>General</w:t>
      </w:r>
      <w:bookmarkEnd w:id="37"/>
    </w:p>
    <w:p>
      <w:pPr>
        <w:pStyle w:val="Footnoteheading"/>
      </w:pPr>
      <w:r>
        <w:tab/>
        <w:t>[Heading inserted by No. 55 of 2012 s. 129.]</w:t>
      </w:r>
    </w:p>
    <w:p>
      <w:pPr>
        <w:pStyle w:val="Heading5"/>
        <w:rPr>
          <w:snapToGrid w:val="0"/>
        </w:rPr>
      </w:pPr>
      <w:bookmarkStart w:id="38" w:name="_Toc377039065"/>
      <w:r>
        <w:rPr>
          <w:rStyle w:val="CharSectno"/>
        </w:rPr>
        <w:t>27</w:t>
      </w:r>
      <w:r>
        <w:rPr>
          <w:snapToGrid w:val="0"/>
        </w:rPr>
        <w:t>.</w:t>
      </w:r>
      <w:r>
        <w:rPr>
          <w:snapToGrid w:val="0"/>
        </w:rPr>
        <w:tab/>
        <w:t>Duty not to disclose</w:t>
      </w:r>
      <w:bookmarkEnd w:id="38"/>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39" w:name="_Toc377039066"/>
      <w:r>
        <w:rPr>
          <w:rStyle w:val="CharSectno"/>
        </w:rPr>
        <w:t>28</w:t>
      </w:r>
      <w:r>
        <w:rPr>
          <w:snapToGrid w:val="0"/>
        </w:rPr>
        <w:t>.</w:t>
      </w:r>
      <w:r>
        <w:rPr>
          <w:snapToGrid w:val="0"/>
        </w:rPr>
        <w:tab/>
        <w:t>Disclosure of information cannot be compelled</w:t>
      </w:r>
      <w:bookmarkEnd w:id="39"/>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40" w:name="_Toc377039067"/>
      <w:r>
        <w:rPr>
          <w:rStyle w:val="CharSectno"/>
        </w:rPr>
        <w:t>29</w:t>
      </w:r>
      <w:r>
        <w:rPr>
          <w:snapToGrid w:val="0"/>
        </w:rPr>
        <w:t>.</w:t>
      </w:r>
      <w:r>
        <w:rPr>
          <w:snapToGrid w:val="0"/>
        </w:rPr>
        <w:tab/>
        <w:t>Disclosing information to approved authorities</w:t>
      </w:r>
      <w:bookmarkEnd w:id="40"/>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Ednotesection"/>
      </w:pPr>
      <w:r>
        <w:rPr>
          <w:snapToGrid/>
        </w:rPr>
        <w:t>[</w:t>
      </w:r>
      <w:r>
        <w:rPr>
          <w:b/>
          <w:snapToGrid/>
        </w:rPr>
        <w:t>30, 31</w:t>
      </w:r>
      <w:r>
        <w:rPr>
          <w:b/>
        </w:rPr>
        <w:t>.</w:t>
      </w:r>
      <w:r>
        <w:tab/>
        <w:t>Deleted by No. 55 of 2012 s. 130.]</w:t>
      </w:r>
    </w:p>
    <w:p>
      <w:pPr>
        <w:pStyle w:val="Heading5"/>
        <w:rPr>
          <w:snapToGrid w:val="0"/>
        </w:rPr>
      </w:pPr>
      <w:bookmarkStart w:id="41" w:name="_Toc377039068"/>
      <w:r>
        <w:rPr>
          <w:rStyle w:val="CharSectno"/>
        </w:rPr>
        <w:t>32</w:t>
      </w:r>
      <w:r>
        <w:rPr>
          <w:snapToGrid w:val="0"/>
        </w:rPr>
        <w:t>.</w:t>
      </w:r>
      <w:r>
        <w:rPr>
          <w:snapToGrid w:val="0"/>
        </w:rPr>
        <w:tab/>
        <w:t>Certain disclosures to court to be in private</w:t>
      </w:r>
      <w:bookmarkEnd w:id="41"/>
    </w:p>
    <w:p>
      <w:pPr>
        <w:pStyle w:val="Subsection"/>
      </w:pPr>
      <w:r>
        <w:tab/>
        <w:t>(1A)</w:t>
      </w:r>
      <w:r>
        <w:tab/>
        <w:t>This section does not apply to the disclosure of a protected person’s identity under section 34D or 34K.</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Footnotesection"/>
      </w:pPr>
      <w:r>
        <w:tab/>
        <w:t>[Section 32 amended by No. 55 of 2012 s. 131.]</w:t>
      </w:r>
    </w:p>
    <w:p>
      <w:pPr>
        <w:pStyle w:val="Heading3"/>
      </w:pPr>
      <w:bookmarkStart w:id="42" w:name="_Toc377039069"/>
      <w:r>
        <w:rPr>
          <w:rStyle w:val="CharDivNo"/>
        </w:rPr>
        <w:t>Division 2</w:t>
      </w:r>
      <w:r>
        <w:t> — </w:t>
      </w:r>
      <w:r>
        <w:rPr>
          <w:rStyle w:val="CharDivText"/>
        </w:rPr>
        <w:t>Evidence by participants</w:t>
      </w:r>
      <w:bookmarkEnd w:id="42"/>
    </w:p>
    <w:p>
      <w:pPr>
        <w:pStyle w:val="Footnoteheading"/>
      </w:pPr>
      <w:r>
        <w:tab/>
        <w:t>[Heading inserted by No. 55 of 2012 s. 132.]</w:t>
      </w:r>
    </w:p>
    <w:p>
      <w:pPr>
        <w:pStyle w:val="Heading4"/>
      </w:pPr>
      <w:bookmarkStart w:id="43" w:name="_Toc377039070"/>
      <w:r>
        <w:t>Subdivision 1 — Terms used</w:t>
      </w:r>
      <w:bookmarkEnd w:id="43"/>
    </w:p>
    <w:p>
      <w:pPr>
        <w:pStyle w:val="Footnoteheading"/>
      </w:pPr>
      <w:r>
        <w:tab/>
        <w:t>[Heading inserted by No. 55 of 2012 s. 132.]</w:t>
      </w:r>
    </w:p>
    <w:p>
      <w:pPr>
        <w:pStyle w:val="Heading5"/>
      </w:pPr>
      <w:bookmarkStart w:id="44" w:name="_Toc377039071"/>
      <w:r>
        <w:rPr>
          <w:rStyle w:val="CharSectno"/>
        </w:rPr>
        <w:t>33</w:t>
      </w:r>
      <w:r>
        <w:t>.</w:t>
      </w:r>
      <w:r>
        <w:tab/>
        <w:t>Terms used</w:t>
      </w:r>
      <w:bookmarkEnd w:id="44"/>
    </w:p>
    <w:p>
      <w:pPr>
        <w:pStyle w:val="Subsection"/>
      </w:pPr>
      <w:r>
        <w:tab/>
      </w:r>
      <w:r>
        <w:tab/>
        <w:t>In this Division —</w:t>
      </w:r>
    </w:p>
    <w:p>
      <w:pPr>
        <w:pStyle w:val="Defstart"/>
      </w:pPr>
      <w:r>
        <w:tab/>
      </w:r>
      <w:r>
        <w:rPr>
          <w:rStyle w:val="CharDefText"/>
        </w:rPr>
        <w:t>another jurisdiction</w:t>
      </w:r>
      <w:r>
        <w:t xml:space="preserve"> means another State, a Territory or the Commonwealth;</w:t>
      </w:r>
    </w:p>
    <w:p>
      <w:pPr>
        <w:pStyle w:val="Defstart"/>
      </w:pPr>
      <w:r>
        <w:tab/>
      </w:r>
      <w:r>
        <w:rPr>
          <w:rStyle w:val="CharDefText"/>
        </w:rPr>
        <w:t>corresponding law</w:t>
      </w:r>
      <w:r>
        <w:t xml:space="preserve"> means a law of another jurisdiction that corresponds to this Division, and includes a prescribed law of another jurisdiction;</w:t>
      </w:r>
    </w:p>
    <w:p>
      <w:pPr>
        <w:pStyle w:val="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proceedings</w:t>
      </w:r>
      <w:r>
        <w:t xml:space="preserve"> means any proceedings in a court;</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non</w:t>
      </w:r>
      <w:r>
        <w:rPr>
          <w:rStyle w:val="CharDefText"/>
        </w:rPr>
        <w:noBreakHyphen/>
        <w:t>disclosure certificate</w:t>
      </w:r>
      <w:r>
        <w:t xml:space="preserve"> means a certificate given under section 34A(3);</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proceedings</w:t>
      </w:r>
      <w:r>
        <w:t xml:space="preserve"> means any proceedings before a parliamentary committee;</w:t>
      </w:r>
    </w:p>
    <w:p>
      <w:pPr>
        <w:pStyle w:val="Defstart"/>
      </w:pPr>
      <w:r>
        <w:tab/>
      </w:r>
      <w:r>
        <w:rPr>
          <w:rStyle w:val="CharDefText"/>
        </w:rPr>
        <w:t>party</w:t>
      </w:r>
      <w:r>
        <w:t>, to proceedings, means —</w:t>
      </w:r>
    </w:p>
    <w:p>
      <w:pPr>
        <w:pStyle w:val="Defpara"/>
      </w:pPr>
      <w:r>
        <w:tab/>
        <w:t>(a)</w:t>
      </w:r>
      <w:r>
        <w:tab/>
        <w:t>for criminal proceedings, the prosecutor and each accused person; or</w:t>
      </w:r>
    </w:p>
    <w:p>
      <w:pPr>
        <w:pStyle w:val="Defpara"/>
      </w:pPr>
      <w:r>
        <w:tab/>
        <w:t>(b)</w:t>
      </w:r>
      <w:r>
        <w:tab/>
        <w:t>for civil proceedings, each person who is a party to the proceedings; or</w:t>
      </w:r>
    </w:p>
    <w:p>
      <w:pPr>
        <w:pStyle w:val="Defpara"/>
      </w:pPr>
      <w:r>
        <w:tab/>
        <w:t>(c)</w:t>
      </w:r>
      <w:r>
        <w:tab/>
        <w:t>for any other proceedings, each person who may appear or give evidence in the proceedings;</w:t>
      </w:r>
    </w:p>
    <w:p>
      <w:pPr>
        <w:pStyle w:val="Defstart"/>
      </w:pPr>
      <w:r>
        <w:tab/>
      </w:r>
      <w:r>
        <w:rPr>
          <w:rStyle w:val="CharDefText"/>
        </w:rPr>
        <w:t>proceedings</w:t>
      </w:r>
      <w:r>
        <w:t xml:space="preserve"> means court proceedings or parliamentary proceedings;</w:t>
      </w:r>
    </w:p>
    <w:p>
      <w:pPr>
        <w:pStyle w:val="Defstart"/>
      </w:pPr>
      <w:r>
        <w:tab/>
      </w:r>
      <w:r>
        <w:rPr>
          <w:rStyle w:val="CharDefText"/>
        </w:rPr>
        <w:t>protected address</w:t>
      </w:r>
      <w:r>
        <w:t xml:space="preserve">, of a protected person, means — </w:t>
      </w:r>
    </w:p>
    <w:p>
      <w:pPr>
        <w:pStyle w:val="Defpara"/>
      </w:pPr>
      <w:r>
        <w:tab/>
        <w:t>(a)</w:t>
      </w:r>
      <w:r>
        <w:tab/>
        <w:t>for proceedings in which the protected person is or may be required to give evidence under the person’s new identity, the last place where the person lived under the person’s former identity; or</w:t>
      </w:r>
    </w:p>
    <w:p>
      <w:pPr>
        <w:pStyle w:val="Defpara"/>
      </w:pPr>
      <w:r>
        <w:tab/>
        <w:t>(b)</w:t>
      </w:r>
      <w:r>
        <w:tab/>
        <w:t>for proceedings in which the protected person is or may be required to give evidence under the person’s former identity, the place where the person lives;</w:t>
      </w:r>
    </w:p>
    <w:p>
      <w:pPr>
        <w:pStyle w:val="Defstart"/>
      </w:pPr>
      <w:r>
        <w:tab/>
      </w:r>
      <w:r>
        <w:rPr>
          <w:rStyle w:val="CharDefText"/>
        </w:rPr>
        <w:t>protected identity</w:t>
      </w:r>
      <w:r>
        <w:t>, of a protected person, means —</w:t>
      </w:r>
    </w:p>
    <w:p>
      <w:pPr>
        <w:pStyle w:val="Defpara"/>
      </w:pPr>
      <w:r>
        <w:tab/>
        <w:t>(a)</w:t>
      </w:r>
      <w:r>
        <w:tab/>
        <w:t>for proceedings in which the protected person is or may be required to give evidence under the person’s new identity, the person’s former identity; or</w:t>
      </w:r>
    </w:p>
    <w:p>
      <w:pPr>
        <w:pStyle w:val="Defpara"/>
      </w:pPr>
      <w:r>
        <w:tab/>
        <w:t>(b)</w:t>
      </w:r>
      <w:r>
        <w:tab/>
        <w:t>for proceedings in which the protected person is or may be required to give evidence under the person’s former identity, the person’s new identity;</w:t>
      </w:r>
    </w:p>
    <w:p>
      <w:pPr>
        <w:pStyle w:val="Defstart"/>
      </w:pPr>
      <w:r>
        <w:tab/>
      </w:r>
      <w:r>
        <w:rPr>
          <w:rStyle w:val="CharDefText"/>
        </w:rPr>
        <w:t>protected person</w:t>
      </w:r>
      <w:r>
        <w:t xml:space="preserve"> means a person who, having been given a new identity under the SWPP, keeps the identity whether or not the person remains a participant.</w:t>
      </w:r>
    </w:p>
    <w:p>
      <w:pPr>
        <w:pStyle w:val="Footnotesection"/>
      </w:pPr>
      <w:r>
        <w:tab/>
        <w:t>[Section 33 inserted by No. 55 of 2012 s. 133.]</w:t>
      </w:r>
    </w:p>
    <w:p>
      <w:pPr>
        <w:pStyle w:val="Heading4"/>
      </w:pPr>
      <w:bookmarkStart w:id="45" w:name="_Toc377039072"/>
      <w:r>
        <w:t>Subdivision 2 — Non-disclosure certificates for protected persons</w:t>
      </w:r>
      <w:bookmarkEnd w:id="45"/>
    </w:p>
    <w:p>
      <w:pPr>
        <w:pStyle w:val="Footnoteheading"/>
      </w:pPr>
      <w:r>
        <w:tab/>
        <w:t>[Heading inserted by No. 55 of 2012 s. 133.]</w:t>
      </w:r>
    </w:p>
    <w:p>
      <w:pPr>
        <w:pStyle w:val="Heading5"/>
      </w:pPr>
      <w:bookmarkStart w:id="46" w:name="_Toc377039073"/>
      <w:r>
        <w:rPr>
          <w:rStyle w:val="CharSectno"/>
        </w:rPr>
        <w:t>34A</w:t>
      </w:r>
      <w:r>
        <w:t>.</w:t>
      </w:r>
      <w:r>
        <w:tab/>
        <w:t>Non</w:t>
      </w:r>
      <w:r>
        <w:noBreakHyphen/>
        <w:t>disclosure certificates</w:t>
      </w:r>
      <w:bookmarkEnd w:id="46"/>
    </w:p>
    <w:p>
      <w:pPr>
        <w:pStyle w:val="Subsection"/>
      </w:pPr>
      <w:r>
        <w:tab/>
        <w:t>(1)</w:t>
      </w:r>
      <w:r>
        <w:tab/>
        <w:t xml:space="preserve">In this section — </w:t>
      </w:r>
    </w:p>
    <w:p>
      <w:pPr>
        <w:pStyle w:val="Defstart"/>
      </w:pPr>
      <w:r>
        <w:tab/>
      </w:r>
      <w:r>
        <w:rPr>
          <w:rStyle w:val="CharDefText"/>
        </w:rPr>
        <w:t>court</w:t>
      </w:r>
      <w:r>
        <w:t xml:space="preserve"> includes a court, within the meaning of that term in this Act, of another jurisdiction.</w:t>
      </w:r>
    </w:p>
    <w:p>
      <w:pPr>
        <w:pStyle w:val="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Subsection"/>
      </w:pPr>
      <w:r>
        <w:tab/>
        <w:t>(3)</w:t>
      </w:r>
      <w:r>
        <w:tab/>
        <w:t>The Commissioner may give a certificate for the protected person in relation to the proceedings and —</w:t>
      </w:r>
    </w:p>
    <w:p>
      <w:pPr>
        <w:pStyle w:val="Indenta"/>
      </w:pPr>
      <w:r>
        <w:tab/>
        <w:t>(a)</w:t>
      </w:r>
      <w:r>
        <w:tab/>
        <w:t>file a copy with the court; or</w:t>
      </w:r>
    </w:p>
    <w:p>
      <w:pPr>
        <w:pStyle w:val="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Subsection"/>
      </w:pPr>
      <w:r>
        <w:tab/>
      </w:r>
      <w:r>
        <w:tab/>
        <w:t>as the case requires.</w:t>
      </w:r>
    </w:p>
    <w:p>
      <w:pPr>
        <w:pStyle w:val="Footnotesection"/>
      </w:pPr>
      <w:r>
        <w:tab/>
        <w:t>[Section 34A inserted by No. 55 of 2012 s. 133.]</w:t>
      </w:r>
    </w:p>
    <w:p>
      <w:pPr>
        <w:pStyle w:val="Heading5"/>
      </w:pPr>
      <w:bookmarkStart w:id="47" w:name="_Toc377039074"/>
      <w:r>
        <w:rPr>
          <w:rStyle w:val="CharSectno"/>
        </w:rPr>
        <w:t>34B</w:t>
      </w:r>
      <w:r>
        <w:t>.</w:t>
      </w:r>
      <w:r>
        <w:tab/>
        <w:t>What non</w:t>
      </w:r>
      <w:r>
        <w:noBreakHyphen/>
        <w:t>disclosure certificate must state</w:t>
      </w:r>
      <w:bookmarkEnd w:id="47"/>
      <w:r>
        <w:t xml:space="preserve"> </w:t>
      </w:r>
    </w:p>
    <w:p>
      <w:pPr>
        <w:pStyle w:val="Subsection"/>
      </w:pPr>
      <w:r>
        <w:tab/>
        <w:t>(1)</w:t>
      </w:r>
      <w:r>
        <w:tab/>
        <w:t>A non</w:t>
      </w:r>
      <w:r>
        <w:noBreakHyphen/>
        <w:t>disclosure certificate for a protected person must state —</w:t>
      </w:r>
    </w:p>
    <w:p>
      <w:pPr>
        <w:pStyle w:val="Indenta"/>
      </w:pPr>
      <w:r>
        <w:tab/>
        <w:t>(a)</w:t>
      </w:r>
      <w:r>
        <w:tab/>
        <w:t>that the person is, or has been, included in the SWPP; and</w:t>
      </w:r>
    </w:p>
    <w:p>
      <w:pPr>
        <w:pStyle w:val="Indenta"/>
      </w:pPr>
      <w:r>
        <w:tab/>
        <w:t>(b)</w:t>
      </w:r>
      <w:r>
        <w:tab/>
        <w:t>that the person has been given a new identity under the SWPP; and</w:t>
      </w:r>
    </w:p>
    <w:p>
      <w:pPr>
        <w:pStyle w:val="Indenta"/>
      </w:pPr>
      <w:r>
        <w:tab/>
        <w:t>(c)</w:t>
      </w:r>
      <w:r>
        <w:tab/>
        <w:t>that the person has not been convicted or found guilty of any offence other than an offence mentioned in the certificate.</w:t>
      </w:r>
    </w:p>
    <w:p>
      <w:pPr>
        <w:pStyle w:val="Subsection"/>
      </w:pPr>
      <w:r>
        <w:tab/>
        <w:t>(2)</w:t>
      </w:r>
      <w:r>
        <w:tab/>
        <w:t>The non</w:t>
      </w:r>
      <w:r>
        <w:noBreakHyphen/>
        <w:t xml:space="preserve">disclosure certificate must not include information that discloses, or may lead to the disclosure of any of the following — </w:t>
      </w:r>
    </w:p>
    <w:p>
      <w:pPr>
        <w:pStyle w:val="Indenta"/>
      </w:pPr>
      <w:r>
        <w:tab/>
        <w:t>(a)</w:t>
      </w:r>
      <w:r>
        <w:tab/>
        <w:t>the person’s protected identity;</w:t>
      </w:r>
    </w:p>
    <w:p>
      <w:pPr>
        <w:pStyle w:val="Indenta"/>
      </w:pPr>
      <w:r>
        <w:tab/>
        <w:t>(b)</w:t>
      </w:r>
      <w:r>
        <w:tab/>
        <w:t>the person’s protected address;</w:t>
      </w:r>
    </w:p>
    <w:p>
      <w:pPr>
        <w:pStyle w:val="Indenta"/>
      </w:pPr>
      <w:r>
        <w:tab/>
        <w:t>(c)</w:t>
      </w:r>
      <w:r>
        <w:tab/>
        <w:t>any other sensitive information as defined in section 32(2).</w:t>
      </w:r>
    </w:p>
    <w:p>
      <w:pPr>
        <w:pStyle w:val="Footnotesection"/>
      </w:pPr>
      <w:r>
        <w:tab/>
        <w:t>[Section 34B inserted by No. 55 of 2012 s. 133.]</w:t>
      </w:r>
    </w:p>
    <w:p>
      <w:pPr>
        <w:pStyle w:val="Heading4"/>
      </w:pPr>
      <w:bookmarkStart w:id="48" w:name="_Toc377039075"/>
      <w:r>
        <w:t>Subdivision 3 — Provisions applicable to court proceedings</w:t>
      </w:r>
      <w:bookmarkEnd w:id="48"/>
    </w:p>
    <w:p>
      <w:pPr>
        <w:pStyle w:val="Footnoteheading"/>
      </w:pPr>
      <w:r>
        <w:tab/>
        <w:t>[Heading inserted by No. 55 of 2012 s. 133.]</w:t>
      </w:r>
    </w:p>
    <w:p>
      <w:pPr>
        <w:pStyle w:val="Heading5"/>
      </w:pPr>
      <w:bookmarkStart w:id="49" w:name="_Toc377039076"/>
      <w:r>
        <w:rPr>
          <w:rStyle w:val="CharSectno"/>
        </w:rPr>
        <w:t>34CA</w:t>
      </w:r>
      <w:r>
        <w:t>.</w:t>
      </w:r>
      <w:r>
        <w:tab/>
        <w:t>Application of Subdivision</w:t>
      </w:r>
      <w:bookmarkEnd w:id="49"/>
    </w:p>
    <w:p>
      <w:pPr>
        <w:pStyle w:val="Subsection"/>
      </w:pPr>
      <w:r>
        <w:tab/>
      </w:r>
      <w:r>
        <w:tab/>
        <w:t>This Subdivision applies in relation to court proceedings in which a protected person is, or may be, required to give evidence.</w:t>
      </w:r>
    </w:p>
    <w:p>
      <w:pPr>
        <w:pStyle w:val="Footnotesection"/>
      </w:pPr>
      <w:r>
        <w:tab/>
        <w:t>[Section 34CA inserted by No. 55 of 2012 s. 133.]</w:t>
      </w:r>
    </w:p>
    <w:p>
      <w:pPr>
        <w:pStyle w:val="Heading5"/>
      </w:pPr>
      <w:bookmarkStart w:id="50" w:name="_Toc377039077"/>
      <w:r>
        <w:rPr>
          <w:rStyle w:val="CharSectno"/>
        </w:rPr>
        <w:t>34C</w:t>
      </w:r>
      <w:r>
        <w:t>.</w:t>
      </w:r>
      <w:r>
        <w:tab/>
        <w:t>Effect of non</w:t>
      </w:r>
      <w:r>
        <w:noBreakHyphen/>
        <w:t>disclosure certificate</w:t>
      </w:r>
      <w:bookmarkEnd w:id="50"/>
    </w:p>
    <w:p>
      <w:pPr>
        <w:pStyle w:val="Subsection"/>
      </w:pPr>
      <w:r>
        <w:tab/>
        <w:t>(1)</w:t>
      </w:r>
      <w:r>
        <w:tab/>
        <w:t xml:space="preserve">In this section — </w:t>
      </w:r>
    </w:p>
    <w:p>
      <w:pPr>
        <w:pStyle w:val="Defstart"/>
      </w:pPr>
      <w:r>
        <w:tab/>
      </w:r>
      <w:r>
        <w:rPr>
          <w:rStyle w:val="CharDefText"/>
        </w:rPr>
        <w:t>person involved</w:t>
      </w:r>
      <w:r>
        <w:t xml:space="preserve">, in proceedings, includes — </w:t>
      </w:r>
    </w:p>
    <w:p>
      <w:pPr>
        <w:pStyle w:val="Defpara"/>
      </w:pPr>
      <w:r>
        <w:tab/>
        <w:t>(a)</w:t>
      </w:r>
      <w:r>
        <w:tab/>
        <w:t>the court;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court in the proceedings; and</w:t>
      </w:r>
    </w:p>
    <w:p>
      <w:pPr>
        <w:pStyle w:val="Defpara"/>
      </w:pPr>
      <w:r>
        <w:tab/>
        <w:t>(e)</w:t>
      </w:r>
      <w:r>
        <w:tab/>
        <w:t>any other officer of the court or person assisting the court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w:t>
      </w:r>
      <w:r>
        <w:noBreakHyphen/>
        <w:t>disclosure certificate for a protected person in relation to proceedings is filed in a court in this State.</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court may disclose to each party to the proceedings —</w:t>
      </w:r>
    </w:p>
    <w:p>
      <w:pPr>
        <w:pStyle w:val="Indenta"/>
      </w:pPr>
      <w:r>
        <w:tab/>
        <w:t>(a)</w:t>
      </w:r>
      <w:r>
        <w:tab/>
        <w:t>that the court has been given a non</w:t>
      </w:r>
      <w:r>
        <w:noBreakHyphen/>
        <w:t>disclosure certificate for a person who may be required to give evidence in the proceedings; and</w:t>
      </w:r>
    </w:p>
    <w:p>
      <w:pPr>
        <w:pStyle w:val="Indenta"/>
      </w:pPr>
      <w:r>
        <w:tab/>
        <w:t>(b)</w:t>
      </w:r>
      <w:r>
        <w:tab/>
        <w:t>what the certificate states.</w:t>
      </w:r>
    </w:p>
    <w:p>
      <w:pPr>
        <w:pStyle w:val="Subsection"/>
      </w:pPr>
      <w:r>
        <w:tab/>
        <w:t>(5)</w:t>
      </w:r>
      <w:r>
        <w:tab/>
        <w:t>The court may only disclose what the non</w:t>
      </w:r>
      <w:r>
        <w:noBreakHyphen/>
        <w:t xml:space="preserve">disclosure certificate states in the absence of the jury (if any) and the public. </w:t>
      </w:r>
    </w:p>
    <w:p>
      <w:pPr>
        <w:pStyle w:val="Subsection"/>
      </w:pPr>
      <w:r>
        <w:tab/>
        <w:t>(6)</w:t>
      </w:r>
      <w:r>
        <w:tab/>
        <w:t>If the court makes a disclosure about the non</w:t>
      </w:r>
      <w:r>
        <w:noBreakHyphen/>
        <w:t>disclosure certificate under subsection (4), the court must also inform the parties of the effect of the certificate.</w:t>
      </w:r>
    </w:p>
    <w:p>
      <w:pPr>
        <w:pStyle w:val="Subsection"/>
      </w:pPr>
      <w:r>
        <w:tab/>
        <w:t>(7)</w:t>
      </w:r>
      <w:r>
        <w:tab/>
        <w:t>This section applies despite any other Act, but subject to section 34D.</w:t>
      </w:r>
    </w:p>
    <w:p>
      <w:pPr>
        <w:pStyle w:val="Footnotesection"/>
      </w:pPr>
      <w:r>
        <w:tab/>
        <w:t>[Section 34C inserted by No. 55 of 2012 s. 133.]</w:t>
      </w:r>
    </w:p>
    <w:p>
      <w:pPr>
        <w:pStyle w:val="Heading5"/>
      </w:pPr>
      <w:bookmarkStart w:id="51" w:name="_Toc377039078"/>
      <w:r>
        <w:rPr>
          <w:rStyle w:val="CharSectno"/>
        </w:rPr>
        <w:t>34D</w:t>
      </w:r>
      <w:r>
        <w:t>.</w:t>
      </w:r>
      <w:r>
        <w:tab/>
        <w:t>Disclosure of protected person’s identity despite certificate</w:t>
      </w:r>
      <w:bookmarkEnd w:id="51"/>
    </w:p>
    <w:p>
      <w:pPr>
        <w:pStyle w:val="Subsection"/>
      </w:pPr>
      <w:r>
        <w:tab/>
        <w:t>(1)</w:t>
      </w:r>
      <w:r>
        <w:tab/>
        <w:t>This section applies if a non</w:t>
      </w:r>
      <w:r>
        <w:noBreakHyphen/>
        <w:t xml:space="preserve">disclosure certificate for a protected person in relation to proceedings is filed in a court in this State. </w:t>
      </w:r>
    </w:p>
    <w:p>
      <w:pPr>
        <w:pStyle w:val="Subsection"/>
      </w:pPr>
      <w:r>
        <w:tab/>
        <w:t>(2)</w:t>
      </w:r>
      <w:r>
        <w:tab/>
        <w:t>A party to the proceedings, or a lawyer assisting the court in the proceedings, may apply to the court —</w:t>
      </w:r>
    </w:p>
    <w:p>
      <w:pPr>
        <w:pStyle w:val="Indenta"/>
      </w:pPr>
      <w:r>
        <w:tab/>
        <w:t>(a)</w:t>
      </w:r>
      <w:r>
        <w:tab/>
        <w:t>for leave —</w:t>
      </w:r>
    </w:p>
    <w:p>
      <w:pPr>
        <w:pStyle w:val="Indenti"/>
      </w:pPr>
      <w:r>
        <w:tab/>
        <w:t>(i)</w:t>
      </w:r>
      <w:r>
        <w:tab/>
        <w:t>to ask a question of a witness, including the protected person, that may lead to the disclosure of the protected person’s protected identity or protected address or both; or</w:t>
      </w:r>
    </w:p>
    <w:p>
      <w:pPr>
        <w:pStyle w:val="Indenti"/>
      </w:pPr>
      <w:r>
        <w:tab/>
        <w:t>(ii)</w:t>
      </w:r>
      <w:r>
        <w:tab/>
        <w:t xml:space="preserve">for a person involved in the proceedings to make a statement that discloses, or may lead to the disclosure of, the protected person’s protected identity or protected address or both; </w:t>
      </w:r>
    </w:p>
    <w:p>
      <w:pPr>
        <w:pStyle w:val="Indenta"/>
      </w:pPr>
      <w:r>
        <w:tab/>
      </w:r>
      <w:r>
        <w:tab/>
        <w:t>or</w:t>
      </w:r>
    </w:p>
    <w:p>
      <w:pPr>
        <w:pStyle w:val="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Indenta"/>
      </w:pPr>
      <w:r>
        <w:tab/>
        <w:t>(c)</w:t>
      </w:r>
      <w:r>
        <w:tab/>
        <w:t>it is in the interests of justice for the protected person’s credibility to be able to be tested.</w:t>
      </w:r>
    </w:p>
    <w:p>
      <w:pPr>
        <w:pStyle w:val="Subsection"/>
      </w:pPr>
      <w:r>
        <w:tab/>
        <w:t>(5)</w:t>
      </w:r>
      <w:r>
        <w:tab/>
        <w:t xml:space="preserve">If there is a jury in the proceedings, the application must be heard in the absence of the jury. </w:t>
      </w:r>
    </w:p>
    <w:p>
      <w:pPr>
        <w:pStyle w:val="Subsection"/>
      </w:pPr>
      <w:r>
        <w:tab/>
        <w:t>(6)</w:t>
      </w:r>
      <w:r>
        <w:tab/>
        <w:t>Unless the court considers that the interests of justice require otherwise, the court must be closed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Subsection"/>
      </w:pPr>
      <w:r>
        <w:tab/>
        <w:t>(9)</w:t>
      </w:r>
      <w:r>
        <w:tab/>
        <w:t>The court may make any other order it considers appropriate to protect the protected person’s protected identity or protected address or both.</w:t>
      </w:r>
    </w:p>
    <w:p>
      <w:pPr>
        <w:pStyle w:val="Subsection"/>
      </w:pPr>
      <w:r>
        <w:tab/>
        <w:t>(10)</w:t>
      </w:r>
      <w:r>
        <w:tab/>
        <w:t>A person must not contravene an order under subsection (7), (8) or (9).</w:t>
      </w:r>
    </w:p>
    <w:p>
      <w:pPr>
        <w:pStyle w:val="Penstart"/>
      </w:pPr>
      <w:r>
        <w:tab/>
        <w:t>Penalty: imprisonment for 2 years.</w:t>
      </w:r>
    </w:p>
    <w:p>
      <w:pPr>
        <w:pStyle w:val="Subsection"/>
      </w:pPr>
      <w:r>
        <w:tab/>
        <w:t>(11)</w:t>
      </w:r>
      <w:r>
        <w:tab/>
        <w:t xml:space="preserve">Subsection (10) does not limit the court’s power to punish for contempt. </w:t>
      </w:r>
    </w:p>
    <w:p>
      <w:pPr>
        <w:pStyle w:val="Footnotesection"/>
      </w:pPr>
      <w:r>
        <w:tab/>
        <w:t>[Section 34D inserted by No. 55 of 2012 s. 133.]</w:t>
      </w:r>
    </w:p>
    <w:p>
      <w:pPr>
        <w:pStyle w:val="Heading5"/>
      </w:pPr>
      <w:bookmarkStart w:id="52" w:name="_Toc377039079"/>
      <w:r>
        <w:rPr>
          <w:rStyle w:val="CharSectno"/>
        </w:rPr>
        <w:t>34E</w:t>
      </w:r>
      <w:r>
        <w:t>.</w:t>
      </w:r>
      <w:r>
        <w:tab/>
        <w:t>Directions to jury</w:t>
      </w:r>
      <w:bookmarkEnd w:id="52"/>
    </w:p>
    <w:p>
      <w:pPr>
        <w:pStyle w:val="Subsection"/>
      </w:pPr>
      <w:r>
        <w:tab/>
        <w:t>(1)</w:t>
      </w:r>
      <w:r>
        <w:tab/>
        <w:t>This section applies if —</w:t>
      </w:r>
    </w:p>
    <w:p>
      <w:pPr>
        <w:pStyle w:val="Indenta"/>
      </w:pPr>
      <w:r>
        <w:tab/>
        <w:t>(a)</w:t>
      </w:r>
      <w:r>
        <w:tab/>
        <w:t>a non</w:t>
      </w:r>
      <w:r>
        <w:noBreakHyphen/>
        <w:t>disclosure certificate for a protected person in relation to proceedings is filed in a court; and</w:t>
      </w:r>
    </w:p>
    <w:p>
      <w:pPr>
        <w:pStyle w:val="Indenta"/>
      </w:pPr>
      <w:r>
        <w:tab/>
        <w:t>(b)</w:t>
      </w:r>
      <w:r>
        <w:tab/>
        <w:t>there is a jury in the proceedings; and</w:t>
      </w:r>
    </w:p>
    <w:p>
      <w:pPr>
        <w:pStyle w:val="Indenta"/>
      </w:pPr>
      <w:r>
        <w:tab/>
        <w:t>(c)</w:t>
      </w:r>
      <w:r>
        <w:tab/>
        <w:t>the protected person gives evidence.</w:t>
      </w:r>
    </w:p>
    <w:p>
      <w:pPr>
        <w:pStyle w:val="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Indenta"/>
      </w:pPr>
      <w:r>
        <w:tab/>
        <w:t>(a)</w:t>
      </w:r>
      <w:r>
        <w:tab/>
        <w:t>there is a non</w:t>
      </w:r>
      <w:r>
        <w:noBreakHyphen/>
        <w:t>disclosure certificate for the protected person; or</w:t>
      </w:r>
    </w:p>
    <w:p>
      <w:pPr>
        <w:pStyle w:val="Indenta"/>
      </w:pPr>
      <w:r>
        <w:tab/>
        <w:t>(b)</w:t>
      </w:r>
      <w:r>
        <w:tab/>
        <w:t>the court has made an order under section 32 or 34D(7), (8) or (9).</w:t>
      </w:r>
    </w:p>
    <w:p>
      <w:pPr>
        <w:pStyle w:val="Footnotesection"/>
      </w:pPr>
      <w:r>
        <w:tab/>
        <w:t>[Section 34E inserted by No. 55 of 2012 s. 133.]</w:t>
      </w:r>
    </w:p>
    <w:p>
      <w:pPr>
        <w:pStyle w:val="Heading5"/>
      </w:pPr>
      <w:bookmarkStart w:id="53" w:name="_Toc377039080"/>
      <w:r>
        <w:rPr>
          <w:rStyle w:val="CharSectno"/>
        </w:rPr>
        <w:t>34F</w:t>
      </w:r>
      <w:r>
        <w:t>.</w:t>
      </w:r>
      <w:r>
        <w:tab/>
        <w:t>Adjournment for appeal decision</w:t>
      </w:r>
      <w:bookmarkEnd w:id="53"/>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34D(3)(a) in relation to a non</w:t>
      </w:r>
      <w:r>
        <w:noBreakHyphen/>
        <w:t>disclosure certificate for a protected person; or</w:t>
      </w:r>
    </w:p>
    <w:p>
      <w:pPr>
        <w:pStyle w:val="Indenta"/>
      </w:pPr>
      <w:r>
        <w:tab/>
        <w:t>(b)</w:t>
      </w:r>
      <w:r>
        <w:tab/>
        <w:t>the original court makes, or refuses to make, an order under section 34D(3)(b) in relation to a non</w:t>
      </w:r>
      <w:r>
        <w:noBreakHyphen/>
        <w:t>disclosure certificate for a protected person.</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Footnotesection"/>
      </w:pPr>
      <w:r>
        <w:tab/>
        <w:t>[Section 34F inserted by No. 55 of 2012 s. 133.]</w:t>
      </w:r>
    </w:p>
    <w:p>
      <w:pPr>
        <w:pStyle w:val="Heading5"/>
      </w:pPr>
      <w:bookmarkStart w:id="54" w:name="_Toc377039081"/>
      <w:r>
        <w:rPr>
          <w:rStyle w:val="CharSectno"/>
        </w:rPr>
        <w:t>34G</w:t>
      </w:r>
      <w:r>
        <w:t>.</w:t>
      </w:r>
      <w:r>
        <w:tab/>
        <w:t>Jurisdiction to hear and determine appeals</w:t>
      </w:r>
      <w:bookmarkEnd w:id="54"/>
    </w:p>
    <w:p>
      <w:pPr>
        <w:pStyle w:val="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Footnotesection"/>
      </w:pPr>
      <w:r>
        <w:tab/>
        <w:t>[Section 34G inserted by No. 55 of 2012 s. 133.]</w:t>
      </w:r>
    </w:p>
    <w:p>
      <w:pPr>
        <w:pStyle w:val="Heading5"/>
      </w:pPr>
      <w:bookmarkStart w:id="55" w:name="_Toc377039082"/>
      <w:r>
        <w:rPr>
          <w:rStyle w:val="CharSectno"/>
        </w:rPr>
        <w:t>34H</w:t>
      </w:r>
      <w:r>
        <w:t>.</w:t>
      </w:r>
      <w:r>
        <w:tab/>
        <w:t>Recognition of non</w:t>
      </w:r>
      <w:r>
        <w:noBreakHyphen/>
        <w:t>disclosure certificates under corresponding laws</w:t>
      </w:r>
      <w:bookmarkEnd w:id="55"/>
      <w:r>
        <w:t xml:space="preserve"> </w:t>
      </w:r>
    </w:p>
    <w:p>
      <w:pPr>
        <w:pStyle w:val="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Indenta"/>
      </w:pPr>
      <w:r>
        <w:tab/>
        <w:t>(a)</w:t>
      </w:r>
      <w:r>
        <w:tab/>
        <w:t>section 34C (Effect of non</w:t>
      </w:r>
      <w:r>
        <w:noBreakHyphen/>
        <w:t>disclosure certificate);</w:t>
      </w:r>
    </w:p>
    <w:p>
      <w:pPr>
        <w:pStyle w:val="Indenta"/>
      </w:pPr>
      <w:r>
        <w:tab/>
        <w:t>(b)</w:t>
      </w:r>
      <w:r>
        <w:tab/>
        <w:t>section 34D (Disclosure of protected person’s identity despite certificate).</w:t>
      </w:r>
    </w:p>
    <w:p>
      <w:pPr>
        <w:pStyle w:val="Footnotesection"/>
      </w:pPr>
      <w:r>
        <w:tab/>
        <w:t>[Section 34H inserted by No. 55 of 2012 s. 133.]</w:t>
      </w:r>
    </w:p>
    <w:p>
      <w:pPr>
        <w:pStyle w:val="Heading4"/>
      </w:pPr>
      <w:bookmarkStart w:id="56" w:name="_Toc377039083"/>
      <w:r>
        <w:t>Subdivision 4 — Provisions applicable to parliamentary proceedings</w:t>
      </w:r>
      <w:bookmarkEnd w:id="56"/>
    </w:p>
    <w:p>
      <w:pPr>
        <w:pStyle w:val="Footnoteheading"/>
      </w:pPr>
      <w:r>
        <w:tab/>
        <w:t>[Heading inserted by No. 55 of 2012 s. 133.]</w:t>
      </w:r>
    </w:p>
    <w:p>
      <w:pPr>
        <w:pStyle w:val="Heading5"/>
      </w:pPr>
      <w:bookmarkStart w:id="57" w:name="_Toc377039084"/>
      <w:r>
        <w:t>34I.</w:t>
      </w:r>
      <w:r>
        <w:tab/>
        <w:t>Application of Subdivision</w:t>
      </w:r>
      <w:bookmarkEnd w:id="57"/>
    </w:p>
    <w:p>
      <w:pPr>
        <w:pStyle w:val="Subsection"/>
      </w:pPr>
      <w:r>
        <w:tab/>
      </w:r>
      <w:r>
        <w:tab/>
        <w:t>This Subdivision applies in relation to parliamentary proceedings in which a protected person is, or may be, required to give evidence.</w:t>
      </w:r>
    </w:p>
    <w:p>
      <w:pPr>
        <w:pStyle w:val="Footnotesection"/>
      </w:pPr>
      <w:r>
        <w:tab/>
        <w:t>[Section 34I inserted by No. 55 of 2012 s. 133.]</w:t>
      </w:r>
    </w:p>
    <w:p>
      <w:pPr>
        <w:pStyle w:val="Heading5"/>
      </w:pPr>
      <w:bookmarkStart w:id="58" w:name="_Toc377039085"/>
      <w:r>
        <w:rPr>
          <w:rStyle w:val="CharSectno"/>
        </w:rPr>
        <w:t>34J</w:t>
      </w:r>
      <w:r>
        <w:t>.</w:t>
      </w:r>
      <w:r>
        <w:tab/>
        <w:t>Effect of non-disclosure certificate</w:t>
      </w:r>
      <w:bookmarkEnd w:id="58"/>
    </w:p>
    <w:p>
      <w:pPr>
        <w:pStyle w:val="Subsection"/>
      </w:pPr>
      <w:r>
        <w:tab/>
        <w:t>(1)</w:t>
      </w:r>
      <w:r>
        <w:tab/>
        <w:t>In this section —</w:t>
      </w:r>
    </w:p>
    <w:p>
      <w:pPr>
        <w:pStyle w:val="Defstart"/>
      </w:pPr>
      <w:r>
        <w:tab/>
      </w:r>
      <w:r>
        <w:rPr>
          <w:rStyle w:val="CharDefText"/>
        </w:rPr>
        <w:t>person involved</w:t>
      </w:r>
      <w:r>
        <w:rPr>
          <w:rStyle w:val="CharDefText"/>
          <w:b w:val="0"/>
          <w:i w:val="0"/>
        </w:rPr>
        <w:t>,</w:t>
      </w:r>
      <w:r>
        <w:t xml:space="preserve"> in proceedings, includes —</w:t>
      </w:r>
    </w:p>
    <w:p>
      <w:pPr>
        <w:pStyle w:val="Defpara"/>
      </w:pPr>
      <w:r>
        <w:tab/>
        <w:t>(a)</w:t>
      </w:r>
      <w:r>
        <w:tab/>
        <w:t>a member of the parliamentary committee;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parliamentary committee in the proceedings; and</w:t>
      </w:r>
    </w:p>
    <w:p>
      <w:pPr>
        <w:pStyle w:val="Defpara"/>
      </w:pPr>
      <w:r>
        <w:tab/>
        <w:t>(e)</w:t>
      </w:r>
      <w:r>
        <w:tab/>
        <w:t>any other person assisting the parliamentary committee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parliamentary committee may disclose to each party to the proceedings —</w:t>
      </w:r>
    </w:p>
    <w:p>
      <w:pPr>
        <w:pStyle w:val="Indenta"/>
      </w:pPr>
      <w:r>
        <w:tab/>
        <w:t>(a)</w:t>
      </w:r>
      <w:r>
        <w:tab/>
        <w:t>that a non-disclosure certificate for a person who may be required to give evidence in the proceedings has been given; and</w:t>
      </w:r>
    </w:p>
    <w:p>
      <w:pPr>
        <w:pStyle w:val="Indenta"/>
      </w:pPr>
      <w:r>
        <w:tab/>
        <w:t>(b)</w:t>
      </w:r>
      <w:r>
        <w:tab/>
        <w:t>what the certificate states.</w:t>
      </w:r>
    </w:p>
    <w:p>
      <w:pPr>
        <w:pStyle w:val="Subsection"/>
      </w:pPr>
      <w:r>
        <w:tab/>
        <w:t>(5)</w:t>
      </w:r>
      <w:r>
        <w:tab/>
        <w:t>If the parliamentary committee makes a disclosure about the non-disclosure certificate under subsection (4), the committee must also inform the parties of the effect of the certificate.</w:t>
      </w:r>
    </w:p>
    <w:p>
      <w:pPr>
        <w:pStyle w:val="Subsection"/>
      </w:pPr>
      <w:r>
        <w:tab/>
        <w:t>(6)</w:t>
      </w:r>
      <w:r>
        <w:tab/>
        <w:t>This section applies despite any other Act, but subject to section 34K.</w:t>
      </w:r>
    </w:p>
    <w:p>
      <w:pPr>
        <w:pStyle w:val="Footnotesection"/>
      </w:pPr>
      <w:r>
        <w:tab/>
        <w:t>[Section 34J inserted by No. 55 of 2012 s. 133.]</w:t>
      </w:r>
    </w:p>
    <w:p>
      <w:pPr>
        <w:pStyle w:val="Heading5"/>
      </w:pPr>
      <w:bookmarkStart w:id="59" w:name="_Toc377039086"/>
      <w:r>
        <w:rPr>
          <w:rStyle w:val="CharSectno"/>
        </w:rPr>
        <w:t>34K</w:t>
      </w:r>
      <w:r>
        <w:t>.</w:t>
      </w:r>
      <w:r>
        <w:tab/>
        <w:t>Disclosure of protected person’s identity despite certificate</w:t>
      </w:r>
      <w:bookmarkEnd w:id="59"/>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The parliamentary committee may seek the authorisation of the relevant House —</w:t>
      </w:r>
    </w:p>
    <w:p>
      <w:pPr>
        <w:pStyle w:val="Indenta"/>
      </w:pPr>
      <w:r>
        <w:tab/>
        <w:t>(a)</w:t>
      </w:r>
      <w:r>
        <w:tab/>
        <w:t>to ask a question of a witness, including the protected person, that may lead to the disclosure of the protected person’s protected identity or protected address or both; or</w:t>
      </w:r>
    </w:p>
    <w:p>
      <w:pPr>
        <w:pStyle w:val="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Indenta"/>
      </w:pPr>
      <w:r>
        <w:tab/>
        <w:t>(c)</w:t>
      </w:r>
      <w:r>
        <w:tab/>
        <w:t>for a person involved in the proceedings to make a statement that discloses, or may lead to the disclosure of, the protected person’s protected identity or protected address or both.</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Footnotesection"/>
      </w:pPr>
      <w:r>
        <w:tab/>
        <w:t>[Section 34K inserted by No. 55 of 2012 s. 133.]</w:t>
      </w:r>
    </w:p>
    <w:p>
      <w:pPr>
        <w:pStyle w:val="Heading5"/>
      </w:pPr>
      <w:bookmarkStart w:id="60" w:name="_Toc377039087"/>
      <w:r>
        <w:rPr>
          <w:rStyle w:val="CharSectno"/>
        </w:rPr>
        <w:t>34L</w:t>
      </w:r>
      <w:r>
        <w:t>.</w:t>
      </w:r>
      <w:r>
        <w:tab/>
        <w:t>Restrictions on content of reports to Parliament</w:t>
      </w:r>
      <w:bookmarkEnd w:id="60"/>
    </w:p>
    <w:p>
      <w:pPr>
        <w:pStyle w:val="Subsection"/>
      </w:pPr>
      <w:r>
        <w:tab/>
      </w:r>
      <w:r>
        <w:tab/>
        <w:t>If a non-disclosure certificate for a protected person is given under section 34A(3)(b) in relation to parliamentary proceedings, the parliamentary committee must not disclose in a report to a House of Parliament —</w:t>
      </w:r>
    </w:p>
    <w:p>
      <w:pPr>
        <w:pStyle w:val="Indenta"/>
      </w:pPr>
      <w:r>
        <w:tab/>
        <w:t>(a)</w:t>
      </w:r>
      <w:r>
        <w:tab/>
        <w:t>the protected person’s protected identity or protected address; or</w:t>
      </w:r>
    </w:p>
    <w:p>
      <w:pPr>
        <w:pStyle w:val="Indenta"/>
      </w:pPr>
      <w:r>
        <w:tab/>
        <w:t>(b)</w:t>
      </w:r>
      <w:r>
        <w:tab/>
        <w:t>information that may lead to the disclosure of the protected person’s protected identity or protected address.</w:t>
      </w:r>
    </w:p>
    <w:p>
      <w:pPr>
        <w:pStyle w:val="Footnotesection"/>
      </w:pPr>
      <w:r>
        <w:tab/>
        <w:t>[Section 34L inserted by No. 55 of 2012 s. 133.]</w:t>
      </w:r>
    </w:p>
    <w:p>
      <w:pPr>
        <w:pStyle w:val="Heading3"/>
      </w:pPr>
      <w:bookmarkStart w:id="61" w:name="_Toc377039088"/>
      <w:r>
        <w:rPr>
          <w:rStyle w:val="CharDivNo"/>
        </w:rPr>
        <w:t>Division 3</w:t>
      </w:r>
      <w:r>
        <w:t> — </w:t>
      </w:r>
      <w:r>
        <w:rPr>
          <w:rStyle w:val="CharDivText"/>
        </w:rPr>
        <w:t>Miscellaneous</w:t>
      </w:r>
      <w:bookmarkEnd w:id="61"/>
    </w:p>
    <w:p>
      <w:pPr>
        <w:pStyle w:val="Footnoteheading"/>
      </w:pPr>
      <w:r>
        <w:tab/>
        <w:t>[Heading inserted by No. 55 of 2012 s. 134.]</w:t>
      </w:r>
    </w:p>
    <w:p>
      <w:pPr>
        <w:pStyle w:val="Heading5"/>
        <w:rPr>
          <w:snapToGrid w:val="0"/>
        </w:rPr>
      </w:pPr>
      <w:bookmarkStart w:id="62" w:name="_Toc377039089"/>
      <w:r>
        <w:rPr>
          <w:rStyle w:val="CharSectno"/>
        </w:rPr>
        <w:t>34</w:t>
      </w:r>
      <w:r>
        <w:rPr>
          <w:snapToGrid w:val="0"/>
        </w:rPr>
        <w:t>.</w:t>
      </w:r>
      <w:r>
        <w:rPr>
          <w:snapToGrid w:val="0"/>
        </w:rPr>
        <w:tab/>
        <w:t xml:space="preserve">Disclosure by Auditor General, Parliamentary Commissioner or </w:t>
      </w:r>
      <w:r>
        <w:t>Corruption and Crime Commission</w:t>
      </w:r>
      <w:bookmarkEnd w:id="62"/>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r>
        <w:tab/>
        <w:t>[Section 34 amended by No. 48 of 2003 s. 62 and Sch. 3</w:t>
      </w:r>
      <w:r>
        <w:rPr>
          <w:vertAlign w:val="superscript"/>
        </w:rPr>
        <w:t> 3</w:t>
      </w:r>
      <w:r>
        <w:t xml:space="preserve"> cl. 11; No. 77 of 2006 s. 17.]</w:t>
      </w:r>
    </w:p>
    <w:p>
      <w:pPr>
        <w:pStyle w:val="Heading2"/>
      </w:pPr>
      <w:bookmarkStart w:id="63" w:name="_Toc377039090"/>
      <w:r>
        <w:rPr>
          <w:rStyle w:val="CharPartNo"/>
        </w:rPr>
        <w:t>Part 4</w:t>
      </w:r>
      <w:r>
        <w:rPr>
          <w:rStyle w:val="CharDivNo"/>
        </w:rPr>
        <w:t> </w:t>
      </w:r>
      <w:r>
        <w:t>—</w:t>
      </w:r>
      <w:r>
        <w:rPr>
          <w:rStyle w:val="CharDivText"/>
        </w:rPr>
        <w:t> </w:t>
      </w:r>
      <w:r>
        <w:rPr>
          <w:rStyle w:val="CharPartText"/>
        </w:rPr>
        <w:t>Miscellaneous</w:t>
      </w:r>
      <w:bookmarkEnd w:id="63"/>
    </w:p>
    <w:p>
      <w:pPr>
        <w:pStyle w:val="Heading5"/>
        <w:spacing w:before="260"/>
        <w:rPr>
          <w:snapToGrid w:val="0"/>
        </w:rPr>
      </w:pPr>
      <w:bookmarkStart w:id="64" w:name="_Toc377039091"/>
      <w:r>
        <w:rPr>
          <w:rStyle w:val="CharSectno"/>
        </w:rPr>
        <w:t>35</w:t>
      </w:r>
      <w:r>
        <w:rPr>
          <w:snapToGrid w:val="0"/>
        </w:rPr>
        <w:t>.</w:t>
      </w:r>
      <w:r>
        <w:rPr>
          <w:snapToGrid w:val="0"/>
        </w:rPr>
        <w:tab/>
        <w:t>Offences</w:t>
      </w:r>
      <w:bookmarkEnd w:id="64"/>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65" w:name="_Toc377039092"/>
      <w:r>
        <w:rPr>
          <w:rStyle w:val="CharSectno"/>
        </w:rPr>
        <w:t>36</w:t>
      </w:r>
      <w:r>
        <w:rPr>
          <w:snapToGrid w:val="0"/>
        </w:rPr>
        <w:t>.</w:t>
      </w:r>
      <w:r>
        <w:rPr>
          <w:snapToGrid w:val="0"/>
        </w:rPr>
        <w:tab/>
        <w:t>Delegation</w:t>
      </w:r>
      <w:bookmarkEnd w:id="65"/>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66" w:name="_Toc377039093"/>
      <w:r>
        <w:rPr>
          <w:rStyle w:val="CharSectno"/>
        </w:rPr>
        <w:t>37</w:t>
      </w:r>
      <w:r>
        <w:rPr>
          <w:snapToGrid w:val="0"/>
        </w:rPr>
        <w:t>.</w:t>
      </w:r>
      <w:r>
        <w:rPr>
          <w:snapToGrid w:val="0"/>
        </w:rPr>
        <w:tab/>
        <w:t>Reporting on the SWPP</w:t>
      </w:r>
      <w:bookmarkEnd w:id="66"/>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by No. 77 of 2006 s. 17.]</w:t>
      </w:r>
    </w:p>
    <w:p>
      <w:pPr>
        <w:pStyle w:val="Heading5"/>
        <w:rPr>
          <w:snapToGrid w:val="0"/>
        </w:rPr>
      </w:pPr>
      <w:bookmarkStart w:id="67" w:name="_Toc377039094"/>
      <w:r>
        <w:rPr>
          <w:rStyle w:val="CharSectno"/>
        </w:rPr>
        <w:t>38</w:t>
      </w:r>
      <w:r>
        <w:rPr>
          <w:snapToGrid w:val="0"/>
        </w:rPr>
        <w:t>.</w:t>
      </w:r>
      <w:r>
        <w:rPr>
          <w:snapToGrid w:val="0"/>
        </w:rPr>
        <w:tab/>
        <w:t>Protection from liability for wrongdoing</w:t>
      </w:r>
      <w:bookmarkEnd w:id="67"/>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68" w:name="_Toc377039095"/>
      <w:r>
        <w:rPr>
          <w:rStyle w:val="CharSectno"/>
        </w:rPr>
        <w:t>39</w:t>
      </w:r>
      <w:r>
        <w:rPr>
          <w:snapToGrid w:val="0"/>
        </w:rPr>
        <w:t>.</w:t>
      </w:r>
      <w:r>
        <w:rPr>
          <w:snapToGrid w:val="0"/>
        </w:rPr>
        <w:tab/>
        <w:t>Regulations</w:t>
      </w:r>
      <w:bookmarkEnd w:id="6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69" w:name="_Toc377039096"/>
      <w:r>
        <w:rPr>
          <w:rStyle w:val="CharPartNo"/>
        </w:rPr>
        <w:t>Part 5</w:t>
      </w:r>
      <w:r>
        <w:rPr>
          <w:rStyle w:val="CharDivNo"/>
        </w:rPr>
        <w:t> </w:t>
      </w:r>
      <w:r>
        <w:t>—</w:t>
      </w:r>
      <w:r>
        <w:rPr>
          <w:rStyle w:val="CharDivText"/>
        </w:rPr>
        <w:t> </w:t>
      </w:r>
      <w:r>
        <w:rPr>
          <w:rStyle w:val="CharPartText"/>
        </w:rPr>
        <w:t>Transitional and savings provisions</w:t>
      </w:r>
      <w:bookmarkEnd w:id="69"/>
    </w:p>
    <w:p>
      <w:pPr>
        <w:pStyle w:val="Footnoteheading"/>
      </w:pPr>
      <w:r>
        <w:tab/>
        <w:t>[Heading inserted by No. 55 of 2012 s. 135.]</w:t>
      </w:r>
    </w:p>
    <w:p>
      <w:pPr>
        <w:pStyle w:val="Heading5"/>
        <w:spacing w:before="180"/>
        <w:rPr>
          <w:snapToGrid w:val="0"/>
        </w:rPr>
      </w:pPr>
      <w:bookmarkStart w:id="70" w:name="_Toc377039097"/>
      <w:r>
        <w:rPr>
          <w:rStyle w:val="CharSectno"/>
        </w:rPr>
        <w:t>40</w:t>
      </w:r>
      <w:r>
        <w:rPr>
          <w:snapToGrid w:val="0"/>
        </w:rPr>
        <w:t>.</w:t>
      </w:r>
      <w:r>
        <w:rPr>
          <w:snapToGrid w:val="0"/>
        </w:rPr>
        <w:tab/>
        <w:t>Transitional</w:t>
      </w:r>
      <w:bookmarkEnd w:id="70"/>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Heading5"/>
      </w:pPr>
      <w:bookmarkStart w:id="71" w:name="_Toc377039098"/>
      <w:r>
        <w:rPr>
          <w:rStyle w:val="CharSectno"/>
        </w:rPr>
        <w:t>41</w:t>
      </w:r>
      <w:r>
        <w:t>.</w:t>
      </w:r>
      <w:r>
        <w:tab/>
        <w:t xml:space="preserve">Savings provision relating to </w:t>
      </w:r>
      <w:r>
        <w:rPr>
          <w:i/>
        </w:rPr>
        <w:t>Criminal Investigation (Covert Powers) Act 2012</w:t>
      </w:r>
      <w:bookmarkEnd w:id="7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Defstart"/>
      </w:pPr>
      <w:r>
        <w:tab/>
      </w:r>
      <w:r>
        <w:rPr>
          <w:rStyle w:val="CharDefText"/>
        </w:rPr>
        <w:t>permission</w:t>
      </w:r>
      <w:r>
        <w:t xml:space="preserve"> means a permission under section 33(1)(b) as in force immediately before the commencement day.</w:t>
      </w:r>
    </w:p>
    <w:p>
      <w:pPr>
        <w:pStyle w:val="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Indenta"/>
      </w:pPr>
      <w:r>
        <w:tab/>
        <w:t>(a)</w:t>
      </w:r>
      <w:r>
        <w:tab/>
        <w:t>for the person; and</w:t>
      </w:r>
    </w:p>
    <w:p>
      <w:pPr>
        <w:pStyle w:val="Indenta"/>
      </w:pPr>
      <w:r>
        <w:tab/>
        <w:t>(b)</w:t>
      </w:r>
      <w:r>
        <w:tab/>
        <w:t>in relation to the proceedings,</w:t>
      </w:r>
    </w:p>
    <w:p>
      <w:pPr>
        <w:pStyle w:val="Subsection"/>
      </w:pPr>
      <w:r>
        <w:tab/>
      </w:r>
      <w:r>
        <w:tab/>
        <w:t>and Part 3 Division 3 applies, with any necessary modifications, to that certificate.</w:t>
      </w:r>
    </w:p>
    <w:p>
      <w:pPr>
        <w:pStyle w:val="Footnotesection"/>
      </w:pPr>
      <w:r>
        <w:tab/>
        <w:t>[Section 41 inserted by No. 55 of 2012 s. 136.]</w:t>
      </w:r>
    </w:p>
    <w:p>
      <w:pPr>
        <w:pStyle w:val="Ednotesection"/>
        <w:spacing w:before="400"/>
        <w:ind w:left="890" w:hanging="890"/>
      </w:pPr>
      <w:r>
        <w:t>[Schedule 1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72" w:name="_Toc377039099"/>
      <w:r>
        <w:t>Notes</w:t>
      </w:r>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t>
      </w:r>
      <w:smartTag w:uri="urn:schemas-microsoft-com:office:smarttags" w:element="State">
        <w:smartTag w:uri="urn:schemas-microsoft-com:office:smarttags" w:element="place">
          <w:r>
            <w:rPr>
              <w:i/>
              <w:noProof/>
              <w:snapToGrid w:val="0"/>
            </w:rPr>
            <w:t>Western Australia</w:t>
          </w:r>
        </w:smartTag>
      </w:smartTag>
      <w:r>
        <w:rPr>
          <w:i/>
          <w:noProof/>
          <w:snapToGrid w:val="0"/>
        </w:rPr>
        <w:t>) Act 1996</w:t>
      </w:r>
      <w:r>
        <w:rPr>
          <w:snapToGrid w:val="0"/>
        </w:rPr>
        <w:t xml:space="preserve"> and includes the amendments made by the other written laws referred to in the following table.  The table also contains information about any reprint.</w:t>
      </w:r>
    </w:p>
    <w:p>
      <w:pPr>
        <w:pStyle w:val="nHeading3"/>
      </w:pPr>
      <w:bookmarkStart w:id="73" w:name="_Toc377039100"/>
      <w:r>
        <w:t>Compilation table</w:t>
      </w:r>
      <w:bookmarkEnd w:id="7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Borders>
              <w:top w:val="nil"/>
              <w:bottom w:val="nil"/>
            </w:tcBorders>
          </w:tcPr>
          <w:p>
            <w:pPr>
              <w:pStyle w:val="nTable"/>
              <w:spacing w:after="40"/>
              <w:rPr>
                <w:sz w:val="19"/>
              </w:rPr>
            </w:pPr>
            <w:r>
              <w:rPr>
                <w:i/>
                <w:sz w:val="19"/>
              </w:rPr>
              <w:t>Witness Protection (</w:t>
            </w:r>
            <w:smartTag w:uri="urn:schemas-microsoft-com:office:smarttags" w:element="State">
              <w:smartTag w:uri="urn:schemas-microsoft-com:office:smarttags" w:element="place">
                <w:r>
                  <w:rPr>
                    <w:i/>
                    <w:sz w:val="19"/>
                  </w:rPr>
                  <w:t>Western Australia</w:t>
                </w:r>
              </w:smartTag>
            </w:smartTag>
            <w:r>
              <w:rPr>
                <w:i/>
                <w:sz w:val="19"/>
              </w:rPr>
              <w:t>) Act 1996</w:t>
            </w:r>
          </w:p>
        </w:tc>
        <w:tc>
          <w:tcPr>
            <w:tcW w:w="1135" w:type="dxa"/>
            <w:tcBorders>
              <w:top w:val="nil"/>
              <w:bottom w:val="nil"/>
            </w:tcBorders>
          </w:tcPr>
          <w:p>
            <w:pPr>
              <w:pStyle w:val="nTable"/>
              <w:spacing w:after="40"/>
              <w:rPr>
                <w:sz w:val="19"/>
              </w:rPr>
            </w:pPr>
            <w:r>
              <w:rPr>
                <w:sz w:val="19"/>
              </w:rPr>
              <w:t>11 of 1996</w:t>
            </w:r>
          </w:p>
        </w:tc>
        <w:tc>
          <w:tcPr>
            <w:tcW w:w="1135"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s. 1 and 2: 28 Jun 1996;</w:t>
            </w:r>
            <w:r>
              <w:rPr>
                <w:sz w:val="19"/>
              </w:rPr>
              <w:br/>
              <w:t xml:space="preserve">Act other than s. 1 and 2: 7 Dec 1996 (see s. 2 and </w:t>
            </w:r>
            <w:r>
              <w:rPr>
                <w:i/>
                <w:sz w:val="19"/>
              </w:rPr>
              <w:t>Gazette</w:t>
            </w:r>
            <w:r>
              <w:rPr>
                <w:sz w:val="19"/>
              </w:rPr>
              <w:t xml:space="preserve"> 6 Dec 1996 p. 6699)</w:t>
            </w:r>
          </w:p>
        </w:tc>
      </w:tr>
      <w:tr>
        <w:tc>
          <w:tcPr>
            <w:tcW w:w="2270" w:type="dxa"/>
            <w:tcBorders>
              <w:top w:val="nil"/>
              <w:bottom w:val="nil"/>
            </w:tcBorders>
          </w:tcPr>
          <w:p>
            <w:pPr>
              <w:pStyle w:val="nTable"/>
              <w:spacing w:after="40"/>
              <w:rPr>
                <w:sz w:val="19"/>
              </w:rPr>
            </w:pPr>
            <w:r>
              <w:rPr>
                <w:i/>
                <w:sz w:val="19"/>
              </w:rPr>
              <w:t>Statutes (Repeals and Minor Amendments) Act 1997</w:t>
            </w:r>
            <w:r>
              <w:rPr>
                <w:sz w:val="19"/>
              </w:rPr>
              <w:t xml:space="preserve"> s. 133</w:t>
            </w:r>
          </w:p>
        </w:tc>
        <w:tc>
          <w:tcPr>
            <w:tcW w:w="1135" w:type="dxa"/>
            <w:tcBorders>
              <w:top w:val="nil"/>
              <w:bottom w:val="nil"/>
            </w:tcBorders>
          </w:tcPr>
          <w:p>
            <w:pPr>
              <w:pStyle w:val="nTable"/>
              <w:spacing w:after="40"/>
              <w:rPr>
                <w:sz w:val="19"/>
              </w:rPr>
            </w:pPr>
            <w:r>
              <w:rPr>
                <w:sz w:val="19"/>
              </w:rPr>
              <w:t>57 of 1997</w:t>
            </w:r>
          </w:p>
        </w:tc>
        <w:tc>
          <w:tcPr>
            <w:tcW w:w="1135" w:type="dxa"/>
            <w:tcBorders>
              <w:top w:val="nil"/>
              <w:bottom w:val="nil"/>
            </w:tcBorders>
          </w:tcPr>
          <w:p>
            <w:pPr>
              <w:pStyle w:val="nTable"/>
              <w:spacing w:after="40"/>
              <w:rPr>
                <w:sz w:val="19"/>
              </w:rPr>
            </w:pPr>
            <w:r>
              <w:rPr>
                <w:sz w:val="19"/>
              </w:rPr>
              <w:t>15 Dec 1997</w:t>
            </w:r>
          </w:p>
        </w:tc>
        <w:tc>
          <w:tcPr>
            <w:tcW w:w="2552" w:type="dxa"/>
            <w:tcBorders>
              <w:top w:val="nil"/>
              <w:bottom w:val="nil"/>
            </w:tcBorders>
          </w:tcPr>
          <w:p>
            <w:pPr>
              <w:pStyle w:val="nTable"/>
              <w:spacing w:after="40"/>
              <w:rPr>
                <w:sz w:val="19"/>
              </w:rPr>
            </w:pPr>
            <w:r>
              <w:rPr>
                <w:sz w:val="19"/>
              </w:rPr>
              <w:t>28 Jun 1996 (see s. 2(2))</w:t>
            </w:r>
          </w:p>
        </w:tc>
      </w:tr>
      <w:tr>
        <w:tc>
          <w:tcPr>
            <w:tcW w:w="2270" w:type="dxa"/>
            <w:tcBorders>
              <w:top w:val="nil"/>
              <w:bottom w:val="nil"/>
            </w:tcBorders>
          </w:tcPr>
          <w:p>
            <w:pPr>
              <w:pStyle w:val="nTable"/>
              <w:spacing w:after="40"/>
              <w:rPr>
                <w:sz w:val="19"/>
              </w:rPr>
            </w:pPr>
            <w:r>
              <w:rPr>
                <w:i/>
                <w:sz w:val="19"/>
              </w:rPr>
              <w:t xml:space="preserve">Acts Repeal and Amendment (Births, Deaths and Marriages Registration) Act 1998 </w:t>
            </w:r>
            <w:r>
              <w:rPr>
                <w:sz w:val="19"/>
              </w:rPr>
              <w:t>s. 18</w:t>
            </w:r>
          </w:p>
        </w:tc>
        <w:tc>
          <w:tcPr>
            <w:tcW w:w="1135" w:type="dxa"/>
            <w:tcBorders>
              <w:top w:val="nil"/>
              <w:bottom w:val="nil"/>
            </w:tcBorders>
          </w:tcPr>
          <w:p>
            <w:pPr>
              <w:pStyle w:val="nTable"/>
              <w:spacing w:after="40"/>
              <w:rPr>
                <w:sz w:val="19"/>
              </w:rPr>
            </w:pPr>
            <w:r>
              <w:rPr>
                <w:sz w:val="19"/>
              </w:rPr>
              <w:t>40 of 1998</w:t>
            </w:r>
          </w:p>
        </w:tc>
        <w:tc>
          <w:tcPr>
            <w:tcW w:w="1135" w:type="dxa"/>
            <w:tcBorders>
              <w:top w:val="nil"/>
              <w:bottom w:val="nil"/>
            </w:tcBorders>
          </w:tcPr>
          <w:p>
            <w:pPr>
              <w:pStyle w:val="nTable"/>
              <w:spacing w:after="40"/>
              <w:rPr>
                <w:sz w:val="19"/>
              </w:rPr>
            </w:pPr>
            <w:r>
              <w:rPr>
                <w:sz w:val="19"/>
              </w:rPr>
              <w:t>30 Oct 1998</w:t>
            </w:r>
          </w:p>
        </w:tc>
        <w:tc>
          <w:tcPr>
            <w:tcW w:w="2552" w:type="dxa"/>
            <w:tcBorders>
              <w:top w:val="nil"/>
              <w:bottom w:val="nil"/>
            </w:tcBorders>
          </w:tcPr>
          <w:p>
            <w:pPr>
              <w:pStyle w:val="nTable"/>
              <w:spacing w:after="40"/>
              <w:rPr>
                <w:sz w:val="19"/>
              </w:rPr>
            </w:pPr>
            <w:r>
              <w:rPr>
                <w:sz w:val="19"/>
              </w:rPr>
              <w:t xml:space="preserve">14 Apr 1999 (see s. 2 and </w:t>
            </w:r>
            <w:r>
              <w:rPr>
                <w:i/>
                <w:sz w:val="19"/>
              </w:rPr>
              <w:t>Gazette</w:t>
            </w:r>
            <w:r>
              <w:rPr>
                <w:sz w:val="19"/>
              </w:rPr>
              <w:t xml:space="preserve"> 9 Apr 1999 p. 1433)</w:t>
            </w:r>
          </w:p>
        </w:tc>
      </w:tr>
      <w:tr>
        <w:tc>
          <w:tcPr>
            <w:tcW w:w="2270" w:type="dxa"/>
            <w:tcBorders>
              <w:top w:val="nil"/>
              <w:bottom w:val="nil"/>
            </w:tcBorders>
          </w:tcPr>
          <w:p>
            <w:pPr>
              <w:pStyle w:val="nTable"/>
              <w:spacing w:after="40"/>
              <w:rPr>
                <w:sz w:val="19"/>
              </w:rPr>
            </w:pPr>
            <w:r>
              <w:rPr>
                <w:i/>
                <w:sz w:val="19"/>
              </w:rPr>
              <w:t>Corruption and Crime Commission Act 2003</w:t>
            </w:r>
            <w:r>
              <w:rPr>
                <w:sz w:val="19"/>
              </w:rPr>
              <w:t xml:space="preserve"> s. 62 </w:t>
            </w:r>
            <w:r>
              <w:t>and Sch. 3</w:t>
            </w:r>
            <w:r>
              <w:rPr>
                <w:vertAlign w:val="superscript"/>
              </w:rPr>
              <w:t> 3</w:t>
            </w:r>
            <w:r>
              <w:t xml:space="preserve"> cl. 11</w:t>
            </w:r>
          </w:p>
        </w:tc>
        <w:tc>
          <w:tcPr>
            <w:tcW w:w="1135" w:type="dxa"/>
            <w:tcBorders>
              <w:top w:val="nil"/>
              <w:bottom w:val="nil"/>
            </w:tcBorders>
          </w:tcPr>
          <w:p>
            <w:pPr>
              <w:pStyle w:val="nTable"/>
              <w:spacing w:after="40"/>
              <w:rPr>
                <w:sz w:val="19"/>
              </w:rPr>
            </w:pPr>
            <w:r>
              <w:rPr>
                <w:sz w:val="19"/>
              </w:rPr>
              <w:t>48 of 2003</w:t>
            </w:r>
          </w:p>
        </w:tc>
        <w:tc>
          <w:tcPr>
            <w:tcW w:w="1135" w:type="dxa"/>
            <w:tcBorders>
              <w:top w:val="nil"/>
              <w:bottom w:val="nil"/>
            </w:tcBorders>
          </w:tcPr>
          <w:p>
            <w:pPr>
              <w:pStyle w:val="nTable"/>
              <w:spacing w:after="40"/>
              <w:rPr>
                <w:sz w:val="19"/>
              </w:rPr>
            </w:pPr>
            <w:r>
              <w:rPr>
                <w:sz w:val="19"/>
              </w:rPr>
              <w:t>3 Jul 2003</w:t>
            </w:r>
          </w:p>
        </w:tc>
        <w:tc>
          <w:tcPr>
            <w:tcW w:w="255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92" w:type="dxa"/>
            <w:gridSpan w:val="4"/>
            <w:tcBorders>
              <w:top w:val="nil"/>
              <w:bottom w:val="nil"/>
            </w:tcBorders>
          </w:tcPr>
          <w:p>
            <w:pPr>
              <w:pStyle w:val="nTable"/>
              <w:spacing w:after="40"/>
              <w:rPr>
                <w:sz w:val="19"/>
              </w:rPr>
            </w:pPr>
            <w:r>
              <w:rPr>
                <w:b/>
                <w:sz w:val="19"/>
              </w:rPr>
              <w:t xml:space="preserve">Reprint 1: The </w:t>
            </w:r>
            <w:r>
              <w:rPr>
                <w:b/>
                <w:i/>
                <w:sz w:val="19"/>
              </w:rPr>
              <w:t>Witness Protection (</w:t>
            </w:r>
            <w:smartTag w:uri="urn:schemas-microsoft-com:office:smarttags" w:element="State">
              <w:smartTag w:uri="urn:schemas-microsoft-com:office:smarttags" w:element="place">
                <w:r>
                  <w:rPr>
                    <w:b/>
                    <w:i/>
                    <w:sz w:val="19"/>
                  </w:rPr>
                  <w:t>Western Australia</w:t>
                </w:r>
              </w:smartTag>
            </w:smartTag>
            <w:r>
              <w:rPr>
                <w:b/>
                <w:i/>
                <w:sz w:val="19"/>
              </w:rPr>
              <w:t>) Act 1996</w:t>
            </w:r>
            <w:r>
              <w:rPr>
                <w:b/>
                <w:sz w:val="19"/>
              </w:rPr>
              <w:t xml:space="preserve"> as at 10 Oct 2003</w:t>
            </w:r>
            <w:r>
              <w:rPr>
                <w:sz w:val="19"/>
              </w:rPr>
              <w:t xml:space="preserve"> (includes amendments listed above except those in the </w:t>
            </w:r>
            <w:r>
              <w:rPr>
                <w:i/>
                <w:sz w:val="19"/>
              </w:rPr>
              <w:t>Corruption and Crime Commission Act 2003</w:t>
            </w:r>
            <w:r>
              <w:rPr>
                <w:sz w:val="19"/>
              </w:rPr>
              <w:t>)</w:t>
            </w:r>
          </w:p>
        </w:tc>
      </w:tr>
      <w:tr>
        <w:tc>
          <w:tcPr>
            <w:tcW w:w="2270" w:type="dxa"/>
            <w:tcBorders>
              <w:top w:val="nil"/>
              <w:bottom w:val="nil"/>
            </w:tcBorders>
          </w:tcPr>
          <w:p>
            <w:pPr>
              <w:pStyle w:val="nTable"/>
              <w:spacing w:after="40"/>
              <w:rPr>
                <w:sz w:val="19"/>
              </w:rPr>
            </w:pPr>
            <w:r>
              <w:rPr>
                <w:i/>
                <w:sz w:val="19"/>
              </w:rPr>
              <w:t>Criminal Code Amendment Act 2004</w:t>
            </w:r>
            <w:r>
              <w:rPr>
                <w:sz w:val="19"/>
              </w:rPr>
              <w:t xml:space="preserve"> s. 58</w:t>
            </w:r>
          </w:p>
        </w:tc>
        <w:tc>
          <w:tcPr>
            <w:tcW w:w="1135" w:type="dxa"/>
            <w:tcBorders>
              <w:top w:val="nil"/>
              <w:bottom w:val="nil"/>
            </w:tcBorders>
          </w:tcPr>
          <w:p>
            <w:pPr>
              <w:pStyle w:val="nTable"/>
              <w:spacing w:after="40"/>
              <w:rPr>
                <w:sz w:val="19"/>
              </w:rPr>
            </w:pPr>
            <w:r>
              <w:rPr>
                <w:sz w:val="19"/>
              </w:rPr>
              <w:t>4 of 2004</w:t>
            </w:r>
          </w:p>
        </w:tc>
        <w:tc>
          <w:tcPr>
            <w:tcW w:w="1135"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c>
          <w:tcPr>
            <w:tcW w:w="2270" w:type="dxa"/>
            <w:tcBorders>
              <w:top w:val="nil"/>
              <w:bottom w:val="nil"/>
            </w:tcBorders>
          </w:tcPr>
          <w:p>
            <w:pPr>
              <w:pStyle w:val="nTable"/>
              <w:spacing w:after="40"/>
              <w:rPr>
                <w:snapToGrid w:val="0"/>
                <w:sz w:val="19"/>
                <w:vertAlign w:val="superscript"/>
              </w:rPr>
            </w:pPr>
            <w:r>
              <w:rPr>
                <w:i/>
                <w:snapToGrid w:val="0"/>
                <w:sz w:val="19"/>
              </w:rPr>
              <w:t>Australian Crime Commission (</w:t>
            </w:r>
            <w:smartTag w:uri="urn:schemas-microsoft-com:office:smarttags" w:element="State">
              <w:smartTag w:uri="urn:schemas-microsoft-com:office:smarttags" w:element="place">
                <w:r>
                  <w:rPr>
                    <w:i/>
                    <w:snapToGrid w:val="0"/>
                    <w:sz w:val="19"/>
                  </w:rPr>
                  <w:t>Western Australia</w:t>
                </w:r>
              </w:smartTag>
            </w:smartTag>
            <w:r>
              <w:rPr>
                <w:i/>
                <w:snapToGrid w:val="0"/>
                <w:sz w:val="19"/>
              </w:rPr>
              <w:t xml:space="preserve">) Act 2004 </w:t>
            </w:r>
            <w:r>
              <w:rPr>
                <w:snapToGrid w:val="0"/>
                <w:sz w:val="19"/>
              </w:rPr>
              <w:t>s. 75</w:t>
            </w:r>
          </w:p>
        </w:tc>
        <w:tc>
          <w:tcPr>
            <w:tcW w:w="1135" w:type="dxa"/>
            <w:tcBorders>
              <w:top w:val="nil"/>
              <w:bottom w:val="nil"/>
            </w:tcBorders>
          </w:tcPr>
          <w:p>
            <w:pPr>
              <w:pStyle w:val="nTable"/>
              <w:spacing w:after="40"/>
              <w:rPr>
                <w:snapToGrid w:val="0"/>
                <w:sz w:val="19"/>
              </w:rPr>
            </w:pPr>
            <w:r>
              <w:rPr>
                <w:snapToGrid w:val="0"/>
                <w:sz w:val="19"/>
              </w:rPr>
              <w:t>74 of 2004</w:t>
            </w:r>
          </w:p>
        </w:tc>
        <w:tc>
          <w:tcPr>
            <w:tcW w:w="1135" w:type="dxa"/>
            <w:tcBorders>
              <w:top w:val="nil"/>
              <w:bottom w:val="nil"/>
            </w:tcBorders>
          </w:tcPr>
          <w:p>
            <w:pPr>
              <w:pStyle w:val="nTable"/>
              <w:spacing w:after="40"/>
              <w:rPr>
                <w:snapToGrid w:val="0"/>
                <w:sz w:val="19"/>
              </w:rPr>
            </w:pPr>
            <w:r>
              <w:rPr>
                <w:snapToGrid w:val="0"/>
                <w:sz w:val="19"/>
              </w:rPr>
              <w:t>8 Dec 2004</w:t>
            </w:r>
          </w:p>
        </w:tc>
        <w:tc>
          <w:tcPr>
            <w:tcW w:w="2552" w:type="dxa"/>
            <w:tcBorders>
              <w:top w:val="nil"/>
              <w:bottom w:val="nil"/>
            </w:tcBorders>
          </w:tcPr>
          <w:p>
            <w:pPr>
              <w:pStyle w:val="nTable"/>
              <w:spacing w:after="40"/>
              <w:rPr>
                <w:snapToGrid w:val="0"/>
                <w:sz w:val="19"/>
              </w:rPr>
            </w:pPr>
            <w:r>
              <w:rPr>
                <w:snapToGrid w:val="0"/>
                <w:sz w:val="19"/>
              </w:rPr>
              <w:t xml:space="preserve">1 Feb 2005 (see s. 2 and </w:t>
            </w:r>
            <w:r>
              <w:rPr>
                <w:i/>
                <w:snapToGrid w:val="0"/>
                <w:sz w:val="19"/>
              </w:rPr>
              <w:t xml:space="preserve">Gazette </w:t>
            </w:r>
            <w:r>
              <w:rPr>
                <w:snapToGrid w:val="0"/>
                <w:sz w:val="19"/>
              </w:rPr>
              <w:t>31 Dec 2004 p. 7130)</w:t>
            </w:r>
          </w:p>
        </w:tc>
      </w:tr>
      <w:tr>
        <w:tc>
          <w:tcPr>
            <w:tcW w:w="2270" w:type="dxa"/>
            <w:tcBorders>
              <w:top w:val="nil"/>
              <w:bottom w:val="nil"/>
            </w:tcBorders>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5" w:type="dxa"/>
            <w:tcBorders>
              <w:top w:val="nil"/>
              <w:bottom w:val="nil"/>
            </w:tcBorders>
          </w:tcPr>
          <w:p>
            <w:pPr>
              <w:pStyle w:val="nTable"/>
              <w:spacing w:after="40"/>
              <w:rPr>
                <w:snapToGrid w:val="0"/>
                <w:sz w:val="19"/>
              </w:rPr>
            </w:pPr>
            <w:r>
              <w:rPr>
                <w:snapToGrid w:val="0"/>
                <w:sz w:val="19"/>
              </w:rPr>
              <w:t>77 of 2006</w:t>
            </w:r>
          </w:p>
        </w:tc>
        <w:tc>
          <w:tcPr>
            <w:tcW w:w="1135" w:type="dxa"/>
            <w:tcBorders>
              <w:top w:val="nil"/>
              <w:bottom w:val="nil"/>
            </w:tcBorders>
          </w:tcPr>
          <w:p>
            <w:pPr>
              <w:pStyle w:val="nTable"/>
              <w:spacing w:after="40"/>
              <w:rPr>
                <w:snapToGrid w:val="0"/>
                <w:sz w:val="19"/>
              </w:rPr>
            </w:pPr>
            <w:r>
              <w:rPr>
                <w:snapToGrid w:val="0"/>
                <w:sz w:val="19"/>
              </w:rPr>
              <w:t>21 Dec 2006</w:t>
            </w:r>
          </w:p>
        </w:tc>
        <w:tc>
          <w:tcPr>
            <w:tcW w:w="2552" w:type="dxa"/>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70" w:type="dxa"/>
            <w:tcBorders>
              <w:top w:val="nil"/>
              <w:bottom w:val="nil"/>
            </w:tcBorders>
          </w:tcPr>
          <w:p>
            <w:pPr>
              <w:pStyle w:val="nTable"/>
              <w:spacing w:after="40"/>
              <w:rPr>
                <w:i/>
                <w:snapToGrid w:val="0"/>
                <w:sz w:val="19"/>
              </w:rPr>
            </w:pPr>
            <w:r>
              <w:rPr>
                <w:i/>
                <w:sz w:val="19"/>
              </w:rPr>
              <w:t xml:space="preserve">Police Amendment Act 2008 </w:t>
            </w:r>
            <w:r>
              <w:rPr>
                <w:iCs/>
                <w:sz w:val="19"/>
              </w:rPr>
              <w:t>s. 22 and 23(9)</w:t>
            </w:r>
          </w:p>
        </w:tc>
        <w:tc>
          <w:tcPr>
            <w:tcW w:w="1135" w:type="dxa"/>
            <w:tcBorders>
              <w:top w:val="nil"/>
              <w:bottom w:val="nil"/>
            </w:tcBorders>
          </w:tcPr>
          <w:p>
            <w:pPr>
              <w:pStyle w:val="nTable"/>
              <w:spacing w:after="40"/>
              <w:rPr>
                <w:snapToGrid w:val="0"/>
                <w:sz w:val="19"/>
              </w:rPr>
            </w:pPr>
            <w:r>
              <w:rPr>
                <w:sz w:val="19"/>
              </w:rPr>
              <w:t>8 of 2008</w:t>
            </w:r>
          </w:p>
        </w:tc>
        <w:tc>
          <w:tcPr>
            <w:tcW w:w="1135" w:type="dxa"/>
            <w:tcBorders>
              <w:top w:val="nil"/>
              <w:bottom w:val="nil"/>
            </w:tcBorders>
          </w:tcPr>
          <w:p>
            <w:pPr>
              <w:pStyle w:val="nTable"/>
              <w:spacing w:after="40"/>
              <w:rPr>
                <w:snapToGrid w:val="0"/>
                <w:sz w:val="19"/>
              </w:rPr>
            </w:pPr>
            <w:r>
              <w:rPr>
                <w:sz w:val="19"/>
              </w:rPr>
              <w:t>31 Mar 2008</w:t>
            </w:r>
          </w:p>
        </w:tc>
        <w:tc>
          <w:tcPr>
            <w:tcW w:w="2552" w:type="dxa"/>
            <w:tcBorders>
              <w:top w:val="nil"/>
              <w:bottom w:val="nil"/>
            </w:tcBorders>
          </w:tcPr>
          <w:p>
            <w:pPr>
              <w:pStyle w:val="nTable"/>
              <w:spacing w:after="40"/>
              <w:rPr>
                <w:snapToGrid w:val="0"/>
                <w:sz w:val="19"/>
              </w:rPr>
            </w:pPr>
            <w:r>
              <w:rPr>
                <w:sz w:val="19"/>
              </w:rPr>
              <w:t>s. 22: 1 Apr 2008 (see s. 2(1));</w:t>
            </w:r>
            <w:r>
              <w:rPr>
                <w:sz w:val="19"/>
              </w:rPr>
              <w:br/>
              <w:t xml:space="preserve">s. 23(9): 21 Jun 2008 (see s. 2(2) and </w:t>
            </w:r>
            <w:r>
              <w:rPr>
                <w:i/>
                <w:iCs/>
                <w:sz w:val="19"/>
              </w:rPr>
              <w:t>Gazette</w:t>
            </w:r>
            <w:r>
              <w:rPr>
                <w:sz w:val="19"/>
              </w:rPr>
              <w:t xml:space="preserve"> 20 Jun 2008 p. 2706)</w:t>
            </w:r>
          </w:p>
        </w:tc>
      </w:tr>
      <w:tr>
        <w:trPr>
          <w:cantSplit/>
        </w:trPr>
        <w:tc>
          <w:tcPr>
            <w:tcW w:w="7092" w:type="dxa"/>
            <w:gridSpan w:val="4"/>
            <w:tcBorders>
              <w:top w:val="nil"/>
              <w:bottom w:val="nil"/>
            </w:tcBorders>
          </w:tcPr>
          <w:p>
            <w:pPr>
              <w:pStyle w:val="nTable"/>
              <w:keepLines/>
              <w:spacing w:after="40"/>
              <w:rPr>
                <w:sz w:val="19"/>
              </w:rPr>
            </w:pPr>
            <w:r>
              <w:rPr>
                <w:b/>
                <w:sz w:val="19"/>
              </w:rPr>
              <w:t xml:space="preserve">Reprint 2: The </w:t>
            </w:r>
            <w:r>
              <w:rPr>
                <w:b/>
                <w:i/>
                <w:sz w:val="19"/>
              </w:rPr>
              <w:t>Witness Protection (</w:t>
            </w:r>
            <w:smartTag w:uri="urn:schemas-microsoft-com:office:smarttags" w:element="State">
              <w:smartTag w:uri="urn:schemas-microsoft-com:office:smarttags" w:element="place">
                <w:r>
                  <w:rPr>
                    <w:b/>
                    <w:i/>
                    <w:sz w:val="19"/>
                  </w:rPr>
                  <w:t>Western Australia</w:t>
                </w:r>
              </w:smartTag>
            </w:smartTag>
            <w:r>
              <w:rPr>
                <w:b/>
                <w:i/>
                <w:sz w:val="19"/>
              </w:rPr>
              <w:t>) Act 1996</w:t>
            </w:r>
            <w:r>
              <w:rPr>
                <w:b/>
                <w:sz w:val="19"/>
              </w:rPr>
              <w:t xml:space="preserve"> as at 8 Aug 2008</w:t>
            </w:r>
            <w:r>
              <w:rPr>
                <w:sz w:val="19"/>
              </w:rPr>
              <w:t xml:space="preserve"> (includes amendments listed above)</w:t>
            </w:r>
          </w:p>
        </w:tc>
      </w:tr>
      <w:tr>
        <w:trPr>
          <w:cantSplit/>
        </w:trPr>
        <w:tc>
          <w:tcPr>
            <w:tcW w:w="2270" w:type="dxa"/>
            <w:tcBorders>
              <w:top w:val="nil"/>
              <w:bottom w:val="single" w:sz="4" w:space="0" w:color="auto"/>
            </w:tcBorders>
          </w:tcPr>
          <w:p>
            <w:pPr>
              <w:pStyle w:val="nTable"/>
              <w:spacing w:after="40"/>
              <w:rPr>
                <w:i/>
                <w:snapToGrid w:val="0"/>
                <w:sz w:val="19"/>
              </w:rPr>
            </w:pPr>
            <w:r>
              <w:rPr>
                <w:i/>
                <w:snapToGrid w:val="0"/>
                <w:sz w:val="19"/>
                <w:szCs w:val="19"/>
              </w:rPr>
              <w:t>Criminal Investigation (Covert Powers) Act 2012</w:t>
            </w:r>
            <w:r>
              <w:rPr>
                <w:snapToGrid w:val="0"/>
                <w:sz w:val="19"/>
                <w:szCs w:val="19"/>
              </w:rPr>
              <w:t xml:space="preserve"> Pt. 11</w:t>
            </w:r>
          </w:p>
        </w:tc>
        <w:tc>
          <w:tcPr>
            <w:tcW w:w="1135" w:type="dxa"/>
            <w:tcBorders>
              <w:top w:val="nil"/>
              <w:bottom w:val="single" w:sz="4" w:space="0" w:color="auto"/>
            </w:tcBorders>
          </w:tcPr>
          <w:p>
            <w:pPr>
              <w:pStyle w:val="nTable"/>
              <w:spacing w:after="40"/>
              <w:rPr>
                <w:snapToGrid w:val="0"/>
                <w:sz w:val="19"/>
              </w:rPr>
            </w:pPr>
            <w:r>
              <w:rPr>
                <w:sz w:val="19"/>
              </w:rPr>
              <w:t>55 of 2012</w:t>
            </w:r>
          </w:p>
        </w:tc>
        <w:tc>
          <w:tcPr>
            <w:tcW w:w="1135" w:type="dxa"/>
            <w:tcBorders>
              <w:top w:val="nil"/>
              <w:bottom w:val="single" w:sz="4" w:space="0" w:color="auto"/>
            </w:tcBorders>
          </w:tcPr>
          <w:p>
            <w:pPr>
              <w:pStyle w:val="nTable"/>
              <w:spacing w:after="40"/>
              <w:rPr>
                <w:snapToGrid w:val="0"/>
                <w:sz w:val="19"/>
              </w:rPr>
            </w:pPr>
            <w:r>
              <w:rPr>
                <w:sz w:val="19"/>
              </w:rPr>
              <w:t>3 Dec 2012</w:t>
            </w:r>
          </w:p>
        </w:tc>
        <w:tc>
          <w:tcPr>
            <w:tcW w:w="2552" w:type="dxa"/>
            <w:tcBorders>
              <w:top w:val="nil"/>
              <w:bottom w:val="single" w:sz="4" w:space="0" w:color="auto"/>
            </w:tcBorders>
          </w:tcPr>
          <w:p>
            <w:pPr>
              <w:pStyle w:val="nTable"/>
              <w:spacing w:after="40"/>
              <w:rPr>
                <w:snapToGrid w:val="0"/>
                <w:sz w:val="19"/>
              </w:rPr>
            </w:pPr>
            <w:r>
              <w:rPr>
                <w:sz w:val="19"/>
              </w:rPr>
              <w:t xml:space="preserve">1 Mar 2013 (see s. 2(b) and </w:t>
            </w:r>
            <w:r>
              <w:rPr>
                <w:i/>
                <w:sz w:val="19"/>
              </w:rPr>
              <w:t>Gazette</w:t>
            </w:r>
            <w:r>
              <w:rPr>
                <w:sz w:val="19"/>
              </w:rPr>
              <w:t xml:space="preserve"> 25 Jan 2013 p. 271)</w:t>
            </w:r>
          </w:p>
        </w:tc>
      </w:tr>
    </w:tbl>
    <w:p>
      <w:pPr>
        <w:pStyle w:val="nSubsection"/>
        <w:rPr>
          <w:snapToGrid w:val="0"/>
        </w:rPr>
      </w:pPr>
      <w:r>
        <w:rPr>
          <w:snapToGrid w:val="0"/>
          <w:vertAlign w:val="superscript"/>
        </w:rPr>
        <w:t>2</w:t>
      </w:r>
      <w:r>
        <w:rPr>
          <w:snapToGrid w:val="0"/>
        </w:rPr>
        <w:tab/>
        <w:t xml:space="preserve">Repealed by the </w:t>
      </w:r>
      <w:r>
        <w:rPr>
          <w:i/>
          <w:iCs/>
          <w:snapToGrid w:val="0"/>
        </w:rPr>
        <w:t>Sentencing Legislation Amendment and Repeal Act 2003</w:t>
      </w:r>
      <w:r>
        <w:rPr>
          <w:snapToGrid w:val="0"/>
        </w:rPr>
        <w:t>.</w:t>
      </w:r>
    </w:p>
    <w:p>
      <w:pPr>
        <w:pStyle w:val="nSubsection"/>
        <w:rPr>
          <w:snapToGrid w:val="0"/>
        </w:rPr>
      </w:pPr>
      <w:r>
        <w:rPr>
          <w:snapToGrid w:val="0"/>
          <w:vertAlign w:val="superscript"/>
        </w:rPr>
        <w:t>3</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rPr>
          <w:snapToGrid w:val="0"/>
        </w:rPr>
      </w:pPr>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74" w:name="_Toc377039101"/>
      <w:r>
        <w:rPr>
          <w:sz w:val="28"/>
        </w:rPr>
        <w:t>Defined terms</w:t>
      </w:r>
      <w:bookmarkEnd w:id="7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75" w:name="DefinedTerms"/>
      <w:bookmarkEnd w:id="75"/>
      <w:r>
        <w:rPr>
          <w:snapToGrid w:val="0"/>
        </w:rPr>
        <w:t>annual report</w:t>
      </w:r>
      <w:r>
        <w:rPr>
          <w:snapToGrid w:val="0"/>
        </w:rPr>
        <w:tab/>
        <w:t>37(2)</w:t>
      </w:r>
    </w:p>
    <w:p>
      <w:pPr>
        <w:pStyle w:val="DefinedTerms"/>
        <w:rPr>
          <w:snapToGrid w:val="0"/>
        </w:rPr>
      </w:pPr>
      <w:r>
        <w:rPr>
          <w:snapToGrid w:val="0"/>
        </w:rPr>
        <w:t>another jurisdiction</w:t>
      </w:r>
      <w:r>
        <w:rPr>
          <w:snapToGrid w:val="0"/>
        </w:rPr>
        <w:tab/>
        <w:t>33</w:t>
      </w:r>
    </w:p>
    <w:p>
      <w:pPr>
        <w:pStyle w:val="DefinedTerms"/>
        <w:rPr>
          <w:snapToGrid w:val="0"/>
        </w:rPr>
      </w:pPr>
      <w:r>
        <w:rPr>
          <w:snapToGrid w:val="0"/>
        </w:rPr>
        <w:t>approved authority</w:t>
      </w:r>
      <w:r>
        <w:rPr>
          <w:snapToGrid w:val="0"/>
        </w:rPr>
        <w:tab/>
        <w:t>3(1)</w:t>
      </w:r>
    </w:p>
    <w:p>
      <w:pPr>
        <w:pStyle w:val="DefinedTerms"/>
        <w:rPr>
          <w:snapToGrid w:val="0"/>
        </w:rPr>
      </w:pPr>
      <w:r>
        <w:rPr>
          <w:snapToGrid w:val="0"/>
        </w:rPr>
        <w:t>commencement day</w:t>
      </w:r>
      <w:r>
        <w:rPr>
          <w:snapToGrid w:val="0"/>
        </w:rPr>
        <w:tab/>
        <w:t>41(1)</w:t>
      </w:r>
    </w:p>
    <w:p>
      <w:pPr>
        <w:pStyle w:val="DefinedTerms"/>
        <w:rPr>
          <w:snapToGrid w:val="0"/>
        </w:rPr>
      </w:pPr>
      <w:r>
        <w:rPr>
          <w:snapToGrid w:val="0"/>
        </w:rPr>
        <w:t>Commissioner</w:t>
      </w:r>
      <w:r>
        <w:rPr>
          <w:snapToGrid w:val="0"/>
        </w:rPr>
        <w:tab/>
        <w:t>3(1)</w:t>
      </w:r>
    </w:p>
    <w:p>
      <w:pPr>
        <w:pStyle w:val="DefinedTerms"/>
        <w:rPr>
          <w:snapToGrid w:val="0"/>
        </w:rPr>
      </w:pPr>
      <w:r>
        <w:rPr>
          <w:snapToGrid w:val="0"/>
        </w:rPr>
        <w:t>Commonwealth Act</w:t>
      </w:r>
      <w:r>
        <w:rPr>
          <w:snapToGrid w:val="0"/>
        </w:rPr>
        <w:tab/>
        <w:t>3(1)</w:t>
      </w:r>
    </w:p>
    <w:p>
      <w:pPr>
        <w:pStyle w:val="DefinedTerms"/>
        <w:rPr>
          <w:snapToGrid w:val="0"/>
        </w:rPr>
      </w:pPr>
      <w:r>
        <w:rPr>
          <w:snapToGrid w:val="0"/>
        </w:rPr>
        <w:t>complementary witness protection law</w:t>
      </w:r>
      <w:r>
        <w:rPr>
          <w:snapToGrid w:val="0"/>
        </w:rPr>
        <w:tab/>
        <w:t>3(1)</w:t>
      </w:r>
    </w:p>
    <w:p>
      <w:pPr>
        <w:pStyle w:val="DefinedTerms"/>
        <w:rPr>
          <w:snapToGrid w:val="0"/>
        </w:rPr>
      </w:pPr>
      <w:r>
        <w:rPr>
          <w:snapToGrid w:val="0"/>
        </w:rPr>
        <w:t>corresponding law</w:t>
      </w:r>
      <w:r>
        <w:rPr>
          <w:snapToGrid w:val="0"/>
        </w:rPr>
        <w:tab/>
        <w:t>33</w:t>
      </w:r>
    </w:p>
    <w:p>
      <w:pPr>
        <w:pStyle w:val="DefinedTerms"/>
        <w:rPr>
          <w:snapToGrid w:val="0"/>
        </w:rPr>
      </w:pPr>
      <w:r>
        <w:rPr>
          <w:snapToGrid w:val="0"/>
        </w:rPr>
        <w:t>corresponding non</w:t>
      </w:r>
      <w:r>
        <w:rPr>
          <w:snapToGrid w:val="0"/>
        </w:rPr>
        <w:noBreakHyphen/>
        <w:t>disclosure certificate</w:t>
      </w:r>
      <w:r>
        <w:rPr>
          <w:snapToGrid w:val="0"/>
        </w:rPr>
        <w:tab/>
        <w:t>33</w:t>
      </w:r>
    </w:p>
    <w:p>
      <w:pPr>
        <w:pStyle w:val="DefinedTerms"/>
        <w:rPr>
          <w:snapToGrid w:val="0"/>
        </w:rPr>
      </w:pPr>
      <w:r>
        <w:rPr>
          <w:snapToGrid w:val="0"/>
        </w:rPr>
        <w:t>Corruption and Crime Commission</w:t>
      </w:r>
      <w:r>
        <w:rPr>
          <w:snapToGrid w:val="0"/>
        </w:rPr>
        <w:tab/>
        <w:t>3(1)</w:t>
      </w:r>
    </w:p>
    <w:p>
      <w:pPr>
        <w:pStyle w:val="DefinedTerms"/>
        <w:rPr>
          <w:snapToGrid w:val="0"/>
        </w:rPr>
      </w:pPr>
      <w:r>
        <w:rPr>
          <w:snapToGrid w:val="0"/>
        </w:rPr>
        <w:t>court</w:t>
      </w:r>
      <w:r>
        <w:rPr>
          <w:snapToGrid w:val="0"/>
        </w:rPr>
        <w:tab/>
        <w:t>3(1), 33, 34A(1)</w:t>
      </w:r>
    </w:p>
    <w:p>
      <w:pPr>
        <w:pStyle w:val="DefinedTerms"/>
        <w:rPr>
          <w:snapToGrid w:val="0"/>
        </w:rPr>
      </w:pPr>
      <w:r>
        <w:rPr>
          <w:snapToGrid w:val="0"/>
        </w:rPr>
        <w:t>court proceedings</w:t>
      </w:r>
      <w:r>
        <w:rPr>
          <w:snapToGrid w:val="0"/>
        </w:rPr>
        <w:tab/>
        <w:t>33</w:t>
      </w:r>
    </w:p>
    <w:p>
      <w:pPr>
        <w:pStyle w:val="DefinedTerms"/>
        <w:rPr>
          <w:snapToGrid w:val="0"/>
        </w:rPr>
      </w:pPr>
      <w:r>
        <w:rPr>
          <w:snapToGrid w:val="0"/>
        </w:rPr>
        <w:t>designated position</w:t>
      </w:r>
      <w:r>
        <w:rPr>
          <w:snapToGrid w:val="0"/>
        </w:rPr>
        <w:tab/>
        <w:t>3(1)</w:t>
      </w:r>
    </w:p>
    <w:p>
      <w:pPr>
        <w:pStyle w:val="DefinedTerms"/>
        <w:rPr>
          <w:snapToGrid w:val="0"/>
        </w:rPr>
      </w:pPr>
      <w:r>
        <w:rPr>
          <w:snapToGrid w:val="0"/>
        </w:rPr>
        <w:t>lawyer</w:t>
      </w:r>
      <w:r>
        <w:rPr>
          <w:snapToGrid w:val="0"/>
        </w:rPr>
        <w:tab/>
        <w:t>33</w:t>
      </w:r>
    </w:p>
    <w:p>
      <w:pPr>
        <w:pStyle w:val="DefinedTerms"/>
        <w:rPr>
          <w:snapToGrid w:val="0"/>
        </w:rPr>
      </w:pPr>
      <w:r>
        <w:rPr>
          <w:snapToGrid w:val="0"/>
        </w:rPr>
        <w:t>new identity order</w:t>
      </w:r>
      <w:r>
        <w:rPr>
          <w:snapToGrid w:val="0"/>
        </w:rPr>
        <w:tab/>
        <w:t>19</w:t>
      </w:r>
    </w:p>
    <w:p>
      <w:pPr>
        <w:pStyle w:val="DefinedTerms"/>
        <w:rPr>
          <w:snapToGrid w:val="0"/>
        </w:rPr>
      </w:pPr>
      <w:r>
        <w:rPr>
          <w:snapToGrid w:val="0"/>
        </w:rPr>
        <w:t>non</w:t>
      </w:r>
      <w:r>
        <w:rPr>
          <w:snapToGrid w:val="0"/>
        </w:rPr>
        <w:noBreakHyphen/>
        <w:t>disclosure certificate</w:t>
      </w:r>
      <w:r>
        <w:rPr>
          <w:snapToGrid w:val="0"/>
        </w:rPr>
        <w:tab/>
        <w:t>33</w:t>
      </w:r>
    </w:p>
    <w:p>
      <w:pPr>
        <w:pStyle w:val="DefinedTerms"/>
        <w:rPr>
          <w:snapToGrid w:val="0"/>
        </w:rPr>
      </w:pPr>
      <w:r>
        <w:rPr>
          <w:snapToGrid w:val="0"/>
        </w:rPr>
        <w:t>officer of the Corruption and Crime Commission</w:t>
      </w:r>
      <w:r>
        <w:rPr>
          <w:snapToGrid w:val="0"/>
        </w:rPr>
        <w:tab/>
        <w:t>3(1)</w:t>
      </w:r>
    </w:p>
    <w:p>
      <w:pPr>
        <w:pStyle w:val="DefinedTerms"/>
        <w:rPr>
          <w:snapToGrid w:val="0"/>
        </w:rPr>
      </w:pPr>
      <w:r>
        <w:rPr>
          <w:snapToGrid w:val="0"/>
        </w:rPr>
        <w:t>original court</w:t>
      </w:r>
      <w:r>
        <w:rPr>
          <w:snapToGrid w:val="0"/>
        </w:rPr>
        <w:tab/>
        <w:t>34F(1)</w:t>
      </w:r>
    </w:p>
    <w:p>
      <w:pPr>
        <w:pStyle w:val="DefinedTerms"/>
        <w:rPr>
          <w:snapToGrid w:val="0"/>
        </w:rPr>
      </w:pPr>
      <w:r>
        <w:rPr>
          <w:snapToGrid w:val="0"/>
        </w:rPr>
        <w:t>Parliamentary Commissioner</w:t>
      </w:r>
      <w:r>
        <w:rPr>
          <w:snapToGrid w:val="0"/>
        </w:rPr>
        <w:tab/>
        <w:t>3(1)</w:t>
      </w:r>
    </w:p>
    <w:p>
      <w:pPr>
        <w:pStyle w:val="DefinedTerms"/>
        <w:rPr>
          <w:snapToGrid w:val="0"/>
        </w:rPr>
      </w:pPr>
      <w:r>
        <w:rPr>
          <w:snapToGrid w:val="0"/>
        </w:rPr>
        <w:t>parliamentary committee</w:t>
      </w:r>
      <w:r>
        <w:rPr>
          <w:snapToGrid w:val="0"/>
        </w:rPr>
        <w:tab/>
        <w:t>33</w:t>
      </w:r>
    </w:p>
    <w:p>
      <w:pPr>
        <w:pStyle w:val="DefinedTerms"/>
        <w:rPr>
          <w:snapToGrid w:val="0"/>
        </w:rPr>
      </w:pPr>
      <w:r>
        <w:rPr>
          <w:snapToGrid w:val="0"/>
        </w:rPr>
        <w:t>parliamentary proceedings</w:t>
      </w:r>
      <w:r>
        <w:rPr>
          <w:snapToGrid w:val="0"/>
        </w:rPr>
        <w:tab/>
        <w:t>33</w:t>
      </w:r>
    </w:p>
    <w:p>
      <w:pPr>
        <w:pStyle w:val="DefinedTerms"/>
        <w:rPr>
          <w:snapToGrid w:val="0"/>
        </w:rPr>
      </w:pPr>
      <w:r>
        <w:rPr>
          <w:snapToGrid w:val="0"/>
        </w:rPr>
        <w:t>participant</w:t>
      </w:r>
      <w:r>
        <w:rPr>
          <w:snapToGrid w:val="0"/>
        </w:rPr>
        <w:tab/>
        <w:t>3(1)</w:t>
      </w:r>
    </w:p>
    <w:p>
      <w:pPr>
        <w:pStyle w:val="DefinedTerms"/>
        <w:rPr>
          <w:snapToGrid w:val="0"/>
        </w:rPr>
      </w:pPr>
      <w:r>
        <w:rPr>
          <w:snapToGrid w:val="0"/>
        </w:rPr>
        <w:t>party</w:t>
      </w:r>
      <w:r>
        <w:rPr>
          <w:snapToGrid w:val="0"/>
        </w:rPr>
        <w:tab/>
        <w:t>33</w:t>
      </w:r>
    </w:p>
    <w:p>
      <w:pPr>
        <w:pStyle w:val="DefinedTerms"/>
        <w:rPr>
          <w:snapToGrid w:val="0"/>
        </w:rPr>
      </w:pPr>
      <w:r>
        <w:rPr>
          <w:snapToGrid w:val="0"/>
        </w:rPr>
        <w:t>permission</w:t>
      </w:r>
      <w:r>
        <w:rPr>
          <w:snapToGrid w:val="0"/>
        </w:rPr>
        <w:tab/>
        <w:t>41(1)</w:t>
      </w:r>
    </w:p>
    <w:p>
      <w:pPr>
        <w:pStyle w:val="DefinedTerms"/>
        <w:rPr>
          <w:snapToGrid w:val="0"/>
        </w:rPr>
      </w:pPr>
      <w:r>
        <w:rPr>
          <w:snapToGrid w:val="0"/>
        </w:rPr>
        <w:t>person</w:t>
      </w:r>
      <w:r>
        <w:rPr>
          <w:snapToGrid w:val="0"/>
        </w:rPr>
        <w:tab/>
        <w:t>33(4)</w:t>
      </w:r>
    </w:p>
    <w:p>
      <w:pPr>
        <w:pStyle w:val="DefinedTerms"/>
        <w:rPr>
          <w:snapToGrid w:val="0"/>
        </w:rPr>
      </w:pPr>
      <w:r>
        <w:rPr>
          <w:snapToGrid w:val="0"/>
        </w:rPr>
        <w:t>person involved</w:t>
      </w:r>
      <w:r>
        <w:rPr>
          <w:snapToGrid w:val="0"/>
        </w:rPr>
        <w:tab/>
        <w:t>34C(1)</w:t>
      </w:r>
    </w:p>
    <w:p>
      <w:pPr>
        <w:pStyle w:val="DefinedTerms"/>
        <w:rPr>
          <w:snapToGrid w:val="0"/>
        </w:rPr>
      </w:pPr>
      <w:r>
        <w:rPr>
          <w:snapToGrid w:val="0"/>
        </w:rPr>
        <w:t>person involved,</w:t>
      </w:r>
      <w:r>
        <w:rPr>
          <w:snapToGrid w:val="0"/>
        </w:rPr>
        <w:tab/>
        <w:t>34J(1)</w:t>
      </w:r>
    </w:p>
    <w:p>
      <w:pPr>
        <w:pStyle w:val="DefinedTerms"/>
        <w:rPr>
          <w:snapToGrid w:val="0"/>
        </w:rPr>
      </w:pPr>
      <w:r>
        <w:rPr>
          <w:snapToGrid w:val="0"/>
        </w:rPr>
        <w:t>prescribed authority</w:t>
      </w:r>
      <w:r>
        <w:rPr>
          <w:snapToGrid w:val="0"/>
        </w:rPr>
        <w:tab/>
        <w:t>3(1)</w:t>
      </w:r>
    </w:p>
    <w:p>
      <w:pPr>
        <w:pStyle w:val="DefinedTerms"/>
        <w:rPr>
          <w:snapToGrid w:val="0"/>
        </w:rPr>
      </w:pPr>
      <w:r>
        <w:rPr>
          <w:snapToGrid w:val="0"/>
        </w:rPr>
        <w:t>prescribed register</w:t>
      </w:r>
      <w:r>
        <w:rPr>
          <w:snapToGrid w:val="0"/>
        </w:rPr>
        <w:tab/>
        <w:t>3(1)</w:t>
      </w:r>
    </w:p>
    <w:p>
      <w:pPr>
        <w:pStyle w:val="DefinedTerms"/>
        <w:rPr>
          <w:snapToGrid w:val="0"/>
        </w:rPr>
      </w:pPr>
      <w:r>
        <w:rPr>
          <w:snapToGrid w:val="0"/>
        </w:rPr>
        <w:t>proceedings</w:t>
      </w:r>
      <w:r>
        <w:rPr>
          <w:snapToGrid w:val="0"/>
        </w:rPr>
        <w:tab/>
        <w:t>33</w:t>
      </w:r>
    </w:p>
    <w:p>
      <w:pPr>
        <w:pStyle w:val="DefinedTerms"/>
        <w:rPr>
          <w:snapToGrid w:val="0"/>
        </w:rPr>
      </w:pPr>
      <w:r>
        <w:rPr>
          <w:snapToGrid w:val="0"/>
        </w:rPr>
        <w:t>protected address</w:t>
      </w:r>
      <w:r>
        <w:rPr>
          <w:snapToGrid w:val="0"/>
        </w:rPr>
        <w:tab/>
        <w:t>33</w:t>
      </w:r>
    </w:p>
    <w:p>
      <w:pPr>
        <w:pStyle w:val="DefinedTerms"/>
        <w:rPr>
          <w:snapToGrid w:val="0"/>
        </w:rPr>
      </w:pPr>
      <w:r>
        <w:rPr>
          <w:snapToGrid w:val="0"/>
        </w:rPr>
        <w:t>protected identity</w:t>
      </w:r>
      <w:r>
        <w:rPr>
          <w:snapToGrid w:val="0"/>
        </w:rPr>
        <w:tab/>
        <w:t>33</w:t>
      </w:r>
    </w:p>
    <w:p>
      <w:pPr>
        <w:pStyle w:val="DefinedTerms"/>
        <w:rPr>
          <w:snapToGrid w:val="0"/>
        </w:rPr>
      </w:pPr>
      <w:r>
        <w:rPr>
          <w:snapToGrid w:val="0"/>
        </w:rPr>
        <w:t>protected person</w:t>
      </w:r>
      <w:r>
        <w:rPr>
          <w:snapToGrid w:val="0"/>
        </w:rPr>
        <w:tab/>
        <w:t>33</w:t>
      </w:r>
    </w:p>
    <w:p>
      <w:pPr>
        <w:pStyle w:val="DefinedTerms"/>
        <w:rPr>
          <w:snapToGrid w:val="0"/>
        </w:rPr>
      </w:pPr>
      <w:r>
        <w:rPr>
          <w:snapToGrid w:val="0"/>
        </w:rPr>
        <w:t>relevant House,</w:t>
      </w:r>
      <w:r>
        <w:rPr>
          <w:snapToGrid w:val="0"/>
        </w:rPr>
        <w:tab/>
        <w:t>34K(1)</w:t>
      </w:r>
    </w:p>
    <w:p>
      <w:pPr>
        <w:pStyle w:val="DefinedTerms"/>
        <w:rPr>
          <w:snapToGrid w:val="0"/>
        </w:rPr>
      </w:pPr>
      <w:r>
        <w:rPr>
          <w:snapToGrid w:val="0"/>
        </w:rPr>
        <w:t>sensitive information</w:t>
      </w:r>
      <w:r>
        <w:rPr>
          <w:snapToGrid w:val="0"/>
        </w:rPr>
        <w:tab/>
        <w:t>32(2)</w:t>
      </w:r>
    </w:p>
    <w:p>
      <w:pPr>
        <w:pStyle w:val="DefinedTerms"/>
        <w:rPr>
          <w:snapToGrid w:val="0"/>
        </w:rPr>
      </w:pPr>
      <w:r>
        <w:rPr>
          <w:snapToGrid w:val="0"/>
        </w:rPr>
        <w:t>State Witness Protection Program</w:t>
      </w:r>
      <w:r>
        <w:rPr>
          <w:snapToGrid w:val="0"/>
        </w:rPr>
        <w:tab/>
        <w:t>3(1)</w:t>
      </w:r>
    </w:p>
    <w:p>
      <w:pPr>
        <w:pStyle w:val="DefinedTerms"/>
        <w:rPr>
          <w:snapToGrid w:val="0"/>
        </w:rPr>
      </w:pPr>
      <w:r>
        <w:rPr>
          <w:snapToGrid w:val="0"/>
        </w:rPr>
        <w:t>SWPP</w:t>
      </w:r>
      <w:r>
        <w:rPr>
          <w:snapToGrid w:val="0"/>
        </w:rPr>
        <w:tab/>
        <w:t>3(2)</w:t>
      </w:r>
    </w:p>
    <w:p>
      <w:pPr>
        <w:pStyle w:val="DefinedTerms"/>
        <w:rPr>
          <w:snapToGrid w:val="0"/>
        </w:rPr>
      </w:pPr>
      <w:r>
        <w:rPr>
          <w:snapToGrid w:val="0"/>
        </w:rPr>
        <w:t>witness</w:t>
      </w:r>
      <w:r>
        <w:rPr>
          <w:snapToGrid w:val="0"/>
        </w:rPr>
        <w:tab/>
        <w:t>3(1)</w:t>
      </w:r>
    </w:p>
    <w:p>
      <w:pPr>
        <w:pStyle w:val="DefinedTerms"/>
        <w:rPr>
          <w:snapToGrid w:val="0"/>
        </w:rPr>
      </w:pPr>
      <w:r>
        <w:rPr>
          <w:snapToGrid w:val="0"/>
        </w:rPr>
        <w:t>witness protection program</w:t>
      </w:r>
      <w:r>
        <w:rPr>
          <w:snapToGrid w:val="0"/>
        </w:rPr>
        <w:tab/>
        <w:t>3(1)</w:t>
      </w:r>
    </w:p>
    <w:p>
      <w:pPr>
        <w:rPr>
          <w:snapToGrid w:val="0"/>
        </w:rPr>
      </w:pPr>
    </w:p>
    <w:p>
      <w:pPr>
        <w:rPr>
          <w:snapToGrid w:val="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snapToGrid w:val="0"/>
        </w:rPr>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Witness Protection (Western Australia) Act 1996</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Witness Protection (Western Australia)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Witness Protection (Western Australia) Act 1996</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jc w:val="left"/>
          </w:pPr>
          <w: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Witness Protection (Western Australia) Act 1996</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p>
    <w:pPr>
      <w:pStyle w:val="Header"/>
    </w:pPr>
  </w:p>
  <w:p>
    <w:pPr>
      <w:pStyle w:val="Header"/>
    </w:pPr>
  </w:p>
  <w:p>
    <w:pPr>
      <w:pStyle w:val="Header"/>
    </w:pPr>
  </w:p>
  <w:p>
    <w:pPr>
      <w:pStyle w:val="Header"/>
      <w:jc w:val="right"/>
      <w:rPr>
        <w:rFonts w:ascii="Times New Roman" w:hAnsi="Times New Roman"/>
        <w:b/>
      </w:rPr>
    </w:pPr>
    <w:r>
      <w:rPr>
        <w:rFonts w:ascii="Times New Roman" w:hAnsi="Times New Roman"/>
        <w:b/>
      </w:rPr>
      <w:t>Defined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B6C16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2890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802"/>
    <w:docVar w:name="WAFER_20140109134709" w:val="RemoveTocBookmarks,RemoveUnusedBookmarks,RemoveLanguageTags,UsedStyles,ResetPageSize,UpdateArrangement"/>
    <w:docVar w:name="WAFER_20140109134709_GUID" w:val="1ee9ecef-cd06-461f-8af9-1ebf3a0a4fdf"/>
    <w:docVar w:name="WAFER_20140109135147" w:val="RemoveTocBookmarks,RunningHeaders"/>
    <w:docVar w:name="WAFER_20140109135147_GUID" w:val="46b888ae-5179-433b-85fb-69b2d5e2500f"/>
    <w:docVar w:name="WAFER_20151216143802" w:val="RemoveTrackChanges"/>
    <w:docVar w:name="WAFER_20151216143802_GUID" w:val="78c76c3f-736a-450a-b393-9276681e9c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11487</Words>
  <Characters>57550</Characters>
  <Application>Microsoft Office Word</Application>
  <DocSecurity>0</DocSecurity>
  <Lines>1555</Lines>
  <Paragraphs>896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1996 - 02-c0-03</dc:title>
  <dc:subject/>
  <dc:creator/>
  <cp:keywords/>
  <dc:description/>
  <cp:lastModifiedBy>svcMRProcess</cp:lastModifiedBy>
  <cp:revision>4</cp:revision>
  <cp:lastPrinted>2008-08-12T06:35:00Z</cp:lastPrinted>
  <dcterms:created xsi:type="dcterms:W3CDTF">2018-09-10T01:04:00Z</dcterms:created>
  <dcterms:modified xsi:type="dcterms:W3CDTF">2018-09-10T01:04:00Z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911</vt:i4>
  </property>
  <property fmtid="{D5CDD505-2E9C-101B-9397-08002B2CF9AE}" pid="6" name="AsAtDate">
    <vt:lpwstr>01 Mar 2013</vt:lpwstr>
  </property>
  <property fmtid="{D5CDD505-2E9C-101B-9397-08002B2CF9AE}" pid="7" name="Suffix">
    <vt:lpwstr>02-c0-03</vt:lpwstr>
  </property>
  <property fmtid="{D5CDD505-2E9C-101B-9397-08002B2CF9AE}" pid="8" name="ReprintNo">
    <vt:lpwstr>2</vt:lpwstr>
  </property>
</Properties>
</file>