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Offenders Community Corrections Act 1963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Sentencing (Consequential Provisions) Act 1995</w:t>
      </w:r>
      <w:r>
        <w:rPr>
          <w:color w:val="000000"/>
          <w:sz w:val="22"/>
          <w:szCs w:val="22"/>
        </w:rPr>
        <w:t xml:space="preserve"> Pt. 56 (No. 78 of 1995) as at 4 Nov 1996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25 Oct 1996 p. 5632).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5849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5849" w:val="UsedStyles"/>
    <w:docVar w:name="WAFER_20160418105849_GUID" w:val="ad06eba0-8d63-4471-939c-223e820add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260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Offenders Community Corrections Act 1963 - 05-h0-06</dc:title>
  <dc:subject/>
  <dc:creator/>
  <cp:keywords/>
  <dc:description/>
  <cp:lastModifiedBy>svcMRProcess</cp:lastModifiedBy>
  <cp:revision>3</cp:revision>
  <dcterms:created xsi:type="dcterms:W3CDTF">2016-04-18T03:05:00Z</dcterms:created>
  <dcterms:modified xsi:type="dcterms:W3CDTF">2016-04-18T03:05:00Z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05-h0-06</vt:lpwstr>
  </property>
  <property fmtid="{D5CDD505-2E9C-101B-9397-08002B2CF9AE}" pid="3" name="AsAtDate">
    <vt:lpwstr>04 Nov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19961104</vt:lpwstr>
  </property>
</Properties>
</file>