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1.xml" ContentType="application/vnd.openxmlformats-officedocument.wordprocessingml.header+xml"/>
  <Override PartName="/word/footer13.xml" ContentType="application/vnd.openxmlformats-officedocument.wordprocessingml.foot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Fair Trading Act 2010</w:t>
      </w:r>
    </w:p>
    <w:p>
      <w:pPr>
        <w:pStyle w:val="NameofActRegPage1"/>
        <w:spacing w:before="1800" w:after="4200"/>
      </w:pPr>
      <w:r>
        <w:fldChar w:fldCharType="begin"/>
      </w:r>
      <w:r>
        <w:instrText xml:space="preserve"> STYLEREF "Name Of Act/Reg"</w:instrText>
      </w:r>
      <w:r>
        <w:fldChar w:fldCharType="separate"/>
      </w:r>
      <w:r>
        <w:rPr>
          <w:noProof/>
        </w:rPr>
        <w:t>Fair Trading (Retirement Villages Interim Code) Regulations 2013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2013</w:t>
      </w:r>
      <w:r>
        <w:fldChar w:fldCharType="end"/>
      </w:r>
    </w:p>
    <w:p>
      <w:pPr>
        <w:pStyle w:val="Arrangement"/>
      </w:pPr>
      <w:r>
        <w:t>CONTENTS</w:t>
      </w:r>
    </w:p>
    <w:p>
      <w:pPr>
        <w:pStyle w:val="TOC8"/>
        <w:rPr>
          <w:rFonts w:asciiTheme="minorHAnsi" w:eastAsiaTheme="minorEastAsia" w:hAnsiTheme="minorHAnsi" w:cstheme="minorBidi"/>
          <w:szCs w:val="22"/>
          <w:lang w:eastAsia="en-AU"/>
        </w:rPr>
      </w:pPr>
      <w:r>
        <w:rPr>
          <w:b/>
          <w:sz w:val="28"/>
        </w:rP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tab/>
        <w:t>Citation</w:t>
      </w:r>
      <w:r>
        <w:tab/>
      </w:r>
      <w:r>
        <w:fldChar w:fldCharType="begin"/>
      </w:r>
      <w:r>
        <w:instrText xml:space="preserve"> PAGEREF _Toc352160721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_Toc352160722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Code of practice prescribed</w:t>
      </w:r>
      <w:r>
        <w:tab/>
      </w:r>
      <w:r>
        <w:fldChar w:fldCharType="begin"/>
      </w:r>
      <w:r>
        <w:instrText xml:space="preserve"> PAGEREF _Toc352160723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Terms used in the code of practice</w:t>
      </w:r>
      <w:r>
        <w:tab/>
      </w:r>
      <w:r>
        <w:fldChar w:fldCharType="begin"/>
      </w:r>
      <w:r>
        <w:instrText xml:space="preserve"> PAGEREF _Toc352160724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r>
      <w:r>
        <w:rPr>
          <w:i/>
        </w:rPr>
        <w:t>Fair Trading (Retirement Villages Interim Code) Regulations 2012</w:t>
      </w:r>
      <w:r>
        <w:t> repealed</w:t>
      </w:r>
      <w:r>
        <w:tab/>
      </w:r>
      <w:r>
        <w:fldChar w:fldCharType="begin"/>
      </w:r>
      <w:r>
        <w:instrText xml:space="preserve"> PAGEREF _Toc352160725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w:t>
      </w:r>
      <w:r>
        <w:rPr>
          <w:i/>
        </w:rPr>
        <w:t>Interim Code of Fair Practice for Retirement Villages 2013</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1.1</w:t>
      </w:r>
      <w:r>
        <w:tab/>
        <w:t>Citation</w:t>
      </w:r>
      <w:r>
        <w:tab/>
      </w:r>
      <w:r>
        <w:fldChar w:fldCharType="begin"/>
      </w:r>
      <w:r>
        <w:instrText xml:space="preserve"> PAGEREF _Toc352160728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tab/>
        <w:t>Application</w:t>
      </w:r>
      <w:r>
        <w:tab/>
      </w:r>
      <w:r>
        <w:fldChar w:fldCharType="begin"/>
      </w:r>
      <w:r>
        <w:instrText xml:space="preserve"> PAGEREF _Toc352160729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tab/>
        <w:t>General principles</w:t>
      </w:r>
      <w:r>
        <w:tab/>
      </w:r>
      <w:r>
        <w:fldChar w:fldCharType="begin"/>
      </w:r>
      <w:r>
        <w:instrText xml:space="preserve"> PAGEREF _Toc352160730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tab/>
        <w:t>Objectives of the Code</w:t>
      </w:r>
      <w:r>
        <w:tab/>
      </w:r>
      <w:r>
        <w:fldChar w:fldCharType="begin"/>
      </w:r>
      <w:r>
        <w:instrText xml:space="preserve"> PAGEREF _Toc352160731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Resident’s basic rights</w:t>
      </w:r>
      <w:r>
        <w:tab/>
      </w:r>
      <w:r>
        <w:fldChar w:fldCharType="begin"/>
      </w:r>
      <w:r>
        <w:instrText xml:space="preserve"> PAGEREF _Toc352160732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Advertising and promotion of retirement villages</w:t>
      </w:r>
    </w:p>
    <w:p>
      <w:pPr>
        <w:pStyle w:val="TOC8"/>
        <w:rPr>
          <w:rFonts w:asciiTheme="minorHAnsi" w:eastAsiaTheme="minorEastAsia" w:hAnsiTheme="minorHAnsi" w:cstheme="minorBidi"/>
          <w:szCs w:val="22"/>
          <w:lang w:eastAsia="en-AU"/>
        </w:rPr>
      </w:pPr>
      <w:r>
        <w:t>2.1</w:t>
      </w:r>
      <w:r>
        <w:tab/>
        <w:t>General</w:t>
      </w:r>
      <w:r>
        <w:tab/>
      </w:r>
      <w:r>
        <w:fldChar w:fldCharType="begin"/>
      </w:r>
      <w:r>
        <w:instrText xml:space="preserve"> PAGEREF _Toc352160734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Retirement village developments</w:t>
      </w:r>
      <w:r>
        <w:tab/>
      </w:r>
      <w:r>
        <w:fldChar w:fldCharType="begin"/>
      </w:r>
      <w:r>
        <w:instrText xml:space="preserve"> PAGEREF _Toc352160735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Proposed amenities and services</w:t>
      </w:r>
      <w:r>
        <w:tab/>
      </w:r>
      <w:r>
        <w:fldChar w:fldCharType="begin"/>
      </w:r>
      <w:r>
        <w:instrText xml:space="preserve"> PAGEREF _Toc352160736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Approvals for facilities that provide residential aged care services</w:t>
      </w:r>
      <w:r>
        <w:tab/>
      </w:r>
      <w:r>
        <w:fldChar w:fldCharType="begin"/>
      </w:r>
      <w:r>
        <w:instrText xml:space="preserve"> PAGEREF _Toc352160737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Access to residential aged care services</w:t>
      </w:r>
      <w:r>
        <w:tab/>
      </w:r>
      <w:r>
        <w:fldChar w:fldCharType="begin"/>
      </w:r>
      <w:r>
        <w:instrText xml:space="preserve"> PAGEREF _Toc352160738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lang w:eastAsia="en-AU"/>
        </w:rPr>
      </w:pPr>
      <w:r>
        <w:t>3.1</w:t>
      </w:r>
      <w:r>
        <w:tab/>
        <w:t>Before entering into a residence contract</w:t>
      </w:r>
      <w:r>
        <w:tab/>
      </w:r>
      <w:r>
        <w:fldChar w:fldCharType="begin"/>
      </w:r>
      <w:r>
        <w:instrText xml:space="preserve"> PAGEREF _Toc352160740 \h </w:instrText>
      </w:r>
      <w:r>
        <w:fldChar w:fldCharType="separate"/>
      </w:r>
      <w:r>
        <w:t>14</w:t>
      </w:r>
      <w:r>
        <w:fldChar w:fldCharType="end"/>
      </w:r>
    </w:p>
    <w:p>
      <w:pPr>
        <w:pStyle w:val="TOC8"/>
        <w:rPr>
          <w:rFonts w:asciiTheme="minorHAnsi" w:eastAsiaTheme="minorEastAsia" w:hAnsiTheme="minorHAnsi" w:cstheme="minorBidi"/>
          <w:szCs w:val="22"/>
          <w:lang w:eastAsia="en-AU"/>
        </w:rPr>
      </w:pPr>
      <w:r>
        <w:t>3.2</w:t>
      </w:r>
      <w:r>
        <w:tab/>
        <w:t>Before entering into a service contract</w:t>
      </w:r>
      <w:r>
        <w:tab/>
      </w:r>
      <w:r>
        <w:fldChar w:fldCharType="begin"/>
      </w:r>
      <w:r>
        <w:instrText xml:space="preserve"> PAGEREF _Toc352160741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Residence contract and service contract</w:t>
      </w:r>
    </w:p>
    <w:p>
      <w:pPr>
        <w:pStyle w:val="TOC8"/>
        <w:rPr>
          <w:rFonts w:asciiTheme="minorHAnsi" w:eastAsiaTheme="minorEastAsia" w:hAnsiTheme="minorHAnsi" w:cstheme="minorBidi"/>
          <w:szCs w:val="22"/>
          <w:lang w:eastAsia="en-AU"/>
        </w:rPr>
      </w:pPr>
      <w:r>
        <w:t>4.1</w:t>
      </w:r>
      <w:r>
        <w:tab/>
        <w:t>Legibility and presentation requirements</w:t>
      </w:r>
      <w:r>
        <w:tab/>
      </w:r>
      <w:r>
        <w:fldChar w:fldCharType="begin"/>
      </w:r>
      <w:r>
        <w:instrText xml:space="preserve"> PAGEREF _Toc352160743 \h </w:instrText>
      </w:r>
      <w:r>
        <w:fldChar w:fldCharType="separate"/>
      </w:r>
      <w:r>
        <w:t>16</w:t>
      </w:r>
      <w:r>
        <w:fldChar w:fldCharType="end"/>
      </w:r>
    </w:p>
    <w:p>
      <w:pPr>
        <w:pStyle w:val="TOC8"/>
        <w:rPr>
          <w:rFonts w:asciiTheme="minorHAnsi" w:eastAsiaTheme="minorEastAsia" w:hAnsiTheme="minorHAnsi" w:cstheme="minorBidi"/>
          <w:szCs w:val="22"/>
          <w:lang w:eastAsia="en-AU"/>
        </w:rPr>
      </w:pPr>
      <w:r>
        <w:t>4.2</w:t>
      </w:r>
      <w:r>
        <w:tab/>
        <w:t>Title and tenure</w:t>
      </w:r>
      <w:r>
        <w:tab/>
      </w:r>
      <w:r>
        <w:fldChar w:fldCharType="begin"/>
      </w:r>
      <w:r>
        <w:instrText xml:space="preserve"> PAGEREF _Toc352160744 \h </w:instrText>
      </w:r>
      <w:r>
        <w:fldChar w:fldCharType="separate"/>
      </w:r>
      <w:r>
        <w:t>18</w:t>
      </w:r>
      <w:r>
        <w:fldChar w:fldCharType="end"/>
      </w:r>
    </w:p>
    <w:p>
      <w:pPr>
        <w:pStyle w:val="TOC8"/>
        <w:rPr>
          <w:rFonts w:asciiTheme="minorHAnsi" w:eastAsiaTheme="minorEastAsia" w:hAnsiTheme="minorHAnsi" w:cstheme="minorBidi"/>
          <w:szCs w:val="22"/>
          <w:lang w:eastAsia="en-AU"/>
        </w:rPr>
      </w:pPr>
      <w:r>
        <w:t>4.3</w:t>
      </w:r>
      <w:r>
        <w:tab/>
        <w:t>Residential premises</w:t>
      </w:r>
      <w:r>
        <w:tab/>
      </w:r>
      <w:r>
        <w:fldChar w:fldCharType="begin"/>
      </w:r>
      <w:r>
        <w:instrText xml:space="preserve"> PAGEREF _Toc352160745 \h </w:instrText>
      </w:r>
      <w:r>
        <w:fldChar w:fldCharType="separate"/>
      </w:r>
      <w:r>
        <w:t>18</w:t>
      </w:r>
      <w:r>
        <w:fldChar w:fldCharType="end"/>
      </w:r>
    </w:p>
    <w:p>
      <w:pPr>
        <w:pStyle w:val="TOC8"/>
        <w:rPr>
          <w:rFonts w:asciiTheme="minorHAnsi" w:eastAsiaTheme="minorEastAsia" w:hAnsiTheme="minorHAnsi" w:cstheme="minorBidi"/>
          <w:szCs w:val="22"/>
          <w:lang w:eastAsia="en-AU"/>
        </w:rPr>
      </w:pPr>
      <w:r>
        <w:t>4.4</w:t>
      </w:r>
      <w:r>
        <w:tab/>
        <w:t>Amenities</w:t>
      </w:r>
      <w:r>
        <w:tab/>
      </w:r>
      <w:r>
        <w:fldChar w:fldCharType="begin"/>
      </w:r>
      <w:r>
        <w:instrText xml:space="preserve"> PAGEREF _Toc352160746 \h </w:instrText>
      </w:r>
      <w:r>
        <w:fldChar w:fldCharType="separate"/>
      </w:r>
      <w:r>
        <w:t>19</w:t>
      </w:r>
      <w:r>
        <w:fldChar w:fldCharType="end"/>
      </w:r>
    </w:p>
    <w:p>
      <w:pPr>
        <w:pStyle w:val="TOC8"/>
        <w:rPr>
          <w:rFonts w:asciiTheme="minorHAnsi" w:eastAsiaTheme="minorEastAsia" w:hAnsiTheme="minorHAnsi" w:cstheme="minorBidi"/>
          <w:szCs w:val="22"/>
          <w:lang w:eastAsia="en-AU"/>
        </w:rPr>
      </w:pPr>
      <w:r>
        <w:t>4.5</w:t>
      </w:r>
      <w:r>
        <w:tab/>
        <w:t>Services</w:t>
      </w:r>
      <w:r>
        <w:tab/>
      </w:r>
      <w:r>
        <w:fldChar w:fldCharType="begin"/>
      </w:r>
      <w:r>
        <w:instrText xml:space="preserve"> PAGEREF _Toc352160747 \h </w:instrText>
      </w:r>
      <w:r>
        <w:fldChar w:fldCharType="separate"/>
      </w:r>
      <w:r>
        <w:t>19</w:t>
      </w:r>
      <w:r>
        <w:fldChar w:fldCharType="end"/>
      </w:r>
    </w:p>
    <w:p>
      <w:pPr>
        <w:pStyle w:val="TOC8"/>
        <w:rPr>
          <w:rFonts w:asciiTheme="minorHAnsi" w:eastAsiaTheme="minorEastAsia" w:hAnsiTheme="minorHAnsi" w:cstheme="minorBidi"/>
          <w:szCs w:val="22"/>
          <w:lang w:eastAsia="en-AU"/>
        </w:rPr>
      </w:pPr>
      <w:r>
        <w:t>4.6</w:t>
      </w:r>
      <w:r>
        <w:tab/>
        <w:t>Payment of premium and refund entitlement</w:t>
      </w:r>
      <w:r>
        <w:tab/>
      </w:r>
      <w:r>
        <w:fldChar w:fldCharType="begin"/>
      </w:r>
      <w:r>
        <w:instrText xml:space="preserve"> PAGEREF _Toc352160748 \h </w:instrText>
      </w:r>
      <w:r>
        <w:fldChar w:fldCharType="separate"/>
      </w:r>
      <w:r>
        <w:t>20</w:t>
      </w:r>
      <w:r>
        <w:fldChar w:fldCharType="end"/>
      </w:r>
    </w:p>
    <w:p>
      <w:pPr>
        <w:pStyle w:val="TOC8"/>
        <w:rPr>
          <w:rFonts w:asciiTheme="minorHAnsi" w:eastAsiaTheme="minorEastAsia" w:hAnsiTheme="minorHAnsi" w:cstheme="minorBidi"/>
          <w:szCs w:val="22"/>
          <w:lang w:eastAsia="en-AU"/>
        </w:rPr>
      </w:pPr>
      <w:r>
        <w:t>4.7</w:t>
      </w:r>
      <w:r>
        <w:tab/>
        <w:t>Charges for village operating costs</w:t>
      </w:r>
      <w:r>
        <w:tab/>
      </w:r>
      <w:r>
        <w:fldChar w:fldCharType="begin"/>
      </w:r>
      <w:r>
        <w:instrText xml:space="preserve"> PAGEREF _Toc352160749 \h </w:instrText>
      </w:r>
      <w:r>
        <w:fldChar w:fldCharType="separate"/>
      </w:r>
      <w:r>
        <w:t>20</w:t>
      </w:r>
      <w:r>
        <w:fldChar w:fldCharType="end"/>
      </w:r>
    </w:p>
    <w:p>
      <w:pPr>
        <w:pStyle w:val="TOC8"/>
        <w:rPr>
          <w:rFonts w:asciiTheme="minorHAnsi" w:eastAsiaTheme="minorEastAsia" w:hAnsiTheme="minorHAnsi" w:cstheme="minorBidi"/>
          <w:szCs w:val="22"/>
          <w:lang w:eastAsia="en-AU"/>
        </w:rPr>
      </w:pPr>
      <w:r>
        <w:t>4.8</w:t>
      </w:r>
      <w:r>
        <w:tab/>
        <w:t>Reserve funds</w:t>
      </w:r>
      <w:r>
        <w:tab/>
      </w:r>
      <w:r>
        <w:fldChar w:fldCharType="begin"/>
      </w:r>
      <w:r>
        <w:instrText xml:space="preserve"> PAGEREF _Toc352160750 \h </w:instrText>
      </w:r>
      <w:r>
        <w:fldChar w:fldCharType="separate"/>
      </w:r>
      <w:r>
        <w:t>21</w:t>
      </w:r>
      <w:r>
        <w:fldChar w:fldCharType="end"/>
      </w:r>
    </w:p>
    <w:p>
      <w:pPr>
        <w:pStyle w:val="TOC8"/>
        <w:rPr>
          <w:rFonts w:asciiTheme="minorHAnsi" w:eastAsiaTheme="minorEastAsia" w:hAnsiTheme="minorHAnsi" w:cstheme="minorBidi"/>
          <w:szCs w:val="22"/>
          <w:lang w:eastAsia="en-AU"/>
        </w:rPr>
      </w:pPr>
      <w:r>
        <w:t>4.9</w:t>
      </w:r>
      <w:r>
        <w:tab/>
        <w:t>Relocation</w:t>
      </w:r>
      <w:r>
        <w:tab/>
      </w:r>
      <w:r>
        <w:fldChar w:fldCharType="begin"/>
      </w:r>
      <w:r>
        <w:instrText xml:space="preserve"> PAGEREF _Toc352160751 \h </w:instrText>
      </w:r>
      <w:r>
        <w:fldChar w:fldCharType="separate"/>
      </w:r>
      <w:r>
        <w:t>21</w:t>
      </w:r>
      <w:r>
        <w:fldChar w:fldCharType="end"/>
      </w:r>
    </w:p>
    <w:p>
      <w:pPr>
        <w:pStyle w:val="TOC8"/>
        <w:rPr>
          <w:rFonts w:asciiTheme="minorHAnsi" w:eastAsiaTheme="minorEastAsia" w:hAnsiTheme="minorHAnsi" w:cstheme="minorBidi"/>
          <w:szCs w:val="22"/>
          <w:lang w:eastAsia="en-AU"/>
        </w:rPr>
      </w:pPr>
      <w:r>
        <w:t>4.10</w:t>
      </w:r>
      <w:r>
        <w:tab/>
        <w:t>Termination of residence contract and fees payable on termination</w:t>
      </w:r>
      <w:r>
        <w:tab/>
      </w:r>
      <w:r>
        <w:fldChar w:fldCharType="begin"/>
      </w:r>
      <w:r>
        <w:instrText xml:space="preserve"> PAGEREF _Toc352160752 \h </w:instrText>
      </w:r>
      <w:r>
        <w:fldChar w:fldCharType="separate"/>
      </w:r>
      <w:r>
        <w:t>22</w:t>
      </w:r>
      <w:r>
        <w:fldChar w:fldCharType="end"/>
      </w:r>
    </w:p>
    <w:p>
      <w:pPr>
        <w:pStyle w:val="TOC8"/>
        <w:rPr>
          <w:rFonts w:asciiTheme="minorHAnsi" w:eastAsiaTheme="minorEastAsia" w:hAnsiTheme="minorHAnsi" w:cstheme="minorBidi"/>
          <w:szCs w:val="22"/>
          <w:lang w:eastAsia="en-AU"/>
        </w:rPr>
      </w:pPr>
      <w:r>
        <w:t>4.11</w:t>
      </w:r>
      <w:r>
        <w:tab/>
        <w:t xml:space="preserve">Residence contract to refer to this Code and the </w:t>
      </w:r>
      <w:r>
        <w:rPr>
          <w:i/>
        </w:rPr>
        <w:t>Retirement Villages Act 1992</w:t>
      </w:r>
      <w:r>
        <w:tab/>
      </w:r>
      <w:r>
        <w:fldChar w:fldCharType="begin"/>
      </w:r>
      <w:r>
        <w:instrText xml:space="preserve"> PAGEREF _Toc352160753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Village management</w:t>
      </w:r>
    </w:p>
    <w:p>
      <w:pPr>
        <w:pStyle w:val="TOC8"/>
        <w:rPr>
          <w:rFonts w:asciiTheme="minorHAnsi" w:eastAsiaTheme="minorEastAsia" w:hAnsiTheme="minorHAnsi" w:cstheme="minorBidi"/>
          <w:szCs w:val="22"/>
          <w:lang w:eastAsia="en-AU"/>
        </w:rPr>
      </w:pPr>
      <w:r>
        <w:t>5.1</w:t>
      </w:r>
      <w:r>
        <w:tab/>
        <w:t>Interpretation</w:t>
      </w:r>
      <w:r>
        <w:tab/>
      </w:r>
      <w:r>
        <w:fldChar w:fldCharType="begin"/>
      </w:r>
      <w:r>
        <w:instrText xml:space="preserve"> PAGEREF _Toc352160755 \h </w:instrText>
      </w:r>
      <w:r>
        <w:fldChar w:fldCharType="separate"/>
      </w:r>
      <w:r>
        <w:t>23</w:t>
      </w:r>
      <w:r>
        <w:fldChar w:fldCharType="end"/>
      </w:r>
    </w:p>
    <w:p>
      <w:pPr>
        <w:pStyle w:val="TOC8"/>
        <w:rPr>
          <w:rFonts w:asciiTheme="minorHAnsi" w:eastAsiaTheme="minorEastAsia" w:hAnsiTheme="minorHAnsi" w:cstheme="minorBidi"/>
          <w:szCs w:val="22"/>
          <w:lang w:eastAsia="en-AU"/>
        </w:rPr>
      </w:pPr>
      <w:r>
        <w:t>5.2</w:t>
      </w:r>
      <w:r>
        <w:tab/>
        <w:t>Management procedures and resident consultation</w:t>
      </w:r>
      <w:r>
        <w:tab/>
      </w:r>
      <w:r>
        <w:fldChar w:fldCharType="begin"/>
      </w:r>
      <w:r>
        <w:instrText xml:space="preserve"> PAGEREF _Toc352160756 \h </w:instrText>
      </w:r>
      <w:r>
        <w:fldChar w:fldCharType="separate"/>
      </w:r>
      <w:r>
        <w:t>24</w:t>
      </w:r>
      <w:r>
        <w:fldChar w:fldCharType="end"/>
      </w:r>
    </w:p>
    <w:p>
      <w:pPr>
        <w:pStyle w:val="TOC8"/>
        <w:rPr>
          <w:rFonts w:asciiTheme="minorHAnsi" w:eastAsiaTheme="minorEastAsia" w:hAnsiTheme="minorHAnsi" w:cstheme="minorBidi"/>
          <w:szCs w:val="22"/>
          <w:lang w:eastAsia="en-AU"/>
        </w:rPr>
      </w:pPr>
      <w:r>
        <w:t>5.3</w:t>
      </w:r>
      <w:r>
        <w:tab/>
        <w:t>Village operating budget</w:t>
      </w:r>
      <w:r>
        <w:tab/>
      </w:r>
      <w:r>
        <w:fldChar w:fldCharType="begin"/>
      </w:r>
      <w:r>
        <w:instrText xml:space="preserve"> PAGEREF _Toc352160757 \h </w:instrText>
      </w:r>
      <w:r>
        <w:fldChar w:fldCharType="separate"/>
      </w:r>
      <w:r>
        <w:t>26</w:t>
      </w:r>
      <w:r>
        <w:fldChar w:fldCharType="end"/>
      </w:r>
    </w:p>
    <w:p>
      <w:pPr>
        <w:pStyle w:val="TOC8"/>
        <w:rPr>
          <w:rFonts w:asciiTheme="minorHAnsi" w:eastAsiaTheme="minorEastAsia" w:hAnsiTheme="minorHAnsi" w:cstheme="minorBidi"/>
          <w:szCs w:val="22"/>
          <w:lang w:eastAsia="en-AU"/>
        </w:rPr>
      </w:pPr>
      <w:r>
        <w:t>5.4</w:t>
      </w:r>
      <w:r>
        <w:tab/>
        <w:t>Quarterly operating income and expenditure statements</w:t>
      </w:r>
      <w:r>
        <w:tab/>
      </w:r>
      <w:r>
        <w:fldChar w:fldCharType="begin"/>
      </w:r>
      <w:r>
        <w:instrText xml:space="preserve"> PAGEREF _Toc352160758 \h </w:instrText>
      </w:r>
      <w:r>
        <w:fldChar w:fldCharType="separate"/>
      </w:r>
      <w:r>
        <w:t>27</w:t>
      </w:r>
      <w:r>
        <w:fldChar w:fldCharType="end"/>
      </w:r>
    </w:p>
    <w:p>
      <w:pPr>
        <w:pStyle w:val="TOC8"/>
        <w:rPr>
          <w:rFonts w:asciiTheme="minorHAnsi" w:eastAsiaTheme="minorEastAsia" w:hAnsiTheme="minorHAnsi" w:cstheme="minorBidi"/>
          <w:szCs w:val="22"/>
          <w:lang w:eastAsia="en-AU"/>
        </w:rPr>
      </w:pPr>
      <w:r>
        <w:t>5.5</w:t>
      </w:r>
      <w:r>
        <w:tab/>
        <w:t>Annual accounts</w:t>
      </w:r>
      <w:r>
        <w:tab/>
      </w:r>
      <w:r>
        <w:fldChar w:fldCharType="begin"/>
      </w:r>
      <w:r>
        <w:instrText xml:space="preserve"> PAGEREF _Toc352160759 \h </w:instrText>
      </w:r>
      <w:r>
        <w:fldChar w:fldCharType="separate"/>
      </w:r>
      <w:r>
        <w:t>28</w:t>
      </w:r>
      <w:r>
        <w:fldChar w:fldCharType="end"/>
      </w:r>
    </w:p>
    <w:p>
      <w:pPr>
        <w:pStyle w:val="TOC8"/>
        <w:rPr>
          <w:rFonts w:asciiTheme="minorHAnsi" w:eastAsiaTheme="minorEastAsia" w:hAnsiTheme="minorHAnsi" w:cstheme="minorBidi"/>
          <w:szCs w:val="22"/>
          <w:lang w:eastAsia="en-AU"/>
        </w:rPr>
      </w:pPr>
      <w:r>
        <w:t>5.6</w:t>
      </w:r>
      <w:r>
        <w:tab/>
        <w:t>Budget surplus</w:t>
      </w:r>
      <w:r>
        <w:tab/>
      </w:r>
      <w:r>
        <w:fldChar w:fldCharType="begin"/>
      </w:r>
      <w:r>
        <w:instrText xml:space="preserve"> PAGEREF _Toc352160760 \h </w:instrText>
      </w:r>
      <w:r>
        <w:fldChar w:fldCharType="separate"/>
      </w:r>
      <w:r>
        <w:t>29</w:t>
      </w:r>
      <w:r>
        <w:fldChar w:fldCharType="end"/>
      </w:r>
    </w:p>
    <w:p>
      <w:pPr>
        <w:pStyle w:val="TOC8"/>
        <w:rPr>
          <w:rFonts w:asciiTheme="minorHAnsi" w:eastAsiaTheme="minorEastAsia" w:hAnsiTheme="minorHAnsi" w:cstheme="minorBidi"/>
          <w:szCs w:val="22"/>
          <w:lang w:eastAsia="en-AU"/>
        </w:rPr>
      </w:pPr>
      <w:r>
        <w:t>5.7</w:t>
      </w:r>
      <w:r>
        <w:tab/>
        <w:t>Marketing of residential premises</w:t>
      </w:r>
      <w:r>
        <w:tab/>
      </w:r>
      <w:r>
        <w:fldChar w:fldCharType="begin"/>
      </w:r>
      <w:r>
        <w:instrText xml:space="preserve"> PAGEREF _Toc352160761 \h </w:instrText>
      </w:r>
      <w:r>
        <w:fldChar w:fldCharType="separate"/>
      </w:r>
      <w:r>
        <w:t>29</w:t>
      </w:r>
      <w:r>
        <w:fldChar w:fldCharType="end"/>
      </w:r>
    </w:p>
    <w:p>
      <w:pPr>
        <w:pStyle w:val="TOC8"/>
        <w:rPr>
          <w:rFonts w:asciiTheme="minorHAnsi" w:eastAsiaTheme="minorEastAsia" w:hAnsiTheme="minorHAnsi" w:cstheme="minorBidi"/>
          <w:szCs w:val="22"/>
          <w:lang w:eastAsia="en-AU"/>
        </w:rPr>
      </w:pPr>
      <w:r>
        <w:t>5.8</w:t>
      </w:r>
      <w:r>
        <w:tab/>
        <w:t>Repair and refurbishment of residential premises</w:t>
      </w:r>
      <w:r>
        <w:tab/>
      </w:r>
      <w:r>
        <w:fldChar w:fldCharType="begin"/>
      </w:r>
      <w:r>
        <w:instrText xml:space="preserve"> PAGEREF _Toc352160762 \h </w:instrText>
      </w:r>
      <w:r>
        <w:fldChar w:fldCharType="separate"/>
      </w:r>
      <w:r>
        <w:t>29</w:t>
      </w:r>
      <w:r>
        <w:fldChar w:fldCharType="end"/>
      </w:r>
    </w:p>
    <w:p>
      <w:pPr>
        <w:pStyle w:val="TOC8"/>
        <w:rPr>
          <w:rFonts w:asciiTheme="minorHAnsi" w:eastAsiaTheme="minorEastAsia" w:hAnsiTheme="minorHAnsi" w:cstheme="minorBidi"/>
          <w:szCs w:val="22"/>
          <w:lang w:eastAsia="en-AU"/>
        </w:rPr>
      </w:pPr>
      <w:r>
        <w:t>5.9</w:t>
      </w:r>
      <w:r>
        <w:tab/>
        <w:t>Residence rules</w:t>
      </w:r>
      <w:r>
        <w:tab/>
      </w:r>
      <w:r>
        <w:fldChar w:fldCharType="begin"/>
      </w:r>
      <w:r>
        <w:instrText xml:space="preserve"> PAGEREF _Toc352160763 \h </w:instrText>
      </w:r>
      <w:r>
        <w:fldChar w:fldCharType="separate"/>
      </w:r>
      <w:r>
        <w:t>30</w:t>
      </w:r>
      <w:r>
        <w:fldChar w:fldCharType="end"/>
      </w:r>
    </w:p>
    <w:p>
      <w:pPr>
        <w:pStyle w:val="TOC8"/>
        <w:rPr>
          <w:rFonts w:asciiTheme="minorHAnsi" w:eastAsiaTheme="minorEastAsia" w:hAnsiTheme="minorHAnsi" w:cstheme="minorBidi"/>
          <w:szCs w:val="22"/>
          <w:lang w:eastAsia="en-AU"/>
        </w:rPr>
      </w:pPr>
      <w:r>
        <w:t>5.10</w:t>
      </w:r>
      <w:r>
        <w:tab/>
        <w:t>Residents’ committee</w:t>
      </w:r>
      <w:r>
        <w:tab/>
      </w:r>
      <w:r>
        <w:fldChar w:fldCharType="begin"/>
      </w:r>
      <w:r>
        <w:instrText xml:space="preserve"> PAGEREF _Toc352160764 \h </w:instrText>
      </w:r>
      <w:r>
        <w:fldChar w:fldCharType="separate"/>
      </w:r>
      <w:r>
        <w:t>31</w:t>
      </w:r>
      <w:r>
        <w:fldChar w:fldCharType="end"/>
      </w:r>
    </w:p>
    <w:p>
      <w:pPr>
        <w:pStyle w:val="TOC8"/>
        <w:rPr>
          <w:rFonts w:asciiTheme="minorHAnsi" w:eastAsiaTheme="minorEastAsia" w:hAnsiTheme="minorHAnsi" w:cstheme="minorBidi"/>
          <w:szCs w:val="22"/>
          <w:lang w:eastAsia="en-AU"/>
        </w:rPr>
      </w:pPr>
      <w:r>
        <w:t>5.11</w:t>
      </w:r>
      <w:r>
        <w:tab/>
        <w:t>Residents’ meetings</w:t>
      </w:r>
      <w:r>
        <w:tab/>
      </w:r>
      <w:r>
        <w:fldChar w:fldCharType="begin"/>
      </w:r>
      <w:r>
        <w:instrText xml:space="preserve"> PAGEREF _Toc352160765 \h </w:instrText>
      </w:r>
      <w:r>
        <w:fldChar w:fldCharType="separate"/>
      </w:r>
      <w:r>
        <w:t>32</w:t>
      </w:r>
      <w:r>
        <w:fldChar w:fldCharType="end"/>
      </w:r>
    </w:p>
    <w:p>
      <w:pPr>
        <w:pStyle w:val="TOC8"/>
        <w:rPr>
          <w:rFonts w:asciiTheme="minorHAnsi" w:eastAsiaTheme="minorEastAsia" w:hAnsiTheme="minorHAnsi" w:cstheme="minorBidi"/>
          <w:szCs w:val="22"/>
          <w:lang w:eastAsia="en-AU"/>
        </w:rPr>
      </w:pPr>
      <w:r>
        <w:t>5.12</w:t>
      </w:r>
      <w:r>
        <w:tab/>
        <w:t>Proxy voting</w:t>
      </w:r>
      <w:r>
        <w:tab/>
      </w:r>
      <w:r>
        <w:fldChar w:fldCharType="begin"/>
      </w:r>
      <w:r>
        <w:instrText xml:space="preserve"> PAGEREF _Toc352160766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Dispute resolution</w:t>
      </w:r>
    </w:p>
    <w:p>
      <w:pPr>
        <w:pStyle w:val="TOC8"/>
        <w:rPr>
          <w:rFonts w:asciiTheme="minorHAnsi" w:eastAsiaTheme="minorEastAsia" w:hAnsiTheme="minorHAnsi" w:cstheme="minorBidi"/>
          <w:szCs w:val="22"/>
          <w:lang w:eastAsia="en-AU"/>
        </w:rPr>
      </w:pPr>
      <w:r>
        <w:t>6.1</w:t>
      </w:r>
      <w:r>
        <w:tab/>
        <w:t>Interpretation</w:t>
      </w:r>
      <w:r>
        <w:tab/>
      </w:r>
      <w:r>
        <w:fldChar w:fldCharType="begin"/>
      </w:r>
      <w:r>
        <w:instrText xml:space="preserve"> PAGEREF _Toc352160768 \h </w:instrText>
      </w:r>
      <w:r>
        <w:fldChar w:fldCharType="separate"/>
      </w:r>
      <w:r>
        <w:t>35</w:t>
      </w:r>
      <w:r>
        <w:fldChar w:fldCharType="end"/>
      </w:r>
    </w:p>
    <w:p>
      <w:pPr>
        <w:pStyle w:val="TOC8"/>
        <w:rPr>
          <w:rFonts w:asciiTheme="minorHAnsi" w:eastAsiaTheme="minorEastAsia" w:hAnsiTheme="minorHAnsi" w:cstheme="minorBidi"/>
          <w:szCs w:val="22"/>
          <w:lang w:eastAsia="en-AU"/>
        </w:rPr>
      </w:pPr>
      <w:r>
        <w:t>6.2</w:t>
      </w:r>
      <w:r>
        <w:tab/>
        <w:t>Village dispute process</w:t>
      </w:r>
      <w:r>
        <w:tab/>
      </w:r>
      <w:r>
        <w:fldChar w:fldCharType="begin"/>
      </w:r>
      <w:r>
        <w:instrText xml:space="preserve"> PAGEREF _Toc352160769 \h </w:instrText>
      </w:r>
      <w:r>
        <w:fldChar w:fldCharType="separate"/>
      </w:r>
      <w:r>
        <w:t>35</w:t>
      </w:r>
      <w:r>
        <w:fldChar w:fldCharType="end"/>
      </w:r>
    </w:p>
    <w:p>
      <w:pPr>
        <w:pStyle w:val="TOC8"/>
        <w:rPr>
          <w:rFonts w:asciiTheme="minorHAnsi" w:eastAsiaTheme="minorEastAsia" w:hAnsiTheme="minorHAnsi" w:cstheme="minorBidi"/>
          <w:szCs w:val="22"/>
          <w:lang w:eastAsia="en-AU"/>
        </w:rPr>
      </w:pPr>
      <w:r>
        <w:t>6.3</w:t>
      </w:r>
      <w:r>
        <w:tab/>
        <w:t>Mediation of dispute</w:t>
      </w:r>
      <w:r>
        <w:tab/>
      </w:r>
      <w:r>
        <w:fldChar w:fldCharType="begin"/>
      </w:r>
      <w:r>
        <w:instrText xml:space="preserve"> PAGEREF _Toc352160770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Termination of residence contracts</w:t>
      </w:r>
    </w:p>
    <w:p>
      <w:pPr>
        <w:pStyle w:val="TOC8"/>
        <w:rPr>
          <w:rFonts w:asciiTheme="minorHAnsi" w:eastAsiaTheme="minorEastAsia" w:hAnsiTheme="minorHAnsi" w:cstheme="minorBidi"/>
          <w:szCs w:val="22"/>
          <w:lang w:eastAsia="en-AU"/>
        </w:rPr>
      </w:pPr>
      <w:r>
        <w:t>7.1</w:t>
      </w:r>
      <w:r>
        <w:tab/>
        <w:t>Notice of intention to terminate</w:t>
      </w:r>
      <w:r>
        <w:tab/>
      </w:r>
      <w:r>
        <w:fldChar w:fldCharType="begin"/>
      </w:r>
      <w:r>
        <w:instrText xml:space="preserve"> PAGEREF _Toc352160772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Miscellaneous</w:t>
      </w:r>
    </w:p>
    <w:p>
      <w:pPr>
        <w:pStyle w:val="TOC8"/>
        <w:rPr>
          <w:rFonts w:asciiTheme="minorHAnsi" w:eastAsiaTheme="minorEastAsia" w:hAnsiTheme="minorHAnsi" w:cstheme="minorBidi"/>
          <w:szCs w:val="22"/>
          <w:lang w:eastAsia="en-AU"/>
        </w:rPr>
      </w:pPr>
      <w:r>
        <w:t>8.1</w:t>
      </w:r>
      <w:r>
        <w:tab/>
        <w:t>Service of documents</w:t>
      </w:r>
      <w:r>
        <w:tab/>
      </w:r>
      <w:r>
        <w:fldChar w:fldCharType="begin"/>
      </w:r>
      <w:r>
        <w:instrText xml:space="preserve"> PAGEREF _Toc352160774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Appendix 1 — Checklist for prospective resident</w:t>
      </w:r>
    </w:p>
    <w:p>
      <w:pPr>
        <w:pStyle w:val="TOC2"/>
        <w:tabs>
          <w:tab w:val="right" w:leader="dot" w:pos="7086"/>
        </w:tabs>
        <w:rPr>
          <w:rFonts w:asciiTheme="minorHAnsi" w:eastAsiaTheme="minorEastAsia" w:hAnsiTheme="minorHAnsi" w:cstheme="minorBidi"/>
          <w:b w:val="0"/>
          <w:sz w:val="22"/>
          <w:szCs w:val="22"/>
          <w:lang w:eastAsia="en-AU"/>
        </w:rPr>
      </w:pPr>
      <w:r>
        <w:t>Appendix 2 — Model proposed operating budget form</w:t>
      </w:r>
    </w:p>
    <w:p>
      <w:pPr>
        <w:pStyle w:val="TOC2"/>
        <w:tabs>
          <w:tab w:val="right" w:leader="dot" w:pos="7086"/>
        </w:tabs>
        <w:rPr>
          <w:rFonts w:asciiTheme="minorHAnsi" w:eastAsiaTheme="minorEastAsia" w:hAnsiTheme="minorHAnsi" w:cstheme="minorBidi"/>
          <w:b w:val="0"/>
          <w:sz w:val="22"/>
          <w:szCs w:val="22"/>
          <w:lang w:eastAsia="en-AU"/>
        </w:rPr>
      </w:pPr>
      <w:r>
        <w:t>Appendix 3 — Model quarterly income and expenditure statement</w:t>
      </w:r>
    </w:p>
    <w:p>
      <w:pPr>
        <w:pStyle w:val="TOC2"/>
        <w:tabs>
          <w:tab w:val="right" w:leader="dot" w:pos="7086"/>
        </w:tabs>
        <w:rPr>
          <w:rFonts w:asciiTheme="minorHAnsi" w:eastAsiaTheme="minorEastAsia" w:hAnsiTheme="minorHAnsi" w:cstheme="minorBidi"/>
          <w:b w:val="0"/>
          <w:sz w:val="22"/>
          <w:szCs w:val="22"/>
          <w:lang w:eastAsia="en-AU"/>
        </w:rPr>
      </w:pPr>
      <w:r>
        <w:t>Appendix 4 — Model reserve fund quarterly income and expenditure statement</w:t>
      </w:r>
    </w:p>
    <w:p>
      <w:pPr>
        <w:pStyle w:val="TOC2"/>
        <w:tabs>
          <w:tab w:val="right" w:leader="dot" w:pos="7086"/>
        </w:tabs>
        <w:rPr>
          <w:rFonts w:asciiTheme="minorHAnsi" w:eastAsiaTheme="minorEastAsia" w:hAnsiTheme="minorHAnsi" w:cstheme="minorBidi"/>
          <w:b w:val="0"/>
          <w:sz w:val="22"/>
          <w:szCs w:val="22"/>
          <w:lang w:eastAsia="en-AU"/>
        </w:rPr>
      </w:pPr>
      <w:r>
        <w:t>Appendix 5 — Form of appointment of proxy</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_Toc352160781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2010</w:t>
      </w:r>
    </w:p>
    <w:p>
      <w:pPr>
        <w:pStyle w:val="NameofActReg"/>
      </w:pPr>
      <w:r>
        <w:t>Fair Trading (Retirement Villages Interim Code) Regulations 2013</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46019056"/>
      <w:bookmarkStart w:id="9" w:name="_Toc347312777"/>
      <w:bookmarkStart w:id="10" w:name="_Toc347319740"/>
      <w:bookmarkStart w:id="11" w:name="_Toc352160721"/>
      <w:r>
        <w:rPr>
          <w:rStyle w:val="CharSectno"/>
        </w:rPr>
        <w:t>1</w:t>
      </w:r>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Fair Trading (Retirement Villages Interim Code) Regulations 2013</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46019057"/>
      <w:bookmarkStart w:id="21" w:name="_Toc347312778"/>
      <w:bookmarkStart w:id="22" w:name="_Toc347319741"/>
      <w:bookmarkStart w:id="23" w:name="_Toc352160722"/>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2013.</w:t>
      </w:r>
    </w:p>
    <w:p>
      <w:pPr>
        <w:pStyle w:val="Heading5"/>
        <w:rPr>
          <w:snapToGrid w:val="0"/>
        </w:rPr>
      </w:pPr>
      <w:bookmarkStart w:id="24" w:name="_Toc352136909"/>
      <w:bookmarkStart w:id="25" w:name="_Toc352160723"/>
      <w:r>
        <w:rPr>
          <w:rStyle w:val="CharSectno"/>
        </w:rPr>
        <w:t>3</w:t>
      </w:r>
      <w:r>
        <w:rPr>
          <w:snapToGrid w:val="0"/>
        </w:rPr>
        <w:t>.</w:t>
      </w:r>
      <w:r>
        <w:rPr>
          <w:snapToGrid w:val="0"/>
        </w:rPr>
        <w:tab/>
        <w:t>Code of practice prescribed</w:t>
      </w:r>
      <w:bookmarkEnd w:id="24"/>
      <w:bookmarkEnd w:id="25"/>
    </w:p>
    <w:p>
      <w:pPr>
        <w:pStyle w:val="Subsection"/>
      </w:pPr>
      <w:r>
        <w:tab/>
        <w:t>(1)</w:t>
      </w:r>
      <w:r>
        <w:tab/>
        <w:t xml:space="preserve">The code of practice set out in Schedule 1 and cited as the </w:t>
      </w:r>
      <w:r>
        <w:rPr>
          <w:i/>
        </w:rPr>
        <w:t>Interim Code of Fair Practice for Retirement Villages 2013</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 xml:space="preserve">Interim Code of Fair Practice for Retirement Villages 2013 </w:t>
      </w:r>
      <w:r>
        <w:t>is to remain in force for the period of 6 months beginning on 1 April 2013.</w:t>
      </w:r>
    </w:p>
    <w:p>
      <w:pPr>
        <w:pStyle w:val="Heading5"/>
      </w:pPr>
      <w:bookmarkStart w:id="26" w:name="_Toc352136910"/>
      <w:bookmarkStart w:id="27" w:name="_Toc352160724"/>
      <w:r>
        <w:rPr>
          <w:rStyle w:val="CharSectno"/>
        </w:rPr>
        <w:t>4</w:t>
      </w:r>
      <w:r>
        <w:t>.</w:t>
      </w:r>
      <w:r>
        <w:tab/>
        <w:t>Terms used in the code of practice</w:t>
      </w:r>
      <w:bookmarkEnd w:id="26"/>
      <w:bookmarkEnd w:id="27"/>
    </w:p>
    <w:p>
      <w:pPr>
        <w:pStyle w:val="Subsection"/>
      </w:pPr>
      <w:r>
        <w:tab/>
        <w:t>(1)</w:t>
      </w:r>
      <w:r>
        <w:tab/>
        <w:t xml:space="preserve">Except where the contrary intention appears, words and expressions used in the </w:t>
      </w:r>
      <w:r>
        <w:rPr>
          <w:i/>
        </w:rPr>
        <w:t>Interim Code of Fair Practice for Retirement Villages 2013</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2013</w:t>
      </w:r>
      <w:r>
        <w:t xml:space="preserve"> are not part of the Code and are included only to assist readers of the Code.</w:t>
      </w:r>
    </w:p>
    <w:p>
      <w:pPr>
        <w:pStyle w:val="Heading5"/>
      </w:pPr>
      <w:bookmarkStart w:id="28" w:name="_Toc352136911"/>
      <w:bookmarkStart w:id="29" w:name="_Toc352160725"/>
      <w:r>
        <w:rPr>
          <w:rStyle w:val="CharSectno"/>
        </w:rPr>
        <w:t>5</w:t>
      </w:r>
      <w:r>
        <w:t>.</w:t>
      </w:r>
      <w:r>
        <w:tab/>
      </w:r>
      <w:r>
        <w:rPr>
          <w:i/>
        </w:rPr>
        <w:t>Fair Trading (Retirement Villages Interim Code) Regulations 2012</w:t>
      </w:r>
      <w:r>
        <w:t> repealed</w:t>
      </w:r>
      <w:bookmarkEnd w:id="28"/>
      <w:bookmarkEnd w:id="29"/>
    </w:p>
    <w:p>
      <w:pPr>
        <w:pStyle w:val="Subsection"/>
      </w:pPr>
      <w:r>
        <w:tab/>
      </w:r>
      <w:r>
        <w:tab/>
        <w:t xml:space="preserve">The </w:t>
      </w:r>
      <w:r>
        <w:rPr>
          <w:i/>
        </w:rPr>
        <w:t>Fair Trading (Retirement Villages Interim Code) Regulations 2012</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0" w:name="_Toc352136912"/>
    </w:p>
    <w:p>
      <w:pPr>
        <w:pStyle w:val="yScheduleHeading"/>
        <w:outlineLvl w:val="0"/>
      </w:pPr>
      <w:bookmarkStart w:id="31" w:name="_Toc352154970"/>
      <w:bookmarkStart w:id="32" w:name="_Toc352155034"/>
      <w:bookmarkStart w:id="33" w:name="_Toc352156504"/>
      <w:bookmarkStart w:id="34" w:name="_Toc352156752"/>
      <w:bookmarkStart w:id="35" w:name="_Toc352157306"/>
      <w:bookmarkStart w:id="36" w:name="_Toc352157721"/>
      <w:bookmarkStart w:id="37" w:name="_Toc352160602"/>
      <w:bookmarkStart w:id="38" w:name="_Toc352160664"/>
      <w:bookmarkStart w:id="39" w:name="_Toc352160726"/>
      <w:r>
        <w:rPr>
          <w:rStyle w:val="CharSchNo"/>
        </w:rPr>
        <w:t>Schedule 1</w:t>
      </w:r>
      <w:r>
        <w:rPr>
          <w:rStyle w:val="CharSDivNo"/>
        </w:rPr>
        <w:t> </w:t>
      </w:r>
      <w:r>
        <w:t>—</w:t>
      </w:r>
      <w:r>
        <w:rPr>
          <w:rStyle w:val="CharSDivText"/>
        </w:rPr>
        <w:t> </w:t>
      </w:r>
      <w:r>
        <w:rPr>
          <w:rStyle w:val="CharSchText"/>
          <w:i/>
        </w:rPr>
        <w:t>Interim Code of Fair Practice for Retirement Villages 2013</w:t>
      </w:r>
      <w:bookmarkEnd w:id="30"/>
      <w:bookmarkEnd w:id="31"/>
      <w:bookmarkEnd w:id="32"/>
      <w:bookmarkEnd w:id="33"/>
      <w:bookmarkEnd w:id="34"/>
      <w:bookmarkEnd w:id="35"/>
      <w:bookmarkEnd w:id="36"/>
      <w:bookmarkEnd w:id="37"/>
      <w:bookmarkEnd w:id="38"/>
      <w:bookmarkEnd w:id="39"/>
    </w:p>
    <w:p>
      <w:pPr>
        <w:pStyle w:val="yShoulderClause"/>
      </w:pPr>
      <w:r>
        <w:t xml:space="preserve">[r. 3(1)] </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44.  It is, in substance, the same as the </w:t>
      </w:r>
      <w:r>
        <w:rPr>
          <w:i/>
          <w:sz w:val="24"/>
          <w:szCs w:val="24"/>
        </w:rPr>
        <w:t xml:space="preserve">Interim Code of Fair Practice for Retirement Villages 2012, </w:t>
      </w:r>
      <w:r>
        <w:rPr>
          <w:sz w:val="24"/>
          <w:szCs w:val="24"/>
        </w:rPr>
        <w:t>which</w:t>
      </w:r>
      <w:r>
        <w:rPr>
          <w:i/>
          <w:sz w:val="24"/>
          <w:szCs w:val="24"/>
        </w:rPr>
        <w:t xml:space="preserve"> </w:t>
      </w:r>
      <w:r>
        <w:rPr>
          <w:sz w:val="24"/>
          <w:szCs w:val="24"/>
        </w:rPr>
        <w:t>lapsed on 31 March 2013.  This Code will remain in force for 6 months from 1 April 2013, to allow time for consultation and development of a new revised code, in accordance with 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numPr>
          <w:ilvl w:val="0"/>
          <w:numId w:val="34"/>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283" w:hanging="567"/>
        <w:rPr>
          <w:sz w:val="24"/>
          <w:szCs w:val="24"/>
        </w:rPr>
      </w:pPr>
      <w:r>
        <w:rPr>
          <w:sz w:val="24"/>
          <w:szCs w:val="24"/>
        </w:rPr>
        <w:t>the administering cease contravening the Code; and/or</w:t>
      </w:r>
    </w:p>
    <w:p>
      <w:pPr>
        <w:pStyle w:val="yMiscellaneousBody"/>
        <w:numPr>
          <w:ilvl w:val="0"/>
          <w:numId w:val="34"/>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283" w:hanging="567"/>
        <w:rPr>
          <w:sz w:val="24"/>
          <w:szCs w:val="24"/>
        </w:rPr>
      </w:pPr>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rPr>
          <w:rStyle w:val="CharSDivNo"/>
        </w:rPr>
        <w:sectPr>
          <w:headerReference w:type="even" r:id="rId25"/>
          <w:headerReference w:type="default" r:id="rId26"/>
          <w:pgSz w:w="11907" w:h="16840" w:code="9"/>
          <w:pgMar w:top="2381" w:right="2410" w:bottom="3544" w:left="2410" w:header="720" w:footer="3380" w:gutter="0"/>
          <w:cols w:space="720"/>
          <w:docGrid w:linePitch="326"/>
        </w:sectPr>
      </w:pPr>
      <w:bookmarkStart w:id="40" w:name="_Toc352136913"/>
    </w:p>
    <w:p>
      <w:pPr>
        <w:pStyle w:val="yHeading3"/>
      </w:pPr>
      <w:bookmarkStart w:id="41" w:name="_Toc352154971"/>
      <w:bookmarkStart w:id="42" w:name="_Toc352155035"/>
      <w:bookmarkStart w:id="43" w:name="_Toc352156505"/>
      <w:bookmarkStart w:id="44" w:name="_Toc352156753"/>
      <w:bookmarkStart w:id="45" w:name="_Toc352157307"/>
      <w:bookmarkStart w:id="46" w:name="_Toc352157722"/>
      <w:bookmarkStart w:id="47" w:name="_Toc352160603"/>
      <w:bookmarkStart w:id="48" w:name="_Toc352160665"/>
      <w:bookmarkStart w:id="49" w:name="_Toc352160727"/>
      <w:r>
        <w:rPr>
          <w:rStyle w:val="CharSDivNo"/>
        </w:rPr>
        <w:t>Division 1</w:t>
      </w:r>
      <w:r>
        <w:t> — </w:t>
      </w:r>
      <w:r>
        <w:rPr>
          <w:rStyle w:val="CharSDivText"/>
        </w:rPr>
        <w:t>Preliminary</w:t>
      </w:r>
      <w:bookmarkEnd w:id="40"/>
      <w:bookmarkEnd w:id="41"/>
      <w:bookmarkEnd w:id="42"/>
      <w:bookmarkEnd w:id="43"/>
      <w:bookmarkEnd w:id="44"/>
      <w:bookmarkEnd w:id="45"/>
      <w:bookmarkEnd w:id="46"/>
      <w:bookmarkEnd w:id="47"/>
      <w:bookmarkEnd w:id="48"/>
      <w:bookmarkEnd w:id="49"/>
    </w:p>
    <w:p>
      <w:pPr>
        <w:pStyle w:val="yHeading5"/>
        <w:keepLines w:val="0"/>
        <w:spacing w:before="120"/>
        <w:rPr>
          <w:sz w:val="24"/>
        </w:rPr>
      </w:pPr>
      <w:bookmarkStart w:id="50" w:name="_Toc352136914"/>
      <w:bookmarkStart w:id="51" w:name="_Toc352160728"/>
      <w:r>
        <w:rPr>
          <w:rStyle w:val="CharSClsNo"/>
          <w:sz w:val="24"/>
        </w:rPr>
        <w:t>1.1</w:t>
      </w:r>
      <w:r>
        <w:rPr>
          <w:sz w:val="24"/>
        </w:rPr>
        <w:tab/>
        <w:t>Citation</w:t>
      </w:r>
      <w:bookmarkEnd w:id="50"/>
      <w:bookmarkEnd w:id="51"/>
    </w:p>
    <w:p>
      <w:pPr>
        <w:pStyle w:val="ySubsection"/>
      </w:pPr>
      <w:r>
        <w:tab/>
      </w:r>
      <w:r>
        <w:tab/>
        <w:t xml:space="preserve">This Code is the </w:t>
      </w:r>
      <w:r>
        <w:rPr>
          <w:i/>
        </w:rPr>
        <w:t>Interim Code of Fair Practice for Retirement Villages 2013</w:t>
      </w:r>
      <w: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b/>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working day</w:t>
      </w:r>
      <w:r>
        <w:rPr>
          <w:sz w:val="24"/>
          <w:szCs w:val="24"/>
        </w:rPr>
        <w:t xml:space="preserve"> means a day other than a Saturday, a Sunday or a public holiday.</w:t>
      </w:r>
    </w:p>
    <w:p>
      <w:pPr>
        <w:pStyle w:val="yHeading5"/>
        <w:rPr>
          <w:sz w:val="24"/>
        </w:rPr>
      </w:pPr>
      <w:bookmarkStart w:id="52" w:name="_Toc352136915"/>
      <w:bookmarkStart w:id="53" w:name="_Toc352160729"/>
      <w:r>
        <w:rPr>
          <w:rStyle w:val="CharSClsNo"/>
          <w:sz w:val="24"/>
        </w:rPr>
        <w:t>1.2</w:t>
      </w:r>
      <w:r>
        <w:rPr>
          <w:sz w:val="24"/>
        </w:rPr>
        <w:tab/>
        <w:t>Application</w:t>
      </w:r>
      <w:bookmarkEnd w:id="52"/>
      <w:bookmarkEnd w:id="53"/>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(Cwlth).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rStyle w:val="CharPartNo"/>
          <w:sz w:val="24"/>
          <w:szCs w:val="24"/>
        </w:rPr>
        <w:t xml:space="preserve">Note that under the </w:t>
      </w:r>
      <w:r>
        <w:rPr>
          <w:rStyle w:val="CharPartNo"/>
          <w:i/>
          <w:sz w:val="24"/>
          <w:szCs w:val="24"/>
        </w:rPr>
        <w:t>Fair Trading Act 2010</w:t>
      </w:r>
      <w:r>
        <w:rPr>
          <w:rStyle w:val="CharPartNo"/>
          <w:sz w:val="24"/>
          <w:szCs w:val="24"/>
        </w:rPr>
        <w:t xml:space="preserve"> section 10 this Code binds the Crown.</w:t>
      </w:r>
    </w:p>
    <w:p>
      <w:pPr>
        <w:pStyle w:val="yHeading5"/>
        <w:keepLines w:val="0"/>
        <w:rPr>
          <w:sz w:val="24"/>
        </w:rPr>
      </w:pPr>
      <w:bookmarkStart w:id="54" w:name="_Toc352136916"/>
      <w:bookmarkStart w:id="55" w:name="_Toc352160730"/>
      <w:r>
        <w:rPr>
          <w:rStyle w:val="CharSClsNo"/>
          <w:sz w:val="24"/>
        </w:rPr>
        <w:t>1.3</w:t>
      </w:r>
      <w:r>
        <w:rPr>
          <w:sz w:val="24"/>
        </w:rPr>
        <w:tab/>
        <w:t>General principles</w:t>
      </w:r>
      <w:bookmarkEnd w:id="54"/>
      <w:bookmarkEnd w:id="55"/>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56" w:name="_Toc352136917"/>
      <w:bookmarkStart w:id="57" w:name="_Toc352160731"/>
      <w:r>
        <w:rPr>
          <w:rStyle w:val="CharSClsNo"/>
          <w:sz w:val="24"/>
        </w:rPr>
        <w:t>1.4</w:t>
      </w:r>
      <w:r>
        <w:rPr>
          <w:sz w:val="24"/>
        </w:rPr>
        <w:tab/>
        <w:t>Objectives of the Code</w:t>
      </w:r>
      <w:bookmarkEnd w:id="56"/>
      <w:bookmarkEnd w:id="57"/>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58" w:name="_Toc352136918"/>
      <w:bookmarkStart w:id="59" w:name="_Toc352160732"/>
      <w:r>
        <w:rPr>
          <w:rStyle w:val="CharSClsNo"/>
          <w:sz w:val="24"/>
        </w:rPr>
        <w:t>1.5</w:t>
      </w:r>
      <w:r>
        <w:rPr>
          <w:sz w:val="24"/>
        </w:rPr>
        <w:tab/>
        <w:t>Resident’s basic rights</w:t>
      </w:r>
      <w:bookmarkEnd w:id="58"/>
      <w:bookmarkEnd w:id="59"/>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pPr>
      <w:bookmarkStart w:id="60" w:name="_Toc352136919"/>
      <w:bookmarkStart w:id="61" w:name="_Toc352154977"/>
      <w:bookmarkStart w:id="62" w:name="_Toc352155041"/>
      <w:bookmarkStart w:id="63" w:name="_Toc352156511"/>
      <w:bookmarkStart w:id="64" w:name="_Toc352156759"/>
      <w:bookmarkStart w:id="65" w:name="_Toc352157313"/>
      <w:bookmarkStart w:id="66" w:name="_Toc352157728"/>
      <w:bookmarkStart w:id="67" w:name="_Toc352160609"/>
      <w:bookmarkStart w:id="68" w:name="_Toc352160671"/>
      <w:bookmarkStart w:id="69" w:name="_Toc352160733"/>
      <w:r>
        <w:rPr>
          <w:rStyle w:val="CharSDivNo"/>
        </w:rPr>
        <w:t>Division 2</w:t>
      </w:r>
      <w:r>
        <w:t> — </w:t>
      </w:r>
      <w:r>
        <w:rPr>
          <w:rStyle w:val="CharSDivText"/>
        </w:rPr>
        <w:t>Advertising and promotion of retirement villages</w:t>
      </w:r>
      <w:bookmarkEnd w:id="60"/>
      <w:bookmarkEnd w:id="61"/>
      <w:bookmarkEnd w:id="62"/>
      <w:bookmarkEnd w:id="63"/>
      <w:bookmarkEnd w:id="64"/>
      <w:bookmarkEnd w:id="65"/>
      <w:bookmarkEnd w:id="66"/>
      <w:bookmarkEnd w:id="67"/>
      <w:bookmarkEnd w:id="68"/>
      <w:bookmarkEnd w:id="69"/>
    </w:p>
    <w:p>
      <w:pPr>
        <w:pStyle w:val="yHeading5"/>
        <w:rPr>
          <w:sz w:val="24"/>
        </w:rPr>
      </w:pPr>
      <w:bookmarkStart w:id="70" w:name="_Toc352136920"/>
      <w:bookmarkStart w:id="71" w:name="_Toc352160734"/>
      <w:r>
        <w:rPr>
          <w:rStyle w:val="CharSClsNo"/>
          <w:sz w:val="24"/>
        </w:rPr>
        <w:t>2.1</w:t>
      </w:r>
      <w:r>
        <w:rPr>
          <w:sz w:val="24"/>
        </w:rPr>
        <w:tab/>
        <w:t>General</w:t>
      </w:r>
      <w:bookmarkEnd w:id="70"/>
      <w:bookmarkEnd w:id="71"/>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72" w:name="_Toc352136921"/>
      <w:bookmarkStart w:id="73" w:name="_Toc352160735"/>
      <w:r>
        <w:rPr>
          <w:rStyle w:val="CharSClsNo"/>
          <w:sz w:val="24"/>
        </w:rPr>
        <w:t>2.2</w:t>
      </w:r>
      <w:r>
        <w:rPr>
          <w:sz w:val="24"/>
        </w:rPr>
        <w:tab/>
        <w:t>Retirement village developments</w:t>
      </w:r>
      <w:bookmarkEnd w:id="72"/>
      <w:bookmarkEnd w:id="73"/>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74" w:name="_Toc352136922"/>
      <w:bookmarkStart w:id="75" w:name="_Toc352160736"/>
      <w:r>
        <w:rPr>
          <w:rStyle w:val="CharSClsNo"/>
          <w:sz w:val="24"/>
        </w:rPr>
        <w:t>2.3</w:t>
      </w:r>
      <w:r>
        <w:rPr>
          <w:sz w:val="24"/>
        </w:rPr>
        <w:tab/>
        <w:t>Proposed amenities and services</w:t>
      </w:r>
      <w:bookmarkEnd w:id="74"/>
      <w:bookmarkEnd w:id="75"/>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76" w:name="_Toc352136923"/>
      <w:bookmarkStart w:id="77" w:name="_Toc352160737"/>
      <w:r>
        <w:rPr>
          <w:rStyle w:val="CharSClsNo"/>
          <w:sz w:val="24"/>
        </w:rPr>
        <w:t>2.4</w:t>
      </w:r>
      <w:r>
        <w:rPr>
          <w:sz w:val="24"/>
        </w:rPr>
        <w:tab/>
        <w:t>Approvals for facilities that provide residential aged care services</w:t>
      </w:r>
      <w:bookmarkEnd w:id="76"/>
      <w:bookmarkEnd w:id="77"/>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78" w:name="_Toc352136924"/>
      <w:bookmarkStart w:id="79" w:name="_Toc352160738"/>
      <w:r>
        <w:rPr>
          <w:rStyle w:val="CharSClsNo"/>
          <w:sz w:val="24"/>
        </w:rPr>
        <w:t>2.5</w:t>
      </w:r>
      <w:r>
        <w:tab/>
      </w:r>
      <w:r>
        <w:rPr>
          <w:sz w:val="24"/>
        </w:rPr>
        <w:t>Access to residential aged care services</w:t>
      </w:r>
      <w:bookmarkEnd w:id="78"/>
      <w:bookmarkEnd w:id="79"/>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pPr>
      <w:bookmarkStart w:id="80" w:name="_Toc352136925"/>
      <w:bookmarkStart w:id="81" w:name="_Toc352154983"/>
      <w:bookmarkStart w:id="82" w:name="_Toc352155047"/>
      <w:bookmarkStart w:id="83" w:name="_Toc352156517"/>
      <w:bookmarkStart w:id="84" w:name="_Toc352156765"/>
      <w:bookmarkStart w:id="85" w:name="_Toc352157319"/>
      <w:bookmarkStart w:id="86" w:name="_Toc352157734"/>
      <w:bookmarkStart w:id="87" w:name="_Toc352160615"/>
      <w:bookmarkStart w:id="88" w:name="_Toc352160677"/>
      <w:bookmarkStart w:id="89" w:name="_Toc352160739"/>
      <w:r>
        <w:rPr>
          <w:rStyle w:val="CharSDivNo"/>
        </w:rPr>
        <w:t>Division 3</w:t>
      </w:r>
      <w:r>
        <w:t> — </w:t>
      </w:r>
      <w:r>
        <w:rPr>
          <w:rStyle w:val="CharSDivText"/>
        </w:rPr>
        <w:t>Prospective resident’s right to information before entering into a residence contract or service contract</w:t>
      </w:r>
      <w:bookmarkEnd w:id="80"/>
      <w:bookmarkEnd w:id="81"/>
      <w:bookmarkEnd w:id="82"/>
      <w:bookmarkEnd w:id="83"/>
      <w:bookmarkEnd w:id="84"/>
      <w:bookmarkEnd w:id="85"/>
      <w:bookmarkEnd w:id="86"/>
      <w:bookmarkEnd w:id="87"/>
      <w:bookmarkEnd w:id="88"/>
      <w:bookmarkEnd w:id="89"/>
    </w:p>
    <w:p>
      <w:pPr>
        <w:pStyle w:val="yHeading5"/>
        <w:spacing w:before="160"/>
        <w:rPr>
          <w:sz w:val="24"/>
        </w:rPr>
      </w:pPr>
      <w:bookmarkStart w:id="90" w:name="_Toc352136926"/>
      <w:bookmarkStart w:id="91" w:name="_Toc352160740"/>
      <w:r>
        <w:rPr>
          <w:rStyle w:val="CharSClsNo"/>
          <w:sz w:val="24"/>
        </w:rPr>
        <w:t>3.1</w:t>
      </w:r>
      <w:r>
        <w:tab/>
      </w:r>
      <w:r>
        <w:rPr>
          <w:sz w:val="24"/>
        </w:rPr>
        <w:t>Before entering into a residence contract</w:t>
      </w:r>
      <w:bookmarkEnd w:id="90"/>
      <w:bookmarkEnd w:id="91"/>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rPr>
          <w:rStyle w:val="CharPartNo"/>
          <w:sz w:val="24"/>
          <w:szCs w:val="24"/>
        </w:rP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The questions </w:t>
      </w:r>
      <w:r>
        <w:rPr>
          <w:sz w:val="24"/>
          <w:szCs w:val="24"/>
        </w:rPr>
        <w:t>require the owner to disclose such things as —</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premium (i.e. the ingoing contribution) and other costs payable by the resident to enter the retirement village;</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village operating costs payable by the resident and the method or calculation used to determine and vary those costs;</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amenities and services that are provided or made available to the resident and the charges or fees payable by the resident to access or use those amenities and services;</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details of costs associated with moving to and living in alternative accommodation within the retirement village; and</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sz w:val="24"/>
          <w:szCs w:val="24"/>
        </w:rPr>
      </w:pP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92" w:name="_Toc352136927"/>
      <w:bookmarkStart w:id="93" w:name="_Toc352160741"/>
      <w:r>
        <w:rPr>
          <w:rStyle w:val="CharSClsNo"/>
          <w:sz w:val="24"/>
        </w:rPr>
        <w:t>3.2</w:t>
      </w:r>
      <w:r>
        <w:rPr>
          <w:sz w:val="24"/>
        </w:rPr>
        <w:tab/>
        <w:t>Before entering into a service contract</w:t>
      </w:r>
      <w:bookmarkEnd w:id="92"/>
      <w:bookmarkEnd w:id="93"/>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94" w:name="_Toc352136928"/>
      <w:bookmarkStart w:id="95" w:name="_Toc352154986"/>
      <w:bookmarkStart w:id="96" w:name="_Toc352155050"/>
      <w:bookmarkStart w:id="97" w:name="_Toc352156520"/>
      <w:bookmarkStart w:id="98" w:name="_Toc352156768"/>
      <w:bookmarkStart w:id="99" w:name="_Toc352157322"/>
      <w:bookmarkStart w:id="100" w:name="_Toc352157737"/>
      <w:bookmarkStart w:id="101" w:name="_Toc352160618"/>
      <w:bookmarkStart w:id="102" w:name="_Toc352160680"/>
      <w:bookmarkStart w:id="103" w:name="_Toc352160742"/>
      <w:r>
        <w:rPr>
          <w:rStyle w:val="CharSDivNo"/>
        </w:rPr>
        <w:t>Division 4</w:t>
      </w:r>
      <w:r>
        <w:t> — </w:t>
      </w:r>
      <w:r>
        <w:rPr>
          <w:rStyle w:val="CharSDivText"/>
        </w:rPr>
        <w:t>Residence contract and service contract</w:t>
      </w:r>
      <w:bookmarkEnd w:id="94"/>
      <w:bookmarkEnd w:id="95"/>
      <w:bookmarkEnd w:id="96"/>
      <w:bookmarkEnd w:id="97"/>
      <w:bookmarkEnd w:id="98"/>
      <w:bookmarkEnd w:id="99"/>
      <w:bookmarkEnd w:id="100"/>
      <w:bookmarkEnd w:id="101"/>
      <w:bookmarkEnd w:id="102"/>
      <w:bookmarkEnd w:id="103"/>
    </w:p>
    <w:p>
      <w:pPr>
        <w:pStyle w:val="yHeading5"/>
        <w:rPr>
          <w:sz w:val="24"/>
        </w:rPr>
      </w:pPr>
      <w:bookmarkStart w:id="104" w:name="_Toc352136929"/>
      <w:bookmarkStart w:id="105" w:name="_Toc352160743"/>
      <w:r>
        <w:rPr>
          <w:rStyle w:val="CharSClsNo"/>
          <w:sz w:val="24"/>
        </w:rPr>
        <w:t>4.1</w:t>
      </w:r>
      <w:r>
        <w:rPr>
          <w:sz w:val="24"/>
        </w:rPr>
        <w:tab/>
        <w:t>Legibility and presentation requirements</w:t>
      </w:r>
      <w:bookmarkEnd w:id="104"/>
      <w:bookmarkEnd w:id="105"/>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106" w:name="_Toc352136930"/>
      <w:bookmarkStart w:id="107" w:name="_Toc352160744"/>
      <w:r>
        <w:rPr>
          <w:rStyle w:val="CharSClsNo"/>
          <w:sz w:val="24"/>
        </w:rPr>
        <w:t>4.2</w:t>
      </w:r>
      <w:r>
        <w:rPr>
          <w:sz w:val="24"/>
        </w:rPr>
        <w:tab/>
        <w:t>Title and tenure</w:t>
      </w:r>
      <w:bookmarkEnd w:id="106"/>
      <w:bookmarkEnd w:id="107"/>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108" w:name="_Toc352136931"/>
      <w:bookmarkStart w:id="109" w:name="_Toc352160745"/>
      <w:r>
        <w:rPr>
          <w:rStyle w:val="CharSClsNo"/>
          <w:sz w:val="24"/>
        </w:rPr>
        <w:t>4.3</w:t>
      </w:r>
      <w:r>
        <w:tab/>
      </w:r>
      <w:r>
        <w:rPr>
          <w:sz w:val="24"/>
        </w:rPr>
        <w:t>Residential premises</w:t>
      </w:r>
      <w:bookmarkEnd w:id="108"/>
      <w:bookmarkEnd w:id="109"/>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110" w:name="_Toc352136932"/>
      <w:bookmarkStart w:id="111" w:name="_Toc352160746"/>
      <w:r>
        <w:rPr>
          <w:rStyle w:val="CharSClsNo"/>
          <w:sz w:val="24"/>
        </w:rPr>
        <w:t>4.4</w:t>
      </w:r>
      <w:r>
        <w:tab/>
      </w:r>
      <w:r>
        <w:rPr>
          <w:sz w:val="24"/>
        </w:rPr>
        <w:t>Amenities</w:t>
      </w:r>
      <w:bookmarkEnd w:id="110"/>
      <w:bookmarkEnd w:id="111"/>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112" w:name="_Toc352136933"/>
      <w:bookmarkStart w:id="113" w:name="_Toc352160747"/>
      <w:r>
        <w:rPr>
          <w:rStyle w:val="CharSClsNo"/>
          <w:sz w:val="24"/>
        </w:rPr>
        <w:t>4.5</w:t>
      </w:r>
      <w:r>
        <w:tab/>
      </w:r>
      <w:r>
        <w:rPr>
          <w:sz w:val="24"/>
        </w:rPr>
        <w:t>Services</w:t>
      </w:r>
      <w:bookmarkEnd w:id="112"/>
      <w:bookmarkEnd w:id="113"/>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114" w:name="_Toc352136934"/>
      <w:bookmarkStart w:id="115" w:name="_Toc352160748"/>
      <w:r>
        <w:rPr>
          <w:rStyle w:val="CharSClsNo"/>
          <w:sz w:val="24"/>
        </w:rPr>
        <w:t>4.6</w:t>
      </w:r>
      <w:r>
        <w:tab/>
      </w:r>
      <w:r>
        <w:rPr>
          <w:sz w:val="24"/>
        </w:rPr>
        <w:t>Payment of premium and refund entitlement</w:t>
      </w:r>
      <w:bookmarkEnd w:id="114"/>
      <w:bookmarkEnd w:id="115"/>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116" w:name="_Toc352136935"/>
      <w:bookmarkStart w:id="117" w:name="_Toc352160749"/>
      <w:r>
        <w:rPr>
          <w:rStyle w:val="CharSClsNo"/>
          <w:sz w:val="24"/>
        </w:rPr>
        <w:t>4.7</w:t>
      </w:r>
      <w:r>
        <w:tab/>
      </w:r>
      <w:r>
        <w:rPr>
          <w:sz w:val="24"/>
        </w:rPr>
        <w:t>Charges for village operating costs</w:t>
      </w:r>
      <w:bookmarkEnd w:id="116"/>
      <w:bookmarkEnd w:id="117"/>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118" w:name="_Toc352136936"/>
      <w:bookmarkStart w:id="119" w:name="_Toc352160750"/>
      <w:r>
        <w:rPr>
          <w:rStyle w:val="CharSClsNo"/>
          <w:sz w:val="24"/>
        </w:rPr>
        <w:t>4.8</w:t>
      </w:r>
      <w:r>
        <w:tab/>
      </w:r>
      <w:r>
        <w:rPr>
          <w:sz w:val="24"/>
        </w:rPr>
        <w:t>Reserve funds</w:t>
      </w:r>
      <w:bookmarkEnd w:id="118"/>
      <w:bookmarkEnd w:id="119"/>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120" w:name="_Toc352136937"/>
      <w:bookmarkStart w:id="121" w:name="_Toc352160751"/>
      <w:r>
        <w:rPr>
          <w:rStyle w:val="CharSClsNo"/>
          <w:sz w:val="24"/>
        </w:rPr>
        <w:t>4.9</w:t>
      </w:r>
      <w:r>
        <w:tab/>
      </w:r>
      <w:r>
        <w:rPr>
          <w:sz w:val="24"/>
        </w:rPr>
        <w:t>Relocation</w:t>
      </w:r>
      <w:bookmarkEnd w:id="120"/>
      <w:bookmarkEnd w:id="121"/>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122" w:name="_Toc352136938"/>
      <w:bookmarkStart w:id="123" w:name="_Toc352160752"/>
      <w:r>
        <w:rPr>
          <w:rStyle w:val="CharSClsNo"/>
          <w:sz w:val="24"/>
        </w:rPr>
        <w:t>4.10</w:t>
      </w:r>
      <w:r>
        <w:tab/>
      </w:r>
      <w:r>
        <w:rPr>
          <w:sz w:val="24"/>
        </w:rPr>
        <w:t>Termination of residence contract and fees payable on termination</w:t>
      </w:r>
      <w:bookmarkEnd w:id="122"/>
      <w:bookmarkEnd w:id="123"/>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124" w:name="_Toc352136939"/>
      <w:bookmarkStart w:id="125" w:name="_Toc352160753"/>
      <w:r>
        <w:rPr>
          <w:rStyle w:val="CharSClsNo"/>
          <w:sz w:val="24"/>
        </w:rPr>
        <w:t>4.11</w:t>
      </w:r>
      <w:r>
        <w:rPr>
          <w:sz w:val="24"/>
        </w:rPr>
        <w:tab/>
        <w:t xml:space="preserve">Residence contract to refer to this Code and the </w:t>
      </w:r>
      <w:r>
        <w:rPr>
          <w:i/>
          <w:sz w:val="24"/>
        </w:rPr>
        <w:t>Retirement Villages Act 1992</w:t>
      </w:r>
      <w:bookmarkEnd w:id="124"/>
      <w:bookmarkEnd w:id="125"/>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126" w:name="_Toc352136940"/>
      <w:bookmarkStart w:id="127" w:name="_Toc352154998"/>
      <w:bookmarkStart w:id="128" w:name="_Toc352155062"/>
      <w:bookmarkStart w:id="129" w:name="_Toc352156532"/>
      <w:bookmarkStart w:id="130" w:name="_Toc352156780"/>
      <w:bookmarkStart w:id="131" w:name="_Toc352157334"/>
      <w:bookmarkStart w:id="132" w:name="_Toc352157749"/>
      <w:bookmarkStart w:id="133" w:name="_Toc352160630"/>
      <w:bookmarkStart w:id="134" w:name="_Toc352160692"/>
      <w:bookmarkStart w:id="135" w:name="_Toc352160754"/>
      <w:r>
        <w:rPr>
          <w:rStyle w:val="CharSDivNo"/>
        </w:rPr>
        <w:t>Division 5</w:t>
      </w:r>
      <w:r>
        <w:t> — </w:t>
      </w:r>
      <w:r>
        <w:rPr>
          <w:rStyle w:val="CharSDivText"/>
        </w:rPr>
        <w:t>Village management</w:t>
      </w:r>
      <w:bookmarkEnd w:id="126"/>
      <w:bookmarkEnd w:id="127"/>
      <w:bookmarkEnd w:id="128"/>
      <w:bookmarkEnd w:id="129"/>
      <w:bookmarkEnd w:id="130"/>
      <w:bookmarkEnd w:id="131"/>
      <w:bookmarkEnd w:id="132"/>
      <w:bookmarkEnd w:id="133"/>
      <w:bookmarkEnd w:id="134"/>
      <w:bookmarkEnd w:id="135"/>
    </w:p>
    <w:p>
      <w:pPr>
        <w:pStyle w:val="yHeading5"/>
      </w:pPr>
      <w:bookmarkStart w:id="136" w:name="_Toc352136941"/>
      <w:bookmarkStart w:id="137" w:name="_Toc352160755"/>
      <w:r>
        <w:rPr>
          <w:rStyle w:val="CharSClsNo"/>
          <w:sz w:val="24"/>
        </w:rPr>
        <w:t>5.1</w:t>
      </w:r>
      <w:r>
        <w:tab/>
      </w:r>
      <w:r>
        <w:rPr>
          <w:sz w:val="24"/>
        </w:rPr>
        <w:t>Interpretation</w:t>
      </w:r>
      <w:bookmarkEnd w:id="136"/>
      <w:bookmarkEnd w:id="137"/>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138" w:name="_Toc352136942"/>
      <w:bookmarkStart w:id="139" w:name="_Toc352160756"/>
      <w:r>
        <w:rPr>
          <w:rStyle w:val="CharSClsNo"/>
          <w:sz w:val="24"/>
        </w:rPr>
        <w:t>5.2</w:t>
      </w:r>
      <w:r>
        <w:tab/>
      </w:r>
      <w:r>
        <w:rPr>
          <w:sz w:val="24"/>
        </w:rPr>
        <w:t>Management procedures and resident consultation</w:t>
      </w:r>
      <w:bookmarkEnd w:id="138"/>
      <w:bookmarkEnd w:id="139"/>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140" w:name="_Toc352136943"/>
      <w:bookmarkStart w:id="141" w:name="_Toc352160757"/>
      <w:r>
        <w:rPr>
          <w:rStyle w:val="CharSClsNo"/>
          <w:sz w:val="24"/>
        </w:rPr>
        <w:t>5.3</w:t>
      </w:r>
      <w:r>
        <w:tab/>
      </w:r>
      <w:r>
        <w:rPr>
          <w:sz w:val="24"/>
        </w:rPr>
        <w:t>Village operating budget</w:t>
      </w:r>
      <w:bookmarkEnd w:id="140"/>
      <w:bookmarkEnd w:id="141"/>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142" w:name="_Toc352136944"/>
      <w:bookmarkStart w:id="143" w:name="_Toc352160758"/>
      <w:r>
        <w:rPr>
          <w:rStyle w:val="CharSClsNo"/>
          <w:sz w:val="24"/>
        </w:rPr>
        <w:t>5.4</w:t>
      </w:r>
      <w:r>
        <w:tab/>
      </w:r>
      <w:r>
        <w:rPr>
          <w:sz w:val="24"/>
        </w:rPr>
        <w:t>Quarterly operating income and expenditure statements</w:t>
      </w:r>
      <w:bookmarkEnd w:id="142"/>
      <w:bookmarkEnd w:id="143"/>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144" w:name="_Toc352136945"/>
      <w:bookmarkStart w:id="145" w:name="_Toc352160759"/>
      <w:r>
        <w:rPr>
          <w:rStyle w:val="CharSClsNo"/>
          <w:sz w:val="24"/>
        </w:rPr>
        <w:t>5.5</w:t>
      </w:r>
      <w:r>
        <w:tab/>
      </w:r>
      <w:r>
        <w:rPr>
          <w:sz w:val="24"/>
        </w:rPr>
        <w:t>Annual accounts</w:t>
      </w:r>
      <w:bookmarkEnd w:id="144"/>
      <w:bookmarkEnd w:id="145"/>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146" w:name="_Toc352136946"/>
      <w:bookmarkStart w:id="147" w:name="_Toc352160760"/>
      <w:r>
        <w:rPr>
          <w:rStyle w:val="CharSClsNo"/>
          <w:sz w:val="24"/>
        </w:rPr>
        <w:t>5.6</w:t>
      </w:r>
      <w:r>
        <w:tab/>
      </w:r>
      <w:r>
        <w:rPr>
          <w:sz w:val="24"/>
        </w:rPr>
        <w:t>Budget surplus</w:t>
      </w:r>
      <w:bookmarkEnd w:id="146"/>
      <w:bookmarkEnd w:id="147"/>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148" w:name="_Toc352136947"/>
      <w:bookmarkStart w:id="149" w:name="_Toc352160761"/>
      <w:r>
        <w:rPr>
          <w:rStyle w:val="CharSClsNo"/>
          <w:sz w:val="24"/>
        </w:rPr>
        <w:t>5.7</w:t>
      </w:r>
      <w:r>
        <w:tab/>
      </w:r>
      <w:r>
        <w:rPr>
          <w:sz w:val="24"/>
        </w:rPr>
        <w:t>Marketing of residential premises</w:t>
      </w:r>
      <w:bookmarkEnd w:id="148"/>
      <w:bookmarkEnd w:id="149"/>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150" w:name="_Toc352136948"/>
      <w:bookmarkStart w:id="151" w:name="_Toc352160762"/>
      <w:r>
        <w:rPr>
          <w:rStyle w:val="CharSClsNo"/>
          <w:sz w:val="24"/>
        </w:rPr>
        <w:t>5.8</w:t>
      </w:r>
      <w:r>
        <w:tab/>
      </w:r>
      <w:r>
        <w:rPr>
          <w:sz w:val="24"/>
        </w:rPr>
        <w:t>Repair and refurbishment of residential premises</w:t>
      </w:r>
      <w:bookmarkEnd w:id="150"/>
      <w:bookmarkEnd w:id="151"/>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152" w:name="_Toc352136949"/>
      <w:bookmarkStart w:id="153" w:name="_Toc352160763"/>
      <w:r>
        <w:rPr>
          <w:rStyle w:val="CharSClsNo"/>
          <w:sz w:val="24"/>
        </w:rPr>
        <w:t>5.9</w:t>
      </w:r>
      <w:r>
        <w:tab/>
      </w:r>
      <w:r>
        <w:rPr>
          <w:sz w:val="24"/>
        </w:rPr>
        <w:t>Residence rules</w:t>
      </w:r>
      <w:bookmarkEnd w:id="152"/>
      <w:bookmarkEnd w:id="153"/>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154" w:name="_Toc352136950"/>
      <w:bookmarkStart w:id="155" w:name="_Toc352160764"/>
      <w:r>
        <w:rPr>
          <w:rStyle w:val="CharSClsNo"/>
          <w:sz w:val="24"/>
        </w:rPr>
        <w:t>5.10</w:t>
      </w:r>
      <w:r>
        <w:tab/>
      </w:r>
      <w:r>
        <w:rPr>
          <w:sz w:val="24"/>
        </w:rPr>
        <w:t>Residents’ committee</w:t>
      </w:r>
      <w:bookmarkEnd w:id="154"/>
      <w:bookmarkEnd w:id="155"/>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156" w:name="_Toc352136951"/>
      <w:bookmarkStart w:id="157" w:name="_Toc352160765"/>
      <w:r>
        <w:rPr>
          <w:rStyle w:val="CharSClsNo"/>
          <w:sz w:val="24"/>
        </w:rPr>
        <w:t>5.11</w:t>
      </w:r>
      <w:r>
        <w:tab/>
      </w:r>
      <w:r>
        <w:rPr>
          <w:sz w:val="24"/>
        </w:rPr>
        <w:t>Residents’ meetings</w:t>
      </w:r>
      <w:bookmarkEnd w:id="156"/>
      <w:bookmarkEnd w:id="157"/>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158" w:name="_Toc352136952"/>
      <w:bookmarkStart w:id="159" w:name="_Toc352160766"/>
      <w:r>
        <w:rPr>
          <w:rStyle w:val="CharSClsNo"/>
          <w:sz w:val="24"/>
        </w:rPr>
        <w:t>5.12</w:t>
      </w:r>
      <w:r>
        <w:tab/>
      </w:r>
      <w:r>
        <w:rPr>
          <w:sz w:val="24"/>
        </w:rPr>
        <w:t>Proxy voting</w:t>
      </w:r>
      <w:bookmarkEnd w:id="158"/>
      <w:bookmarkEnd w:id="159"/>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160" w:name="_Toc352136953"/>
      <w:bookmarkStart w:id="161" w:name="_Toc352155011"/>
      <w:bookmarkStart w:id="162" w:name="_Toc352155075"/>
      <w:bookmarkStart w:id="163" w:name="_Toc352156545"/>
      <w:bookmarkStart w:id="164" w:name="_Toc352156793"/>
      <w:bookmarkStart w:id="165" w:name="_Toc352157347"/>
      <w:bookmarkStart w:id="166" w:name="_Toc352157762"/>
      <w:bookmarkStart w:id="167" w:name="_Toc352160643"/>
      <w:bookmarkStart w:id="168" w:name="_Toc352160705"/>
      <w:bookmarkStart w:id="169" w:name="_Toc352160767"/>
      <w:r>
        <w:rPr>
          <w:rStyle w:val="CharSDivNo"/>
        </w:rPr>
        <w:t>Division 6</w:t>
      </w:r>
      <w:r>
        <w:t> — </w:t>
      </w:r>
      <w:r>
        <w:rPr>
          <w:rStyle w:val="CharSDivText"/>
        </w:rPr>
        <w:t>Dispute resolution</w:t>
      </w:r>
      <w:bookmarkEnd w:id="160"/>
      <w:bookmarkEnd w:id="161"/>
      <w:bookmarkEnd w:id="162"/>
      <w:bookmarkEnd w:id="163"/>
      <w:bookmarkEnd w:id="164"/>
      <w:bookmarkEnd w:id="165"/>
      <w:bookmarkEnd w:id="166"/>
      <w:bookmarkEnd w:id="167"/>
      <w:bookmarkEnd w:id="168"/>
      <w:bookmarkEnd w:id="169"/>
    </w:p>
    <w:p>
      <w:pPr>
        <w:pStyle w:val="yHeading5"/>
        <w:spacing w:before="160"/>
      </w:pPr>
      <w:bookmarkStart w:id="170" w:name="_Toc352136954"/>
      <w:bookmarkStart w:id="171" w:name="_Toc352160768"/>
      <w:r>
        <w:rPr>
          <w:rStyle w:val="CharSClsNo"/>
          <w:sz w:val="24"/>
        </w:rPr>
        <w:t>6.1</w:t>
      </w:r>
      <w:r>
        <w:tab/>
      </w:r>
      <w:r>
        <w:rPr>
          <w:sz w:val="24"/>
        </w:rPr>
        <w:t>Interpretation</w:t>
      </w:r>
      <w:bookmarkEnd w:id="170"/>
      <w:bookmarkEnd w:id="171"/>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172" w:name="_Toc352136955"/>
      <w:bookmarkStart w:id="173" w:name="_Toc352160769"/>
      <w:r>
        <w:rPr>
          <w:rStyle w:val="CharSClsNo"/>
          <w:sz w:val="24"/>
        </w:rPr>
        <w:t>6.2</w:t>
      </w:r>
      <w:r>
        <w:tab/>
      </w:r>
      <w:r>
        <w:rPr>
          <w:sz w:val="24"/>
        </w:rPr>
        <w:t>Village dispute process</w:t>
      </w:r>
      <w:bookmarkEnd w:id="172"/>
      <w:bookmarkEnd w:id="173"/>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174" w:name="_Toc352136956"/>
      <w:bookmarkStart w:id="175" w:name="_Toc352160770"/>
      <w:r>
        <w:rPr>
          <w:rStyle w:val="CharSClsNo"/>
          <w:sz w:val="24"/>
        </w:rPr>
        <w:t>6.3</w:t>
      </w:r>
      <w:r>
        <w:tab/>
      </w:r>
      <w:r>
        <w:rPr>
          <w:sz w:val="24"/>
        </w:rPr>
        <w:t>Mediation of dispute</w:t>
      </w:r>
      <w:bookmarkEnd w:id="174"/>
      <w:bookmarkEnd w:id="175"/>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176" w:name="_Toc352136957"/>
      <w:bookmarkStart w:id="177" w:name="_Toc352155015"/>
      <w:bookmarkStart w:id="178" w:name="_Toc352155079"/>
      <w:bookmarkStart w:id="179" w:name="_Toc352156549"/>
      <w:bookmarkStart w:id="180" w:name="_Toc352156797"/>
      <w:bookmarkStart w:id="181" w:name="_Toc352157351"/>
      <w:bookmarkStart w:id="182" w:name="_Toc352157766"/>
      <w:bookmarkStart w:id="183" w:name="_Toc352160647"/>
      <w:bookmarkStart w:id="184" w:name="_Toc352160709"/>
      <w:bookmarkStart w:id="185" w:name="_Toc352160771"/>
      <w:r>
        <w:rPr>
          <w:rStyle w:val="CharSDivNo"/>
        </w:rPr>
        <w:t>Division 7</w:t>
      </w:r>
      <w:r>
        <w:t> — </w:t>
      </w:r>
      <w:r>
        <w:rPr>
          <w:rStyle w:val="CharSDivText"/>
        </w:rPr>
        <w:t>Termination of residence contracts</w:t>
      </w:r>
      <w:bookmarkEnd w:id="176"/>
      <w:bookmarkEnd w:id="177"/>
      <w:bookmarkEnd w:id="178"/>
      <w:bookmarkEnd w:id="179"/>
      <w:bookmarkEnd w:id="180"/>
      <w:bookmarkEnd w:id="181"/>
      <w:bookmarkEnd w:id="182"/>
      <w:bookmarkEnd w:id="183"/>
      <w:bookmarkEnd w:id="184"/>
      <w:bookmarkEnd w:id="185"/>
    </w:p>
    <w:p>
      <w:pPr>
        <w:pStyle w:val="yHeading5"/>
        <w:spacing w:before="160"/>
        <w:rPr>
          <w:sz w:val="24"/>
        </w:rPr>
      </w:pPr>
      <w:bookmarkStart w:id="186" w:name="_Toc352136958"/>
      <w:bookmarkStart w:id="187" w:name="_Toc352160772"/>
      <w:r>
        <w:rPr>
          <w:rStyle w:val="CharSClsNo"/>
          <w:sz w:val="24"/>
        </w:rPr>
        <w:t>7.1</w:t>
      </w:r>
      <w:r>
        <w:rPr>
          <w:sz w:val="24"/>
        </w:rPr>
        <w:tab/>
        <w:t>Notice of intention to terminate</w:t>
      </w:r>
      <w:bookmarkEnd w:id="186"/>
      <w:bookmarkEnd w:id="187"/>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w:t>
      </w:r>
      <w:r>
        <w:rPr>
          <w:sz w:val="24"/>
          <w:szCs w:val="24"/>
        </w:rPr>
        <w:t xml:space="preserve">2 Part 4 Division 5, an administering body may apply to the State Administrative Tribunal to terminate a residence contract on the grounds that —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resident’s physical or mental health is such as to make the residential premises unsuitable for occupation by the resident (section 58 of the Act);</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breached the residence contract or the residence rules and has failed to rectify that breach (section 59 of the Act);</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restrains the administering body from transferring the resident to another kind of accommodation in the village;</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 xml:space="preserve">requires the resident to transfer, or the administering body to transfer the resident, to another kind of accommodation in the village; or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within 7 days of the succeeding resident taking occupation of the residential premises; or</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188" w:name="_Toc352136959"/>
      <w:bookmarkStart w:id="189" w:name="_Toc352155017"/>
      <w:bookmarkStart w:id="190" w:name="_Toc352155081"/>
      <w:bookmarkStart w:id="191" w:name="_Toc352156551"/>
      <w:bookmarkStart w:id="192" w:name="_Toc352156799"/>
      <w:bookmarkStart w:id="193" w:name="_Toc352157353"/>
      <w:bookmarkStart w:id="194" w:name="_Toc352157768"/>
      <w:bookmarkStart w:id="195" w:name="_Toc352160649"/>
      <w:bookmarkStart w:id="196" w:name="_Toc352160711"/>
      <w:bookmarkStart w:id="197" w:name="_Toc352160773"/>
      <w:r>
        <w:rPr>
          <w:rStyle w:val="CharSDivNo"/>
        </w:rPr>
        <w:t>Division 8</w:t>
      </w:r>
      <w:r>
        <w:t> — </w:t>
      </w:r>
      <w:r>
        <w:rPr>
          <w:rStyle w:val="CharSDivText"/>
        </w:rPr>
        <w:t>Miscellaneous</w:t>
      </w:r>
      <w:bookmarkEnd w:id="188"/>
      <w:bookmarkEnd w:id="189"/>
      <w:bookmarkEnd w:id="190"/>
      <w:bookmarkEnd w:id="191"/>
      <w:bookmarkEnd w:id="192"/>
      <w:bookmarkEnd w:id="193"/>
      <w:bookmarkEnd w:id="194"/>
      <w:bookmarkEnd w:id="195"/>
      <w:bookmarkEnd w:id="196"/>
      <w:bookmarkEnd w:id="197"/>
    </w:p>
    <w:p>
      <w:pPr>
        <w:pStyle w:val="yHeading5"/>
        <w:spacing w:before="160"/>
        <w:rPr>
          <w:sz w:val="24"/>
        </w:rPr>
      </w:pPr>
      <w:bookmarkStart w:id="198" w:name="_Toc352136960"/>
      <w:bookmarkStart w:id="199" w:name="_Toc352160774"/>
      <w:r>
        <w:rPr>
          <w:rStyle w:val="CharSClsNo"/>
          <w:sz w:val="24"/>
        </w:rPr>
        <w:t>8.1</w:t>
      </w:r>
      <w:r>
        <w:rPr>
          <w:sz w:val="24"/>
        </w:rPr>
        <w:tab/>
        <w:t>Service of documents</w:t>
      </w:r>
      <w:bookmarkEnd w:id="198"/>
      <w:bookmarkEnd w:id="199"/>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200" w:name="_Toc352136961"/>
      <w:bookmarkStart w:id="201" w:name="_Toc352155019"/>
      <w:bookmarkStart w:id="202" w:name="_Toc352155083"/>
      <w:bookmarkStart w:id="203" w:name="_Toc352156553"/>
      <w:bookmarkStart w:id="204" w:name="_Toc352156801"/>
      <w:bookmarkStart w:id="205" w:name="_Toc352157355"/>
      <w:bookmarkStart w:id="206" w:name="_Toc352157770"/>
      <w:bookmarkStart w:id="207" w:name="_Toc352160651"/>
      <w:bookmarkStart w:id="208" w:name="_Toc352160713"/>
      <w:bookmarkStart w:id="209" w:name="_Toc352160775"/>
      <w:r>
        <w:rPr>
          <w:rStyle w:val="CharSchNo"/>
        </w:rPr>
        <w:t>Appendix 1</w:t>
      </w:r>
      <w:r>
        <w:rPr>
          <w:rStyle w:val="CharSDivNo"/>
        </w:rPr>
        <w:t> </w:t>
      </w:r>
      <w:r>
        <w:t>—</w:t>
      </w:r>
      <w:r>
        <w:rPr>
          <w:rStyle w:val="CharSDivText"/>
        </w:rPr>
        <w:t> </w:t>
      </w:r>
      <w:r>
        <w:rPr>
          <w:rStyle w:val="CharSchText"/>
        </w:rPr>
        <w:t>Checklist for prospective resident</w:t>
      </w:r>
      <w:bookmarkEnd w:id="200"/>
      <w:bookmarkEnd w:id="201"/>
      <w:bookmarkEnd w:id="202"/>
      <w:bookmarkEnd w:id="203"/>
      <w:bookmarkEnd w:id="204"/>
      <w:bookmarkEnd w:id="205"/>
      <w:bookmarkEnd w:id="206"/>
      <w:bookmarkEnd w:id="207"/>
      <w:bookmarkEnd w:id="208"/>
      <w:bookmarkEnd w:id="209"/>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w:t>
      </w:r>
      <w:r>
        <w:rPr>
          <w:sz w:val="24"/>
          <w:szCs w:val="24"/>
        </w:rPr>
        <w:t xml:space="preserve"> </w:t>
      </w:r>
      <w:r>
        <w:rPr>
          <w:i/>
          <w:sz w:val="24"/>
          <w:szCs w:val="24"/>
        </w:rPr>
        <w:t>Retirement Villages 2013</w:t>
      </w:r>
      <w:r>
        <w:rPr>
          <w:sz w:val="24"/>
          <w:szCs w:val="24"/>
        </w:rPr>
        <w:t xml:space="preserve"> and the </w:t>
      </w:r>
      <w:r>
        <w:rPr>
          <w:i/>
          <w:sz w:val="24"/>
          <w:szCs w:val="24"/>
        </w:rPr>
        <w:t>Retirement Villages Act 1992</w:t>
      </w:r>
      <w:r>
        <w:rPr>
          <w:sz w:val="24"/>
          <w:szCs w:val="24"/>
        </w:rPr>
        <w:t>?</w:t>
      </w:r>
    </w:p>
    <w:p>
      <w:pPr>
        <w:pStyle w:val="yScheduleHeading"/>
      </w:pPr>
      <w:bookmarkStart w:id="210" w:name="_Toc352136962"/>
      <w:bookmarkStart w:id="211" w:name="_Toc352155020"/>
      <w:bookmarkStart w:id="212" w:name="_Toc352155084"/>
      <w:bookmarkStart w:id="213" w:name="_Toc352156554"/>
      <w:bookmarkStart w:id="214" w:name="_Toc352156802"/>
      <w:bookmarkStart w:id="215" w:name="_Toc352157356"/>
      <w:bookmarkStart w:id="216" w:name="_Toc352157771"/>
      <w:bookmarkStart w:id="217" w:name="_Toc352160652"/>
      <w:bookmarkStart w:id="218" w:name="_Toc352160714"/>
      <w:bookmarkStart w:id="219" w:name="_Toc352160776"/>
      <w:r>
        <w:rPr>
          <w:rStyle w:val="CharSchNo"/>
        </w:rPr>
        <w:t>Appendix 2</w:t>
      </w:r>
      <w:r>
        <w:rPr>
          <w:rStyle w:val="CharSDivNo"/>
        </w:rPr>
        <w:t> </w:t>
      </w:r>
      <w:r>
        <w:rPr>
          <w:rStyle w:val="CharPartText"/>
        </w:rPr>
        <w:t>—</w:t>
      </w:r>
      <w:r>
        <w:rPr>
          <w:rStyle w:val="CharSDivText"/>
        </w:rPr>
        <w:t> </w:t>
      </w:r>
      <w:r>
        <w:rPr>
          <w:rStyle w:val="CharSchText"/>
        </w:rPr>
        <w:t>Model proposed operating budget form</w:t>
      </w:r>
      <w:bookmarkEnd w:id="210"/>
      <w:bookmarkEnd w:id="211"/>
      <w:bookmarkEnd w:id="212"/>
      <w:bookmarkEnd w:id="213"/>
      <w:bookmarkEnd w:id="214"/>
      <w:bookmarkEnd w:id="215"/>
      <w:bookmarkEnd w:id="216"/>
      <w:bookmarkEnd w:id="217"/>
      <w:bookmarkEnd w:id="218"/>
      <w:bookmarkEnd w:id="219"/>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ScheduleHeading"/>
      </w:pPr>
      <w:bookmarkStart w:id="220" w:name="_Toc352136963"/>
      <w:bookmarkStart w:id="221" w:name="_Toc352155021"/>
      <w:bookmarkStart w:id="222" w:name="_Toc352155085"/>
      <w:bookmarkStart w:id="223" w:name="_Toc352156555"/>
      <w:bookmarkStart w:id="224" w:name="_Toc352156803"/>
      <w:bookmarkStart w:id="225" w:name="_Toc352157357"/>
      <w:bookmarkStart w:id="226" w:name="_Toc352157772"/>
      <w:bookmarkStart w:id="227" w:name="_Toc352160653"/>
      <w:bookmarkStart w:id="228" w:name="_Toc352160715"/>
      <w:bookmarkStart w:id="229" w:name="_Toc352160777"/>
      <w:r>
        <w:rPr>
          <w:rStyle w:val="CharSchNo"/>
        </w:rPr>
        <w:t>Appendix 3</w:t>
      </w:r>
      <w:r>
        <w:rPr>
          <w:rStyle w:val="CharSDivNo"/>
        </w:rPr>
        <w:t> </w:t>
      </w:r>
      <w:r>
        <w:t>—</w:t>
      </w:r>
      <w:r>
        <w:rPr>
          <w:rStyle w:val="CharSDivText"/>
        </w:rPr>
        <w:t> </w:t>
      </w:r>
      <w:r>
        <w:rPr>
          <w:rStyle w:val="CharSchText"/>
        </w:rPr>
        <w:t>Model quarterly income and expenditure statement</w:t>
      </w:r>
      <w:bookmarkEnd w:id="220"/>
      <w:bookmarkEnd w:id="221"/>
      <w:bookmarkEnd w:id="222"/>
      <w:bookmarkEnd w:id="223"/>
      <w:bookmarkEnd w:id="224"/>
      <w:bookmarkEnd w:id="225"/>
      <w:bookmarkEnd w:id="226"/>
      <w:bookmarkEnd w:id="227"/>
      <w:bookmarkEnd w:id="228"/>
      <w:bookmarkEnd w:id="229"/>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230" w:name="_Toc352136964"/>
      <w:bookmarkStart w:id="231" w:name="_Toc352155022"/>
      <w:bookmarkStart w:id="232" w:name="_Toc352155086"/>
      <w:bookmarkStart w:id="233" w:name="_Toc352156556"/>
      <w:bookmarkStart w:id="234" w:name="_Toc352156804"/>
      <w:bookmarkStart w:id="235" w:name="_Toc352157358"/>
      <w:bookmarkStart w:id="236" w:name="_Toc352157773"/>
      <w:bookmarkStart w:id="237" w:name="_Toc352160654"/>
      <w:bookmarkStart w:id="238" w:name="_Toc352160716"/>
      <w:bookmarkStart w:id="239" w:name="_Toc352160778"/>
      <w:r>
        <w:rPr>
          <w:rStyle w:val="CharSchNo"/>
        </w:rPr>
        <w:t>Appendix 4</w:t>
      </w:r>
      <w:r>
        <w:rPr>
          <w:rStyle w:val="CharSDivNo"/>
        </w:rPr>
        <w:t> </w:t>
      </w:r>
      <w:r>
        <w:rPr>
          <w:rStyle w:val="CharPartText"/>
        </w:rPr>
        <w:t>—</w:t>
      </w:r>
      <w:r>
        <w:rPr>
          <w:rStyle w:val="CharSDivText"/>
        </w:rPr>
        <w:t> </w:t>
      </w:r>
      <w:r>
        <w:rPr>
          <w:rStyle w:val="CharSchText"/>
        </w:rPr>
        <w:t>Model reserve fund quarterly income and expenditure statement</w:t>
      </w:r>
      <w:bookmarkEnd w:id="230"/>
      <w:bookmarkEnd w:id="231"/>
      <w:bookmarkEnd w:id="232"/>
      <w:bookmarkEnd w:id="233"/>
      <w:bookmarkEnd w:id="234"/>
      <w:bookmarkEnd w:id="235"/>
      <w:bookmarkEnd w:id="236"/>
      <w:bookmarkEnd w:id="237"/>
      <w:bookmarkEnd w:id="238"/>
      <w:bookmarkEnd w:id="239"/>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240" w:name="_Toc352136965"/>
      <w:bookmarkStart w:id="241" w:name="_Toc352155023"/>
      <w:bookmarkStart w:id="242" w:name="_Toc352155087"/>
      <w:bookmarkStart w:id="243" w:name="_Toc352156557"/>
      <w:bookmarkStart w:id="244" w:name="_Toc352156805"/>
      <w:bookmarkStart w:id="245" w:name="_Toc352157359"/>
      <w:bookmarkStart w:id="246" w:name="_Toc352157774"/>
      <w:bookmarkStart w:id="247" w:name="_Toc352160655"/>
      <w:bookmarkStart w:id="248" w:name="_Toc352160717"/>
      <w:bookmarkStart w:id="249" w:name="_Toc352160779"/>
      <w:r>
        <w:rPr>
          <w:rStyle w:val="CharSchNo"/>
        </w:rPr>
        <w:t>Appendix 5</w:t>
      </w:r>
      <w:r>
        <w:rPr>
          <w:rStyle w:val="CharSDivNo"/>
        </w:rPr>
        <w:t> </w:t>
      </w:r>
      <w:r>
        <w:t>—</w:t>
      </w:r>
      <w:r>
        <w:rPr>
          <w:rStyle w:val="CharSDivText"/>
        </w:rPr>
        <w:t> </w:t>
      </w:r>
      <w:r>
        <w:rPr>
          <w:rStyle w:val="CharSchText"/>
        </w:rPr>
        <w:t>Form of appointment of proxy</w:t>
      </w:r>
      <w:bookmarkEnd w:id="240"/>
      <w:bookmarkEnd w:id="241"/>
      <w:bookmarkEnd w:id="242"/>
      <w:bookmarkEnd w:id="243"/>
      <w:bookmarkEnd w:id="244"/>
      <w:bookmarkEnd w:id="245"/>
      <w:bookmarkEnd w:id="246"/>
      <w:bookmarkEnd w:id="247"/>
      <w:bookmarkEnd w:id="248"/>
      <w:bookmarkEnd w:id="249"/>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numPr>
          <w:ilvl w:val="0"/>
          <w:numId w:val="22"/>
        </w:numPr>
        <w:spacing w:before="120"/>
      </w:pPr>
      <w:r>
        <w:t>All matters raised at the meeting that require, or provide for, a vote of the residents, at my proxy’s discretion.</w:t>
      </w:r>
    </w:p>
    <w:p>
      <w:pPr>
        <w:pStyle w:val="yMiscellaneousBody"/>
        <w:numPr>
          <w:ilvl w:val="0"/>
          <w:numId w:val="23"/>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another resident, a relative, friend or other person, but no person may hold more than 5 proxies at the same time.</w:t>
      </w:r>
    </w:p>
    <w:p>
      <w:pPr>
        <w:pStyle w:val="yMiscellaneousBody"/>
        <w:tabs>
          <w:tab w:val="left" w:pos="426"/>
        </w:tabs>
        <w:spacing w:before="120"/>
        <w:ind w:left="426" w:hanging="426"/>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only if this form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person who made this appointment may, at any time prior to the exercise of a proxy vote, revoke the appointment by giving written notice to — </w:t>
      </w:r>
    </w:p>
    <w:p>
      <w:pPr>
        <w:pStyle w:val="yMiscellaneousBody"/>
        <w:numPr>
          <w:ilvl w:val="0"/>
          <w:numId w:val="25"/>
        </w:numPr>
        <w:ind w:left="786"/>
      </w:pPr>
      <w:r>
        <w:t>the person appointed as the resident’s proxy; and</w:t>
      </w:r>
    </w:p>
    <w:p>
      <w:pPr>
        <w:pStyle w:val="yMiscellaneousBody"/>
        <w:numPr>
          <w:ilvl w:val="0"/>
          <w:numId w:val="25"/>
        </w:numPr>
        <w:ind w:left="786"/>
      </w:pPr>
      <w:r>
        <w:t>the chairperson of the meeting at which the proxy was to vote.</w:t>
      </w:r>
    </w:p>
    <w:p>
      <w:pPr>
        <w:sectPr>
          <w:headerReference w:type="even" r:id="rId29"/>
          <w:headerReference w:type="default" r:id="rId30"/>
          <w:foot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250" w:name="_Toc113695922"/>
      <w:bookmarkStart w:id="251" w:name="_Toc347313307"/>
      <w:bookmarkStart w:id="252" w:name="_Toc347319683"/>
      <w:bookmarkStart w:id="253" w:name="_Toc347319742"/>
      <w:bookmarkStart w:id="254" w:name="_Toc348601239"/>
      <w:bookmarkStart w:id="255" w:name="_Toc352155024"/>
      <w:bookmarkStart w:id="256" w:name="_Toc352155088"/>
      <w:bookmarkStart w:id="257" w:name="_Toc352156558"/>
      <w:bookmarkStart w:id="258" w:name="_Toc352156806"/>
      <w:bookmarkStart w:id="259" w:name="_Toc352157360"/>
      <w:bookmarkStart w:id="260" w:name="_Toc352157775"/>
      <w:bookmarkStart w:id="261" w:name="_Toc352160656"/>
      <w:bookmarkStart w:id="262" w:name="_Toc352160718"/>
      <w:bookmarkStart w:id="263" w:name="_Toc352160780"/>
      <w:r>
        <w:t>Notes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bookmarkStart w:id="264" w:name="_Toc70311430"/>
      <w:r>
        <w:rPr>
          <w:snapToGrid w:val="0"/>
          <w:vertAlign w:val="superscript"/>
        </w:rPr>
        <w:t>1</w:t>
      </w:r>
      <w:r>
        <w:rPr>
          <w:snapToGrid w:val="0"/>
        </w:rPr>
        <w:tab/>
        <w:t xml:space="preserve">This is a compilation of the </w:t>
      </w:r>
      <w:r>
        <w:rPr>
          <w:i/>
          <w:noProof/>
          <w:snapToGrid w:val="0"/>
        </w:rPr>
        <w:t>Fair Trading (Retirement Villages Interim Code) Regulations 2013</w:t>
      </w:r>
      <w:r>
        <w:rPr>
          <w:snapToGrid w:val="0"/>
        </w:rPr>
        <w:t xml:space="preserve">.  The following table contains information about those regulations. </w:t>
      </w:r>
    </w:p>
    <w:p>
      <w:pPr>
        <w:pStyle w:val="nHeading3"/>
      </w:pPr>
      <w:bookmarkStart w:id="265" w:name="_Toc352160781"/>
      <w:bookmarkEnd w:id="264"/>
      <w:r>
        <w:t>Compilation table</w:t>
      </w:r>
      <w:bookmarkEnd w:id="2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shd w:val="clear" w:color="auto" w:fill="auto"/>
          </w:tcPr>
          <w:p>
            <w:pPr>
              <w:pStyle w:val="nTable"/>
              <w:spacing w:after="40"/>
              <w:rPr>
                <w:sz w:val="19"/>
              </w:rPr>
            </w:pPr>
            <w:r>
              <w:rPr>
                <w:i/>
                <w:noProof/>
                <w:snapToGrid w:val="0"/>
                <w:sz w:val="19"/>
              </w:rPr>
              <w:t>Fair Trading (Retirement Villages Interim Code) Regulations 2013</w:t>
            </w:r>
          </w:p>
        </w:tc>
        <w:tc>
          <w:tcPr>
            <w:tcW w:w="1276" w:type="dxa"/>
            <w:tcBorders>
              <w:top w:val="single" w:sz="8" w:space="0" w:color="auto"/>
              <w:bottom w:val="single" w:sz="8" w:space="0" w:color="auto"/>
            </w:tcBorders>
            <w:shd w:val="clear" w:color="auto" w:fill="auto"/>
          </w:tcPr>
          <w:p>
            <w:pPr>
              <w:pStyle w:val="nTable"/>
              <w:spacing w:after="40"/>
              <w:rPr>
                <w:sz w:val="19"/>
              </w:rPr>
            </w:pPr>
            <w:r>
              <w:rPr>
                <w:sz w:val="19"/>
              </w:rPr>
              <w:t>31 Jan 2013 p. 351</w:t>
            </w:r>
            <w:r>
              <w:rPr>
                <w:sz w:val="19"/>
              </w:rPr>
              <w:noBreakHyphen/>
              <w:t>416</w:t>
            </w:r>
          </w:p>
        </w:tc>
        <w:tc>
          <w:tcPr>
            <w:tcW w:w="2693" w:type="dxa"/>
            <w:tcBorders>
              <w:top w:val="single" w:sz="8" w:space="0" w:color="auto"/>
              <w:bottom w:val="single" w:sz="8" w:space="0" w:color="auto"/>
            </w:tcBorders>
            <w:shd w:val="clear" w:color="auto" w:fill="auto"/>
          </w:tcPr>
          <w:p>
            <w:pPr>
              <w:pStyle w:val="nTable"/>
              <w:spacing w:after="40"/>
              <w:rPr>
                <w:sz w:val="19"/>
              </w:rPr>
            </w:pPr>
            <w:r>
              <w:rPr>
                <w:sz w:val="19"/>
              </w:rPr>
              <w:t>r. 1 and 2: 31 Jan 2013 (see r. 2(a));</w:t>
            </w:r>
            <w:r>
              <w:rPr>
                <w:sz w:val="19"/>
              </w:rPr>
              <w:br/>
              <w:t>Regulations other than r. 1 and 2: 1 Apr 2013 (see r. 2(b))</w:t>
            </w:r>
          </w:p>
        </w:tc>
      </w:tr>
    </w:tbl>
    <w:p>
      <w:bookmarkStart w:id="266" w:name="AutoSch"/>
      <w:bookmarkStart w:id="267" w:name="endcomma"/>
      <w:bookmarkStart w:id="268" w:name="_Hlt48116945"/>
      <w:bookmarkEnd w:id="266"/>
      <w:bookmarkEnd w:id="267"/>
      <w:bookmarkEnd w:id="268"/>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269" w:name="_Toc352156808"/>
      <w:bookmarkStart w:id="270" w:name="_Toc352157362"/>
      <w:bookmarkStart w:id="271" w:name="_Toc352157777"/>
      <w:bookmarkStart w:id="272" w:name="_Toc352160658"/>
      <w:bookmarkStart w:id="273" w:name="_Toc352160720"/>
      <w:bookmarkStart w:id="274" w:name="_Toc352160782"/>
      <w:r>
        <w:rPr>
          <w:sz w:val="28"/>
        </w:rPr>
        <w:t>Defined terms</w:t>
      </w:r>
      <w:bookmarkEnd w:id="269"/>
      <w:bookmarkEnd w:id="270"/>
      <w:bookmarkEnd w:id="271"/>
      <w:bookmarkEnd w:id="272"/>
      <w:bookmarkEnd w:id="273"/>
      <w:bookmarkEnd w:id="2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5" w:name="DefinedTerms"/>
      <w:bookmarkEnd w:id="275"/>
      <w:r>
        <w:t>administering body</w:t>
      </w:r>
      <w:r>
        <w:tab/>
        <w:t>Sch. 1, cl. 1</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Commissioner</w:t>
      </w:r>
      <w:r>
        <w:tab/>
        <w:t>Sch. 1, cl. 1</w:t>
      </w:r>
    </w:p>
    <w:p>
      <w:pPr>
        <w:pStyle w:val="DefinedTerms"/>
      </w:pPr>
      <w:r>
        <w:t>Cwlth</w:t>
      </w:r>
      <w:r>
        <w:tab/>
        <w:t>Sch. 1, cl. 1(2)</w:t>
      </w:r>
    </w:p>
    <w:p>
      <w:pPr>
        <w:pStyle w:val="DefinedTerms"/>
      </w:pPr>
      <w:r>
        <w:t>first party</w:t>
      </w:r>
      <w:r>
        <w:tab/>
        <w:t>Sch. 1, cl. 6(1)</w:t>
      </w:r>
    </w:p>
    <w:p>
      <w:pPr>
        <w:pStyle w:val="DefinedTerms"/>
      </w:pPr>
      <w:r>
        <w:t>operating statements</w:t>
      </w:r>
      <w:r>
        <w:tab/>
        <w:t>Sch. 1, cl. 5(1)</w:t>
      </w:r>
    </w:p>
    <w:p>
      <w:pPr>
        <w:pStyle w:val="DefinedTerms"/>
      </w:pPr>
      <w:r>
        <w:t>owner</w:t>
      </w:r>
      <w:r>
        <w:tab/>
        <w:t>Sch. 1, cl. 1</w:t>
      </w:r>
    </w:p>
    <w:p>
      <w:pPr>
        <w:pStyle w:val="DefinedTerms"/>
      </w:pPr>
      <w:r>
        <w:t>personal representative</w:t>
      </w:r>
      <w:r>
        <w:tab/>
        <w:t>Sch. 1, cl. 5(1), cl. 8(4)</w:t>
      </w:r>
    </w:p>
    <w:p>
      <w:pPr>
        <w:pStyle w:val="DefinedTerms"/>
      </w:pPr>
      <w:r>
        <w:t>personal services</w:t>
      </w:r>
      <w:r>
        <w:tab/>
        <w:t>Sch. 1, cl. 4(3)</w:t>
      </w:r>
    </w:p>
    <w:p>
      <w:pPr>
        <w:pStyle w:val="DefinedTerms"/>
      </w:pPr>
      <w:r>
        <w:t>premium</w:t>
      </w:r>
      <w:r>
        <w:tab/>
        <w:t>Sch. 1, cl. 1</w:t>
      </w:r>
    </w:p>
    <w:p>
      <w:pPr>
        <w:pStyle w:val="DefinedTerms"/>
      </w:pPr>
      <w:r>
        <w:t>proxy</w:t>
      </w:r>
      <w:r>
        <w:tab/>
        <w:t>Sch. 1, cl. 5(2)</w:t>
      </w:r>
    </w:p>
    <w:p>
      <w:pPr>
        <w:pStyle w:val="DefinedTerms"/>
      </w:pPr>
      <w:r>
        <w:t>proxy notice</w:t>
      </w:r>
      <w:r>
        <w:tab/>
        <w:t>Sch. 1, cl. 5(2)</w:t>
      </w:r>
    </w:p>
    <w:p>
      <w:pPr>
        <w:pStyle w:val="DefinedTerms"/>
      </w:pPr>
      <w:r>
        <w:t>recurrent charge</w:t>
      </w:r>
      <w:r>
        <w:tab/>
        <w:t>Sch. 1, cl. 1</w:t>
      </w:r>
    </w:p>
    <w:p>
      <w:pPr>
        <w:pStyle w:val="DefinedTerms"/>
      </w:pPr>
      <w:r>
        <w:t>registered company auditor</w:t>
      </w:r>
      <w:r>
        <w:tab/>
        <w:t>Sch. 1, cl. 5(1)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care</w:t>
      </w:r>
      <w:r>
        <w:tab/>
        <w:t>Sch. 1, cl. 1(2)</w:t>
      </w:r>
    </w:p>
    <w:p>
      <w:pPr>
        <w:pStyle w:val="DefinedTerms"/>
      </w:pPr>
      <w:r>
        <w:t>residential care subsidy</w:t>
      </w:r>
      <w:r>
        <w:tab/>
        <w:t>Sch. 1, cl. 1(2)</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scheme</w:t>
      </w:r>
      <w:r>
        <w:tab/>
        <w:t>Sch. 1, cl. 1</w:t>
      </w:r>
    </w:p>
    <w:p>
      <w:pPr>
        <w:pStyle w:val="DefinedTerms"/>
      </w:pPr>
      <w:r>
        <w:t>scheme</w:t>
      </w:r>
      <w:r>
        <w:tab/>
        <w:t>Sch. 1, cl. 1</w:t>
      </w:r>
    </w:p>
    <w:p>
      <w:pPr>
        <w:pStyle w:val="DefinedTerms"/>
      </w:pPr>
      <w:r>
        <w:t>second party</w:t>
      </w:r>
      <w:r>
        <w:tab/>
        <w:t>Sch. 1, cl. 6(1)</w:t>
      </w:r>
    </w:p>
    <w:p>
      <w:pPr>
        <w:pStyle w:val="DefinedTerms"/>
      </w:pPr>
      <w:r>
        <w:t>service contract</w:t>
      </w:r>
      <w:r>
        <w:tab/>
        <w:t>Sch. 1, cl. 1</w:t>
      </w:r>
    </w:p>
    <w:p>
      <w:pPr>
        <w:pStyle w:val="DefinedTerms"/>
      </w:pPr>
      <w:r>
        <w:t>special resolution</w:t>
      </w:r>
      <w:r>
        <w:tab/>
        <w:t>Sch. 1, cl. 5(1), cl. 6</w:t>
      </w:r>
    </w:p>
    <w:p>
      <w:pPr>
        <w:pStyle w:val="DefinedTerms"/>
      </w:pPr>
      <w:r>
        <w:t>withdrawal notice</w:t>
      </w:r>
      <w:r>
        <w:tab/>
        <w:t>Sch. 1, cl. 6(14)</w:t>
      </w:r>
    </w:p>
    <w:p>
      <w:pPr>
        <w:pStyle w:val="DefinedTerms"/>
      </w:pPr>
      <w:r>
        <w:t>work</w:t>
      </w:r>
      <w:r>
        <w:tab/>
        <w:t>Sch. 1, cl. 5(1)</w:t>
      </w:r>
    </w:p>
    <w:p>
      <w:pPr>
        <w:pStyle w:val="DefinedTerms"/>
      </w:pPr>
      <w:r>
        <w:t>working day</w:t>
      </w:r>
      <w:r>
        <w:tab/>
        <w:t>Sch. 1, cl. 1</w:t>
      </w:r>
    </w:p>
    <w:p>
      <w:pPr>
        <w:pStyle w:val="DefinedTerms"/>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4" w:bottom="3544" w:left="2404" w:header="720" w:footer="3380" w:gutter="0"/>
          <w:cols w:space="720"/>
          <w:noEndnote/>
          <w:docGrid w:linePitch="326"/>
        </w:sectPr>
      </w:pPr>
    </w:p>
    <w:p/>
    <w:sectPr>
      <w:headerReference w:type="even"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Interim Code)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Interim Code)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Fair Trading (Retirement Villages Interim Code) Regulations 2013</w:t>
            </w:r>
          </w:fldSimple>
        </w:p>
      </w:tc>
    </w:tr>
    <w:tr>
      <w:tc>
        <w:tcPr>
          <w:tcW w:w="5797" w:type="dxa"/>
          <w:vAlign w:val="bottom"/>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Interim Code)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Interim Code of Fair Practice for Retirement Villages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0</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Fair Trading (Retirement Villages Interim Code) Regulations 2013</w:t>
            </w:r>
          </w:fldSimple>
        </w:p>
      </w:tc>
    </w:tr>
    <w:tr>
      <w:tc>
        <w:tcPr>
          <w:tcW w:w="5797" w:type="dxa"/>
          <w:vAlign w:val="bottom"/>
        </w:tcPr>
        <w:p>
          <w:pPr>
            <w:pStyle w:val="HeaderTextRight"/>
          </w:pPr>
          <w:fldSimple w:instr=" styleref CharSchText ">
            <w:r>
              <w:rPr>
                <w:noProof/>
              </w:rPr>
              <w:t>Interim Code of Fair Practice for Retirement Villages 2013</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97" w:type="dxa"/>
        </w:tcPr>
        <w:p>
          <w:pPr>
            <w:pStyle w:val="HeaderTextRight"/>
          </w:pPr>
          <w:r>
            <w:fldChar w:fldCharType="begin"/>
          </w:r>
          <w:r>
            <w:instrText xml:space="preserve"> styleref CharSDivText </w:instrText>
          </w:r>
          <w:r>
            <w:rPr>
              <w:noProof/>
            </w:rP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Interim Code)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Appendix 1</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Interim Code of Fair Practice for Retirement Villages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8</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8</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Fair Trading (Retirement Villages Interim Code) Regulations 2013</w:t>
            </w:r>
          </w:fldSimple>
        </w:p>
      </w:tc>
    </w:tr>
    <w:tr>
      <w:tc>
        <w:tcPr>
          <w:tcW w:w="5797" w:type="dxa"/>
          <w:vAlign w:val="bottom"/>
        </w:tcPr>
        <w:p>
          <w:pPr>
            <w:pStyle w:val="HeaderTextRight"/>
          </w:pPr>
          <w:fldSimple w:instr=" styleref CharSchText ">
            <w:r>
              <w:rPr>
                <w:noProof/>
              </w:rPr>
              <w:t>Interim Code of Fair Practice for Retirement Villages 2013</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97" w:type="dxa"/>
        </w:tcPr>
        <w:p>
          <w:pPr>
            <w:pStyle w:val="HeaderTextRight"/>
          </w:pPr>
          <w:fldSimple w:instr=" styleref CharSDivText ">
            <w:r>
              <w:rPr>
                <w:noProof/>
              </w:rPr>
              <w:t>Miscellaneous</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8</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8</w:t>
          </w:r>
          <w:r>
            <w:rPr>
              <w:bCs/>
            </w:rP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0D4070AC"/>
    <w:multiLevelType w:val="hybridMultilevel"/>
    <w:tmpl w:val="6D306C40"/>
    <w:lvl w:ilvl="0" w:tplc="9C760BF4">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21EA4D2D"/>
    <w:multiLevelType w:val="hybridMultilevel"/>
    <w:tmpl w:val="EED2AC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6">
    <w:nsid w:val="238F6758"/>
    <w:multiLevelType w:val="hybridMultilevel"/>
    <w:tmpl w:val="AD94B2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6">
    <w:nsid w:val="3F1D7FC5"/>
    <w:multiLevelType w:val="singleLevel"/>
    <w:tmpl w:val="0C09000F"/>
    <w:lvl w:ilvl="0">
      <w:start w:val="1"/>
      <w:numFmt w:val="decimal"/>
      <w:lvlText w:val="%1."/>
      <w:lvlJc w:val="left"/>
      <w:pPr>
        <w:tabs>
          <w:tab w:val="num" w:pos="360"/>
        </w:tabs>
        <w:ind w:left="360" w:hanging="360"/>
      </w:pPr>
    </w:lvl>
  </w:abstractNum>
  <w:abstractNum w:abstractNumId="37">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8">
    <w:nsid w:val="490468B5"/>
    <w:multiLevelType w:val="hybridMultilevel"/>
    <w:tmpl w:val="7ECE1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0">
    <w:nsid w:val="4CC03303"/>
    <w:multiLevelType w:val="singleLevel"/>
    <w:tmpl w:val="0809000F"/>
    <w:lvl w:ilvl="0">
      <w:start w:val="1"/>
      <w:numFmt w:val="decimal"/>
      <w:lvlText w:val="%1."/>
      <w:lvlJc w:val="left"/>
      <w:pPr>
        <w:tabs>
          <w:tab w:val="num" w:pos="360"/>
        </w:tabs>
        <w:ind w:left="360" w:hanging="360"/>
      </w:pPr>
    </w:lvl>
  </w:abstractNum>
  <w:abstractNum w:abstractNumId="4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2">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43">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4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5">
    <w:nsid w:val="5C614485"/>
    <w:multiLevelType w:val="hybridMultilevel"/>
    <w:tmpl w:val="BFF2483A"/>
    <w:lvl w:ilvl="0" w:tplc="9C760BF4">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4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9">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2">
    <w:nsid w:val="7DEA5FBF"/>
    <w:multiLevelType w:val="hybridMultilevel"/>
    <w:tmpl w:val="CC8A7C88"/>
    <w:lvl w:ilvl="0" w:tplc="37C041B4">
      <w:start w:val="1"/>
      <w:numFmt w:val="bullet"/>
      <w:lvlText w:val=""/>
      <w:lvlJc w:val="left"/>
      <w:pPr>
        <w:tabs>
          <w:tab w:val="num" w:pos="2280"/>
        </w:tabs>
        <w:ind w:left="2280" w:hanging="360"/>
      </w:pPr>
      <w:rPr>
        <w:rFonts w:ascii="Symbol" w:hAnsi="Symbol" w:hint="default"/>
        <w:sz w:val="24"/>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num w:numId="1">
    <w:abstractNumId w:val="9"/>
  </w:num>
  <w:num w:numId="2">
    <w:abstractNumId w:val="40"/>
  </w:num>
  <w:num w:numId="3">
    <w:abstractNumId w:val="21"/>
  </w:num>
  <w:num w:numId="4">
    <w:abstractNumId w:val="14"/>
  </w:num>
  <w:num w:numId="5">
    <w:abstractNumId w:val="2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5"/>
  </w:num>
  <w:num w:numId="17">
    <w:abstractNumId w:val="48"/>
  </w:num>
  <w:num w:numId="18">
    <w:abstractNumId w:val="19"/>
  </w:num>
  <w:num w:numId="19">
    <w:abstractNumId w:val="13"/>
  </w:num>
  <w:num w:numId="20">
    <w:abstractNumId w:val="43"/>
  </w:num>
  <w:num w:numId="21">
    <w:abstractNumId w:val="11"/>
  </w:num>
  <w:num w:numId="22">
    <w:abstractNumId w:val="23"/>
  </w:num>
  <w:num w:numId="23">
    <w:abstractNumId w:val="39"/>
  </w:num>
  <w:num w:numId="24">
    <w:abstractNumId w:val="36"/>
  </w:num>
  <w:num w:numId="25">
    <w:abstractNumId w:val="16"/>
  </w:num>
  <w:num w:numId="26">
    <w:abstractNumId w:val="27"/>
  </w:num>
  <w:num w:numId="27">
    <w:abstractNumId w:val="49"/>
  </w:num>
  <w:num w:numId="28">
    <w:abstractNumId w:val="52"/>
  </w:num>
  <w:num w:numId="29">
    <w:abstractNumId w:val="38"/>
  </w:num>
  <w:num w:numId="30">
    <w:abstractNumId w:val="24"/>
  </w:num>
  <w:num w:numId="31">
    <w:abstractNumId w:val="17"/>
  </w:num>
  <w:num w:numId="32">
    <w:abstractNumId w:val="37"/>
  </w:num>
  <w:num w:numId="33">
    <w:abstractNumId w:val="46"/>
  </w:num>
  <w:num w:numId="34">
    <w:abstractNumId w:val="42"/>
  </w:num>
  <w:num w:numId="35">
    <w:abstractNumId w:val="45"/>
  </w:num>
  <w:num w:numId="36">
    <w:abstractNumId w:val="26"/>
  </w:num>
  <w:num w:numId="37">
    <w:abstractNumId w:val="44"/>
  </w:num>
  <w:num w:numId="38">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747"/>
    <w:docVar w:name="WAFER_20151204112643" w:val="RemoveTrackChanges"/>
    <w:docVar w:name="WAFER_20151204112643_GUID" w:val="f42662d8-b91b-4450-8d0f-93a5facc61e2"/>
    <w:docVar w:name="WAFER_20151204112747" w:val="RemoveTrackChanges"/>
    <w:docVar w:name="WAFER_20151204112747_GUID" w:val="b8fba9d0-c4a0-4331-abc7-e59f37d033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zTable">
    <w:name w:val="zTable"/>
    <w:basedOn w:val="Normal"/>
    <w:pPr>
      <w:shd w:val="clear" w:color="808080" w:fill="auto"/>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zTable">
    <w:name w:val="zTable"/>
    <w:basedOn w:val="Normal"/>
    <w:pPr>
      <w:shd w:val="clear" w:color="808080" w:fill="auto"/>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12766</Words>
  <Characters>67280</Characters>
  <Application>Microsoft Office Word</Application>
  <DocSecurity>0</DocSecurity>
  <Lines>2102</Lines>
  <Paragraphs>988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2013 - 00-b0-03</dc:title>
  <dc:subject/>
  <dc:creator/>
  <cp:keywords/>
  <dc:description/>
  <cp:lastModifiedBy>svcMRProcess</cp:lastModifiedBy>
  <cp:revision>4</cp:revision>
  <cp:lastPrinted>2013-01-15T05:17:00Z</cp:lastPrinted>
  <dcterms:created xsi:type="dcterms:W3CDTF">2018-09-19T01:19:00Z</dcterms:created>
  <dcterms:modified xsi:type="dcterms:W3CDTF">2018-09-19T01:19:00Z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Jan 2013 p 351-416</vt:lpwstr>
  </property>
  <property fmtid="{D5CDD505-2E9C-101B-9397-08002B2CF9AE}" pid="3" name="CommencementDate">
    <vt:lpwstr>20130401</vt:lpwstr>
  </property>
  <property fmtid="{D5CDD505-2E9C-101B-9397-08002B2CF9AE}" pid="4" name="AsAtDate">
    <vt:lpwstr>01 Apr 2013</vt:lpwstr>
  </property>
  <property fmtid="{D5CDD505-2E9C-101B-9397-08002B2CF9AE}" pid="5" name="Suffix">
    <vt:lpwstr>00-b0-03</vt:lpwstr>
  </property>
  <property fmtid="{D5CDD505-2E9C-101B-9397-08002B2CF9AE}" pid="6" name="StationID">
    <vt:lpwstr>12</vt:lpwstr>
  </property>
  <property fmtid="{D5CDD505-2E9C-101B-9397-08002B2CF9AE}" pid="7" name="DocumentType">
    <vt:lpwstr>Reg</vt:lpwstr>
  </property>
</Properties>
</file>