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Finance Brokers Control Act 1975</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Finance Brokers Control (General) Regulations 2005</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regulations as at </w:t>
      </w:r>
      <w:r>
        <w:fldChar w:fldCharType="begin"/>
      </w:r>
      <w:r>
        <w:instrText xml:space="preserve"> DOCPROPERTY "ReprintedAsAt" \@ "d MMMM yyyy" </w:instrText>
      </w:r>
      <w:r>
        <w:fldChar w:fldCharType="separate"/>
      </w:r>
      <w:r>
        <w:t>22 March 2013</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5221187"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5"/>
        </w:numPr>
        <w:ind w:left="1135"/>
        <w:rPr>
          <w:sz w:val="20"/>
        </w:rPr>
      </w:pPr>
      <w:r>
        <w:rPr>
          <w:rFonts w:ascii="Times" w:hAnsi="Times"/>
          <w:sz w:val="20"/>
        </w:rPr>
        <w:t>removed (because it was repealed or deleted from the law); or</w:t>
      </w:r>
    </w:p>
    <w:p>
      <w:pPr>
        <w:numPr>
          <w:ilvl w:val="0"/>
          <w:numId w:val="25"/>
        </w:numPr>
        <w:ind w:left="1135"/>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22 March 2013</w:t>
            </w:r>
            <w:r>
              <w:rPr>
                <w:b/>
                <w:sz w:val="22"/>
              </w:rPr>
              <w:fldChar w:fldCharType="end"/>
            </w:r>
          </w:p>
        </w:tc>
      </w:tr>
    </w:tbl>
    <w:p>
      <w:pPr>
        <w:pStyle w:val="WA"/>
        <w:spacing w:before="120"/>
      </w:pPr>
      <w:r>
        <w:t>Western Australia</w:t>
      </w:r>
    </w:p>
    <w:p>
      <w:pPr>
        <w:pStyle w:val="NameofActRegPage1"/>
        <w:ind w:left="720" w:right="256"/>
      </w:pPr>
      <w:r>
        <w:fldChar w:fldCharType="begin"/>
      </w:r>
      <w:r>
        <w:instrText xml:space="preserve"> STYLEREF "Name Of Act/Reg"</w:instrText>
      </w:r>
      <w:r>
        <w:fldChar w:fldCharType="separate"/>
      </w:r>
      <w:r>
        <w:rPr>
          <w:noProof/>
        </w:rPr>
        <w:t>Finance Brokers Control (General) Regulations 2005</w:t>
      </w:r>
      <w:r>
        <w:fldChar w:fldCharType="end"/>
      </w:r>
    </w:p>
    <w:p>
      <w:pPr>
        <w:pStyle w:val="Arrangement"/>
        <w:pBdr>
          <w:top w:val="none" w:sz="0" w:space="0" w:color="auto"/>
          <w:bottom w:val="none" w:sz="0" w:space="0" w:color="auto"/>
        </w:pBdr>
        <w:rPr>
          <w:b/>
          <w:sz w:val="28"/>
          <w:szCs w:val="28"/>
        </w:rPr>
      </w:pPr>
      <w:r>
        <w:rPr>
          <w:b/>
          <w:sz w:val="28"/>
          <w:szCs w:val="28"/>
        </w:rP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_Toc382318408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_Toc382318409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_Toc382318410 \h </w:instrText>
      </w:r>
      <w:r>
        <w:fldChar w:fldCharType="separate"/>
      </w:r>
      <w:r>
        <w:t>1</w:t>
      </w:r>
      <w:r>
        <w:fldChar w:fldCharType="end"/>
      </w:r>
    </w:p>
    <w:p>
      <w:pPr>
        <w:pStyle w:val="TOC8"/>
        <w:rPr>
          <w:rFonts w:asciiTheme="minorHAnsi" w:eastAsiaTheme="minorEastAsia" w:hAnsiTheme="minorHAnsi" w:cstheme="minorBidi"/>
          <w:szCs w:val="22"/>
        </w:rPr>
      </w:pPr>
      <w:r>
        <w:t>4.</w:t>
      </w:r>
      <w:r>
        <w:tab/>
        <w:t>Partial exemption from Act: financial services licensee for some loans</w:t>
      </w:r>
      <w:r>
        <w:tab/>
      </w:r>
      <w:r>
        <w:fldChar w:fldCharType="begin"/>
      </w:r>
      <w:r>
        <w:instrText xml:space="preserve"> PAGEREF _Toc382318411 \h </w:instrText>
      </w:r>
      <w:r>
        <w:fldChar w:fldCharType="separate"/>
      </w:r>
      <w:r>
        <w:t>2</w:t>
      </w:r>
      <w:r>
        <w:fldChar w:fldCharType="end"/>
      </w:r>
    </w:p>
    <w:p>
      <w:pPr>
        <w:pStyle w:val="TOC8"/>
        <w:rPr>
          <w:rFonts w:asciiTheme="minorHAnsi" w:eastAsiaTheme="minorEastAsia" w:hAnsiTheme="minorHAnsi" w:cstheme="minorBidi"/>
          <w:szCs w:val="22"/>
        </w:rPr>
      </w:pPr>
      <w:r>
        <w:t>5.</w:t>
      </w:r>
      <w:r>
        <w:tab/>
        <w:t>Partial exemption from Act: licensee not holding trust monies</w:t>
      </w:r>
      <w:r>
        <w:tab/>
      </w:r>
      <w:r>
        <w:fldChar w:fldCharType="begin"/>
      </w:r>
      <w:r>
        <w:instrText xml:space="preserve"> PAGEREF _Toc382318412 \h </w:instrText>
      </w:r>
      <w:r>
        <w:fldChar w:fldCharType="separate"/>
      </w:r>
      <w:r>
        <w:t>2</w:t>
      </w:r>
      <w:r>
        <w:fldChar w:fldCharType="end"/>
      </w:r>
    </w:p>
    <w:p>
      <w:pPr>
        <w:pStyle w:val="TOC8"/>
        <w:rPr>
          <w:rFonts w:asciiTheme="minorHAnsi" w:eastAsiaTheme="minorEastAsia" w:hAnsiTheme="minorHAnsi" w:cstheme="minorBidi"/>
          <w:szCs w:val="22"/>
        </w:rPr>
      </w:pPr>
      <w:r>
        <w:t>5A.</w:t>
      </w:r>
      <w:r>
        <w:tab/>
        <w:t>Partial exemption from Act: Australian resident outside WA</w:t>
      </w:r>
      <w:r>
        <w:tab/>
      </w:r>
      <w:r>
        <w:fldChar w:fldCharType="begin"/>
      </w:r>
      <w:r>
        <w:instrText xml:space="preserve"> PAGEREF _Toc382318413 \h </w:instrText>
      </w:r>
      <w:r>
        <w:fldChar w:fldCharType="separate"/>
      </w:r>
      <w:r>
        <w:t>2</w:t>
      </w:r>
      <w:r>
        <w:fldChar w:fldCharType="end"/>
      </w:r>
    </w:p>
    <w:p>
      <w:pPr>
        <w:pStyle w:val="TOC8"/>
        <w:rPr>
          <w:rFonts w:asciiTheme="minorHAnsi" w:eastAsiaTheme="minorEastAsia" w:hAnsiTheme="minorHAnsi" w:cstheme="minorBidi"/>
          <w:szCs w:val="22"/>
        </w:rPr>
      </w:pPr>
      <w:r>
        <w:t>5B.</w:t>
      </w:r>
      <w:r>
        <w:tab/>
        <w:t>Partial exemption from Act: certain bodies providing low interest loans</w:t>
      </w:r>
      <w:r>
        <w:tab/>
      </w:r>
      <w:r>
        <w:fldChar w:fldCharType="begin"/>
      </w:r>
      <w:r>
        <w:instrText xml:space="preserve"> PAGEREF _Toc382318414 \h </w:instrText>
      </w:r>
      <w:r>
        <w:fldChar w:fldCharType="separate"/>
      </w:r>
      <w:r>
        <w:t>3</w:t>
      </w:r>
      <w:r>
        <w:fldChar w:fldCharType="end"/>
      </w:r>
    </w:p>
    <w:p>
      <w:pPr>
        <w:pStyle w:val="TOC8"/>
        <w:rPr>
          <w:rFonts w:asciiTheme="minorHAnsi" w:eastAsiaTheme="minorEastAsia" w:hAnsiTheme="minorHAnsi" w:cstheme="minorBidi"/>
          <w:szCs w:val="22"/>
        </w:rPr>
      </w:pPr>
      <w:r>
        <w:t>6.</w:t>
      </w:r>
      <w:r>
        <w:tab/>
        <w:t>Manner etc. prescribed for licence application by individual (Act s. 24(1))</w:t>
      </w:r>
      <w:r>
        <w:tab/>
      </w:r>
      <w:r>
        <w:fldChar w:fldCharType="begin"/>
      </w:r>
      <w:r>
        <w:instrText xml:space="preserve"> PAGEREF _Toc382318415 \h </w:instrText>
      </w:r>
      <w:r>
        <w:fldChar w:fldCharType="separate"/>
      </w:r>
      <w:r>
        <w:t>3</w:t>
      </w:r>
      <w:r>
        <w:fldChar w:fldCharType="end"/>
      </w:r>
    </w:p>
    <w:p>
      <w:pPr>
        <w:pStyle w:val="TOC8"/>
        <w:rPr>
          <w:rFonts w:asciiTheme="minorHAnsi" w:eastAsiaTheme="minorEastAsia" w:hAnsiTheme="minorHAnsi" w:cstheme="minorBidi"/>
          <w:szCs w:val="22"/>
        </w:rPr>
      </w:pPr>
      <w:r>
        <w:t>7.</w:t>
      </w:r>
      <w:r>
        <w:tab/>
        <w:t>Manner etc. prescribed for licence application by firm (Act s. 24(1))</w:t>
      </w:r>
      <w:r>
        <w:tab/>
      </w:r>
      <w:r>
        <w:fldChar w:fldCharType="begin"/>
      </w:r>
      <w:r>
        <w:instrText xml:space="preserve"> PAGEREF _Toc382318416 \h </w:instrText>
      </w:r>
      <w:r>
        <w:fldChar w:fldCharType="separate"/>
      </w:r>
      <w:r>
        <w:t>6</w:t>
      </w:r>
      <w:r>
        <w:fldChar w:fldCharType="end"/>
      </w:r>
    </w:p>
    <w:p>
      <w:pPr>
        <w:pStyle w:val="TOC8"/>
        <w:rPr>
          <w:rFonts w:asciiTheme="minorHAnsi" w:eastAsiaTheme="minorEastAsia" w:hAnsiTheme="minorHAnsi" w:cstheme="minorBidi"/>
          <w:szCs w:val="22"/>
        </w:rPr>
      </w:pPr>
      <w:r>
        <w:t>8.</w:t>
      </w:r>
      <w:r>
        <w:tab/>
        <w:t>Manner etc. prescribed for licence application by body corporate (Act s. 24(1))</w:t>
      </w:r>
      <w:r>
        <w:tab/>
      </w:r>
      <w:r>
        <w:fldChar w:fldCharType="begin"/>
      </w:r>
      <w:r>
        <w:instrText xml:space="preserve"> PAGEREF _Toc382318417 \h </w:instrText>
      </w:r>
      <w:r>
        <w:fldChar w:fldCharType="separate"/>
      </w:r>
      <w:r>
        <w:t>9</w:t>
      </w:r>
      <w:r>
        <w:fldChar w:fldCharType="end"/>
      </w:r>
    </w:p>
    <w:p>
      <w:pPr>
        <w:pStyle w:val="TOC8"/>
        <w:rPr>
          <w:rFonts w:asciiTheme="minorHAnsi" w:eastAsiaTheme="minorEastAsia" w:hAnsiTheme="minorHAnsi" w:cstheme="minorBidi"/>
          <w:szCs w:val="22"/>
        </w:rPr>
      </w:pPr>
      <w:r>
        <w:t>9.</w:t>
      </w:r>
      <w:r>
        <w:tab/>
        <w:t>Advertising n</w:t>
      </w:r>
      <w:r>
        <w:rPr>
          <w:snapToGrid w:val="0"/>
        </w:rPr>
        <w:t>otice of application for licence (Act s. 24(2))</w:t>
      </w:r>
      <w:r>
        <w:tab/>
      </w:r>
      <w:r>
        <w:fldChar w:fldCharType="begin"/>
      </w:r>
      <w:r>
        <w:instrText xml:space="preserve"> PAGEREF _Toc382318418 \h </w:instrText>
      </w:r>
      <w:r>
        <w:fldChar w:fldCharType="separate"/>
      </w:r>
      <w:r>
        <w:t>11</w:t>
      </w:r>
      <w:r>
        <w:fldChar w:fldCharType="end"/>
      </w:r>
    </w:p>
    <w:p>
      <w:pPr>
        <w:pStyle w:val="TOC8"/>
        <w:rPr>
          <w:rFonts w:asciiTheme="minorHAnsi" w:eastAsiaTheme="minorEastAsia" w:hAnsiTheme="minorHAnsi" w:cstheme="minorBidi"/>
          <w:szCs w:val="22"/>
        </w:rPr>
      </w:pPr>
      <w:r>
        <w:t>10.</w:t>
      </w:r>
      <w:r>
        <w:tab/>
        <w:t>Requirements prescribed (Act s. 28(d) and 29(1)(d))</w:t>
      </w:r>
      <w:r>
        <w:tab/>
      </w:r>
      <w:r>
        <w:fldChar w:fldCharType="begin"/>
      </w:r>
      <w:r>
        <w:instrText xml:space="preserve"> PAGEREF _Toc382318419 \h </w:instrText>
      </w:r>
      <w:r>
        <w:fldChar w:fldCharType="separate"/>
      </w:r>
      <w:r>
        <w:t>12</w:t>
      </w:r>
      <w:r>
        <w:fldChar w:fldCharType="end"/>
      </w:r>
    </w:p>
    <w:p>
      <w:pPr>
        <w:pStyle w:val="TOC8"/>
        <w:rPr>
          <w:rFonts w:asciiTheme="minorHAnsi" w:eastAsiaTheme="minorEastAsia" w:hAnsiTheme="minorHAnsi" w:cstheme="minorBidi"/>
          <w:szCs w:val="22"/>
        </w:rPr>
      </w:pPr>
      <w:r>
        <w:t>11.</w:t>
      </w:r>
      <w:r>
        <w:tab/>
        <w:t>Manner etc. prescribed for application to renew licence (Act s. 32(2))</w:t>
      </w:r>
      <w:r>
        <w:tab/>
      </w:r>
      <w:r>
        <w:fldChar w:fldCharType="begin"/>
      </w:r>
      <w:r>
        <w:instrText xml:space="preserve"> PAGEREF _Toc382318420 \h </w:instrText>
      </w:r>
      <w:r>
        <w:fldChar w:fldCharType="separate"/>
      </w:r>
      <w:r>
        <w:t>12</w:t>
      </w:r>
      <w:r>
        <w:fldChar w:fldCharType="end"/>
      </w:r>
    </w:p>
    <w:p>
      <w:pPr>
        <w:pStyle w:val="TOC8"/>
        <w:rPr>
          <w:rFonts w:asciiTheme="minorHAnsi" w:eastAsiaTheme="minorEastAsia" w:hAnsiTheme="minorHAnsi" w:cstheme="minorBidi"/>
          <w:szCs w:val="22"/>
        </w:rPr>
      </w:pPr>
      <w:r>
        <w:t>12.</w:t>
      </w:r>
      <w:r>
        <w:tab/>
        <w:t>Exemption from bond requirements (Act s. 35A)</w:t>
      </w:r>
      <w:r>
        <w:tab/>
      </w:r>
      <w:r>
        <w:fldChar w:fldCharType="begin"/>
      </w:r>
      <w:r>
        <w:instrText xml:space="preserve"> PAGEREF _Toc382318421 \h </w:instrText>
      </w:r>
      <w:r>
        <w:fldChar w:fldCharType="separate"/>
      </w:r>
      <w:r>
        <w:t>13</w:t>
      </w:r>
      <w:r>
        <w:fldChar w:fldCharType="end"/>
      </w:r>
    </w:p>
    <w:p>
      <w:pPr>
        <w:pStyle w:val="TOC8"/>
        <w:rPr>
          <w:rFonts w:asciiTheme="minorHAnsi" w:eastAsiaTheme="minorEastAsia" w:hAnsiTheme="minorHAnsi" w:cstheme="minorBidi"/>
          <w:szCs w:val="22"/>
        </w:rPr>
      </w:pPr>
      <w:r>
        <w:t>14.</w:t>
      </w:r>
      <w:r>
        <w:tab/>
        <w:t>P</w:t>
      </w:r>
      <w:r>
        <w:rPr>
          <w:snapToGrid w:val="0"/>
        </w:rPr>
        <w:t>articulars prescribed for register (Act s. 84)</w:t>
      </w:r>
      <w:r>
        <w:tab/>
      </w:r>
      <w:r>
        <w:fldChar w:fldCharType="begin"/>
      </w:r>
      <w:r>
        <w:instrText xml:space="preserve"> PAGEREF _Toc382318422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Changes of information, Commissioner to be notified of</w:t>
      </w:r>
      <w:r>
        <w:tab/>
      </w:r>
      <w:r>
        <w:fldChar w:fldCharType="begin"/>
      </w:r>
      <w:r>
        <w:instrText xml:space="preserve"> PAGEREF _Toc382318423 \h </w:instrText>
      </w:r>
      <w:r>
        <w:fldChar w:fldCharType="separate"/>
      </w:r>
      <w:r>
        <w:t>14</w:t>
      </w:r>
      <w:r>
        <w:fldChar w:fldCharType="end"/>
      </w:r>
    </w:p>
    <w:p>
      <w:pPr>
        <w:pStyle w:val="TOC8"/>
        <w:rPr>
          <w:rFonts w:asciiTheme="minorHAnsi" w:eastAsiaTheme="minorEastAsia" w:hAnsiTheme="minorHAnsi" w:cstheme="minorBidi"/>
          <w:szCs w:val="22"/>
        </w:rPr>
      </w:pPr>
      <w:r>
        <w:t>16.</w:t>
      </w:r>
      <w:r>
        <w:tab/>
        <w:t>Classes of licences prescribed; transitional provisions</w:t>
      </w:r>
      <w:r>
        <w:tab/>
      </w:r>
      <w:r>
        <w:fldChar w:fldCharType="begin"/>
      </w:r>
      <w:r>
        <w:instrText xml:space="preserve"> PAGEREF _Toc382318424 \h </w:instrText>
      </w:r>
      <w:r>
        <w:fldChar w:fldCharType="separate"/>
      </w:r>
      <w:r>
        <w:t>14</w:t>
      </w:r>
      <w:r>
        <w:fldChar w:fldCharType="end"/>
      </w:r>
    </w:p>
    <w:p>
      <w:pPr>
        <w:pStyle w:val="TOC8"/>
        <w:rPr>
          <w:rFonts w:asciiTheme="minorHAnsi" w:eastAsiaTheme="minorEastAsia" w:hAnsiTheme="minorHAnsi" w:cstheme="minorBidi"/>
          <w:szCs w:val="22"/>
        </w:rPr>
      </w:pPr>
      <w:r>
        <w:t>17.</w:t>
      </w:r>
      <w:r>
        <w:tab/>
        <w:t>“A” class licence, prerequisites for</w:t>
      </w:r>
      <w:r>
        <w:tab/>
      </w:r>
      <w:r>
        <w:fldChar w:fldCharType="begin"/>
      </w:r>
      <w:r>
        <w:instrText xml:space="preserve"> PAGEREF _Toc382318425 \h </w:instrText>
      </w:r>
      <w:r>
        <w:fldChar w:fldCharType="separate"/>
      </w:r>
      <w:r>
        <w:t>16</w:t>
      </w:r>
      <w:r>
        <w:fldChar w:fldCharType="end"/>
      </w:r>
    </w:p>
    <w:p>
      <w:pPr>
        <w:pStyle w:val="TOC8"/>
        <w:rPr>
          <w:rFonts w:asciiTheme="minorHAnsi" w:eastAsiaTheme="minorEastAsia" w:hAnsiTheme="minorHAnsi" w:cstheme="minorBidi"/>
          <w:szCs w:val="22"/>
        </w:rPr>
      </w:pPr>
      <w:r>
        <w:t>18.</w:t>
      </w:r>
      <w:r>
        <w:tab/>
        <w:t>“B” class or “C” class licence, prerequisites for</w:t>
      </w:r>
      <w:r>
        <w:tab/>
      </w:r>
      <w:r>
        <w:fldChar w:fldCharType="begin"/>
      </w:r>
      <w:r>
        <w:instrText xml:space="preserve"> PAGEREF _Toc382318426 \h </w:instrText>
      </w:r>
      <w:r>
        <w:fldChar w:fldCharType="separate"/>
      </w:r>
      <w:r>
        <w:t>16</w:t>
      </w:r>
      <w:r>
        <w:fldChar w:fldCharType="end"/>
      </w:r>
    </w:p>
    <w:p>
      <w:pPr>
        <w:pStyle w:val="TOC8"/>
        <w:rPr>
          <w:rFonts w:asciiTheme="minorHAnsi" w:eastAsiaTheme="minorEastAsia" w:hAnsiTheme="minorHAnsi" w:cstheme="minorBidi"/>
          <w:szCs w:val="22"/>
        </w:rPr>
      </w:pPr>
      <w:r>
        <w:t>18A.</w:t>
      </w:r>
      <w:r>
        <w:tab/>
        <w:t>“D” class licence, prerequisites for</w:t>
      </w:r>
      <w:r>
        <w:tab/>
      </w:r>
      <w:r>
        <w:fldChar w:fldCharType="begin"/>
      </w:r>
      <w:r>
        <w:instrText xml:space="preserve"> PAGEREF _Toc382318427 \h </w:instrText>
      </w:r>
      <w:r>
        <w:fldChar w:fldCharType="separate"/>
      </w:r>
      <w:r>
        <w:t>17</w:t>
      </w:r>
      <w:r>
        <w:fldChar w:fldCharType="end"/>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_Toc382318428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Fees, recovery of</w:t>
      </w:r>
      <w:r>
        <w:tab/>
      </w:r>
      <w:r>
        <w:fldChar w:fldCharType="begin"/>
      </w:r>
      <w:r>
        <w:instrText xml:space="preserve"> PAGEREF _Toc382318429 \h </w:instrText>
      </w:r>
      <w:r>
        <w:fldChar w:fldCharType="separate"/>
      </w:r>
      <w:r>
        <w:t>17</w:t>
      </w:r>
      <w:r>
        <w:fldChar w:fldCharType="end"/>
      </w:r>
    </w:p>
    <w:p>
      <w:pPr>
        <w:pStyle w:val="TOC8"/>
        <w:rPr>
          <w:rFonts w:asciiTheme="minorHAnsi" w:eastAsiaTheme="minorEastAsia" w:hAnsiTheme="minorHAnsi" w:cstheme="minorBidi"/>
          <w:szCs w:val="22"/>
        </w:rPr>
      </w:pPr>
      <w:r>
        <w:t>21A.</w:t>
      </w:r>
      <w:r>
        <w:tab/>
        <w:t>Licence expiring on 1 July 2010 (referral day), refund of fee for</w:t>
      </w:r>
      <w:r>
        <w:tab/>
      </w:r>
      <w:r>
        <w:fldChar w:fldCharType="begin"/>
      </w:r>
      <w:r>
        <w:instrText xml:space="preserve"> PAGEREF _Toc382318430 \h </w:instrText>
      </w:r>
      <w:r>
        <w:fldChar w:fldCharType="separate"/>
      </w:r>
      <w:r>
        <w:t>18</w:t>
      </w:r>
      <w:r>
        <w:fldChar w:fldCharType="end"/>
      </w:r>
    </w:p>
    <w:p>
      <w:pPr>
        <w:pStyle w:val="TOC8"/>
        <w:rPr>
          <w:rFonts w:asciiTheme="minorHAnsi" w:eastAsiaTheme="minorEastAsia" w:hAnsiTheme="minorHAnsi" w:cstheme="minorBidi"/>
          <w:szCs w:val="22"/>
        </w:rPr>
      </w:pPr>
      <w:r>
        <w:t>21B.</w:t>
      </w:r>
      <w:r>
        <w:tab/>
        <w:t>Application fee, repayment of for application not decided at 1 July 2010</w:t>
      </w:r>
      <w:r>
        <w:tab/>
      </w:r>
      <w:r>
        <w:fldChar w:fldCharType="begin"/>
      </w:r>
      <w:r>
        <w:instrText xml:space="preserve"> PAGEREF _Toc382318431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Infringement notices, offences and modified penalties prescribed for</w:t>
      </w:r>
      <w:r>
        <w:tab/>
      </w:r>
      <w:r>
        <w:fldChar w:fldCharType="begin"/>
      </w:r>
      <w:r>
        <w:instrText xml:space="preserve"> PAGEREF _Toc382318432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22.</w:t>
      </w:r>
      <w:r>
        <w:rPr>
          <w:snapToGrid w:val="0"/>
        </w:rPr>
        <w:tab/>
        <w:t>Infringement notice, form of prescribed</w:t>
      </w:r>
      <w:r>
        <w:tab/>
      </w:r>
      <w:r>
        <w:fldChar w:fldCharType="begin"/>
      </w:r>
      <w:r>
        <w:instrText xml:space="preserve"> PAGEREF _Toc382318433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23.</w:t>
      </w:r>
      <w:r>
        <w:rPr>
          <w:snapToGrid w:val="0"/>
        </w:rPr>
        <w:tab/>
        <w:t>Withdrawal of infringement notice, form of prescribed</w:t>
      </w:r>
      <w:r>
        <w:tab/>
      </w:r>
      <w:r>
        <w:fldChar w:fldCharType="begin"/>
      </w:r>
      <w:r>
        <w:instrText xml:space="preserve"> PAGEREF _Toc382318434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Schedule 2 — Modified penalties</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Schedule 4 — Transitional</w:t>
      </w:r>
    </w:p>
    <w:p>
      <w:pPr>
        <w:pStyle w:val="TOC8"/>
        <w:rPr>
          <w:rFonts w:asciiTheme="minorHAnsi" w:eastAsiaTheme="minorEastAsia" w:hAnsiTheme="minorHAnsi" w:cstheme="minorBidi"/>
          <w:szCs w:val="22"/>
        </w:rPr>
      </w:pPr>
      <w:r>
        <w:t>1.</w:t>
      </w:r>
      <w:r>
        <w:tab/>
        <w:t>Term used: commencement day</w:t>
      </w:r>
      <w:r>
        <w:tab/>
      </w:r>
      <w:r>
        <w:fldChar w:fldCharType="begin"/>
      </w:r>
      <w:r>
        <w:instrText xml:space="preserve"> PAGEREF _Toc382318439 \h </w:instrText>
      </w:r>
      <w:r>
        <w:fldChar w:fldCharType="separate"/>
      </w:r>
      <w:r>
        <w:t>27</w:t>
      </w:r>
      <w:r>
        <w:fldChar w:fldCharType="end"/>
      </w:r>
    </w:p>
    <w:p>
      <w:pPr>
        <w:pStyle w:val="TOC8"/>
        <w:rPr>
          <w:rFonts w:asciiTheme="minorHAnsi" w:eastAsiaTheme="minorEastAsia" w:hAnsiTheme="minorHAnsi" w:cstheme="minorBidi"/>
          <w:szCs w:val="22"/>
        </w:rPr>
      </w:pPr>
      <w:r>
        <w:t>2.</w:t>
      </w:r>
      <w:r>
        <w:tab/>
        <w:t>Licence and business certificate holder at 31 Oct 2005</w:t>
      </w:r>
      <w:r>
        <w:tab/>
      </w:r>
      <w:r>
        <w:fldChar w:fldCharType="begin"/>
      </w:r>
      <w:r>
        <w:instrText xml:space="preserve"> PAGEREF _Toc382318440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_Toc382318442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22</w:t>
            </w:r>
            <w:r>
              <w:rPr>
                <w:b/>
                <w:snapToGrid w:val="0"/>
                <w:sz w:val="22"/>
              </w:rPr>
              <w:t xml:space="preserve"> March 2013</w:t>
            </w:r>
            <w:r>
              <w:rPr>
                <w:b/>
                <w:sz w:val="22"/>
              </w:rPr>
              <w:fldChar w:fldCharType="end"/>
            </w:r>
          </w:p>
        </w:tc>
      </w:tr>
    </w:tbl>
    <w:p>
      <w:pPr>
        <w:pStyle w:val="WA"/>
        <w:spacing w:before="120"/>
      </w:pPr>
      <w:r>
        <w:t>Western Australia</w:t>
      </w:r>
    </w:p>
    <w:p>
      <w:pPr>
        <w:pStyle w:val="PrincipalActReg"/>
        <w:rPr>
          <w:snapToGrid w:val="0"/>
        </w:rPr>
      </w:pPr>
      <w:r>
        <w:rPr>
          <w:snapToGrid w:val="0"/>
        </w:rPr>
        <w:t>Finance Brokers Control Act 1975</w:t>
      </w:r>
    </w:p>
    <w:p>
      <w:pPr>
        <w:pStyle w:val="NameofActReg"/>
        <w:spacing w:before="600" w:after="480"/>
      </w:pPr>
      <w:r>
        <w:t>Finance Brokers Control (General) Regulations 2005</w:t>
      </w:r>
    </w:p>
    <w:p>
      <w:pPr>
        <w:pStyle w:val="Heading5"/>
      </w:pPr>
      <w:bookmarkStart w:id="1" w:name="_Toc382318408"/>
      <w:r>
        <w:rPr>
          <w:rStyle w:val="CharSectno"/>
        </w:rPr>
        <w:t>1</w:t>
      </w:r>
      <w:r>
        <w:t>.</w:t>
      </w:r>
      <w:r>
        <w:tab/>
        <w:t>Citation</w:t>
      </w:r>
      <w:bookmarkEnd w:id="1"/>
    </w:p>
    <w:p>
      <w:pPr>
        <w:pStyle w:val="Subsection"/>
        <w:rPr>
          <w:i/>
        </w:rPr>
      </w:pPr>
      <w:r>
        <w:tab/>
      </w:r>
      <w:r>
        <w:tab/>
        <w:t xml:space="preserve">These regulations are the </w:t>
      </w:r>
      <w:r>
        <w:rPr>
          <w:i/>
        </w:rPr>
        <w:t>Finance Brokers Control (General) Regulations 2005</w:t>
      </w:r>
      <w:r>
        <w:rPr>
          <w:vertAlign w:val="superscript"/>
        </w:rPr>
        <w:t> 1</w:t>
      </w:r>
      <w:r>
        <w:t>.</w:t>
      </w:r>
    </w:p>
    <w:p>
      <w:pPr>
        <w:pStyle w:val="Heading5"/>
      </w:pPr>
      <w:bookmarkStart w:id="2" w:name="_Toc382318409"/>
      <w:r>
        <w:rPr>
          <w:rStyle w:val="CharSectno"/>
        </w:rPr>
        <w:t>2</w:t>
      </w:r>
      <w:r>
        <w:t>.</w:t>
      </w:r>
      <w:r>
        <w:tab/>
        <w:t>Commencement</w:t>
      </w:r>
      <w:bookmarkEnd w:id="2"/>
    </w:p>
    <w:p>
      <w:pPr>
        <w:pStyle w:val="Subsection"/>
      </w:pPr>
      <w:r>
        <w:tab/>
      </w:r>
      <w:r>
        <w:tab/>
        <w:t xml:space="preserve">These regulations come into operation on the day on which the </w:t>
      </w:r>
      <w:r>
        <w:rPr>
          <w:i/>
          <w:iCs/>
        </w:rPr>
        <w:t>Finance Brokers Control Amendment Act 2004</w:t>
      </w:r>
      <w:r>
        <w:t xml:space="preserve"> comes into operation</w:t>
      </w:r>
      <w:r>
        <w:rPr>
          <w:vertAlign w:val="superscript"/>
        </w:rPr>
        <w:t> 1</w:t>
      </w:r>
      <w:r>
        <w:t>.</w:t>
      </w:r>
    </w:p>
    <w:p>
      <w:pPr>
        <w:pStyle w:val="Heading5"/>
      </w:pPr>
      <w:bookmarkStart w:id="3" w:name="_Toc382318410"/>
      <w:r>
        <w:rPr>
          <w:rStyle w:val="CharSectno"/>
        </w:rPr>
        <w:t>3</w:t>
      </w:r>
      <w:r>
        <w:t>.</w:t>
      </w:r>
      <w:r>
        <w:tab/>
        <w:t>Terms used</w:t>
      </w:r>
      <w:bookmarkEnd w:id="3"/>
    </w:p>
    <w:p>
      <w:pPr>
        <w:pStyle w:val="Subsection"/>
      </w:pPr>
      <w:r>
        <w:tab/>
      </w:r>
      <w:r>
        <w:tab/>
        <w:t xml:space="preserve">In these regulations — </w:t>
      </w:r>
    </w:p>
    <w:p>
      <w:pPr>
        <w:pStyle w:val="Defstart"/>
      </w:pPr>
      <w:r>
        <w:rPr>
          <w:b/>
        </w:rPr>
        <w:tab/>
      </w:r>
      <w:r>
        <w:rPr>
          <w:rStyle w:val="CharDefText"/>
        </w:rPr>
        <w:t>financial services licensee</w:t>
      </w:r>
      <w:r>
        <w:t xml:space="preserve"> means a financial services licensee as defined in the </w:t>
      </w:r>
      <w:r>
        <w:rPr>
          <w:i/>
          <w:iCs/>
        </w:rPr>
        <w:t>Corporations Act 2001</w:t>
      </w:r>
      <w:r>
        <w:t xml:space="preserve"> of the Commonwealth;</w:t>
      </w:r>
    </w:p>
    <w:p>
      <w:pPr>
        <w:pStyle w:val="Defstart"/>
      </w:pPr>
      <w:r>
        <w:rPr>
          <w:b/>
        </w:rPr>
        <w:tab/>
      </w:r>
      <w:r>
        <w:rPr>
          <w:rStyle w:val="CharDefText"/>
        </w:rPr>
        <w:t>provided by an approved training provider</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r>
      <w:r>
        <w:rPr>
          <w:rStyle w:val="CharDefText"/>
        </w:rPr>
        <w:t>relevant professional indemnity insurance</w:t>
      </w:r>
      <w:r>
        <w:t xml:space="preserve"> means professional indemnity insurance that meets the requirements of guidelines issued by the Commissioner;</w:t>
      </w:r>
    </w:p>
    <w:p>
      <w:pPr>
        <w:pStyle w:val="Defstart"/>
      </w:pPr>
      <w:r>
        <w:rPr>
          <w:b/>
        </w:rPr>
        <w:tab/>
      </w:r>
      <w:r>
        <w:rPr>
          <w:rStyle w:val="CharDefText"/>
        </w:rPr>
        <w:t>relevant supplementary Western Australian material</w:t>
      </w:r>
      <w:r>
        <w:t xml:space="preserve"> means material that meets the Western Australian competency guidelines issued by the Commissioner.</w:t>
      </w:r>
    </w:p>
    <w:p>
      <w:pPr>
        <w:pStyle w:val="Heading5"/>
      </w:pPr>
      <w:bookmarkStart w:id="4" w:name="_Toc382318411"/>
      <w:r>
        <w:rPr>
          <w:rStyle w:val="CharSectno"/>
        </w:rPr>
        <w:t>4</w:t>
      </w:r>
      <w:r>
        <w:t>.</w:t>
      </w:r>
      <w:r>
        <w:tab/>
        <w:t>Partial exemption from Act: financial services licensee for some loans</w:t>
      </w:r>
      <w:bookmarkEnd w:id="4"/>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 or</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5" w:name="_Toc382318412"/>
      <w:r>
        <w:rPr>
          <w:rStyle w:val="CharSectno"/>
        </w:rPr>
        <w:t>5</w:t>
      </w:r>
      <w:r>
        <w:t>.</w:t>
      </w:r>
      <w:r>
        <w:tab/>
        <w:t>Partial exemption from Act: licensee not holding trust monies</w:t>
      </w:r>
      <w:bookmarkEnd w:id="5"/>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keepLines w:val="0"/>
      </w:pPr>
      <w:bookmarkStart w:id="6" w:name="_Toc382318413"/>
      <w:r>
        <w:rPr>
          <w:rStyle w:val="CharSectno"/>
        </w:rPr>
        <w:t>5A</w:t>
      </w:r>
      <w:r>
        <w:t>.</w:t>
      </w:r>
      <w:r>
        <w:tab/>
        <w:t>Partial exemption from Act: Australian resident outside WA</w:t>
      </w:r>
      <w:bookmarkEnd w:id="6"/>
    </w:p>
    <w:p>
      <w:pPr>
        <w:pStyle w:val="Subsection"/>
        <w:spacing w:before="180"/>
      </w:pPr>
      <w:r>
        <w:tab/>
        <w:t>(1)</w:t>
      </w:r>
      <w:r>
        <w:tab/>
        <w:t>This exemption applies to an individual who is able to satisfy the Commissioner that he or she is a resident of an Australian State or Territory other than this State.</w:t>
      </w:r>
    </w:p>
    <w:p>
      <w:pPr>
        <w:pStyle w:val="Subsection"/>
        <w:keepLines/>
        <w:spacing w:before="180"/>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spacing w:before="240"/>
      </w:pPr>
      <w:bookmarkStart w:id="7" w:name="_Toc382318414"/>
      <w:r>
        <w:rPr>
          <w:rStyle w:val="CharSectno"/>
        </w:rPr>
        <w:t>5B</w:t>
      </w:r>
      <w:r>
        <w:t>.</w:t>
      </w:r>
      <w:r>
        <w:tab/>
        <w:t>Partial exemption from Act: certain bodies providing low interest loans</w:t>
      </w:r>
      <w:bookmarkEnd w:id="7"/>
    </w:p>
    <w:p>
      <w:pPr>
        <w:pStyle w:val="Subsection"/>
        <w:spacing w:before="180"/>
      </w:pPr>
      <w:r>
        <w:tab/>
        <w:t>(1)</w:t>
      </w:r>
      <w:r>
        <w:tab/>
        <w:t xml:space="preserve">This exemption applies to the following not for profit entities — </w:t>
      </w:r>
    </w:p>
    <w:p>
      <w:pPr>
        <w:pStyle w:val="Indenta"/>
      </w:pPr>
      <w:r>
        <w:tab/>
        <w:t>(a)</w:t>
      </w:r>
      <w:r>
        <w:tab/>
        <w:t>“Good Shepherd Youth and Family Service Inc.” (ABN 61 354 551 576); and</w:t>
      </w:r>
    </w:p>
    <w:p>
      <w:pPr>
        <w:pStyle w:val="Indenta"/>
      </w:pPr>
      <w:r>
        <w:tab/>
        <w:t>(b)</w:t>
      </w:r>
      <w:r>
        <w:tab/>
        <w:t>“Mercy Community Services Inc.” (ABN 96 487 116 582); and</w:t>
      </w:r>
    </w:p>
    <w:p>
      <w:pPr>
        <w:pStyle w:val="Indenta"/>
      </w:pPr>
      <w:r>
        <w:tab/>
        <w:t>(c)</w:t>
      </w:r>
      <w:r>
        <w:tab/>
        <w:t>“WA Low Interest Loans Network Inc.” (Incorporated Association Number: A1013117E).</w:t>
      </w:r>
    </w:p>
    <w:p>
      <w:pPr>
        <w:pStyle w:val="Subsection"/>
        <w:spacing w:before="180"/>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in Gazette 2 Feb 2007 p. 243</w:t>
      </w:r>
      <w:r>
        <w:noBreakHyphen/>
        <w:t>4; amended in Gazette 20 Apr 2007 p. 1739.]</w:t>
      </w:r>
    </w:p>
    <w:p>
      <w:pPr>
        <w:pStyle w:val="Heading5"/>
      </w:pPr>
      <w:bookmarkStart w:id="8" w:name="_Toc382318415"/>
      <w:r>
        <w:rPr>
          <w:rStyle w:val="CharSectno"/>
        </w:rPr>
        <w:t>6</w:t>
      </w:r>
      <w:r>
        <w:t>.</w:t>
      </w:r>
      <w:r>
        <w:tab/>
        <w:t>Manner etc. prescribed for licence application by individual (Act s. 24(1))</w:t>
      </w:r>
      <w:bookmarkEnd w:id="8"/>
    </w:p>
    <w:p>
      <w:pPr>
        <w:pStyle w:val="Subsection"/>
        <w:keepNext/>
        <w:keepLines/>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keepLines/>
      </w:pPr>
      <w:r>
        <w:tab/>
        <w:t>(b)</w:t>
      </w:r>
      <w:r>
        <w:tab/>
        <w:t>the fee set out in Schedule 1,</w:t>
      </w:r>
    </w:p>
    <w:p>
      <w:pPr>
        <w:pStyle w:val="Subsection"/>
        <w:keepLines/>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Indenta"/>
      </w:pPr>
      <w:r>
        <w:tab/>
        <w:t>(g)</w:t>
      </w:r>
      <w:r>
        <w:tab/>
        <w:t>a summary of the current policy of professional indemnity insurance that covers the applicant, in the form approved by the Commissioner.</w:t>
      </w:r>
    </w:p>
    <w:p>
      <w:pPr>
        <w:pStyle w:val="Footnotesection"/>
      </w:pPr>
      <w:r>
        <w:tab/>
        <w:t>[Regulation 6 amended in Gazette 5 Jan 2007 p. 7; 20 Apr 2007 p. 1737; 27 May 2008 p. 2039.]</w:t>
      </w:r>
    </w:p>
    <w:p>
      <w:pPr>
        <w:pStyle w:val="Heading5"/>
        <w:spacing w:before="600"/>
      </w:pPr>
      <w:bookmarkStart w:id="9" w:name="_Toc382318416"/>
      <w:r>
        <w:rPr>
          <w:rStyle w:val="CharSectno"/>
        </w:rPr>
        <w:t>7</w:t>
      </w:r>
      <w:r>
        <w:t>.</w:t>
      </w:r>
      <w:r>
        <w:tab/>
        <w:t>Manner etc. prescribed for licence application by firm (Act s. 24(1))</w:t>
      </w:r>
      <w:bookmarkEnd w:id="9"/>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keepLines/>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 and</w:t>
      </w:r>
    </w:p>
    <w:p>
      <w:pPr>
        <w:pStyle w:val="Indenti"/>
      </w:pPr>
      <w:r>
        <w:tab/>
        <w:t>(ii)</w:t>
      </w:r>
      <w:r>
        <w:tab/>
        <w:t>a letter of consent from the nominated auditor (where applicable); and</w:t>
      </w:r>
    </w:p>
    <w:p>
      <w:pPr>
        <w:pStyle w:val="Indenti"/>
        <w:spacing w:before="60"/>
      </w:pPr>
      <w:r>
        <w:tab/>
        <w:t>(iii)</w:t>
      </w:r>
      <w:r>
        <w:tab/>
        <w:t>the bond/bank guarantee (if any); and</w:t>
      </w:r>
    </w:p>
    <w:p>
      <w:pPr>
        <w:pStyle w:val="Indenti"/>
      </w:pPr>
      <w:r>
        <w:tab/>
        <w:t>(iv)</w:t>
      </w:r>
      <w:r>
        <w:tab/>
        <w:t>for each partner of the firm — a summary of the current policy of professional indemnity insurance that covers the partner, in the form approved by the Commissioner.</w:t>
      </w:r>
    </w:p>
    <w:p>
      <w:pPr>
        <w:pStyle w:val="Footnotesection"/>
        <w:spacing w:before="60"/>
        <w:ind w:left="890" w:hanging="890"/>
      </w:pPr>
      <w:r>
        <w:tab/>
        <w:t>[Regulation 7 amended in Gazette 5 Jan 2007 p. 8; 20 Apr 2007 p. 1738; 27 May 2008 p. 2039.]</w:t>
      </w:r>
    </w:p>
    <w:p>
      <w:pPr>
        <w:pStyle w:val="Heading5"/>
      </w:pPr>
      <w:bookmarkStart w:id="10" w:name="_Toc382318417"/>
      <w:r>
        <w:rPr>
          <w:rStyle w:val="CharSectno"/>
        </w:rPr>
        <w:t>8</w:t>
      </w:r>
      <w:r>
        <w:t>.</w:t>
      </w:r>
      <w:r>
        <w:tab/>
        <w:t>Manner etc. prescribed for licence application by body corporate (Act s. 24(1))</w:t>
      </w:r>
      <w:bookmarkEnd w:id="10"/>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keepNext/>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 and</w:t>
      </w:r>
    </w:p>
    <w:p>
      <w:pPr>
        <w:pStyle w:val="Indenti"/>
      </w:pPr>
      <w:r>
        <w:tab/>
        <w:t>(ii)</w:t>
      </w:r>
      <w:r>
        <w:tab/>
        <w:t>a letter of consent from the nominated auditor (where applicable); and</w:t>
      </w:r>
    </w:p>
    <w:p>
      <w:pPr>
        <w:pStyle w:val="Indenti"/>
      </w:pPr>
      <w:r>
        <w:tab/>
        <w:t>(iii)</w:t>
      </w:r>
      <w:r>
        <w:tab/>
        <w:t>the bond/bank guarantee (if any); and</w:t>
      </w:r>
    </w:p>
    <w:p>
      <w:pPr>
        <w:pStyle w:val="Indenti"/>
      </w:pPr>
      <w:r>
        <w:tab/>
        <w:t>(iv)</w:t>
      </w:r>
      <w:r>
        <w:tab/>
        <w:t>a summary of the current policy of professional indemnity insurance that covers the body corporate, in the form approved by the Commissioner.</w:t>
      </w:r>
    </w:p>
    <w:p>
      <w:pPr>
        <w:pStyle w:val="Footnotesection"/>
      </w:pPr>
      <w:r>
        <w:tab/>
        <w:t>[Regulation 8 amended in Gazette 5 Jan 2007 p. 8; 20 Apr 2007 p. 1738; 27 May 2008 p. 2039.]</w:t>
      </w:r>
    </w:p>
    <w:p>
      <w:pPr>
        <w:pStyle w:val="Heading5"/>
        <w:rPr>
          <w:snapToGrid w:val="0"/>
        </w:rPr>
      </w:pPr>
      <w:bookmarkStart w:id="11" w:name="_Toc382318418"/>
      <w:r>
        <w:rPr>
          <w:rStyle w:val="CharSectno"/>
        </w:rPr>
        <w:t>9</w:t>
      </w:r>
      <w:r>
        <w:t>.</w:t>
      </w:r>
      <w:r>
        <w:tab/>
        <w:t>Advertising n</w:t>
      </w:r>
      <w:r>
        <w:rPr>
          <w:snapToGrid w:val="0"/>
        </w:rPr>
        <w:t>otice of application for licence (Act s. 24(2))</w:t>
      </w:r>
      <w:bookmarkEnd w:id="11"/>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or 6 months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r>
        <w:tab/>
        <w:t>[Regulation 9 amended in Gazette 5 Jan 2007 p. 8</w:t>
      </w:r>
      <w:r>
        <w:noBreakHyphen/>
        <w:t>9; 20 Apr 2007 p. 1738; 30 Nov 2007 p. 5930.]</w:t>
      </w:r>
    </w:p>
    <w:p>
      <w:pPr>
        <w:pStyle w:val="Heading5"/>
        <w:rPr>
          <w:snapToGrid w:val="0"/>
        </w:rPr>
      </w:pPr>
      <w:bookmarkStart w:id="12" w:name="_Toc382318419"/>
      <w:r>
        <w:rPr>
          <w:rStyle w:val="CharSectno"/>
        </w:rPr>
        <w:t>10</w:t>
      </w:r>
      <w:r>
        <w:t>.</w:t>
      </w:r>
      <w:r>
        <w:tab/>
        <w:t>Requirements prescribed (Act s. 28(d) and 29(1)(d))</w:t>
      </w:r>
      <w:bookmarkEnd w:id="12"/>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29(1)(d)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13" w:name="_Toc382318420"/>
      <w:r>
        <w:rPr>
          <w:rStyle w:val="CharSectno"/>
        </w:rPr>
        <w:t>11</w:t>
      </w:r>
      <w:r>
        <w:t>.</w:t>
      </w:r>
      <w:r>
        <w:tab/>
        <w:t>Manner etc. prescribed for application to renew licence (Act s. 32(2))</w:t>
      </w:r>
      <w:bookmarkEnd w:id="13"/>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14" w:name="_Toc382318421"/>
      <w:r>
        <w:rPr>
          <w:rStyle w:val="CharSectno"/>
        </w:rPr>
        <w:t>12</w:t>
      </w:r>
      <w:r>
        <w:t>.</w:t>
      </w:r>
      <w:r>
        <w:tab/>
        <w:t>Exemption from bond requirements (Act s. 35A)</w:t>
      </w:r>
      <w:bookmarkEnd w:id="14"/>
    </w:p>
    <w:p>
      <w:pPr>
        <w:pStyle w:val="Subsection"/>
      </w:pPr>
      <w:r>
        <w:tab/>
      </w:r>
      <w:r>
        <w:tab/>
        <w:t>A licensee who does not receive or hold monies on behalf of other persons in the course of business is exempted from the requirement under section 35 of the Act to lodge a bond or guarantee.</w:t>
      </w:r>
    </w:p>
    <w:p>
      <w:pPr>
        <w:pStyle w:val="Ednotesection"/>
      </w:pPr>
      <w:r>
        <w:t>[</w:t>
      </w:r>
      <w:r>
        <w:rPr>
          <w:b/>
          <w:bCs/>
        </w:rPr>
        <w:t>13.</w:t>
      </w:r>
      <w:r>
        <w:tab/>
        <w:t xml:space="preserve">Deleted in Gazette 29 Jun 2007 p. 3181.] </w:t>
      </w:r>
    </w:p>
    <w:p>
      <w:pPr>
        <w:pStyle w:val="Heading5"/>
        <w:rPr>
          <w:snapToGrid w:val="0"/>
        </w:rPr>
      </w:pPr>
      <w:bookmarkStart w:id="15" w:name="_Toc382318422"/>
      <w:r>
        <w:rPr>
          <w:rStyle w:val="CharSectno"/>
        </w:rPr>
        <w:t>14</w:t>
      </w:r>
      <w:r>
        <w:t>.</w:t>
      </w:r>
      <w:r>
        <w:tab/>
        <w:t>P</w:t>
      </w:r>
      <w:r>
        <w:rPr>
          <w:snapToGrid w:val="0"/>
        </w:rPr>
        <w:t>articulars prescribed for register (Act s. 84)</w:t>
      </w:r>
      <w:bookmarkEnd w:id="15"/>
    </w:p>
    <w:p>
      <w:pPr>
        <w:pStyle w:val="Subsection"/>
        <w:rPr>
          <w:snapToGrid w:val="0"/>
        </w:rPr>
      </w:pPr>
      <w:r>
        <w:rPr>
          <w:snapToGrid w:val="0"/>
        </w:rPr>
        <w:tab/>
      </w:r>
      <w:r>
        <w:rPr>
          <w:snapToGrid w:val="0"/>
        </w:rPr>
        <w:tab/>
        <w:t>In the register of licensees kept under section 84</w:t>
      </w:r>
      <w:r>
        <w:rPr>
          <w:snapToGrid w:val="0"/>
          <w:vertAlign w:val="superscript"/>
        </w:rPr>
        <w:t> 2</w:t>
      </w:r>
      <w:r>
        <w:rPr>
          <w:snapToGrid w:val="0"/>
        </w:rPr>
        <w:t xml:space="preserve">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16" w:name="_Toc382318423"/>
      <w:r>
        <w:rPr>
          <w:rStyle w:val="CharSectno"/>
        </w:rPr>
        <w:t>15</w:t>
      </w:r>
      <w:r>
        <w:rPr>
          <w:snapToGrid w:val="0"/>
        </w:rPr>
        <w:t>.</w:t>
      </w:r>
      <w:r>
        <w:rPr>
          <w:snapToGrid w:val="0"/>
        </w:rPr>
        <w:tab/>
        <w:t>Changes of information, Commissioner to be notified of</w:t>
      </w:r>
      <w:bookmarkEnd w:id="16"/>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17" w:name="_Toc382318424"/>
      <w:r>
        <w:rPr>
          <w:rStyle w:val="CharSectno"/>
        </w:rPr>
        <w:t>16</w:t>
      </w:r>
      <w:r>
        <w:t>.</w:t>
      </w:r>
      <w:r>
        <w:tab/>
        <w:t>Classes of licences prescribed; transitional provisions</w:t>
      </w:r>
      <w:bookmarkEnd w:id="17"/>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keepNext/>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in Gazette 5 Jan 2007 p. 9.]</w:t>
      </w:r>
    </w:p>
    <w:p>
      <w:pPr>
        <w:pStyle w:val="Heading5"/>
      </w:pPr>
      <w:bookmarkStart w:id="18" w:name="_Toc382318425"/>
      <w:r>
        <w:rPr>
          <w:rStyle w:val="CharSectno"/>
        </w:rPr>
        <w:t>17</w:t>
      </w:r>
      <w:r>
        <w:t>.</w:t>
      </w:r>
      <w:r>
        <w:tab/>
        <w:t>“A” class licence, prerequisites for</w:t>
      </w:r>
      <w:bookmarkEnd w:id="18"/>
    </w:p>
    <w:p>
      <w:pPr>
        <w:pStyle w:val="Subsection"/>
      </w:pPr>
      <w:r>
        <w:tab/>
        <w:t>(1)</w:t>
      </w:r>
      <w:r>
        <w:tab/>
        <w:t>The requirements set out in the Table to this subregulation are imposed as prerequisite criteria to the grant of an “A” class licence to an individual.</w:t>
      </w:r>
    </w:p>
    <w:p>
      <w:pPr>
        <w:pStyle w:val="MiscellaneousHeading"/>
        <w:keepLines/>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keepNext/>
              <w:keepLines/>
              <w:spacing w:before="0" w:line="240" w:lineRule="auto"/>
              <w:ind w:left="567"/>
              <w:jc w:val="center"/>
              <w:rPr>
                <w:b/>
              </w:rPr>
            </w:pPr>
          </w:p>
        </w:tc>
        <w:tc>
          <w:tcPr>
            <w:tcW w:w="5528" w:type="dxa"/>
            <w:tcBorders>
              <w:top w:val="single" w:sz="4" w:space="0" w:color="auto"/>
              <w:bottom w:val="single" w:sz="4" w:space="0" w:color="auto"/>
            </w:tcBorders>
          </w:tcPr>
          <w:p>
            <w:pPr>
              <w:pStyle w:val="Table"/>
              <w:keepNext/>
              <w:keepLines/>
              <w:spacing w:before="0" w:line="240" w:lineRule="auto"/>
              <w:ind w:right="743"/>
              <w:rPr>
                <w:b/>
              </w:rPr>
            </w:pPr>
            <w:r>
              <w:rPr>
                <w:b/>
              </w:rPr>
              <w:t>Experiential requirements</w:t>
            </w:r>
          </w:p>
        </w:tc>
      </w:tr>
      <w:tr>
        <w:tc>
          <w:tcPr>
            <w:tcW w:w="567" w:type="dxa"/>
            <w:tcBorders>
              <w:top w:val="single" w:sz="4" w:space="0" w:color="auto"/>
              <w:bottom w:val="single" w:sz="4" w:space="0" w:color="auto"/>
            </w:tcBorders>
          </w:tcPr>
          <w:p>
            <w:pPr>
              <w:pStyle w:val="Table"/>
              <w:keepNext/>
              <w:keepLines/>
            </w:pPr>
            <w:r>
              <w:t>1.</w:t>
            </w:r>
          </w:p>
        </w:tc>
        <w:tc>
          <w:tcPr>
            <w:tcW w:w="5528" w:type="dxa"/>
            <w:tcBorders>
              <w:top w:val="single" w:sz="4" w:space="0" w:color="auto"/>
              <w:bottom w:val="single" w:sz="4" w:space="0" w:color="auto"/>
            </w:tcBorders>
          </w:tcPr>
          <w:p>
            <w:pPr>
              <w:pStyle w:val="Table"/>
              <w:keepNext/>
              <w:keepLines/>
            </w:pPr>
            <w:r>
              <w:t>Two years’ full</w:t>
            </w:r>
            <w:r>
              <w:noBreakHyphen/>
              <w:t>time relevant experience in the preceding 5 years.</w:t>
            </w:r>
          </w:p>
        </w:tc>
      </w:tr>
    </w:tbl>
    <w:p>
      <w:pPr>
        <w:pStyle w:val="Subsection"/>
      </w:pPr>
      <w:r>
        <w:tab/>
        <w:t>(2)</w:t>
      </w:r>
      <w:r>
        <w:tab/>
        <w:t>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33" w:right="743"/>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a Diploma of Lending or a Diploma of Financial Services (Lending), provided by an approved training provider.</w:t>
            </w:r>
          </w:p>
        </w:tc>
      </w:tr>
    </w:tbl>
    <w:p>
      <w:pPr>
        <w:pStyle w:val="Footnotesection"/>
      </w:pPr>
      <w:r>
        <w:tab/>
        <w:t>[Regulation 17 amended in Gazette 5 Jan 2007 p. 9; 20 Apr 2007 p. 1738; 27 May 2008 p. 2039</w:t>
      </w:r>
      <w:r>
        <w:noBreakHyphen/>
        <w:t>40.]</w:t>
      </w:r>
    </w:p>
    <w:p>
      <w:pPr>
        <w:pStyle w:val="Heading5"/>
      </w:pPr>
      <w:bookmarkStart w:id="19" w:name="_Toc382318426"/>
      <w:r>
        <w:rPr>
          <w:rStyle w:val="CharSectno"/>
        </w:rPr>
        <w:t>18</w:t>
      </w:r>
      <w:r>
        <w:t>.</w:t>
      </w:r>
      <w:r>
        <w:tab/>
        <w:t>“B” class or “C” class licence, prerequisites for</w:t>
      </w:r>
      <w:bookmarkEnd w:id="19"/>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right="743"/>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The qualification set out in the Table to this subregulation is imposed as prerequisite criteria to the grant of a “B” class licence or a “C” class licence.</w:t>
      </w:r>
    </w:p>
    <w:p>
      <w:pPr>
        <w:pStyle w:val="MiscellaneousHeading"/>
        <w:spacing w:before="140" w:after="10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33" w:right="743"/>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Footnotesection"/>
        <w:spacing w:before="90"/>
      </w:pPr>
      <w:r>
        <w:tab/>
        <w:t>[Regulation 18 amended in Gazette 10 Feb 2006 p. 660; 5 Jan 2007 p. 9; 27 May 2008 p. 2040.]</w:t>
      </w:r>
    </w:p>
    <w:p>
      <w:pPr>
        <w:pStyle w:val="Heading5"/>
        <w:spacing w:before="200"/>
      </w:pPr>
      <w:bookmarkStart w:id="20" w:name="_Toc382318427"/>
      <w:r>
        <w:rPr>
          <w:rStyle w:val="CharSectno"/>
        </w:rPr>
        <w:t>18A</w:t>
      </w:r>
      <w:r>
        <w:t>.</w:t>
      </w:r>
      <w:r>
        <w:tab/>
        <w:t>“D” class licence, prerequisites for</w:t>
      </w:r>
      <w:bookmarkEnd w:id="20"/>
    </w:p>
    <w:p>
      <w:pPr>
        <w:pStyle w:val="Subsection"/>
        <w:spacing w:before="120"/>
      </w:pPr>
      <w:r>
        <w:tab/>
      </w:r>
      <w:r>
        <w:tab/>
        <w:t xml:space="preserve">The following requirements are imposed as prerequisite criteria to the grant of a “D” class licence to an individual — </w:t>
      </w:r>
    </w:p>
    <w:p>
      <w:pPr>
        <w:pStyle w:val="Indenta"/>
        <w:spacing w:before="60"/>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spacing w:before="60"/>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spacing w:before="60"/>
      </w:pPr>
      <w:r>
        <w:tab/>
        <w:t>(c)</w:t>
      </w:r>
      <w:r>
        <w:tab/>
        <w:t>the individual nominated under paragraph (b) must be the holder of an “A” class licence or a “B” class licence.</w:t>
      </w:r>
    </w:p>
    <w:p>
      <w:pPr>
        <w:pStyle w:val="Footnotesection"/>
        <w:spacing w:before="90"/>
      </w:pPr>
      <w:r>
        <w:tab/>
        <w:t>[Regulation 18A inserted in Gazette 5 Jan 2007 p. 9</w:t>
      </w:r>
      <w:r>
        <w:noBreakHyphen/>
        <w:t>10.]</w:t>
      </w:r>
    </w:p>
    <w:p>
      <w:pPr>
        <w:pStyle w:val="Heading5"/>
        <w:spacing w:before="200"/>
      </w:pPr>
      <w:bookmarkStart w:id="21" w:name="_Toc382318428"/>
      <w:r>
        <w:rPr>
          <w:rStyle w:val="CharSectno"/>
        </w:rPr>
        <w:t>19</w:t>
      </w:r>
      <w:r>
        <w:t>.</w:t>
      </w:r>
      <w:r>
        <w:tab/>
        <w:t>Fees (Sch. 1)</w:t>
      </w:r>
      <w:bookmarkEnd w:id="21"/>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spacing w:before="200"/>
        <w:rPr>
          <w:snapToGrid w:val="0"/>
        </w:rPr>
      </w:pPr>
      <w:bookmarkStart w:id="22" w:name="_Toc382318429"/>
      <w:r>
        <w:rPr>
          <w:rStyle w:val="CharSectno"/>
        </w:rPr>
        <w:t>20</w:t>
      </w:r>
      <w:r>
        <w:rPr>
          <w:snapToGrid w:val="0"/>
        </w:rPr>
        <w:t>.</w:t>
      </w:r>
      <w:r>
        <w:rPr>
          <w:snapToGrid w:val="0"/>
        </w:rPr>
        <w:tab/>
        <w:t>Fees, recovery of</w:t>
      </w:r>
      <w:bookmarkEnd w:id="22"/>
    </w:p>
    <w:p>
      <w:pPr>
        <w:pStyle w:val="Subsection"/>
        <w:spacing w:before="120"/>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pPr>
      <w:bookmarkStart w:id="23" w:name="_Toc382318430"/>
      <w:r>
        <w:rPr>
          <w:rStyle w:val="CharSectno"/>
        </w:rPr>
        <w:t>21A</w:t>
      </w:r>
      <w:r>
        <w:t>.</w:t>
      </w:r>
      <w:r>
        <w:tab/>
        <w:t>Licence expiring on 1 July 2010 (referral day), refund of fee for</w:t>
      </w:r>
      <w:bookmarkEnd w:id="23"/>
    </w:p>
    <w:p>
      <w:pPr>
        <w:pStyle w:val="Subsection"/>
        <w:spacing w:before="200"/>
      </w:pPr>
      <w:r>
        <w:tab/>
        <w:t>(1)</w:t>
      </w:r>
      <w:r>
        <w:tab/>
        <w:t xml:space="preserve">In this regulation — </w:t>
      </w:r>
    </w:p>
    <w:p>
      <w:pPr>
        <w:pStyle w:val="Defstart"/>
        <w:spacing w:before="140"/>
      </w:pPr>
      <w:r>
        <w:tab/>
      </w:r>
      <w:r>
        <w:rPr>
          <w:rStyle w:val="CharDefText"/>
        </w:rPr>
        <w:t xml:space="preserve">expired licence </w:t>
      </w:r>
      <w:r>
        <w:t>means a licence which expires on the referral day under section 30(1A) of the Act;</w:t>
      </w:r>
    </w:p>
    <w:p>
      <w:pPr>
        <w:pStyle w:val="Defstart"/>
        <w:spacing w:before="140"/>
      </w:pPr>
      <w:r>
        <w:tab/>
      </w:r>
      <w:r>
        <w:rPr>
          <w:rStyle w:val="CharDefText"/>
        </w:rPr>
        <w:t>last licence fee</w:t>
      </w:r>
      <w:r>
        <w:t xml:space="preserve"> means — </w:t>
      </w:r>
    </w:p>
    <w:p>
      <w:pPr>
        <w:pStyle w:val="Defpara"/>
        <w:spacing w:before="140"/>
      </w:pPr>
      <w:r>
        <w:tab/>
        <w:t>(a)</w:t>
      </w:r>
      <w:r>
        <w:tab/>
        <w:t>in the case of an expired licence which continues without expiry or renewal from the day it is first granted until the referral day, the amount of the fee paid under regulation 6, 7 or 8 on application for the grant of the licence; and</w:t>
      </w:r>
    </w:p>
    <w:p>
      <w:pPr>
        <w:pStyle w:val="Defpara"/>
        <w:spacing w:before="140"/>
      </w:pPr>
      <w:r>
        <w:tab/>
        <w:t>(b)</w:t>
      </w:r>
      <w:r>
        <w:tab/>
        <w:t>in the case of any other expired licence, the amount of the renewal fee paid under regulation 11 on application for the last renewal of the licence before the referral day, disregarding any late fee paid under regulation 11(2);</w:t>
      </w:r>
    </w:p>
    <w:p>
      <w:pPr>
        <w:pStyle w:val="Defstart"/>
        <w:spacing w:before="140"/>
      </w:pPr>
      <w:r>
        <w:tab/>
      </w:r>
      <w:r>
        <w:rPr>
          <w:rStyle w:val="CharDefText"/>
        </w:rPr>
        <w:t>refund period</w:t>
      </w:r>
      <w:r>
        <w:t xml:space="preserve">, in respect of an expired licence, means a period beginning on the referral day and ending — </w:t>
      </w:r>
    </w:p>
    <w:p>
      <w:pPr>
        <w:pStyle w:val="Defpara"/>
        <w:spacing w:before="140"/>
      </w:pPr>
      <w:r>
        <w:tab/>
        <w:t>(a)</w:t>
      </w:r>
      <w:r>
        <w:tab/>
        <w:t>in the case of an expired licence which continues without expiry or renewal from the day it is first granted until the referral day, on the last day of the licence period for which it was originally granted; and</w:t>
      </w:r>
    </w:p>
    <w:p>
      <w:pPr>
        <w:pStyle w:val="Defpara"/>
        <w:spacing w:before="140"/>
      </w:pPr>
      <w:r>
        <w:tab/>
        <w:t>(b)</w:t>
      </w:r>
      <w:r>
        <w:tab/>
        <w:t>in the case of any other expired licence, on the last day of the licence period for which it was renewed at its last renewal before the referral day.</w:t>
      </w:r>
    </w:p>
    <w:p>
      <w:pPr>
        <w:pStyle w:val="Subsection"/>
        <w:spacing w:before="200"/>
      </w:pPr>
      <w:r>
        <w:tab/>
        <w:t>(2)</w:t>
      </w:r>
      <w:r>
        <w:tab/>
        <w:t>Within 3 months after the expiry of an expired licence, the former licensee may apply in writing in a form acceptable to the Commissioner for a proportionate refund of the last licence fee.</w:t>
      </w:r>
    </w:p>
    <w:p>
      <w:pPr>
        <w:pStyle w:val="Subsection"/>
        <w:spacing w:before="200"/>
      </w:pPr>
      <w:r>
        <w:tab/>
        <w:t>(3)</w:t>
      </w:r>
      <w:r>
        <w:tab/>
        <w:t xml:space="preserve">As soon as is reasonably practicable after receiving an application under subregulation (2), the Commissioner is to pay to the former licensee an amount by way of proportionate refund of the last licence fee calculated in accordance with the following formula — </w:t>
      </w:r>
    </w:p>
    <w:p>
      <w:pPr>
        <w:pStyle w:val="Subsection"/>
        <w:jc w:val="center"/>
      </w:pPr>
      <w:r>
        <w:t>$R = $F x (D/1095)</w:t>
      </w:r>
    </w:p>
    <w:p>
      <w:pPr>
        <w:pStyle w:val="Subsection"/>
      </w:pPr>
      <w:r>
        <w:tab/>
      </w:r>
      <w:r>
        <w:tab/>
        <w:t xml:space="preserve">where — </w:t>
      </w:r>
    </w:p>
    <w:p>
      <w:pPr>
        <w:pStyle w:val="Indenta"/>
        <w:tabs>
          <w:tab w:val="clear" w:pos="1616"/>
          <w:tab w:val="left" w:pos="1680"/>
        </w:tabs>
        <w:ind w:left="2160" w:hanging="2160"/>
      </w:pPr>
      <w:r>
        <w:tab/>
        <w:t>$R</w:t>
      </w:r>
      <w:r>
        <w:tab/>
        <w:t>=</w:t>
      </w:r>
      <w:r>
        <w:tab/>
        <w:t>the amount to be paid by way of proportionate refund;</w:t>
      </w:r>
    </w:p>
    <w:p>
      <w:pPr>
        <w:pStyle w:val="Indenta"/>
        <w:tabs>
          <w:tab w:val="clear" w:pos="1616"/>
          <w:tab w:val="left" w:pos="1680"/>
        </w:tabs>
        <w:ind w:left="2160" w:hanging="2160"/>
      </w:pPr>
      <w:r>
        <w:tab/>
        <w:t>$F</w:t>
      </w:r>
      <w:r>
        <w:tab/>
        <w:t>=</w:t>
      </w:r>
      <w:r>
        <w:tab/>
        <w:t>the amount of the last licence fee;</w:t>
      </w:r>
    </w:p>
    <w:p>
      <w:pPr>
        <w:pStyle w:val="Indenta"/>
        <w:tabs>
          <w:tab w:val="clear" w:pos="1616"/>
          <w:tab w:val="left" w:pos="1680"/>
        </w:tabs>
        <w:ind w:left="2160" w:hanging="2160"/>
      </w:pPr>
      <w:r>
        <w:tab/>
        <w:t>D</w:t>
      </w:r>
      <w:r>
        <w:tab/>
        <w:t>=</w:t>
      </w:r>
      <w:r>
        <w:tab/>
        <w:t>the number of days in the refund period.</w:t>
      </w:r>
    </w:p>
    <w:p>
      <w:pPr>
        <w:pStyle w:val="Footnotesection"/>
      </w:pPr>
      <w:r>
        <w:tab/>
        <w:t>[Regulation 21A inserted in Gazette 30 Jun 2010 p. 3182-3.]</w:t>
      </w:r>
    </w:p>
    <w:p>
      <w:pPr>
        <w:pStyle w:val="Heading5"/>
      </w:pPr>
      <w:bookmarkStart w:id="24" w:name="_Toc382318431"/>
      <w:r>
        <w:rPr>
          <w:rStyle w:val="CharSectno"/>
        </w:rPr>
        <w:t>21B</w:t>
      </w:r>
      <w:r>
        <w:t>.</w:t>
      </w:r>
      <w:r>
        <w:tab/>
        <w:t>Application fee, repayment of for application not decided at 1 July 2010</w:t>
      </w:r>
      <w:bookmarkEnd w:id="24"/>
    </w:p>
    <w:p>
      <w:pPr>
        <w:pStyle w:val="Subsection"/>
      </w:pPr>
      <w:r>
        <w:tab/>
        <w:t>(1)</w:t>
      </w:r>
      <w:r>
        <w:tab/>
        <w:t xml:space="preserve">Where — </w:t>
      </w:r>
    </w:p>
    <w:p>
      <w:pPr>
        <w:pStyle w:val="Indenta"/>
      </w:pPr>
      <w:r>
        <w:tab/>
        <w:t>(a)</w:t>
      </w:r>
      <w:r>
        <w:tab/>
        <w:t>a person applies for a licence and pays the fee required under regulation 6, 7 or 8; and</w:t>
      </w:r>
    </w:p>
    <w:p>
      <w:pPr>
        <w:pStyle w:val="Indenta"/>
      </w:pPr>
      <w:r>
        <w:tab/>
        <w:t>(b)</w:t>
      </w:r>
      <w:r>
        <w:tab/>
        <w:t>on the referral day, the Commissioner has neither granted a licence pursuant to the application nor rejected the application,</w:t>
      </w:r>
    </w:p>
    <w:p>
      <w:pPr>
        <w:pStyle w:val="Subsection"/>
      </w:pPr>
      <w:r>
        <w:tab/>
      </w:r>
      <w:r>
        <w:tab/>
        <w:t>as soon as is reasonably practicable after the referral day the Commissioner is to repay to the applicant the amount of the application fee.</w:t>
      </w:r>
    </w:p>
    <w:p>
      <w:pPr>
        <w:pStyle w:val="Subsection"/>
      </w:pPr>
      <w:r>
        <w:tab/>
        <w:t>(2)</w:t>
      </w:r>
      <w:r>
        <w:tab/>
        <w:t xml:space="preserve">Where — </w:t>
      </w:r>
    </w:p>
    <w:p>
      <w:pPr>
        <w:pStyle w:val="Indenta"/>
      </w:pPr>
      <w:r>
        <w:tab/>
        <w:t>(a)</w:t>
      </w:r>
      <w:r>
        <w:tab/>
        <w:t>a person applies for the renewal of a licence and pays the renewal fee required under regulation 11; and</w:t>
      </w:r>
    </w:p>
    <w:p>
      <w:pPr>
        <w:pStyle w:val="Indenta"/>
      </w:pPr>
      <w:r>
        <w:tab/>
        <w:t>(b)</w:t>
      </w:r>
      <w:r>
        <w:tab/>
        <w:t>on the referral day, the Commissioner has neither renewed the licence pursuant to the application nor refused to renew it,</w:t>
      </w:r>
    </w:p>
    <w:p>
      <w:pPr>
        <w:pStyle w:val="Subsection"/>
      </w:pPr>
      <w:r>
        <w:tab/>
      </w:r>
      <w:r>
        <w:tab/>
        <w:t>as soon as is reasonably practicable after the referral day the Commissioner is to repay to the applicant the amount of the renewal fee.</w:t>
      </w:r>
    </w:p>
    <w:p>
      <w:pPr>
        <w:pStyle w:val="Footnotesection"/>
      </w:pPr>
      <w:r>
        <w:tab/>
        <w:t>[Regulation 21B inserted in Gazette 30 Jun 2010 p. 3183-4.]</w:t>
      </w:r>
    </w:p>
    <w:p>
      <w:pPr>
        <w:pStyle w:val="Heading5"/>
        <w:rPr>
          <w:snapToGrid w:val="0"/>
        </w:rPr>
      </w:pPr>
      <w:bookmarkStart w:id="25" w:name="_Toc382318432"/>
      <w:r>
        <w:rPr>
          <w:rStyle w:val="CharSectno"/>
        </w:rPr>
        <w:t>21</w:t>
      </w:r>
      <w:r>
        <w:rPr>
          <w:snapToGrid w:val="0"/>
        </w:rPr>
        <w:t>.</w:t>
      </w:r>
      <w:r>
        <w:rPr>
          <w:snapToGrid w:val="0"/>
        </w:rPr>
        <w:tab/>
        <w:t>Infringement notices, offences and modified penalties prescribed for</w:t>
      </w:r>
      <w:bookmarkEnd w:id="25"/>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26" w:name="_Toc382318433"/>
      <w:r>
        <w:rPr>
          <w:snapToGrid w:val="0"/>
        </w:rPr>
        <w:t>22.</w:t>
      </w:r>
      <w:r>
        <w:rPr>
          <w:snapToGrid w:val="0"/>
        </w:rPr>
        <w:tab/>
        <w:t>Infringement notice, form of prescribed</w:t>
      </w:r>
      <w:bookmarkEnd w:id="26"/>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27" w:name="_Toc382318434"/>
      <w:r>
        <w:rPr>
          <w:snapToGrid w:val="0"/>
        </w:rPr>
        <w:t>23.</w:t>
      </w:r>
      <w:r>
        <w:rPr>
          <w:snapToGrid w:val="0"/>
        </w:rPr>
        <w:tab/>
        <w:t>Withdrawal of infringement notice, form of prescribed</w:t>
      </w:r>
      <w:bookmarkEnd w:id="27"/>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Ednotesection"/>
      </w:pPr>
      <w:r>
        <w:t>[</w:t>
      </w:r>
      <w:r>
        <w:rPr>
          <w:b/>
          <w:bCs/>
        </w:rPr>
        <w:t>24.</w:t>
      </w:r>
      <w:r>
        <w:rPr>
          <w:b/>
          <w:bCs/>
        </w:rPr>
        <w:tab/>
      </w:r>
      <w:r>
        <w:t>Omitted under the Reprints Act 1984 s. 7(4)(f).]</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8" w:name="_Toc382318435"/>
      <w:r>
        <w:rPr>
          <w:rStyle w:val="CharSchNo"/>
        </w:rPr>
        <w:t>Schedule 1</w:t>
      </w:r>
      <w:r>
        <w:rPr>
          <w:rStyle w:val="CharSDivNo"/>
        </w:rPr>
        <w:t> </w:t>
      </w:r>
      <w:r>
        <w:t>—</w:t>
      </w:r>
      <w:r>
        <w:rPr>
          <w:rStyle w:val="CharSDivText"/>
        </w:rPr>
        <w:t> </w:t>
      </w:r>
      <w:r>
        <w:rPr>
          <w:rStyle w:val="CharSchText"/>
        </w:rPr>
        <w:t>Fees</w:t>
      </w:r>
      <w:bookmarkEnd w:id="28"/>
    </w:p>
    <w:p>
      <w:pPr>
        <w:pStyle w:val="yShoulderClause"/>
        <w:spacing w:after="60"/>
      </w:pPr>
      <w:r>
        <w:t>[r. 6, 7, 8, 11 &amp; 19]</w:t>
      </w:r>
    </w:p>
    <w:tbl>
      <w:tblPr>
        <w:tblW w:w="7080" w:type="dxa"/>
        <w:tblInd w:w="108" w:type="dxa"/>
        <w:tblLayout w:type="fixed"/>
        <w:tblLook w:val="0000" w:firstRow="0" w:lastRow="0" w:firstColumn="0" w:lastColumn="0" w:noHBand="0" w:noVBand="0"/>
      </w:tblPr>
      <w:tblGrid>
        <w:gridCol w:w="709"/>
        <w:gridCol w:w="5051"/>
        <w:gridCol w:w="1320"/>
      </w:tblGrid>
      <w:tr>
        <w:trPr>
          <w:cantSplit/>
        </w:trPr>
        <w:tc>
          <w:tcPr>
            <w:tcW w:w="709" w:type="dxa"/>
          </w:tcPr>
          <w:p>
            <w:pPr>
              <w:pStyle w:val="yTableNAm"/>
            </w:pPr>
          </w:p>
        </w:tc>
        <w:tc>
          <w:tcPr>
            <w:tcW w:w="5051" w:type="dxa"/>
          </w:tcPr>
          <w:p>
            <w:pPr>
              <w:pStyle w:val="yTableNAm"/>
            </w:pPr>
          </w:p>
        </w:tc>
        <w:tc>
          <w:tcPr>
            <w:tcW w:w="1320" w:type="dxa"/>
          </w:tcPr>
          <w:p>
            <w:pPr>
              <w:pStyle w:val="yTableNAm"/>
              <w:jc w:val="center"/>
              <w:rPr>
                <w:b/>
                <w:bCs/>
              </w:rPr>
            </w:pPr>
            <w:r>
              <w:rPr>
                <w:b/>
                <w:bCs/>
              </w:rPr>
              <w:t>$</w:t>
            </w:r>
          </w:p>
        </w:tc>
      </w:tr>
      <w:tr>
        <w:trPr>
          <w:cantSplit/>
        </w:trPr>
        <w:tc>
          <w:tcPr>
            <w:tcW w:w="709" w:type="dxa"/>
          </w:tcPr>
          <w:p>
            <w:pPr>
              <w:pStyle w:val="yTableNAm"/>
            </w:pPr>
            <w:r>
              <w:t>1.</w:t>
            </w:r>
          </w:p>
        </w:tc>
        <w:tc>
          <w:tcPr>
            <w:tcW w:w="5051" w:type="dxa"/>
          </w:tcPr>
          <w:p>
            <w:pPr>
              <w:pStyle w:val="yTableNAm"/>
            </w:pPr>
            <w:r>
              <w:t>Application for licence by a natural person .</w:t>
            </w:r>
            <w:r>
              <w:rPr>
                <w:snapToGrid w:val="0"/>
              </w:rPr>
              <w:t>.................</w:t>
            </w:r>
          </w:p>
        </w:tc>
        <w:tc>
          <w:tcPr>
            <w:tcW w:w="1320" w:type="dxa"/>
          </w:tcPr>
          <w:p>
            <w:pPr>
              <w:pStyle w:val="yTableNAm"/>
              <w:tabs>
                <w:tab w:val="clear" w:pos="567"/>
              </w:tabs>
              <w:ind w:right="340"/>
              <w:jc w:val="right"/>
            </w:pPr>
            <w:r>
              <w:t>1 000</w:t>
            </w:r>
          </w:p>
        </w:tc>
      </w:tr>
      <w:tr>
        <w:trPr>
          <w:cantSplit/>
        </w:trPr>
        <w:tc>
          <w:tcPr>
            <w:tcW w:w="709" w:type="dxa"/>
          </w:tcPr>
          <w:p>
            <w:pPr>
              <w:pStyle w:val="yTableNAm"/>
            </w:pPr>
            <w:r>
              <w:t>2.</w:t>
            </w:r>
          </w:p>
        </w:tc>
        <w:tc>
          <w:tcPr>
            <w:tcW w:w="5051" w:type="dxa"/>
          </w:tcPr>
          <w:p>
            <w:pPr>
              <w:pStyle w:val="yTableNAm"/>
            </w:pPr>
            <w:r>
              <w:t>Application for licence by a firm .</w:t>
            </w:r>
            <w:r>
              <w:rPr>
                <w:snapToGrid w:val="0"/>
              </w:rPr>
              <w:t>.................................</w:t>
            </w:r>
          </w:p>
        </w:tc>
        <w:tc>
          <w:tcPr>
            <w:tcW w:w="1320" w:type="dxa"/>
          </w:tcPr>
          <w:p>
            <w:pPr>
              <w:pStyle w:val="yTableNAm"/>
              <w:tabs>
                <w:tab w:val="clear" w:pos="567"/>
              </w:tabs>
              <w:ind w:right="340"/>
              <w:jc w:val="right"/>
            </w:pPr>
            <w:r>
              <w:t>1 000</w:t>
            </w:r>
          </w:p>
        </w:tc>
      </w:tr>
      <w:tr>
        <w:trPr>
          <w:cantSplit/>
        </w:trPr>
        <w:tc>
          <w:tcPr>
            <w:tcW w:w="709" w:type="dxa"/>
          </w:tcPr>
          <w:p>
            <w:pPr>
              <w:pStyle w:val="yTableNAm"/>
            </w:pPr>
            <w:r>
              <w:t>3.</w:t>
            </w:r>
          </w:p>
        </w:tc>
        <w:tc>
          <w:tcPr>
            <w:tcW w:w="5051" w:type="dxa"/>
          </w:tcPr>
          <w:p>
            <w:pPr>
              <w:pStyle w:val="yTableNAm"/>
            </w:pPr>
            <w:r>
              <w:t>Application for licence by a body corporate .</w:t>
            </w:r>
            <w:r>
              <w:rPr>
                <w:snapToGrid w:val="0"/>
              </w:rPr>
              <w:t>................</w:t>
            </w:r>
          </w:p>
        </w:tc>
        <w:tc>
          <w:tcPr>
            <w:tcW w:w="1320" w:type="dxa"/>
          </w:tcPr>
          <w:p>
            <w:pPr>
              <w:pStyle w:val="yTableNAm"/>
              <w:tabs>
                <w:tab w:val="clear" w:pos="567"/>
              </w:tabs>
              <w:ind w:right="340"/>
              <w:jc w:val="right"/>
            </w:pPr>
            <w:r>
              <w:t>1 000</w:t>
            </w:r>
          </w:p>
        </w:tc>
      </w:tr>
      <w:tr>
        <w:trPr>
          <w:cantSplit/>
        </w:trPr>
        <w:tc>
          <w:tcPr>
            <w:tcW w:w="709" w:type="dxa"/>
          </w:tcPr>
          <w:p>
            <w:pPr>
              <w:pStyle w:val="yTableNAm"/>
            </w:pPr>
            <w:r>
              <w:t>4.</w:t>
            </w:r>
          </w:p>
        </w:tc>
        <w:tc>
          <w:tcPr>
            <w:tcW w:w="5051" w:type="dxa"/>
          </w:tcPr>
          <w:p>
            <w:pPr>
              <w:pStyle w:val="yTableNAm"/>
            </w:pPr>
            <w:r>
              <w:t>For renewal of licence — (for a period of 3 years) ......</w:t>
            </w:r>
          </w:p>
        </w:tc>
        <w:tc>
          <w:tcPr>
            <w:tcW w:w="1320" w:type="dxa"/>
          </w:tcPr>
          <w:p>
            <w:pPr>
              <w:pStyle w:val="yTableNAm"/>
              <w:tabs>
                <w:tab w:val="clear" w:pos="567"/>
              </w:tabs>
              <w:ind w:right="340"/>
              <w:jc w:val="right"/>
            </w:pPr>
            <w:r>
              <w:t>1 000</w:t>
            </w:r>
          </w:p>
        </w:tc>
      </w:tr>
      <w:tr>
        <w:trPr>
          <w:cantSplit/>
        </w:trPr>
        <w:tc>
          <w:tcPr>
            <w:tcW w:w="709" w:type="dxa"/>
          </w:tcPr>
          <w:p>
            <w:pPr>
              <w:pStyle w:val="yTableNAm"/>
            </w:pPr>
            <w:r>
              <w:t>5.</w:t>
            </w:r>
          </w:p>
        </w:tc>
        <w:tc>
          <w:tcPr>
            <w:tcW w:w="5051" w:type="dxa"/>
          </w:tcPr>
          <w:p>
            <w:pPr>
              <w:pStyle w:val="yTableNAm"/>
            </w:pPr>
            <w:r>
              <w:t>Inspection of register .</w:t>
            </w:r>
            <w:r>
              <w:rPr>
                <w:snapToGrid w:val="0"/>
              </w:rPr>
              <w:t>...................................................</w:t>
            </w:r>
          </w:p>
        </w:tc>
        <w:tc>
          <w:tcPr>
            <w:tcW w:w="1320" w:type="dxa"/>
          </w:tcPr>
          <w:p>
            <w:pPr>
              <w:pStyle w:val="yTableNAm"/>
              <w:tabs>
                <w:tab w:val="clear" w:pos="567"/>
              </w:tabs>
              <w:ind w:right="340"/>
              <w:jc w:val="right"/>
            </w:pPr>
            <w:r>
              <w:t>10</w:t>
            </w:r>
          </w:p>
        </w:tc>
      </w:tr>
      <w:tr>
        <w:trPr>
          <w:cantSplit/>
        </w:trPr>
        <w:tc>
          <w:tcPr>
            <w:tcW w:w="709" w:type="dxa"/>
          </w:tcPr>
          <w:p>
            <w:pPr>
              <w:pStyle w:val="yTableNAm"/>
            </w:pPr>
            <w:r>
              <w:t>6.</w:t>
            </w:r>
          </w:p>
        </w:tc>
        <w:tc>
          <w:tcPr>
            <w:tcW w:w="5051" w:type="dxa"/>
          </w:tcPr>
          <w:p>
            <w:pPr>
              <w:pStyle w:val="yTableNAm"/>
            </w:pPr>
            <w:r>
              <w:t>Certificate as to an individual registration — </w:t>
            </w:r>
          </w:p>
        </w:tc>
        <w:tc>
          <w:tcPr>
            <w:tcW w:w="1320" w:type="dxa"/>
          </w:tcPr>
          <w:p>
            <w:pPr>
              <w:pStyle w:val="yTableNAm"/>
              <w:tabs>
                <w:tab w:val="clear" w:pos="567"/>
              </w:tabs>
              <w:ind w:right="340"/>
              <w:jc w:val="right"/>
            </w:pPr>
          </w:p>
        </w:tc>
      </w:tr>
      <w:tr>
        <w:trPr>
          <w:cantSplit/>
        </w:trPr>
        <w:tc>
          <w:tcPr>
            <w:tcW w:w="709" w:type="dxa"/>
          </w:tcPr>
          <w:p>
            <w:pPr>
              <w:pStyle w:val="yTableNAm"/>
            </w:pPr>
          </w:p>
        </w:tc>
        <w:tc>
          <w:tcPr>
            <w:tcW w:w="5051" w:type="dxa"/>
          </w:tcPr>
          <w:p>
            <w:pPr>
              <w:pStyle w:val="yTableNAm"/>
              <w:rPr>
                <w:snapToGrid w:val="0"/>
              </w:rPr>
            </w:pPr>
            <w:r>
              <w:tab/>
              <w:t> — first page .</w:t>
            </w:r>
            <w:r>
              <w:rPr>
                <w:snapToGrid w:val="0"/>
              </w:rPr>
              <w:t>......................................................</w:t>
            </w:r>
          </w:p>
          <w:p>
            <w:pPr>
              <w:pStyle w:val="yTableNAm"/>
            </w:pPr>
            <w:r>
              <w:tab/>
              <w:t> — each subsequent page .</w:t>
            </w:r>
            <w:r>
              <w:rPr>
                <w:snapToGrid w:val="0"/>
              </w:rPr>
              <w:t>..................................</w:t>
            </w:r>
          </w:p>
        </w:tc>
        <w:tc>
          <w:tcPr>
            <w:tcW w:w="1320" w:type="dxa"/>
          </w:tcPr>
          <w:p>
            <w:pPr>
              <w:pStyle w:val="yTableNAm"/>
              <w:tabs>
                <w:tab w:val="clear" w:pos="567"/>
              </w:tabs>
              <w:ind w:right="340"/>
              <w:jc w:val="right"/>
            </w:pPr>
            <w:r>
              <w:t>10</w:t>
            </w:r>
          </w:p>
          <w:p>
            <w:pPr>
              <w:pStyle w:val="yTableNAm"/>
              <w:tabs>
                <w:tab w:val="clear" w:pos="567"/>
              </w:tabs>
              <w:ind w:right="340"/>
              <w:jc w:val="right"/>
            </w:pPr>
            <w:r>
              <w:t>2</w:t>
            </w:r>
          </w:p>
        </w:tc>
      </w:tr>
      <w:tr>
        <w:trPr>
          <w:cantSplit/>
        </w:trPr>
        <w:tc>
          <w:tcPr>
            <w:tcW w:w="709" w:type="dxa"/>
          </w:tcPr>
          <w:p>
            <w:pPr>
              <w:pStyle w:val="yTableNAm"/>
            </w:pPr>
            <w:r>
              <w:t>7.</w:t>
            </w:r>
          </w:p>
        </w:tc>
        <w:tc>
          <w:tcPr>
            <w:tcW w:w="5051" w:type="dxa"/>
          </w:tcPr>
          <w:p>
            <w:pPr>
              <w:pStyle w:val="yTableNAm"/>
            </w:pPr>
            <w:r>
              <w:t>Certificate of all registrations in register .</w:t>
            </w:r>
            <w:r>
              <w:rPr>
                <w:snapToGrid w:val="0"/>
              </w:rPr>
              <w:t>.....................</w:t>
            </w:r>
          </w:p>
        </w:tc>
        <w:tc>
          <w:tcPr>
            <w:tcW w:w="1320" w:type="dxa"/>
          </w:tcPr>
          <w:p>
            <w:pPr>
              <w:pStyle w:val="yTableNAm"/>
              <w:tabs>
                <w:tab w:val="clear" w:pos="567"/>
              </w:tabs>
              <w:ind w:right="340"/>
              <w:jc w:val="right"/>
            </w:pPr>
            <w:r>
              <w:t>122</w:t>
            </w:r>
          </w:p>
        </w:tc>
      </w:tr>
    </w:tbl>
    <w:p>
      <w:pPr>
        <w:pStyle w:val="yFootnotesection"/>
      </w:pPr>
      <w:r>
        <w:tab/>
        <w:t>[Schedule 1 amended in Gazette 27 Jun 2006 p. 2255; 15 Jun 2007 p. 2774; 17 Jun 2008 p. 2551</w:t>
      </w:r>
      <w:r>
        <w:noBreakHyphen/>
        <w:t>2.]</w:t>
      </w:r>
    </w:p>
    <w:p>
      <w:pPr>
        <w:pStyle w:val="yScheduleHeading"/>
      </w:pPr>
      <w:bookmarkStart w:id="29" w:name="_Toc382318436"/>
      <w:r>
        <w:rPr>
          <w:rStyle w:val="CharSchNo"/>
        </w:rPr>
        <w:t>Schedule 2</w:t>
      </w:r>
      <w:r>
        <w:rPr>
          <w:rStyle w:val="CharSDivNo"/>
        </w:rPr>
        <w:t> </w:t>
      </w:r>
      <w:r>
        <w:t>—</w:t>
      </w:r>
      <w:r>
        <w:rPr>
          <w:rStyle w:val="CharSDivText"/>
        </w:rPr>
        <w:t> </w:t>
      </w:r>
      <w:r>
        <w:rPr>
          <w:rStyle w:val="CharSchText"/>
        </w:rPr>
        <w:t>Modified penalties</w:t>
      </w:r>
      <w:bookmarkEnd w:id="29"/>
    </w:p>
    <w:p>
      <w:pPr>
        <w:pStyle w:val="yShoulderClause"/>
        <w:spacing w:after="120"/>
      </w:pPr>
      <w:r>
        <w:t>[r. 21]</w:t>
      </w:r>
    </w:p>
    <w:tbl>
      <w:tblPr>
        <w:tblW w:w="7080" w:type="dxa"/>
        <w:tblInd w:w="108" w:type="dxa"/>
        <w:tblLayout w:type="fixed"/>
        <w:tblLook w:val="0000" w:firstRow="0" w:lastRow="0" w:firstColumn="0" w:lastColumn="0" w:noHBand="0" w:noVBand="0"/>
      </w:tblPr>
      <w:tblGrid>
        <w:gridCol w:w="720"/>
        <w:gridCol w:w="1320"/>
        <w:gridCol w:w="3720"/>
        <w:gridCol w:w="1320"/>
      </w:tblGrid>
      <w:tr>
        <w:trPr>
          <w:cantSplit/>
          <w:tblHeader/>
        </w:trPr>
        <w:tc>
          <w:tcPr>
            <w:tcW w:w="720" w:type="dxa"/>
            <w:tcBorders>
              <w:top w:val="single" w:sz="4" w:space="0" w:color="auto"/>
              <w:bottom w:val="single" w:sz="4" w:space="0" w:color="auto"/>
              <w:right w:val="single" w:sz="4" w:space="0" w:color="auto"/>
            </w:tcBorders>
          </w:tcPr>
          <w:p>
            <w:pPr>
              <w:pStyle w:val="yTableNAm"/>
              <w:rPr>
                <w:b/>
                <w:bCs/>
              </w:rPr>
            </w:pPr>
            <w:r>
              <w:rPr>
                <w:b/>
                <w:bCs/>
              </w:rPr>
              <w:t>Item</w:t>
            </w:r>
          </w:p>
        </w:tc>
        <w:tc>
          <w:tcPr>
            <w:tcW w:w="1320" w:type="dxa"/>
            <w:tcBorders>
              <w:top w:val="single" w:sz="4" w:space="0" w:color="auto"/>
              <w:left w:val="single" w:sz="4" w:space="0" w:color="auto"/>
              <w:bottom w:val="single" w:sz="4" w:space="0" w:color="auto"/>
              <w:right w:val="single" w:sz="4" w:space="0" w:color="auto"/>
            </w:tcBorders>
          </w:tcPr>
          <w:p>
            <w:pPr>
              <w:pStyle w:val="yTableNAm"/>
              <w:rPr>
                <w:b/>
                <w:bCs/>
              </w:rPr>
            </w:pPr>
            <w:r>
              <w:rPr>
                <w:b/>
                <w:bCs/>
              </w:rPr>
              <w:t>Section or regulation</w:t>
            </w:r>
          </w:p>
        </w:tc>
        <w:tc>
          <w:tcPr>
            <w:tcW w:w="3720" w:type="dxa"/>
            <w:tcBorders>
              <w:top w:val="single" w:sz="4" w:space="0" w:color="auto"/>
              <w:left w:val="single" w:sz="4" w:space="0" w:color="auto"/>
              <w:bottom w:val="single" w:sz="4" w:space="0" w:color="auto"/>
              <w:right w:val="single" w:sz="4" w:space="0" w:color="auto"/>
            </w:tcBorders>
          </w:tcPr>
          <w:p>
            <w:pPr>
              <w:pStyle w:val="yTableNAm"/>
              <w:rPr>
                <w:b/>
                <w:bCs/>
              </w:rPr>
            </w:pPr>
            <w:r>
              <w:rPr>
                <w:b/>
                <w:bCs/>
              </w:rPr>
              <w:t>Description of offence</w:t>
            </w:r>
          </w:p>
        </w:tc>
        <w:tc>
          <w:tcPr>
            <w:tcW w:w="1320" w:type="dxa"/>
            <w:tcBorders>
              <w:top w:val="single" w:sz="4" w:space="0" w:color="auto"/>
              <w:left w:val="single" w:sz="4" w:space="0" w:color="auto"/>
              <w:bottom w:val="single" w:sz="4" w:space="0" w:color="auto"/>
            </w:tcBorders>
          </w:tcPr>
          <w:p>
            <w:pPr>
              <w:pStyle w:val="yTableNAm"/>
              <w:rPr>
                <w:b/>
                <w:bCs/>
              </w:rPr>
            </w:pPr>
            <w:r>
              <w:rPr>
                <w:b/>
                <w:bCs/>
              </w:rPr>
              <w:t>Modified penalty ($)</w:t>
            </w:r>
          </w:p>
        </w:tc>
      </w:tr>
      <w:tr>
        <w:trPr>
          <w:cantSplit/>
        </w:trPr>
        <w:tc>
          <w:tcPr>
            <w:tcW w:w="720" w:type="dxa"/>
            <w:tcBorders>
              <w:right w:val="single" w:sz="4" w:space="0" w:color="auto"/>
            </w:tcBorders>
          </w:tcPr>
          <w:p>
            <w:pPr>
              <w:pStyle w:val="yTableNAm"/>
            </w:pPr>
            <w:r>
              <w:t>1.</w:t>
            </w:r>
          </w:p>
        </w:tc>
        <w:tc>
          <w:tcPr>
            <w:tcW w:w="1320" w:type="dxa"/>
            <w:tcBorders>
              <w:left w:val="single" w:sz="4" w:space="0" w:color="auto"/>
              <w:right w:val="single" w:sz="4" w:space="0" w:color="auto"/>
            </w:tcBorders>
          </w:tcPr>
          <w:p>
            <w:pPr>
              <w:pStyle w:val="yTableNAm"/>
            </w:pPr>
            <w:r>
              <w:t>s. 30(3)(b)</w:t>
            </w:r>
          </w:p>
        </w:tc>
        <w:tc>
          <w:tcPr>
            <w:tcW w:w="3720" w:type="dxa"/>
            <w:tcBorders>
              <w:left w:val="single" w:sz="4" w:space="0" w:color="auto"/>
              <w:right w:val="single" w:sz="4" w:space="0" w:color="auto"/>
            </w:tcBorders>
          </w:tcPr>
          <w:p>
            <w:pPr>
              <w:pStyle w:val="yTableNAm"/>
            </w:pPr>
            <w:r>
              <w:t>Failing to surrender licence following suspension by Commissioner</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2.</w:t>
            </w:r>
          </w:p>
        </w:tc>
        <w:tc>
          <w:tcPr>
            <w:tcW w:w="1320" w:type="dxa"/>
            <w:tcBorders>
              <w:left w:val="single" w:sz="4" w:space="0" w:color="auto"/>
              <w:right w:val="single" w:sz="4" w:space="0" w:color="auto"/>
            </w:tcBorders>
          </w:tcPr>
          <w:p>
            <w:pPr>
              <w:pStyle w:val="yTableNAm"/>
            </w:pPr>
            <w:r>
              <w:t>s. 34(3)</w:t>
            </w:r>
          </w:p>
        </w:tc>
        <w:tc>
          <w:tcPr>
            <w:tcW w:w="3720" w:type="dxa"/>
            <w:tcBorders>
              <w:left w:val="single" w:sz="4" w:space="0" w:color="auto"/>
              <w:right w:val="single" w:sz="4" w:space="0" w:color="auto"/>
            </w:tcBorders>
          </w:tcPr>
          <w:p>
            <w:pPr>
              <w:pStyle w:val="yTableNAm"/>
            </w:pPr>
            <w:r>
              <w:t>Failing to comply with a licence condition</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3.</w:t>
            </w:r>
          </w:p>
        </w:tc>
        <w:tc>
          <w:tcPr>
            <w:tcW w:w="1320" w:type="dxa"/>
            <w:tcBorders>
              <w:left w:val="single" w:sz="4" w:space="0" w:color="auto"/>
              <w:right w:val="single" w:sz="4" w:space="0" w:color="auto"/>
            </w:tcBorders>
          </w:tcPr>
          <w:p>
            <w:pPr>
              <w:pStyle w:val="yTableNAm"/>
              <w:rPr>
                <w:vertAlign w:val="superscript"/>
              </w:rPr>
            </w:pPr>
            <w:r>
              <w:t>s. 36(1)</w:t>
            </w:r>
            <w:r>
              <w:rPr>
                <w:vertAlign w:val="superscript"/>
              </w:rPr>
              <w:t> 3</w:t>
            </w:r>
          </w:p>
        </w:tc>
        <w:tc>
          <w:tcPr>
            <w:tcW w:w="3720" w:type="dxa"/>
            <w:tcBorders>
              <w:left w:val="single" w:sz="4" w:space="0" w:color="auto"/>
              <w:right w:val="single" w:sz="4" w:space="0" w:color="auto"/>
            </w:tcBorders>
          </w:tcPr>
          <w:p>
            <w:pPr>
              <w:pStyle w:val="yTableNAm"/>
            </w:pPr>
            <w:r>
              <w:t>Failing to give notice of commencing or ceasing to carry on business</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4.</w:t>
            </w:r>
          </w:p>
        </w:tc>
        <w:tc>
          <w:tcPr>
            <w:tcW w:w="1320" w:type="dxa"/>
            <w:tcBorders>
              <w:left w:val="single" w:sz="4" w:space="0" w:color="auto"/>
              <w:right w:val="single" w:sz="4" w:space="0" w:color="auto"/>
            </w:tcBorders>
          </w:tcPr>
          <w:p>
            <w:pPr>
              <w:pStyle w:val="yTableNAm"/>
            </w:pPr>
            <w:r>
              <w:t>s. 36(2)</w:t>
            </w:r>
            <w:r>
              <w:rPr>
                <w:vertAlign w:val="superscript"/>
              </w:rPr>
              <w:t> 3</w:t>
            </w:r>
          </w:p>
        </w:tc>
        <w:tc>
          <w:tcPr>
            <w:tcW w:w="3720" w:type="dxa"/>
            <w:tcBorders>
              <w:left w:val="single" w:sz="4" w:space="0" w:color="auto"/>
              <w:right w:val="single" w:sz="4" w:space="0" w:color="auto"/>
            </w:tcBorders>
          </w:tcPr>
          <w:p>
            <w:pPr>
              <w:pStyle w:val="yTableNAm"/>
            </w:pPr>
            <w:r>
              <w:t>Failing to give notice of ceasing to have a registered office and of residential address</w:t>
            </w:r>
          </w:p>
        </w:tc>
        <w:tc>
          <w:tcPr>
            <w:tcW w:w="1320" w:type="dxa"/>
            <w:tcBorders>
              <w:left w:val="single" w:sz="4" w:space="0" w:color="auto"/>
            </w:tcBorders>
          </w:tcPr>
          <w:p>
            <w:pPr>
              <w:pStyle w:val="yTableNAm"/>
            </w:pPr>
            <w:r>
              <w:br/>
            </w:r>
            <w:r>
              <w:br/>
              <w:t>400</w:t>
            </w:r>
          </w:p>
        </w:tc>
      </w:tr>
      <w:tr>
        <w:trPr>
          <w:cantSplit/>
        </w:trPr>
        <w:tc>
          <w:tcPr>
            <w:tcW w:w="720" w:type="dxa"/>
            <w:tcBorders>
              <w:right w:val="single" w:sz="4" w:space="0" w:color="auto"/>
            </w:tcBorders>
          </w:tcPr>
          <w:p>
            <w:pPr>
              <w:pStyle w:val="yTableNAm"/>
            </w:pPr>
            <w:r>
              <w:t>5.</w:t>
            </w:r>
          </w:p>
        </w:tc>
        <w:tc>
          <w:tcPr>
            <w:tcW w:w="1320" w:type="dxa"/>
            <w:tcBorders>
              <w:left w:val="single" w:sz="4" w:space="0" w:color="auto"/>
              <w:right w:val="single" w:sz="4" w:space="0" w:color="auto"/>
            </w:tcBorders>
          </w:tcPr>
          <w:p>
            <w:pPr>
              <w:pStyle w:val="yTableNAm"/>
            </w:pPr>
            <w:r>
              <w:t>s. 36(3)</w:t>
            </w:r>
            <w:r>
              <w:rPr>
                <w:vertAlign w:val="superscript"/>
              </w:rPr>
              <w:t> 3</w:t>
            </w:r>
          </w:p>
        </w:tc>
        <w:tc>
          <w:tcPr>
            <w:tcW w:w="3720" w:type="dxa"/>
            <w:tcBorders>
              <w:left w:val="single" w:sz="4" w:space="0" w:color="auto"/>
              <w:right w:val="single" w:sz="4" w:space="0" w:color="auto"/>
            </w:tcBorders>
          </w:tcPr>
          <w:p>
            <w:pPr>
              <w:pStyle w:val="yTableNAm"/>
            </w:pPr>
            <w:r>
              <w:t>Failing to give notice of change of residential address</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6.</w:t>
            </w:r>
          </w:p>
        </w:tc>
        <w:tc>
          <w:tcPr>
            <w:tcW w:w="1320" w:type="dxa"/>
            <w:tcBorders>
              <w:left w:val="single" w:sz="4" w:space="0" w:color="auto"/>
              <w:right w:val="single" w:sz="4" w:space="0" w:color="auto"/>
            </w:tcBorders>
          </w:tcPr>
          <w:p>
            <w:pPr>
              <w:pStyle w:val="yTableNAm"/>
            </w:pPr>
            <w:r>
              <w:t>s. 37(1)</w:t>
            </w:r>
            <w:r>
              <w:rPr>
                <w:vertAlign w:val="superscript"/>
              </w:rPr>
              <w:t> 3</w:t>
            </w:r>
          </w:p>
        </w:tc>
        <w:tc>
          <w:tcPr>
            <w:tcW w:w="3720" w:type="dxa"/>
            <w:tcBorders>
              <w:left w:val="single" w:sz="4" w:space="0" w:color="auto"/>
              <w:right w:val="single" w:sz="4" w:space="0" w:color="auto"/>
            </w:tcBorders>
          </w:tcPr>
          <w:p>
            <w:pPr>
              <w:pStyle w:val="yTableNAm"/>
            </w:pPr>
            <w:r>
              <w:t>Failing to have a registered office</w:t>
            </w:r>
          </w:p>
        </w:tc>
        <w:tc>
          <w:tcPr>
            <w:tcW w:w="1320" w:type="dxa"/>
            <w:tcBorders>
              <w:left w:val="single" w:sz="4" w:space="0" w:color="auto"/>
            </w:tcBorders>
          </w:tcPr>
          <w:p>
            <w:pPr>
              <w:pStyle w:val="yTableNAm"/>
            </w:pPr>
            <w:r>
              <w:t>400</w:t>
            </w:r>
          </w:p>
        </w:tc>
      </w:tr>
      <w:tr>
        <w:trPr>
          <w:cantSplit/>
        </w:trPr>
        <w:tc>
          <w:tcPr>
            <w:tcW w:w="720" w:type="dxa"/>
            <w:tcBorders>
              <w:right w:val="single" w:sz="4" w:space="0" w:color="auto"/>
            </w:tcBorders>
          </w:tcPr>
          <w:p>
            <w:pPr>
              <w:pStyle w:val="yTableNAm"/>
            </w:pPr>
            <w:r>
              <w:t>7.</w:t>
            </w:r>
          </w:p>
        </w:tc>
        <w:tc>
          <w:tcPr>
            <w:tcW w:w="1320" w:type="dxa"/>
            <w:tcBorders>
              <w:left w:val="single" w:sz="4" w:space="0" w:color="auto"/>
              <w:right w:val="single" w:sz="4" w:space="0" w:color="auto"/>
            </w:tcBorders>
          </w:tcPr>
          <w:p>
            <w:pPr>
              <w:pStyle w:val="yTableNAm"/>
            </w:pPr>
            <w:r>
              <w:t>s. 38(1)</w:t>
            </w:r>
            <w:r>
              <w:rPr>
                <w:vertAlign w:val="superscript"/>
              </w:rPr>
              <w:t> 3</w:t>
            </w:r>
          </w:p>
        </w:tc>
        <w:tc>
          <w:tcPr>
            <w:tcW w:w="3720" w:type="dxa"/>
            <w:tcBorders>
              <w:left w:val="single" w:sz="4" w:space="0" w:color="auto"/>
              <w:right w:val="single" w:sz="4" w:space="0" w:color="auto"/>
            </w:tcBorders>
          </w:tcPr>
          <w:p>
            <w:pPr>
              <w:pStyle w:val="yTableNAm"/>
            </w:pPr>
            <w:r>
              <w:t>Failing to give notice of the location of a branch office</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8.</w:t>
            </w:r>
          </w:p>
        </w:tc>
        <w:tc>
          <w:tcPr>
            <w:tcW w:w="1320" w:type="dxa"/>
            <w:tcBorders>
              <w:left w:val="single" w:sz="4" w:space="0" w:color="auto"/>
              <w:right w:val="single" w:sz="4" w:space="0" w:color="auto"/>
            </w:tcBorders>
          </w:tcPr>
          <w:p>
            <w:pPr>
              <w:pStyle w:val="yTableNAm"/>
            </w:pPr>
            <w:r>
              <w:t>s. 41(1)(a)</w:t>
            </w:r>
          </w:p>
        </w:tc>
        <w:tc>
          <w:tcPr>
            <w:tcW w:w="3720" w:type="dxa"/>
            <w:tcBorders>
              <w:left w:val="single" w:sz="4" w:space="0" w:color="auto"/>
              <w:right w:val="single" w:sz="4" w:space="0" w:color="auto"/>
            </w:tcBorders>
          </w:tcPr>
          <w:p>
            <w:pPr>
              <w:pStyle w:val="yTableNAm"/>
            </w:pPr>
            <w:r>
              <w:t>Carrying on business under more than one name</w:t>
            </w:r>
          </w:p>
        </w:tc>
        <w:tc>
          <w:tcPr>
            <w:tcW w:w="1320" w:type="dxa"/>
            <w:tcBorders>
              <w:left w:val="single" w:sz="4" w:space="0" w:color="auto"/>
            </w:tcBorders>
          </w:tcPr>
          <w:p>
            <w:pPr>
              <w:pStyle w:val="yTableNAm"/>
            </w:pPr>
            <w:r>
              <w:br/>
              <w:t>200</w:t>
            </w:r>
          </w:p>
        </w:tc>
      </w:tr>
      <w:tr>
        <w:trPr>
          <w:cantSplit/>
        </w:trPr>
        <w:tc>
          <w:tcPr>
            <w:tcW w:w="720" w:type="dxa"/>
            <w:tcBorders>
              <w:right w:val="single" w:sz="4" w:space="0" w:color="auto"/>
            </w:tcBorders>
          </w:tcPr>
          <w:p>
            <w:pPr>
              <w:pStyle w:val="yTableNAm"/>
            </w:pPr>
            <w:r>
              <w:t>9.</w:t>
            </w:r>
          </w:p>
        </w:tc>
        <w:tc>
          <w:tcPr>
            <w:tcW w:w="1320" w:type="dxa"/>
            <w:tcBorders>
              <w:left w:val="single" w:sz="4" w:space="0" w:color="auto"/>
              <w:right w:val="single" w:sz="4" w:space="0" w:color="auto"/>
            </w:tcBorders>
          </w:tcPr>
          <w:p>
            <w:pPr>
              <w:pStyle w:val="yTableNAm"/>
            </w:pPr>
            <w:r>
              <w:t>s. 41(1)(b)</w:t>
            </w:r>
          </w:p>
        </w:tc>
        <w:tc>
          <w:tcPr>
            <w:tcW w:w="3720" w:type="dxa"/>
            <w:tcBorders>
              <w:left w:val="single" w:sz="4" w:space="0" w:color="auto"/>
              <w:right w:val="single" w:sz="4" w:space="0" w:color="auto"/>
            </w:tcBorders>
          </w:tcPr>
          <w:p>
            <w:pPr>
              <w:pStyle w:val="yTableNAm"/>
            </w:pPr>
            <w:r>
              <w:t>Failing to display surname and initials on top of correspondence</w:t>
            </w:r>
          </w:p>
        </w:tc>
        <w:tc>
          <w:tcPr>
            <w:tcW w:w="1320" w:type="dxa"/>
            <w:tcBorders>
              <w:left w:val="single" w:sz="4" w:space="0" w:color="auto"/>
            </w:tcBorders>
          </w:tcPr>
          <w:p>
            <w:pPr>
              <w:pStyle w:val="yTableNAm"/>
            </w:pPr>
            <w:r>
              <w:br/>
              <w:t>200</w:t>
            </w:r>
          </w:p>
        </w:tc>
      </w:tr>
      <w:tr>
        <w:trPr>
          <w:cantSplit/>
        </w:trPr>
        <w:tc>
          <w:tcPr>
            <w:tcW w:w="720" w:type="dxa"/>
            <w:tcBorders>
              <w:right w:val="single" w:sz="4" w:space="0" w:color="auto"/>
            </w:tcBorders>
          </w:tcPr>
          <w:p>
            <w:pPr>
              <w:pStyle w:val="yTableNAm"/>
            </w:pPr>
            <w:r>
              <w:t>10.</w:t>
            </w:r>
          </w:p>
        </w:tc>
        <w:tc>
          <w:tcPr>
            <w:tcW w:w="1320" w:type="dxa"/>
            <w:tcBorders>
              <w:left w:val="single" w:sz="4" w:space="0" w:color="auto"/>
              <w:right w:val="single" w:sz="4" w:space="0" w:color="auto"/>
            </w:tcBorders>
          </w:tcPr>
          <w:p>
            <w:pPr>
              <w:pStyle w:val="yTableNAm"/>
            </w:pPr>
            <w:r>
              <w:t>s. 41(2)</w:t>
            </w:r>
          </w:p>
        </w:tc>
        <w:tc>
          <w:tcPr>
            <w:tcW w:w="3720" w:type="dxa"/>
            <w:tcBorders>
              <w:left w:val="single" w:sz="4" w:space="0" w:color="auto"/>
              <w:right w:val="single" w:sz="4" w:space="0" w:color="auto"/>
            </w:tcBorders>
          </w:tcPr>
          <w:p>
            <w:pPr>
              <w:pStyle w:val="yTableNAm"/>
            </w:pPr>
            <w:r>
              <w:t>Failing to give notice of change of business name</w:t>
            </w:r>
          </w:p>
        </w:tc>
        <w:tc>
          <w:tcPr>
            <w:tcW w:w="1320" w:type="dxa"/>
            <w:tcBorders>
              <w:left w:val="single" w:sz="4" w:space="0" w:color="auto"/>
            </w:tcBorders>
          </w:tcPr>
          <w:p>
            <w:pPr>
              <w:pStyle w:val="yTableNAm"/>
            </w:pPr>
            <w:r>
              <w:br/>
              <w:t>200</w:t>
            </w:r>
          </w:p>
        </w:tc>
      </w:tr>
      <w:tr>
        <w:trPr>
          <w:cantSplit/>
        </w:trPr>
        <w:tc>
          <w:tcPr>
            <w:tcW w:w="720" w:type="dxa"/>
            <w:tcBorders>
              <w:right w:val="single" w:sz="4" w:space="0" w:color="auto"/>
            </w:tcBorders>
          </w:tcPr>
          <w:p>
            <w:pPr>
              <w:pStyle w:val="yTableNAm"/>
            </w:pPr>
            <w:r>
              <w:t>11.</w:t>
            </w:r>
          </w:p>
        </w:tc>
        <w:tc>
          <w:tcPr>
            <w:tcW w:w="1320" w:type="dxa"/>
            <w:tcBorders>
              <w:left w:val="single" w:sz="4" w:space="0" w:color="auto"/>
              <w:right w:val="single" w:sz="4" w:space="0" w:color="auto"/>
            </w:tcBorders>
          </w:tcPr>
          <w:p>
            <w:pPr>
              <w:pStyle w:val="yTableNAm"/>
            </w:pPr>
            <w:r>
              <w:t>s. 42</w:t>
            </w:r>
          </w:p>
        </w:tc>
        <w:tc>
          <w:tcPr>
            <w:tcW w:w="3720" w:type="dxa"/>
            <w:tcBorders>
              <w:left w:val="single" w:sz="4" w:space="0" w:color="auto"/>
              <w:right w:val="single" w:sz="4" w:space="0" w:color="auto"/>
            </w:tcBorders>
          </w:tcPr>
          <w:p>
            <w:pPr>
              <w:pStyle w:val="yTableNAm"/>
            </w:pPr>
            <w:r>
              <w:t>Failing to display licensee’s name, branch manager’s name, etc.</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12.</w:t>
            </w:r>
          </w:p>
        </w:tc>
        <w:tc>
          <w:tcPr>
            <w:tcW w:w="1320" w:type="dxa"/>
            <w:tcBorders>
              <w:left w:val="single" w:sz="4" w:space="0" w:color="auto"/>
              <w:right w:val="single" w:sz="4" w:space="0" w:color="auto"/>
            </w:tcBorders>
          </w:tcPr>
          <w:p>
            <w:pPr>
              <w:pStyle w:val="yTableNAm"/>
            </w:pPr>
            <w:r>
              <w:t>s. 45(1)</w:t>
            </w:r>
          </w:p>
        </w:tc>
        <w:tc>
          <w:tcPr>
            <w:tcW w:w="3720" w:type="dxa"/>
            <w:tcBorders>
              <w:left w:val="single" w:sz="4" w:space="0" w:color="auto"/>
              <w:right w:val="single" w:sz="4" w:space="0" w:color="auto"/>
            </w:tcBorders>
          </w:tcPr>
          <w:p>
            <w:pPr>
              <w:pStyle w:val="yTableNAm"/>
            </w:pPr>
            <w:r>
              <w:t>Publishing an unauthorised advertisement</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13.</w:t>
            </w:r>
          </w:p>
        </w:tc>
        <w:tc>
          <w:tcPr>
            <w:tcW w:w="1320" w:type="dxa"/>
            <w:tcBorders>
              <w:left w:val="single" w:sz="4" w:space="0" w:color="auto"/>
              <w:right w:val="single" w:sz="4" w:space="0" w:color="auto"/>
            </w:tcBorders>
          </w:tcPr>
          <w:p>
            <w:pPr>
              <w:pStyle w:val="yTableNAm"/>
            </w:pPr>
            <w:r>
              <w:t>s. 45(2)</w:t>
            </w:r>
          </w:p>
        </w:tc>
        <w:tc>
          <w:tcPr>
            <w:tcW w:w="3720" w:type="dxa"/>
            <w:tcBorders>
              <w:left w:val="single" w:sz="4" w:space="0" w:color="auto"/>
              <w:right w:val="single" w:sz="4" w:space="0" w:color="auto"/>
            </w:tcBorders>
          </w:tcPr>
          <w:p>
            <w:pPr>
              <w:pStyle w:val="yTableNAm"/>
            </w:pPr>
            <w:r>
              <w:t>Failing to display licence number in advertisement</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14.</w:t>
            </w:r>
          </w:p>
        </w:tc>
        <w:tc>
          <w:tcPr>
            <w:tcW w:w="1320" w:type="dxa"/>
            <w:tcBorders>
              <w:left w:val="single" w:sz="4" w:space="0" w:color="auto"/>
              <w:right w:val="single" w:sz="4" w:space="0" w:color="auto"/>
            </w:tcBorders>
          </w:tcPr>
          <w:p>
            <w:pPr>
              <w:pStyle w:val="yTableNAm"/>
            </w:pPr>
            <w:r>
              <w:t>s. 45(3)</w:t>
            </w:r>
          </w:p>
        </w:tc>
        <w:tc>
          <w:tcPr>
            <w:tcW w:w="3720" w:type="dxa"/>
            <w:tcBorders>
              <w:left w:val="single" w:sz="4" w:space="0" w:color="auto"/>
              <w:right w:val="single" w:sz="4" w:space="0" w:color="auto"/>
            </w:tcBorders>
          </w:tcPr>
          <w:p>
            <w:pPr>
              <w:pStyle w:val="yTableNAm"/>
            </w:pPr>
            <w:r>
              <w:t>Failing to include comparative rate in advertisement where required</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15.</w:t>
            </w:r>
          </w:p>
        </w:tc>
        <w:tc>
          <w:tcPr>
            <w:tcW w:w="1320" w:type="dxa"/>
            <w:tcBorders>
              <w:left w:val="single" w:sz="4" w:space="0" w:color="auto"/>
              <w:right w:val="single" w:sz="4" w:space="0" w:color="auto"/>
            </w:tcBorders>
          </w:tcPr>
          <w:p>
            <w:pPr>
              <w:pStyle w:val="yTableNAm"/>
            </w:pPr>
            <w:r>
              <w:t>s. 46</w:t>
            </w:r>
          </w:p>
        </w:tc>
        <w:tc>
          <w:tcPr>
            <w:tcW w:w="3720" w:type="dxa"/>
            <w:tcBorders>
              <w:left w:val="single" w:sz="4" w:space="0" w:color="auto"/>
              <w:right w:val="single" w:sz="4" w:space="0" w:color="auto"/>
            </w:tcBorders>
          </w:tcPr>
          <w:p>
            <w:pPr>
              <w:pStyle w:val="yTableNAm"/>
            </w:pPr>
            <w:r>
              <w:t>Failing to provide a copy of a loan document as required or failing to obtain acknowledgment of receipt of the copy</w:t>
            </w:r>
          </w:p>
        </w:tc>
        <w:tc>
          <w:tcPr>
            <w:tcW w:w="1320" w:type="dxa"/>
            <w:tcBorders>
              <w:left w:val="single" w:sz="4" w:space="0" w:color="auto"/>
            </w:tcBorders>
          </w:tcPr>
          <w:p>
            <w:pPr>
              <w:pStyle w:val="yTableNAm"/>
            </w:pPr>
            <w:r>
              <w:br/>
            </w:r>
            <w:r>
              <w:br/>
            </w:r>
            <w:r>
              <w:br/>
              <w:t>400</w:t>
            </w:r>
          </w:p>
        </w:tc>
      </w:tr>
      <w:tr>
        <w:trPr>
          <w:cantSplit/>
        </w:trPr>
        <w:tc>
          <w:tcPr>
            <w:tcW w:w="720" w:type="dxa"/>
            <w:tcBorders>
              <w:right w:val="single" w:sz="4" w:space="0" w:color="auto"/>
            </w:tcBorders>
          </w:tcPr>
          <w:p>
            <w:pPr>
              <w:pStyle w:val="yTableNAm"/>
            </w:pPr>
            <w:r>
              <w:t>16.</w:t>
            </w:r>
          </w:p>
        </w:tc>
        <w:tc>
          <w:tcPr>
            <w:tcW w:w="1320" w:type="dxa"/>
            <w:tcBorders>
              <w:left w:val="single" w:sz="4" w:space="0" w:color="auto"/>
              <w:right w:val="single" w:sz="4" w:space="0" w:color="auto"/>
            </w:tcBorders>
          </w:tcPr>
          <w:p>
            <w:pPr>
              <w:pStyle w:val="yTableNAm"/>
            </w:pPr>
            <w:r>
              <w:t>s. 49</w:t>
            </w:r>
          </w:p>
        </w:tc>
        <w:tc>
          <w:tcPr>
            <w:tcW w:w="3720" w:type="dxa"/>
            <w:tcBorders>
              <w:left w:val="single" w:sz="4" w:space="0" w:color="auto"/>
              <w:right w:val="single" w:sz="4" w:space="0" w:color="auto"/>
            </w:tcBorders>
          </w:tcPr>
          <w:p>
            <w:pPr>
              <w:pStyle w:val="yTableNAm"/>
            </w:pPr>
            <w:r>
              <w:t>Failing to issue and record a receipt as required</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17.</w:t>
            </w:r>
          </w:p>
        </w:tc>
        <w:tc>
          <w:tcPr>
            <w:tcW w:w="1320" w:type="dxa"/>
            <w:tcBorders>
              <w:left w:val="single" w:sz="4" w:space="0" w:color="auto"/>
              <w:right w:val="single" w:sz="4" w:space="0" w:color="auto"/>
            </w:tcBorders>
          </w:tcPr>
          <w:p>
            <w:pPr>
              <w:pStyle w:val="yTableNAm"/>
            </w:pPr>
            <w:r>
              <w:t>r. 15(1)</w:t>
            </w:r>
          </w:p>
        </w:tc>
        <w:tc>
          <w:tcPr>
            <w:tcW w:w="3720" w:type="dxa"/>
            <w:tcBorders>
              <w:left w:val="single" w:sz="4" w:space="0" w:color="auto"/>
              <w:right w:val="single" w:sz="4" w:space="0" w:color="auto"/>
            </w:tcBorders>
          </w:tcPr>
          <w:p>
            <w:pPr>
              <w:pStyle w:val="yTableNAm"/>
            </w:pPr>
            <w:r>
              <w:t>Failing to give notice of changes in particulars of directors, partners, etc.</w:t>
            </w:r>
          </w:p>
        </w:tc>
        <w:tc>
          <w:tcPr>
            <w:tcW w:w="1320" w:type="dxa"/>
            <w:tcBorders>
              <w:left w:val="single" w:sz="4" w:space="0" w:color="auto"/>
            </w:tcBorders>
          </w:tcPr>
          <w:p>
            <w:pPr>
              <w:pStyle w:val="yTableNAm"/>
            </w:pPr>
            <w:r>
              <w:br/>
              <w:t>200</w:t>
            </w:r>
          </w:p>
        </w:tc>
      </w:tr>
      <w:tr>
        <w:trPr>
          <w:cantSplit/>
        </w:trPr>
        <w:tc>
          <w:tcPr>
            <w:tcW w:w="720" w:type="dxa"/>
            <w:tcBorders>
              <w:bottom w:val="single" w:sz="4" w:space="0" w:color="auto"/>
              <w:right w:val="single" w:sz="4" w:space="0" w:color="auto"/>
            </w:tcBorders>
          </w:tcPr>
          <w:p>
            <w:pPr>
              <w:pStyle w:val="yTableNAm"/>
            </w:pPr>
            <w:r>
              <w:t>18.</w:t>
            </w:r>
          </w:p>
        </w:tc>
        <w:tc>
          <w:tcPr>
            <w:tcW w:w="1320" w:type="dxa"/>
            <w:tcBorders>
              <w:left w:val="single" w:sz="4" w:space="0" w:color="auto"/>
              <w:bottom w:val="single" w:sz="4" w:space="0" w:color="auto"/>
              <w:right w:val="single" w:sz="4" w:space="0" w:color="auto"/>
            </w:tcBorders>
          </w:tcPr>
          <w:p>
            <w:pPr>
              <w:pStyle w:val="yTableNAm"/>
            </w:pPr>
            <w:r>
              <w:t>r. 15(2)</w:t>
            </w:r>
          </w:p>
        </w:tc>
        <w:tc>
          <w:tcPr>
            <w:tcW w:w="3720" w:type="dxa"/>
            <w:tcBorders>
              <w:left w:val="single" w:sz="4" w:space="0" w:color="auto"/>
              <w:bottom w:val="single" w:sz="4" w:space="0" w:color="auto"/>
              <w:right w:val="single" w:sz="4" w:space="0" w:color="auto"/>
            </w:tcBorders>
          </w:tcPr>
          <w:p>
            <w:pPr>
              <w:pStyle w:val="yTableNAm"/>
            </w:pPr>
            <w:r>
              <w:t>Failing to give notice of change of address of principal place of business</w:t>
            </w:r>
          </w:p>
        </w:tc>
        <w:tc>
          <w:tcPr>
            <w:tcW w:w="1320" w:type="dxa"/>
            <w:tcBorders>
              <w:left w:val="single" w:sz="4" w:space="0" w:color="auto"/>
              <w:bottom w:val="single" w:sz="4" w:space="0" w:color="auto"/>
            </w:tcBorders>
          </w:tcPr>
          <w:p>
            <w:pPr>
              <w:pStyle w:val="yTableNAm"/>
            </w:pPr>
            <w:r>
              <w:br/>
              <w:t>200</w:t>
            </w:r>
          </w:p>
        </w:tc>
      </w:tr>
    </w:tbl>
    <w:p>
      <w:pPr>
        <w:pStyle w:val="yFootnotesection"/>
      </w:pPr>
      <w:r>
        <w:tab/>
        <w:t>[Schedule 2 amended in Gazette 5 Jan 2007 p. 10.]</w:t>
      </w:r>
    </w:p>
    <w:p>
      <w:pPr>
        <w:pStyle w:val="yScheduleHeading"/>
      </w:pPr>
      <w:bookmarkStart w:id="30" w:name="_Toc382318437"/>
      <w:r>
        <w:rPr>
          <w:rStyle w:val="CharSchNo"/>
        </w:rPr>
        <w:t>Schedule 3</w:t>
      </w:r>
      <w:r>
        <w:rPr>
          <w:rStyle w:val="CharSDivNo"/>
        </w:rPr>
        <w:t> </w:t>
      </w:r>
      <w:r>
        <w:t>—</w:t>
      </w:r>
      <w:r>
        <w:rPr>
          <w:rStyle w:val="CharSDivText"/>
        </w:rPr>
        <w:t> </w:t>
      </w:r>
      <w:r>
        <w:rPr>
          <w:rStyle w:val="CharSchText"/>
        </w:rPr>
        <w:t>Forms</w:t>
      </w:r>
      <w:bookmarkEnd w:id="30"/>
    </w:p>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prosecution notice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w:t>
      </w:r>
      <w:r>
        <w:rPr>
          <w:vertAlign w:val="superscript"/>
        </w:rPr>
        <w:t> 4</w:t>
      </w:r>
      <w:r>
        <w:t>,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w:t>
      </w:r>
      <w:r>
        <w:rPr>
          <w:vertAlign w:val="superscript"/>
        </w:rPr>
        <w:t> 4</w:t>
      </w:r>
      <w:r>
        <w:t>,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Footnotesection"/>
      </w:pPr>
      <w:r>
        <w:tab/>
        <w:t>[Form 1 amended in Gazette 27 May 2008 p. 2040.]</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9"/>
          <w:headerReference w:type="default" r:id="rId30"/>
          <w:endnotePr>
            <w:numFmt w:val="decimal"/>
          </w:endnotePr>
          <w:pgSz w:w="11906" w:h="16838" w:code="9"/>
          <w:pgMar w:top="2381" w:right="2410" w:bottom="3544" w:left="2410" w:header="720" w:footer="3380" w:gutter="0"/>
          <w:cols w:space="720"/>
          <w:docGrid w:linePitch="326"/>
        </w:sectPr>
      </w:pPr>
    </w:p>
    <w:p>
      <w:pPr>
        <w:pStyle w:val="yScheduleHeading"/>
      </w:pPr>
      <w:bookmarkStart w:id="31" w:name="_Toc382318438"/>
      <w:r>
        <w:rPr>
          <w:rStyle w:val="CharSchNo"/>
        </w:rPr>
        <w:t>Schedule 4</w:t>
      </w:r>
      <w:r>
        <w:rPr>
          <w:rStyle w:val="CharSDivNo"/>
        </w:rPr>
        <w:t> </w:t>
      </w:r>
      <w:r>
        <w:t>—</w:t>
      </w:r>
      <w:r>
        <w:rPr>
          <w:rStyle w:val="CharSDivText"/>
        </w:rPr>
        <w:t> </w:t>
      </w:r>
      <w:r>
        <w:rPr>
          <w:rStyle w:val="CharSchText"/>
        </w:rPr>
        <w:t>Transitional</w:t>
      </w:r>
      <w:bookmarkEnd w:id="31"/>
    </w:p>
    <w:p>
      <w:pPr>
        <w:pStyle w:val="yShoulderClause"/>
      </w:pPr>
      <w:r>
        <w:t>[r. 16]</w:t>
      </w:r>
    </w:p>
    <w:p>
      <w:pPr>
        <w:pStyle w:val="yHeading5"/>
        <w:outlineLvl w:val="9"/>
      </w:pPr>
      <w:bookmarkStart w:id="32" w:name="_Toc382318439"/>
      <w:r>
        <w:rPr>
          <w:rStyle w:val="CharSClsNo"/>
        </w:rPr>
        <w:t>1</w:t>
      </w:r>
      <w:r>
        <w:t>.</w:t>
      </w:r>
      <w:r>
        <w:tab/>
        <w:t>Term used: commencement day</w:t>
      </w:r>
      <w:bookmarkEnd w:id="32"/>
    </w:p>
    <w:p>
      <w:pPr>
        <w:pStyle w:val="ySubsection"/>
      </w:pPr>
      <w:r>
        <w:tab/>
      </w:r>
      <w:r>
        <w:tab/>
        <w:t xml:space="preserve">In this Schedule — </w:t>
      </w:r>
    </w:p>
    <w:p>
      <w:pPr>
        <w:pStyle w:val="yDefstart"/>
      </w:pPr>
      <w:r>
        <w:rPr>
          <w:b/>
        </w:rPr>
        <w:tab/>
      </w:r>
      <w:r>
        <w:rPr>
          <w:rStyle w:val="CharDefText"/>
        </w:rPr>
        <w:t>commencement day</w:t>
      </w:r>
      <w:r>
        <w:t xml:space="preserve"> means the day on which the </w:t>
      </w:r>
      <w:r>
        <w:rPr>
          <w:i/>
          <w:iCs/>
        </w:rPr>
        <w:t>Finance Brokers Control Amendment Act 2004</w:t>
      </w:r>
      <w:r>
        <w:t xml:space="preserve"> comes into operation.</w:t>
      </w:r>
    </w:p>
    <w:p>
      <w:pPr>
        <w:pStyle w:val="yHeading5"/>
      </w:pPr>
      <w:bookmarkStart w:id="33" w:name="_Toc382318440"/>
      <w:r>
        <w:rPr>
          <w:rStyle w:val="CharSClsNo"/>
        </w:rPr>
        <w:t>2</w:t>
      </w:r>
      <w:r>
        <w:t>.</w:t>
      </w:r>
      <w:r>
        <w:tab/>
        <w:t>Licence and business certificate holder at 31 Oct 2005</w:t>
      </w:r>
      <w:bookmarkEnd w:id="33"/>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pPr>
      <w:bookmarkStart w:id="34" w:name="_Toc382318441"/>
      <w:r>
        <w:t>Notes</w:t>
      </w:r>
      <w:bookmarkEnd w:id="34"/>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22 March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Finance Brokers Control (General) Regulations 2005</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35" w:name="_Toc382318442"/>
      <w:r>
        <w:t>Compilation table</w:t>
      </w:r>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Finance Brokers Control (General) Regulations 2005</w:t>
            </w:r>
          </w:p>
        </w:tc>
        <w:tc>
          <w:tcPr>
            <w:tcW w:w="1276" w:type="dxa"/>
            <w:tcBorders>
              <w:top w:val="single" w:sz="8" w:space="0" w:color="auto"/>
            </w:tcBorders>
          </w:tcPr>
          <w:p>
            <w:pPr>
              <w:pStyle w:val="nTable"/>
              <w:spacing w:after="40"/>
              <w:rPr>
                <w:sz w:val="19"/>
              </w:rPr>
            </w:pPr>
            <w:r>
              <w:rPr>
                <w:sz w:val="19"/>
              </w:rPr>
              <w:t>14 Oct 2005 p. 4585</w:t>
            </w:r>
            <w:r>
              <w:rPr>
                <w:sz w:val="19"/>
              </w:rPr>
              <w:noBreakHyphen/>
              <w:t>613</w:t>
            </w:r>
          </w:p>
        </w:tc>
        <w:tc>
          <w:tcPr>
            <w:tcW w:w="2693" w:type="dxa"/>
            <w:tcBorders>
              <w:top w:val="single" w:sz="8" w:space="0" w:color="auto"/>
            </w:tcBorders>
          </w:tcPr>
          <w:p>
            <w:pPr>
              <w:pStyle w:val="nTable"/>
              <w:spacing w:after="40"/>
              <w:rPr>
                <w:i/>
                <w:iCs/>
                <w:sz w:val="19"/>
              </w:rPr>
            </w:pPr>
            <w:r>
              <w:rPr>
                <w:sz w:val="19"/>
              </w:rPr>
              <w:t xml:space="preserve">31 Oct 2005 (see r. 2 and </w:t>
            </w:r>
            <w:r>
              <w:rPr>
                <w:i/>
                <w:iCs/>
                <w:sz w:val="19"/>
              </w:rPr>
              <w:t xml:space="preserve">Gazette </w:t>
            </w:r>
            <w:r>
              <w:rPr>
                <w:sz w:val="19"/>
              </w:rPr>
              <w:t>28 Oct 2005 p. 4839)</w:t>
            </w:r>
          </w:p>
        </w:tc>
      </w:tr>
      <w:tr>
        <w:tc>
          <w:tcPr>
            <w:tcW w:w="3118" w:type="dxa"/>
          </w:tcPr>
          <w:p>
            <w:pPr>
              <w:pStyle w:val="nTable"/>
              <w:spacing w:after="40"/>
              <w:rPr>
                <w:i/>
                <w:noProof/>
                <w:snapToGrid w:val="0"/>
                <w:sz w:val="19"/>
              </w:rPr>
            </w:pPr>
            <w:r>
              <w:rPr>
                <w:i/>
                <w:noProof/>
                <w:snapToGrid w:val="0"/>
                <w:sz w:val="19"/>
              </w:rPr>
              <w:t>Finance Brokers Control (General) Amendment Regulations 2006</w:t>
            </w:r>
          </w:p>
        </w:tc>
        <w:tc>
          <w:tcPr>
            <w:tcW w:w="1276" w:type="dxa"/>
          </w:tcPr>
          <w:p>
            <w:pPr>
              <w:pStyle w:val="nTable"/>
              <w:spacing w:after="40"/>
              <w:rPr>
                <w:sz w:val="19"/>
              </w:rPr>
            </w:pPr>
            <w:r>
              <w:rPr>
                <w:sz w:val="19"/>
              </w:rPr>
              <w:t>10 Feb 2006 p. 659</w:t>
            </w:r>
            <w:r>
              <w:rPr>
                <w:sz w:val="19"/>
              </w:rPr>
              <w:noBreakHyphen/>
              <w:t>60</w:t>
            </w:r>
          </w:p>
        </w:tc>
        <w:tc>
          <w:tcPr>
            <w:tcW w:w="2693" w:type="dxa"/>
          </w:tcPr>
          <w:p>
            <w:pPr>
              <w:pStyle w:val="nTable"/>
              <w:spacing w:after="40"/>
              <w:rPr>
                <w:sz w:val="19"/>
              </w:rPr>
            </w:pPr>
            <w:r>
              <w:rPr>
                <w:sz w:val="19"/>
              </w:rPr>
              <w:t>10 Feb 2006</w:t>
            </w:r>
          </w:p>
        </w:tc>
      </w:tr>
      <w:tr>
        <w:tc>
          <w:tcPr>
            <w:tcW w:w="3118" w:type="dxa"/>
          </w:tcPr>
          <w:p>
            <w:pPr>
              <w:pStyle w:val="nTable"/>
              <w:spacing w:after="40"/>
              <w:rPr>
                <w:i/>
                <w:noProof/>
                <w:snapToGrid w:val="0"/>
                <w:sz w:val="19"/>
              </w:rPr>
            </w:pPr>
            <w:r>
              <w:rPr>
                <w:i/>
                <w:noProof/>
                <w:snapToGrid w:val="0"/>
                <w:sz w:val="19"/>
              </w:rPr>
              <w:t>Finance Brokers Control (General) Amendment Regulations (No. 2) 2006</w:t>
            </w:r>
          </w:p>
        </w:tc>
        <w:tc>
          <w:tcPr>
            <w:tcW w:w="1276" w:type="dxa"/>
          </w:tcPr>
          <w:p>
            <w:pPr>
              <w:pStyle w:val="nTable"/>
              <w:spacing w:after="40"/>
              <w:rPr>
                <w:sz w:val="19"/>
              </w:rPr>
            </w:pPr>
            <w:r>
              <w:rPr>
                <w:sz w:val="19"/>
              </w:rPr>
              <w:t>5 May 2006 p. 1729</w:t>
            </w:r>
          </w:p>
        </w:tc>
        <w:tc>
          <w:tcPr>
            <w:tcW w:w="2693" w:type="dxa"/>
          </w:tcPr>
          <w:p>
            <w:pPr>
              <w:pStyle w:val="nTable"/>
              <w:spacing w:after="40"/>
              <w:rPr>
                <w:sz w:val="19"/>
              </w:rPr>
            </w:pPr>
            <w:r>
              <w:rPr>
                <w:sz w:val="19"/>
              </w:rPr>
              <w:t>5 May 2006</w:t>
            </w:r>
          </w:p>
        </w:tc>
      </w:tr>
      <w:tr>
        <w:tc>
          <w:tcPr>
            <w:tcW w:w="3118" w:type="dxa"/>
          </w:tcPr>
          <w:p>
            <w:pPr>
              <w:pStyle w:val="nTable"/>
              <w:spacing w:after="40"/>
              <w:rPr>
                <w:i/>
                <w:noProof/>
                <w:snapToGrid w:val="0"/>
                <w:sz w:val="19"/>
              </w:rPr>
            </w:pPr>
            <w:r>
              <w:rPr>
                <w:i/>
                <w:noProof/>
                <w:snapToGrid w:val="0"/>
                <w:sz w:val="19"/>
              </w:rPr>
              <w:t>Finance Brokers Control (General) Amendment Regulations (No. 3) 2006</w:t>
            </w:r>
          </w:p>
        </w:tc>
        <w:tc>
          <w:tcPr>
            <w:tcW w:w="1276" w:type="dxa"/>
          </w:tcPr>
          <w:p>
            <w:pPr>
              <w:pStyle w:val="nTable"/>
              <w:spacing w:after="40"/>
              <w:rPr>
                <w:sz w:val="19"/>
              </w:rPr>
            </w:pPr>
            <w:r>
              <w:rPr>
                <w:sz w:val="19"/>
              </w:rPr>
              <w:t>27 Jun 2006 p. 2255</w:t>
            </w:r>
          </w:p>
        </w:tc>
        <w:tc>
          <w:tcPr>
            <w:tcW w:w="2693" w:type="dxa"/>
          </w:tcPr>
          <w:p>
            <w:pPr>
              <w:pStyle w:val="nTable"/>
              <w:spacing w:after="40"/>
              <w:rPr>
                <w:sz w:val="19"/>
              </w:rPr>
            </w:pPr>
            <w:r>
              <w:rPr>
                <w:sz w:val="19"/>
              </w:rPr>
              <w:t>1 Jul 2006 (see r. 2)</w:t>
            </w:r>
          </w:p>
        </w:tc>
      </w:tr>
      <w:tr>
        <w:tc>
          <w:tcPr>
            <w:tcW w:w="3118" w:type="dxa"/>
          </w:tcPr>
          <w:p>
            <w:pPr>
              <w:pStyle w:val="nTable"/>
              <w:spacing w:after="40"/>
              <w:rPr>
                <w:i/>
                <w:noProof/>
                <w:snapToGrid w:val="0"/>
                <w:sz w:val="19"/>
              </w:rPr>
            </w:pPr>
            <w:r>
              <w:rPr>
                <w:i/>
                <w:noProof/>
                <w:snapToGrid w:val="0"/>
                <w:sz w:val="19"/>
              </w:rPr>
              <w:t>Finance Brokers Control (General) Amendment Regulations (No. 5) 2006</w:t>
            </w:r>
          </w:p>
        </w:tc>
        <w:tc>
          <w:tcPr>
            <w:tcW w:w="1276" w:type="dxa"/>
          </w:tcPr>
          <w:p>
            <w:pPr>
              <w:pStyle w:val="nTable"/>
              <w:spacing w:after="40"/>
              <w:rPr>
                <w:sz w:val="19"/>
              </w:rPr>
            </w:pPr>
            <w:r>
              <w:rPr>
                <w:sz w:val="19"/>
              </w:rPr>
              <w:t>5 Jan 2007 p. 7</w:t>
            </w:r>
            <w:r>
              <w:rPr>
                <w:sz w:val="19"/>
              </w:rPr>
              <w:noBreakHyphen/>
              <w:t>10</w:t>
            </w:r>
          </w:p>
        </w:tc>
        <w:tc>
          <w:tcPr>
            <w:tcW w:w="2693" w:type="dxa"/>
          </w:tcPr>
          <w:p>
            <w:pPr>
              <w:pStyle w:val="nTable"/>
              <w:spacing w:after="40"/>
              <w:rPr>
                <w:sz w:val="19"/>
              </w:rPr>
            </w:pPr>
            <w:r>
              <w:rPr>
                <w:sz w:val="19"/>
              </w:rPr>
              <w:t>5 Jan 2007</w:t>
            </w:r>
          </w:p>
        </w:tc>
      </w:tr>
      <w:tr>
        <w:tc>
          <w:tcPr>
            <w:tcW w:w="3118" w:type="dxa"/>
          </w:tcPr>
          <w:p>
            <w:pPr>
              <w:pStyle w:val="nTable"/>
              <w:spacing w:after="40"/>
              <w:rPr>
                <w:i/>
                <w:noProof/>
                <w:snapToGrid w:val="0"/>
                <w:sz w:val="19"/>
              </w:rPr>
            </w:pPr>
            <w:r>
              <w:rPr>
                <w:i/>
                <w:noProof/>
                <w:snapToGrid w:val="0"/>
                <w:sz w:val="19"/>
              </w:rPr>
              <w:t>Finance Brokers Control (General) Amendment Regulations 2007</w:t>
            </w:r>
          </w:p>
        </w:tc>
        <w:tc>
          <w:tcPr>
            <w:tcW w:w="1276" w:type="dxa"/>
          </w:tcPr>
          <w:p>
            <w:pPr>
              <w:pStyle w:val="nTable"/>
              <w:spacing w:after="40"/>
              <w:rPr>
                <w:sz w:val="19"/>
              </w:rPr>
            </w:pPr>
            <w:r>
              <w:rPr>
                <w:sz w:val="19"/>
              </w:rPr>
              <w:t>2 Feb 2007 p. 243</w:t>
            </w:r>
            <w:r>
              <w:rPr>
                <w:sz w:val="19"/>
              </w:rPr>
              <w:noBreakHyphen/>
              <w:t>4</w:t>
            </w:r>
          </w:p>
        </w:tc>
        <w:tc>
          <w:tcPr>
            <w:tcW w:w="2693" w:type="dxa"/>
          </w:tcPr>
          <w:p>
            <w:pPr>
              <w:pStyle w:val="nTable"/>
              <w:spacing w:after="40"/>
              <w:rPr>
                <w:sz w:val="19"/>
              </w:rPr>
            </w:pPr>
            <w:r>
              <w:rPr>
                <w:sz w:val="19"/>
              </w:rPr>
              <w:t>2 Feb 2007</w:t>
            </w:r>
          </w:p>
        </w:tc>
      </w:tr>
      <w:tr>
        <w:tc>
          <w:tcPr>
            <w:tcW w:w="3118" w:type="dxa"/>
          </w:tcPr>
          <w:p>
            <w:pPr>
              <w:pStyle w:val="nTable"/>
              <w:spacing w:after="40"/>
              <w:rPr>
                <w:i/>
                <w:noProof/>
                <w:snapToGrid w:val="0"/>
                <w:sz w:val="19"/>
              </w:rPr>
            </w:pPr>
            <w:r>
              <w:rPr>
                <w:i/>
                <w:noProof/>
                <w:snapToGrid w:val="0"/>
                <w:sz w:val="19"/>
              </w:rPr>
              <w:t>Finance Brokers Control (General) Amendment Regulations (No. 3) 2007</w:t>
            </w:r>
          </w:p>
        </w:tc>
        <w:tc>
          <w:tcPr>
            <w:tcW w:w="1276" w:type="dxa"/>
          </w:tcPr>
          <w:p>
            <w:pPr>
              <w:pStyle w:val="nTable"/>
              <w:spacing w:after="40"/>
              <w:rPr>
                <w:sz w:val="19"/>
              </w:rPr>
            </w:pPr>
            <w:r>
              <w:rPr>
                <w:sz w:val="19"/>
              </w:rPr>
              <w:t>20 Apr 2007 p. 1737</w:t>
            </w:r>
            <w:r>
              <w:rPr>
                <w:sz w:val="19"/>
              </w:rPr>
              <w:noBreakHyphen/>
              <w:t>8</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4) 2007</w:t>
            </w:r>
          </w:p>
        </w:tc>
        <w:tc>
          <w:tcPr>
            <w:tcW w:w="1276" w:type="dxa"/>
          </w:tcPr>
          <w:p>
            <w:pPr>
              <w:pStyle w:val="nTable"/>
              <w:spacing w:after="40"/>
              <w:rPr>
                <w:sz w:val="19"/>
              </w:rPr>
            </w:pPr>
            <w:r>
              <w:rPr>
                <w:sz w:val="19"/>
              </w:rPr>
              <w:t>20 Apr 2007 p. 1738</w:t>
            </w:r>
            <w:r>
              <w:rPr>
                <w:sz w:val="19"/>
              </w:rPr>
              <w:noBreakHyphen/>
              <w:t>9</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5) 2007</w:t>
            </w:r>
          </w:p>
        </w:tc>
        <w:tc>
          <w:tcPr>
            <w:tcW w:w="1276" w:type="dxa"/>
          </w:tcPr>
          <w:p>
            <w:pPr>
              <w:pStyle w:val="nTable"/>
              <w:spacing w:after="40"/>
              <w:rPr>
                <w:sz w:val="19"/>
              </w:rPr>
            </w:pPr>
            <w:r>
              <w:rPr>
                <w:sz w:val="19"/>
              </w:rPr>
              <w:t>15 Jun 2007 p. 2774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noProof/>
                <w:snapToGrid w:val="0"/>
                <w:sz w:val="19"/>
              </w:rPr>
            </w:pPr>
            <w:r>
              <w:rPr>
                <w:i/>
                <w:noProof/>
                <w:snapToGrid w:val="0"/>
                <w:sz w:val="19"/>
              </w:rPr>
              <w:t>Finance Brokers Control (General) Amendment Regulations (No. 2) 2007</w:t>
            </w:r>
          </w:p>
        </w:tc>
        <w:tc>
          <w:tcPr>
            <w:tcW w:w="1276" w:type="dxa"/>
          </w:tcPr>
          <w:p>
            <w:pPr>
              <w:pStyle w:val="nTable"/>
              <w:spacing w:after="40"/>
              <w:rPr>
                <w:sz w:val="19"/>
              </w:rPr>
            </w:pPr>
            <w:r>
              <w:rPr>
                <w:sz w:val="19"/>
              </w:rPr>
              <w:t>29 Jun 2007 p. 3181</w:t>
            </w:r>
          </w:p>
        </w:tc>
        <w:tc>
          <w:tcPr>
            <w:tcW w:w="2693" w:type="dxa"/>
          </w:tcPr>
          <w:p>
            <w:pPr>
              <w:pStyle w:val="nTable"/>
              <w:spacing w:after="40"/>
              <w:rPr>
                <w:sz w:val="19"/>
              </w:rPr>
            </w:pPr>
            <w:r>
              <w:rPr>
                <w:sz w:val="19"/>
              </w:rPr>
              <w:t>29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Finance Brokers Control (General) Regulations 2005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Finance Brokers Control (General) Amendment Regulations (No. 6) 2007</w:t>
            </w:r>
          </w:p>
        </w:tc>
        <w:tc>
          <w:tcPr>
            <w:tcW w:w="1276" w:type="dxa"/>
          </w:tcPr>
          <w:p>
            <w:pPr>
              <w:pStyle w:val="nTable"/>
              <w:spacing w:after="40"/>
              <w:rPr>
                <w:sz w:val="19"/>
              </w:rPr>
            </w:pPr>
            <w:r>
              <w:rPr>
                <w:sz w:val="19"/>
              </w:rPr>
              <w:t>30 Nov 2007 p. 5930</w:t>
            </w:r>
          </w:p>
        </w:tc>
        <w:tc>
          <w:tcPr>
            <w:tcW w:w="2693" w:type="dxa"/>
          </w:tcPr>
          <w:p>
            <w:pPr>
              <w:pStyle w:val="nTable"/>
              <w:spacing w:after="40"/>
              <w:rPr>
                <w:sz w:val="19"/>
              </w:rPr>
            </w:pPr>
            <w:r>
              <w:rPr>
                <w:sz w:val="19"/>
              </w:rPr>
              <w:t>r. 1 and 2: 30 Nov 2007 (see r. 2(a));</w:t>
            </w:r>
            <w:r>
              <w:rPr>
                <w:sz w:val="19"/>
              </w:rPr>
              <w:br/>
              <w:t>Regulations other than r. 1 and 2: 1 Dec 2007 (see r. 2(b))</w:t>
            </w:r>
          </w:p>
        </w:tc>
      </w:tr>
      <w:tr>
        <w:tc>
          <w:tcPr>
            <w:tcW w:w="3118" w:type="dxa"/>
          </w:tcPr>
          <w:p>
            <w:pPr>
              <w:pStyle w:val="nTable"/>
              <w:spacing w:after="40"/>
              <w:rPr>
                <w:i/>
                <w:noProof/>
                <w:snapToGrid w:val="0"/>
                <w:sz w:val="19"/>
              </w:rPr>
            </w:pPr>
            <w:r>
              <w:rPr>
                <w:i/>
                <w:noProof/>
                <w:snapToGrid w:val="0"/>
                <w:sz w:val="19"/>
              </w:rPr>
              <w:t>Finance Brokers Control (General) Amendment Regulations 2008</w:t>
            </w:r>
          </w:p>
        </w:tc>
        <w:tc>
          <w:tcPr>
            <w:tcW w:w="1276" w:type="dxa"/>
          </w:tcPr>
          <w:p>
            <w:pPr>
              <w:pStyle w:val="nTable"/>
              <w:spacing w:after="40"/>
              <w:rPr>
                <w:sz w:val="19"/>
              </w:rPr>
            </w:pPr>
            <w:r>
              <w:rPr>
                <w:sz w:val="19"/>
              </w:rPr>
              <w:t>27 May 2008 p. 2038</w:t>
            </w:r>
            <w:r>
              <w:rPr>
                <w:sz w:val="19"/>
              </w:rPr>
              <w:noBreakHyphen/>
              <w:t>40</w:t>
            </w:r>
          </w:p>
        </w:tc>
        <w:tc>
          <w:tcPr>
            <w:tcW w:w="2693" w:type="dxa"/>
          </w:tcPr>
          <w:p>
            <w:pPr>
              <w:pStyle w:val="nTable"/>
              <w:spacing w:after="40"/>
              <w:rPr>
                <w:sz w:val="19"/>
              </w:rPr>
            </w:pPr>
            <w:r>
              <w:rPr>
                <w:sz w:val="19"/>
              </w:rPr>
              <w:t>r. 1 and 2: 27 May 2008 (see r. 2(a));</w:t>
            </w:r>
            <w:r>
              <w:rPr>
                <w:sz w:val="19"/>
              </w:rPr>
              <w:br/>
              <w:t>Regulations other than r. 1 and 2: 28 May 2008 (see r. 2(b))</w:t>
            </w:r>
          </w:p>
        </w:tc>
      </w:tr>
      <w:tr>
        <w:tc>
          <w:tcPr>
            <w:tcW w:w="3118" w:type="dxa"/>
          </w:tcPr>
          <w:p>
            <w:pPr>
              <w:pStyle w:val="nTable"/>
              <w:keepNext/>
              <w:keepLines/>
              <w:spacing w:after="40"/>
              <w:rPr>
                <w:i/>
                <w:noProof/>
                <w:snapToGrid w:val="0"/>
                <w:sz w:val="19"/>
              </w:rPr>
            </w:pPr>
            <w:r>
              <w:rPr>
                <w:i/>
                <w:noProof/>
                <w:snapToGrid w:val="0"/>
                <w:sz w:val="19"/>
              </w:rPr>
              <w:t>Finance Brokers Control (General) Amendment Regulations (No. 2) 2008</w:t>
            </w:r>
          </w:p>
        </w:tc>
        <w:tc>
          <w:tcPr>
            <w:tcW w:w="1276" w:type="dxa"/>
          </w:tcPr>
          <w:p>
            <w:pPr>
              <w:pStyle w:val="nTable"/>
              <w:keepNext/>
              <w:keepLines/>
              <w:spacing w:after="40"/>
              <w:rPr>
                <w:sz w:val="19"/>
              </w:rPr>
            </w:pPr>
            <w:r>
              <w:rPr>
                <w:sz w:val="19"/>
              </w:rPr>
              <w:t>17 Jun 2008 p. 2551</w:t>
            </w:r>
            <w:r>
              <w:rPr>
                <w:sz w:val="19"/>
              </w:rPr>
              <w:noBreakHyphen/>
              <w:t>2</w:t>
            </w:r>
          </w:p>
        </w:tc>
        <w:tc>
          <w:tcPr>
            <w:tcW w:w="2693" w:type="dxa"/>
          </w:tcPr>
          <w:p>
            <w:pPr>
              <w:pStyle w:val="nTable"/>
              <w:keepNext/>
              <w:keepLines/>
              <w:spacing w:after="40"/>
              <w:rPr>
                <w:sz w:val="19"/>
              </w:rPr>
            </w:pPr>
            <w:r>
              <w:rPr>
                <w:sz w:val="19"/>
              </w:rPr>
              <w:t>r. 1 and 2: 17 Jun 2008 (see r. 2(a));</w:t>
            </w:r>
            <w:r>
              <w:rPr>
                <w:sz w:val="19"/>
              </w:rPr>
              <w:br/>
              <w:t>Regulations other than r. 1 and 2: 1 Jul 2008 (see r. 2(b))</w:t>
            </w:r>
          </w:p>
        </w:tc>
      </w:tr>
      <w:tr>
        <w:tc>
          <w:tcPr>
            <w:tcW w:w="3118" w:type="dxa"/>
          </w:tcPr>
          <w:p>
            <w:pPr>
              <w:pStyle w:val="nTable"/>
              <w:keepNext/>
              <w:keepLines/>
              <w:spacing w:after="40"/>
              <w:rPr>
                <w:i/>
                <w:noProof/>
                <w:snapToGrid w:val="0"/>
                <w:sz w:val="19"/>
              </w:rPr>
            </w:pPr>
            <w:r>
              <w:rPr>
                <w:i/>
                <w:noProof/>
                <w:snapToGrid w:val="0"/>
                <w:sz w:val="19"/>
              </w:rPr>
              <w:t>Finance Brokers Control (General) Amendment Regulations 2010</w:t>
            </w:r>
          </w:p>
        </w:tc>
        <w:tc>
          <w:tcPr>
            <w:tcW w:w="1276" w:type="dxa"/>
          </w:tcPr>
          <w:p>
            <w:pPr>
              <w:pStyle w:val="nTable"/>
              <w:keepNext/>
              <w:keepLines/>
              <w:spacing w:after="40"/>
              <w:rPr>
                <w:sz w:val="19"/>
              </w:rPr>
            </w:pPr>
            <w:r>
              <w:rPr>
                <w:sz w:val="19"/>
              </w:rPr>
              <w:t>30 Jun 2010 p. 3181-4</w:t>
            </w:r>
          </w:p>
        </w:tc>
        <w:tc>
          <w:tcPr>
            <w:tcW w:w="2693" w:type="dxa"/>
          </w:tcPr>
          <w:p>
            <w:pPr>
              <w:pStyle w:val="nTable"/>
              <w:keepNext/>
              <w:keepLines/>
              <w:spacing w:after="40"/>
              <w:rPr>
                <w:iCs/>
                <w:sz w:val="19"/>
              </w:rPr>
            </w:pPr>
            <w:r>
              <w:rPr>
                <w:sz w:val="19"/>
              </w:rPr>
              <w:t xml:space="preserve">1 Jul 2010 (see r. 2(a)(ii) and (b)(ii) and </w:t>
            </w:r>
            <w:r>
              <w:rPr>
                <w:i/>
                <w:sz w:val="19"/>
              </w:rPr>
              <w:t>Gazette</w:t>
            </w:r>
            <w:r>
              <w:rPr>
                <w:iCs/>
                <w:sz w:val="19"/>
              </w:rPr>
              <w:t xml:space="preserve"> 30 Jun 2010 p. 3187)</w:t>
            </w:r>
          </w:p>
        </w:tc>
      </w:tr>
      <w:tr>
        <w:trPr>
          <w:cantSplit/>
        </w:trPr>
        <w:tc>
          <w:tcPr>
            <w:tcW w:w="7087" w:type="dxa"/>
            <w:gridSpan w:val="3"/>
            <w:tcBorders>
              <w:bottom w:val="single" w:sz="8" w:space="0" w:color="auto"/>
            </w:tcBorders>
          </w:tcPr>
          <w:p>
            <w:pPr>
              <w:pStyle w:val="nTable"/>
              <w:keepNext/>
              <w:keepLines/>
              <w:spacing w:after="40"/>
              <w:rPr>
                <w:sz w:val="19"/>
              </w:rPr>
            </w:pPr>
            <w:r>
              <w:rPr>
                <w:b/>
                <w:bCs/>
                <w:sz w:val="19"/>
              </w:rPr>
              <w:t xml:space="preserve">Reprint 2:  The </w:t>
            </w:r>
            <w:r>
              <w:rPr>
                <w:b/>
                <w:bCs/>
                <w:i/>
                <w:noProof/>
                <w:snapToGrid w:val="0"/>
                <w:sz w:val="19"/>
              </w:rPr>
              <w:t xml:space="preserve">Finance Brokers Control (General) Regulations 2005 </w:t>
            </w:r>
            <w:r>
              <w:rPr>
                <w:b/>
                <w:bCs/>
                <w:sz w:val="19"/>
              </w:rPr>
              <w:t>as at 22 Mar 2013</w:t>
            </w:r>
            <w:r>
              <w:rPr>
                <w:sz w:val="19"/>
              </w:rPr>
              <w:t xml:space="preserve"> (includes amendments listed above)</w:t>
            </w:r>
          </w:p>
        </w:tc>
      </w:tr>
    </w:tbl>
    <w:p>
      <w:pPr>
        <w:pStyle w:val="nSubsection"/>
      </w:pPr>
      <w:r>
        <w:rPr>
          <w:vertAlign w:val="superscript"/>
        </w:rPr>
        <w:t>2</w:t>
      </w:r>
      <w:r>
        <w:tab/>
        <w:t xml:space="preserve">The </w:t>
      </w:r>
      <w:r>
        <w:rPr>
          <w:i/>
        </w:rPr>
        <w:t>Finance Brokers Control Act 1975</w:t>
      </w:r>
      <w:r>
        <w:t xml:space="preserve"> s. 84 was deleted by the </w:t>
      </w:r>
      <w:r>
        <w:rPr>
          <w:i/>
        </w:rPr>
        <w:t>Credit (Commonwealth Powers) (Transitional and Consequential Provisions) Act 2010</w:t>
      </w:r>
      <w:r>
        <w:t xml:space="preserve"> s. 74.</w:t>
      </w:r>
    </w:p>
    <w:p>
      <w:pPr>
        <w:pStyle w:val="nSubsection"/>
      </w:pPr>
      <w:r>
        <w:rPr>
          <w:vertAlign w:val="superscript"/>
        </w:rPr>
        <w:t>3</w:t>
      </w:r>
      <w:r>
        <w:tab/>
        <w:t xml:space="preserve">The </w:t>
      </w:r>
      <w:r>
        <w:rPr>
          <w:i/>
        </w:rPr>
        <w:t>Finance Brokers Control Act 1975</w:t>
      </w:r>
      <w:r>
        <w:t xml:space="preserve"> s. 36-38 were deleted by the </w:t>
      </w:r>
      <w:r>
        <w:rPr>
          <w:i/>
          <w:iCs/>
          <w:snapToGrid w:val="0"/>
        </w:rPr>
        <w:t>Finance Brokers Control Amendment Act 2004</w:t>
      </w:r>
      <w:r>
        <w:t xml:space="preserve"> s. 20.</w:t>
      </w:r>
    </w:p>
    <w:p>
      <w:pPr>
        <w:pStyle w:val="nSubsection"/>
      </w:pPr>
      <w:r>
        <w:rPr>
          <w:vertAlign w:val="superscript"/>
        </w:rPr>
        <w:t>4</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36" w:name="_Toc382318443"/>
      <w:r>
        <w:rPr>
          <w:sz w:val="28"/>
        </w:rPr>
        <w:t>Defined terms</w:t>
      </w:r>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 w:name="DefinedTerms"/>
      <w:bookmarkEnd w:id="37"/>
      <w:r>
        <w:t>commencement day</w:t>
      </w:r>
      <w:r>
        <w:tab/>
        <w:t>Sch. 4 cl. 1</w:t>
      </w:r>
    </w:p>
    <w:p>
      <w:pPr>
        <w:pStyle w:val="DefinedTerms"/>
      </w:pPr>
      <w:r>
        <w:t xml:space="preserve">expired licence </w:t>
      </w:r>
      <w:r>
        <w:tab/>
        <w:t>21A(1)</w:t>
      </w:r>
    </w:p>
    <w:p>
      <w:pPr>
        <w:pStyle w:val="DefinedTerms"/>
      </w:pPr>
      <w:r>
        <w:t>financial services licensee</w:t>
      </w:r>
      <w:r>
        <w:tab/>
        <w:t>3</w:t>
      </w:r>
    </w:p>
    <w:p>
      <w:pPr>
        <w:pStyle w:val="DefinedTerms"/>
      </w:pPr>
      <w:r>
        <w:t>last licence fee</w:t>
      </w:r>
      <w:r>
        <w:tab/>
        <w:t>21A(1)</w:t>
      </w:r>
    </w:p>
    <w:p>
      <w:pPr>
        <w:pStyle w:val="DefinedTerms"/>
      </w:pPr>
      <w:r>
        <w:t>provided by an approved training provider</w:t>
      </w:r>
      <w:r>
        <w:tab/>
        <w:t>3</w:t>
      </w:r>
    </w:p>
    <w:p>
      <w:pPr>
        <w:pStyle w:val="DefinedTerms"/>
      </w:pPr>
      <w:r>
        <w:t>refund period</w:t>
      </w:r>
      <w:r>
        <w:tab/>
        <w:t>21A(1)</w:t>
      </w:r>
    </w:p>
    <w:p>
      <w:pPr>
        <w:pStyle w:val="DefinedTerms"/>
      </w:pPr>
      <w:r>
        <w:t>relevant professional indemnity insurance</w:t>
      </w:r>
      <w:r>
        <w:tab/>
        <w:t>3</w:t>
      </w:r>
    </w:p>
    <w:p>
      <w:pPr>
        <w:pStyle w:val="DefinedTerms"/>
      </w:pPr>
      <w:r>
        <w:t>relevant supplementary Western Australian material</w:t>
      </w:r>
      <w:r>
        <w:tab/>
        <w:t>3</w:t>
      </w:r>
    </w:p>
    <w:p>
      <w:pPr>
        <w:pStyle w:val="DefinedTerms"/>
      </w:pPr>
    </w:p>
    <w:p/>
    <w:p/>
    <w:p/>
    <w:p/>
    <w:p/>
    <w:p/>
    <w:p/>
    <w:p/>
    <w:p/>
    <w:p/>
    <w:p/>
    <w:p/>
    <w:p/>
    <w:p/>
    <w:p/>
    <w:p/>
    <w:p/>
    <w:p/>
    <w:p/>
    <w:p/>
    <w:p/>
    <w:p/>
    <w:p/>
    <w:p/>
    <w:p/>
    <w:p>
      <w:pPr>
        <w:sectPr>
          <w:headerReference w:type="even" r:id="rId38"/>
          <w:headerReference w:type="default" r:id="rId39"/>
          <w:footerReference w:type="even" r:id="rId40"/>
          <w:footerReference w:type="default" r:id="rId41"/>
          <w:headerReference w:type="first" r:id="rId42"/>
          <w:footerReference w:type="first" r:id="rId43"/>
          <w:endnotePr>
            <w:numFmt w:val="decimal"/>
          </w:endnotePr>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4"/>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PageLeft"/>
      <w:pBdr>
        <w:top w:val="none" w:sz="0" w:space="0" w:color="auto"/>
      </w:pBdr>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7687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1EB8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3E43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CE45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DCB1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54A0B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D3E65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B52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0A6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0A83B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47AB6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9CF8660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095935"/>
    <w:docVar w:name="WAFER_20140311162102" w:val="RemoveTocBookmarks,RemoveUnusedBookmarks,RemoveLanguageTags,UsedStyles,ResetPageSize"/>
    <w:docVar w:name="WAFER_20140311162102_GUID" w:val="791d2953-b944-492f-98c6-5d06b9654c32"/>
    <w:docVar w:name="WAFER_20151203095935" w:val="RemoveTrackChanges"/>
    <w:docVar w:name="WAFER_20151203095935_GUID" w:val="9130c62e-5941-4198-ab1c-3be5aba32f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10.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image" Target="media/image4.png"/><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7447</Words>
  <Characters>38281</Characters>
  <Application>Microsoft Office Word</Application>
  <DocSecurity>0</DocSecurity>
  <Lines>1196</Lines>
  <Paragraphs>692</Paragraphs>
  <ScaleCrop>false</ScaleCrop>
  <HeadingPairs>
    <vt:vector size="2" baseType="variant">
      <vt:variant>
        <vt:lpstr>Title</vt:lpstr>
      </vt:variant>
      <vt:variant>
        <vt:i4>1</vt:i4>
      </vt:variant>
    </vt:vector>
  </HeadingPairs>
  <TitlesOfParts>
    <vt:vector size="1" baseType="lpstr">
      <vt:lpstr>Finance Brokers Control (General) Regulations 2005</vt:lpstr>
    </vt:vector>
  </TitlesOfParts>
  <Manager/>
  <Company/>
  <LinksUpToDate>false</LinksUpToDate>
  <CharactersWithSpaces>45036</CharactersWithSpaces>
  <SharedDoc>false</SharedDoc>
  <HLinks>
    <vt:vector size="18" baseType="variant">
      <vt:variant>
        <vt:i4>3014716</vt:i4>
      </vt:variant>
      <vt:variant>
        <vt:i4>8083</vt:i4>
      </vt:variant>
      <vt:variant>
        <vt:i4>1025</vt:i4>
      </vt:variant>
      <vt:variant>
        <vt:i4>1</vt:i4>
      </vt:variant>
      <vt:variant>
        <vt:lpwstr>C:\Program Files\PCO DLL\Support\Crest.wpg</vt:lpwstr>
      </vt:variant>
      <vt:variant>
        <vt:lpwstr/>
      </vt:variant>
      <vt:variant>
        <vt:i4>5439608</vt:i4>
      </vt:variant>
      <vt:variant>
        <vt:i4>44119</vt:i4>
      </vt:variant>
      <vt:variant>
        <vt:i4>1026</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2005 - 02-00-02</dc:title>
  <dc:subject/>
  <dc:creator/>
  <cp:keywords/>
  <dc:description/>
  <cp:lastModifiedBy>svcMRProcess</cp:lastModifiedBy>
  <cp:revision>4</cp:revision>
  <cp:lastPrinted>2013-03-26T02:32:00Z</cp:lastPrinted>
  <dcterms:created xsi:type="dcterms:W3CDTF">2020-03-08T17:07:00Z</dcterms:created>
  <dcterms:modified xsi:type="dcterms:W3CDTF">2020-03-08T17:07:00Z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20130322</vt:lpwstr>
  </property>
  <property fmtid="{D5CDD505-2E9C-101B-9397-08002B2CF9AE}" pid="4" name="DocumentType">
    <vt:lpwstr>Reg</vt:lpwstr>
  </property>
  <property fmtid="{D5CDD505-2E9C-101B-9397-08002B2CF9AE}" pid="5" name="OwlsUID">
    <vt:i4>37385</vt:i4>
  </property>
  <property fmtid="{D5CDD505-2E9C-101B-9397-08002B2CF9AE}" pid="6" name="ReprintNo">
    <vt:lpwstr>2</vt:lpwstr>
  </property>
  <property fmtid="{D5CDD505-2E9C-101B-9397-08002B2CF9AE}" pid="7" name="AsAtDate">
    <vt:lpwstr>22 Mar 2013</vt:lpwstr>
  </property>
  <property fmtid="{D5CDD505-2E9C-101B-9397-08002B2CF9AE}" pid="8" name="Suffix">
    <vt:lpwstr>02-00-02</vt:lpwstr>
  </property>
  <property fmtid="{D5CDD505-2E9C-101B-9397-08002B2CF9AE}" pid="9" name="ReprintedAsAt">
    <vt:filetime>2013-03-21T16:00:00Z</vt:filetime>
  </property>
</Properties>
</file>