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3.xml" ContentType="application/vnd.openxmlformats-officedocument.wordprocessingml.header+xml"/>
  <Override PartName="/word/footer12.xml" ContentType="application/vnd.openxmlformats-officedocument.wordprocessingml.foot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PrincipalActReg"/>
        <w:spacing w:before="2600" w:after="0"/>
      </w:pPr>
      <w:r>
        <w:t>Building Act 2011</w:t>
      </w:r>
    </w:p>
    <w:p>
      <w:pPr>
        <w:pStyle w:val="NameofActRegPage1"/>
        <w:spacing w:before="1800" w:after="4200"/>
        <w:ind w:left="570" w:right="598"/>
      </w:pPr>
      <w:r>
        <w:fldChar w:fldCharType="begin"/>
      </w:r>
      <w:r>
        <w:instrText xml:space="preserve"> STYLEREF "Name Of Act/Reg"</w:instrText>
      </w:r>
      <w:r>
        <w:fldChar w:fldCharType="separate"/>
      </w:r>
      <w:r>
        <w:rPr>
          <w:noProof/>
        </w:rPr>
        <w:t>Building Regulations 2012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06" w:footer="3380" w:gutter="0"/>
          <w:pgNumType w:fmt="lowerRoman" w:start="1"/>
          <w:cols w:space="720"/>
          <w:noEndnote/>
          <w:titlePg/>
          <w:docGrid w:linePitch="326"/>
        </w:sectPr>
      </w:pPr>
    </w:p>
    <w:p>
      <w:pPr>
        <w:pStyle w:val="WA"/>
        <w:spacing w:after="48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Building Regulations 2012</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tab/>
        <w:t>Citation</w:t>
      </w:r>
      <w:r>
        <w:tab/>
      </w:r>
      <w:r>
        <w:fldChar w:fldCharType="begin"/>
      </w:r>
      <w:r>
        <w:instrText xml:space="preserve"> PAGEREF _Toc352667601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pacing w:val="-2"/>
        </w:rPr>
        <w:t>.</w:t>
      </w:r>
      <w:r>
        <w:rPr>
          <w:spacing w:val="-2"/>
        </w:rPr>
        <w:tab/>
        <w:t>Commencement</w:t>
      </w:r>
      <w:r>
        <w:tab/>
      </w:r>
      <w:r>
        <w:fldChar w:fldCharType="begin"/>
      </w:r>
      <w:r>
        <w:instrText xml:space="preserve"> PAGEREF _Toc352667602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tab/>
        <w:t>Terms used</w:t>
      </w:r>
      <w:r>
        <w:tab/>
      </w:r>
      <w:r>
        <w:fldChar w:fldCharType="begin"/>
      </w:r>
      <w:r>
        <w:instrText xml:space="preserve"> PAGEREF _Toc352667603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General matters</w:t>
      </w:r>
    </w:p>
    <w:p>
      <w:pPr>
        <w:pStyle w:val="TOC8"/>
        <w:rPr>
          <w:rFonts w:asciiTheme="minorHAnsi" w:eastAsiaTheme="minorEastAsia" w:hAnsiTheme="minorHAnsi" w:cstheme="minorBidi"/>
          <w:szCs w:val="22"/>
          <w:lang w:eastAsia="en-AU"/>
        </w:rPr>
      </w:pPr>
      <w:r>
        <w:t>4.</w:t>
      </w:r>
      <w:r>
        <w:tab/>
        <w:t>Approval of manner or form of things (s. 3)</w:t>
      </w:r>
      <w:r>
        <w:tab/>
      </w:r>
      <w:r>
        <w:fldChar w:fldCharType="begin"/>
      </w:r>
      <w:r>
        <w:instrText xml:space="preserve"> PAGEREF _Toc352667605 \h </w:instrText>
      </w:r>
      <w:r>
        <w:fldChar w:fldCharType="separate"/>
      </w:r>
      <w:r>
        <w:t>3</w:t>
      </w:r>
      <w:r>
        <w:fldChar w:fldCharType="end"/>
      </w:r>
    </w:p>
    <w:p>
      <w:pPr>
        <w:pStyle w:val="TOC8"/>
        <w:rPr>
          <w:rFonts w:asciiTheme="minorHAnsi" w:eastAsiaTheme="minorEastAsia" w:hAnsiTheme="minorHAnsi" w:cstheme="minorBidi"/>
          <w:szCs w:val="22"/>
          <w:lang w:eastAsia="en-AU"/>
        </w:rPr>
      </w:pPr>
      <w:r>
        <w:t>5A.</w:t>
      </w:r>
      <w:r>
        <w:tab/>
        <w:t>Authorised persons (s. 3)</w:t>
      </w:r>
      <w:r>
        <w:tab/>
      </w:r>
      <w:r>
        <w:fldChar w:fldCharType="begin"/>
      </w:r>
      <w:r>
        <w:instrText xml:space="preserve"> PAGEREF _Toc352667606 \h </w:instrText>
      </w:r>
      <w:r>
        <w:fldChar w:fldCharType="separate"/>
      </w:r>
      <w:r>
        <w:t>4</w:t>
      </w:r>
      <w:r>
        <w:fldChar w:fldCharType="end"/>
      </w:r>
    </w:p>
    <w:p>
      <w:pPr>
        <w:pStyle w:val="TOC8"/>
        <w:rPr>
          <w:rFonts w:asciiTheme="minorHAnsi" w:eastAsiaTheme="minorEastAsia" w:hAnsiTheme="minorHAnsi" w:cstheme="minorBidi"/>
          <w:szCs w:val="22"/>
          <w:lang w:eastAsia="en-AU"/>
        </w:rPr>
      </w:pPr>
      <w:r>
        <w:t>5.</w:t>
      </w:r>
      <w:r>
        <w:tab/>
        <w:t>Building surveyors (s. 3)</w:t>
      </w:r>
      <w:r>
        <w:tab/>
      </w:r>
      <w:r>
        <w:fldChar w:fldCharType="begin"/>
      </w:r>
      <w:r>
        <w:instrText xml:space="preserve"> PAGEREF _Toc352667607 \h </w:instrText>
      </w:r>
      <w:r>
        <w:fldChar w:fldCharType="separate"/>
      </w:r>
      <w:r>
        <w:t>4</w:t>
      </w:r>
      <w:r>
        <w:fldChar w:fldCharType="end"/>
      </w:r>
    </w:p>
    <w:p>
      <w:pPr>
        <w:pStyle w:val="TOC8"/>
        <w:rPr>
          <w:rFonts w:asciiTheme="minorHAnsi" w:eastAsiaTheme="minorEastAsia" w:hAnsiTheme="minorHAnsi" w:cstheme="minorBidi"/>
          <w:szCs w:val="22"/>
          <w:lang w:eastAsia="en-AU"/>
        </w:rPr>
      </w:pPr>
      <w:r>
        <w:t>6.</w:t>
      </w:r>
      <w:r>
        <w:tab/>
        <w:t>Classification of buildings and incidental structures (s. 3)</w:t>
      </w:r>
      <w:r>
        <w:tab/>
      </w:r>
      <w:r>
        <w:fldChar w:fldCharType="begin"/>
      </w:r>
      <w:r>
        <w:instrText xml:space="preserve"> PAGEREF _Toc352667608 \h </w:instrText>
      </w:r>
      <w:r>
        <w:fldChar w:fldCharType="separate"/>
      </w:r>
      <w:r>
        <w:t>5</w:t>
      </w:r>
      <w:r>
        <w:fldChar w:fldCharType="end"/>
      </w:r>
    </w:p>
    <w:p>
      <w:pPr>
        <w:pStyle w:val="TOC8"/>
        <w:rPr>
          <w:rFonts w:asciiTheme="minorHAnsi" w:eastAsiaTheme="minorEastAsia" w:hAnsiTheme="minorHAnsi" w:cstheme="minorBidi"/>
          <w:szCs w:val="22"/>
          <w:lang w:eastAsia="en-AU"/>
        </w:rPr>
      </w:pPr>
      <w:r>
        <w:t>10.</w:t>
      </w:r>
      <w:r>
        <w:tab/>
        <w:t>Owners of land (s. 5(1))</w:t>
      </w:r>
      <w:r>
        <w:tab/>
      </w:r>
      <w:r>
        <w:fldChar w:fldCharType="begin"/>
      </w:r>
      <w:r>
        <w:instrText xml:space="preserve"> PAGEREF _Toc352667609 \h </w:instrText>
      </w:r>
      <w:r>
        <w:fldChar w:fldCharType="separate"/>
      </w:r>
      <w:r>
        <w:t>5</w:t>
      </w:r>
      <w:r>
        <w:fldChar w:fldCharType="end"/>
      </w:r>
    </w:p>
    <w:p>
      <w:pPr>
        <w:pStyle w:val="TOC8"/>
        <w:rPr>
          <w:rFonts w:asciiTheme="minorHAnsi" w:eastAsiaTheme="minorEastAsia" w:hAnsiTheme="minorHAnsi" w:cstheme="minorBidi"/>
          <w:szCs w:val="22"/>
          <w:lang w:eastAsia="en-AU"/>
        </w:rPr>
      </w:pPr>
      <w:r>
        <w:t>11A.</w:t>
      </w:r>
      <w:r>
        <w:tab/>
        <w:t>Restriction on circumstances where person treated as owner (s. 5(2))</w:t>
      </w:r>
      <w:r>
        <w:tab/>
      </w:r>
      <w:r>
        <w:fldChar w:fldCharType="begin"/>
      </w:r>
      <w:r>
        <w:instrText xml:space="preserve"> PAGEREF _Toc352667610 \h </w:instrText>
      </w:r>
      <w:r>
        <w:fldChar w:fldCharType="separate"/>
      </w:r>
      <w:r>
        <w:t>7</w:t>
      </w:r>
      <w:r>
        <w:fldChar w:fldCharType="end"/>
      </w:r>
    </w:p>
    <w:p>
      <w:pPr>
        <w:pStyle w:val="TOC8"/>
        <w:rPr>
          <w:rFonts w:asciiTheme="minorHAnsi" w:eastAsiaTheme="minorEastAsia" w:hAnsiTheme="minorHAnsi" w:cstheme="minorBidi"/>
          <w:szCs w:val="22"/>
          <w:lang w:eastAsia="en-AU"/>
        </w:rPr>
      </w:pPr>
      <w:r>
        <w:t>11.</w:t>
      </w:r>
      <w:r>
        <w:tab/>
        <w:t>Fees</w:t>
      </w:r>
      <w:r>
        <w:tab/>
      </w:r>
      <w:r>
        <w:fldChar w:fldCharType="begin"/>
      </w:r>
      <w:r>
        <w:instrText xml:space="preserve"> PAGEREF _Toc352667611 \h </w:instrText>
      </w:r>
      <w:r>
        <w:fldChar w:fldCharType="separate"/>
      </w:r>
      <w:r>
        <w:t>7</w:t>
      </w:r>
      <w:r>
        <w:fldChar w:fldCharType="end"/>
      </w:r>
    </w:p>
    <w:p>
      <w:pPr>
        <w:pStyle w:val="TOC8"/>
        <w:rPr>
          <w:rFonts w:asciiTheme="minorHAnsi" w:eastAsiaTheme="minorEastAsia" w:hAnsiTheme="minorHAnsi" w:cstheme="minorBidi"/>
          <w:szCs w:val="22"/>
          <w:lang w:eastAsia="en-AU"/>
        </w:rPr>
      </w:pPr>
      <w:r>
        <w:t>12.</w:t>
      </w:r>
      <w:r>
        <w:tab/>
        <w:t>Building records to be kept (s. 130)</w:t>
      </w:r>
      <w:r>
        <w:tab/>
      </w:r>
      <w:r>
        <w:fldChar w:fldCharType="begin"/>
      </w:r>
      <w:r>
        <w:instrText xml:space="preserve"> PAGEREF _Toc352667612 \h </w:instrText>
      </w:r>
      <w:r>
        <w:fldChar w:fldCharType="separate"/>
      </w:r>
      <w:r>
        <w:t>7</w:t>
      </w:r>
      <w:r>
        <w:fldChar w:fldCharType="end"/>
      </w:r>
    </w:p>
    <w:p>
      <w:pPr>
        <w:pStyle w:val="TOC8"/>
        <w:rPr>
          <w:rFonts w:asciiTheme="minorHAnsi" w:eastAsiaTheme="minorEastAsia" w:hAnsiTheme="minorHAnsi" w:cstheme="minorBidi"/>
          <w:szCs w:val="22"/>
          <w:lang w:eastAsia="en-AU"/>
        </w:rPr>
      </w:pPr>
      <w:r>
        <w:t>13.</w:t>
      </w:r>
      <w:r>
        <w:tab/>
        <w:t>Inspection, copies of building records (s. 131)</w:t>
      </w:r>
      <w:r>
        <w:tab/>
      </w:r>
      <w:r>
        <w:fldChar w:fldCharType="begin"/>
      </w:r>
      <w:r>
        <w:instrText xml:space="preserve"> PAGEREF _Toc352667613 \h </w:instrText>
      </w:r>
      <w:r>
        <w:fldChar w:fldCharType="separate"/>
      </w:r>
      <w:r>
        <w:t>8</w:t>
      </w:r>
      <w:r>
        <w:fldChar w:fldCharType="end"/>
      </w:r>
    </w:p>
    <w:p>
      <w:pPr>
        <w:pStyle w:val="TOC8"/>
        <w:rPr>
          <w:rFonts w:asciiTheme="minorHAnsi" w:eastAsiaTheme="minorEastAsia" w:hAnsiTheme="minorHAnsi" w:cstheme="minorBidi"/>
          <w:szCs w:val="22"/>
          <w:lang w:eastAsia="en-AU"/>
        </w:rPr>
      </w:pPr>
      <w:r>
        <w:t>14.</w:t>
      </w:r>
      <w:r>
        <w:tab/>
        <w:t>Provision of information to Building Commissioner (s. 132)</w:t>
      </w:r>
      <w:r>
        <w:tab/>
      </w:r>
      <w:r>
        <w:fldChar w:fldCharType="begin"/>
      </w:r>
      <w:r>
        <w:instrText xml:space="preserve"> PAGEREF _Toc352667614 \h </w:instrText>
      </w:r>
      <w:r>
        <w:fldChar w:fldCharType="separate"/>
      </w:r>
      <w:r>
        <w:t>8</w:t>
      </w:r>
      <w:r>
        <w:fldChar w:fldCharType="end"/>
      </w:r>
    </w:p>
    <w:p>
      <w:pPr>
        <w:pStyle w:val="TOC8"/>
        <w:rPr>
          <w:rFonts w:asciiTheme="minorHAnsi" w:eastAsiaTheme="minorEastAsia" w:hAnsiTheme="minorHAnsi" w:cstheme="minorBidi"/>
          <w:szCs w:val="22"/>
          <w:lang w:eastAsia="en-AU"/>
        </w:rPr>
      </w:pPr>
      <w:r>
        <w:t>15A.</w:t>
      </w:r>
      <w:r>
        <w:tab/>
        <w:t>Provision of information to FES Commissioner (s. 149)</w:t>
      </w:r>
      <w:r>
        <w:tab/>
      </w:r>
      <w:r>
        <w:fldChar w:fldCharType="begin"/>
      </w:r>
      <w:r>
        <w:instrText xml:space="preserve"> PAGEREF _Toc352667615 \h </w:instrText>
      </w:r>
      <w:r>
        <w:fldChar w:fldCharType="separate"/>
      </w:r>
      <w:r>
        <w:t>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Building and demolition permits</w:t>
      </w:r>
    </w:p>
    <w:p>
      <w:pPr>
        <w:pStyle w:val="TOC8"/>
        <w:rPr>
          <w:rFonts w:asciiTheme="minorHAnsi" w:eastAsiaTheme="minorEastAsia" w:hAnsiTheme="minorHAnsi" w:cstheme="minorBidi"/>
          <w:szCs w:val="22"/>
          <w:lang w:eastAsia="en-AU"/>
        </w:rPr>
      </w:pPr>
      <w:r>
        <w:t>15.</w:t>
      </w:r>
      <w:r>
        <w:tab/>
        <w:t>Uncertified applications (s. 14(2))</w:t>
      </w:r>
      <w:r>
        <w:tab/>
      </w:r>
      <w:r>
        <w:fldChar w:fldCharType="begin"/>
      </w:r>
      <w:r>
        <w:instrText xml:space="preserve"> PAGEREF _Toc352667617 \h </w:instrText>
      </w:r>
      <w:r>
        <w:fldChar w:fldCharType="separate"/>
      </w:r>
      <w:r>
        <w:t>10</w:t>
      </w:r>
      <w:r>
        <w:fldChar w:fldCharType="end"/>
      </w:r>
    </w:p>
    <w:p>
      <w:pPr>
        <w:pStyle w:val="TOC8"/>
        <w:rPr>
          <w:rFonts w:asciiTheme="minorHAnsi" w:eastAsiaTheme="minorEastAsia" w:hAnsiTheme="minorHAnsi" w:cstheme="minorBidi"/>
          <w:szCs w:val="22"/>
          <w:lang w:eastAsia="en-AU"/>
        </w:rPr>
      </w:pPr>
      <w:r>
        <w:t>16.</w:t>
      </w:r>
      <w:r>
        <w:tab/>
        <w:t>Application for building and demolition permits (s. 16)</w:t>
      </w:r>
      <w:r>
        <w:tab/>
      </w:r>
      <w:r>
        <w:fldChar w:fldCharType="begin"/>
      </w:r>
      <w:r>
        <w:instrText xml:space="preserve"> PAGEREF _Toc352667618 \h </w:instrText>
      </w:r>
      <w:r>
        <w:fldChar w:fldCharType="separate"/>
      </w:r>
      <w:r>
        <w:t>10</w:t>
      </w:r>
      <w:r>
        <w:fldChar w:fldCharType="end"/>
      </w:r>
    </w:p>
    <w:p>
      <w:pPr>
        <w:pStyle w:val="TOC8"/>
        <w:rPr>
          <w:rFonts w:asciiTheme="minorHAnsi" w:eastAsiaTheme="minorEastAsia" w:hAnsiTheme="minorHAnsi" w:cstheme="minorBidi"/>
          <w:szCs w:val="22"/>
          <w:lang w:eastAsia="en-AU"/>
        </w:rPr>
      </w:pPr>
      <w:r>
        <w:t>17.</w:t>
      </w:r>
      <w:r>
        <w:tab/>
        <w:t>Further information (s. 18(3) and (4))</w:t>
      </w:r>
      <w:r>
        <w:tab/>
      </w:r>
      <w:r>
        <w:fldChar w:fldCharType="begin"/>
      </w:r>
      <w:r>
        <w:instrText xml:space="preserve"> PAGEREF _Toc352667619 \h </w:instrText>
      </w:r>
      <w:r>
        <w:fldChar w:fldCharType="separate"/>
      </w:r>
      <w:r>
        <w:t>12</w:t>
      </w:r>
      <w:r>
        <w:fldChar w:fldCharType="end"/>
      </w:r>
    </w:p>
    <w:p>
      <w:pPr>
        <w:pStyle w:val="TOC8"/>
        <w:rPr>
          <w:rFonts w:asciiTheme="minorHAnsi" w:eastAsiaTheme="minorEastAsia" w:hAnsiTheme="minorHAnsi" w:cstheme="minorBidi"/>
          <w:szCs w:val="22"/>
          <w:lang w:eastAsia="en-AU"/>
        </w:rPr>
      </w:pPr>
      <w:r>
        <w:t>18A.</w:t>
      </w:r>
      <w:r>
        <w:tab/>
        <w:t>Certificate of design compliance — contents (s. 19(5))</w:t>
      </w:r>
      <w:r>
        <w:tab/>
      </w:r>
      <w:r>
        <w:fldChar w:fldCharType="begin"/>
      </w:r>
      <w:r>
        <w:instrText xml:space="preserve"> PAGEREF _Toc352667620 \h </w:instrText>
      </w:r>
      <w:r>
        <w:fldChar w:fldCharType="separate"/>
      </w:r>
      <w:r>
        <w:t>12</w:t>
      </w:r>
      <w:r>
        <w:fldChar w:fldCharType="end"/>
      </w:r>
    </w:p>
    <w:p>
      <w:pPr>
        <w:pStyle w:val="TOC8"/>
        <w:rPr>
          <w:rFonts w:asciiTheme="minorHAnsi" w:eastAsiaTheme="minorEastAsia" w:hAnsiTheme="minorHAnsi" w:cstheme="minorBidi"/>
          <w:szCs w:val="22"/>
          <w:lang w:eastAsia="en-AU"/>
        </w:rPr>
      </w:pPr>
      <w:r>
        <w:t>18B.</w:t>
      </w:r>
      <w:r>
        <w:tab/>
        <w:t>Certificate of design compliance — preliminary action (s. 19(6))</w:t>
      </w:r>
      <w:r>
        <w:tab/>
      </w:r>
      <w:r>
        <w:fldChar w:fldCharType="begin"/>
      </w:r>
      <w:r>
        <w:instrText xml:space="preserve"> PAGEREF _Toc352667621 \h </w:instrText>
      </w:r>
      <w:r>
        <w:fldChar w:fldCharType="separate"/>
      </w:r>
      <w:r>
        <w:t>13</w:t>
      </w:r>
      <w:r>
        <w:fldChar w:fldCharType="end"/>
      </w:r>
    </w:p>
    <w:p>
      <w:pPr>
        <w:pStyle w:val="TOC8"/>
        <w:rPr>
          <w:rFonts w:asciiTheme="minorHAnsi" w:eastAsiaTheme="minorEastAsia" w:hAnsiTheme="minorHAnsi" w:cstheme="minorBidi"/>
          <w:szCs w:val="22"/>
          <w:lang w:eastAsia="en-AU"/>
        </w:rPr>
      </w:pPr>
      <w:r>
        <w:t>18C.</w:t>
      </w:r>
      <w:r>
        <w:tab/>
        <w:t>Certificate of design compliance — things to accompany (s. 149)</w:t>
      </w:r>
      <w:r>
        <w:tab/>
      </w:r>
      <w:r>
        <w:fldChar w:fldCharType="begin"/>
      </w:r>
      <w:r>
        <w:instrText xml:space="preserve"> PAGEREF _Toc352667622 \h </w:instrText>
      </w:r>
      <w:r>
        <w:fldChar w:fldCharType="separate"/>
      </w:r>
      <w:r>
        <w:t>14</w:t>
      </w:r>
      <w:r>
        <w:fldChar w:fldCharType="end"/>
      </w:r>
    </w:p>
    <w:p>
      <w:pPr>
        <w:pStyle w:val="TOC8"/>
        <w:rPr>
          <w:rFonts w:asciiTheme="minorHAnsi" w:eastAsiaTheme="minorEastAsia" w:hAnsiTheme="minorHAnsi" w:cstheme="minorBidi"/>
          <w:szCs w:val="22"/>
          <w:lang w:eastAsia="en-AU"/>
        </w:rPr>
      </w:pPr>
      <w:r>
        <w:t>18.</w:t>
      </w:r>
      <w:r>
        <w:tab/>
        <w:t>Grant of building permit (s. 20)</w:t>
      </w:r>
      <w:r>
        <w:tab/>
      </w:r>
      <w:r>
        <w:fldChar w:fldCharType="begin"/>
      </w:r>
      <w:r>
        <w:instrText xml:space="preserve"> PAGEREF _Toc352667623 \h </w:instrText>
      </w:r>
      <w:r>
        <w:fldChar w:fldCharType="separate"/>
      </w:r>
      <w:r>
        <w:t>15</w:t>
      </w:r>
      <w:r>
        <w:fldChar w:fldCharType="end"/>
      </w:r>
    </w:p>
    <w:p>
      <w:pPr>
        <w:pStyle w:val="TOC8"/>
        <w:rPr>
          <w:rFonts w:asciiTheme="minorHAnsi" w:eastAsiaTheme="minorEastAsia" w:hAnsiTheme="minorHAnsi" w:cstheme="minorBidi"/>
          <w:szCs w:val="22"/>
          <w:lang w:eastAsia="en-AU"/>
        </w:rPr>
      </w:pPr>
      <w:r>
        <w:t>19.</w:t>
      </w:r>
      <w:r>
        <w:tab/>
        <w:t>Grant of demolition permit (s. 21)</w:t>
      </w:r>
      <w:r>
        <w:tab/>
      </w:r>
      <w:r>
        <w:fldChar w:fldCharType="begin"/>
      </w:r>
      <w:r>
        <w:instrText xml:space="preserve"> PAGEREF _Toc352667624 \h </w:instrText>
      </w:r>
      <w:r>
        <w:fldChar w:fldCharType="separate"/>
      </w:r>
      <w:r>
        <w:t>16</w:t>
      </w:r>
      <w:r>
        <w:fldChar w:fldCharType="end"/>
      </w:r>
    </w:p>
    <w:p>
      <w:pPr>
        <w:pStyle w:val="TOC8"/>
        <w:rPr>
          <w:rFonts w:asciiTheme="minorHAnsi" w:eastAsiaTheme="minorEastAsia" w:hAnsiTheme="minorHAnsi" w:cstheme="minorBidi"/>
          <w:szCs w:val="22"/>
          <w:lang w:eastAsia="en-AU"/>
        </w:rPr>
      </w:pPr>
      <w:r>
        <w:t>20.</w:t>
      </w:r>
      <w:r>
        <w:tab/>
        <w:t>Time for deciding application for building or demolition permit (s. 23)</w:t>
      </w:r>
      <w:r>
        <w:tab/>
      </w:r>
      <w:r>
        <w:fldChar w:fldCharType="begin"/>
      </w:r>
      <w:r>
        <w:instrText xml:space="preserve"> PAGEREF _Toc352667625 \h </w:instrText>
      </w:r>
      <w:r>
        <w:fldChar w:fldCharType="separate"/>
      </w:r>
      <w:r>
        <w:t>17</w:t>
      </w:r>
      <w:r>
        <w:fldChar w:fldCharType="end"/>
      </w:r>
    </w:p>
    <w:p>
      <w:pPr>
        <w:pStyle w:val="TOC8"/>
        <w:rPr>
          <w:rFonts w:asciiTheme="minorHAnsi" w:eastAsiaTheme="minorEastAsia" w:hAnsiTheme="minorHAnsi" w:cstheme="minorBidi"/>
          <w:szCs w:val="22"/>
          <w:lang w:eastAsia="en-AU"/>
        </w:rPr>
      </w:pPr>
      <w:r>
        <w:t>21.</w:t>
      </w:r>
      <w:r>
        <w:tab/>
        <w:t>Form and content of building permit (s. 25)</w:t>
      </w:r>
      <w:r>
        <w:tab/>
      </w:r>
      <w:r>
        <w:fldChar w:fldCharType="begin"/>
      </w:r>
      <w:r>
        <w:instrText xml:space="preserve"> PAGEREF _Toc352667626 \h </w:instrText>
      </w:r>
      <w:r>
        <w:fldChar w:fldCharType="separate"/>
      </w:r>
      <w:r>
        <w:t>18</w:t>
      </w:r>
      <w:r>
        <w:fldChar w:fldCharType="end"/>
      </w:r>
    </w:p>
    <w:p>
      <w:pPr>
        <w:pStyle w:val="TOC8"/>
        <w:rPr>
          <w:rFonts w:asciiTheme="minorHAnsi" w:eastAsiaTheme="minorEastAsia" w:hAnsiTheme="minorHAnsi" w:cstheme="minorBidi"/>
          <w:szCs w:val="22"/>
          <w:lang w:eastAsia="en-AU"/>
        </w:rPr>
      </w:pPr>
      <w:r>
        <w:t>22.</w:t>
      </w:r>
      <w:r>
        <w:tab/>
        <w:t>Form and content of demolition permit (s. 25)</w:t>
      </w:r>
      <w:r>
        <w:tab/>
      </w:r>
      <w:r>
        <w:fldChar w:fldCharType="begin"/>
      </w:r>
      <w:r>
        <w:instrText xml:space="preserve"> PAGEREF _Toc352667627 \h </w:instrText>
      </w:r>
      <w:r>
        <w:fldChar w:fldCharType="separate"/>
      </w:r>
      <w:r>
        <w:t>18</w:t>
      </w:r>
      <w:r>
        <w:fldChar w:fldCharType="end"/>
      </w:r>
    </w:p>
    <w:p>
      <w:pPr>
        <w:pStyle w:val="TOC8"/>
        <w:rPr>
          <w:rFonts w:asciiTheme="minorHAnsi" w:eastAsiaTheme="minorEastAsia" w:hAnsiTheme="minorHAnsi" w:cstheme="minorBidi"/>
          <w:szCs w:val="22"/>
          <w:lang w:eastAsia="en-AU"/>
        </w:rPr>
      </w:pPr>
      <w:r>
        <w:t>23A.</w:t>
      </w:r>
      <w:r>
        <w:tab/>
        <w:t>To whom permit document issued (s. 28)</w:t>
      </w:r>
      <w:r>
        <w:tab/>
      </w:r>
      <w:r>
        <w:fldChar w:fldCharType="begin"/>
      </w:r>
      <w:r>
        <w:instrText xml:space="preserve"> PAGEREF _Toc352667628 \h </w:instrText>
      </w:r>
      <w:r>
        <w:fldChar w:fldCharType="separate"/>
      </w:r>
      <w:r>
        <w:t>18</w:t>
      </w:r>
      <w:r>
        <w:fldChar w:fldCharType="end"/>
      </w:r>
    </w:p>
    <w:p>
      <w:pPr>
        <w:pStyle w:val="TOC8"/>
        <w:rPr>
          <w:rFonts w:asciiTheme="minorHAnsi" w:eastAsiaTheme="minorEastAsia" w:hAnsiTheme="minorHAnsi" w:cstheme="minorBidi"/>
          <w:szCs w:val="22"/>
          <w:lang w:eastAsia="en-AU"/>
        </w:rPr>
      </w:pPr>
      <w:r>
        <w:t>23.</w:t>
      </w:r>
      <w:r>
        <w:tab/>
        <w:t>Application to extend time during which permit has effect (s. 32)</w:t>
      </w:r>
      <w:r>
        <w:tab/>
      </w:r>
      <w:r>
        <w:fldChar w:fldCharType="begin"/>
      </w:r>
      <w:r>
        <w:instrText xml:space="preserve"> PAGEREF _Toc352667629 \h </w:instrText>
      </w:r>
      <w:r>
        <w:fldChar w:fldCharType="separate"/>
      </w:r>
      <w:r>
        <w:t>19</w:t>
      </w:r>
      <w:r>
        <w:fldChar w:fldCharType="end"/>
      </w:r>
    </w:p>
    <w:p>
      <w:pPr>
        <w:pStyle w:val="TOC8"/>
        <w:rPr>
          <w:rFonts w:asciiTheme="minorHAnsi" w:eastAsiaTheme="minorEastAsia" w:hAnsiTheme="minorHAnsi" w:cstheme="minorBidi"/>
          <w:szCs w:val="22"/>
          <w:lang w:eastAsia="en-AU"/>
        </w:rPr>
      </w:pPr>
      <w:r>
        <w:t>24.</w:t>
      </w:r>
      <w:r>
        <w:tab/>
        <w:t>Extension of time during which permit has effect (s. 32(3))</w:t>
      </w:r>
      <w:r>
        <w:tab/>
      </w:r>
      <w:r>
        <w:fldChar w:fldCharType="begin"/>
      </w:r>
      <w:r>
        <w:instrText xml:space="preserve"> PAGEREF _Toc352667630 \h </w:instrText>
      </w:r>
      <w:r>
        <w:fldChar w:fldCharType="separate"/>
      </w:r>
      <w:r>
        <w:t>20</w:t>
      </w:r>
      <w:r>
        <w:fldChar w:fldCharType="end"/>
      </w:r>
    </w:p>
    <w:p>
      <w:pPr>
        <w:pStyle w:val="TOC8"/>
        <w:rPr>
          <w:rFonts w:asciiTheme="minorHAnsi" w:eastAsiaTheme="minorEastAsia" w:hAnsiTheme="minorHAnsi" w:cstheme="minorBidi"/>
          <w:szCs w:val="22"/>
          <w:lang w:eastAsia="en-AU"/>
        </w:rPr>
      </w:pPr>
      <w:r>
        <w:t>25.</w:t>
      </w:r>
      <w:r>
        <w:tab/>
        <w:t>Review of decision to refuse to extend time during which permit has effect (s. 32(3))</w:t>
      </w:r>
      <w:r>
        <w:tab/>
      </w:r>
      <w:r>
        <w:fldChar w:fldCharType="begin"/>
      </w:r>
      <w:r>
        <w:instrText xml:space="preserve"> PAGEREF _Toc352667631 \h </w:instrText>
      </w:r>
      <w:r>
        <w:fldChar w:fldCharType="separate"/>
      </w:r>
      <w:r>
        <w:t>20</w:t>
      </w:r>
      <w:r>
        <w:fldChar w:fldCharType="end"/>
      </w:r>
    </w:p>
    <w:p>
      <w:pPr>
        <w:pStyle w:val="TOC8"/>
        <w:rPr>
          <w:rFonts w:asciiTheme="minorHAnsi" w:eastAsiaTheme="minorEastAsia" w:hAnsiTheme="minorHAnsi" w:cstheme="minorBidi"/>
          <w:szCs w:val="22"/>
          <w:lang w:eastAsia="en-AU"/>
        </w:rPr>
      </w:pPr>
      <w:r>
        <w:t>26.</w:t>
      </w:r>
      <w:r>
        <w:tab/>
        <w:t>Approval of new responsible person (s. 35(c))</w:t>
      </w:r>
      <w:r>
        <w:tab/>
      </w:r>
      <w:r>
        <w:fldChar w:fldCharType="begin"/>
      </w:r>
      <w:r>
        <w:instrText xml:space="preserve"> PAGEREF _Toc352667632 \h </w:instrText>
      </w:r>
      <w:r>
        <w:fldChar w:fldCharType="separate"/>
      </w:r>
      <w:r>
        <w:t>21</w:t>
      </w:r>
      <w:r>
        <w:fldChar w:fldCharType="end"/>
      </w:r>
    </w:p>
    <w:p>
      <w:pPr>
        <w:pStyle w:val="TOC8"/>
        <w:rPr>
          <w:rFonts w:asciiTheme="minorHAnsi" w:eastAsiaTheme="minorEastAsia" w:hAnsiTheme="minorHAnsi" w:cstheme="minorBidi"/>
          <w:szCs w:val="22"/>
          <w:lang w:eastAsia="en-AU"/>
        </w:rPr>
      </w:pPr>
      <w:r>
        <w:t>27.</w:t>
      </w:r>
      <w:r>
        <w:tab/>
        <w:t>Required inspection and tests: Class 2 to Class 9 buildings (s. 36(2)(a))</w:t>
      </w:r>
      <w:r>
        <w:tab/>
      </w:r>
      <w:r>
        <w:fldChar w:fldCharType="begin"/>
      </w:r>
      <w:r>
        <w:instrText xml:space="preserve"> PAGEREF _Toc352667633 \h </w:instrText>
      </w:r>
      <w:r>
        <w:fldChar w:fldCharType="separate"/>
      </w:r>
      <w:r>
        <w:t>22</w:t>
      </w:r>
      <w:r>
        <w:fldChar w:fldCharType="end"/>
      </w:r>
    </w:p>
    <w:p>
      <w:pPr>
        <w:pStyle w:val="TOC8"/>
        <w:rPr>
          <w:rFonts w:asciiTheme="minorHAnsi" w:eastAsiaTheme="minorEastAsia" w:hAnsiTheme="minorHAnsi" w:cstheme="minorBidi"/>
          <w:szCs w:val="22"/>
          <w:lang w:eastAsia="en-AU"/>
        </w:rPr>
      </w:pPr>
      <w:r>
        <w:t>28.</w:t>
      </w:r>
      <w:r>
        <w:tab/>
        <w:t>Required inspection: enclosure of private swimming pool (s. 36(2)(a))</w:t>
      </w:r>
      <w:r>
        <w:tab/>
      </w:r>
      <w:r>
        <w:fldChar w:fldCharType="begin"/>
      </w:r>
      <w:r>
        <w:instrText xml:space="preserve"> PAGEREF _Toc352667634 \h </w:instrText>
      </w:r>
      <w:r>
        <w:fldChar w:fldCharType="separate"/>
      </w:r>
      <w:r>
        <w:t>22</w:t>
      </w:r>
      <w:r>
        <w:fldChar w:fldCharType="end"/>
      </w:r>
    </w:p>
    <w:p>
      <w:pPr>
        <w:pStyle w:val="TOC8"/>
        <w:rPr>
          <w:rFonts w:asciiTheme="minorHAnsi" w:eastAsiaTheme="minorEastAsia" w:hAnsiTheme="minorHAnsi" w:cstheme="minorBidi"/>
          <w:szCs w:val="22"/>
          <w:lang w:eastAsia="en-AU"/>
        </w:rPr>
      </w:pPr>
      <w:r>
        <w:t>29.</w:t>
      </w:r>
      <w:r>
        <w:tab/>
        <w:t>Inspection certificates (s. 36(2)(h) and (j))</w:t>
      </w:r>
      <w:r>
        <w:tab/>
      </w:r>
      <w:r>
        <w:fldChar w:fldCharType="begin"/>
      </w:r>
      <w:r>
        <w:instrText xml:space="preserve"> PAGEREF _Toc352667635 \h </w:instrText>
      </w:r>
      <w:r>
        <w:fldChar w:fldCharType="separate"/>
      </w:r>
      <w:r>
        <w:t>22</w:t>
      </w:r>
      <w:r>
        <w:fldChar w:fldCharType="end"/>
      </w:r>
    </w:p>
    <w:p>
      <w:pPr>
        <w:pStyle w:val="TOC8"/>
        <w:rPr>
          <w:rFonts w:asciiTheme="minorHAnsi" w:eastAsiaTheme="minorEastAsia" w:hAnsiTheme="minorHAnsi" w:cstheme="minorBidi"/>
          <w:szCs w:val="22"/>
          <w:lang w:eastAsia="en-AU"/>
        </w:rPr>
      </w:pPr>
      <w:r>
        <w:t>30.</w:t>
      </w:r>
      <w:r>
        <w:tab/>
        <w:t>Transitional provisions (s. 203)</w:t>
      </w:r>
      <w:r>
        <w:tab/>
      </w:r>
      <w:r>
        <w:fldChar w:fldCharType="begin"/>
      </w:r>
      <w:r>
        <w:instrText xml:space="preserve"> PAGEREF _Toc352667636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Building standards</w:t>
      </w:r>
    </w:p>
    <w:p>
      <w:pPr>
        <w:pStyle w:val="TOC4"/>
        <w:tabs>
          <w:tab w:val="right" w:leader="dot" w:pos="7086"/>
        </w:tabs>
        <w:rPr>
          <w:rFonts w:asciiTheme="minorHAnsi" w:eastAsiaTheme="minorEastAsia" w:hAnsiTheme="minorHAnsi" w:cstheme="minorBidi"/>
          <w:b w:val="0"/>
          <w:szCs w:val="22"/>
          <w:lang w:eastAsia="en-AU"/>
        </w:rPr>
      </w:pPr>
      <w:r>
        <w:t>Division 1 — Applicable building standards</w:t>
      </w:r>
    </w:p>
    <w:p>
      <w:pPr>
        <w:pStyle w:val="TOC6"/>
        <w:tabs>
          <w:tab w:val="right" w:leader="dot" w:pos="7086"/>
        </w:tabs>
        <w:rPr>
          <w:rFonts w:asciiTheme="minorHAnsi" w:eastAsiaTheme="minorEastAsia" w:hAnsiTheme="minorHAnsi" w:cstheme="minorBidi"/>
          <w:b w:val="0"/>
          <w:sz w:val="22"/>
          <w:szCs w:val="22"/>
          <w:lang w:eastAsia="en-AU"/>
        </w:rPr>
      </w:pPr>
      <w:r>
        <w:t>Subdivision 1 — Building standards in relation to construction</w:t>
      </w:r>
    </w:p>
    <w:p>
      <w:pPr>
        <w:pStyle w:val="TOC8"/>
        <w:rPr>
          <w:rFonts w:asciiTheme="minorHAnsi" w:eastAsiaTheme="minorEastAsia" w:hAnsiTheme="minorHAnsi" w:cstheme="minorBidi"/>
          <w:szCs w:val="22"/>
          <w:lang w:eastAsia="en-AU"/>
        </w:rPr>
      </w:pPr>
      <w:r>
        <w:t>31A.</w:t>
      </w:r>
      <w:r>
        <w:tab/>
        <w:t>Applicable building standards generally (s. 3, 19(3) and 37(1))</w:t>
      </w:r>
      <w:r>
        <w:tab/>
      </w:r>
      <w:r>
        <w:fldChar w:fldCharType="begin"/>
      </w:r>
      <w:r>
        <w:instrText xml:space="preserve"> PAGEREF _Toc352667640 \h </w:instrText>
      </w:r>
      <w:r>
        <w:fldChar w:fldCharType="separate"/>
      </w:r>
      <w:r>
        <w:t>24</w:t>
      </w:r>
      <w:r>
        <w:fldChar w:fldCharType="end"/>
      </w:r>
    </w:p>
    <w:p>
      <w:pPr>
        <w:pStyle w:val="TOC8"/>
        <w:rPr>
          <w:rFonts w:asciiTheme="minorHAnsi" w:eastAsiaTheme="minorEastAsia" w:hAnsiTheme="minorHAnsi" w:cstheme="minorBidi"/>
          <w:szCs w:val="22"/>
          <w:lang w:eastAsia="en-AU"/>
        </w:rPr>
      </w:pPr>
      <w:r>
        <w:t>31B.</w:t>
      </w:r>
      <w:r>
        <w:tab/>
        <w:t>Applicable building standards for alterations etc. before 1 May 2014 (s. 3, 19(3) and 37(1))</w:t>
      </w:r>
      <w:r>
        <w:tab/>
      </w:r>
      <w:r>
        <w:fldChar w:fldCharType="begin"/>
      </w:r>
      <w:r>
        <w:instrText xml:space="preserve"> PAGEREF _Toc352667641 \h </w:instrText>
      </w:r>
      <w:r>
        <w:fldChar w:fldCharType="separate"/>
      </w:r>
      <w:r>
        <w:t>24</w:t>
      </w:r>
      <w:r>
        <w:fldChar w:fldCharType="end"/>
      </w:r>
    </w:p>
    <w:p>
      <w:pPr>
        <w:pStyle w:val="TOC8"/>
        <w:rPr>
          <w:rFonts w:asciiTheme="minorHAnsi" w:eastAsiaTheme="minorEastAsia" w:hAnsiTheme="minorHAnsi" w:cstheme="minorBidi"/>
          <w:szCs w:val="22"/>
          <w:lang w:eastAsia="en-AU"/>
        </w:rPr>
      </w:pPr>
      <w:r>
        <w:t>31C.</w:t>
      </w:r>
      <w:r>
        <w:tab/>
        <w:t>Applicable building standards for private swimming pools (s. 3, 19(3) and 37(1))</w:t>
      </w:r>
      <w:r>
        <w:tab/>
      </w:r>
      <w:r>
        <w:fldChar w:fldCharType="begin"/>
      </w:r>
      <w:r>
        <w:instrText xml:space="preserve"> PAGEREF _Toc352667642 \h </w:instrText>
      </w:r>
      <w:r>
        <w:fldChar w:fldCharType="separate"/>
      </w:r>
      <w:r>
        <w:t>25</w:t>
      </w:r>
      <w:r>
        <w:fldChar w:fldCharType="end"/>
      </w:r>
    </w:p>
    <w:p>
      <w:pPr>
        <w:pStyle w:val="TOC8"/>
        <w:rPr>
          <w:rFonts w:asciiTheme="minorHAnsi" w:eastAsiaTheme="minorEastAsia" w:hAnsiTheme="minorHAnsi" w:cstheme="minorBidi"/>
          <w:szCs w:val="22"/>
          <w:lang w:eastAsia="en-AU"/>
        </w:rPr>
      </w:pPr>
      <w:r>
        <w:t>31D.</w:t>
      </w:r>
      <w:r>
        <w:tab/>
        <w:t>Applicable building standards for relocated buildings and incidental structures (s. 3, 19(3) and 37(1))</w:t>
      </w:r>
      <w:r>
        <w:tab/>
      </w:r>
      <w:r>
        <w:fldChar w:fldCharType="begin"/>
      </w:r>
      <w:r>
        <w:instrText xml:space="preserve"> PAGEREF _Toc352667643 \h </w:instrText>
      </w:r>
      <w:r>
        <w:fldChar w:fldCharType="separate"/>
      </w:r>
      <w:r>
        <w:t>26</w:t>
      </w:r>
      <w:r>
        <w:fldChar w:fldCharType="end"/>
      </w:r>
    </w:p>
    <w:p>
      <w:pPr>
        <w:pStyle w:val="TOC8"/>
        <w:rPr>
          <w:rFonts w:asciiTheme="minorHAnsi" w:eastAsiaTheme="minorEastAsia" w:hAnsiTheme="minorHAnsi" w:cstheme="minorBidi"/>
          <w:szCs w:val="22"/>
          <w:lang w:eastAsia="en-AU"/>
        </w:rPr>
      </w:pPr>
      <w:r>
        <w:t>31E.</w:t>
      </w:r>
      <w:r>
        <w:tab/>
        <w:t>Applicable building standards for building work done without a permit (s. 3 and 37(2))</w:t>
      </w:r>
      <w:r>
        <w:tab/>
      </w:r>
      <w:r>
        <w:fldChar w:fldCharType="begin"/>
      </w:r>
      <w:r>
        <w:instrText xml:space="preserve"> PAGEREF _Toc352667644 \h </w:instrText>
      </w:r>
      <w:r>
        <w:fldChar w:fldCharType="separate"/>
      </w:r>
      <w:r>
        <w:t>28</w:t>
      </w:r>
      <w:r>
        <w:fldChar w:fldCharType="end"/>
      </w:r>
    </w:p>
    <w:p>
      <w:pPr>
        <w:pStyle w:val="TOC8"/>
        <w:rPr>
          <w:rFonts w:asciiTheme="minorHAnsi" w:eastAsiaTheme="minorEastAsia" w:hAnsiTheme="minorHAnsi" w:cstheme="minorBidi"/>
          <w:szCs w:val="22"/>
          <w:lang w:eastAsia="en-AU"/>
        </w:rPr>
      </w:pPr>
      <w:r>
        <w:t>31F.</w:t>
      </w:r>
      <w:r>
        <w:tab/>
        <w:t>Applicable building standards for replacement occupancy permit for permanent change of building’s use, classification or for occupancy permit or building approval certificate for registration of strata scheme, plan of re</w:t>
      </w:r>
      <w:r>
        <w:noBreakHyphen/>
        <w:t>subdivision (s. 3, 57(3), 49(a) and (b) and 50(1)(a) and (b))</w:t>
      </w:r>
      <w:r>
        <w:tab/>
      </w:r>
      <w:r>
        <w:fldChar w:fldCharType="begin"/>
      </w:r>
      <w:r>
        <w:instrText xml:space="preserve"> PAGEREF _Toc352667645 \h </w:instrText>
      </w:r>
      <w:r>
        <w:fldChar w:fldCharType="separate"/>
      </w:r>
      <w:r>
        <w:t>29</w:t>
      </w:r>
      <w:r>
        <w:fldChar w:fldCharType="end"/>
      </w:r>
    </w:p>
    <w:p>
      <w:pPr>
        <w:pStyle w:val="TOC8"/>
        <w:rPr>
          <w:rFonts w:asciiTheme="minorHAnsi" w:eastAsiaTheme="minorEastAsia" w:hAnsiTheme="minorHAnsi" w:cstheme="minorBidi"/>
          <w:szCs w:val="22"/>
          <w:lang w:eastAsia="en-AU"/>
        </w:rPr>
      </w:pPr>
      <w:r>
        <w:t>31G.</w:t>
      </w:r>
      <w:r>
        <w:tab/>
        <w:t>Applicable building standards for occupancy permit for unauthorised work to building, or for building approval certificate for unauthorised work to building or incidental structure (s. 3, 57(3) and 51(2) and (3))</w:t>
      </w:r>
      <w:r>
        <w:tab/>
      </w:r>
      <w:r>
        <w:fldChar w:fldCharType="begin"/>
      </w:r>
      <w:r>
        <w:instrText xml:space="preserve"> PAGEREF _Toc352667646 \h </w:instrText>
      </w:r>
      <w:r>
        <w:fldChar w:fldCharType="separate"/>
      </w:r>
      <w:r>
        <w:t>29</w:t>
      </w:r>
      <w:r>
        <w:fldChar w:fldCharType="end"/>
      </w:r>
    </w:p>
    <w:p>
      <w:pPr>
        <w:pStyle w:val="TOC8"/>
        <w:rPr>
          <w:rFonts w:asciiTheme="minorHAnsi" w:eastAsiaTheme="minorEastAsia" w:hAnsiTheme="minorHAnsi" w:cstheme="minorBidi"/>
          <w:szCs w:val="22"/>
          <w:lang w:eastAsia="en-AU"/>
        </w:rPr>
      </w:pPr>
      <w:r>
        <w:t>31H.</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r>
        <w:tab/>
      </w:r>
      <w:r>
        <w:fldChar w:fldCharType="begin"/>
      </w:r>
      <w:r>
        <w:instrText xml:space="preserve"> PAGEREF _Toc352667647 \h </w:instrText>
      </w:r>
      <w:r>
        <w:fldChar w:fldCharType="separate"/>
      </w:r>
      <w:r>
        <w:t>30</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Building standards in relation to demolition</w:t>
      </w:r>
    </w:p>
    <w:p>
      <w:pPr>
        <w:pStyle w:val="TOC8"/>
        <w:rPr>
          <w:rFonts w:asciiTheme="minorHAnsi" w:eastAsiaTheme="minorEastAsia" w:hAnsiTheme="minorHAnsi" w:cstheme="minorBidi"/>
          <w:szCs w:val="22"/>
          <w:lang w:eastAsia="en-AU"/>
        </w:rPr>
      </w:pPr>
      <w:r>
        <w:t>31I.</w:t>
      </w:r>
      <w:r>
        <w:tab/>
        <w:t>Applicable building standards in relation to demolition work (s. 3 and 38)</w:t>
      </w:r>
      <w:r>
        <w:tab/>
      </w:r>
      <w:r>
        <w:fldChar w:fldCharType="begin"/>
      </w:r>
      <w:r>
        <w:instrText xml:space="preserve"> PAGEREF _Toc352667649 \h </w:instrText>
      </w:r>
      <w:r>
        <w:fldChar w:fldCharType="separate"/>
      </w:r>
      <w:r>
        <w:t>31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Demonstrating compliance with building standards</w:t>
      </w:r>
    </w:p>
    <w:p>
      <w:pPr>
        <w:pStyle w:val="TOC8"/>
        <w:rPr>
          <w:rFonts w:asciiTheme="minorHAnsi" w:eastAsiaTheme="minorEastAsia" w:hAnsiTheme="minorHAnsi" w:cstheme="minorBidi"/>
          <w:szCs w:val="22"/>
          <w:lang w:eastAsia="en-AU"/>
        </w:rPr>
      </w:pPr>
      <w:r>
        <w:t>31J.</w:t>
      </w:r>
      <w:r>
        <w:tab/>
        <w:t>Compliance with building standards — CodeMark certificates</w:t>
      </w:r>
      <w:r>
        <w:tab/>
      </w:r>
      <w:r>
        <w:fldChar w:fldCharType="begin"/>
      </w:r>
      <w:r>
        <w:instrText xml:space="preserve"> PAGEREF _Toc352667651 \h </w:instrText>
      </w:r>
      <w:r>
        <w:fldChar w:fldCharType="separate"/>
      </w:r>
      <w:r>
        <w:t>32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Non</w:t>
      </w:r>
      <w:r>
        <w:noBreakHyphen/>
        <w:t>application, modification, of building standards</w:t>
      </w:r>
    </w:p>
    <w:p>
      <w:pPr>
        <w:pStyle w:val="TOC8"/>
        <w:rPr>
          <w:rFonts w:asciiTheme="minorHAnsi" w:eastAsiaTheme="minorEastAsia" w:hAnsiTheme="minorHAnsi" w:cstheme="minorBidi"/>
          <w:szCs w:val="22"/>
          <w:lang w:eastAsia="en-AU"/>
        </w:rPr>
      </w:pPr>
      <w:r>
        <w:t>31.</w:t>
      </w:r>
      <w:r>
        <w:tab/>
        <w:t>Term used: application</w:t>
      </w:r>
      <w:r>
        <w:tab/>
      </w:r>
      <w:r>
        <w:fldChar w:fldCharType="begin"/>
      </w:r>
      <w:r>
        <w:instrText xml:space="preserve"> PAGEREF _Toc352667653 \h </w:instrText>
      </w:r>
      <w:r>
        <w:fldChar w:fldCharType="separate"/>
      </w:r>
      <w:r>
        <w:t>32</w:t>
      </w:r>
      <w:r>
        <w:fldChar w:fldCharType="end"/>
      </w:r>
    </w:p>
    <w:p>
      <w:pPr>
        <w:pStyle w:val="TOC8"/>
        <w:rPr>
          <w:rFonts w:asciiTheme="minorHAnsi" w:eastAsiaTheme="minorEastAsia" w:hAnsiTheme="minorHAnsi" w:cstheme="minorBidi"/>
          <w:szCs w:val="22"/>
          <w:lang w:eastAsia="en-AU"/>
        </w:rPr>
      </w:pPr>
      <w:r>
        <w:t>32.</w:t>
      </w:r>
      <w:r>
        <w:tab/>
        <w:t>Statements to accompany application (s. 39(8)(b))</w:t>
      </w:r>
      <w:r>
        <w:tab/>
      </w:r>
      <w:r>
        <w:fldChar w:fldCharType="begin"/>
      </w:r>
      <w:r>
        <w:instrText xml:space="preserve"> PAGEREF _Toc352667654 \h </w:instrText>
      </w:r>
      <w:r>
        <w:fldChar w:fldCharType="separate"/>
      </w:r>
      <w:r>
        <w:t>33</w:t>
      </w:r>
      <w:r>
        <w:fldChar w:fldCharType="end"/>
      </w:r>
    </w:p>
    <w:p>
      <w:pPr>
        <w:pStyle w:val="TOC8"/>
        <w:rPr>
          <w:rFonts w:asciiTheme="minorHAnsi" w:eastAsiaTheme="minorEastAsia" w:hAnsiTheme="minorHAnsi" w:cstheme="minorBidi"/>
          <w:szCs w:val="22"/>
          <w:lang w:eastAsia="en-AU"/>
        </w:rPr>
      </w:pPr>
      <w:r>
        <w:t>33.</w:t>
      </w:r>
      <w:r>
        <w:tab/>
        <w:t>Decisions on applications (s. 39(9)(a))</w:t>
      </w:r>
      <w:r>
        <w:tab/>
      </w:r>
      <w:r>
        <w:fldChar w:fldCharType="begin"/>
      </w:r>
      <w:r>
        <w:instrText xml:space="preserve"> PAGEREF _Toc352667655 \h </w:instrText>
      </w:r>
      <w:r>
        <w:fldChar w:fldCharType="separate"/>
      </w:r>
      <w:r>
        <w:t>34</w:t>
      </w:r>
      <w:r>
        <w:fldChar w:fldCharType="end"/>
      </w:r>
    </w:p>
    <w:p>
      <w:pPr>
        <w:pStyle w:val="TOC8"/>
        <w:rPr>
          <w:rFonts w:asciiTheme="minorHAnsi" w:eastAsiaTheme="minorEastAsia" w:hAnsiTheme="minorHAnsi" w:cstheme="minorBidi"/>
          <w:szCs w:val="22"/>
          <w:lang w:eastAsia="en-AU"/>
        </w:rPr>
      </w:pPr>
      <w:r>
        <w:t>34.</w:t>
      </w:r>
      <w:r>
        <w:tab/>
        <w:t>Revoking or amending declarations (s. 39(9)(b))</w:t>
      </w:r>
      <w:r>
        <w:tab/>
      </w:r>
      <w:r>
        <w:fldChar w:fldCharType="begin"/>
      </w:r>
      <w:r>
        <w:instrText xml:space="preserve"> PAGEREF _Toc352667656 \h </w:instrText>
      </w:r>
      <w:r>
        <w:fldChar w:fldCharType="separate"/>
      </w:r>
      <w:r>
        <w:t>35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Occupancy permits and building approval certificates</w:t>
      </w:r>
    </w:p>
    <w:p>
      <w:pPr>
        <w:pStyle w:val="TOC8"/>
        <w:rPr>
          <w:rFonts w:asciiTheme="minorHAnsi" w:eastAsiaTheme="minorEastAsia" w:hAnsiTheme="minorHAnsi" w:cstheme="minorBidi"/>
          <w:szCs w:val="22"/>
          <w:lang w:eastAsia="en-AU"/>
        </w:rPr>
      </w:pPr>
      <w:r>
        <w:t>35.</w:t>
      </w:r>
      <w:r>
        <w:tab/>
        <w:t>Display of occupancy permit details (s. 42(a))</w:t>
      </w:r>
      <w:r>
        <w:tab/>
      </w:r>
      <w:r>
        <w:fldChar w:fldCharType="begin"/>
      </w:r>
      <w:r>
        <w:instrText xml:space="preserve"> PAGEREF _Toc352667658 \h </w:instrText>
      </w:r>
      <w:r>
        <w:fldChar w:fldCharType="separate"/>
      </w:r>
      <w:r>
        <w:t>36</w:t>
      </w:r>
      <w:r>
        <w:fldChar w:fldCharType="end"/>
      </w:r>
    </w:p>
    <w:p>
      <w:pPr>
        <w:pStyle w:val="TOC8"/>
        <w:rPr>
          <w:rFonts w:asciiTheme="minorHAnsi" w:eastAsiaTheme="minorEastAsia" w:hAnsiTheme="minorHAnsi" w:cstheme="minorBidi"/>
          <w:szCs w:val="22"/>
          <w:lang w:eastAsia="en-AU"/>
        </w:rPr>
      </w:pPr>
      <w:r>
        <w:t>36A.</w:t>
      </w:r>
      <w:r>
        <w:tab/>
        <w:t>Further information (s. 55(3) and (4))</w:t>
      </w:r>
      <w:r>
        <w:tab/>
      </w:r>
      <w:r>
        <w:fldChar w:fldCharType="begin"/>
      </w:r>
      <w:r>
        <w:instrText xml:space="preserve"> PAGEREF _Toc352667659 \h </w:instrText>
      </w:r>
      <w:r>
        <w:fldChar w:fldCharType="separate"/>
      </w:r>
      <w:r>
        <w:t>36</w:t>
      </w:r>
      <w:r>
        <w:fldChar w:fldCharType="end"/>
      </w:r>
    </w:p>
    <w:p>
      <w:pPr>
        <w:pStyle w:val="TOC8"/>
        <w:rPr>
          <w:rFonts w:asciiTheme="minorHAnsi" w:eastAsiaTheme="minorEastAsia" w:hAnsiTheme="minorHAnsi" w:cstheme="minorBidi"/>
          <w:szCs w:val="22"/>
          <w:lang w:eastAsia="en-AU"/>
        </w:rPr>
      </w:pPr>
      <w:r>
        <w:t>36.</w:t>
      </w:r>
      <w:r>
        <w:tab/>
        <w:t>Certificate of building compliance (s. 57)</w:t>
      </w:r>
      <w:r>
        <w:tab/>
      </w:r>
      <w:r>
        <w:fldChar w:fldCharType="begin"/>
      </w:r>
      <w:r>
        <w:instrText xml:space="preserve"> PAGEREF _Toc352667660 \h </w:instrText>
      </w:r>
      <w:r>
        <w:fldChar w:fldCharType="separate"/>
      </w:r>
      <w:r>
        <w:t>37</w:t>
      </w:r>
      <w:r>
        <w:fldChar w:fldCharType="end"/>
      </w:r>
    </w:p>
    <w:p>
      <w:pPr>
        <w:pStyle w:val="TOC8"/>
        <w:rPr>
          <w:rFonts w:asciiTheme="minorHAnsi" w:eastAsiaTheme="minorEastAsia" w:hAnsiTheme="minorHAnsi" w:cstheme="minorBidi"/>
          <w:szCs w:val="22"/>
          <w:lang w:eastAsia="en-AU"/>
        </w:rPr>
      </w:pPr>
      <w:r>
        <w:t>37.</w:t>
      </w:r>
      <w:r>
        <w:tab/>
        <w:t>Grant of occupancy permit or building approval certificate (s. 58)</w:t>
      </w:r>
      <w:r>
        <w:tab/>
      </w:r>
      <w:r>
        <w:fldChar w:fldCharType="begin"/>
      </w:r>
      <w:r>
        <w:instrText xml:space="preserve"> PAGEREF _Toc352667661 \h </w:instrText>
      </w:r>
      <w:r>
        <w:fldChar w:fldCharType="separate"/>
      </w:r>
      <w:r>
        <w:t>37</w:t>
      </w:r>
      <w:r>
        <w:fldChar w:fldCharType="end"/>
      </w:r>
    </w:p>
    <w:p>
      <w:pPr>
        <w:pStyle w:val="TOC8"/>
        <w:rPr>
          <w:rFonts w:asciiTheme="minorHAnsi" w:eastAsiaTheme="minorEastAsia" w:hAnsiTheme="minorHAnsi" w:cstheme="minorBidi"/>
          <w:szCs w:val="22"/>
          <w:lang w:eastAsia="en-AU"/>
        </w:rPr>
      </w:pPr>
      <w:r>
        <w:t>38.</w:t>
      </w:r>
      <w:r>
        <w:tab/>
        <w:t>Time for granting occupancy permit or building approval certificate (s. 59)</w:t>
      </w:r>
      <w:r>
        <w:tab/>
      </w:r>
      <w:r>
        <w:fldChar w:fldCharType="begin"/>
      </w:r>
      <w:r>
        <w:instrText xml:space="preserve"> PAGEREF _Toc352667662 \h </w:instrText>
      </w:r>
      <w:r>
        <w:fldChar w:fldCharType="separate"/>
      </w:r>
      <w:r>
        <w:t>38</w:t>
      </w:r>
      <w:r>
        <w:fldChar w:fldCharType="end"/>
      </w:r>
    </w:p>
    <w:p>
      <w:pPr>
        <w:pStyle w:val="TOC8"/>
        <w:rPr>
          <w:rFonts w:asciiTheme="minorHAnsi" w:eastAsiaTheme="minorEastAsia" w:hAnsiTheme="minorHAnsi" w:cstheme="minorBidi"/>
          <w:szCs w:val="22"/>
          <w:lang w:eastAsia="en-AU"/>
        </w:rPr>
      </w:pPr>
      <w:r>
        <w:t>39.</w:t>
      </w:r>
      <w:r>
        <w:tab/>
        <w:t>Occupancy permit and building approval certificates (s. 61(2))</w:t>
      </w:r>
      <w:r>
        <w:tab/>
      </w:r>
      <w:r>
        <w:fldChar w:fldCharType="begin"/>
      </w:r>
      <w:r>
        <w:instrText xml:space="preserve"> PAGEREF _Toc352667663 \h </w:instrText>
      </w:r>
      <w:r>
        <w:fldChar w:fldCharType="separate"/>
      </w:r>
      <w:r>
        <w:t>38</w:t>
      </w:r>
      <w:r>
        <w:fldChar w:fldCharType="end"/>
      </w:r>
    </w:p>
    <w:p>
      <w:pPr>
        <w:pStyle w:val="TOC8"/>
        <w:rPr>
          <w:rFonts w:asciiTheme="minorHAnsi" w:eastAsiaTheme="minorEastAsia" w:hAnsiTheme="minorHAnsi" w:cstheme="minorBidi"/>
          <w:szCs w:val="22"/>
          <w:lang w:eastAsia="en-AU"/>
        </w:rPr>
      </w:pPr>
      <w:r>
        <w:t>40.</w:t>
      </w:r>
      <w:r>
        <w:tab/>
        <w:t>Extension of period of duration of time limited occupancy permit or building approval certificate (s. 65)</w:t>
      </w:r>
      <w:r>
        <w:tab/>
      </w:r>
      <w:r>
        <w:fldChar w:fldCharType="begin"/>
      </w:r>
      <w:r>
        <w:instrText xml:space="preserve"> PAGEREF _Toc352667664 \h </w:instrText>
      </w:r>
      <w:r>
        <w:fldChar w:fldCharType="separate"/>
      </w:r>
      <w:r>
        <w:t>38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6 — Circumstances in which building, demolition or occupancy permits not required</w:t>
      </w:r>
    </w:p>
    <w:p>
      <w:pPr>
        <w:pStyle w:val="TOC8"/>
        <w:rPr>
          <w:rFonts w:asciiTheme="minorHAnsi" w:eastAsiaTheme="minorEastAsia" w:hAnsiTheme="minorHAnsi" w:cstheme="minorBidi"/>
          <w:szCs w:val="22"/>
          <w:lang w:eastAsia="en-AU"/>
        </w:rPr>
      </w:pPr>
      <w:r>
        <w:t>41.</w:t>
      </w:r>
      <w:r>
        <w:tab/>
        <w:t>Building work for which building permit is not required (s. 9(1)(b))</w:t>
      </w:r>
      <w:r>
        <w:tab/>
      </w:r>
      <w:r>
        <w:fldChar w:fldCharType="begin"/>
      </w:r>
      <w:r>
        <w:instrText xml:space="preserve"> PAGEREF _Toc352667666 \h </w:instrText>
      </w:r>
      <w:r>
        <w:fldChar w:fldCharType="separate"/>
      </w:r>
      <w:r>
        <w:t>41</w:t>
      </w:r>
      <w:r>
        <w:fldChar w:fldCharType="end"/>
      </w:r>
    </w:p>
    <w:p>
      <w:pPr>
        <w:pStyle w:val="TOC8"/>
        <w:rPr>
          <w:rFonts w:asciiTheme="minorHAnsi" w:eastAsiaTheme="minorEastAsia" w:hAnsiTheme="minorHAnsi" w:cstheme="minorBidi"/>
          <w:szCs w:val="22"/>
          <w:lang w:eastAsia="en-AU"/>
        </w:rPr>
      </w:pPr>
      <w:r>
        <w:t>42.</w:t>
      </w:r>
      <w:r>
        <w:tab/>
        <w:t>Demolition work for which demolition permit not required (s. 10(c))</w:t>
      </w:r>
      <w:r>
        <w:tab/>
      </w:r>
      <w:r>
        <w:fldChar w:fldCharType="begin"/>
      </w:r>
      <w:r>
        <w:instrText xml:space="preserve"> PAGEREF _Toc352667667 \h </w:instrText>
      </w:r>
      <w:r>
        <w:fldChar w:fldCharType="separate"/>
      </w:r>
      <w:r>
        <w:t>42</w:t>
      </w:r>
      <w:r>
        <w:fldChar w:fldCharType="end"/>
      </w:r>
    </w:p>
    <w:p>
      <w:pPr>
        <w:pStyle w:val="TOC8"/>
        <w:rPr>
          <w:rFonts w:asciiTheme="minorHAnsi" w:eastAsiaTheme="minorEastAsia" w:hAnsiTheme="minorHAnsi" w:cstheme="minorBidi"/>
          <w:szCs w:val="22"/>
          <w:lang w:eastAsia="en-AU"/>
        </w:rPr>
      </w:pPr>
      <w:r>
        <w:t>43.</w:t>
      </w:r>
      <w:r>
        <w:tab/>
        <w:t>Buildings for which occupancy permit not required (s. 41(2))</w:t>
      </w:r>
      <w:r>
        <w:tab/>
      </w:r>
      <w:r>
        <w:fldChar w:fldCharType="begin"/>
      </w:r>
      <w:r>
        <w:instrText xml:space="preserve"> PAGEREF _Toc352667668 \h </w:instrText>
      </w:r>
      <w:r>
        <w:fldChar w:fldCharType="separate"/>
      </w:r>
      <w:r>
        <w:t>42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7 — Work affecting other land</w:t>
      </w:r>
    </w:p>
    <w:p>
      <w:pPr>
        <w:pStyle w:val="TOC8"/>
        <w:rPr>
          <w:rFonts w:asciiTheme="minorHAnsi" w:eastAsiaTheme="minorEastAsia" w:hAnsiTheme="minorHAnsi" w:cstheme="minorBidi"/>
          <w:szCs w:val="22"/>
          <w:lang w:eastAsia="en-AU"/>
        </w:rPr>
      </w:pPr>
      <w:r>
        <w:t>44.</w:t>
      </w:r>
      <w:r>
        <w:tab/>
        <w:t>Owner of land for purposes of Part 6 of Act</w:t>
      </w:r>
      <w:r>
        <w:tab/>
      </w:r>
      <w:r>
        <w:fldChar w:fldCharType="begin"/>
      </w:r>
      <w:r>
        <w:instrText xml:space="preserve"> PAGEREF _Toc352667670 \h </w:instrText>
      </w:r>
      <w:r>
        <w:fldChar w:fldCharType="separate"/>
      </w:r>
      <w:r>
        <w:t>44</w:t>
      </w:r>
      <w:r>
        <w:fldChar w:fldCharType="end"/>
      </w:r>
    </w:p>
    <w:p>
      <w:pPr>
        <w:pStyle w:val="TOC8"/>
        <w:rPr>
          <w:rFonts w:asciiTheme="minorHAnsi" w:eastAsiaTheme="minorEastAsia" w:hAnsiTheme="minorHAnsi" w:cstheme="minorBidi"/>
          <w:szCs w:val="22"/>
          <w:lang w:eastAsia="en-AU"/>
        </w:rPr>
      </w:pPr>
      <w:r>
        <w:t>45.</w:t>
      </w:r>
      <w:r>
        <w:tab/>
        <w:t>Content of notice about effect on other land (s. 85)</w:t>
      </w:r>
      <w:r>
        <w:tab/>
      </w:r>
      <w:r>
        <w:fldChar w:fldCharType="begin"/>
      </w:r>
      <w:r>
        <w:instrText xml:space="preserve"> PAGEREF _Toc352667671 \h </w:instrText>
      </w:r>
      <w:r>
        <w:fldChar w:fldCharType="separate"/>
      </w:r>
      <w:r>
        <w:t>44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8 — Existing buildings</w:t>
      </w:r>
    </w:p>
    <w:p>
      <w:pPr>
        <w:pStyle w:val="TOC4"/>
        <w:tabs>
          <w:tab w:val="right" w:leader="dot" w:pos="7086"/>
        </w:tabs>
        <w:rPr>
          <w:rFonts w:asciiTheme="minorHAnsi" w:eastAsiaTheme="minorEastAsia" w:hAnsiTheme="minorHAnsi" w:cstheme="minorBidi"/>
          <w:b w:val="0"/>
          <w:szCs w:val="22"/>
          <w:lang w:eastAsia="en-AU"/>
        </w:rPr>
      </w:pPr>
      <w:r>
        <w:t>Division 1 — General</w:t>
      </w:r>
    </w:p>
    <w:p>
      <w:pPr>
        <w:pStyle w:val="TOC8"/>
        <w:rPr>
          <w:rFonts w:asciiTheme="minorHAnsi" w:eastAsiaTheme="minorEastAsia" w:hAnsiTheme="minorHAnsi" w:cstheme="minorBidi"/>
          <w:szCs w:val="22"/>
          <w:lang w:eastAsia="en-AU"/>
        </w:rPr>
      </w:pPr>
      <w:r>
        <w:t>47.</w:t>
      </w:r>
      <w:r>
        <w:tab/>
        <w:t>Notification of change of classification of certain buildings and incidental structures</w:t>
      </w:r>
      <w:r>
        <w:tab/>
      </w:r>
      <w:r>
        <w:fldChar w:fldCharType="begin"/>
      </w:r>
      <w:r>
        <w:instrText xml:space="preserve"> PAGEREF _Toc352667674 \h </w:instrText>
      </w:r>
      <w:r>
        <w:fldChar w:fldCharType="separate"/>
      </w:r>
      <w:r>
        <w:t>45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Private swimming pools</w:t>
      </w:r>
    </w:p>
    <w:p>
      <w:pPr>
        <w:pStyle w:val="TOC8"/>
        <w:rPr>
          <w:rFonts w:asciiTheme="minorHAnsi" w:eastAsiaTheme="minorEastAsia" w:hAnsiTheme="minorHAnsi" w:cstheme="minorBidi"/>
          <w:szCs w:val="22"/>
          <w:lang w:eastAsia="en-AU"/>
        </w:rPr>
      </w:pPr>
      <w:r>
        <w:t>48.</w:t>
      </w:r>
      <w:r>
        <w:tab/>
        <w:t>Terms used</w:t>
      </w:r>
      <w:r>
        <w:tab/>
      </w:r>
      <w:r>
        <w:fldChar w:fldCharType="begin"/>
      </w:r>
      <w:r>
        <w:instrText xml:space="preserve"> PAGEREF _Toc352667676 \h </w:instrText>
      </w:r>
      <w:r>
        <w:fldChar w:fldCharType="separate"/>
      </w:r>
      <w:r>
        <w:t>45</w:t>
      </w:r>
      <w:r>
        <w:fldChar w:fldCharType="end"/>
      </w:r>
    </w:p>
    <w:p>
      <w:pPr>
        <w:pStyle w:val="TOC8"/>
        <w:rPr>
          <w:rFonts w:asciiTheme="minorHAnsi" w:eastAsiaTheme="minorEastAsia" w:hAnsiTheme="minorHAnsi" w:cstheme="minorBidi"/>
          <w:szCs w:val="22"/>
          <w:lang w:eastAsia="en-AU"/>
        </w:rPr>
      </w:pPr>
      <w:r>
        <w:t>49.</w:t>
      </w:r>
      <w:r>
        <w:tab/>
        <w:t>Application of this Division</w:t>
      </w:r>
      <w:r>
        <w:tab/>
      </w:r>
      <w:r>
        <w:fldChar w:fldCharType="begin"/>
      </w:r>
      <w:r>
        <w:instrText xml:space="preserve"> PAGEREF _Toc352667677 \h </w:instrText>
      </w:r>
      <w:r>
        <w:fldChar w:fldCharType="separate"/>
      </w:r>
      <w:r>
        <w:t>46</w:t>
      </w:r>
      <w:r>
        <w:fldChar w:fldCharType="end"/>
      </w:r>
    </w:p>
    <w:p>
      <w:pPr>
        <w:pStyle w:val="TOC8"/>
        <w:rPr>
          <w:rFonts w:asciiTheme="minorHAnsi" w:eastAsiaTheme="minorEastAsia" w:hAnsiTheme="minorHAnsi" w:cstheme="minorBidi"/>
          <w:szCs w:val="22"/>
          <w:lang w:eastAsia="en-AU"/>
        </w:rPr>
      </w:pPr>
      <w:r>
        <w:t>50.</w:t>
      </w:r>
      <w:r>
        <w:tab/>
        <w:t>Enclosure of private swimming pool</w:t>
      </w:r>
      <w:r>
        <w:tab/>
      </w:r>
      <w:r>
        <w:fldChar w:fldCharType="begin"/>
      </w:r>
      <w:r>
        <w:instrText xml:space="preserve"> PAGEREF _Toc352667678 \h </w:instrText>
      </w:r>
      <w:r>
        <w:fldChar w:fldCharType="separate"/>
      </w:r>
      <w:r>
        <w:t>46</w:t>
      </w:r>
      <w:r>
        <w:fldChar w:fldCharType="end"/>
      </w:r>
    </w:p>
    <w:p>
      <w:pPr>
        <w:pStyle w:val="TOC8"/>
        <w:rPr>
          <w:rFonts w:asciiTheme="minorHAnsi" w:eastAsiaTheme="minorEastAsia" w:hAnsiTheme="minorHAnsi" w:cstheme="minorBidi"/>
          <w:szCs w:val="22"/>
          <w:lang w:eastAsia="en-AU"/>
        </w:rPr>
      </w:pPr>
      <w:r>
        <w:t>51.</w:t>
      </w:r>
      <w:r>
        <w:tab/>
        <w:t>Approvals by permit authority</w:t>
      </w:r>
      <w:r>
        <w:tab/>
      </w:r>
      <w:r>
        <w:fldChar w:fldCharType="begin"/>
      </w:r>
      <w:r>
        <w:instrText xml:space="preserve"> PAGEREF _Toc352667679 \h </w:instrText>
      </w:r>
      <w:r>
        <w:fldChar w:fldCharType="separate"/>
      </w:r>
      <w:r>
        <w:t>47</w:t>
      </w:r>
      <w:r>
        <w:fldChar w:fldCharType="end"/>
      </w:r>
    </w:p>
    <w:p>
      <w:pPr>
        <w:pStyle w:val="TOC8"/>
        <w:rPr>
          <w:rFonts w:asciiTheme="minorHAnsi" w:eastAsiaTheme="minorEastAsia" w:hAnsiTheme="minorHAnsi" w:cstheme="minorBidi"/>
          <w:szCs w:val="22"/>
          <w:lang w:eastAsia="en-AU"/>
        </w:rPr>
      </w:pPr>
      <w:r>
        <w:t>52.</w:t>
      </w:r>
      <w:r>
        <w:tab/>
        <w:t>Concessions for pre</w:t>
      </w:r>
      <w:r>
        <w:noBreakHyphen/>
        <w:t>November 2001 private swimming pools</w:t>
      </w:r>
      <w:r>
        <w:tab/>
      </w:r>
      <w:r>
        <w:fldChar w:fldCharType="begin"/>
      </w:r>
      <w:r>
        <w:instrText xml:space="preserve"> PAGEREF _Toc352667680 \h </w:instrText>
      </w:r>
      <w:r>
        <w:fldChar w:fldCharType="separate"/>
      </w:r>
      <w:r>
        <w:t>48</w:t>
      </w:r>
      <w:r>
        <w:fldChar w:fldCharType="end"/>
      </w:r>
    </w:p>
    <w:p>
      <w:pPr>
        <w:pStyle w:val="TOC8"/>
        <w:rPr>
          <w:rFonts w:asciiTheme="minorHAnsi" w:eastAsiaTheme="minorEastAsia" w:hAnsiTheme="minorHAnsi" w:cstheme="minorBidi"/>
          <w:szCs w:val="22"/>
          <w:lang w:eastAsia="en-AU"/>
        </w:rPr>
      </w:pPr>
      <w:r>
        <w:t>53.</w:t>
      </w:r>
      <w:r>
        <w:tab/>
        <w:t>Inspections of pool enclosures</w:t>
      </w:r>
      <w:r>
        <w:tab/>
      </w:r>
      <w:r>
        <w:fldChar w:fldCharType="begin"/>
      </w:r>
      <w:r>
        <w:instrText xml:space="preserve"> PAGEREF _Toc352667681 \h </w:instrText>
      </w:r>
      <w:r>
        <w:fldChar w:fldCharType="separate"/>
      </w:r>
      <w:r>
        <w:t>49</w:t>
      </w:r>
      <w:r>
        <w:fldChar w:fldCharType="end"/>
      </w:r>
    </w:p>
    <w:p>
      <w:pPr>
        <w:pStyle w:val="TOC8"/>
        <w:rPr>
          <w:rFonts w:asciiTheme="minorHAnsi" w:eastAsiaTheme="minorEastAsia" w:hAnsiTheme="minorHAnsi" w:cstheme="minorBidi"/>
          <w:szCs w:val="22"/>
          <w:lang w:eastAsia="en-AU"/>
        </w:rPr>
      </w:pPr>
      <w:r>
        <w:t>54.</w:t>
      </w:r>
      <w:r>
        <w:tab/>
        <w:t>Transitional provisions — persons authorised to carry out inspections of private swimming pools</w:t>
      </w:r>
      <w:r>
        <w:tab/>
      </w:r>
      <w:r>
        <w:fldChar w:fldCharType="begin"/>
      </w:r>
      <w:r>
        <w:instrText xml:space="preserve"> PAGEREF _Toc352667682 \h </w:instrText>
      </w:r>
      <w:r>
        <w:fldChar w:fldCharType="separate"/>
      </w:r>
      <w:r>
        <w:t>49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Smoke alarms</w:t>
      </w:r>
    </w:p>
    <w:p>
      <w:pPr>
        <w:pStyle w:val="TOC8"/>
        <w:rPr>
          <w:rFonts w:asciiTheme="minorHAnsi" w:eastAsiaTheme="minorEastAsia" w:hAnsiTheme="minorHAnsi" w:cstheme="minorBidi"/>
          <w:szCs w:val="22"/>
          <w:lang w:eastAsia="en-AU"/>
        </w:rPr>
      </w:pPr>
      <w:r>
        <w:t>55.</w:t>
      </w:r>
      <w:r>
        <w:tab/>
        <w:t>Terms used</w:t>
      </w:r>
      <w:r>
        <w:tab/>
      </w:r>
      <w:r>
        <w:fldChar w:fldCharType="begin"/>
      </w:r>
      <w:r>
        <w:instrText xml:space="preserve"> PAGEREF _Toc352667684 \h </w:instrText>
      </w:r>
      <w:r>
        <w:fldChar w:fldCharType="separate"/>
      </w:r>
      <w:r>
        <w:t>50</w:t>
      </w:r>
      <w:r>
        <w:fldChar w:fldCharType="end"/>
      </w:r>
    </w:p>
    <w:p>
      <w:pPr>
        <w:pStyle w:val="TOC8"/>
        <w:rPr>
          <w:rFonts w:asciiTheme="minorHAnsi" w:eastAsiaTheme="minorEastAsia" w:hAnsiTheme="minorHAnsi" w:cstheme="minorBidi"/>
          <w:szCs w:val="22"/>
          <w:lang w:eastAsia="en-AU"/>
        </w:rPr>
      </w:pPr>
      <w:r>
        <w:t>56.</w:t>
      </w:r>
      <w:r>
        <w:tab/>
        <w:t>Requirement to have smoke alarms or similar prior to transfer of dwelling</w:t>
      </w:r>
      <w:r>
        <w:tab/>
      </w:r>
      <w:r>
        <w:fldChar w:fldCharType="begin"/>
      </w:r>
      <w:r>
        <w:instrText xml:space="preserve"> PAGEREF _Toc352667685 \h </w:instrText>
      </w:r>
      <w:r>
        <w:fldChar w:fldCharType="separate"/>
      </w:r>
      <w:r>
        <w:t>51</w:t>
      </w:r>
      <w:r>
        <w:fldChar w:fldCharType="end"/>
      </w:r>
    </w:p>
    <w:p>
      <w:pPr>
        <w:pStyle w:val="TOC8"/>
        <w:rPr>
          <w:rFonts w:asciiTheme="minorHAnsi" w:eastAsiaTheme="minorEastAsia" w:hAnsiTheme="minorHAnsi" w:cstheme="minorBidi"/>
          <w:szCs w:val="22"/>
          <w:lang w:eastAsia="en-AU"/>
        </w:rPr>
      </w:pPr>
      <w:r>
        <w:t>57.</w:t>
      </w:r>
      <w:r>
        <w:tab/>
        <w:t>New owner must install smoke alarms or similar, and right to recover costs</w:t>
      </w:r>
      <w:r>
        <w:tab/>
      </w:r>
      <w:r>
        <w:fldChar w:fldCharType="begin"/>
      </w:r>
      <w:r>
        <w:instrText xml:space="preserve"> PAGEREF _Toc352667686 \h </w:instrText>
      </w:r>
      <w:r>
        <w:fldChar w:fldCharType="separate"/>
      </w:r>
      <w:r>
        <w:t>51</w:t>
      </w:r>
      <w:r>
        <w:fldChar w:fldCharType="end"/>
      </w:r>
    </w:p>
    <w:p>
      <w:pPr>
        <w:pStyle w:val="TOC8"/>
        <w:rPr>
          <w:rFonts w:asciiTheme="minorHAnsi" w:eastAsiaTheme="minorEastAsia" w:hAnsiTheme="minorHAnsi" w:cstheme="minorBidi"/>
          <w:szCs w:val="22"/>
          <w:lang w:eastAsia="en-AU"/>
        </w:rPr>
      </w:pPr>
      <w:r>
        <w:t>58.</w:t>
      </w:r>
      <w:r>
        <w:tab/>
        <w:t>Requirement to have smoke alarms or similar prior to tenancy</w:t>
      </w:r>
      <w:r>
        <w:tab/>
      </w:r>
      <w:r>
        <w:fldChar w:fldCharType="begin"/>
      </w:r>
      <w:r>
        <w:instrText xml:space="preserve"> PAGEREF _Toc352667687 \h </w:instrText>
      </w:r>
      <w:r>
        <w:fldChar w:fldCharType="separate"/>
      </w:r>
      <w:r>
        <w:t>52</w:t>
      </w:r>
      <w:r>
        <w:fldChar w:fldCharType="end"/>
      </w:r>
    </w:p>
    <w:p>
      <w:pPr>
        <w:pStyle w:val="TOC8"/>
        <w:rPr>
          <w:rFonts w:asciiTheme="minorHAnsi" w:eastAsiaTheme="minorEastAsia" w:hAnsiTheme="minorHAnsi" w:cstheme="minorBidi"/>
          <w:szCs w:val="22"/>
          <w:lang w:eastAsia="en-AU"/>
        </w:rPr>
      </w:pPr>
      <w:r>
        <w:t>59.</w:t>
      </w:r>
      <w:r>
        <w:tab/>
        <w:t>Requirement to have smoke alarms or similar prior to hire of dwelling</w:t>
      </w:r>
      <w:r>
        <w:tab/>
      </w:r>
      <w:r>
        <w:fldChar w:fldCharType="begin"/>
      </w:r>
      <w:r>
        <w:instrText xml:space="preserve"> PAGEREF _Toc352667688 \h </w:instrText>
      </w:r>
      <w:r>
        <w:fldChar w:fldCharType="separate"/>
      </w:r>
      <w:r>
        <w:t>52</w:t>
      </w:r>
      <w:r>
        <w:fldChar w:fldCharType="end"/>
      </w:r>
    </w:p>
    <w:p>
      <w:pPr>
        <w:pStyle w:val="TOC8"/>
        <w:rPr>
          <w:rFonts w:asciiTheme="minorHAnsi" w:eastAsiaTheme="minorEastAsia" w:hAnsiTheme="minorHAnsi" w:cstheme="minorBidi"/>
          <w:szCs w:val="22"/>
          <w:lang w:eastAsia="en-AU"/>
        </w:rPr>
      </w:pPr>
      <w:r>
        <w:t>60.</w:t>
      </w:r>
      <w:r>
        <w:tab/>
        <w:t>Requirements for smoke alarms</w:t>
      </w:r>
      <w:r>
        <w:tab/>
      </w:r>
      <w:r>
        <w:fldChar w:fldCharType="begin"/>
      </w:r>
      <w:r>
        <w:instrText xml:space="preserve"> PAGEREF _Toc352667689 \h </w:instrText>
      </w:r>
      <w:r>
        <w:fldChar w:fldCharType="separate"/>
      </w:r>
      <w:r>
        <w:t>53</w:t>
      </w:r>
      <w:r>
        <w:fldChar w:fldCharType="end"/>
      </w:r>
    </w:p>
    <w:p>
      <w:pPr>
        <w:pStyle w:val="TOC8"/>
        <w:rPr>
          <w:rFonts w:asciiTheme="minorHAnsi" w:eastAsiaTheme="minorEastAsia" w:hAnsiTheme="minorHAnsi" w:cstheme="minorBidi"/>
          <w:szCs w:val="22"/>
          <w:lang w:eastAsia="en-AU"/>
        </w:rPr>
      </w:pPr>
      <w:r>
        <w:t>61.</w:t>
      </w:r>
      <w:r>
        <w:tab/>
        <w:t>Local government approval of battery powered smoke alarms</w:t>
      </w:r>
      <w:r>
        <w:tab/>
      </w:r>
      <w:r>
        <w:fldChar w:fldCharType="begin"/>
      </w:r>
      <w:r>
        <w:instrText xml:space="preserve"> PAGEREF _Toc352667690 \h </w:instrText>
      </w:r>
      <w:r>
        <w:fldChar w:fldCharType="separate"/>
      </w:r>
      <w:r>
        <w:t>54</w:t>
      </w:r>
      <w:r>
        <w:fldChar w:fldCharType="end"/>
      </w:r>
    </w:p>
    <w:p>
      <w:pPr>
        <w:pStyle w:val="TOC8"/>
        <w:rPr>
          <w:rFonts w:asciiTheme="minorHAnsi" w:eastAsiaTheme="minorEastAsia" w:hAnsiTheme="minorHAnsi" w:cstheme="minorBidi"/>
          <w:szCs w:val="22"/>
          <w:lang w:eastAsia="en-AU"/>
        </w:rPr>
      </w:pPr>
      <w:r>
        <w:t>62.</w:t>
      </w:r>
      <w:r>
        <w:tab/>
        <w:t>Requirement to maintain certain smoke alarms</w:t>
      </w:r>
      <w:r>
        <w:tab/>
      </w:r>
      <w:r>
        <w:fldChar w:fldCharType="begin"/>
      </w:r>
      <w:r>
        <w:instrText xml:space="preserve"> PAGEREF _Toc352667691 \h </w:instrText>
      </w:r>
      <w:r>
        <w:fldChar w:fldCharType="separate"/>
      </w:r>
      <w:r>
        <w:t>55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 xml:space="preserve">Part 9 — Transitional provisions relating to </w:t>
      </w:r>
      <w:r>
        <w:rPr>
          <w:i/>
        </w:rPr>
        <w:t>Local Government (Miscellaneous Provisions) Act 1960</w:t>
      </w:r>
      <w:r>
        <w:rPr>
          <w:vertAlign w:val="superscript"/>
        </w:rPr>
        <w:t> 2</w:t>
      </w:r>
    </w:p>
    <w:p>
      <w:pPr>
        <w:pStyle w:val="TOC8"/>
        <w:rPr>
          <w:rFonts w:asciiTheme="minorHAnsi" w:eastAsiaTheme="minorEastAsia" w:hAnsiTheme="minorHAnsi" w:cstheme="minorBidi"/>
          <w:szCs w:val="22"/>
          <w:lang w:eastAsia="en-AU"/>
        </w:rPr>
      </w:pPr>
      <w:r>
        <w:t>63.</w:t>
      </w:r>
      <w:r>
        <w:tab/>
      </w:r>
      <w:r>
        <w:rPr>
          <w:snapToGrid w:val="0"/>
        </w:rPr>
        <w:t>Notice to be given before commencing building or demolition work</w:t>
      </w:r>
      <w:r>
        <w:tab/>
      </w:r>
      <w:r>
        <w:fldChar w:fldCharType="begin"/>
      </w:r>
      <w:r>
        <w:instrText xml:space="preserve"> PAGEREF _Toc352667693 \h </w:instrText>
      </w:r>
      <w:r>
        <w:fldChar w:fldCharType="separate"/>
      </w:r>
      <w:r>
        <w:t>57</w:t>
      </w:r>
      <w:r>
        <w:fldChar w:fldCharType="end"/>
      </w:r>
    </w:p>
    <w:p>
      <w:pPr>
        <w:pStyle w:val="TOC8"/>
        <w:rPr>
          <w:rFonts w:asciiTheme="minorHAnsi" w:eastAsiaTheme="minorEastAsia" w:hAnsiTheme="minorHAnsi" w:cstheme="minorBidi"/>
          <w:szCs w:val="22"/>
          <w:lang w:eastAsia="en-AU"/>
        </w:rPr>
      </w:pPr>
      <w:r>
        <w:t>64.</w:t>
      </w:r>
      <w:r>
        <w:tab/>
      </w:r>
      <w:r>
        <w:rPr>
          <w:snapToGrid w:val="0"/>
        </w:rPr>
        <w:t>No materials to be deposited on streets without licence</w:t>
      </w:r>
      <w:r>
        <w:tab/>
      </w:r>
      <w:r>
        <w:fldChar w:fldCharType="begin"/>
      </w:r>
      <w:r>
        <w:instrText xml:space="preserve"> PAGEREF _Toc352667694 \h </w:instrText>
      </w:r>
      <w:r>
        <w:fldChar w:fldCharType="separate"/>
      </w:r>
      <w:r>
        <w:t>57</w:t>
      </w:r>
      <w:r>
        <w:fldChar w:fldCharType="end"/>
      </w:r>
    </w:p>
    <w:p>
      <w:pPr>
        <w:pStyle w:val="TOC8"/>
        <w:rPr>
          <w:rFonts w:asciiTheme="minorHAnsi" w:eastAsiaTheme="minorEastAsia" w:hAnsiTheme="minorHAnsi" w:cstheme="minorBidi"/>
          <w:szCs w:val="22"/>
          <w:lang w:eastAsia="en-AU"/>
        </w:rPr>
      </w:pPr>
      <w:r>
        <w:t>65.</w:t>
      </w:r>
      <w:r>
        <w:tab/>
      </w:r>
      <w:r>
        <w:rPr>
          <w:snapToGrid w:val="0"/>
        </w:rPr>
        <w:t>Hoardings erected and materials deposited otherwise than as permitted by licence may be removed</w:t>
      </w:r>
      <w:r>
        <w:tab/>
      </w:r>
      <w:r>
        <w:fldChar w:fldCharType="begin"/>
      </w:r>
      <w:r>
        <w:instrText xml:space="preserve"> PAGEREF _Toc352667695 \h </w:instrText>
      </w:r>
      <w:r>
        <w:fldChar w:fldCharType="separate"/>
      </w:r>
      <w:r>
        <w:t>59</w:t>
      </w:r>
      <w:r>
        <w:fldChar w:fldCharType="end"/>
      </w:r>
    </w:p>
    <w:p>
      <w:pPr>
        <w:pStyle w:val="TOC8"/>
        <w:rPr>
          <w:rFonts w:asciiTheme="minorHAnsi" w:eastAsiaTheme="minorEastAsia" w:hAnsiTheme="minorHAnsi" w:cstheme="minorBidi"/>
          <w:szCs w:val="22"/>
          <w:lang w:eastAsia="en-AU"/>
        </w:rPr>
      </w:pPr>
      <w:r>
        <w:t>66.</w:t>
      </w:r>
      <w:r>
        <w:tab/>
      </w:r>
      <w:r>
        <w:rPr>
          <w:snapToGrid w:val="0"/>
        </w:rPr>
        <w:t>Damage done to footpaths, drains etc. to be made good</w:t>
      </w:r>
      <w:r>
        <w:tab/>
      </w:r>
      <w:r>
        <w:fldChar w:fldCharType="begin"/>
      </w:r>
      <w:r>
        <w:instrText xml:space="preserve"> PAGEREF _Toc352667696 \h </w:instrText>
      </w:r>
      <w:r>
        <w:fldChar w:fldCharType="separate"/>
      </w:r>
      <w:r>
        <w:t>60</w:t>
      </w:r>
      <w:r>
        <w:fldChar w:fldCharType="end"/>
      </w:r>
    </w:p>
    <w:p>
      <w:pPr>
        <w:pStyle w:val="TOC8"/>
        <w:rPr>
          <w:rFonts w:asciiTheme="minorHAnsi" w:eastAsiaTheme="minorEastAsia" w:hAnsiTheme="minorHAnsi" w:cstheme="minorBidi"/>
          <w:szCs w:val="22"/>
          <w:lang w:eastAsia="en-AU"/>
        </w:rPr>
      </w:pPr>
      <w:r>
        <w:t>67.</w:t>
      </w:r>
      <w:r>
        <w:tab/>
      </w:r>
      <w:r>
        <w:rPr>
          <w:snapToGrid w:val="0"/>
        </w:rPr>
        <w:t>While building is in progress footpath to be covered</w:t>
      </w:r>
      <w:r>
        <w:tab/>
      </w:r>
      <w:r>
        <w:fldChar w:fldCharType="begin"/>
      </w:r>
      <w:r>
        <w:instrText xml:space="preserve"> PAGEREF _Toc352667697 \h </w:instrText>
      </w:r>
      <w:r>
        <w:fldChar w:fldCharType="separate"/>
      </w:r>
      <w:r>
        <w:t>61</w:t>
      </w:r>
      <w:r>
        <w:fldChar w:fldCharType="end"/>
      </w:r>
    </w:p>
    <w:p>
      <w:pPr>
        <w:pStyle w:val="TOC8"/>
        <w:rPr>
          <w:rFonts w:asciiTheme="minorHAnsi" w:eastAsiaTheme="minorEastAsia" w:hAnsiTheme="minorHAnsi" w:cstheme="minorBidi"/>
          <w:szCs w:val="22"/>
          <w:lang w:eastAsia="en-AU"/>
        </w:rPr>
      </w:pPr>
      <w:r>
        <w:t>68.</w:t>
      </w:r>
      <w:r>
        <w:tab/>
        <w:t>Expiry of Part</w:t>
      </w:r>
      <w:r>
        <w:tab/>
      </w:r>
      <w:r>
        <w:fldChar w:fldCharType="begin"/>
      </w:r>
      <w:r>
        <w:instrText xml:space="preserve"> PAGEREF _Toc352667698 \h </w:instrText>
      </w:r>
      <w:r>
        <w:fldChar w:fldCharType="separate"/>
      </w:r>
      <w:r>
        <w:t>62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10 — Infringement notices</w:t>
      </w:r>
    </w:p>
    <w:p>
      <w:pPr>
        <w:pStyle w:val="TOC8"/>
        <w:rPr>
          <w:rFonts w:asciiTheme="minorHAnsi" w:eastAsiaTheme="minorEastAsia" w:hAnsiTheme="minorHAnsi" w:cstheme="minorBidi"/>
          <w:szCs w:val="22"/>
          <w:lang w:eastAsia="en-AU"/>
        </w:rPr>
      </w:pPr>
      <w:r>
        <w:t>69.</w:t>
      </w:r>
      <w:r>
        <w:tab/>
        <w:t>Prescribed offences and modified penalties</w:t>
      </w:r>
      <w:r>
        <w:tab/>
      </w:r>
      <w:r>
        <w:fldChar w:fldCharType="begin"/>
      </w:r>
      <w:r>
        <w:instrText xml:space="preserve"> PAGEREF _Toc352667700 \h </w:instrText>
      </w:r>
      <w:r>
        <w:fldChar w:fldCharType="separate"/>
      </w:r>
      <w:r>
        <w:t>63</w:t>
      </w:r>
      <w:r>
        <w:fldChar w:fldCharType="end"/>
      </w:r>
    </w:p>
    <w:p>
      <w:pPr>
        <w:pStyle w:val="TOC8"/>
        <w:rPr>
          <w:rFonts w:asciiTheme="minorHAnsi" w:eastAsiaTheme="minorEastAsia" w:hAnsiTheme="minorHAnsi" w:cstheme="minorBidi"/>
          <w:szCs w:val="22"/>
          <w:lang w:eastAsia="en-AU"/>
        </w:rPr>
      </w:pPr>
      <w:r>
        <w:t>70.</w:t>
      </w:r>
      <w:r>
        <w:tab/>
        <w:t>Approved officers and authorised officers</w:t>
      </w:r>
      <w:r>
        <w:tab/>
      </w:r>
      <w:r>
        <w:fldChar w:fldCharType="begin"/>
      </w:r>
      <w:r>
        <w:instrText xml:space="preserve"> PAGEREF _Toc352667701 \h </w:instrText>
      </w:r>
      <w:r>
        <w:fldChar w:fldCharType="separate"/>
      </w:r>
      <w:r>
        <w:t>63</w:t>
      </w:r>
      <w:r>
        <w:fldChar w:fldCharType="end"/>
      </w:r>
    </w:p>
    <w:p>
      <w:pPr>
        <w:pStyle w:val="TOC8"/>
        <w:rPr>
          <w:rFonts w:asciiTheme="minorHAnsi" w:eastAsiaTheme="minorEastAsia" w:hAnsiTheme="minorHAnsi" w:cstheme="minorBidi"/>
          <w:szCs w:val="22"/>
          <w:lang w:eastAsia="en-AU"/>
        </w:rPr>
      </w:pPr>
      <w:r>
        <w:t>71.</w:t>
      </w:r>
      <w:r>
        <w:tab/>
        <w:t>Forms</w:t>
      </w:r>
      <w:r>
        <w:tab/>
      </w:r>
      <w:r>
        <w:fldChar w:fldCharType="begin"/>
      </w:r>
      <w:r>
        <w:instrText xml:space="preserve"> PAGEREF _Toc352667702 \h </w:instrText>
      </w:r>
      <w:r>
        <w:fldChar w:fldCharType="separate"/>
      </w:r>
      <w:r>
        <w:t>64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 — Estimated value of building work</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_Toc352667704 \h </w:instrText>
      </w:r>
      <w:r>
        <w:fldChar w:fldCharType="separate"/>
      </w:r>
      <w:r>
        <w:t>65</w:t>
      </w:r>
      <w:r>
        <w:fldChar w:fldCharType="end"/>
      </w:r>
    </w:p>
    <w:p>
      <w:pPr>
        <w:pStyle w:val="TOC8"/>
        <w:rPr>
          <w:rFonts w:asciiTheme="minorHAnsi" w:eastAsiaTheme="minorEastAsia" w:hAnsiTheme="minorHAnsi" w:cstheme="minorBidi"/>
          <w:szCs w:val="22"/>
          <w:lang w:eastAsia="en-AU"/>
        </w:rPr>
      </w:pPr>
      <w:r>
        <w:t>2.</w:t>
      </w:r>
      <w:r>
        <w:tab/>
        <w:t>Estimated value of building work</w:t>
      </w:r>
      <w:r>
        <w:tab/>
      </w:r>
      <w:r>
        <w:fldChar w:fldCharType="begin"/>
      </w:r>
      <w:r>
        <w:instrText xml:space="preserve"> PAGEREF _Toc352667705 \h </w:instrText>
      </w:r>
      <w:r>
        <w:fldChar w:fldCharType="separate"/>
      </w:r>
      <w:r>
        <w:t>65</w:t>
      </w:r>
      <w:r>
        <w:fldChar w:fldCharType="end"/>
      </w:r>
    </w:p>
    <w:p>
      <w:pPr>
        <w:pStyle w:val="TOC8"/>
        <w:rPr>
          <w:rFonts w:asciiTheme="minorHAnsi" w:eastAsiaTheme="minorEastAsia" w:hAnsiTheme="minorHAnsi" w:cstheme="minorBidi"/>
          <w:szCs w:val="22"/>
          <w:lang w:eastAsia="en-AU"/>
        </w:rPr>
      </w:pPr>
      <w:r>
        <w:t>3.</w:t>
      </w:r>
      <w:r>
        <w:tab/>
        <w:t>Estimated value of unauthorised building work</w:t>
      </w:r>
      <w:r>
        <w:tab/>
      </w:r>
      <w:r>
        <w:fldChar w:fldCharType="begin"/>
      </w:r>
      <w:r>
        <w:instrText xml:space="preserve"> PAGEREF _Toc352667706 \h </w:instrText>
      </w:r>
      <w:r>
        <w:fldChar w:fldCharType="separate"/>
      </w:r>
      <w:r>
        <w:t>66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2 — Fees</w:t>
      </w:r>
    </w:p>
    <w:p>
      <w:pPr>
        <w:pStyle w:val="TOC4"/>
        <w:tabs>
          <w:tab w:val="right" w:leader="dot" w:pos="7086"/>
        </w:tabs>
        <w:rPr>
          <w:rFonts w:asciiTheme="minorHAnsi" w:eastAsiaTheme="minorEastAsia" w:hAnsiTheme="minorHAnsi" w:cstheme="minorBidi"/>
          <w:b w:val="0"/>
          <w:szCs w:val="22"/>
          <w:lang w:eastAsia="en-AU"/>
        </w:rPr>
      </w:pPr>
      <w:r>
        <w:t>Division 1 — Applications for building permits, demolition permits</w:t>
      </w:r>
    </w:p>
    <w:p>
      <w:pPr>
        <w:pStyle w:val="TOC4"/>
        <w:tabs>
          <w:tab w:val="right" w:leader="dot" w:pos="7086"/>
        </w:tabs>
        <w:rPr>
          <w:rFonts w:asciiTheme="minorHAnsi" w:eastAsiaTheme="minorEastAsia" w:hAnsiTheme="minorHAnsi" w:cstheme="minorBidi"/>
          <w:b w:val="0"/>
          <w:szCs w:val="22"/>
          <w:lang w:eastAsia="en-AU"/>
        </w:rPr>
      </w:pPr>
      <w:r>
        <w:t>Division 2 — Application for occupancy permits, building approval certificates</w:t>
      </w:r>
    </w:p>
    <w:p>
      <w:pPr>
        <w:pStyle w:val="TOC4"/>
        <w:tabs>
          <w:tab w:val="right" w:leader="dot" w:pos="7086"/>
        </w:tabs>
        <w:rPr>
          <w:rFonts w:asciiTheme="minorHAnsi" w:eastAsiaTheme="minorEastAsia" w:hAnsiTheme="minorHAnsi" w:cstheme="minorBidi"/>
          <w:b w:val="0"/>
          <w:szCs w:val="22"/>
          <w:lang w:eastAsia="en-AU"/>
        </w:rPr>
      </w:pPr>
      <w:r>
        <w:t>Division 3 — Other applications</w:t>
      </w:r>
    </w:p>
    <w:p>
      <w:pPr>
        <w:pStyle w:val="TOC2"/>
        <w:tabs>
          <w:tab w:val="right" w:leader="dot" w:pos="7086"/>
        </w:tabs>
        <w:rPr>
          <w:rFonts w:asciiTheme="minorHAnsi" w:eastAsiaTheme="minorEastAsia" w:hAnsiTheme="minorHAnsi" w:cstheme="minorBidi"/>
          <w:b w:val="0"/>
          <w:sz w:val="22"/>
          <w:szCs w:val="22"/>
          <w:lang w:eastAsia="en-AU"/>
        </w:rPr>
      </w:pPr>
      <w:r>
        <w:t>Schedule 3 — Inspections or tests of systems</w:t>
      </w:r>
    </w:p>
    <w:p>
      <w:pPr>
        <w:pStyle w:val="TOC8"/>
        <w:rPr>
          <w:rFonts w:asciiTheme="minorHAnsi" w:eastAsiaTheme="minorEastAsia" w:hAnsiTheme="minorHAnsi" w:cstheme="minorBidi"/>
          <w:szCs w:val="22"/>
          <w:lang w:eastAsia="en-AU"/>
        </w:rPr>
      </w:pPr>
      <w:r>
        <w:t>1.</w:t>
      </w:r>
      <w:r>
        <w:tab/>
        <w:t>Term used: EP</w:t>
      </w:r>
      <w:r>
        <w:tab/>
      </w:r>
      <w:r>
        <w:fldChar w:fldCharType="begin"/>
      </w:r>
      <w:r>
        <w:instrText xml:space="preserve"> PAGEREF _Toc352667712 \h </w:instrText>
      </w:r>
      <w:r>
        <w:fldChar w:fldCharType="separate"/>
      </w:r>
      <w:r>
        <w:t>70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4 — Building work that does not require building permit</w:t>
      </w:r>
    </w:p>
    <w:p>
      <w:pPr>
        <w:pStyle w:val="TOC8"/>
        <w:rPr>
          <w:rFonts w:asciiTheme="minorHAnsi" w:eastAsiaTheme="minorEastAsia" w:hAnsiTheme="minorHAnsi" w:cstheme="minorBidi"/>
          <w:szCs w:val="22"/>
          <w:lang w:eastAsia="en-AU"/>
        </w:rPr>
      </w:pPr>
      <w:r>
        <w:t>1.</w:t>
      </w:r>
      <w:r>
        <w:tab/>
        <w:t>Areas where building permit not required for certain work</w:t>
      </w:r>
      <w:r>
        <w:tab/>
      </w:r>
      <w:r>
        <w:fldChar w:fldCharType="begin"/>
      </w:r>
      <w:r>
        <w:instrText xml:space="preserve"> PAGEREF _Toc352667714 \h </w:instrText>
      </w:r>
      <w:r>
        <w:fldChar w:fldCharType="separate"/>
      </w:r>
      <w:r>
        <w:t>71</w:t>
      </w:r>
      <w:r>
        <w:fldChar w:fldCharType="end"/>
      </w:r>
    </w:p>
    <w:p>
      <w:pPr>
        <w:pStyle w:val="TOC8"/>
        <w:rPr>
          <w:rFonts w:asciiTheme="minorHAnsi" w:eastAsiaTheme="minorEastAsia" w:hAnsiTheme="minorHAnsi" w:cstheme="minorBidi"/>
          <w:szCs w:val="22"/>
          <w:lang w:eastAsia="en-AU"/>
        </w:rPr>
      </w:pPr>
      <w:r>
        <w:t>2.</w:t>
      </w:r>
      <w:r>
        <w:tab/>
        <w:t>Kinds of building work for which a building permit is not required</w:t>
      </w:r>
      <w:r>
        <w:tab/>
      </w:r>
      <w:r>
        <w:fldChar w:fldCharType="begin"/>
      </w:r>
      <w:r>
        <w:instrText xml:space="preserve"> PAGEREF _Toc352667715 \h </w:instrText>
      </w:r>
      <w:r>
        <w:fldChar w:fldCharType="separate"/>
      </w:r>
      <w:r>
        <w:t>78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5 — Areas of State where Part 8 Division 2 applies</w:t>
      </w:r>
    </w:p>
    <w:p>
      <w:pPr>
        <w:pStyle w:val="TOC2"/>
        <w:tabs>
          <w:tab w:val="right" w:leader="dot" w:pos="7086"/>
        </w:tabs>
        <w:rPr>
          <w:rFonts w:asciiTheme="minorHAnsi" w:eastAsiaTheme="minorEastAsia" w:hAnsiTheme="minorHAnsi" w:cstheme="minorBidi"/>
          <w:b w:val="0"/>
          <w:sz w:val="22"/>
          <w:szCs w:val="22"/>
          <w:lang w:eastAsia="en-AU"/>
        </w:rPr>
      </w:pPr>
      <w:r>
        <w:t>Schedule 6 — Prescribed offences and modified penalties</w:t>
      </w:r>
    </w:p>
    <w:p>
      <w:pPr>
        <w:pStyle w:val="TOC2"/>
        <w:tabs>
          <w:tab w:val="right" w:leader="dot" w:pos="7086"/>
        </w:tabs>
        <w:rPr>
          <w:rFonts w:asciiTheme="minorHAnsi" w:eastAsiaTheme="minorEastAsia" w:hAnsiTheme="minorHAnsi" w:cstheme="minorBidi"/>
          <w:b w:val="0"/>
          <w:sz w:val="22"/>
          <w:szCs w:val="22"/>
          <w:lang w:eastAsia="en-AU"/>
        </w:rPr>
      </w:pPr>
      <w:r>
        <w:t>Schedule 7 — Forms</w:t>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Compilation table</w:t>
      </w:r>
      <w:r>
        <w:tab/>
      </w:r>
      <w:r>
        <w:fldChar w:fldCharType="begin"/>
      </w:r>
      <w:r>
        <w:instrText xml:space="preserve"> PAGEREF _Toc352667720 \h </w:instrText>
      </w:r>
      <w:r>
        <w:fldChar w:fldCharType="separate"/>
      </w:r>
      <w:r>
        <w:t>93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PrincipalActReg"/>
      </w:pPr>
      <w:r>
        <w:t>Building Act 2011</w:t>
      </w:r>
    </w:p>
    <w:p>
      <w:pPr>
        <w:pStyle w:val="NameofActReg"/>
      </w:pPr>
      <w:r>
        <w:t>Building Regulations 2012</w:t>
      </w:r>
    </w:p>
    <w:p>
      <w:pPr>
        <w:pStyle w:val="Heading2"/>
        <w:keepNext w:val="0"/>
        <w:pageBreakBefore w:val="0"/>
        <w:spacing w:before="240"/>
      </w:pPr>
      <w:bookmarkStart w:id="1" w:name="_Toc305750105"/>
      <w:bookmarkStart w:id="2" w:name="_Toc305766355"/>
      <w:bookmarkStart w:id="3" w:name="_Toc305767125"/>
      <w:bookmarkStart w:id="4" w:name="_Toc305768203"/>
      <w:bookmarkStart w:id="5" w:name="_Toc305768282"/>
      <w:bookmarkStart w:id="6" w:name="_Toc305768465"/>
      <w:bookmarkStart w:id="7" w:name="_Toc305768727"/>
      <w:bookmarkStart w:id="8" w:name="_Toc307926050"/>
      <w:bookmarkStart w:id="9" w:name="_Toc308018979"/>
      <w:bookmarkStart w:id="10" w:name="_Toc308019060"/>
      <w:bookmarkStart w:id="11" w:name="_Toc308019324"/>
      <w:bookmarkStart w:id="12" w:name="_Toc308074404"/>
      <w:bookmarkStart w:id="13" w:name="_Toc308089770"/>
      <w:bookmarkStart w:id="14" w:name="_Toc308173205"/>
      <w:bookmarkStart w:id="15" w:name="_Toc308173318"/>
      <w:bookmarkStart w:id="16" w:name="_Toc308181173"/>
      <w:bookmarkStart w:id="17" w:name="_Toc308532420"/>
      <w:bookmarkStart w:id="18" w:name="_Toc308532505"/>
      <w:bookmarkStart w:id="19" w:name="_Toc308601794"/>
      <w:bookmarkStart w:id="20" w:name="_Toc309051532"/>
      <w:bookmarkStart w:id="21" w:name="_Toc309907213"/>
      <w:bookmarkStart w:id="22" w:name="_Toc309907299"/>
      <w:bookmarkStart w:id="23" w:name="_Toc309911916"/>
      <w:bookmarkStart w:id="24" w:name="_Toc309914624"/>
      <w:bookmarkStart w:id="25" w:name="_Toc309985809"/>
      <w:bookmarkStart w:id="26" w:name="_Toc309987221"/>
      <w:bookmarkStart w:id="27" w:name="_Toc309987392"/>
      <w:bookmarkStart w:id="28" w:name="_Toc309994830"/>
      <w:bookmarkStart w:id="29" w:name="_Toc309995679"/>
      <w:bookmarkStart w:id="30" w:name="_Toc309995766"/>
      <w:bookmarkStart w:id="31" w:name="_Toc309995853"/>
      <w:bookmarkStart w:id="32" w:name="_Toc309996948"/>
      <w:bookmarkStart w:id="33" w:name="_Toc309997035"/>
      <w:bookmarkStart w:id="34" w:name="_Toc309998250"/>
      <w:bookmarkStart w:id="35" w:name="_Toc317504807"/>
      <w:bookmarkStart w:id="36" w:name="_Toc317504900"/>
      <w:bookmarkStart w:id="37" w:name="_Toc317516348"/>
      <w:bookmarkStart w:id="38" w:name="_Toc317843137"/>
      <w:bookmarkStart w:id="39" w:name="_Toc317852766"/>
      <w:bookmarkStart w:id="40" w:name="_Toc317853192"/>
      <w:bookmarkStart w:id="41" w:name="_Toc317854405"/>
      <w:bookmarkStart w:id="42" w:name="_Toc317856760"/>
      <w:bookmarkStart w:id="43" w:name="_Toc317856948"/>
      <w:bookmarkStart w:id="44" w:name="_Toc317857516"/>
      <w:bookmarkStart w:id="45" w:name="_Toc317858358"/>
      <w:bookmarkStart w:id="46" w:name="_Toc317858967"/>
      <w:bookmarkStart w:id="47" w:name="_Toc317861712"/>
      <w:bookmarkStart w:id="48" w:name="_Toc317862118"/>
      <w:bookmarkStart w:id="49" w:name="_Toc318116610"/>
      <w:bookmarkStart w:id="50" w:name="_Toc318120355"/>
      <w:bookmarkStart w:id="51" w:name="_Toc319068332"/>
      <w:bookmarkStart w:id="52" w:name="_Toc319068426"/>
      <w:bookmarkStart w:id="53" w:name="_Toc319322066"/>
      <w:bookmarkStart w:id="54" w:name="_Toc319403165"/>
      <w:bookmarkStart w:id="55" w:name="_Toc320625475"/>
      <w:bookmarkStart w:id="56" w:name="_Toc320625750"/>
      <w:bookmarkStart w:id="57" w:name="_Toc320697790"/>
      <w:bookmarkStart w:id="58" w:name="_Toc327448430"/>
      <w:bookmarkStart w:id="59" w:name="_Toc327450522"/>
      <w:bookmarkStart w:id="60" w:name="_Toc341960190"/>
      <w:bookmarkStart w:id="61" w:name="_Toc341960287"/>
      <w:bookmarkStart w:id="62" w:name="_Toc341960600"/>
      <w:bookmarkStart w:id="63" w:name="_Toc343508951"/>
      <w:bookmarkStart w:id="64" w:name="_Toc343509899"/>
      <w:bookmarkStart w:id="65" w:name="_Toc352666305"/>
      <w:bookmarkStart w:id="66" w:name="_Toc352667478"/>
      <w:bookmarkStart w:id="67" w:name="_Toc35266760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pPr>
        <w:pStyle w:val="Heading5"/>
      </w:pPr>
      <w:bookmarkStart w:id="68" w:name="_Toc423332722"/>
      <w:bookmarkStart w:id="69" w:name="_Toc425219441"/>
      <w:bookmarkStart w:id="70" w:name="_Toc426249308"/>
      <w:bookmarkStart w:id="71" w:name="_Toc449924704"/>
      <w:bookmarkStart w:id="72" w:name="_Toc449947722"/>
      <w:bookmarkStart w:id="73" w:name="_Toc454185713"/>
      <w:bookmarkStart w:id="74" w:name="_Toc515958686"/>
      <w:bookmarkStart w:id="75" w:name="_Toc318120356"/>
      <w:bookmarkStart w:id="76" w:name="_Toc319068333"/>
      <w:bookmarkStart w:id="77" w:name="_Toc352667601"/>
      <w:r>
        <w:rPr>
          <w:rStyle w:val="CharSectno"/>
        </w:rPr>
        <w:t>1</w:t>
      </w:r>
      <w:r>
        <w:t>.</w:t>
      </w:r>
      <w:r>
        <w:tab/>
        <w:t>Citation</w:t>
      </w:r>
      <w:bookmarkEnd w:id="68"/>
      <w:bookmarkEnd w:id="69"/>
      <w:bookmarkEnd w:id="70"/>
      <w:bookmarkEnd w:id="71"/>
      <w:bookmarkEnd w:id="72"/>
      <w:bookmarkEnd w:id="73"/>
      <w:bookmarkEnd w:id="74"/>
      <w:bookmarkEnd w:id="75"/>
      <w:bookmarkEnd w:id="76"/>
      <w:bookmarkEnd w:id="77"/>
    </w:p>
    <w:p>
      <w:pPr>
        <w:pStyle w:val="Subsection"/>
        <w:rPr>
          <w:i/>
        </w:rPr>
      </w:pPr>
      <w:r>
        <w:tab/>
      </w:r>
      <w:r>
        <w:tab/>
      </w:r>
      <w:bookmarkStart w:id="78" w:name="Start_Cursor"/>
      <w:bookmarkEnd w:id="78"/>
      <w:r>
        <w:rPr>
          <w:spacing w:val="-2"/>
        </w:rPr>
        <w:t>These</w:t>
      </w:r>
      <w:r>
        <w:t xml:space="preserve"> </w:t>
      </w:r>
      <w:r>
        <w:rPr>
          <w:spacing w:val="-2"/>
        </w:rPr>
        <w:t>regulations</w:t>
      </w:r>
      <w:r>
        <w:t xml:space="preserve"> are the </w:t>
      </w:r>
      <w:r>
        <w:rPr>
          <w:i/>
        </w:rPr>
        <w:t>Building Regulations 2012</w:t>
      </w:r>
      <w:r>
        <w:t>.</w:t>
      </w:r>
    </w:p>
    <w:p>
      <w:pPr>
        <w:pStyle w:val="Heading5"/>
        <w:rPr>
          <w:spacing w:val="-2"/>
        </w:rPr>
      </w:pPr>
      <w:bookmarkStart w:id="79" w:name="_Toc423332723"/>
      <w:bookmarkStart w:id="80" w:name="_Toc425219442"/>
      <w:bookmarkStart w:id="81" w:name="_Toc426249309"/>
      <w:bookmarkStart w:id="82" w:name="_Toc449924705"/>
      <w:bookmarkStart w:id="83" w:name="_Toc449947723"/>
      <w:bookmarkStart w:id="84" w:name="_Toc454185714"/>
      <w:bookmarkStart w:id="85" w:name="_Toc515958687"/>
      <w:bookmarkStart w:id="86" w:name="_Toc318120357"/>
      <w:bookmarkStart w:id="87" w:name="_Toc319068334"/>
      <w:bookmarkStart w:id="88" w:name="_Toc352667602"/>
      <w:r>
        <w:rPr>
          <w:rStyle w:val="CharSectno"/>
        </w:rPr>
        <w:t>2</w:t>
      </w:r>
      <w:r>
        <w:rPr>
          <w:spacing w:val="-2"/>
        </w:rPr>
        <w:t>.</w:t>
      </w:r>
      <w:r>
        <w:rPr>
          <w:spacing w:val="-2"/>
        </w:rPr>
        <w:tab/>
        <w:t>Commencement</w:t>
      </w:r>
      <w:bookmarkEnd w:id="79"/>
      <w:bookmarkEnd w:id="80"/>
      <w:bookmarkEnd w:id="81"/>
      <w:bookmarkEnd w:id="82"/>
      <w:bookmarkEnd w:id="83"/>
      <w:bookmarkEnd w:id="84"/>
      <w:bookmarkEnd w:id="85"/>
      <w:bookmarkEnd w:id="86"/>
      <w:bookmarkEnd w:id="87"/>
      <w:bookmarkEnd w:id="88"/>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p>
    <w:p>
      <w:pPr>
        <w:pStyle w:val="Heading5"/>
      </w:pPr>
      <w:bookmarkStart w:id="89" w:name="_Toc320625114"/>
      <w:bookmarkStart w:id="90" w:name="_Toc352667603"/>
      <w:r>
        <w:rPr>
          <w:rStyle w:val="CharSectno"/>
        </w:rPr>
        <w:t>3</w:t>
      </w:r>
      <w:r>
        <w:t>.</w:t>
      </w:r>
      <w:r>
        <w:tab/>
        <w:t>Terms used</w:t>
      </w:r>
      <w:bookmarkEnd w:id="89"/>
      <w:bookmarkEnd w:id="90"/>
    </w:p>
    <w:p>
      <w:pPr>
        <w:pStyle w:val="Subsection"/>
      </w:pPr>
      <w:r>
        <w:tab/>
      </w:r>
      <w:r>
        <w:tab/>
        <w:t xml:space="preserve">In these regulations — </w:t>
      </w:r>
    </w:p>
    <w:p>
      <w:pPr>
        <w:pStyle w:val="Defstart"/>
      </w:pPr>
      <w:r>
        <w:tab/>
      </w:r>
      <w:r>
        <w:rPr>
          <w:rStyle w:val="CharDefText"/>
        </w:rPr>
        <w:t>alternative solution</w:t>
      </w:r>
      <w:r>
        <w:t xml:space="preserve"> has the meaning given in the Building Code Volume 1 Part A1;</w:t>
      </w:r>
    </w:p>
    <w:p>
      <w:pPr>
        <w:pStyle w:val="Defstart"/>
      </w:pPr>
      <w:r>
        <w:tab/>
      </w:r>
      <w:r>
        <w:rPr>
          <w:rStyle w:val="CharDefText"/>
        </w:rPr>
        <w:t>AS</w:t>
      </w:r>
      <w:r>
        <w:t xml:space="preserve"> followed by a designation refers to the Australian Standard having that designation that is published by Standards Australia;</w:t>
      </w:r>
    </w:p>
    <w:p>
      <w:pPr>
        <w:pStyle w:val="Defstart"/>
      </w:pPr>
      <w:r>
        <w:tab/>
      </w:r>
      <w:r>
        <w:rPr>
          <w:rStyle w:val="CharDefText"/>
        </w:rPr>
        <w:t>assessment method</w:t>
      </w:r>
      <w:r>
        <w:t xml:space="preserve"> has the meaning given in the Building Code Volume 1 Part A1;</w:t>
      </w:r>
    </w:p>
    <w:p>
      <w:pPr>
        <w:pStyle w:val="Defstart"/>
      </w:pPr>
      <w:r>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1 Part A1;</w:t>
      </w:r>
    </w:p>
    <w:p>
      <w:pPr>
        <w:pStyle w:val="Defstart"/>
      </w:pPr>
      <w:r>
        <w:tab/>
      </w:r>
      <w:r>
        <w:rPr>
          <w:rStyle w:val="CharDefText"/>
        </w:rPr>
        <w:t>private swimming pool</w:t>
      </w:r>
      <w:r>
        <w:t xml:space="preserve"> means a place or premises, including a spa</w:t>
      </w:r>
      <w:r>
        <w:noBreakHyphen/>
        <w:t>pool but not a spa</w:t>
      </w:r>
      <w:r>
        <w:noBreakHyphen/>
        <w:t>bath, provided for the purpose of swimming, wading or like activities —</w:t>
      </w:r>
    </w:p>
    <w:p>
      <w:pPr>
        <w:pStyle w:val="Defpara"/>
      </w:pPr>
      <w:r>
        <w:tab/>
        <w:t>(a)</w:t>
      </w:r>
      <w:r>
        <w:tab/>
        <w:t>which the public are not entitled to use; and</w:t>
      </w:r>
    </w:p>
    <w:p>
      <w:pPr>
        <w:pStyle w:val="Defpara"/>
      </w:pPr>
      <w:r>
        <w:tab/>
        <w:t>(b)</w:t>
      </w:r>
      <w:r>
        <w:tab/>
        <w:t>which has the capacity to contain water that is more than 300 mm deep;</w:t>
      </w:r>
    </w:p>
    <w:p>
      <w:pPr>
        <w:pStyle w:val="Defstart"/>
      </w:pPr>
      <w:r>
        <w:tab/>
      </w:r>
      <w:r>
        <w:rPr>
          <w:rStyle w:val="CharDefText"/>
        </w:rPr>
        <w:t>section</w:t>
      </w:r>
      <w:r>
        <w:t xml:space="preserve"> means section of the Act;</w:t>
      </w:r>
    </w:p>
    <w:p>
      <w:pPr>
        <w:pStyle w:val="Defstart"/>
      </w:pPr>
      <w:r>
        <w:tab/>
      </w:r>
      <w:r>
        <w:rPr>
          <w:rStyle w:val="CharDefText"/>
        </w:rPr>
        <w:t>townsite</w:t>
      </w:r>
      <w:r>
        <w:t xml:space="preserve"> means a townsite constituted under the </w:t>
      </w:r>
      <w:r>
        <w:rPr>
          <w:i/>
        </w:rPr>
        <w:t xml:space="preserve">Land Administration Act 1997 </w:t>
      </w:r>
      <w:r>
        <w:t>section 26(2).</w:t>
      </w:r>
    </w:p>
    <w:p>
      <w:pPr>
        <w:pStyle w:val="Footnotesection"/>
      </w:pPr>
      <w:r>
        <w:tab/>
        <w:t>[Regulation 3 amended in Gazette 30 Nov 2012 p. 5782.]</w:t>
      </w:r>
    </w:p>
    <w:p>
      <w:pPr>
        <w:pStyle w:val="Heading2"/>
      </w:pPr>
      <w:bookmarkStart w:id="91" w:name="_Toc320625115"/>
      <w:bookmarkStart w:id="92" w:name="_Toc320625479"/>
      <w:bookmarkStart w:id="93" w:name="_Toc320625754"/>
      <w:bookmarkStart w:id="94" w:name="_Toc320697794"/>
      <w:bookmarkStart w:id="95" w:name="_Toc327448434"/>
      <w:bookmarkStart w:id="96" w:name="_Toc327450526"/>
      <w:bookmarkStart w:id="97" w:name="_Toc341960194"/>
      <w:bookmarkStart w:id="98" w:name="_Toc341960291"/>
      <w:bookmarkStart w:id="99" w:name="_Toc341960604"/>
      <w:bookmarkStart w:id="100" w:name="_Toc343508955"/>
      <w:bookmarkStart w:id="101" w:name="_Toc343509903"/>
      <w:bookmarkStart w:id="102" w:name="_Toc352666309"/>
      <w:bookmarkStart w:id="103" w:name="_Toc352667482"/>
      <w:bookmarkStart w:id="104" w:name="_Toc352667604"/>
      <w:r>
        <w:rPr>
          <w:rStyle w:val="CharPartNo"/>
        </w:rPr>
        <w:t>Part 2</w:t>
      </w:r>
      <w:r>
        <w:rPr>
          <w:rStyle w:val="CharDivNo"/>
        </w:rPr>
        <w:t> </w:t>
      </w:r>
      <w:r>
        <w:t>—</w:t>
      </w:r>
      <w:r>
        <w:rPr>
          <w:rStyle w:val="CharDivText"/>
        </w:rPr>
        <w:t> </w:t>
      </w:r>
      <w:r>
        <w:rPr>
          <w:rStyle w:val="CharPartText"/>
        </w:rPr>
        <w:t>General matters</w:t>
      </w:r>
      <w:bookmarkEnd w:id="91"/>
      <w:bookmarkEnd w:id="92"/>
      <w:bookmarkEnd w:id="93"/>
      <w:bookmarkEnd w:id="94"/>
      <w:bookmarkEnd w:id="95"/>
      <w:bookmarkEnd w:id="96"/>
      <w:bookmarkEnd w:id="97"/>
      <w:bookmarkEnd w:id="98"/>
      <w:bookmarkEnd w:id="99"/>
      <w:bookmarkEnd w:id="100"/>
      <w:bookmarkEnd w:id="101"/>
      <w:bookmarkEnd w:id="102"/>
      <w:bookmarkEnd w:id="103"/>
      <w:bookmarkEnd w:id="104"/>
    </w:p>
    <w:p>
      <w:pPr>
        <w:pStyle w:val="Heading5"/>
      </w:pPr>
      <w:bookmarkStart w:id="105" w:name="_Toc320625116"/>
      <w:bookmarkStart w:id="106" w:name="_Toc352667605"/>
      <w:r>
        <w:rPr>
          <w:rStyle w:val="CharSectno"/>
        </w:rPr>
        <w:t>4</w:t>
      </w:r>
      <w:r>
        <w:t>.</w:t>
      </w:r>
      <w:r>
        <w:tab/>
        <w:t>Approval of manner or form of things (s. 3)</w:t>
      </w:r>
      <w:bookmarkEnd w:id="105"/>
      <w:bookmarkEnd w:id="106"/>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jc w:val="center"/>
              <w:rPr>
                <w:b/>
                <w:bCs/>
              </w:rPr>
            </w:pPr>
            <w:r>
              <w:rPr>
                <w:b/>
                <w:bCs/>
              </w:rPr>
              <w:t>Section</w:t>
            </w:r>
          </w:p>
        </w:tc>
        <w:tc>
          <w:tcPr>
            <w:tcW w:w="4252" w:type="dxa"/>
          </w:tcPr>
          <w:p>
            <w:pPr>
              <w:pStyle w:val="TableNAm"/>
              <w:keepNext/>
              <w:keepLines/>
              <w:jc w:val="center"/>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107" w:name="_Toc352667606"/>
      <w:bookmarkStart w:id="108" w:name="_Toc320625117"/>
      <w:r>
        <w:rPr>
          <w:rStyle w:val="CharSectno"/>
        </w:rPr>
        <w:t>5A</w:t>
      </w:r>
      <w:r>
        <w:t>.</w:t>
      </w:r>
      <w:r>
        <w:tab/>
        <w:t>Authorised persons (s. 3)</w:t>
      </w:r>
      <w:bookmarkEnd w:id="107"/>
    </w:p>
    <w:p>
      <w:pPr>
        <w:pStyle w:val="Subsection"/>
      </w:pPr>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p>
    <w:p>
      <w:pPr>
        <w:pStyle w:val="Footnotesection"/>
      </w:pPr>
      <w:r>
        <w:tab/>
        <w:t>[Regulation 5A inserted in Gazette 18 Dec 2012 p. 6555-6.]</w:t>
      </w:r>
    </w:p>
    <w:p>
      <w:pPr>
        <w:pStyle w:val="Heading5"/>
      </w:pPr>
      <w:bookmarkStart w:id="109" w:name="_Toc352667607"/>
      <w:r>
        <w:rPr>
          <w:rStyle w:val="CharSectno"/>
        </w:rPr>
        <w:t>5</w:t>
      </w:r>
      <w:r>
        <w:t>.</w:t>
      </w:r>
      <w:r>
        <w:tab/>
        <w:t>Building surveyors (s. 3)</w:t>
      </w:r>
      <w:bookmarkEnd w:id="108"/>
      <w:bookmarkEnd w:id="109"/>
    </w:p>
    <w:p>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81"/>
        <w:gridCol w:w="2409"/>
        <w:gridCol w:w="2977"/>
      </w:tblGrid>
      <w:tr>
        <w:trPr>
          <w:cantSplit/>
          <w:tblHeader/>
        </w:trPr>
        <w:tc>
          <w:tcPr>
            <w:tcW w:w="681" w:type="dxa"/>
          </w:tcPr>
          <w:p>
            <w:pPr>
              <w:pStyle w:val="TableNAm"/>
              <w:tabs>
                <w:tab w:val="left" w:pos="6"/>
              </w:tabs>
              <w:ind w:left="6" w:hanging="142"/>
              <w:jc w:val="center"/>
              <w:rPr>
                <w:b/>
                <w:bCs/>
              </w:rPr>
            </w:pPr>
            <w:r>
              <w:rPr>
                <w:b/>
                <w:bCs/>
              </w:rPr>
              <w:t>Item</w:t>
            </w:r>
          </w:p>
        </w:tc>
        <w:tc>
          <w:tcPr>
            <w:tcW w:w="2409" w:type="dxa"/>
          </w:tcPr>
          <w:p>
            <w:pPr>
              <w:pStyle w:val="TableNAm"/>
              <w:jc w:val="center"/>
              <w:rPr>
                <w:b/>
                <w:bCs/>
              </w:rPr>
            </w:pPr>
            <w:r>
              <w:rPr>
                <w:b/>
                <w:bCs/>
              </w:rPr>
              <w:t>Class of building service practitioner</w:t>
            </w:r>
          </w:p>
        </w:tc>
        <w:tc>
          <w:tcPr>
            <w:tcW w:w="2977" w:type="dxa"/>
          </w:tcPr>
          <w:p>
            <w:pPr>
              <w:pStyle w:val="TableNAm"/>
              <w:jc w:val="center"/>
              <w:rPr>
                <w:b/>
                <w:bCs/>
              </w:rPr>
            </w:pPr>
            <w:r>
              <w:rPr>
                <w:b/>
                <w:bCs/>
              </w:rPr>
              <w:t>Type of building</w:t>
            </w:r>
          </w:p>
        </w:tc>
      </w:tr>
      <w:tr>
        <w:trPr>
          <w:cantSplit/>
        </w:trPr>
        <w:tc>
          <w:tcPr>
            <w:tcW w:w="681" w:type="dxa"/>
          </w:tcPr>
          <w:p>
            <w:pPr>
              <w:pStyle w:val="TableNAm"/>
            </w:pPr>
            <w:r>
              <w:t>1.</w:t>
            </w:r>
          </w:p>
        </w:tc>
        <w:tc>
          <w:tcPr>
            <w:tcW w:w="2409" w:type="dxa"/>
          </w:tcPr>
          <w:p>
            <w:pPr>
              <w:pStyle w:val="TableNAm"/>
            </w:pPr>
            <w:r>
              <w:t>Building surveying practitioner level 1</w:t>
            </w:r>
          </w:p>
        </w:tc>
        <w:tc>
          <w:tcPr>
            <w:tcW w:w="2977" w:type="dxa"/>
          </w:tcPr>
          <w:p>
            <w:pPr>
              <w:pStyle w:val="TableNAm"/>
            </w:pPr>
            <w:r>
              <w:t>Any type of building or incidental structure</w:t>
            </w:r>
          </w:p>
        </w:tc>
      </w:tr>
      <w:tr>
        <w:trPr>
          <w:cantSplit/>
        </w:trPr>
        <w:tc>
          <w:tcPr>
            <w:tcW w:w="681" w:type="dxa"/>
            <w:tcBorders>
              <w:bottom w:val="nil"/>
            </w:tcBorders>
          </w:tcPr>
          <w:p>
            <w:pPr>
              <w:pStyle w:val="TableNAm"/>
            </w:pPr>
            <w:r>
              <w:t>2.</w:t>
            </w:r>
          </w:p>
        </w:tc>
        <w:tc>
          <w:tcPr>
            <w:tcW w:w="2409" w:type="dxa"/>
            <w:tcBorders>
              <w:bottom w:val="nil"/>
            </w:tcBorders>
          </w:tcPr>
          <w:p>
            <w:pPr>
              <w:pStyle w:val="TableNAm"/>
            </w:pPr>
            <w:r>
              <w:t>Building surveying practitioner level 2</w:t>
            </w:r>
          </w:p>
        </w:tc>
        <w:tc>
          <w:tcPr>
            <w:tcW w:w="2977" w:type="dxa"/>
            <w:tcBorders>
              <w:bottom w:val="nil"/>
            </w:tcBorders>
          </w:tcPr>
          <w:p>
            <w:pPr>
              <w:pStyle w:val="TableNAm"/>
            </w:pPr>
            <w:r>
              <w:t xml:space="preserve">A building or incidental structure — </w:t>
            </w:r>
          </w:p>
          <w:p>
            <w:pPr>
              <w:pStyle w:val="TableNAm"/>
              <w:tabs>
                <w:tab w:val="clear" w:pos="567"/>
                <w:tab w:val="left" w:pos="375"/>
              </w:tabs>
              <w:ind w:left="374" w:hanging="374"/>
            </w:pPr>
            <w:r>
              <w:t>(a)</w:t>
            </w:r>
            <w:r>
              <w:tab/>
              <w:t>with a floor area not exceeding 2 000 m</w:t>
            </w:r>
            <w:r>
              <w:rPr>
                <w:vertAlign w:val="superscript"/>
              </w:rPr>
              <w:t>2</w:t>
            </w:r>
            <w:r>
              <w:t>; and</w:t>
            </w:r>
          </w:p>
        </w:tc>
      </w:tr>
      <w:tr>
        <w:trPr>
          <w:cantSplit/>
        </w:trPr>
        <w:tc>
          <w:tcPr>
            <w:tcW w:w="681" w:type="dxa"/>
            <w:tcBorders>
              <w:top w:val="nil"/>
            </w:tcBorders>
          </w:tcPr>
          <w:p>
            <w:pPr>
              <w:pStyle w:val="TableNAm"/>
              <w:spacing w:before="0"/>
            </w:pPr>
          </w:p>
        </w:tc>
        <w:tc>
          <w:tcPr>
            <w:tcW w:w="2409" w:type="dxa"/>
            <w:tcBorders>
              <w:top w:val="nil"/>
            </w:tcBorders>
          </w:tcPr>
          <w:p>
            <w:pPr>
              <w:pStyle w:val="TableNAm"/>
              <w:spacing w:before="0"/>
            </w:pPr>
          </w:p>
        </w:tc>
        <w:tc>
          <w:tcPr>
            <w:tcW w:w="2977" w:type="dxa"/>
            <w:tcBorders>
              <w:top w:val="nil"/>
            </w:tcBorders>
          </w:tcPr>
          <w:p>
            <w:pPr>
              <w:pStyle w:val="TableNAm"/>
              <w:tabs>
                <w:tab w:val="clear" w:pos="567"/>
                <w:tab w:val="left" w:pos="375"/>
              </w:tabs>
              <w:spacing w:before="0"/>
              <w:ind w:left="374" w:hanging="374"/>
            </w:pPr>
            <w:r>
              <w:t>(b)</w:t>
            </w:r>
            <w:r>
              <w:tab/>
              <w:t>not higher than 3 storeys</w:t>
            </w:r>
          </w:p>
        </w:tc>
      </w:tr>
      <w:tr>
        <w:trPr>
          <w:cantSplit/>
        </w:trPr>
        <w:tc>
          <w:tcPr>
            <w:tcW w:w="681" w:type="dxa"/>
            <w:tcBorders>
              <w:bottom w:val="nil"/>
            </w:tcBorders>
          </w:tcPr>
          <w:p>
            <w:pPr>
              <w:pStyle w:val="TableNAm"/>
            </w:pPr>
            <w:r>
              <w:t>3.</w:t>
            </w:r>
          </w:p>
        </w:tc>
        <w:tc>
          <w:tcPr>
            <w:tcW w:w="2409" w:type="dxa"/>
            <w:tcBorders>
              <w:bottom w:val="nil"/>
            </w:tcBorders>
          </w:tcPr>
          <w:p>
            <w:pPr>
              <w:pStyle w:val="TableNAm"/>
            </w:pPr>
            <w:r>
              <w:t>Building surveying practitioner technician</w:t>
            </w:r>
          </w:p>
        </w:tc>
        <w:tc>
          <w:tcPr>
            <w:tcW w:w="2977" w:type="dxa"/>
            <w:tcBorders>
              <w:bottom w:val="nil"/>
            </w:tcBorders>
          </w:tcPr>
          <w:p>
            <w:pPr>
              <w:pStyle w:val="TableNAm"/>
              <w:tabs>
                <w:tab w:val="clear" w:pos="567"/>
                <w:tab w:val="left" w:pos="34"/>
              </w:tabs>
            </w:pPr>
            <w:r>
              <w:t xml:space="preserve">A building or incidental structure — </w:t>
            </w:r>
          </w:p>
          <w:p>
            <w:pPr>
              <w:pStyle w:val="TableNAm"/>
              <w:tabs>
                <w:tab w:val="clear" w:pos="567"/>
                <w:tab w:val="left" w:pos="375"/>
              </w:tabs>
              <w:ind w:left="375" w:hanging="375"/>
            </w:pPr>
            <w:r>
              <w:t>(a)</w:t>
            </w:r>
            <w:r>
              <w:tab/>
              <w:t>with a floor area not exceeding 500 m</w:t>
            </w:r>
            <w:r>
              <w:rPr>
                <w:vertAlign w:val="superscript"/>
              </w:rPr>
              <w:t>2</w:t>
            </w:r>
            <w:r>
              <w:t>; and</w:t>
            </w:r>
          </w:p>
        </w:tc>
      </w:tr>
      <w:tr>
        <w:trPr>
          <w:cantSplit/>
        </w:trPr>
        <w:tc>
          <w:tcPr>
            <w:tcW w:w="681" w:type="dxa"/>
            <w:tcBorders>
              <w:top w:val="nil"/>
            </w:tcBorders>
          </w:tcPr>
          <w:p>
            <w:pPr>
              <w:pStyle w:val="TableNAm"/>
              <w:spacing w:before="0"/>
            </w:pPr>
          </w:p>
        </w:tc>
        <w:tc>
          <w:tcPr>
            <w:tcW w:w="2409" w:type="dxa"/>
            <w:tcBorders>
              <w:top w:val="nil"/>
            </w:tcBorders>
          </w:tcPr>
          <w:p>
            <w:pPr>
              <w:pStyle w:val="TableNAm"/>
              <w:spacing w:before="0"/>
            </w:pPr>
          </w:p>
        </w:tc>
        <w:tc>
          <w:tcPr>
            <w:tcW w:w="2977" w:type="dxa"/>
            <w:tcBorders>
              <w:top w:val="nil"/>
            </w:tcBorders>
          </w:tcPr>
          <w:p>
            <w:pPr>
              <w:pStyle w:val="TableNAm"/>
              <w:tabs>
                <w:tab w:val="clear" w:pos="567"/>
                <w:tab w:val="left" w:pos="375"/>
              </w:tabs>
              <w:spacing w:before="0"/>
              <w:ind w:left="374" w:hanging="374"/>
            </w:pPr>
            <w:r>
              <w:t>(b)</w:t>
            </w:r>
            <w:r>
              <w:tab/>
              <w:t>not higher than 2 storeys</w:t>
            </w:r>
          </w:p>
        </w:tc>
      </w:tr>
    </w:tbl>
    <w:p>
      <w:pPr>
        <w:pStyle w:val="Heading5"/>
      </w:pPr>
      <w:bookmarkStart w:id="110" w:name="_Toc320625118"/>
      <w:bookmarkStart w:id="111" w:name="_Toc352667608"/>
      <w:r>
        <w:rPr>
          <w:rStyle w:val="CharSectno"/>
        </w:rPr>
        <w:t>6</w:t>
      </w:r>
      <w:r>
        <w:t>.</w:t>
      </w:r>
      <w:r>
        <w:tab/>
        <w:t>Classification of buildings and incidental structures (s. 3)</w:t>
      </w:r>
      <w:bookmarkEnd w:id="110"/>
      <w:bookmarkEnd w:id="111"/>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bookmarkStart w:id="112" w:name="_Toc320625119"/>
      <w:r>
        <w:t>[</w:t>
      </w:r>
      <w:r>
        <w:rPr>
          <w:b/>
        </w:rPr>
        <w:t>7-9.</w:t>
      </w:r>
      <w:r>
        <w:tab/>
        <w:t>Deleted in Gazette 18 Dec 2012 p. 6556.]</w:t>
      </w:r>
    </w:p>
    <w:p>
      <w:pPr>
        <w:pStyle w:val="Heading5"/>
      </w:pPr>
      <w:bookmarkStart w:id="113" w:name="_Toc320625122"/>
      <w:bookmarkStart w:id="114" w:name="_Toc352667609"/>
      <w:bookmarkEnd w:id="112"/>
      <w:r>
        <w:rPr>
          <w:rStyle w:val="CharSectno"/>
        </w:rPr>
        <w:t>10</w:t>
      </w:r>
      <w:r>
        <w:t>.</w:t>
      </w:r>
      <w:r>
        <w:tab/>
        <w:t>Owners of land (s. 5(1))</w:t>
      </w:r>
      <w:bookmarkEnd w:id="113"/>
      <w:bookmarkEnd w:id="114"/>
    </w:p>
    <w:p>
      <w:pPr>
        <w:pStyle w:val="Subsection"/>
      </w:pPr>
      <w:r>
        <w:tab/>
        <w:t>(1)</w:t>
      </w:r>
      <w:r>
        <w:tab/>
        <w:t xml:space="preserve">For the purposes of paragraph (c) of the definition of </w:t>
      </w:r>
      <w:r>
        <w:rPr>
          <w:b/>
          <w:i/>
        </w:rPr>
        <w:t>owner</w:t>
      </w:r>
      <w:r>
        <w:t xml:space="preserve">, in relation to land held in freehold in section 5(1) the following interests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Indenta"/>
      </w:pPr>
      <w:r>
        <w:tab/>
        <w:t>(c)</w:t>
      </w:r>
      <w:r>
        <w:tab/>
        <w:t xml:space="preserve">a freehold interest in land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freehold,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w:t>
      </w:r>
    </w:p>
    <w:p>
      <w:pPr>
        <w:pStyle w:val="Subsection"/>
      </w:pPr>
      <w:r>
        <w:tab/>
        <w:t>(2)</w:t>
      </w:r>
      <w:r>
        <w:tab/>
        <w:t xml:space="preserve">For the purposes of paragraph (a) of the definition of </w:t>
      </w:r>
      <w:r>
        <w:rPr>
          <w:b/>
          <w:i/>
        </w:rPr>
        <w:t>owner</w:t>
      </w:r>
      <w:r>
        <w:t xml:space="preserve"> in relation to Crown land in section 5(1) a person who is a proprietor of the land within the meaning of paragraph (b) of the definition of </w:t>
      </w:r>
      <w:r>
        <w:rPr>
          <w:b/>
          <w:i/>
        </w:rPr>
        <w:t>proprietor</w:t>
      </w:r>
      <w:r>
        <w:t xml:space="preserve"> in the </w:t>
      </w:r>
      <w:r>
        <w:rPr>
          <w:i/>
        </w:rPr>
        <w:t xml:space="preserve">Transfer of Land Act 1893 </w:t>
      </w:r>
      <w:r>
        <w:t>section 4(1) is prescribed.</w:t>
      </w:r>
    </w:p>
    <w:p>
      <w:pPr>
        <w:pStyle w:val="Subsection"/>
      </w:pPr>
      <w:bookmarkStart w:id="115" w:name="_Toc320625123"/>
      <w:r>
        <w:tab/>
        <w:t>(3)</w:t>
      </w:r>
      <w:r>
        <w:tab/>
        <w:t xml:space="preserve">For the purposes of paragraph (ba) of the definition of </w:t>
      </w:r>
      <w:r>
        <w:rPr>
          <w:b/>
          <w:i/>
        </w:rPr>
        <w:t>owner</w:t>
      </w:r>
      <w:r>
        <w:t>, in relation to Crown land, in section 5(1) the State is the owner of land for which neither a certificate of Crown land title nor a qualified certificate of Crown land title has been created and registered.</w:t>
      </w:r>
    </w:p>
    <w:p>
      <w:pPr>
        <w:pStyle w:val="Footnotesection"/>
      </w:pPr>
      <w:r>
        <w:tab/>
        <w:t>[Regulation 10 amended in Gazette 18 Dec 2012 p. 6556-7.]</w:t>
      </w:r>
    </w:p>
    <w:p>
      <w:pPr>
        <w:pStyle w:val="Heading5"/>
      </w:pPr>
      <w:bookmarkStart w:id="116" w:name="_Toc352667610"/>
      <w:r>
        <w:rPr>
          <w:rStyle w:val="CharSectno"/>
        </w:rPr>
        <w:t>11A</w:t>
      </w:r>
      <w:r>
        <w:t>.</w:t>
      </w:r>
      <w:r>
        <w:tab/>
        <w:t>Restriction on circumstances where person treated as owner (s. 5(2))</w:t>
      </w:r>
      <w:bookmarkEnd w:id="116"/>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in Gazette 15 Jun 2012 p. 2513.]</w:t>
      </w:r>
    </w:p>
    <w:p>
      <w:pPr>
        <w:pStyle w:val="Heading5"/>
      </w:pPr>
      <w:bookmarkStart w:id="117" w:name="_Toc352667611"/>
      <w:r>
        <w:rPr>
          <w:rStyle w:val="CharSectno"/>
        </w:rPr>
        <w:t>11</w:t>
      </w:r>
      <w:r>
        <w:t>.</w:t>
      </w:r>
      <w:r>
        <w:tab/>
        <w:t>Fees</w:t>
      </w:r>
      <w:bookmarkEnd w:id="115"/>
      <w:bookmarkEnd w:id="117"/>
    </w:p>
    <w:p>
      <w:pPr>
        <w:pStyle w:val="Subsection"/>
      </w:pPr>
      <w:r>
        <w:tab/>
      </w:r>
      <w:r>
        <w:tab/>
        <w:t>The fee for an application of a kind mentioned in an item set out in Schedule 2 is the fee specified in that item in relation to the application.</w:t>
      </w:r>
    </w:p>
    <w:p>
      <w:pPr>
        <w:pStyle w:val="Heading5"/>
      </w:pPr>
      <w:bookmarkStart w:id="118" w:name="_Toc320625124"/>
      <w:bookmarkStart w:id="119" w:name="_Toc352667612"/>
      <w:r>
        <w:rPr>
          <w:rStyle w:val="CharSectno"/>
        </w:rPr>
        <w:t>12</w:t>
      </w:r>
      <w:r>
        <w:t>.</w:t>
      </w:r>
      <w:r>
        <w:tab/>
        <w:t>Building records to be kept (s. 130)</w:t>
      </w:r>
      <w:bookmarkEnd w:id="118"/>
      <w:bookmarkEnd w:id="119"/>
    </w:p>
    <w:p>
      <w:pPr>
        <w:pStyle w:val="Subsection"/>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120" w:name="_Toc320625125"/>
      <w:bookmarkStart w:id="121" w:name="_Toc352667613"/>
      <w:r>
        <w:rPr>
          <w:rStyle w:val="CharSectno"/>
        </w:rPr>
        <w:t>13</w:t>
      </w:r>
      <w:r>
        <w:t>.</w:t>
      </w:r>
      <w:r>
        <w:tab/>
        <w:t>Inspection, copies of building records (s. 131)</w:t>
      </w:r>
      <w:bookmarkEnd w:id="120"/>
      <w:bookmarkEnd w:id="121"/>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bookmarkStart w:id="122" w:name="_Toc320625126"/>
      <w:r>
        <w:tab/>
        <w:t>[Regulation 13 amended in Gazette 30 Nov 2012 p. 5782.]</w:t>
      </w:r>
    </w:p>
    <w:p>
      <w:pPr>
        <w:pStyle w:val="Heading5"/>
      </w:pPr>
      <w:bookmarkStart w:id="123" w:name="_Toc352667614"/>
      <w:r>
        <w:rPr>
          <w:rStyle w:val="CharSectno"/>
        </w:rPr>
        <w:t>14</w:t>
      </w:r>
      <w:r>
        <w:t>.</w:t>
      </w:r>
      <w:r>
        <w:tab/>
        <w:t>Provision of information to Building Commissioner (s. 132)</w:t>
      </w:r>
      <w:bookmarkEnd w:id="122"/>
      <w:bookmarkEnd w:id="123"/>
    </w:p>
    <w:p>
      <w:pPr>
        <w:pStyle w:val="Subsection"/>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124" w:name="_Toc352667615"/>
      <w:bookmarkStart w:id="125" w:name="_Toc320625127"/>
      <w:bookmarkStart w:id="126" w:name="_Toc320625491"/>
      <w:bookmarkStart w:id="127" w:name="_Toc320625766"/>
      <w:bookmarkStart w:id="128" w:name="_Toc320697806"/>
      <w:bookmarkStart w:id="129" w:name="_Toc327448447"/>
      <w:bookmarkStart w:id="130" w:name="_Toc327450539"/>
      <w:bookmarkStart w:id="131" w:name="_Toc341960207"/>
      <w:bookmarkStart w:id="132" w:name="_Toc341960304"/>
      <w:bookmarkStart w:id="133" w:name="_Toc341960617"/>
      <w:r>
        <w:rPr>
          <w:rStyle w:val="CharSectno"/>
        </w:rPr>
        <w:t>15A</w:t>
      </w:r>
      <w:r>
        <w:t>.</w:t>
      </w:r>
      <w:r>
        <w:tab/>
        <w:t xml:space="preserve">Provision of information to </w:t>
      </w:r>
      <w:smartTag w:uri="urn:schemas-microsoft-com:office:smarttags" w:element="place">
        <w:r>
          <w:t>FES</w:t>
        </w:r>
      </w:smartTag>
      <w:r>
        <w:t xml:space="preserve"> Commissioner (s. 149)</w:t>
      </w:r>
      <w:bookmarkEnd w:id="124"/>
    </w:p>
    <w:p>
      <w:pPr>
        <w:pStyle w:val="Subsection"/>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must give to the FES Commissioner a copy of the occupancy permit.</w:t>
      </w:r>
    </w:p>
    <w:p>
      <w:pPr>
        <w:pStyle w:val="Subsection"/>
      </w:pPr>
      <w:r>
        <w:tab/>
        <w:t>(3)</w:t>
      </w:r>
      <w:r>
        <w:tab/>
        <w:t>The permit authority that modifies an occupancy permit must give to the FES Commissioner a copy of the form of modification.</w:t>
      </w:r>
    </w:p>
    <w:p>
      <w:pPr>
        <w:pStyle w:val="Footnotesection"/>
      </w:pPr>
      <w:r>
        <w:tab/>
        <w:t>[Regulation 15A inserted in Gazette 18 Dec 2012 p. 6557.]</w:t>
      </w:r>
    </w:p>
    <w:p>
      <w:pPr>
        <w:pStyle w:val="Heading2"/>
      </w:pPr>
      <w:bookmarkStart w:id="134" w:name="_Toc343508967"/>
      <w:bookmarkStart w:id="135" w:name="_Toc343509915"/>
      <w:bookmarkStart w:id="136" w:name="_Toc352666321"/>
      <w:bookmarkStart w:id="137" w:name="_Toc352667494"/>
      <w:bookmarkStart w:id="138" w:name="_Toc352667616"/>
      <w:r>
        <w:rPr>
          <w:rStyle w:val="CharPartNo"/>
        </w:rPr>
        <w:t>Part 3</w:t>
      </w:r>
      <w:r>
        <w:rPr>
          <w:rStyle w:val="CharDivNo"/>
        </w:rPr>
        <w:t> </w:t>
      </w:r>
      <w:r>
        <w:t>—</w:t>
      </w:r>
      <w:r>
        <w:rPr>
          <w:rStyle w:val="CharDivText"/>
        </w:rPr>
        <w:t> </w:t>
      </w:r>
      <w:r>
        <w:rPr>
          <w:rStyle w:val="CharPartText"/>
        </w:rPr>
        <w:t>Building and demolition permits</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Heading5"/>
      </w:pPr>
      <w:bookmarkStart w:id="139" w:name="_Toc320625128"/>
      <w:bookmarkStart w:id="140" w:name="_Toc352667617"/>
      <w:r>
        <w:rPr>
          <w:rStyle w:val="CharSectno"/>
        </w:rPr>
        <w:t>15</w:t>
      </w:r>
      <w:r>
        <w:t>.</w:t>
      </w:r>
      <w:r>
        <w:tab/>
        <w:t>Uncertified applications (s. 14(2))</w:t>
      </w:r>
      <w:bookmarkEnd w:id="139"/>
      <w:bookmarkEnd w:id="140"/>
    </w:p>
    <w:p>
      <w:pPr>
        <w:pStyle w:val="Subsection"/>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pPr>
      <w:bookmarkStart w:id="141" w:name="_Toc320625129"/>
      <w:bookmarkStart w:id="142" w:name="_Toc352667618"/>
      <w:r>
        <w:rPr>
          <w:rStyle w:val="CharSectno"/>
        </w:rPr>
        <w:t>16</w:t>
      </w:r>
      <w:r>
        <w:t>.</w:t>
      </w:r>
      <w:r>
        <w:tab/>
        <w:t>Application for building and demolition permits (s. 16)</w:t>
      </w:r>
      <w:bookmarkEnd w:id="141"/>
      <w:bookmarkEnd w:id="142"/>
    </w:p>
    <w:p>
      <w:pPr>
        <w:pStyle w:val="Subsection"/>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pPr>
      <w:r>
        <w:tab/>
        <w:t>(i)</w:t>
      </w:r>
      <w:r>
        <w:tab/>
        <w:t>the classification of the building or incidental structure; and</w:t>
      </w:r>
    </w:p>
    <w:p>
      <w:pPr>
        <w:pStyle w:val="Indenti"/>
      </w:pPr>
      <w:r>
        <w:tab/>
        <w:t>(ii)</w:t>
      </w:r>
      <w:r>
        <w:tab/>
        <w:t>the occupancy permit number (if any) of the building or incidental structure.</w:t>
      </w:r>
    </w:p>
    <w:p>
      <w:pPr>
        <w:pStyle w:val="Subsection"/>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pPr>
      <w:r>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alternative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tab/>
        <w:t>(ii)</w:t>
      </w:r>
      <w:r>
        <w:tab/>
        <w:t>that the notifications referred to in regulation 19(2) (if relevant) have been given.</w:t>
      </w:r>
    </w:p>
    <w:p>
      <w:pPr>
        <w:pStyle w:val="Heading5"/>
      </w:pPr>
      <w:bookmarkStart w:id="143" w:name="_Toc352667619"/>
      <w:bookmarkStart w:id="144" w:name="_Toc320625130"/>
      <w:r>
        <w:rPr>
          <w:rStyle w:val="CharSectno"/>
        </w:rPr>
        <w:t>17</w:t>
      </w:r>
      <w:r>
        <w:t>.</w:t>
      </w:r>
      <w:r>
        <w:tab/>
        <w:t>Further information (s. 18(3) and (4))</w:t>
      </w:r>
      <w:bookmarkEnd w:id="143"/>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in Gazette 18 Dec 2012 p. 6558.]</w:t>
      </w:r>
    </w:p>
    <w:p>
      <w:pPr>
        <w:pStyle w:val="Heading5"/>
      </w:pPr>
      <w:bookmarkStart w:id="145" w:name="_Toc352667620"/>
      <w:r>
        <w:rPr>
          <w:rStyle w:val="CharSectno"/>
        </w:rPr>
        <w:t>18A</w:t>
      </w:r>
      <w:r>
        <w:t>.</w:t>
      </w:r>
      <w:r>
        <w:tab/>
        <w:t>Certificate of design compliance — contents (s. 19(5))</w:t>
      </w:r>
      <w:bookmarkEnd w:id="145"/>
    </w:p>
    <w:p>
      <w:pPr>
        <w:pStyle w:val="Subsection"/>
      </w:pPr>
      <w:r>
        <w:tab/>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31A(2)(a) or (b) applied by the building surveyor in respect of the building or incidental structure;</w:t>
      </w:r>
    </w:p>
    <w:p>
      <w:pPr>
        <w:pStyle w:val="Indenta"/>
      </w:pPr>
      <w:r>
        <w:tab/>
        <w:t>(b)</w:t>
      </w:r>
      <w:r>
        <w:tab/>
        <w:t>if a declaration under section 39 has been made in respect of the building that is the subject of the application, a statement to that effect;</w:t>
      </w:r>
    </w:p>
    <w:p>
      <w:pPr>
        <w:pStyle w:val="Indenta"/>
      </w:pPr>
      <w:r>
        <w:tab/>
        <w:t>(c)</w:t>
      </w:r>
      <w:r>
        <w:tab/>
        <w:t>if the certificate of design compliance is in respect of a Class 2 to Class 9 building or an incidental structure associated with such a building, a statement about each alternative solution to a building standard that applies to the building work and details of the assessment methods used to establish compliance with the building standard;</w:t>
      </w:r>
    </w:p>
    <w:p>
      <w:pPr>
        <w:pStyle w:val="Indenta"/>
      </w:pPr>
      <w:r>
        <w:tab/>
        <w:t>(d)</w:t>
      </w:r>
      <w:r>
        <w:tab/>
        <w:t xml:space="preserve">if the certificate of design compliance is in respect of a Class 2 to Class 9 building — </w:t>
      </w:r>
    </w:p>
    <w:p>
      <w:pPr>
        <w:pStyle w:val="Indenti"/>
      </w:pPr>
      <w:r>
        <w:tab/>
        <w:t>(i)</w:t>
      </w:r>
      <w:r>
        <w:tab/>
        <w:t>details of any advice given by the FES Commissioner in respect of the plans and specifications provided under regulation 18B(1); and</w:t>
      </w:r>
    </w:p>
    <w:p>
      <w:pPr>
        <w:pStyle w:val="Indenti"/>
      </w:pPr>
      <w:r>
        <w:tab/>
        <w:t>(ii)</w:t>
      </w:r>
      <w:r>
        <w:tab/>
        <w:t>details of any notification given by the building surveyor to the FES Commissioner under regulation 15A(1).</w:t>
      </w:r>
    </w:p>
    <w:p>
      <w:pPr>
        <w:pStyle w:val="Footnotesection"/>
      </w:pPr>
      <w:r>
        <w:tab/>
        <w:t>[Regulation 18A inserted in Gazette 18 Dec 2012 p. 6559.]</w:t>
      </w:r>
    </w:p>
    <w:p>
      <w:pPr>
        <w:pStyle w:val="Heading5"/>
      </w:pPr>
      <w:bookmarkStart w:id="146" w:name="_Toc352667621"/>
      <w:r>
        <w:rPr>
          <w:rStyle w:val="CharSectno"/>
        </w:rPr>
        <w:t>18B</w:t>
      </w:r>
      <w:r>
        <w:t>.</w:t>
      </w:r>
      <w:r>
        <w:tab/>
        <w:t>Certificate of design compliance — preliminary action (s. 19(6))</w:t>
      </w:r>
      <w:bookmarkEnd w:id="146"/>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tab/>
        <w:t>(b)</w:t>
      </w:r>
      <w:r>
        <w:tab/>
        <w:t>no alternative solution is proposed to a building standard that relates to a performance requirement in the Building Code relating to fire safety.</w:t>
      </w:r>
    </w:p>
    <w:p>
      <w:pPr>
        <w:pStyle w:val="Subsection"/>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alternative solution is proposed to a building standard that relates to a performance requirement in the Building Code relating to fire safety.</w:t>
      </w:r>
    </w:p>
    <w:p>
      <w:pPr>
        <w:pStyle w:val="Subsection"/>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pPr>
      <w:r>
        <w:tab/>
        <w:t>(b)</w:t>
      </w:r>
      <w:r>
        <w:tab/>
        <w:t xml:space="preserve">the following provisions of the Building Code Volume 1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pPr>
      <w:r>
        <w:tab/>
        <w:t>(iii)</w:t>
      </w:r>
      <w:r>
        <w:tab/>
        <w:t>Section E Part E2 concerning smoke hazard management.</w:t>
      </w:r>
    </w:p>
    <w:p>
      <w:pPr>
        <w:pStyle w:val="Footnotesection"/>
      </w:pPr>
      <w:r>
        <w:tab/>
        <w:t>[Regulation 18B inserted in Gazette 18 Dec 2012 p. 6560-1.]</w:t>
      </w:r>
    </w:p>
    <w:p>
      <w:pPr>
        <w:pStyle w:val="Heading5"/>
      </w:pPr>
      <w:bookmarkStart w:id="147" w:name="_Toc352667622"/>
      <w:r>
        <w:rPr>
          <w:rStyle w:val="CharSectno"/>
        </w:rPr>
        <w:t>18C</w:t>
      </w:r>
      <w:r>
        <w:t>.</w:t>
      </w:r>
      <w:r>
        <w:tab/>
        <w:t>Certificate of design compliance — things to accompany (s. 149)</w:t>
      </w:r>
      <w:bookmarkEnd w:id="147"/>
    </w:p>
    <w:p>
      <w:pPr>
        <w:pStyle w:val="Subsection"/>
      </w:pPr>
      <w:r>
        <w:tab/>
        <w:t>(1)</w:t>
      </w:r>
      <w:r>
        <w:tab/>
        <w:t xml:space="preserve">It is sufficient compliance with regulation 18A(d)(i) to attach to the certificate of design compliance a copy of the advice given by the </w:t>
      </w:r>
      <w:smartTag w:uri="urn:schemas-microsoft-com:office:smarttags" w:element="place">
        <w:r>
          <w:t>FES</w:t>
        </w:r>
      </w:smartTag>
      <w:r>
        <w:t xml:space="preserve"> Commissioner.</w:t>
      </w:r>
    </w:p>
    <w:p>
      <w:pPr>
        <w:pStyle w:val="Subsection"/>
      </w:pPr>
      <w:r>
        <w:tab/>
        <w:t>(2)</w:t>
      </w:r>
      <w:r>
        <w:tab/>
        <w:t>It is sufficient compliance with regulation 18A(d)(ii) to attach to the certificate of design compliance a copy of the notification.</w:t>
      </w:r>
    </w:p>
    <w:p>
      <w:pPr>
        <w:pStyle w:val="Footnotesection"/>
      </w:pPr>
      <w:r>
        <w:tab/>
        <w:t>[Regulation 18C inserted in Gazette 18 Dec 2012 p. 6561.]</w:t>
      </w:r>
    </w:p>
    <w:p>
      <w:pPr>
        <w:pStyle w:val="Heading5"/>
      </w:pPr>
      <w:bookmarkStart w:id="148" w:name="_Toc320625131"/>
      <w:bookmarkStart w:id="149" w:name="_Toc352667623"/>
      <w:bookmarkEnd w:id="144"/>
      <w:r>
        <w:rPr>
          <w:rStyle w:val="CharSectno"/>
        </w:rPr>
        <w:t>18</w:t>
      </w:r>
      <w:r>
        <w:t>.</w:t>
      </w:r>
      <w:r>
        <w:tab/>
        <w:t>Grant of building permit (s. 20)</w:t>
      </w:r>
      <w:bookmarkEnd w:id="148"/>
      <w:bookmarkEnd w:id="149"/>
    </w:p>
    <w:p>
      <w:pPr>
        <w:pStyle w:val="Subsection"/>
      </w:pPr>
      <w:r>
        <w:tab/>
        <w:t>(1)</w:t>
      </w:r>
      <w:r>
        <w:tab/>
        <w:t>For the purposes of section 20(1)(b), building work that is not builder work is specified.</w:t>
      </w:r>
    </w:p>
    <w:p>
      <w:pPr>
        <w:pStyle w:val="Subsection"/>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Health Act 1911</w:t>
      </w:r>
      <w:r>
        <w:t xml:space="preserve"> 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Ednotepara"/>
      </w:pPr>
      <w:r>
        <w:tab/>
        <w:t>[(d), (e)</w:t>
      </w:r>
      <w:r>
        <w:tab/>
        <w:t>deleted]</w:t>
      </w:r>
    </w:p>
    <w:p>
      <w:pPr>
        <w:pStyle w:val="Subsection"/>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Ednotepara"/>
      </w:pPr>
      <w:r>
        <w:tab/>
        <w:t>[(b)</w:t>
      </w:r>
      <w:r>
        <w:tab/>
        <w:t>deleted]</w:t>
      </w:r>
    </w:p>
    <w:p>
      <w:pPr>
        <w:pStyle w:val="Subsection"/>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in Gazette 15 Jun 2012 p. 2514; 30 Nov 2012 p. 5783; 18 Dec 2012 p. 6561.]</w:t>
      </w:r>
    </w:p>
    <w:p>
      <w:pPr>
        <w:pStyle w:val="Heading5"/>
      </w:pPr>
      <w:bookmarkStart w:id="150" w:name="_Toc320625132"/>
      <w:bookmarkStart w:id="151" w:name="_Toc352667624"/>
      <w:r>
        <w:rPr>
          <w:rStyle w:val="CharSectno"/>
        </w:rPr>
        <w:t>19</w:t>
      </w:r>
      <w:r>
        <w:t>.</w:t>
      </w:r>
      <w:r>
        <w:tab/>
        <w:t>Grant of demolition permit (s. 21)</w:t>
      </w:r>
      <w:bookmarkEnd w:id="150"/>
      <w:bookmarkEnd w:id="151"/>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Indenta"/>
      </w:pPr>
      <w:r>
        <w:tab/>
        <w:t>(b)</w:t>
      </w:r>
      <w:r>
        <w:tab/>
        <w:t xml:space="preserve">the notification required under the </w:t>
      </w:r>
      <w:r>
        <w:rPr>
          <w:i/>
        </w:rPr>
        <w:t>Occupational Safety and Health Regulations 1996</w:t>
      </w:r>
      <w:r>
        <w:t xml:space="preserve"> regulation 3.119;</w:t>
      </w:r>
    </w:p>
    <w:p>
      <w:pPr>
        <w:pStyle w:val="Indenta"/>
      </w:pPr>
      <w:r>
        <w:tab/>
        <w:t>(c)</w:t>
      </w:r>
      <w:r>
        <w:tab/>
        <w:t>notification of the intended demolition work to each person who provides electricity, gas, telephone or water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Heading5"/>
      </w:pPr>
      <w:bookmarkStart w:id="152" w:name="_Toc320625133"/>
      <w:bookmarkStart w:id="153" w:name="_Toc352667625"/>
      <w:r>
        <w:rPr>
          <w:rStyle w:val="CharSectno"/>
        </w:rPr>
        <w:t>20</w:t>
      </w:r>
      <w:r>
        <w:t>.</w:t>
      </w:r>
      <w:r>
        <w:tab/>
        <w:t>Time for deciding application for building or demolition permit (s. 23)</w:t>
      </w:r>
      <w:bookmarkEnd w:id="152"/>
      <w:bookmarkEnd w:id="153"/>
    </w:p>
    <w:p>
      <w:pPr>
        <w:pStyle w:val="Subsection"/>
      </w:pPr>
      <w:r>
        <w:tab/>
        <w:t>(1)</w:t>
      </w:r>
      <w:r>
        <w:tab/>
        <w:t xml:space="preserve">For the purposes of section 23(1)(a), the period for buildings of all classifications is — </w:t>
      </w:r>
    </w:p>
    <w:p>
      <w:pPr>
        <w:pStyle w:val="Indenta"/>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pPr>
      <w:r>
        <w:tab/>
        <w:t>(ii)</w:t>
      </w:r>
      <w:r>
        <w:tab/>
        <w:t>such longer period as is agreed in writing between the applicant and the permit authority;</w:t>
      </w:r>
    </w:p>
    <w:p>
      <w:pPr>
        <w:pStyle w:val="Indenta"/>
      </w:pPr>
      <w:r>
        <w:tab/>
      </w:r>
      <w:r>
        <w:tab/>
        <w:t>and</w:t>
      </w:r>
    </w:p>
    <w:p>
      <w:pPr>
        <w:pStyle w:val="Indenta"/>
      </w:pPr>
      <w:r>
        <w:tab/>
        <w:t>(b)</w:t>
      </w:r>
      <w:r>
        <w:tab/>
        <w:t>otherwise, 25 business days, or such longer period as is agreed in writing between the applicant and the permit authority.</w:t>
      </w:r>
    </w:p>
    <w:p>
      <w:pPr>
        <w:pStyle w:val="Subsection"/>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in Gazette 15 Jun 2012 p. 2514</w:t>
      </w:r>
      <w:r>
        <w:noBreakHyphen/>
        <w:t>15.]</w:t>
      </w:r>
    </w:p>
    <w:p>
      <w:pPr>
        <w:pStyle w:val="Heading5"/>
      </w:pPr>
      <w:bookmarkStart w:id="154" w:name="_Toc320625134"/>
      <w:bookmarkStart w:id="155" w:name="_Toc352667626"/>
      <w:r>
        <w:rPr>
          <w:rStyle w:val="CharSectno"/>
        </w:rPr>
        <w:t>21</w:t>
      </w:r>
      <w:r>
        <w:t>.</w:t>
      </w:r>
      <w:r>
        <w:tab/>
        <w:t>Form and content of building permit (s. 25)</w:t>
      </w:r>
      <w:bookmarkEnd w:id="154"/>
      <w:bookmarkEnd w:id="155"/>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156" w:name="_Toc320625135"/>
      <w:bookmarkStart w:id="157" w:name="_Toc352667627"/>
      <w:r>
        <w:rPr>
          <w:rStyle w:val="CharSectno"/>
        </w:rPr>
        <w:t>22</w:t>
      </w:r>
      <w:r>
        <w:t>.</w:t>
      </w:r>
      <w:r>
        <w:tab/>
        <w:t>Form and content of demolition permit (s. 25)</w:t>
      </w:r>
      <w:bookmarkEnd w:id="156"/>
      <w:bookmarkEnd w:id="157"/>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r>
        <w:rPr>
          <w:i/>
        </w:rPr>
        <w:t>Occupational Safety and Health Regulations 1996</w:t>
      </w:r>
      <w:r>
        <w:t xml:space="preserve"> regulation 3.116(2), the number of that licence.</w:t>
      </w:r>
    </w:p>
    <w:p>
      <w:pPr>
        <w:pStyle w:val="Heading5"/>
      </w:pPr>
      <w:bookmarkStart w:id="158" w:name="_Toc352667628"/>
      <w:bookmarkStart w:id="159" w:name="_Toc320625136"/>
      <w:r>
        <w:rPr>
          <w:rStyle w:val="CharSectno"/>
        </w:rPr>
        <w:t>23A</w:t>
      </w:r>
      <w:r>
        <w:t>.</w:t>
      </w:r>
      <w:r>
        <w:tab/>
        <w:t>To whom permit document issued (s. 28)</w:t>
      </w:r>
      <w:bookmarkEnd w:id="158"/>
    </w:p>
    <w:p>
      <w:pPr>
        <w:pStyle w:val="Subsection"/>
      </w:pPr>
      <w:r>
        <w:tab/>
      </w:r>
      <w:r>
        <w:tab/>
        <w:t>For the purposes of section 28(1)(d) a building permit document must be given to the FES Commissioner.</w:t>
      </w:r>
    </w:p>
    <w:p>
      <w:pPr>
        <w:pStyle w:val="Footnotesection"/>
      </w:pPr>
      <w:r>
        <w:tab/>
        <w:t>[Regulation 23A inserted in Gazette 18 Dec 2012 p. 6561.]</w:t>
      </w:r>
    </w:p>
    <w:p>
      <w:pPr>
        <w:pStyle w:val="Heading5"/>
      </w:pPr>
      <w:bookmarkStart w:id="160" w:name="_Toc352667629"/>
      <w:r>
        <w:rPr>
          <w:rStyle w:val="CharSectno"/>
        </w:rPr>
        <w:t>23</w:t>
      </w:r>
      <w:r>
        <w:t>.</w:t>
      </w:r>
      <w:r>
        <w:tab/>
        <w:t>Application to extend time during which permit has effect (s. 32)</w:t>
      </w:r>
      <w:bookmarkEnd w:id="159"/>
      <w:bookmarkEnd w:id="160"/>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pPr>
      <w:bookmarkStart w:id="161" w:name="_Toc320625137"/>
      <w:bookmarkStart w:id="162" w:name="_Toc352667630"/>
      <w:r>
        <w:rPr>
          <w:rStyle w:val="CharSectno"/>
        </w:rPr>
        <w:t>24</w:t>
      </w:r>
      <w:r>
        <w:t>.</w:t>
      </w:r>
      <w:r>
        <w:tab/>
        <w:t>Extension of time during which permit has effect (s. 32(3))</w:t>
      </w:r>
      <w:bookmarkEnd w:id="161"/>
      <w:bookmarkEnd w:id="162"/>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pPr>
      <w:bookmarkStart w:id="163" w:name="_Toc320625138"/>
      <w:bookmarkStart w:id="164" w:name="_Toc352667631"/>
      <w:r>
        <w:rPr>
          <w:rStyle w:val="CharSectno"/>
        </w:rPr>
        <w:t>25</w:t>
      </w:r>
      <w:r>
        <w:t>.</w:t>
      </w:r>
      <w:r>
        <w:tab/>
        <w:t>Review of decision to refuse to extend time during which permit has effect (s. 32(3))</w:t>
      </w:r>
      <w:bookmarkEnd w:id="163"/>
      <w:bookmarkEnd w:id="164"/>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tab/>
        <w:t>(c)</w:t>
      </w:r>
      <w:r>
        <w:tab/>
        <w:t>in relation to a condition imposed on the permit when the permit authority extends the time during which the permit has effect.</w:t>
      </w:r>
    </w:p>
    <w:p>
      <w:pPr>
        <w:pStyle w:val="Heading5"/>
      </w:pPr>
      <w:bookmarkStart w:id="165" w:name="_Toc320625139"/>
      <w:bookmarkStart w:id="166" w:name="_Toc352667632"/>
      <w:r>
        <w:rPr>
          <w:rStyle w:val="CharSectno"/>
        </w:rPr>
        <w:t>26</w:t>
      </w:r>
      <w:r>
        <w:t>.</w:t>
      </w:r>
      <w:r>
        <w:tab/>
        <w:t>Approval of new responsible person (s. 35(c))</w:t>
      </w:r>
      <w:bookmarkEnd w:id="165"/>
      <w:bookmarkEnd w:id="166"/>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Footnotesection"/>
      </w:pPr>
      <w:bookmarkStart w:id="167" w:name="_Toc320625140"/>
      <w:r>
        <w:tab/>
        <w:t>[Regulation 26 amended in Gazette 18 Dec 2012 p. 6562.]</w:t>
      </w:r>
    </w:p>
    <w:p>
      <w:pPr>
        <w:pStyle w:val="Heading5"/>
      </w:pPr>
      <w:bookmarkStart w:id="168" w:name="_Toc352667633"/>
      <w:r>
        <w:rPr>
          <w:rStyle w:val="CharSectno"/>
        </w:rPr>
        <w:t>27</w:t>
      </w:r>
      <w:r>
        <w:t>.</w:t>
      </w:r>
      <w:r>
        <w:tab/>
        <w:t>Required inspection and tests: Class 2 to Class 9 buildings (s. 36(2)(a))</w:t>
      </w:r>
      <w:bookmarkEnd w:id="167"/>
      <w:bookmarkEnd w:id="168"/>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169" w:name="_Toc320625141"/>
      <w:bookmarkStart w:id="170" w:name="_Toc352667634"/>
      <w:r>
        <w:rPr>
          <w:rStyle w:val="CharSectno"/>
        </w:rPr>
        <w:t>28</w:t>
      </w:r>
      <w:r>
        <w:t>.</w:t>
      </w:r>
      <w:r>
        <w:tab/>
        <w:t>Required inspection: enclosure of private swimming pool (s. 36(2)(a))</w:t>
      </w:r>
      <w:bookmarkEnd w:id="169"/>
      <w:bookmarkEnd w:id="170"/>
    </w:p>
    <w:p>
      <w:pPr>
        <w:pStyle w:val="Subsection"/>
      </w:pPr>
      <w:r>
        <w:tab/>
      </w:r>
      <w:r>
        <w:tab/>
        <w:t>The inspection that is to be conducted at the completion of building work for an enclosure of a private swimming pool is an inspection to assess whether the pool enclosure complies with the requirements in regulation 50.</w:t>
      </w:r>
    </w:p>
    <w:p>
      <w:pPr>
        <w:pStyle w:val="Heading5"/>
      </w:pPr>
      <w:bookmarkStart w:id="171" w:name="_Toc320625142"/>
      <w:bookmarkStart w:id="172" w:name="_Toc352667635"/>
      <w:r>
        <w:rPr>
          <w:rStyle w:val="CharSectno"/>
        </w:rPr>
        <w:t>29</w:t>
      </w:r>
      <w:r>
        <w:t>.</w:t>
      </w:r>
      <w:r>
        <w:tab/>
        <w:t>Inspection certificates (s. 36(2)(h) and (j))</w:t>
      </w:r>
      <w:bookmarkEnd w:id="171"/>
      <w:bookmarkEnd w:id="172"/>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173" w:name="_Toc320625143"/>
      <w:bookmarkStart w:id="174" w:name="_Toc352667636"/>
      <w:r>
        <w:rPr>
          <w:rStyle w:val="CharSectno"/>
        </w:rPr>
        <w:t>30</w:t>
      </w:r>
      <w:r>
        <w:t>.</w:t>
      </w:r>
      <w:r>
        <w:tab/>
        <w:t>Transitional provisions (s. 203)</w:t>
      </w:r>
      <w:bookmarkEnd w:id="173"/>
      <w:bookmarkEnd w:id="174"/>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175" w:name="_Toc320625144"/>
      <w:bookmarkStart w:id="176" w:name="_Toc320625508"/>
      <w:bookmarkStart w:id="177" w:name="_Toc320625783"/>
      <w:bookmarkStart w:id="178" w:name="_Toc320697823"/>
      <w:bookmarkStart w:id="179" w:name="_Toc327448464"/>
      <w:bookmarkStart w:id="180" w:name="_Toc327450556"/>
      <w:bookmarkStart w:id="181" w:name="_Toc341960224"/>
      <w:bookmarkStart w:id="182" w:name="_Toc341960321"/>
      <w:bookmarkStart w:id="183" w:name="_Toc341960634"/>
      <w:bookmarkStart w:id="184" w:name="_Toc343508988"/>
      <w:bookmarkStart w:id="185" w:name="_Toc343509936"/>
      <w:bookmarkStart w:id="186" w:name="_Toc352666342"/>
      <w:bookmarkStart w:id="187" w:name="_Toc352667515"/>
      <w:bookmarkStart w:id="188" w:name="_Toc352667637"/>
      <w:r>
        <w:rPr>
          <w:rStyle w:val="CharPartNo"/>
        </w:rPr>
        <w:t>Part 4</w:t>
      </w:r>
      <w:r>
        <w:t> — </w:t>
      </w:r>
      <w:r>
        <w:rPr>
          <w:rStyle w:val="CharPartText"/>
        </w:rPr>
        <w:t>Building standards</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pPr>
        <w:pStyle w:val="Heading3"/>
      </w:pPr>
      <w:bookmarkStart w:id="189" w:name="_Toc343508989"/>
      <w:bookmarkStart w:id="190" w:name="_Toc343509937"/>
      <w:bookmarkStart w:id="191" w:name="_Toc352666343"/>
      <w:bookmarkStart w:id="192" w:name="_Toc352667516"/>
      <w:bookmarkStart w:id="193" w:name="_Toc352667638"/>
      <w:bookmarkStart w:id="194" w:name="_Toc320625145"/>
      <w:r>
        <w:rPr>
          <w:rStyle w:val="CharDivNo"/>
        </w:rPr>
        <w:t>Division 1</w:t>
      </w:r>
      <w:r>
        <w:t> — </w:t>
      </w:r>
      <w:r>
        <w:rPr>
          <w:rStyle w:val="CharDivText"/>
        </w:rPr>
        <w:t>Applicable building standards</w:t>
      </w:r>
      <w:bookmarkEnd w:id="189"/>
      <w:bookmarkEnd w:id="190"/>
      <w:bookmarkEnd w:id="191"/>
      <w:bookmarkEnd w:id="192"/>
      <w:bookmarkEnd w:id="193"/>
    </w:p>
    <w:p>
      <w:pPr>
        <w:pStyle w:val="Footnoteheading"/>
      </w:pPr>
      <w:r>
        <w:tab/>
        <w:t>[Heading inserted in Gazette 18 Dec 2012 p. 6562.]</w:t>
      </w:r>
    </w:p>
    <w:p>
      <w:pPr>
        <w:pStyle w:val="Heading4"/>
      </w:pPr>
      <w:bookmarkStart w:id="195" w:name="_Toc343508990"/>
      <w:bookmarkStart w:id="196" w:name="_Toc343509938"/>
      <w:bookmarkStart w:id="197" w:name="_Toc352666344"/>
      <w:bookmarkStart w:id="198" w:name="_Toc352667517"/>
      <w:bookmarkStart w:id="199" w:name="_Toc352667639"/>
      <w:r>
        <w:t>Subdivision 1 — Building standards in relation to construction</w:t>
      </w:r>
      <w:bookmarkEnd w:id="195"/>
      <w:bookmarkEnd w:id="196"/>
      <w:bookmarkEnd w:id="197"/>
      <w:bookmarkEnd w:id="198"/>
      <w:bookmarkEnd w:id="199"/>
    </w:p>
    <w:p>
      <w:pPr>
        <w:pStyle w:val="Footnoteheading"/>
      </w:pPr>
      <w:r>
        <w:tab/>
        <w:t>[Heading inserted in Gazette 18 Dec 2012 p. 6562.]</w:t>
      </w:r>
    </w:p>
    <w:p>
      <w:pPr>
        <w:pStyle w:val="Heading5"/>
      </w:pPr>
      <w:bookmarkStart w:id="200" w:name="_Toc352667640"/>
      <w:r>
        <w:rPr>
          <w:rStyle w:val="CharSectno"/>
        </w:rPr>
        <w:t>31A</w:t>
      </w:r>
      <w:r>
        <w:t>.</w:t>
      </w:r>
      <w:r>
        <w:tab/>
        <w:t>Applicable building standards generally (s. 3, 19(3) and 37(1))</w:t>
      </w:r>
      <w:bookmarkEnd w:id="200"/>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 31C and 31D otherwise provide.</w:t>
      </w:r>
    </w:p>
    <w:p>
      <w:pPr>
        <w:pStyle w:val="Subsection"/>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pPr>
      <w:r>
        <w:tab/>
        <w:t>(a)</w:t>
      </w:r>
      <w:r>
        <w:tab/>
        <w:t>set out in the edition of the Building Code that is in effect at the time the application for the building permit is made; or</w:t>
      </w:r>
    </w:p>
    <w:p>
      <w:pPr>
        <w:pStyle w:val="Indenta"/>
      </w:pPr>
      <w:r>
        <w:tab/>
        <w:t>(b)</w:t>
      </w:r>
      <w:r>
        <w:tab/>
        <w:t>set out in the edition of the Building Code that was in effect 12 months before the time the application for the building permit is made.</w:t>
      </w:r>
    </w:p>
    <w:p>
      <w:pPr>
        <w:pStyle w:val="Footnotesection"/>
      </w:pPr>
      <w:r>
        <w:tab/>
        <w:t>[Regulation 31A inserted in Gazette 18 Dec 2012 p. 6562-3.]</w:t>
      </w:r>
    </w:p>
    <w:p>
      <w:pPr>
        <w:pStyle w:val="Heading5"/>
      </w:pPr>
      <w:bookmarkStart w:id="201" w:name="_Toc352667641"/>
      <w:r>
        <w:rPr>
          <w:rStyle w:val="CharSectno"/>
        </w:rPr>
        <w:t>31B</w:t>
      </w:r>
      <w:r>
        <w:t>.</w:t>
      </w:r>
      <w:r>
        <w:tab/>
        <w:t>Applicable building standards for alterations etc. before 1 May 2014 (s. 3, 19(3) and 37(1))</w:t>
      </w:r>
      <w:bookmarkEnd w:id="201"/>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 building or incidental structure that is being renovated, altered, extended, improved or repaired before 1 May 2014.</w:t>
      </w:r>
    </w:p>
    <w:p>
      <w:pPr>
        <w:pStyle w:val="Subsection"/>
      </w:pPr>
      <w:r>
        <w:tab/>
        <w:t>(2)</w:t>
      </w:r>
      <w:r>
        <w:tab/>
        <w:t xml:space="preserve">For subregulation (1), the applicable building standards are the requirements mentioned in regulation 31A(2) except that — </w:t>
      </w:r>
    </w:p>
    <w:p>
      <w:pPr>
        <w:pStyle w:val="Indenta"/>
      </w:pPr>
      <w:r>
        <w:tab/>
        <w:t>(a)</w:t>
      </w:r>
      <w:r>
        <w:tab/>
        <w:t xml:space="preserve">in respect of Class 2 to Class 9 buildings and incidental structures — </w:t>
      </w:r>
    </w:p>
    <w:p>
      <w:pPr>
        <w:pStyle w:val="Indenti"/>
      </w:pPr>
      <w:r>
        <w:tab/>
        <w:t>(i)</w:t>
      </w:r>
      <w:r>
        <w:tab/>
        <w:t>the requirements set out in the Building Code Volume 1 Part JO do not apply; and</w:t>
      </w:r>
    </w:p>
    <w:p>
      <w:pPr>
        <w:pStyle w:val="Indenti"/>
      </w:pPr>
      <w:r>
        <w:tab/>
        <w:t>(ii)</w:t>
      </w:r>
      <w:r>
        <w:tab/>
        <w:t>the requirements set out in the Building Code published on 1 May 2010 Volume 1 WA Part JO of Appendices (Variation and Additions) apply;</w:t>
      </w:r>
    </w:p>
    <w:p>
      <w:pPr>
        <w:pStyle w:val="Indenta"/>
      </w:pPr>
      <w:r>
        <w:tab/>
      </w:r>
      <w:r>
        <w:tab/>
        <w:t>and</w:t>
      </w:r>
    </w:p>
    <w:p>
      <w:pPr>
        <w:pStyle w:val="Indenta"/>
      </w:pPr>
      <w:r>
        <w:tab/>
        <w:t>(b)</w:t>
      </w:r>
      <w:r>
        <w:tab/>
        <w:t xml:space="preserve">in respect of Class 1 or Class 10 buildings and incidental structures — </w:t>
      </w:r>
    </w:p>
    <w:p>
      <w:pPr>
        <w:pStyle w:val="Indenti"/>
      </w:pPr>
      <w:r>
        <w:tab/>
        <w:t>(i)</w:t>
      </w:r>
      <w:r>
        <w:tab/>
        <w:t>the requirements set out in the Building Code Volume 2 Parts 2.6 and 3.12 do not apply; and</w:t>
      </w:r>
    </w:p>
    <w:p>
      <w:pPr>
        <w:pStyle w:val="Indenti"/>
      </w:pPr>
      <w:r>
        <w:tab/>
        <w:t>(ii)</w:t>
      </w:r>
      <w:r>
        <w:tab/>
        <w:t>the requirements set out in the Building Code published on 1 May 2009 Volume 2 Parts 2.6 and 3.12 apply.</w:t>
      </w:r>
    </w:p>
    <w:p>
      <w:pPr>
        <w:pStyle w:val="Footnotesection"/>
      </w:pPr>
      <w:r>
        <w:tab/>
        <w:t>[Regulation 31B inserted in Gazette 18 Dec 2012 p. 6563-4.]</w:t>
      </w:r>
    </w:p>
    <w:p>
      <w:pPr>
        <w:pStyle w:val="Heading5"/>
      </w:pPr>
      <w:bookmarkStart w:id="202" w:name="_Toc352667642"/>
      <w:r>
        <w:rPr>
          <w:rStyle w:val="CharSectno"/>
        </w:rPr>
        <w:t>31C</w:t>
      </w:r>
      <w:r>
        <w:t>.</w:t>
      </w:r>
      <w:r>
        <w:tab/>
        <w:t>Applicable building standards for private swimming pools (s. 3, 19(3) and 37(1))</w:t>
      </w:r>
      <w:bookmarkEnd w:id="202"/>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the construction of a private swimming pool.</w:t>
      </w:r>
    </w:p>
    <w:p>
      <w:pPr>
        <w:pStyle w:val="Subsection"/>
      </w:pPr>
      <w:r>
        <w:tab/>
        <w:t>(2)</w:t>
      </w:r>
      <w:r>
        <w:tab/>
        <w:t xml:space="preserve">For subregulation (1), the applicable building standards in respect of the construction of a private swimming pool are — </w:t>
      </w:r>
    </w:p>
    <w:p>
      <w:pPr>
        <w:pStyle w:val="Indenta"/>
      </w:pPr>
      <w:r>
        <w:tab/>
        <w:t>(a)</w:t>
      </w:r>
      <w:r>
        <w:tab/>
        <w:t>each requirement, other than performance requirements GP1.2(a) and P2.5.3, set out in the Building Code applicable to private swimming pools; and</w:t>
      </w:r>
    </w:p>
    <w:p>
      <w:pPr>
        <w:pStyle w:val="Indenta"/>
      </w:pPr>
      <w:r>
        <w:tab/>
        <w:t>(b)</w:t>
      </w:r>
      <w:r>
        <w:tab/>
        <w:t>each requirement for the enclosure of a private swimming pool set out in regulation 50.</w:t>
      </w:r>
    </w:p>
    <w:p>
      <w:pPr>
        <w:pStyle w:val="Footnotesection"/>
      </w:pPr>
      <w:r>
        <w:tab/>
        <w:t>[Regulation 31C inserted in Gazette 18 Dec 2012 p. 6564.]</w:t>
      </w:r>
    </w:p>
    <w:p>
      <w:pPr>
        <w:pStyle w:val="Heading5"/>
      </w:pPr>
      <w:bookmarkStart w:id="203" w:name="_Toc352667643"/>
      <w:r>
        <w:rPr>
          <w:rStyle w:val="CharSectno"/>
        </w:rPr>
        <w:t>31D</w:t>
      </w:r>
      <w:r>
        <w:t>.</w:t>
      </w:r>
      <w:r>
        <w:tab/>
        <w:t>Applicable building standards for relocated buildings and incidental structures (s. 3, 19(3) and 37(1))</w:t>
      </w:r>
      <w:bookmarkEnd w:id="203"/>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the assembly, reassembly or securing of a relocated building or a relocated incidental structure.</w:t>
      </w:r>
    </w:p>
    <w:p>
      <w:pPr>
        <w:pStyle w:val="Subsection"/>
      </w:pPr>
      <w:r>
        <w:tab/>
        <w:t>(2)</w:t>
      </w:r>
      <w:r>
        <w:tab/>
        <w:t>For subregulation (1), the applicable building standards are the requirements mentioned in regulation 31A(2) except to the extent that subregulations (3), (4) and (5) of this regulation otherwise provide.</w:t>
      </w:r>
    </w:p>
    <w:p>
      <w:pPr>
        <w:pStyle w:val="Subsection"/>
      </w:pPr>
      <w:r>
        <w:tab/>
        <w:t>(3)</w:t>
      </w:r>
      <w:r>
        <w:tab/>
        <w:t xml:space="preserve">The building standards that relate to each of the performance requirements listed in the Table and set out in the edition of the Building Code — </w:t>
      </w:r>
    </w:p>
    <w:p>
      <w:pPr>
        <w:pStyle w:val="Indenta"/>
      </w:pPr>
      <w:r>
        <w:tab/>
        <w:t>(a)</w:t>
      </w:r>
      <w:r>
        <w:tab/>
        <w:t>that is in effect at the time the application for the most recent building permit is made; or</w:t>
      </w:r>
    </w:p>
    <w:p>
      <w:pPr>
        <w:pStyle w:val="Indenta"/>
      </w:pPr>
      <w:r>
        <w:tab/>
        <w:t>(b)</w:t>
      </w:r>
      <w:r>
        <w:tab/>
        <w:t>that was in effect 12 months before the time the application for the most recent building permit is made,</w:t>
      </w:r>
    </w:p>
    <w:p>
      <w:pPr>
        <w:pStyle w:val="Subsection"/>
      </w:pPr>
      <w:r>
        <w:tab/>
      </w:r>
      <w:r>
        <w:tab/>
        <w:t>apply to that classification of the building or incidental structure.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77"/>
        <w:gridCol w:w="2551"/>
      </w:tblGrid>
      <w:tr>
        <w:trPr>
          <w:tblHeader/>
        </w:trPr>
        <w:tc>
          <w:tcPr>
            <w:tcW w:w="2977" w:type="dxa"/>
          </w:tcPr>
          <w:p>
            <w:pPr>
              <w:pStyle w:val="TableNAm"/>
              <w:keepNext/>
              <w:jc w:val="center"/>
            </w:pPr>
            <w:r>
              <w:rPr>
                <w:b/>
              </w:rPr>
              <w:t>Section or part of Building Code</w:t>
            </w:r>
          </w:p>
        </w:tc>
        <w:tc>
          <w:tcPr>
            <w:tcW w:w="2551" w:type="dxa"/>
          </w:tcPr>
          <w:p>
            <w:pPr>
              <w:pStyle w:val="TableNAm"/>
              <w:keepNext/>
              <w:jc w:val="center"/>
            </w:pPr>
            <w:r>
              <w:rPr>
                <w:b/>
                <w:bCs/>
              </w:rPr>
              <w:t>Performance requirements</w:t>
            </w:r>
          </w:p>
        </w:tc>
      </w:tr>
      <w:tr>
        <w:tc>
          <w:tcPr>
            <w:tcW w:w="2977" w:type="dxa"/>
          </w:tcPr>
          <w:p>
            <w:pPr>
              <w:pStyle w:val="TableNAm"/>
            </w:pPr>
            <w:r>
              <w:t>Volume One, Section B — Structural provisions</w:t>
            </w:r>
          </w:p>
        </w:tc>
        <w:tc>
          <w:tcPr>
            <w:tcW w:w="2551" w:type="dxa"/>
          </w:tcPr>
          <w:p>
            <w:pPr>
              <w:pStyle w:val="TableNAm"/>
            </w:pPr>
            <w:r>
              <w:t>BP1.1, BP1.2, BP1.3</w:t>
            </w:r>
          </w:p>
        </w:tc>
      </w:tr>
      <w:tr>
        <w:tc>
          <w:tcPr>
            <w:tcW w:w="2977" w:type="dxa"/>
          </w:tcPr>
          <w:p>
            <w:pPr>
              <w:pStyle w:val="TableNAm"/>
            </w:pPr>
            <w:r>
              <w:t>Volume One, Section C — Fire resistance</w:t>
            </w:r>
          </w:p>
        </w:tc>
        <w:tc>
          <w:tcPr>
            <w:tcW w:w="2551" w:type="dxa"/>
          </w:tcPr>
          <w:p>
            <w:pPr>
              <w:pStyle w:val="TableNAm"/>
            </w:pPr>
            <w:r>
              <w:t>CP1, CP2, CP3, CP4, CP5, CP6, CP7, CP8, CP9</w:t>
            </w:r>
          </w:p>
        </w:tc>
      </w:tr>
      <w:tr>
        <w:tc>
          <w:tcPr>
            <w:tcW w:w="2977" w:type="dxa"/>
          </w:tcPr>
          <w:p>
            <w:pPr>
              <w:pStyle w:val="TableNAm"/>
            </w:pPr>
            <w:r>
              <w:t>Volume One, Section D — Access and egress</w:t>
            </w:r>
          </w:p>
        </w:tc>
        <w:tc>
          <w:tcPr>
            <w:tcW w:w="2551" w:type="dxa"/>
          </w:tcPr>
          <w:p>
            <w:pPr>
              <w:pStyle w:val="TableNAm"/>
            </w:pPr>
            <w:r>
              <w:t>DP2, DP3, DP4, DP5, DP6</w:t>
            </w:r>
          </w:p>
        </w:tc>
      </w:tr>
      <w:tr>
        <w:tc>
          <w:tcPr>
            <w:tcW w:w="2977" w:type="dxa"/>
          </w:tcPr>
          <w:p>
            <w:pPr>
              <w:pStyle w:val="TableNAm"/>
            </w:pPr>
            <w:r>
              <w:t>Volume One, Section E — Services and equipment</w:t>
            </w:r>
          </w:p>
        </w:tc>
        <w:tc>
          <w:tcPr>
            <w:tcW w:w="2551" w:type="dxa"/>
          </w:tcPr>
          <w:p>
            <w:pPr>
              <w:pStyle w:val="TableNAm"/>
            </w:pPr>
            <w:r>
              <w:t>EP1.1, EP1.2, EP1.3, EP1.4, EP1.5, EP1.6, EP2.1, EP2.2, EP4.1, EP4.2, EP4.3</w:t>
            </w:r>
          </w:p>
        </w:tc>
      </w:tr>
      <w:tr>
        <w:tc>
          <w:tcPr>
            <w:tcW w:w="2977" w:type="dxa"/>
          </w:tcPr>
          <w:p>
            <w:pPr>
              <w:pStyle w:val="TableNAm"/>
            </w:pPr>
            <w:r>
              <w:t>Volume One, Section G — Ancillary provisions</w:t>
            </w:r>
          </w:p>
        </w:tc>
        <w:tc>
          <w:tcPr>
            <w:tcW w:w="2551" w:type="dxa"/>
          </w:tcPr>
          <w:p>
            <w:pPr>
              <w:pStyle w:val="TableNAm"/>
            </w:pPr>
            <w:r>
              <w:t>GP1.2(b), GP2.1, GP 2.2, GP5.1</w:t>
            </w:r>
          </w:p>
        </w:tc>
      </w:tr>
      <w:tr>
        <w:tc>
          <w:tcPr>
            <w:tcW w:w="2977" w:type="dxa"/>
          </w:tcPr>
          <w:p>
            <w:pPr>
              <w:pStyle w:val="TableNAm"/>
            </w:pPr>
            <w:r>
              <w:t>Volume Two, Part 2.1 — Structure</w:t>
            </w:r>
          </w:p>
        </w:tc>
        <w:tc>
          <w:tcPr>
            <w:tcW w:w="2551" w:type="dxa"/>
          </w:tcPr>
          <w:p>
            <w:pPr>
              <w:pStyle w:val="TableNAm"/>
            </w:pPr>
            <w:r>
              <w:t>P2.1</w:t>
            </w:r>
          </w:p>
        </w:tc>
      </w:tr>
      <w:tr>
        <w:tc>
          <w:tcPr>
            <w:tcW w:w="2977" w:type="dxa"/>
          </w:tcPr>
          <w:p>
            <w:pPr>
              <w:pStyle w:val="TableNAm"/>
            </w:pPr>
            <w:r>
              <w:t>Volume Two, Part 2.3 — Fire safety</w:t>
            </w:r>
          </w:p>
        </w:tc>
        <w:tc>
          <w:tcPr>
            <w:tcW w:w="2551" w:type="dxa"/>
          </w:tcPr>
          <w:p>
            <w:pPr>
              <w:pStyle w:val="TableNAm"/>
            </w:pPr>
            <w:r>
              <w:t>P2.3.1, P2.3.2, P2.3.3, P2.3.4, P2.3.5</w:t>
            </w:r>
          </w:p>
        </w:tc>
      </w:tr>
      <w:tr>
        <w:tc>
          <w:tcPr>
            <w:tcW w:w="2977" w:type="dxa"/>
          </w:tcPr>
          <w:p>
            <w:pPr>
              <w:pStyle w:val="TableNAm"/>
            </w:pPr>
            <w:r>
              <w:t>Volume Two, Part 2.5 — Safe movement and access</w:t>
            </w:r>
          </w:p>
        </w:tc>
        <w:tc>
          <w:tcPr>
            <w:tcW w:w="2551" w:type="dxa"/>
          </w:tcPr>
          <w:p>
            <w:pPr>
              <w:pStyle w:val="TableNAm"/>
            </w:pPr>
            <w:r>
              <w:t>P2.5.1, P2.5.2, P2.5.4</w:t>
            </w:r>
          </w:p>
        </w:tc>
      </w:tr>
    </w:tbl>
    <w:p>
      <w:pPr>
        <w:pStyle w:val="Subsection"/>
      </w:pPr>
      <w:r>
        <w:tab/>
        <w:t>(4)</w:t>
      </w:r>
      <w:r>
        <w:tab/>
        <w:t xml:space="preserve">The building standards that relate to each of the performance requirements listed in the Table and set out in — </w:t>
      </w:r>
    </w:p>
    <w:p>
      <w:pPr>
        <w:pStyle w:val="Indenta"/>
      </w:pPr>
      <w:r>
        <w:tab/>
        <w:t>(a)</w:t>
      </w:r>
      <w:r>
        <w:tab/>
        <w:t>the edition of the Building Code in effect at the time of, or 12 months before, the first application for a building permit to assemble the building or incidental structure (whichever was applied by the building surveyor in respect of the building or incidental structure); and</w:t>
      </w:r>
    </w:p>
    <w:p>
      <w:pPr>
        <w:pStyle w:val="Indenta"/>
      </w:pPr>
      <w:r>
        <w:tab/>
        <w:t>(b)</w:t>
      </w:r>
      <w:r>
        <w:tab/>
        <w:t xml:space="preserve">the provisions of that edition relevant to the geographical area where the building or incidental structure was first assembled, </w:t>
      </w:r>
    </w:p>
    <w:p>
      <w:pPr>
        <w:pStyle w:val="Subsection"/>
      </w:pPr>
      <w:r>
        <w:tab/>
      </w:r>
      <w:r>
        <w:tab/>
        <w:t>apply to that classification of the building or incidental structure.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77"/>
        <w:gridCol w:w="2551"/>
      </w:tblGrid>
      <w:tr>
        <w:trPr>
          <w:cantSplit/>
          <w:tblHeader/>
        </w:trPr>
        <w:tc>
          <w:tcPr>
            <w:tcW w:w="2977" w:type="dxa"/>
          </w:tcPr>
          <w:p>
            <w:pPr>
              <w:pStyle w:val="TableNAm"/>
              <w:jc w:val="center"/>
            </w:pPr>
            <w:r>
              <w:rPr>
                <w:b/>
              </w:rPr>
              <w:t>Section or part of Building Code</w:t>
            </w:r>
          </w:p>
        </w:tc>
        <w:tc>
          <w:tcPr>
            <w:tcW w:w="2551" w:type="dxa"/>
          </w:tcPr>
          <w:p>
            <w:pPr>
              <w:pStyle w:val="TableNAm"/>
              <w:jc w:val="center"/>
            </w:pPr>
            <w:r>
              <w:rPr>
                <w:b/>
                <w:bCs/>
              </w:rPr>
              <w:t>Performance requirements</w:t>
            </w:r>
          </w:p>
        </w:tc>
      </w:tr>
      <w:tr>
        <w:trPr>
          <w:cantSplit/>
        </w:trPr>
        <w:tc>
          <w:tcPr>
            <w:tcW w:w="2977" w:type="dxa"/>
          </w:tcPr>
          <w:p>
            <w:pPr>
              <w:pStyle w:val="TableNAm"/>
            </w:pPr>
            <w:r>
              <w:t>Volume One, Section J — Energy Efficiency</w:t>
            </w:r>
          </w:p>
        </w:tc>
        <w:tc>
          <w:tcPr>
            <w:tcW w:w="2551" w:type="dxa"/>
          </w:tcPr>
          <w:p>
            <w:pPr>
              <w:pStyle w:val="TableNAm"/>
            </w:pPr>
            <w:r>
              <w:t>JP1, JP2, JP3</w:t>
            </w:r>
          </w:p>
        </w:tc>
      </w:tr>
      <w:tr>
        <w:trPr>
          <w:cantSplit/>
        </w:trPr>
        <w:tc>
          <w:tcPr>
            <w:tcW w:w="2977" w:type="dxa"/>
          </w:tcPr>
          <w:p>
            <w:pPr>
              <w:pStyle w:val="TableNAm"/>
            </w:pPr>
            <w:r>
              <w:t>Volume Two, Part 3.12 — Energy Efficiency</w:t>
            </w:r>
          </w:p>
        </w:tc>
        <w:tc>
          <w:tcPr>
            <w:tcW w:w="2551" w:type="dxa"/>
          </w:tcPr>
          <w:p>
            <w:pPr>
              <w:pStyle w:val="TableNAm"/>
            </w:pPr>
            <w:r>
              <w:t>P2.6.1, P2.6.2</w:t>
            </w:r>
          </w:p>
        </w:tc>
      </w:tr>
    </w:tbl>
    <w:p>
      <w:pPr>
        <w:pStyle w:val="Subsection"/>
      </w:pPr>
      <w:r>
        <w:tab/>
        <w:t>(5)</w:t>
      </w:r>
      <w:r>
        <w:tab/>
        <w:t>To the extent that there is not a building standard referred to in regulation 31A(2) that is relevant — the applicable building standards are the requirements of the written law applicable at the time the building or incidental structure was first assembled.</w:t>
      </w:r>
    </w:p>
    <w:p>
      <w:pPr>
        <w:pStyle w:val="Footnotesection"/>
      </w:pPr>
      <w:r>
        <w:tab/>
        <w:t>[Regulation 31D inserted in Gazette 18 Dec 2012 p. 6564-7.]</w:t>
      </w:r>
    </w:p>
    <w:p>
      <w:pPr>
        <w:pStyle w:val="Heading5"/>
      </w:pPr>
      <w:bookmarkStart w:id="204" w:name="_Toc352667644"/>
      <w:r>
        <w:rPr>
          <w:rStyle w:val="CharSectno"/>
        </w:rPr>
        <w:t>31E</w:t>
      </w:r>
      <w:r>
        <w:t>.</w:t>
      </w:r>
      <w:r>
        <w:tab/>
        <w:t>Applicable building standards for building work done without a permit (s. 3 and 37(2))</w:t>
      </w:r>
      <w:bookmarkEnd w:id="204"/>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construction commenced.</w:t>
      </w:r>
    </w:p>
    <w:p>
      <w:pPr>
        <w:pStyle w:val="Footnotesection"/>
      </w:pPr>
      <w:r>
        <w:tab/>
        <w:t>[Regulation 31E inserted in Gazette 18 Dec 2012 p. 6567.]</w:t>
      </w:r>
    </w:p>
    <w:p>
      <w:pPr>
        <w:pStyle w:val="Heading5"/>
      </w:pPr>
      <w:bookmarkStart w:id="205" w:name="_Toc352667645"/>
      <w:r>
        <w:rPr>
          <w:rStyle w:val="CharSectno"/>
        </w:rPr>
        <w:t>31F</w:t>
      </w:r>
      <w:r>
        <w:t>.</w:t>
      </w:r>
      <w:r>
        <w:tab/>
        <w:t>Applicable building standards for replacement occupancy permit for permanent change of building’s use, classification or for occupancy permit or building approval certificate for registration of strata scheme, plan of re</w:t>
      </w:r>
      <w:r>
        <w:noBreakHyphen/>
        <w:t>subdivision (s. 3, 57(3), 49(a) and (b) and 50(1)(a) and (b))</w:t>
      </w:r>
      <w:bookmarkEnd w:id="205"/>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or (b) or 50(1)(a) or (b) in respect of all kinds of buildings.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pPr>
      <w:r>
        <w:tab/>
        <w:t>(b)</w:t>
      </w:r>
      <w:r>
        <w:tab/>
        <w:t>each requirement in relation to the technical aspects of the construction of the building applicable to the building at the time of its construction.</w:t>
      </w:r>
    </w:p>
    <w:p>
      <w:pPr>
        <w:pStyle w:val="Footnotesection"/>
      </w:pPr>
      <w:r>
        <w:tab/>
        <w:t>[Regulation 31F inserted in Gazette 18 Dec 2012 p. 6568.]</w:t>
      </w:r>
    </w:p>
    <w:p>
      <w:pPr>
        <w:pStyle w:val="Heading5"/>
      </w:pPr>
      <w:bookmarkStart w:id="206" w:name="_Toc352667646"/>
      <w:r>
        <w:rPr>
          <w:rStyle w:val="CharSectno"/>
        </w:rPr>
        <w:t>31G</w:t>
      </w:r>
      <w:r>
        <w:t>.</w:t>
      </w:r>
      <w:r>
        <w:tab/>
        <w:t>Applicable building standards for occupancy permit for unauthorised work to building, or for building approval certificate for unauthorised work to building or incidental structure (s. 3, 57(3) and 51(2) and (3))</w:t>
      </w:r>
      <w:bookmarkEnd w:id="206"/>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 </w:t>
      </w:r>
    </w:p>
    <w:p>
      <w:pPr>
        <w:pStyle w:val="Indenta"/>
      </w:pPr>
      <w:r>
        <w:tab/>
        <w:t>(a)</w:t>
      </w:r>
      <w:r>
        <w:tab/>
        <w:t>in section 51(2) in respect of all kinds of buildings; or</w:t>
      </w:r>
    </w:p>
    <w:p>
      <w:pPr>
        <w:pStyle w:val="Indenta"/>
      </w:pPr>
      <w:r>
        <w:tab/>
        <w:t>(b)</w:t>
      </w:r>
      <w:r>
        <w:tab/>
        <w:t>in section 51(3)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w:t>
      </w:r>
    </w:p>
    <w:p>
      <w:pPr>
        <w:pStyle w:val="Footnotesection"/>
      </w:pPr>
      <w:r>
        <w:tab/>
        <w:t>[Regulation 31G inserted in Gazette 18 Dec 2012 p. 6568-9.]</w:t>
      </w:r>
    </w:p>
    <w:p>
      <w:pPr>
        <w:pStyle w:val="Heading5"/>
      </w:pPr>
      <w:bookmarkStart w:id="207" w:name="_Toc352667647"/>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207"/>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in Gazette 18 Dec 2012 p. 6569-70.]</w:t>
      </w:r>
    </w:p>
    <w:p>
      <w:pPr>
        <w:pStyle w:val="Heading4"/>
      </w:pPr>
      <w:bookmarkStart w:id="208" w:name="_Toc343508999"/>
      <w:bookmarkStart w:id="209" w:name="_Toc343509947"/>
      <w:bookmarkStart w:id="210" w:name="_Toc352666353"/>
      <w:bookmarkStart w:id="211" w:name="_Toc352667526"/>
      <w:bookmarkStart w:id="212" w:name="_Toc352667648"/>
      <w:r>
        <w:t>Subdivision 2 — Building standards in relation to demolition</w:t>
      </w:r>
      <w:bookmarkEnd w:id="208"/>
      <w:bookmarkEnd w:id="209"/>
      <w:bookmarkEnd w:id="210"/>
      <w:bookmarkEnd w:id="211"/>
      <w:bookmarkEnd w:id="212"/>
    </w:p>
    <w:p>
      <w:pPr>
        <w:pStyle w:val="Footnoteheading"/>
      </w:pPr>
      <w:r>
        <w:tab/>
        <w:t>[Heading inserted in Gazette 18 Dec 2012 p. 6570.]</w:t>
      </w:r>
    </w:p>
    <w:p>
      <w:pPr>
        <w:pStyle w:val="Heading5"/>
      </w:pPr>
      <w:bookmarkStart w:id="213" w:name="_Toc352667649"/>
      <w:r>
        <w:rPr>
          <w:rStyle w:val="CharSectno"/>
        </w:rPr>
        <w:t>31I</w:t>
      </w:r>
      <w:r>
        <w:t>.</w:t>
      </w:r>
      <w:r>
        <w:tab/>
        <w:t>Applicable building standards in relation to demolition work (s. 3 and 38)</w:t>
      </w:r>
      <w:bookmarkEnd w:id="213"/>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pPr>
      <w:r>
        <w:tab/>
        <w:t>(2)</w:t>
      </w:r>
      <w:r>
        <w:tab/>
        <w:t xml:space="preserve">For subregulation (1), the applicable building standards in respect of demolition work are as follows — </w:t>
      </w:r>
    </w:p>
    <w:p>
      <w:pPr>
        <w:pStyle w:val="Indenta"/>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pPr>
      <w:r>
        <w:tab/>
        <w:t>(iii)</w:t>
      </w:r>
      <w:r>
        <w:tab/>
        <w:t>must be removed from the demolition site; and</w:t>
      </w:r>
    </w:p>
    <w:p>
      <w:pPr>
        <w:pStyle w:val="Indenti"/>
      </w:pPr>
      <w:r>
        <w:tab/>
        <w:t>(iv)</w:t>
      </w:r>
      <w:r>
        <w:tab/>
        <w:t>must not be burned on the demolition site;</w:t>
      </w:r>
    </w:p>
    <w:p>
      <w:pPr>
        <w:pStyle w:val="Indenta"/>
      </w:pPr>
      <w:r>
        <w:tab/>
        <w:t>(b)</w:t>
      </w:r>
      <w:r>
        <w:tab/>
        <w:t>ensuring the disconnection of each electrical, gas, telephone or water service to the building or incidental structure being demolished.</w:t>
      </w:r>
    </w:p>
    <w:p>
      <w:pPr>
        <w:pStyle w:val="Footnotesection"/>
      </w:pPr>
      <w:r>
        <w:tab/>
        <w:t>[Regulation 31I inserted in Gazette 18 Dec 2012 p. 6570-1.]</w:t>
      </w:r>
    </w:p>
    <w:p>
      <w:pPr>
        <w:pStyle w:val="Heading3"/>
      </w:pPr>
      <w:bookmarkStart w:id="214" w:name="_Toc343509001"/>
      <w:bookmarkStart w:id="215" w:name="_Toc343509949"/>
      <w:bookmarkStart w:id="216" w:name="_Toc352666355"/>
      <w:bookmarkStart w:id="217" w:name="_Toc352667528"/>
      <w:bookmarkStart w:id="218" w:name="_Toc352667650"/>
      <w:r>
        <w:rPr>
          <w:rStyle w:val="CharDivNo"/>
        </w:rPr>
        <w:t>Division 2</w:t>
      </w:r>
      <w:r>
        <w:t> — </w:t>
      </w:r>
      <w:r>
        <w:rPr>
          <w:rStyle w:val="CharDivText"/>
        </w:rPr>
        <w:t>Demonstrating compliance with building standards</w:t>
      </w:r>
      <w:bookmarkEnd w:id="214"/>
      <w:bookmarkEnd w:id="215"/>
      <w:bookmarkEnd w:id="216"/>
      <w:bookmarkEnd w:id="217"/>
      <w:bookmarkEnd w:id="218"/>
    </w:p>
    <w:p>
      <w:pPr>
        <w:pStyle w:val="Footnoteheading"/>
      </w:pPr>
      <w:r>
        <w:tab/>
        <w:t>[Heading inserted in Gazette 18 Dec 2012 p. 6571.]</w:t>
      </w:r>
    </w:p>
    <w:p>
      <w:pPr>
        <w:pStyle w:val="Heading5"/>
      </w:pPr>
      <w:bookmarkStart w:id="219" w:name="_Toc352667651"/>
      <w:r>
        <w:rPr>
          <w:rStyle w:val="CharSectno"/>
        </w:rPr>
        <w:t>31J</w:t>
      </w:r>
      <w:r>
        <w:t>.</w:t>
      </w:r>
      <w:r>
        <w:tab/>
        <w:t>Compliance with building standards — CodeMark certificates</w:t>
      </w:r>
      <w:bookmarkEnd w:id="219"/>
    </w:p>
    <w:p>
      <w:pPr>
        <w:pStyle w:val="Subsection"/>
      </w:pPr>
      <w:r>
        <w:tab/>
        <w:t>(1)</w:t>
      </w:r>
      <w:r>
        <w:tab/>
        <w:t xml:space="preserve">In this regulation — </w:t>
      </w:r>
    </w:p>
    <w:p>
      <w:pPr>
        <w:pStyle w:val="Defstart"/>
      </w:pPr>
      <w:r>
        <w:tab/>
      </w:r>
      <w:r>
        <w:rPr>
          <w:rStyle w:val="CharDefText"/>
        </w:rPr>
        <w:t>building product</w:t>
      </w:r>
      <w:r>
        <w:t xml:space="preserve"> includes a building product, method, design, component and system;</w:t>
      </w:r>
    </w:p>
    <w:p>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Footnotesection"/>
      </w:pPr>
      <w:r>
        <w:tab/>
        <w:t>[Regulation 31J inserted in Gazette 18 Dec 2012 p. 6571.]</w:t>
      </w:r>
    </w:p>
    <w:p>
      <w:pPr>
        <w:pStyle w:val="Heading3"/>
      </w:pPr>
      <w:bookmarkStart w:id="220" w:name="_Toc343509003"/>
      <w:bookmarkStart w:id="221" w:name="_Toc343509951"/>
      <w:bookmarkStart w:id="222" w:name="_Toc352666357"/>
      <w:bookmarkStart w:id="223" w:name="_Toc352667530"/>
      <w:bookmarkStart w:id="224" w:name="_Toc352667652"/>
      <w:r>
        <w:rPr>
          <w:rStyle w:val="CharDivNo"/>
        </w:rPr>
        <w:t>Division 3</w:t>
      </w:r>
      <w:r>
        <w:t> — </w:t>
      </w:r>
      <w:r>
        <w:rPr>
          <w:rStyle w:val="CharDivText"/>
        </w:rPr>
        <w:t>Non</w:t>
      </w:r>
      <w:r>
        <w:rPr>
          <w:rStyle w:val="CharDivText"/>
        </w:rPr>
        <w:noBreakHyphen/>
        <w:t>application, modification, of building standards</w:t>
      </w:r>
      <w:bookmarkEnd w:id="220"/>
      <w:bookmarkEnd w:id="221"/>
      <w:bookmarkEnd w:id="222"/>
      <w:bookmarkEnd w:id="223"/>
      <w:bookmarkEnd w:id="224"/>
    </w:p>
    <w:p>
      <w:pPr>
        <w:pStyle w:val="Footnoteheading"/>
      </w:pPr>
      <w:r>
        <w:tab/>
        <w:t>[Heading inserted in Gazette 18 Dec 2012 p. 6571.]</w:t>
      </w:r>
    </w:p>
    <w:p>
      <w:pPr>
        <w:pStyle w:val="Heading5"/>
      </w:pPr>
      <w:bookmarkStart w:id="225" w:name="_Toc352667653"/>
      <w:r>
        <w:rPr>
          <w:rStyle w:val="CharSectno"/>
        </w:rPr>
        <w:t>31</w:t>
      </w:r>
      <w:r>
        <w:t>.</w:t>
      </w:r>
      <w:r>
        <w:tab/>
        <w:t>Term used: application</w:t>
      </w:r>
      <w:bookmarkEnd w:id="194"/>
      <w:bookmarkEnd w:id="225"/>
    </w:p>
    <w:p>
      <w:pPr>
        <w:pStyle w:val="Subsection"/>
      </w:pPr>
      <w:r>
        <w:tab/>
      </w:r>
      <w:r>
        <w:tab/>
        <w:t>In this Division —</w:t>
      </w:r>
    </w:p>
    <w:p>
      <w:pPr>
        <w:pStyle w:val="Defstar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Footnotesection"/>
      </w:pPr>
      <w:bookmarkStart w:id="226" w:name="_Toc320625146"/>
      <w:r>
        <w:tab/>
        <w:t>[Regulation 31 amended in Gazette 18 Dec 2012 p. 6572.]</w:t>
      </w:r>
    </w:p>
    <w:p>
      <w:pPr>
        <w:pStyle w:val="Heading5"/>
      </w:pPr>
      <w:bookmarkStart w:id="227" w:name="_Toc352667654"/>
      <w:r>
        <w:rPr>
          <w:rStyle w:val="CharSectno"/>
        </w:rPr>
        <w:t>32</w:t>
      </w:r>
      <w:r>
        <w:t>.</w:t>
      </w:r>
      <w:r>
        <w:tab/>
        <w:t>Statements to accompany application (s. 39(8)(b))</w:t>
      </w:r>
      <w:bookmarkEnd w:id="226"/>
      <w:bookmarkEnd w:id="227"/>
    </w:p>
    <w:p>
      <w:pPr>
        <w:pStyle w:val="Subsection"/>
      </w:pPr>
      <w:r>
        <w:tab/>
        <w:t>(1)</w:t>
      </w:r>
      <w:r>
        <w:tab/>
        <w:t xml:space="preserve">An application in relation to a building standard must be accompanied by — </w:t>
      </w:r>
    </w:p>
    <w:p>
      <w:pPr>
        <w:pStyle w:val="Indenta"/>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 xml:space="preserve">For the purposes of subregulation (1) a building surveyor is an independent building surveyor in relation to an application if — </w:t>
      </w:r>
    </w:p>
    <w:p>
      <w:pPr>
        <w:pStyle w:val="Indenta"/>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i"/>
      </w:pPr>
      <w:r>
        <w:tab/>
        <w:t>and</w:t>
      </w:r>
    </w:p>
    <w:p>
      <w:pPr>
        <w:pStyle w:val="Indenta"/>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Heading5"/>
      </w:pPr>
      <w:bookmarkStart w:id="228" w:name="_Toc320625147"/>
      <w:bookmarkStart w:id="229" w:name="_Toc352667655"/>
      <w:r>
        <w:rPr>
          <w:rStyle w:val="CharSectno"/>
        </w:rPr>
        <w:t>33</w:t>
      </w:r>
      <w:r>
        <w:t>.</w:t>
      </w:r>
      <w:r>
        <w:tab/>
        <w:t>Decisions on applications (s. 39(9)(a))</w:t>
      </w:r>
      <w:bookmarkEnd w:id="228"/>
      <w:bookmarkEnd w:id="229"/>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pPr>
      <w:r>
        <w:tab/>
        <w:t>(a)</w:t>
      </w:r>
      <w:r>
        <w:tab/>
        <w:t>to not declare that a building standard does not apply; or</w:t>
      </w:r>
    </w:p>
    <w:p>
      <w:pPr>
        <w:pStyle w:val="Defpara"/>
      </w:pPr>
      <w:r>
        <w:tab/>
        <w:t>(b)</w:t>
      </w:r>
      <w:r>
        <w:tab/>
        <w:t>to not modify a building standard; or</w:t>
      </w:r>
    </w:p>
    <w:p>
      <w:pPr>
        <w:pStyle w:val="Defpara"/>
      </w:pPr>
      <w:r>
        <w:tab/>
        <w:t>(c)</w:t>
      </w:r>
      <w:r>
        <w:tab/>
        <w:t>to modify a building standard in a way different from that proposed by the applicant.</w:t>
      </w:r>
    </w:p>
    <w:p>
      <w:pPr>
        <w:pStyle w:val="Subsection"/>
      </w:pPr>
      <w:r>
        <w:tab/>
        <w:t>(2)</w:t>
      </w:r>
      <w:r>
        <w:tab/>
        <w:t xml:space="preserve">The Building Commissioner must — </w:t>
      </w:r>
    </w:p>
    <w:p>
      <w:pPr>
        <w:pStyle w:val="Indenta"/>
      </w:pPr>
      <w:r>
        <w:tab/>
        <w:t>(a)</w:t>
      </w:r>
      <w:r>
        <w:tab/>
        <w:t>record the grounds on which a decision is based and the reasons for the decision; and</w:t>
      </w:r>
    </w:p>
    <w:p>
      <w:pPr>
        <w:pStyle w:val="Indenta"/>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pPr>
      <w:bookmarkStart w:id="230" w:name="_Toc320625148"/>
      <w:bookmarkStart w:id="231" w:name="_Toc352667656"/>
      <w:r>
        <w:rPr>
          <w:rStyle w:val="CharSectno"/>
        </w:rPr>
        <w:t>34</w:t>
      </w:r>
      <w:r>
        <w:t>.</w:t>
      </w:r>
      <w:r>
        <w:tab/>
        <w:t>Revoking or amending declarations (s. 39(9)(b))</w:t>
      </w:r>
      <w:bookmarkEnd w:id="230"/>
      <w:bookmarkEnd w:id="231"/>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232" w:name="_Toc320625149"/>
      <w:bookmarkStart w:id="233" w:name="_Toc320625513"/>
      <w:bookmarkStart w:id="234" w:name="_Toc320625788"/>
      <w:bookmarkStart w:id="235" w:name="_Toc320697828"/>
      <w:bookmarkStart w:id="236" w:name="_Toc327448469"/>
      <w:bookmarkStart w:id="237" w:name="_Toc327450561"/>
      <w:bookmarkStart w:id="238" w:name="_Toc341960229"/>
      <w:bookmarkStart w:id="239" w:name="_Toc341960326"/>
      <w:bookmarkStart w:id="240" w:name="_Toc341960639"/>
      <w:bookmarkStart w:id="241" w:name="_Toc343509008"/>
      <w:bookmarkStart w:id="242" w:name="_Toc343509956"/>
      <w:bookmarkStart w:id="243" w:name="_Toc352666362"/>
      <w:bookmarkStart w:id="244" w:name="_Toc352667535"/>
      <w:bookmarkStart w:id="245" w:name="_Toc352667657"/>
      <w:r>
        <w:rPr>
          <w:rStyle w:val="CharPartNo"/>
        </w:rPr>
        <w:t>Part 5</w:t>
      </w:r>
      <w:r>
        <w:rPr>
          <w:rStyle w:val="CharDivNo"/>
        </w:rPr>
        <w:t> </w:t>
      </w:r>
      <w:r>
        <w:t>—</w:t>
      </w:r>
      <w:r>
        <w:rPr>
          <w:rStyle w:val="CharDivText"/>
        </w:rPr>
        <w:t> </w:t>
      </w:r>
      <w:r>
        <w:rPr>
          <w:rStyle w:val="CharPartText"/>
        </w:rPr>
        <w:t>Occupancy permits and building approval certificates</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Heading5"/>
      </w:pPr>
      <w:bookmarkStart w:id="246" w:name="_Toc320625150"/>
      <w:bookmarkStart w:id="247" w:name="_Toc352667658"/>
      <w:r>
        <w:rPr>
          <w:rStyle w:val="CharSectno"/>
        </w:rPr>
        <w:t>35</w:t>
      </w:r>
      <w:r>
        <w:t>.</w:t>
      </w:r>
      <w:r>
        <w:tab/>
        <w:t>Display of occupancy permit details (s. 42(a))</w:t>
      </w:r>
      <w:bookmarkEnd w:id="246"/>
      <w:bookmarkEnd w:id="247"/>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248" w:name="_Toc352667659"/>
      <w:bookmarkStart w:id="249" w:name="_Toc320625151"/>
      <w:r>
        <w:rPr>
          <w:rStyle w:val="CharSectno"/>
        </w:rPr>
        <w:t>36A</w:t>
      </w:r>
      <w:r>
        <w:t>.</w:t>
      </w:r>
      <w:r>
        <w:tab/>
        <w:t>Further information (s. 55(3) and (4))</w:t>
      </w:r>
      <w:bookmarkEnd w:id="248"/>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in Gazette 18 Dec 2012 p. 6572.]</w:t>
      </w:r>
    </w:p>
    <w:p>
      <w:pPr>
        <w:pStyle w:val="Heading5"/>
      </w:pPr>
      <w:bookmarkStart w:id="250" w:name="_Toc352667660"/>
      <w:r>
        <w:rPr>
          <w:rStyle w:val="CharSectno"/>
        </w:rPr>
        <w:t>36</w:t>
      </w:r>
      <w:r>
        <w:t>.</w:t>
      </w:r>
      <w:r>
        <w:tab/>
        <w:t>Certificate of building compliance (s. 57)</w:t>
      </w:r>
      <w:bookmarkEnd w:id="249"/>
      <w:bookmarkEnd w:id="250"/>
    </w:p>
    <w:p>
      <w:pPr>
        <w:pStyle w:val="Subsection"/>
      </w:pPr>
      <w:r>
        <w:tab/>
        <w:t>(1)</w:t>
      </w:r>
      <w:r>
        <w:tab/>
        <w:t xml:space="preserve">For the purposes of section 57(2)(c), the following authorities under written laws, as relevant to the building or incidental structure, are prescribed — </w:t>
      </w:r>
    </w:p>
    <w:p>
      <w:pPr>
        <w:pStyle w:val="Indenta"/>
      </w:pPr>
      <w:r>
        <w:tab/>
        <w:t>(a)</w:t>
      </w:r>
      <w:r>
        <w:tab/>
        <w:t xml:space="preserve">an approval required under the </w:t>
      </w:r>
      <w:r>
        <w:rPr>
          <w:i/>
        </w:rPr>
        <w:t>Health Act 1911</w:t>
      </w:r>
      <w:r>
        <w:t xml:space="preserve"> section 107(2)(a) or (b);</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Subsection"/>
      </w:pPr>
      <w:r>
        <w:tab/>
        <w:t>(2)</w:t>
      </w:r>
      <w:r>
        <w:tab/>
        <w:t xml:space="preserve">For the purposes of section 57(2)(d) a certificate of building compliance must contain the following things — </w:t>
      </w:r>
    </w:p>
    <w:p>
      <w:pPr>
        <w:pStyle w:val="Indenta"/>
      </w:pPr>
      <w:r>
        <w:tab/>
        <w:t>(a)</w:t>
      </w:r>
      <w:r>
        <w:tab/>
        <w:t>if a declaration under section 39 has been made in respect of the building, a statement to that effect;</w:t>
      </w:r>
    </w:p>
    <w:p>
      <w:pPr>
        <w:pStyle w:val="Indenta"/>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pPr>
      <w:r>
        <w:tab/>
        <w:t>(c)</w:t>
      </w:r>
      <w:r>
        <w:tab/>
        <w:t>if an alternative solution was used to comply with a building standard, a statement about the alternative solution and details of the assessment methods used to establish compliance with the building standard.</w:t>
      </w:r>
    </w:p>
    <w:p>
      <w:pPr>
        <w:pStyle w:val="Heading5"/>
      </w:pPr>
      <w:bookmarkStart w:id="251" w:name="_Toc320625152"/>
      <w:bookmarkStart w:id="252" w:name="_Toc352667661"/>
      <w:r>
        <w:rPr>
          <w:rStyle w:val="CharSectno"/>
        </w:rPr>
        <w:t>37</w:t>
      </w:r>
      <w:r>
        <w:t>.</w:t>
      </w:r>
      <w:r>
        <w:tab/>
        <w:t>Grant of occupancy permit or building approval certificate (s. 58)</w:t>
      </w:r>
      <w:bookmarkEnd w:id="251"/>
      <w:bookmarkEnd w:id="252"/>
    </w:p>
    <w:p>
      <w:pPr>
        <w:pStyle w:val="Subsection"/>
      </w:pPr>
      <w:r>
        <w:tab/>
      </w:r>
      <w:r>
        <w:tab/>
        <w:t xml:space="preserve">For the purposes of section 58(1)(j), the following authorities under written laws, as relevant to the building or incidental structure, are prescribed — </w:t>
      </w:r>
    </w:p>
    <w:p>
      <w:pPr>
        <w:pStyle w:val="Indenta"/>
      </w:pPr>
      <w:r>
        <w:tab/>
        <w:t>(a)</w:t>
      </w:r>
      <w:r>
        <w:tab/>
        <w:t xml:space="preserve">an approval required under the </w:t>
      </w:r>
      <w:r>
        <w:rPr>
          <w:i/>
        </w:rPr>
        <w:t>Health Act 1911</w:t>
      </w:r>
      <w:r>
        <w:t xml:space="preserve"> section 107(2)(a) or (b);</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Heading5"/>
      </w:pPr>
      <w:bookmarkStart w:id="253" w:name="_Toc320625153"/>
      <w:bookmarkStart w:id="254" w:name="_Toc352667662"/>
      <w:r>
        <w:rPr>
          <w:rStyle w:val="CharSectno"/>
        </w:rPr>
        <w:t>38</w:t>
      </w:r>
      <w:r>
        <w:t>.</w:t>
      </w:r>
      <w:r>
        <w:tab/>
        <w:t>Time for granting occupancy permit or building approval certificate (s. 59)</w:t>
      </w:r>
      <w:bookmarkEnd w:id="253"/>
      <w:bookmarkEnd w:id="254"/>
    </w:p>
    <w:p>
      <w:pPr>
        <w:pStyle w:val="Subsection"/>
      </w:pPr>
      <w:r>
        <w:tab/>
      </w:r>
      <w:r>
        <w:tab/>
        <w:t>For the purposes of section 59(1)(a)(i) the period for deciding whether or not to grant or modify an occupancy permit or grant a building approval certificate is 10 business days.</w:t>
      </w:r>
    </w:p>
    <w:p>
      <w:pPr>
        <w:pStyle w:val="Heading5"/>
      </w:pPr>
      <w:bookmarkStart w:id="255" w:name="_Toc320625154"/>
      <w:bookmarkStart w:id="256" w:name="_Toc352667663"/>
      <w:r>
        <w:rPr>
          <w:rStyle w:val="CharSectno"/>
        </w:rPr>
        <w:t>39</w:t>
      </w:r>
      <w:r>
        <w:t>.</w:t>
      </w:r>
      <w:r>
        <w:tab/>
        <w:t>Occupancy permit and building approval certificates (s. 61(2))</w:t>
      </w:r>
      <w:bookmarkEnd w:id="255"/>
      <w:bookmarkEnd w:id="256"/>
    </w:p>
    <w:p>
      <w:pPr>
        <w:pStyle w:val="Subsection"/>
        <w:keepNext/>
      </w:pPr>
      <w:r>
        <w:tab/>
        <w:t>(1)</w:t>
      </w:r>
      <w:r>
        <w:tab/>
        <w:t xml:space="preserve">In this regulation — </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For the purposes of section 61(2)(g) an occupancy permit, a form of modification or a building approval certificate that is applied for under section 50(1) or (2) must set out the details of any part of the building or incidental structure that encroaches beyond the boundaries for the land on which the building or incidental structure is located in the form of a survey plan prepared by a licensed surveyor.</w:t>
      </w:r>
    </w:p>
    <w:p>
      <w:pPr>
        <w:pStyle w:val="Heading5"/>
      </w:pPr>
      <w:bookmarkStart w:id="257" w:name="_Toc320625155"/>
      <w:bookmarkStart w:id="258" w:name="_Toc352667664"/>
      <w:r>
        <w:rPr>
          <w:rStyle w:val="CharSectno"/>
        </w:rPr>
        <w:t>40</w:t>
      </w:r>
      <w:r>
        <w:t>.</w:t>
      </w:r>
      <w:r>
        <w:tab/>
        <w:t>Extension of period of duration of time limited occupancy permit or building approval certificate (s. 65)</w:t>
      </w:r>
      <w:bookmarkEnd w:id="257"/>
      <w:bookmarkEnd w:id="258"/>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tab/>
      </w:r>
      <w:r>
        <w:rPr>
          <w:rStyle w:val="CharDefText"/>
        </w:rPr>
        <w:t>expiry day</w:t>
      </w:r>
      <w:r>
        <w:t>, in relation to an occupancy permit or a building approval certificate, means the day on which the permit or certificate ceases to have effect.</w:t>
      </w:r>
    </w:p>
    <w:p>
      <w:pPr>
        <w:pStyle w:val="Subsection"/>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259" w:name="_Toc320625156"/>
      <w:bookmarkStart w:id="260" w:name="_Toc320625520"/>
      <w:bookmarkStart w:id="261" w:name="_Toc320625795"/>
      <w:bookmarkStart w:id="262" w:name="_Toc320697835"/>
      <w:bookmarkStart w:id="263" w:name="_Toc327448476"/>
      <w:bookmarkStart w:id="264" w:name="_Toc327450568"/>
      <w:bookmarkStart w:id="265" w:name="_Toc341960236"/>
      <w:bookmarkStart w:id="266" w:name="_Toc341960333"/>
      <w:bookmarkStart w:id="267" w:name="_Toc341960646"/>
      <w:bookmarkStart w:id="268" w:name="_Toc343509016"/>
      <w:bookmarkStart w:id="269" w:name="_Toc343509964"/>
      <w:bookmarkStart w:id="270" w:name="_Toc352666370"/>
      <w:bookmarkStart w:id="271" w:name="_Toc352667543"/>
      <w:bookmarkStart w:id="272" w:name="_Toc352667665"/>
      <w:r>
        <w:rPr>
          <w:rStyle w:val="CharPartNo"/>
        </w:rPr>
        <w:t>Part 6</w:t>
      </w:r>
      <w:r>
        <w:rPr>
          <w:rStyle w:val="CharDivNo"/>
        </w:rPr>
        <w:t> </w:t>
      </w:r>
      <w:r>
        <w:t>—</w:t>
      </w:r>
      <w:r>
        <w:rPr>
          <w:rStyle w:val="CharDivText"/>
        </w:rPr>
        <w:t> </w:t>
      </w:r>
      <w:r>
        <w:rPr>
          <w:rStyle w:val="CharPartText"/>
        </w:rPr>
        <w:t>Circumstances in which building, demolition or occupancy permits not required</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p>
      <w:pPr>
        <w:pStyle w:val="Heading5"/>
      </w:pPr>
      <w:bookmarkStart w:id="273" w:name="_Toc320625157"/>
      <w:bookmarkStart w:id="274" w:name="_Toc352667666"/>
      <w:r>
        <w:rPr>
          <w:rStyle w:val="CharSectno"/>
        </w:rPr>
        <w:t>41</w:t>
      </w:r>
      <w:r>
        <w:t>.</w:t>
      </w:r>
      <w:r>
        <w:tab/>
        <w:t>Building work for which building permit is not required (s. 9(1)(b))</w:t>
      </w:r>
      <w:bookmarkEnd w:id="273"/>
      <w:bookmarkEnd w:id="274"/>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Pr>
      <w:bookmarkStart w:id="275" w:name="_Toc320625158"/>
      <w:bookmarkStart w:id="276" w:name="_Toc352667667"/>
      <w:r>
        <w:rPr>
          <w:rStyle w:val="CharSectno"/>
        </w:rPr>
        <w:t>42</w:t>
      </w:r>
      <w:r>
        <w:t>.</w:t>
      </w:r>
      <w:r>
        <w:tab/>
        <w:t>Demolition work for which demolition permit not required (s. 10(c))</w:t>
      </w:r>
      <w:bookmarkEnd w:id="275"/>
      <w:bookmarkEnd w:id="276"/>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277" w:name="_Toc352667668"/>
      <w:bookmarkStart w:id="278" w:name="_Toc320625159"/>
      <w:r>
        <w:rPr>
          <w:rStyle w:val="CharSectno"/>
        </w:rPr>
        <w:t>43</w:t>
      </w:r>
      <w:r>
        <w:t>.</w:t>
      </w:r>
      <w:r>
        <w:tab/>
        <w:t>Buildings for which occupancy permit not required (s. 41(2))</w:t>
      </w:r>
      <w:bookmarkEnd w:id="277"/>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2014;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in Gazette 18 Dec 2012 p. 6573-4.]</w:t>
      </w:r>
    </w:p>
    <w:p>
      <w:pPr>
        <w:pStyle w:val="Heading2"/>
        <w:rPr>
          <w:rStyle w:val="CharPartText"/>
        </w:rPr>
      </w:pPr>
      <w:bookmarkStart w:id="279" w:name="_Toc320625160"/>
      <w:bookmarkStart w:id="280" w:name="_Toc320625524"/>
      <w:bookmarkStart w:id="281" w:name="_Toc320625799"/>
      <w:bookmarkStart w:id="282" w:name="_Toc320697839"/>
      <w:bookmarkStart w:id="283" w:name="_Toc327448480"/>
      <w:bookmarkStart w:id="284" w:name="_Toc327450572"/>
      <w:bookmarkStart w:id="285" w:name="_Toc341960240"/>
      <w:bookmarkStart w:id="286" w:name="_Toc341960337"/>
      <w:bookmarkStart w:id="287" w:name="_Toc341960650"/>
      <w:bookmarkStart w:id="288" w:name="_Toc343509020"/>
      <w:bookmarkStart w:id="289" w:name="_Toc343509968"/>
      <w:bookmarkStart w:id="290" w:name="_Toc352666374"/>
      <w:bookmarkStart w:id="291" w:name="_Toc352667547"/>
      <w:bookmarkStart w:id="292" w:name="_Toc352667669"/>
      <w:bookmarkEnd w:id="278"/>
      <w:r>
        <w:rPr>
          <w:rStyle w:val="CharPartNo"/>
        </w:rPr>
        <w:t>Part 7</w:t>
      </w:r>
      <w:r>
        <w:rPr>
          <w:rStyle w:val="CharDivNo"/>
        </w:rPr>
        <w:t> </w:t>
      </w:r>
      <w:r>
        <w:t>—</w:t>
      </w:r>
      <w:r>
        <w:rPr>
          <w:rStyle w:val="CharDivText"/>
        </w:rPr>
        <w:t> </w:t>
      </w:r>
      <w:r>
        <w:rPr>
          <w:rStyle w:val="CharPartText"/>
        </w:rPr>
        <w:t>Work affecting other land</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pPr>
        <w:pStyle w:val="Heading5"/>
      </w:pPr>
      <w:bookmarkStart w:id="293" w:name="_Toc320625161"/>
      <w:bookmarkStart w:id="294" w:name="_Toc352667670"/>
      <w:r>
        <w:rPr>
          <w:rStyle w:val="CharSectno"/>
        </w:rPr>
        <w:t>44</w:t>
      </w:r>
      <w:r>
        <w:t>.</w:t>
      </w:r>
      <w:r>
        <w:tab/>
        <w:t>Owner of land for purposes of Part 6 of Act</w:t>
      </w:r>
      <w:bookmarkEnd w:id="293"/>
      <w:bookmarkEnd w:id="294"/>
    </w:p>
    <w:p>
      <w:pPr>
        <w:pStyle w:val="Subsection"/>
      </w:pPr>
      <w:r>
        <w:tab/>
      </w:r>
      <w:r>
        <w:tab/>
        <w:t xml:space="preserve">For the purposes of Part 6 of the Act, owner, in relation to land held in freehold, means a person referred to in paragraph (a) or (b) of the definition of </w:t>
      </w:r>
      <w:r>
        <w:rPr>
          <w:b/>
          <w:i/>
        </w:rPr>
        <w:t>owner</w:t>
      </w:r>
      <w:r>
        <w:t>, in relation to land held in freehold in section 5(1).</w:t>
      </w:r>
    </w:p>
    <w:p>
      <w:pPr>
        <w:pStyle w:val="Heading5"/>
      </w:pPr>
      <w:bookmarkStart w:id="295" w:name="_Toc320625162"/>
      <w:bookmarkStart w:id="296" w:name="_Toc352667671"/>
      <w:r>
        <w:rPr>
          <w:rStyle w:val="CharSectno"/>
        </w:rPr>
        <w:t>45</w:t>
      </w:r>
      <w:r>
        <w:t>.</w:t>
      </w:r>
      <w:r>
        <w:tab/>
        <w:t>Content of notice about effect on other land (s. 85)</w:t>
      </w:r>
      <w:bookmarkEnd w:id="295"/>
      <w:bookmarkEnd w:id="296"/>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297" w:name="_Toc320625163"/>
      <w:bookmarkStart w:id="298" w:name="_Toc320625527"/>
      <w:bookmarkStart w:id="299" w:name="_Toc320625802"/>
      <w:bookmarkStart w:id="300" w:name="_Toc320697842"/>
      <w:bookmarkStart w:id="301" w:name="_Toc327448483"/>
      <w:bookmarkStart w:id="302" w:name="_Toc327450575"/>
      <w:bookmarkStart w:id="303" w:name="_Toc341960243"/>
      <w:bookmarkStart w:id="304" w:name="_Toc341960340"/>
      <w:bookmarkStart w:id="305" w:name="_Toc341960653"/>
      <w:bookmarkStart w:id="306" w:name="_Toc343509023"/>
      <w:bookmarkStart w:id="307" w:name="_Toc343509971"/>
      <w:bookmarkStart w:id="308" w:name="_Toc352666377"/>
      <w:bookmarkStart w:id="309" w:name="_Toc352667550"/>
      <w:bookmarkStart w:id="310" w:name="_Toc352667672"/>
      <w:r>
        <w:rPr>
          <w:rStyle w:val="CharPartNo"/>
        </w:rPr>
        <w:t>Part 8</w:t>
      </w:r>
      <w:r>
        <w:t> — </w:t>
      </w:r>
      <w:r>
        <w:rPr>
          <w:rStyle w:val="CharPartText"/>
        </w:rPr>
        <w:t>Existing buildings</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Heading3"/>
      </w:pPr>
      <w:bookmarkStart w:id="311" w:name="_Toc320625164"/>
      <w:bookmarkStart w:id="312" w:name="_Toc320625528"/>
      <w:bookmarkStart w:id="313" w:name="_Toc320625803"/>
      <w:bookmarkStart w:id="314" w:name="_Toc320697843"/>
      <w:bookmarkStart w:id="315" w:name="_Toc327448484"/>
      <w:bookmarkStart w:id="316" w:name="_Toc327450576"/>
      <w:bookmarkStart w:id="317" w:name="_Toc341960244"/>
      <w:bookmarkStart w:id="318" w:name="_Toc341960341"/>
      <w:bookmarkStart w:id="319" w:name="_Toc341960654"/>
      <w:bookmarkStart w:id="320" w:name="_Toc343509024"/>
      <w:bookmarkStart w:id="321" w:name="_Toc343509972"/>
      <w:bookmarkStart w:id="322" w:name="_Toc352666378"/>
      <w:bookmarkStart w:id="323" w:name="_Toc352667551"/>
      <w:bookmarkStart w:id="324" w:name="_Toc352667673"/>
      <w:r>
        <w:rPr>
          <w:rStyle w:val="CharDivNo"/>
        </w:rPr>
        <w:t>Division 1</w:t>
      </w:r>
      <w:r>
        <w:t> — </w:t>
      </w:r>
      <w:r>
        <w:rPr>
          <w:rStyle w:val="CharDivText"/>
        </w:rPr>
        <w:t>General</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Ednotesection"/>
      </w:pPr>
      <w:bookmarkStart w:id="325" w:name="_Toc320625165"/>
      <w:r>
        <w:t>[</w:t>
      </w:r>
      <w:r>
        <w:rPr>
          <w:b/>
        </w:rPr>
        <w:t>46.</w:t>
      </w:r>
      <w:r>
        <w:tab/>
        <w:t>Deleted in Gazette 18 Dec 2012 p. 6574.]</w:t>
      </w:r>
    </w:p>
    <w:p>
      <w:pPr>
        <w:pStyle w:val="Heading5"/>
      </w:pPr>
      <w:bookmarkStart w:id="326" w:name="_Toc320625166"/>
      <w:bookmarkStart w:id="327" w:name="_Toc352667674"/>
      <w:bookmarkEnd w:id="325"/>
      <w:r>
        <w:rPr>
          <w:rStyle w:val="CharSectno"/>
        </w:rPr>
        <w:t>47</w:t>
      </w:r>
      <w:r>
        <w:t>.</w:t>
      </w:r>
      <w:r>
        <w:tab/>
        <w:t>Notification of change of classification of certain buildings and incidental structures</w:t>
      </w:r>
      <w:bookmarkEnd w:id="326"/>
      <w:bookmarkEnd w:id="327"/>
    </w:p>
    <w:p>
      <w:pPr>
        <w:pStyle w:val="Subsection"/>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pPr>
      <w:r>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48"/>
        <w:gridCol w:w="2268"/>
        <w:gridCol w:w="2409"/>
      </w:tblGrid>
      <w:tr>
        <w:trPr>
          <w:tblHeader/>
        </w:trPr>
        <w:tc>
          <w:tcPr>
            <w:tcW w:w="1248" w:type="dxa"/>
          </w:tcPr>
          <w:p>
            <w:pPr>
              <w:pStyle w:val="TableNAm"/>
              <w:jc w:val="center"/>
              <w:rPr>
                <w:b/>
                <w:bCs/>
              </w:rPr>
            </w:pPr>
            <w:r>
              <w:rPr>
                <w:b/>
                <w:bCs/>
              </w:rPr>
              <w:t>Column 1</w:t>
            </w:r>
          </w:p>
          <w:p>
            <w:pPr>
              <w:pStyle w:val="TableNAm"/>
              <w:jc w:val="center"/>
              <w:rPr>
                <w:b/>
                <w:bCs/>
              </w:rPr>
            </w:pPr>
            <w:r>
              <w:rPr>
                <w:b/>
                <w:bCs/>
              </w:rPr>
              <w:t>Item</w:t>
            </w:r>
          </w:p>
        </w:tc>
        <w:tc>
          <w:tcPr>
            <w:tcW w:w="2268" w:type="dxa"/>
          </w:tcPr>
          <w:p>
            <w:pPr>
              <w:pStyle w:val="TableNAm"/>
              <w:jc w:val="center"/>
              <w:rPr>
                <w:b/>
                <w:bCs/>
              </w:rPr>
            </w:pPr>
            <w:r>
              <w:rPr>
                <w:b/>
                <w:bCs/>
              </w:rPr>
              <w:t>Column 2</w:t>
            </w:r>
          </w:p>
          <w:p>
            <w:pPr>
              <w:pStyle w:val="TableNAm"/>
              <w:jc w:val="center"/>
              <w:rPr>
                <w:b/>
                <w:bCs/>
              </w:rPr>
            </w:pPr>
            <w:r>
              <w:rPr>
                <w:b/>
                <w:bCs/>
              </w:rPr>
              <w:t>Existing classification</w:t>
            </w:r>
          </w:p>
        </w:tc>
        <w:tc>
          <w:tcPr>
            <w:tcW w:w="2409" w:type="dxa"/>
          </w:tcPr>
          <w:p>
            <w:pPr>
              <w:pStyle w:val="TableNAm"/>
              <w:jc w:val="center"/>
              <w:rPr>
                <w:b/>
                <w:bCs/>
              </w:rPr>
            </w:pPr>
            <w:r>
              <w:rPr>
                <w:b/>
                <w:bCs/>
              </w:rPr>
              <w:t>Column 3</w:t>
            </w:r>
          </w:p>
          <w:p>
            <w:pPr>
              <w:pStyle w:val="TableNAm"/>
              <w:jc w:val="center"/>
              <w:rPr>
                <w:b/>
                <w:bCs/>
              </w:rPr>
            </w:pPr>
            <w:r>
              <w:rPr>
                <w:b/>
                <w:bCs/>
              </w:rPr>
              <w:t>Proposed classification</w:t>
            </w:r>
          </w:p>
        </w:tc>
      </w:tr>
      <w:tr>
        <w:tc>
          <w:tcPr>
            <w:tcW w:w="1248" w:type="dxa"/>
          </w:tcPr>
          <w:p>
            <w:pPr>
              <w:pStyle w:val="TableNAm"/>
            </w:pPr>
            <w:r>
              <w:t>1.</w:t>
            </w:r>
          </w:p>
        </w:tc>
        <w:tc>
          <w:tcPr>
            <w:tcW w:w="2268" w:type="dxa"/>
          </w:tcPr>
          <w:p>
            <w:pPr>
              <w:pStyle w:val="TableNAm"/>
            </w:pPr>
            <w:r>
              <w:t>Class 10a</w:t>
            </w:r>
          </w:p>
        </w:tc>
        <w:tc>
          <w:tcPr>
            <w:tcW w:w="2409" w:type="dxa"/>
          </w:tcPr>
          <w:p>
            <w:pPr>
              <w:pStyle w:val="TableNAm"/>
            </w:pPr>
            <w:r>
              <w:t>Class 1</w:t>
            </w:r>
          </w:p>
        </w:tc>
      </w:tr>
      <w:tr>
        <w:tc>
          <w:tcPr>
            <w:tcW w:w="1248" w:type="dxa"/>
          </w:tcPr>
          <w:p>
            <w:pPr>
              <w:pStyle w:val="TableNAm"/>
            </w:pPr>
            <w:r>
              <w:t>2.</w:t>
            </w:r>
          </w:p>
        </w:tc>
        <w:tc>
          <w:tcPr>
            <w:tcW w:w="2268" w:type="dxa"/>
          </w:tcPr>
          <w:p>
            <w:pPr>
              <w:pStyle w:val="TableNAm"/>
            </w:pPr>
            <w:r>
              <w:t>Class 1a</w:t>
            </w:r>
          </w:p>
        </w:tc>
        <w:tc>
          <w:tcPr>
            <w:tcW w:w="2409" w:type="dxa"/>
          </w:tcPr>
          <w:p>
            <w:pPr>
              <w:pStyle w:val="TableNAm"/>
            </w:pPr>
            <w:r>
              <w:t>Class 1b</w:t>
            </w:r>
          </w:p>
        </w:tc>
      </w:tr>
    </w:tbl>
    <w:p>
      <w:pPr>
        <w:pStyle w:val="Penstart"/>
      </w:pPr>
      <w:r>
        <w:tab/>
        <w:t>Penalty: a fine of $5 000.</w:t>
      </w:r>
    </w:p>
    <w:p>
      <w:pPr>
        <w:pStyle w:val="Subsection"/>
      </w:pPr>
      <w:r>
        <w:tab/>
        <w:t>(2)</w:t>
      </w:r>
      <w:r>
        <w:tab/>
        <w:t>The written notice must include or be accompanied by evidence that the building or incidental structure complies with the building standards applicable to the proposed classification of the building or incidental structure.</w:t>
      </w:r>
    </w:p>
    <w:p>
      <w:pPr>
        <w:pStyle w:val="Heading3"/>
      </w:pPr>
      <w:bookmarkStart w:id="328" w:name="_Toc320625167"/>
      <w:bookmarkStart w:id="329" w:name="_Toc320625531"/>
      <w:bookmarkStart w:id="330" w:name="_Toc320625806"/>
      <w:bookmarkStart w:id="331" w:name="_Toc320697846"/>
      <w:bookmarkStart w:id="332" w:name="_Toc327448487"/>
      <w:bookmarkStart w:id="333" w:name="_Toc327450579"/>
      <w:bookmarkStart w:id="334" w:name="_Toc341960247"/>
      <w:bookmarkStart w:id="335" w:name="_Toc341960344"/>
      <w:bookmarkStart w:id="336" w:name="_Toc341960657"/>
      <w:bookmarkStart w:id="337" w:name="_Toc343509026"/>
      <w:bookmarkStart w:id="338" w:name="_Toc343509974"/>
      <w:bookmarkStart w:id="339" w:name="_Toc352666380"/>
      <w:bookmarkStart w:id="340" w:name="_Toc352667553"/>
      <w:bookmarkStart w:id="341" w:name="_Toc352667675"/>
      <w:r>
        <w:rPr>
          <w:rStyle w:val="CharDivNo"/>
        </w:rPr>
        <w:t>Division 2</w:t>
      </w:r>
      <w:r>
        <w:t> — </w:t>
      </w:r>
      <w:r>
        <w:rPr>
          <w:rStyle w:val="CharDivText"/>
        </w:rPr>
        <w:t>Private swimming pools</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pPr>
        <w:pStyle w:val="Heading5"/>
      </w:pPr>
      <w:bookmarkStart w:id="342" w:name="_Toc320625168"/>
      <w:bookmarkStart w:id="343" w:name="_Toc352667676"/>
      <w:r>
        <w:rPr>
          <w:rStyle w:val="CharSectno"/>
        </w:rPr>
        <w:t>48</w:t>
      </w:r>
      <w:r>
        <w:t>.</w:t>
      </w:r>
      <w:r>
        <w:tab/>
        <w:t>Terms used</w:t>
      </w:r>
      <w:bookmarkEnd w:id="342"/>
      <w:bookmarkEnd w:id="343"/>
    </w:p>
    <w:p>
      <w:pPr>
        <w:pStyle w:val="Subsection"/>
      </w:pPr>
      <w:r>
        <w:tab/>
      </w:r>
      <w:r>
        <w:tab/>
        <w:t>In this Division —</w:t>
      </w:r>
    </w:p>
    <w:p>
      <w:pPr>
        <w:pStyle w:val="Defstart"/>
      </w:pPr>
      <w:r>
        <w:tab/>
      </w:r>
      <w:r>
        <w:rPr>
          <w:rStyle w:val="CharDefText"/>
        </w:rPr>
        <w:t>access through a building</w:t>
      </w:r>
      <w:r>
        <w:t xml:space="preserve"> means access between the area within an enclosure and a part of a building to which there is direct or indirect access from outside the enclosure;</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Heading5"/>
      </w:pPr>
      <w:bookmarkStart w:id="344" w:name="_Toc320625169"/>
      <w:bookmarkStart w:id="345" w:name="_Toc352667677"/>
      <w:r>
        <w:rPr>
          <w:rStyle w:val="CharSectno"/>
        </w:rPr>
        <w:t>49</w:t>
      </w:r>
      <w:r>
        <w:t>.</w:t>
      </w:r>
      <w:r>
        <w:tab/>
        <w:t>Application of this Division</w:t>
      </w:r>
      <w:bookmarkEnd w:id="344"/>
      <w:bookmarkEnd w:id="345"/>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346" w:name="_Toc320625170"/>
      <w:bookmarkStart w:id="347" w:name="_Toc352667678"/>
      <w:r>
        <w:rPr>
          <w:rStyle w:val="CharSectno"/>
        </w:rPr>
        <w:t>50</w:t>
      </w:r>
      <w:r>
        <w:t>.</w:t>
      </w:r>
      <w:r>
        <w:tab/>
        <w:t>Enclosure of private swimming pool</w:t>
      </w:r>
      <w:bookmarkEnd w:id="346"/>
      <w:bookmarkEnd w:id="347"/>
    </w:p>
    <w:p>
      <w:pPr>
        <w:pStyle w:val="Subsection"/>
        <w:spacing w:before="120"/>
      </w:pPr>
      <w:r>
        <w:tab/>
        <w:t>(1)</w:t>
      </w:r>
      <w:r>
        <w:tab/>
        <w:t>Each owner and occupier of premises on which there is a private swimming pool containing water that is more than 300 mm deep must ensure that there is installed or provided around the pool an enclosure that restricts access by young children to the pool and its immediate surrounds.</w:t>
      </w:r>
    </w:p>
    <w:p>
      <w:pPr>
        <w:pStyle w:val="Penstart"/>
      </w:pPr>
      <w:r>
        <w:tab/>
        <w:t>Penalty: a fine of $5 000.</w:t>
      </w:r>
    </w:p>
    <w:p>
      <w:pPr>
        <w:pStyle w:val="Subsection"/>
      </w:pPr>
      <w:r>
        <w:tab/>
        <w:t>(2)</w:t>
      </w:r>
      <w:r>
        <w:tab/>
        <w:t>For the purposes of subregulation (1), the immediate surrounds of a private swimming pool that is at the rear of premises may include any part of the rear portion of the premises.</w:t>
      </w:r>
    </w:p>
    <w:p>
      <w:pPr>
        <w:pStyle w:val="Subsection"/>
      </w:pPr>
      <w:r>
        <w:tab/>
        <w:t>(3)</w:t>
      </w:r>
      <w:r>
        <w:tab/>
        <w:t>If a building other than a Class 10 building is included within the enclosure around a private swimming pool all external doors and windows in that building must satisfy the requirements of AS 1926.1.</w:t>
      </w:r>
    </w:p>
    <w:p>
      <w:pPr>
        <w:pStyle w:val="Subsection"/>
      </w:pPr>
      <w:r>
        <w:tab/>
        <w:t>(4)</w:t>
      </w:r>
      <w:r>
        <w:tab/>
        <w:t xml:space="preserve">An enclosure is suitable for the purposes of subregulation (1) if — </w:t>
      </w:r>
    </w:p>
    <w:p>
      <w:pPr>
        <w:pStyle w:val="Indenta"/>
      </w:pPr>
      <w:r>
        <w:tab/>
        <w:t>(a)</w:t>
      </w:r>
      <w:r>
        <w:tab/>
        <w:t>it consists of a fence, wall, gate or other barrier, or a combination of them; and</w:t>
      </w:r>
    </w:p>
    <w:p>
      <w:pPr>
        <w:pStyle w:val="Indenta"/>
      </w:pPr>
      <w:r>
        <w:tab/>
        <w:t>(b)</w:t>
      </w:r>
      <w:r>
        <w:tab/>
        <w:t xml:space="preserve">any fence, wall, gate or other barrier included in the enclosure is in accordance with — </w:t>
      </w:r>
    </w:p>
    <w:p>
      <w:pPr>
        <w:pStyle w:val="Indenti"/>
      </w:pPr>
      <w:r>
        <w:tab/>
        <w:t>(i)</w:t>
      </w:r>
      <w:r>
        <w:tab/>
        <w:t>the requirements of AS 1926.1; or</w:t>
      </w:r>
    </w:p>
    <w:p>
      <w:pPr>
        <w:pStyle w:val="Indenti"/>
      </w:pPr>
      <w:r>
        <w:tab/>
        <w:t>(ii)</w:t>
      </w:r>
      <w:r>
        <w:tab/>
        <w:t>approved alternative requirements;</w:t>
      </w:r>
    </w:p>
    <w:p>
      <w:pPr>
        <w:pStyle w:val="Indenta"/>
      </w:pPr>
      <w:r>
        <w:tab/>
      </w:r>
      <w:r>
        <w:tab/>
        <w:t>and</w:t>
      </w:r>
    </w:p>
    <w:p>
      <w:pPr>
        <w:pStyle w:val="Indenta"/>
      </w:pPr>
      <w:r>
        <w:tab/>
        <w:t>(c)</w:t>
      </w:r>
      <w:r>
        <w:tab/>
        <w:t>any wall comprising the enclosure has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pPr>
      <w:r>
        <w:tab/>
        <w:t>(5)</w:t>
      </w:r>
      <w:r>
        <w:tab/>
        <w:t>If a boundary fence of the premises is a part of the enclosure of a private swimming pool, the boundary fence satisfies the requirements of clauses 2.3, 2.6 and 2.7 of AS 1926.1 if all those requirements are satisfied in relation to either side of the fence.</w:t>
      </w:r>
    </w:p>
    <w:p>
      <w:pPr>
        <w:pStyle w:val="Heading5"/>
      </w:pPr>
      <w:bookmarkStart w:id="348" w:name="_Toc320625171"/>
      <w:bookmarkStart w:id="349" w:name="_Toc352667679"/>
      <w:r>
        <w:rPr>
          <w:rStyle w:val="CharSectno"/>
        </w:rPr>
        <w:t>51</w:t>
      </w:r>
      <w:r>
        <w:t>.</w:t>
      </w:r>
      <w:r>
        <w:tab/>
        <w:t>Approvals by permit authority</w:t>
      </w:r>
      <w:bookmarkEnd w:id="348"/>
      <w:bookmarkEnd w:id="349"/>
    </w:p>
    <w:p>
      <w:pPr>
        <w:pStyle w:val="Subsection"/>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pPr>
      <w:r>
        <w:tab/>
        <w:t>(3)</w:t>
      </w:r>
      <w:r>
        <w:tab/>
        <w:t>A permit authority may approve a door for the purposes of regulation 50(4)(c)(ii) if the door is in accordance with the requirements of AS 1926.l and —</w:t>
      </w:r>
    </w:p>
    <w:p>
      <w:pPr>
        <w:pStyle w:val="Indenta"/>
      </w:pPr>
      <w:r>
        <w:tab/>
        <w:t>(a)</w:t>
      </w:r>
      <w:r>
        <w:tab/>
        <w:t>in the opinion of the permit authority, a fence or barrier satisfying regulation 50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pPr>
      <w:r>
        <w:tab/>
        <w:t>(4)</w:t>
      </w:r>
      <w:r>
        <w:tab/>
        <w:t>In deciding whether to give approval under subregulation (3) a permit authority is required to have regard to whether or not a young child resides at the premises.</w:t>
      </w:r>
    </w:p>
    <w:p>
      <w:pPr>
        <w:pStyle w:val="Heading5"/>
      </w:pPr>
      <w:bookmarkStart w:id="350" w:name="_Toc320625172"/>
      <w:bookmarkStart w:id="351" w:name="_Toc352667680"/>
      <w:r>
        <w:rPr>
          <w:rStyle w:val="CharSectno"/>
        </w:rPr>
        <w:t>52</w:t>
      </w:r>
      <w:r>
        <w:t>.</w:t>
      </w:r>
      <w:r>
        <w:tab/>
        <w:t>Concessions for pre</w:t>
      </w:r>
      <w:r>
        <w:noBreakHyphen/>
        <w:t>November 2001 private swimming pools</w:t>
      </w:r>
      <w:bookmarkEnd w:id="350"/>
      <w:bookmarkEnd w:id="351"/>
    </w:p>
    <w:p>
      <w:pPr>
        <w:pStyle w:val="Subsection"/>
        <w:keepNext/>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tab/>
        <w:t>(2)</w:t>
      </w:r>
      <w:r>
        <w:tab/>
        <w:t>For the purposes of regulation 50(1), the immediate surrounds of a private swimming pool to which this regulation applies may include any part of the premises on which the pool is located.</w:t>
      </w:r>
    </w:p>
    <w:p>
      <w:pPr>
        <w:pStyle w:val="Subsection"/>
      </w:pPr>
      <w:r>
        <w:tab/>
        <w:t>(3)</w:t>
      </w:r>
      <w:r>
        <w:tab/>
        <w:t>The enclosure required by regulation 50 may include a wall that contains a door permitting access through a building if that door satisfies the requirements of AS 1926.l.</w:t>
      </w:r>
    </w:p>
    <w:p>
      <w:pPr>
        <w:pStyle w:val="Heading5"/>
      </w:pPr>
      <w:bookmarkStart w:id="352" w:name="_Toc320625173"/>
      <w:bookmarkStart w:id="353" w:name="_Toc352667681"/>
      <w:r>
        <w:rPr>
          <w:rStyle w:val="CharSectno"/>
        </w:rPr>
        <w:t>53</w:t>
      </w:r>
      <w:r>
        <w:t>.</w:t>
      </w:r>
      <w:r>
        <w:tab/>
        <w:t>Inspections of pool enclosures</w:t>
      </w:r>
      <w:bookmarkEnd w:id="352"/>
      <w:bookmarkEnd w:id="353"/>
    </w:p>
    <w:p>
      <w:pPr>
        <w:pStyle w:val="Subsection"/>
      </w:pPr>
      <w:r>
        <w:tab/>
        <w:t>(1)</w:t>
      </w:r>
      <w:r>
        <w:tab/>
        <w:t>The local government for the district in which a private swimming pool containing water that is more than 300 mm deep is located must arrange for an authorised person to inspect the pool enclosure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$55.</w:t>
      </w:r>
    </w:p>
    <w:p>
      <w:pPr>
        <w:pStyle w:val="Footnotesection"/>
      </w:pPr>
      <w:r>
        <w:tab/>
        <w:t>[Regulation 53 amended in Gazette 15 Jun 2012 p. 2515.]</w:t>
      </w:r>
    </w:p>
    <w:p>
      <w:pPr>
        <w:pStyle w:val="Heading5"/>
      </w:pPr>
      <w:bookmarkStart w:id="354" w:name="_Toc320625174"/>
      <w:bookmarkStart w:id="355" w:name="_Toc352667682"/>
      <w:r>
        <w:rPr>
          <w:rStyle w:val="CharSectno"/>
        </w:rPr>
        <w:t>54</w:t>
      </w:r>
      <w:r>
        <w:t>.</w:t>
      </w:r>
      <w:r>
        <w:tab/>
        <w:t>Transitional provisions — persons authorised to carry out inspections of private swimming pools</w:t>
      </w:r>
      <w:bookmarkEnd w:id="354"/>
      <w:bookmarkEnd w:id="355"/>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For the purposes of section 93(2)(d) a person who was an authorised person for the purposes of section 245A of the repealed provisions immediately before repeal day is to be taken to be an authorised person in relation to the inspection of private swimming pool enclosures for the period commencing on repeal day and ending on the day that is 5 years after that day.</w:t>
      </w:r>
    </w:p>
    <w:p>
      <w:pPr>
        <w:pStyle w:val="Footnotesection"/>
      </w:pPr>
      <w:bookmarkStart w:id="356" w:name="_Toc320625175"/>
      <w:bookmarkStart w:id="357" w:name="_Toc320625539"/>
      <w:bookmarkStart w:id="358" w:name="_Toc320625814"/>
      <w:bookmarkStart w:id="359" w:name="_Toc320697854"/>
      <w:bookmarkStart w:id="360" w:name="_Toc327448495"/>
      <w:bookmarkStart w:id="361" w:name="_Toc327450587"/>
      <w:bookmarkStart w:id="362" w:name="_Toc341960255"/>
      <w:bookmarkStart w:id="363" w:name="_Toc341960352"/>
      <w:bookmarkStart w:id="364" w:name="_Toc341960665"/>
      <w:r>
        <w:tab/>
        <w:t>[Regulation 54 amended in Gazette 18 Dec 2012 p. 6574.]</w:t>
      </w:r>
    </w:p>
    <w:p>
      <w:pPr>
        <w:pStyle w:val="Heading3"/>
      </w:pPr>
      <w:bookmarkStart w:id="365" w:name="_Toc343509034"/>
      <w:bookmarkStart w:id="366" w:name="_Toc343509982"/>
      <w:bookmarkStart w:id="367" w:name="_Toc352666388"/>
      <w:bookmarkStart w:id="368" w:name="_Toc352667561"/>
      <w:bookmarkStart w:id="369" w:name="_Toc352667683"/>
      <w:r>
        <w:rPr>
          <w:rStyle w:val="CharDivNo"/>
        </w:rPr>
        <w:t>Division 3</w:t>
      </w:r>
      <w:r>
        <w:t> — </w:t>
      </w:r>
      <w:r>
        <w:rPr>
          <w:rStyle w:val="CharDivText"/>
        </w:rPr>
        <w:t>Smoke alarms</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pPr>
        <w:pStyle w:val="Heading5"/>
      </w:pPr>
      <w:bookmarkStart w:id="370" w:name="_Toc320625176"/>
      <w:bookmarkStart w:id="371" w:name="_Toc352667684"/>
      <w:r>
        <w:rPr>
          <w:rStyle w:val="CharSectno"/>
        </w:rPr>
        <w:t>55</w:t>
      </w:r>
      <w:r>
        <w:t>.</w:t>
      </w:r>
      <w:r>
        <w:tab/>
        <w:t>Terms used</w:t>
      </w:r>
      <w:bookmarkEnd w:id="370"/>
      <w:bookmarkEnd w:id="371"/>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Heading5"/>
      </w:pPr>
      <w:bookmarkStart w:id="372" w:name="_Toc320625177"/>
      <w:bookmarkStart w:id="373" w:name="_Toc352667685"/>
      <w:r>
        <w:rPr>
          <w:rStyle w:val="CharSectno"/>
        </w:rPr>
        <w:t>56</w:t>
      </w:r>
      <w:r>
        <w:t>.</w:t>
      </w:r>
      <w:r>
        <w:tab/>
        <w:t>Requirement to have smoke alarms or similar prior to transfer of dwelling</w:t>
      </w:r>
      <w:bookmarkEnd w:id="372"/>
      <w:bookmarkEnd w:id="373"/>
    </w:p>
    <w:p>
      <w:pPr>
        <w:pStyle w:val="Subsection"/>
      </w:pPr>
      <w:r>
        <w:tab/>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374" w:name="_Toc320625178"/>
      <w:bookmarkStart w:id="375" w:name="_Toc352667686"/>
      <w:r>
        <w:rPr>
          <w:rStyle w:val="CharSectno"/>
        </w:rPr>
        <w:t>57</w:t>
      </w:r>
      <w:r>
        <w:t>.</w:t>
      </w:r>
      <w:r>
        <w:tab/>
        <w:t>New owner must install smoke alarms or similar, and right to recover costs</w:t>
      </w:r>
      <w:bookmarkEnd w:id="374"/>
      <w:bookmarkEnd w:id="375"/>
    </w:p>
    <w:p>
      <w:pPr>
        <w:pStyle w:val="Subsection"/>
      </w:pPr>
      <w:r>
        <w:tab/>
        <w:t>(1)</w:t>
      </w:r>
      <w:r>
        <w:tab/>
        <w:t xml:space="preserve">If an owner of a dwelling (the </w:t>
      </w:r>
      <w:r>
        <w:rPr>
          <w:rStyle w:val="CharDefText"/>
        </w:rPr>
        <w:t>prior owner</w:t>
      </w:r>
      <w:r>
        <w:t xml:space="preserve">) transfers the ownership of it and fails to comply with regulation 56, the person to whom the ownership is transferred (the </w:t>
      </w:r>
      <w:r>
        <w:rPr>
          <w:rStyle w:val="CharDefText"/>
        </w:rPr>
        <w:t>new owner</w:t>
      </w:r>
      <w:r>
        <w:t>) must, within 12 months of the ownership being transferred,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Subsection"/>
      </w:pPr>
      <w:r>
        <w:tab/>
        <w:t>(2)</w:t>
      </w:r>
      <w:r>
        <w:tab/>
        <w:t>The new owner may recover, in a court of competent jurisdiction, the reasonable costs of complying with subregulation (1) as a debt due from the prior owner.</w:t>
      </w:r>
    </w:p>
    <w:p>
      <w:pPr>
        <w:pStyle w:val="Heading5"/>
      </w:pPr>
      <w:bookmarkStart w:id="376" w:name="_Toc320625179"/>
      <w:bookmarkStart w:id="377" w:name="_Toc352667687"/>
      <w:r>
        <w:rPr>
          <w:rStyle w:val="CharSectno"/>
        </w:rPr>
        <w:t>58</w:t>
      </w:r>
      <w:r>
        <w:t>.</w:t>
      </w:r>
      <w:r>
        <w:tab/>
        <w:t>Requirement to have smoke alarms or similar prior to tenancy</w:t>
      </w:r>
      <w:bookmarkEnd w:id="376"/>
      <w:bookmarkEnd w:id="377"/>
    </w:p>
    <w:p>
      <w:pPr>
        <w:pStyle w:val="Subsection"/>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378" w:name="_Toc320625180"/>
      <w:bookmarkStart w:id="379" w:name="_Toc352667688"/>
      <w:r>
        <w:rPr>
          <w:rStyle w:val="CharSectno"/>
        </w:rPr>
        <w:t>59</w:t>
      </w:r>
      <w:r>
        <w:t>.</w:t>
      </w:r>
      <w:r>
        <w:tab/>
        <w:t>Requirement to have smoke alarms or similar prior to hire of dwelling</w:t>
      </w:r>
      <w:bookmarkEnd w:id="378"/>
      <w:bookmarkEnd w:id="379"/>
    </w:p>
    <w:p>
      <w:pPr>
        <w:pStyle w:val="Subsection"/>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380" w:name="_Toc320625181"/>
      <w:bookmarkStart w:id="381" w:name="_Toc352667689"/>
      <w:r>
        <w:rPr>
          <w:rStyle w:val="CharSectno"/>
        </w:rPr>
        <w:t>60</w:t>
      </w:r>
      <w:r>
        <w:t>.</w:t>
      </w:r>
      <w:r>
        <w:tab/>
        <w:t>Requirements for smoke alarms</w:t>
      </w:r>
      <w:bookmarkEnd w:id="380"/>
      <w:bookmarkEnd w:id="381"/>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tab/>
        <w:t>(c)</w:t>
      </w:r>
      <w:r>
        <w:tab/>
        <w:t>in relation to a dwelling that is made available for hire, means the day on which the building is hired.</w:t>
      </w:r>
    </w:p>
    <w:p>
      <w:pPr>
        <w:pStyle w:val="Subsection"/>
      </w:pPr>
      <w:r>
        <w:tab/>
        <w:t>(2)</w:t>
      </w:r>
      <w:r>
        <w:tab/>
        <w:t>The requirements for the purposes of regulation 56(a),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pPr>
        <w:pStyle w:val="Heading5"/>
      </w:pPr>
      <w:bookmarkStart w:id="382" w:name="_Toc320625182"/>
      <w:bookmarkStart w:id="383" w:name="_Toc352667690"/>
      <w:r>
        <w:rPr>
          <w:rStyle w:val="CharSectno"/>
        </w:rPr>
        <w:t>61</w:t>
      </w:r>
      <w:r>
        <w:t>.</w:t>
      </w:r>
      <w:r>
        <w:tab/>
        <w:t>Local government approval of battery powered smoke alarms</w:t>
      </w:r>
      <w:bookmarkEnd w:id="382"/>
      <w:bookmarkEnd w:id="383"/>
    </w:p>
    <w:p>
      <w:pPr>
        <w:pStyle w:val="Subsection"/>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pPr>
      <w:r>
        <w:tab/>
        <w:t>(a)</w:t>
      </w:r>
      <w:r>
        <w:tab/>
        <w:t>a sufficient problem of a structural nature; or</w:t>
      </w:r>
    </w:p>
    <w:p>
      <w:pPr>
        <w:pStyle w:val="Indenta"/>
      </w:pPr>
      <w:r>
        <w:tab/>
        <w:t>(b)</w:t>
      </w:r>
      <w:r>
        <w:tab/>
        <w:t>a sufficient problem of any other nature, the cause of which is not within the control of the owner.</w:t>
      </w:r>
    </w:p>
    <w:p>
      <w:pPr>
        <w:pStyle w:val="Subsection"/>
      </w:pPr>
      <w:r>
        <w:tab/>
        <w:t>(2)</w:t>
      </w:r>
      <w:r>
        <w:tab/>
        <w:t>The local government may give its approval in relation to an alarm that was installed before the approval is to be given.</w:t>
      </w:r>
    </w:p>
    <w:p>
      <w:pPr>
        <w:pStyle w:val="Subsection"/>
      </w:pPr>
      <w:r>
        <w:tab/>
        <w:t>(3)</w:t>
      </w:r>
      <w:r>
        <w:tab/>
        <w:t>An application for approval must be made in the manner and form approved by the local government, and must include or be accompanied by —</w:t>
      </w:r>
    </w:p>
    <w:p>
      <w:pPr>
        <w:pStyle w:val="Indenta"/>
      </w:pPr>
      <w:r>
        <w:tab/>
        <w:t>(a)</w:t>
      </w:r>
      <w:r>
        <w:tab/>
        <w:t>the plans and information required by the local government; and</w:t>
      </w:r>
    </w:p>
    <w:p>
      <w:pPr>
        <w:pStyle w:val="Indenta"/>
      </w:pPr>
      <w:r>
        <w:tab/>
        <w:t>(b)</w:t>
      </w:r>
      <w:r>
        <w:tab/>
        <w:t>the fee set by the local government, which cannot exceed $170.</w:t>
      </w:r>
    </w:p>
    <w:p>
      <w:pPr>
        <w:pStyle w:val="Subsection"/>
      </w:pPr>
      <w:r>
        <w:tab/>
        <w:t>(4)</w:t>
      </w:r>
      <w:r>
        <w:tab/>
        <w:t>The local government is to be taken to have refused approval if it has not made a decision whether to give approval within 35 days after the later of —</w:t>
      </w:r>
    </w:p>
    <w:p>
      <w:pPr>
        <w:pStyle w:val="Indenta"/>
      </w:pPr>
      <w:r>
        <w:tab/>
        <w:t>(a)</w:t>
      </w:r>
      <w:r>
        <w:tab/>
        <w:t>the day on which the person made the application for approval; or</w:t>
      </w:r>
    </w:p>
    <w:p>
      <w:pPr>
        <w:pStyle w:val="Indenta"/>
      </w:pPr>
      <w:r>
        <w:tab/>
        <w:t>(b)</w:t>
      </w:r>
      <w:r>
        <w:tab/>
        <w:t>the day on which the person complied with a, or the latest, request by the local government for further plans or information.</w:t>
      </w:r>
    </w:p>
    <w:p>
      <w:pPr>
        <w:pStyle w:val="Heading5"/>
      </w:pPr>
      <w:bookmarkStart w:id="384" w:name="_Toc320625183"/>
      <w:bookmarkStart w:id="385" w:name="_Toc352667691"/>
      <w:r>
        <w:rPr>
          <w:rStyle w:val="CharSectno"/>
        </w:rPr>
        <w:t>62</w:t>
      </w:r>
      <w:r>
        <w:t>.</w:t>
      </w:r>
      <w:r>
        <w:tab/>
        <w:t>Requirement to maintain certain smoke alarms</w:t>
      </w:r>
      <w:bookmarkEnd w:id="384"/>
      <w:bookmarkEnd w:id="385"/>
    </w:p>
    <w:p>
      <w:pPr>
        <w:pStyle w:val="Subsection"/>
      </w:pPr>
      <w:r>
        <w:tab/>
        <w:t>(1)</w:t>
      </w:r>
      <w:r>
        <w:tab/>
        <w:t>This regulation applies to an owner of a dwelling —</w:t>
      </w:r>
    </w:p>
    <w:p>
      <w:pPr>
        <w:pStyle w:val="Indenta"/>
      </w:pPr>
      <w:r>
        <w:tab/>
        <w:t>(a)</w:t>
      </w:r>
      <w:r>
        <w:tab/>
        <w:t xml:space="preserve">who is also an owner, in relation to the dwelling, within the meaning given in the </w:t>
      </w:r>
      <w:r>
        <w:rPr>
          <w:i/>
        </w:rPr>
        <w:t>Residential Tenancies Act 1987</w:t>
      </w:r>
      <w:r>
        <w:t xml:space="preserve"> section 3; or</w:t>
      </w:r>
    </w:p>
    <w:p>
      <w:pPr>
        <w:pStyle w:val="Indenta"/>
      </w:pPr>
      <w:r>
        <w:tab/>
        <w:t>(b)</w:t>
      </w:r>
      <w:r>
        <w:tab/>
        <w:t>who makes the dwelling available for hire.</w:t>
      </w:r>
    </w:p>
    <w:p>
      <w:pPr>
        <w:pStyle w:val="Subsection"/>
      </w:pPr>
      <w:r>
        <w:tab/>
        <w:t>(2)</w:t>
      </w:r>
      <w:r>
        <w:tab/>
        <w:t>The owner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bookmarkStart w:id="386" w:name="_Toc320625184"/>
      <w:bookmarkStart w:id="387" w:name="_Toc320625548"/>
      <w:bookmarkStart w:id="388" w:name="_Toc320625823"/>
      <w:bookmarkStart w:id="389" w:name="_Toc320697863"/>
      <w:bookmarkStart w:id="390" w:name="_Toc327448504"/>
      <w:bookmarkStart w:id="391" w:name="_Toc327450596"/>
      <w:bookmarkStart w:id="392" w:name="_Toc341960264"/>
      <w:bookmarkStart w:id="393" w:name="_Toc341960361"/>
      <w:bookmarkStart w:id="394" w:name="_Toc341960674"/>
      <w:r>
        <w:tab/>
        <w:t>[Regulation 62 amended in Gazette 18 Dec 2012 p. 6574.]</w:t>
      </w:r>
    </w:p>
    <w:p>
      <w:pPr>
        <w:pStyle w:val="Heading2"/>
      </w:pPr>
      <w:bookmarkStart w:id="395" w:name="_Toc343509043"/>
      <w:bookmarkStart w:id="396" w:name="_Toc343509991"/>
      <w:bookmarkStart w:id="397" w:name="_Toc352666397"/>
      <w:bookmarkStart w:id="398" w:name="_Toc352667570"/>
      <w:bookmarkStart w:id="399" w:name="_Toc352667692"/>
      <w:r>
        <w:rPr>
          <w:rStyle w:val="CharPartNo"/>
        </w:rPr>
        <w:t>Part 9</w:t>
      </w:r>
      <w:r>
        <w:rPr>
          <w:rStyle w:val="CharDivNo"/>
        </w:rPr>
        <w:t> </w:t>
      </w:r>
      <w:r>
        <w:t>—</w:t>
      </w:r>
      <w:r>
        <w:rPr>
          <w:rStyle w:val="CharDivText"/>
        </w:rPr>
        <w:t> </w:t>
      </w:r>
      <w:r>
        <w:rPr>
          <w:rStyle w:val="CharPartText"/>
        </w:rPr>
        <w:t xml:space="preserve">Transitional provisions relating to </w:t>
      </w:r>
      <w:r>
        <w:rPr>
          <w:rStyle w:val="CharPartText"/>
          <w:i/>
        </w:rPr>
        <w:t>Local Government (Miscellaneous Provisions) Act 1960</w:t>
      </w:r>
      <w:bookmarkEnd w:id="386"/>
      <w:bookmarkEnd w:id="387"/>
      <w:bookmarkEnd w:id="388"/>
      <w:bookmarkEnd w:id="389"/>
      <w:bookmarkEnd w:id="390"/>
      <w:bookmarkEnd w:id="391"/>
      <w:bookmarkEnd w:id="392"/>
      <w:bookmarkEnd w:id="393"/>
      <w:bookmarkEnd w:id="394"/>
      <w:bookmarkEnd w:id="395"/>
      <w:bookmarkEnd w:id="396"/>
      <w:bookmarkEnd w:id="397"/>
      <w:r>
        <w:rPr>
          <w:rStyle w:val="CharPartText"/>
          <w:vertAlign w:val="superscript"/>
        </w:rPr>
        <w:t> 2</w:t>
      </w:r>
      <w:bookmarkEnd w:id="398"/>
      <w:bookmarkEnd w:id="399"/>
    </w:p>
    <w:p>
      <w:pPr>
        <w:pStyle w:val="Heading5"/>
        <w:rPr>
          <w:snapToGrid w:val="0"/>
        </w:rPr>
      </w:pPr>
      <w:bookmarkStart w:id="400" w:name="_Toc320625185"/>
      <w:bookmarkStart w:id="401" w:name="_Toc352667693"/>
      <w:r>
        <w:rPr>
          <w:rStyle w:val="CharSectno"/>
        </w:rPr>
        <w:t>63</w:t>
      </w:r>
      <w:r>
        <w:t>.</w:t>
      </w:r>
      <w:r>
        <w:tab/>
      </w:r>
      <w:r>
        <w:rPr>
          <w:snapToGrid w:val="0"/>
        </w:rPr>
        <w:t>Notice to be given before commencing building or demolition work</w:t>
      </w:r>
      <w:bookmarkEnd w:id="400"/>
      <w:bookmarkEnd w:id="401"/>
    </w:p>
    <w:p>
      <w:pPr>
        <w:pStyle w:val="Subsection"/>
        <w:rPr>
          <w:snapToGrid w:val="0"/>
        </w:rPr>
      </w:pPr>
      <w:r>
        <w:tab/>
        <w:t>(1)</w:t>
      </w:r>
      <w:r>
        <w:tab/>
        <w:t>A</w:t>
      </w:r>
      <w:r>
        <w:rPr>
          <w:snapToGrid w:val="0"/>
        </w:rPr>
        <w:t xml:space="preserve"> person who intends to commence any building work or demolition work or do any other thing by which a street, way or other public place in a district may be obstructed or rendered dangerous or inconvenient to persons passing over or near must — </w:t>
      </w:r>
    </w:p>
    <w:p>
      <w:pPr>
        <w:pStyle w:val="Indenta"/>
        <w:rPr>
          <w:snapToGrid w:val="0"/>
        </w:rPr>
      </w:pPr>
      <w:r>
        <w:rPr>
          <w:snapToGrid w:val="0"/>
        </w:rPr>
        <w:tab/>
        <w:t>(a)</w:t>
      </w:r>
      <w:r>
        <w:rPr>
          <w:snapToGrid w:val="0"/>
        </w:rPr>
        <w:tab/>
        <w:t>give written notice to the local government of the district at least 3 days before commencing the work or doing the thing; and</w:t>
      </w:r>
    </w:p>
    <w:p>
      <w:pPr>
        <w:pStyle w:val="Indenta"/>
        <w:rPr>
          <w:snapToGrid w:val="0"/>
        </w:rPr>
      </w:pPr>
      <w:r>
        <w:tab/>
        <w:t>(b)</w:t>
      </w:r>
      <w:r>
        <w:tab/>
      </w:r>
      <w:r>
        <w:rPr>
          <w:snapToGrid w:val="0"/>
        </w:rPr>
        <w:t>put up such hoardings, fences, footway or other protective structures as the local government reasonably requires for the purpose of public safety.</w:t>
      </w:r>
    </w:p>
    <w:p>
      <w:pPr>
        <w:pStyle w:val="Penstart"/>
        <w:rPr>
          <w:snapToGrid w:val="0"/>
        </w:rPr>
      </w:pPr>
      <w:r>
        <w:tab/>
        <w:t xml:space="preserve">Penalty: </w:t>
      </w:r>
      <w:r>
        <w:rPr>
          <w:snapToGrid w:val="0"/>
        </w:rPr>
        <w:t xml:space="preserve"> a fine of $5 000 and a daily penalty of $100 for each day during which the offence continues.</w:t>
      </w:r>
    </w:p>
    <w:p>
      <w:pPr>
        <w:pStyle w:val="Subsection"/>
      </w:pPr>
      <w:r>
        <w:tab/>
        <w:t>(2)</w:t>
      </w:r>
      <w:r>
        <w:tab/>
        <w:t>A person who intends to demolish or remove a building in a city, town or townsite must give written notice to the local government for the district in which the building is located at least 7 days before commencing the demolition or removal.</w:t>
      </w:r>
    </w:p>
    <w:p>
      <w:pPr>
        <w:pStyle w:val="Heading5"/>
        <w:rPr>
          <w:snapToGrid w:val="0"/>
        </w:rPr>
      </w:pPr>
      <w:bookmarkStart w:id="402" w:name="_Toc320625186"/>
      <w:bookmarkStart w:id="403" w:name="_Toc352667694"/>
      <w:r>
        <w:rPr>
          <w:rStyle w:val="CharSectno"/>
        </w:rPr>
        <w:t>64</w:t>
      </w:r>
      <w:r>
        <w:t>.</w:t>
      </w:r>
      <w:r>
        <w:tab/>
      </w:r>
      <w:r>
        <w:rPr>
          <w:snapToGrid w:val="0"/>
        </w:rPr>
        <w:t>No materials to be deposited on streets without licence</w:t>
      </w:r>
      <w:bookmarkEnd w:id="402"/>
      <w:bookmarkEnd w:id="403"/>
    </w:p>
    <w:p>
      <w:pPr>
        <w:pStyle w:val="Subsection"/>
        <w:rPr>
          <w:snapToGrid w:val="0"/>
        </w:rPr>
      </w:pPr>
      <w:r>
        <w:tab/>
        <w:t>(1)</w:t>
      </w:r>
      <w:r>
        <w:tab/>
        <w:t>A</w:t>
      </w:r>
      <w:r>
        <w:rPr>
          <w:snapToGrid w:val="0"/>
        </w:rPr>
        <w:t xml:space="preserve"> person must not deposit stones, bricks, lime, rubbish, timber, iron, or other materials on a street, way or other public place, or make an excavation on land abutting or adjoining a street, way or other public place, unless — </w:t>
      </w:r>
    </w:p>
    <w:p>
      <w:pPr>
        <w:pStyle w:val="Indenta"/>
      </w:pPr>
      <w:r>
        <w:tab/>
        <w:t>(a)</w:t>
      </w:r>
      <w:r>
        <w:tab/>
        <w:t>the person is authorised to do so under a written law; or</w:t>
      </w:r>
    </w:p>
    <w:p>
      <w:pPr>
        <w:pStyle w:val="Indenta"/>
      </w:pPr>
      <w:r>
        <w:rPr>
          <w:snapToGrid w:val="0"/>
        </w:rPr>
        <w:tab/>
        <w:t>(b)</w:t>
      </w:r>
      <w:r>
        <w:rPr>
          <w:snapToGrid w:val="0"/>
        </w:rPr>
        <w:tab/>
      </w:r>
      <w:r>
        <w:t xml:space="preserve">the person — </w:t>
      </w:r>
    </w:p>
    <w:p>
      <w:pPr>
        <w:pStyle w:val="Indenti"/>
        <w:rPr>
          <w:snapToGrid w:val="0"/>
        </w:rPr>
      </w:pPr>
      <w:r>
        <w:tab/>
        <w:t>(i)</w:t>
      </w:r>
      <w:r>
        <w:tab/>
      </w:r>
      <w:r>
        <w:rPr>
          <w:snapToGrid w:val="0"/>
        </w:rPr>
        <w:t>does so in accordance with a licence in writing from the local government in whose district the street, way, public place or land is situated; and</w:t>
      </w:r>
    </w:p>
    <w:p>
      <w:pPr>
        <w:pStyle w:val="Indenti"/>
        <w:rPr>
          <w:snapToGrid w:val="0"/>
        </w:rPr>
      </w:pPr>
      <w:r>
        <w:tab/>
        <w:t>(ii)</w:t>
      </w:r>
      <w:r>
        <w:tab/>
      </w:r>
      <w:r>
        <w:rPr>
          <w:snapToGrid w:val="0"/>
        </w:rPr>
        <w:t>in the case of an excavation, has securely fenced off the place where the excavation is to be made from the street, way or other public place.</w:t>
      </w:r>
    </w:p>
    <w:p>
      <w:pPr>
        <w:pStyle w:val="Penstart"/>
        <w:rPr>
          <w:snapToGrid w:val="0"/>
        </w:rPr>
      </w:pPr>
      <w:r>
        <w:tab/>
        <w:t xml:space="preserve">Penalty: </w:t>
      </w:r>
      <w:r>
        <w:rPr>
          <w:snapToGrid w:val="0"/>
        </w:rPr>
        <w:t xml:space="preserve"> a fine of $5 000 and a daily penalty of $100 for each day during which the offence continues.</w:t>
      </w:r>
    </w:p>
    <w:p>
      <w:pPr>
        <w:pStyle w:val="Subsection"/>
      </w:pPr>
      <w:r>
        <w:tab/>
        <w:t>(2)</w:t>
      </w:r>
      <w:r>
        <w:tab/>
        <w:t>A licence must set out the purpose for which it is granted.</w:t>
      </w:r>
    </w:p>
    <w:p>
      <w:pPr>
        <w:pStyle w:val="Subsection"/>
      </w:pPr>
      <w:r>
        <w:tab/>
        <w:t>(3)</w:t>
      </w:r>
      <w:r>
        <w:tab/>
        <w:t>The local government may grant a licence subject to such conditions as the local government reasonably requires, including conditions relating to the erection of hoardings, fences, walkways or other protective structures for public safety.</w:t>
      </w:r>
    </w:p>
    <w:p>
      <w:pPr>
        <w:pStyle w:val="Subsection"/>
        <w:rPr>
          <w:snapToGrid w:val="0"/>
        </w:rPr>
      </w:pPr>
      <w:r>
        <w:tab/>
        <w:t>(4)</w:t>
      </w:r>
      <w:r>
        <w:tab/>
      </w:r>
      <w:r>
        <w:rPr>
          <w:snapToGrid w:val="0"/>
        </w:rPr>
        <w:t xml:space="preserve">The local </w:t>
      </w:r>
      <w:r>
        <w:rPr>
          <w:snapToGrid w:val="0"/>
          <w:spacing w:val="-4"/>
        </w:rPr>
        <w:t>government</w:t>
      </w:r>
      <w:r>
        <w:rPr>
          <w:snapToGrid w:val="0"/>
        </w:rPr>
        <w:t xml:space="preserve"> may charge a licence fee of $1 per month or part of a month for each m</w:t>
      </w:r>
      <w:r>
        <w:rPr>
          <w:snapToGrid w:val="0"/>
          <w:vertAlign w:val="superscript"/>
        </w:rPr>
        <w:t>2</w:t>
      </w:r>
      <w:r>
        <w:rPr>
          <w:snapToGrid w:val="0"/>
        </w:rPr>
        <w:t xml:space="preserve"> of the street, way or public place that is enclosed by a hoarding or fence.</w:t>
      </w:r>
    </w:p>
    <w:p>
      <w:pPr>
        <w:pStyle w:val="Subsection"/>
        <w:rPr>
          <w:snapToGrid w:val="0"/>
        </w:rPr>
      </w:pPr>
      <w:r>
        <w:tab/>
        <w:t>(5)</w:t>
      </w:r>
      <w:r>
        <w:tab/>
      </w:r>
      <w:r>
        <w:rPr>
          <w:snapToGrid w:val="0"/>
        </w:rPr>
        <w:t xml:space="preserve">The local government may, before granting the licence, require the </w:t>
      </w:r>
      <w:r>
        <w:rPr>
          <w:snapToGrid w:val="0"/>
          <w:spacing w:val="-4"/>
        </w:rPr>
        <w:t>applicant</w:t>
      </w:r>
      <w:r>
        <w:rPr>
          <w:snapToGrid w:val="0"/>
        </w:rPr>
        <w:t xml:space="preserve"> to deposit with the local government a sum sufficient in the opinion </w:t>
      </w:r>
      <w:r>
        <w:t>of the CEO of the local government</w:t>
      </w:r>
      <w:r>
        <w:rPr>
          <w:snapToGrid w:val="0"/>
        </w:rPr>
        <w:t xml:space="preserve"> to cover the cost of repairing damage caused by the licensee to the street, footpath or kerb, to be retained by the local government until the damage, if any, is made good by the licensee.</w:t>
      </w:r>
    </w:p>
    <w:p>
      <w:pPr>
        <w:pStyle w:val="Subsection"/>
        <w:rPr>
          <w:snapToGrid w:val="0"/>
        </w:rPr>
      </w:pPr>
      <w:r>
        <w:rPr>
          <w:snapToGrid w:val="0"/>
        </w:rPr>
        <w:tab/>
        <w:t>(6)</w:t>
      </w:r>
      <w:r>
        <w:rPr>
          <w:snapToGrid w:val="0"/>
        </w:rPr>
        <w:tab/>
      </w:r>
      <w:r>
        <w:t xml:space="preserve">If </w:t>
      </w:r>
      <w:r>
        <w:rPr>
          <w:snapToGrid w:val="0"/>
        </w:rPr>
        <w:t>the repair work is not done by the licensee within such time as the CEO of the local government thinks reasonable, the local government may do the work and deduct the cost from the deposit or, if the deposit is insufficient to meet the cost, apply the deposit in part payment of the cost, and recover the balance in a court of competent jurisdiction.</w:t>
      </w:r>
    </w:p>
    <w:p>
      <w:pPr>
        <w:pStyle w:val="Subsection"/>
      </w:pPr>
      <w:r>
        <w:tab/>
        <w:t>(7)</w:t>
      </w:r>
      <w:r>
        <w:tab/>
      </w:r>
      <w:r>
        <w:rPr>
          <w:snapToGrid w:val="0"/>
        </w:rPr>
        <w:t xml:space="preserve">If the </w:t>
      </w:r>
      <w:r>
        <w:rPr>
          <w:snapToGrid w:val="0"/>
          <w:spacing w:val="-4"/>
        </w:rPr>
        <w:t>local</w:t>
      </w:r>
      <w:r>
        <w:rPr>
          <w:snapToGrid w:val="0"/>
        </w:rPr>
        <w:t xml:space="preserve"> government refuses to grant the licence or in granting the licence imposes conditions, a person dissatisfied with the refusal or the conditions may</w:t>
      </w:r>
      <w:r>
        <w:t xml:space="preserve"> apply to the State Administrative Tribunal for a review of the decision with which the person is dissatisfied.</w:t>
      </w:r>
    </w:p>
    <w:p>
      <w:pPr>
        <w:pStyle w:val="Subsection"/>
        <w:rPr>
          <w:snapToGrid w:val="0"/>
        </w:rPr>
      </w:pPr>
      <w:r>
        <w:tab/>
        <w:t>(8)</w:t>
      </w:r>
      <w:r>
        <w:tab/>
      </w:r>
      <w:r>
        <w:rPr>
          <w:snapToGrid w:val="0"/>
        </w:rPr>
        <w:t>A person who, in accordance with a licence, erects a hoarding, fence, walkway or other protective structure must keep and maintain it in good condition, to the satisfaction of the CEO of the local government, during such time as the CEO thinks necessary for the public safety and convenience.</w:t>
      </w:r>
    </w:p>
    <w:p>
      <w:pPr>
        <w:pStyle w:val="Penstart"/>
        <w:rPr>
          <w:snapToGrid w:val="0"/>
        </w:rPr>
      </w:pPr>
      <w:r>
        <w:tab/>
        <w:t xml:space="preserve">Penalty: </w:t>
      </w:r>
      <w:r>
        <w:rPr>
          <w:snapToGrid w:val="0"/>
        </w:rPr>
        <w:t xml:space="preserve"> a fine of $5 000 and a daily penalty of $100 for each day during which the offence continues.</w:t>
      </w:r>
    </w:p>
    <w:p>
      <w:pPr>
        <w:pStyle w:val="Subsection"/>
        <w:rPr>
          <w:snapToGrid w:val="0"/>
        </w:rPr>
      </w:pPr>
      <w:r>
        <w:tab/>
        <w:t>(9)</w:t>
      </w:r>
      <w:r>
        <w:tab/>
        <w:t>A person who, in connection with an excavation, erects a</w:t>
      </w:r>
      <w:r>
        <w:rPr>
          <w:snapToGrid w:val="0"/>
        </w:rPr>
        <w:t xml:space="preserve"> hoarding, fence or other obstruction in a street, way or other public place must —</w:t>
      </w:r>
    </w:p>
    <w:p>
      <w:pPr>
        <w:pStyle w:val="Indenta"/>
        <w:rPr>
          <w:snapToGrid w:val="0"/>
        </w:rPr>
      </w:pPr>
      <w:r>
        <w:tab/>
        <w:t>(a)</w:t>
      </w:r>
      <w:r>
        <w:tab/>
      </w:r>
      <w:r>
        <w:rPr>
          <w:snapToGrid w:val="0"/>
        </w:rPr>
        <w:t>cause it to be sufficiently lighted every night from sunset to sunrise to prevent mishaps; and</w:t>
      </w:r>
    </w:p>
    <w:p>
      <w:pPr>
        <w:pStyle w:val="Indenta"/>
        <w:rPr>
          <w:snapToGrid w:val="0"/>
        </w:rPr>
      </w:pPr>
      <w:r>
        <w:tab/>
        <w:t>(b)</w:t>
      </w:r>
      <w:r>
        <w:tab/>
      </w:r>
      <w:r>
        <w:rPr>
          <w:snapToGrid w:val="0"/>
        </w:rPr>
        <w:t xml:space="preserve">within a reasonable time after being required in writing to do so by the local government — </w:t>
      </w:r>
    </w:p>
    <w:p>
      <w:pPr>
        <w:pStyle w:val="Indenti"/>
        <w:rPr>
          <w:snapToGrid w:val="0"/>
        </w:rPr>
      </w:pPr>
      <w:r>
        <w:rPr>
          <w:snapToGrid w:val="0"/>
        </w:rPr>
        <w:tab/>
        <w:t>(i)</w:t>
      </w:r>
      <w:r>
        <w:rPr>
          <w:snapToGrid w:val="0"/>
        </w:rPr>
        <w:tab/>
      </w:r>
      <w:r>
        <w:t>remove the hoarding, fence or other obstruction</w:t>
      </w:r>
      <w:r>
        <w:rPr>
          <w:snapToGrid w:val="0"/>
        </w:rPr>
        <w:t>; and</w:t>
      </w:r>
    </w:p>
    <w:p>
      <w:pPr>
        <w:pStyle w:val="Indenti"/>
      </w:pPr>
      <w:r>
        <w:tab/>
        <w:t>(ii)</w:t>
      </w:r>
      <w:r>
        <w:tab/>
        <w:t>fill in the excavation; and</w:t>
      </w:r>
    </w:p>
    <w:p>
      <w:pPr>
        <w:pStyle w:val="Indenti"/>
      </w:pPr>
      <w:r>
        <w:tab/>
        <w:t>(iii)</w:t>
      </w:r>
      <w:r>
        <w:tab/>
        <w:t>repair any damage that the person has done to the street, footpath or kerb.</w:t>
      </w:r>
    </w:p>
    <w:p>
      <w:pPr>
        <w:pStyle w:val="Penstart"/>
        <w:rPr>
          <w:snapToGrid w:val="0"/>
        </w:rPr>
      </w:pPr>
      <w:r>
        <w:tab/>
        <w:t xml:space="preserve">Penalty: </w:t>
      </w:r>
      <w:r>
        <w:rPr>
          <w:snapToGrid w:val="0"/>
        </w:rPr>
        <w:t xml:space="preserve"> a fine of $5 000 and a daily penalty of $100 for each day during which the offence continues.</w:t>
      </w:r>
    </w:p>
    <w:p>
      <w:pPr>
        <w:pStyle w:val="Heading5"/>
        <w:rPr>
          <w:snapToGrid w:val="0"/>
        </w:rPr>
      </w:pPr>
      <w:bookmarkStart w:id="404" w:name="_Toc320625187"/>
      <w:bookmarkStart w:id="405" w:name="_Toc352667695"/>
      <w:r>
        <w:rPr>
          <w:rStyle w:val="CharSectno"/>
        </w:rPr>
        <w:t>65</w:t>
      </w:r>
      <w:r>
        <w:t>.</w:t>
      </w:r>
      <w:r>
        <w:tab/>
      </w:r>
      <w:r>
        <w:rPr>
          <w:snapToGrid w:val="0"/>
        </w:rPr>
        <w:t>Hoardings erected and materials deposited otherwise than as permitted by licence may be removed</w:t>
      </w:r>
      <w:bookmarkEnd w:id="404"/>
      <w:bookmarkEnd w:id="405"/>
      <w:r>
        <w:rPr>
          <w:snapToGrid w:val="0"/>
        </w:rPr>
        <w:t xml:space="preserve"> </w:t>
      </w:r>
    </w:p>
    <w:p>
      <w:pPr>
        <w:pStyle w:val="Subsection"/>
        <w:rPr>
          <w:snapToGrid w:val="0"/>
        </w:rPr>
      </w:pPr>
      <w:r>
        <w:tab/>
      </w:r>
      <w:r>
        <w:tab/>
        <w:t>If</w:t>
      </w:r>
      <w:r>
        <w:rPr>
          <w:snapToGrid w:val="0"/>
        </w:rPr>
        <w:t xml:space="preserve"> a person —</w:t>
      </w:r>
    </w:p>
    <w:p>
      <w:pPr>
        <w:pStyle w:val="Indenta"/>
        <w:rPr>
          <w:snapToGrid w:val="0"/>
        </w:rPr>
      </w:pPr>
      <w:r>
        <w:tab/>
        <w:t>(a)</w:t>
      </w:r>
      <w:r>
        <w:tab/>
      </w:r>
      <w:r>
        <w:rPr>
          <w:snapToGrid w:val="0"/>
        </w:rPr>
        <w:t>erects or sets up in or on a street, way or other public place in a district, a hoarding, fence, scaffold or enclosure; or</w:t>
      </w:r>
    </w:p>
    <w:p>
      <w:pPr>
        <w:pStyle w:val="Indenta"/>
        <w:rPr>
          <w:snapToGrid w:val="0"/>
        </w:rPr>
      </w:pPr>
      <w:r>
        <w:tab/>
        <w:t>(b)</w:t>
      </w:r>
      <w:r>
        <w:tab/>
      </w:r>
      <w:r>
        <w:rPr>
          <w:snapToGrid w:val="0"/>
        </w:rPr>
        <w:t>makes an excavation on land abutting or adjoining a street, way or other public place except where the excavation is securely fenced off from the street, way or other public place; or</w:t>
      </w:r>
    </w:p>
    <w:p>
      <w:pPr>
        <w:pStyle w:val="Indenta"/>
        <w:keepNext/>
        <w:rPr>
          <w:snapToGrid w:val="0"/>
        </w:rPr>
      </w:pPr>
      <w:r>
        <w:tab/>
        <w:t>(c)</w:t>
      </w:r>
      <w:r>
        <w:tab/>
      </w:r>
      <w:r>
        <w:rPr>
          <w:snapToGrid w:val="0"/>
        </w:rPr>
        <w:t>deposits stone, bricks, lime, rubbish, timber, iron, or other materials in or on a street, way or other public place —</w:t>
      </w:r>
    </w:p>
    <w:p>
      <w:pPr>
        <w:pStyle w:val="Indenti"/>
        <w:rPr>
          <w:snapToGrid w:val="0"/>
        </w:rPr>
      </w:pPr>
      <w:r>
        <w:tab/>
        <w:t>(i)</w:t>
      </w:r>
      <w:r>
        <w:tab/>
      </w:r>
      <w:r>
        <w:rPr>
          <w:snapToGrid w:val="0"/>
        </w:rPr>
        <w:t>without a licence from the local government; or</w:t>
      </w:r>
    </w:p>
    <w:p>
      <w:pPr>
        <w:pStyle w:val="Indenti"/>
        <w:rPr>
          <w:snapToGrid w:val="0"/>
        </w:rPr>
      </w:pPr>
      <w:r>
        <w:tab/>
        <w:t>(ii)</w:t>
      </w:r>
      <w:r>
        <w:tab/>
        <w:t>h</w:t>
      </w:r>
      <w:r>
        <w:rPr>
          <w:snapToGrid w:val="0"/>
        </w:rPr>
        <w:t xml:space="preserve">aving obtained a licence — </w:t>
      </w:r>
    </w:p>
    <w:p>
      <w:pPr>
        <w:pStyle w:val="IndentI0"/>
        <w:rPr>
          <w:snapToGrid w:val="0"/>
        </w:rPr>
      </w:pPr>
      <w:r>
        <w:rPr>
          <w:snapToGrid w:val="0"/>
        </w:rPr>
        <w:tab/>
        <w:t>(I)</w:t>
      </w:r>
      <w:r>
        <w:rPr>
          <w:snapToGrid w:val="0"/>
        </w:rPr>
        <w:tab/>
        <w:t>does so otherwise than in accordance with the licence; or</w:t>
      </w:r>
    </w:p>
    <w:p>
      <w:pPr>
        <w:pStyle w:val="IndentI0"/>
        <w:rPr>
          <w:snapToGrid w:val="0"/>
        </w:rPr>
      </w:pPr>
      <w:r>
        <w:tab/>
        <w:t>(II)</w:t>
      </w:r>
      <w:r>
        <w:tab/>
      </w:r>
      <w:r>
        <w:rPr>
          <w:snapToGrid w:val="0"/>
        </w:rPr>
        <w:t xml:space="preserve">permits any of those things to remain beyond the time stated in the licence; </w:t>
      </w:r>
    </w:p>
    <w:p>
      <w:pPr>
        <w:pStyle w:val="Indenta"/>
        <w:rPr>
          <w:snapToGrid w:val="0"/>
        </w:rPr>
      </w:pPr>
      <w:r>
        <w:rPr>
          <w:snapToGrid w:val="0"/>
        </w:rPr>
        <w:tab/>
      </w:r>
      <w:r>
        <w:rPr>
          <w:snapToGrid w:val="0"/>
        </w:rPr>
        <w:tab/>
        <w:t>or</w:t>
      </w:r>
    </w:p>
    <w:p>
      <w:pPr>
        <w:pStyle w:val="Indenta"/>
        <w:rPr>
          <w:snapToGrid w:val="0"/>
        </w:rPr>
      </w:pPr>
      <w:r>
        <w:tab/>
        <w:t>(d)</w:t>
      </w:r>
      <w:r>
        <w:tab/>
      </w:r>
      <w:r>
        <w:rPr>
          <w:snapToGrid w:val="0"/>
        </w:rPr>
        <w:t>fails to keep a hoarding, fence or other protective structure in good repair,</w:t>
      </w:r>
    </w:p>
    <w:p>
      <w:pPr>
        <w:pStyle w:val="Subsection"/>
        <w:rPr>
          <w:snapToGrid w:val="0"/>
        </w:rPr>
      </w:pPr>
      <w:r>
        <w:rPr>
          <w:snapToGrid w:val="0"/>
        </w:rPr>
        <w:tab/>
      </w:r>
      <w:r>
        <w:rPr>
          <w:snapToGrid w:val="0"/>
        </w:rPr>
        <w:tab/>
        <w:t xml:space="preserve">the local government may do any of the following — </w:t>
      </w:r>
    </w:p>
    <w:p>
      <w:pPr>
        <w:pStyle w:val="Indenta"/>
        <w:rPr>
          <w:snapToGrid w:val="0"/>
        </w:rPr>
      </w:pPr>
      <w:r>
        <w:rPr>
          <w:snapToGrid w:val="0"/>
        </w:rPr>
        <w:tab/>
        <w:t>(e)</w:t>
      </w:r>
      <w:r>
        <w:rPr>
          <w:snapToGrid w:val="0"/>
        </w:rPr>
        <w:tab/>
        <w:t xml:space="preserve">fill in the excavation; </w:t>
      </w:r>
    </w:p>
    <w:p>
      <w:pPr>
        <w:pStyle w:val="Indenta"/>
        <w:rPr>
          <w:snapToGrid w:val="0"/>
        </w:rPr>
      </w:pPr>
      <w:r>
        <w:rPr>
          <w:snapToGrid w:val="0"/>
        </w:rPr>
        <w:tab/>
        <w:t>(f)</w:t>
      </w:r>
      <w:r>
        <w:rPr>
          <w:snapToGrid w:val="0"/>
        </w:rPr>
        <w:tab/>
        <w:t>pull down the hoarding, fence, scaffold or enclosure;</w:t>
      </w:r>
    </w:p>
    <w:p>
      <w:pPr>
        <w:pStyle w:val="Indenta"/>
        <w:rPr>
          <w:snapToGrid w:val="0"/>
        </w:rPr>
      </w:pPr>
      <w:r>
        <w:rPr>
          <w:snapToGrid w:val="0"/>
        </w:rPr>
        <w:tab/>
        <w:t>(g)</w:t>
      </w:r>
      <w:r>
        <w:rPr>
          <w:snapToGrid w:val="0"/>
        </w:rPr>
        <w:tab/>
        <w:t>remove the materials comprising a hoarding, fence, scaffold or enclosure or any stone, bricks, mortar, lime, or other building materials contained within the enclosure or deposited in or on the street, way or other public place and deposit the materials in such place as the local government thinks fit;</w:t>
      </w:r>
    </w:p>
    <w:p>
      <w:pPr>
        <w:pStyle w:val="Indenta"/>
        <w:rPr>
          <w:snapToGrid w:val="0"/>
        </w:rPr>
      </w:pPr>
      <w:r>
        <w:rPr>
          <w:snapToGrid w:val="0"/>
        </w:rPr>
        <w:tab/>
        <w:t>(h)</w:t>
      </w:r>
      <w:r>
        <w:rPr>
          <w:snapToGrid w:val="0"/>
        </w:rPr>
        <w:tab/>
        <w:t>by written notice served on the person require the person to pay to the local government the</w:t>
      </w:r>
      <w:r>
        <w:t xml:space="preserve"> expenses of doing any of the things referred to in paragraphs (e) to (g) and recover the expenses in a court of competent jurisdiction</w:t>
      </w:r>
      <w:r>
        <w:rPr>
          <w:snapToGrid w:val="0"/>
        </w:rPr>
        <w:t>.</w:t>
      </w:r>
    </w:p>
    <w:p>
      <w:pPr>
        <w:pStyle w:val="Heading5"/>
        <w:rPr>
          <w:snapToGrid w:val="0"/>
        </w:rPr>
      </w:pPr>
      <w:bookmarkStart w:id="406" w:name="_Toc320625188"/>
      <w:bookmarkStart w:id="407" w:name="_Toc352667696"/>
      <w:r>
        <w:rPr>
          <w:rStyle w:val="CharSectno"/>
        </w:rPr>
        <w:t>66</w:t>
      </w:r>
      <w:r>
        <w:t>.</w:t>
      </w:r>
      <w:r>
        <w:tab/>
      </w:r>
      <w:r>
        <w:rPr>
          <w:snapToGrid w:val="0"/>
        </w:rPr>
        <w:t>Damage done to footpaths, drains etc. to be made good</w:t>
      </w:r>
      <w:bookmarkEnd w:id="406"/>
      <w:bookmarkEnd w:id="407"/>
    </w:p>
    <w:p>
      <w:pPr>
        <w:pStyle w:val="Subsection"/>
        <w:rPr>
          <w:snapToGrid w:val="0"/>
        </w:rPr>
      </w:pPr>
      <w:r>
        <w:tab/>
        <w:t>(1)</w:t>
      </w:r>
      <w:r>
        <w:tab/>
      </w:r>
      <w:r>
        <w:rPr>
          <w:snapToGrid w:val="0"/>
        </w:rPr>
        <w:t>A person who, in erecting or setting up in a street, way or other public place in a district, a hoarding, fence, or scaffolding, damages a footpath or roadway of the street, way or other public place, or a kerb, water</w:t>
      </w:r>
      <w:r>
        <w:rPr>
          <w:snapToGrid w:val="0"/>
        </w:rPr>
        <w:noBreakHyphen/>
        <w:t xml:space="preserve">table or drain, must make good the damage to the satisfaction of the CEO of the </w:t>
      </w:r>
      <w:r>
        <w:t>local government</w:t>
      </w:r>
      <w:r>
        <w:rPr>
          <w:snapToGrid w:val="0"/>
        </w:rPr>
        <w:t xml:space="preserve"> for that district.</w:t>
      </w:r>
    </w:p>
    <w:p>
      <w:pPr>
        <w:pStyle w:val="Subsection"/>
        <w:rPr>
          <w:snapToGrid w:val="0"/>
        </w:rPr>
      </w:pPr>
      <w:r>
        <w:tab/>
        <w:t>(2)</w:t>
      </w:r>
      <w:r>
        <w:tab/>
      </w:r>
      <w:r>
        <w:rPr>
          <w:snapToGrid w:val="0"/>
        </w:rPr>
        <w:t>If the person who owns or erects the hoarding, fence or scaffold does not, to the satisfaction of the CEO, make good and repair the footpath, roadway, kerb, water</w:t>
      </w:r>
      <w:r>
        <w:rPr>
          <w:snapToGrid w:val="0"/>
        </w:rPr>
        <w:noBreakHyphen/>
        <w:t xml:space="preserve">table or drain, the local government may — </w:t>
      </w:r>
    </w:p>
    <w:p>
      <w:pPr>
        <w:pStyle w:val="Indenta"/>
        <w:rPr>
          <w:snapToGrid w:val="0"/>
        </w:rPr>
      </w:pPr>
      <w:r>
        <w:rPr>
          <w:snapToGrid w:val="0"/>
        </w:rPr>
        <w:tab/>
        <w:t>(a)</w:t>
      </w:r>
      <w:r>
        <w:rPr>
          <w:snapToGrid w:val="0"/>
        </w:rPr>
        <w:tab/>
        <w:t xml:space="preserve">cause the repairs and reinstatement to be done; and </w:t>
      </w:r>
    </w:p>
    <w:p>
      <w:pPr>
        <w:pStyle w:val="Indenta"/>
        <w:rPr>
          <w:snapToGrid w:val="0"/>
        </w:rPr>
      </w:pPr>
      <w:r>
        <w:rPr>
          <w:snapToGrid w:val="0"/>
        </w:rPr>
        <w:tab/>
        <w:t>(b)</w:t>
      </w:r>
      <w:r>
        <w:rPr>
          <w:snapToGrid w:val="0"/>
        </w:rPr>
        <w:tab/>
        <w:t>by written notice served on the person require the person to pay to the local government the expenses of doing so, together with such further costs, charges and expenses, if any, as are incurred by reason of the omission, and may recover the expenses, costs and charges in a court of competent jurisdiction.</w:t>
      </w:r>
    </w:p>
    <w:p>
      <w:pPr>
        <w:pStyle w:val="Heading5"/>
        <w:rPr>
          <w:snapToGrid w:val="0"/>
        </w:rPr>
      </w:pPr>
      <w:bookmarkStart w:id="408" w:name="_Toc320625189"/>
      <w:bookmarkStart w:id="409" w:name="_Toc352667697"/>
      <w:r>
        <w:rPr>
          <w:rStyle w:val="CharSectno"/>
        </w:rPr>
        <w:t>67</w:t>
      </w:r>
      <w:r>
        <w:t>.</w:t>
      </w:r>
      <w:r>
        <w:tab/>
      </w:r>
      <w:r>
        <w:rPr>
          <w:snapToGrid w:val="0"/>
        </w:rPr>
        <w:t>While building is in progress footpath to be covered</w:t>
      </w:r>
      <w:bookmarkEnd w:id="408"/>
      <w:bookmarkEnd w:id="409"/>
    </w:p>
    <w:p>
      <w:pPr>
        <w:pStyle w:val="Subsection"/>
      </w:pPr>
      <w:r>
        <w:tab/>
        <w:t>(1)</w:t>
      </w:r>
      <w:r>
        <w:tab/>
        <w:t xml:space="preserve">A local government may, by written notice served on a person, require the person to cover a footpath to prevent inconvenience to the public or danger from falling materials during any period in which the person — </w:t>
      </w:r>
    </w:p>
    <w:p>
      <w:pPr>
        <w:pStyle w:val="Indenta"/>
        <w:rPr>
          <w:snapToGrid w:val="0"/>
        </w:rPr>
      </w:pPr>
      <w:r>
        <w:tab/>
        <w:t>(a)</w:t>
      </w:r>
      <w:r>
        <w:tab/>
      </w:r>
      <w:r>
        <w:rPr>
          <w:snapToGrid w:val="0"/>
        </w:rPr>
        <w:t xml:space="preserve">erects in a district the ground floor of a building abutting a footpath of a street, way or other public place; or </w:t>
      </w:r>
    </w:p>
    <w:p>
      <w:pPr>
        <w:pStyle w:val="Indenta"/>
        <w:rPr>
          <w:snapToGrid w:val="0"/>
        </w:rPr>
      </w:pPr>
      <w:r>
        <w:rPr>
          <w:snapToGrid w:val="0"/>
        </w:rPr>
        <w:tab/>
        <w:t>(b)</w:t>
      </w:r>
      <w:r>
        <w:rPr>
          <w:snapToGrid w:val="0"/>
        </w:rPr>
        <w:tab/>
      </w:r>
      <w:r>
        <w:t>carries out p</w:t>
      </w:r>
      <w:r>
        <w:rPr>
          <w:snapToGrid w:val="0"/>
        </w:rPr>
        <w:t>lastering, painting or decorating operations above the ground floor of a building abutting a footpath of a street, way or other public place.</w:t>
      </w:r>
    </w:p>
    <w:p>
      <w:pPr>
        <w:pStyle w:val="Subsection"/>
        <w:rPr>
          <w:snapToGrid w:val="0"/>
        </w:rPr>
      </w:pPr>
      <w:r>
        <w:tab/>
        <w:t>(2)</w:t>
      </w:r>
      <w:r>
        <w:tab/>
      </w:r>
      <w:r>
        <w:rPr>
          <w:snapToGrid w:val="0"/>
        </w:rPr>
        <w:t>A person must comply with a notice under subregulation (1).</w:t>
      </w:r>
    </w:p>
    <w:p>
      <w:pPr>
        <w:pStyle w:val="Penstart"/>
        <w:rPr>
          <w:snapToGrid w:val="0"/>
        </w:rPr>
      </w:pPr>
      <w:r>
        <w:tab/>
        <w:t xml:space="preserve">Penalty: </w:t>
      </w:r>
      <w:r>
        <w:rPr>
          <w:snapToGrid w:val="0"/>
        </w:rPr>
        <w:t xml:space="preserve"> a fine of $5 000 and a daily penalty of $100 for each day during which the offence continues.</w:t>
      </w:r>
    </w:p>
    <w:p>
      <w:pPr>
        <w:pStyle w:val="Subsection"/>
        <w:rPr>
          <w:snapToGrid w:val="0"/>
        </w:rPr>
      </w:pPr>
      <w:r>
        <w:tab/>
        <w:t>(3)</w:t>
      </w:r>
      <w:r>
        <w:tab/>
      </w:r>
      <w:r>
        <w:rPr>
          <w:snapToGrid w:val="0"/>
        </w:rPr>
        <w:t>A person who is dissatisfied with the requisition of the local government may apply to the State Administrative Tribunal for a review of the decision to make the requisition.</w:t>
      </w:r>
    </w:p>
    <w:p>
      <w:pPr>
        <w:pStyle w:val="Heading5"/>
      </w:pPr>
      <w:bookmarkStart w:id="410" w:name="_Toc320625190"/>
      <w:bookmarkStart w:id="411" w:name="_Toc352667698"/>
      <w:r>
        <w:rPr>
          <w:rStyle w:val="CharSectno"/>
        </w:rPr>
        <w:t>68</w:t>
      </w:r>
      <w:r>
        <w:t>.</w:t>
      </w:r>
      <w:r>
        <w:tab/>
        <w:t>Expiry of Part</w:t>
      </w:r>
      <w:bookmarkEnd w:id="410"/>
      <w:bookmarkEnd w:id="411"/>
    </w:p>
    <w:p>
      <w:pPr>
        <w:pStyle w:val="Subsection"/>
      </w:pPr>
      <w:r>
        <w:tab/>
      </w:r>
      <w:r>
        <w:tab/>
        <w:t>This Part expires</w:t>
      </w:r>
      <w:r>
        <w:rPr>
          <w:vertAlign w:val="superscript"/>
        </w:rPr>
        <w:t> 2</w:t>
      </w:r>
      <w:r>
        <w:t xml:space="preserve"> on the day that is one year after the day on which the rest of these regulations come into operation under regulation 2(b).</w:t>
      </w:r>
    </w:p>
    <w:p>
      <w:pPr>
        <w:pStyle w:val="Heading2"/>
      </w:pPr>
      <w:bookmarkStart w:id="412" w:name="_Toc343509050"/>
      <w:bookmarkStart w:id="413" w:name="_Toc343509998"/>
      <w:bookmarkStart w:id="414" w:name="_Toc352666404"/>
      <w:bookmarkStart w:id="415" w:name="_Toc352667577"/>
      <w:bookmarkStart w:id="416" w:name="_Toc352667699"/>
      <w:bookmarkStart w:id="417" w:name="_Toc320625191"/>
      <w:bookmarkStart w:id="418" w:name="_Toc302037515"/>
      <w:bookmarkStart w:id="419" w:name="_Toc302051536"/>
      <w:bookmarkStart w:id="420" w:name="_Toc302052272"/>
      <w:bookmarkStart w:id="421" w:name="_Toc302634416"/>
      <w:r>
        <w:rPr>
          <w:rStyle w:val="CharPartNo"/>
        </w:rPr>
        <w:t>Part 10</w:t>
      </w:r>
      <w:r>
        <w:rPr>
          <w:rStyle w:val="CharDivNo"/>
        </w:rPr>
        <w:t> </w:t>
      </w:r>
      <w:r>
        <w:t>—</w:t>
      </w:r>
      <w:r>
        <w:rPr>
          <w:rStyle w:val="CharDivText"/>
        </w:rPr>
        <w:t> </w:t>
      </w:r>
      <w:r>
        <w:rPr>
          <w:rStyle w:val="CharPartText"/>
        </w:rPr>
        <w:t>Infringement notices</w:t>
      </w:r>
      <w:bookmarkEnd w:id="412"/>
      <w:bookmarkEnd w:id="413"/>
      <w:bookmarkEnd w:id="414"/>
      <w:bookmarkEnd w:id="415"/>
      <w:bookmarkEnd w:id="416"/>
    </w:p>
    <w:p>
      <w:pPr>
        <w:pStyle w:val="Footnoteheading"/>
      </w:pPr>
      <w:r>
        <w:tab/>
        <w:t>[Heading inserted in Gazette 18 Dec 2012 p. 6575.]</w:t>
      </w:r>
    </w:p>
    <w:p>
      <w:pPr>
        <w:pStyle w:val="Heading5"/>
      </w:pPr>
      <w:bookmarkStart w:id="422" w:name="_Toc352667700"/>
      <w:r>
        <w:rPr>
          <w:rStyle w:val="CharSectno"/>
        </w:rPr>
        <w:t>69</w:t>
      </w:r>
      <w:r>
        <w:t>.</w:t>
      </w:r>
      <w:r>
        <w:tab/>
        <w:t>Prescribed offences and modified penalties</w:t>
      </w:r>
      <w:bookmarkEnd w:id="422"/>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in Gazette 18 Dec 2012 p. 6575.]</w:t>
      </w:r>
    </w:p>
    <w:p>
      <w:pPr>
        <w:pStyle w:val="Heading5"/>
      </w:pPr>
      <w:bookmarkStart w:id="423" w:name="_Toc352667701"/>
      <w:r>
        <w:rPr>
          <w:rStyle w:val="CharSectno"/>
        </w:rPr>
        <w:t>70</w:t>
      </w:r>
      <w:r>
        <w:t>.</w:t>
      </w:r>
      <w:r>
        <w:tab/>
        <w:t>Approved officers and authorised officers</w:t>
      </w:r>
      <w:bookmarkEnd w:id="423"/>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person appointed under the </w:t>
      </w:r>
      <w:r>
        <w:rPr>
          <w:i/>
        </w:rPr>
        <w:t>Local Government Act 1995</w:t>
      </w:r>
      <w:r>
        <w:t xml:space="preserve"> section 9.10(1) and authorised for the purpose of performing functions under section 9.19 or 9.20 of that Act.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pPr>
      <w:r>
        <w:tab/>
        <w:t>(3)</w:t>
      </w:r>
      <w:r>
        <w:tab/>
        <w:t>A permit authority that is a local government must issue each of its authorised officers a certificate of the person’s appointment, and the person must produce the certificate whenever required to do so by a person who has been or is about to be affected by any exercise of authority by the authorised person.</w:t>
      </w:r>
    </w:p>
    <w:p>
      <w:pPr>
        <w:pStyle w:val="Footnotesection"/>
      </w:pPr>
      <w:r>
        <w:tab/>
        <w:t>[Regulation 70 inserted in Gazette 18 Dec 2012 p. 6575-6.]</w:t>
      </w:r>
    </w:p>
    <w:p>
      <w:pPr>
        <w:pStyle w:val="Heading5"/>
      </w:pPr>
      <w:bookmarkStart w:id="424" w:name="_Toc352667702"/>
      <w:r>
        <w:rPr>
          <w:rStyle w:val="CharSectno"/>
        </w:rPr>
        <w:t>71</w:t>
      </w:r>
      <w:r>
        <w:t>.</w:t>
      </w:r>
      <w:r>
        <w:tab/>
        <w:t>Forms</w:t>
      </w:r>
      <w:bookmarkEnd w:id="424"/>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in Gazette 18 Dec 2012 p. 6576.]</w:t>
      </w:r>
    </w:p>
    <w:p>
      <w:pPr>
        <w:sectPr>
          <w:headerReference w:type="even" r:id="rId19"/>
          <w:headerReference w:type="default" r:id="rId20"/>
          <w:footerReference w:type="even" r:id="rId21"/>
          <w:footerReference w:type="default" r:id="rId22"/>
          <w:footerReference w:type="first" r:id="rId23"/>
          <w:endnotePr>
            <w:numFmt w:val="decimal"/>
          </w:endnotePr>
          <w:pgSz w:w="11906" w:h="16838" w:code="9"/>
          <w:pgMar w:top="2381" w:right="2410" w:bottom="3544" w:left="2410" w:header="720" w:footer="3380" w:gutter="0"/>
          <w:pgNumType w:start="1"/>
          <w:cols w:space="720"/>
          <w:noEndnote/>
          <w:titlePg/>
          <w:docGrid w:linePitch="78"/>
        </w:sectPr>
      </w:pPr>
    </w:p>
    <w:p>
      <w:pPr>
        <w:pStyle w:val="yScheduleHeading"/>
      </w:pPr>
      <w:bookmarkStart w:id="425" w:name="_Toc320625555"/>
      <w:bookmarkStart w:id="426" w:name="_Toc320625830"/>
      <w:bookmarkStart w:id="427" w:name="_Toc320697870"/>
      <w:bookmarkStart w:id="428" w:name="_Toc327448511"/>
      <w:bookmarkStart w:id="429" w:name="_Toc327450603"/>
      <w:bookmarkStart w:id="430" w:name="_Toc341960271"/>
      <w:bookmarkStart w:id="431" w:name="_Toc341960368"/>
      <w:bookmarkStart w:id="432" w:name="_Toc341960681"/>
      <w:bookmarkStart w:id="433" w:name="_Toc343509054"/>
      <w:bookmarkStart w:id="434" w:name="_Toc343510002"/>
      <w:bookmarkStart w:id="435" w:name="_Toc352666408"/>
      <w:bookmarkStart w:id="436" w:name="_Toc352667581"/>
      <w:bookmarkStart w:id="437" w:name="_Toc352667703"/>
      <w:r>
        <w:rPr>
          <w:rStyle w:val="CharSchNo"/>
        </w:rPr>
        <w:t>Schedule 1</w:t>
      </w:r>
      <w:r>
        <w:rPr>
          <w:rStyle w:val="CharSDivNo"/>
        </w:rPr>
        <w:t> </w:t>
      </w:r>
      <w:r>
        <w:t>—</w:t>
      </w:r>
      <w:r>
        <w:rPr>
          <w:rStyle w:val="CharSDivText"/>
        </w:rPr>
        <w:t> </w:t>
      </w:r>
      <w:r>
        <w:rPr>
          <w:rStyle w:val="CharSchText"/>
        </w:rPr>
        <w:t>Estimated value of building work</w:t>
      </w:r>
      <w:bookmarkEnd w:id="417"/>
      <w:bookmarkEnd w:id="425"/>
      <w:bookmarkEnd w:id="426"/>
      <w:bookmarkEnd w:id="427"/>
      <w:bookmarkEnd w:id="428"/>
      <w:bookmarkEnd w:id="429"/>
      <w:bookmarkEnd w:id="430"/>
      <w:bookmarkEnd w:id="431"/>
      <w:bookmarkEnd w:id="432"/>
      <w:bookmarkEnd w:id="433"/>
      <w:bookmarkEnd w:id="434"/>
      <w:bookmarkEnd w:id="435"/>
      <w:bookmarkEnd w:id="436"/>
      <w:bookmarkEnd w:id="437"/>
    </w:p>
    <w:p>
      <w:pPr>
        <w:pStyle w:val="yShoulderClause"/>
      </w:pPr>
      <w:r>
        <w:t>[r. 3]</w:t>
      </w:r>
    </w:p>
    <w:p>
      <w:pPr>
        <w:pStyle w:val="yHeading5"/>
      </w:pPr>
      <w:bookmarkStart w:id="438" w:name="_Toc320625192"/>
      <w:bookmarkStart w:id="439" w:name="_Toc352667704"/>
      <w:r>
        <w:rPr>
          <w:rStyle w:val="CharSClsNo"/>
        </w:rPr>
        <w:t>1</w:t>
      </w:r>
      <w:r>
        <w:t>.</w:t>
      </w:r>
      <w:r>
        <w:tab/>
        <w:t>Terms used</w:t>
      </w:r>
      <w:bookmarkEnd w:id="438"/>
      <w:bookmarkEnd w:id="439"/>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440" w:name="_Toc320625193"/>
      <w:bookmarkStart w:id="441" w:name="_Toc352667705"/>
      <w:r>
        <w:rPr>
          <w:rStyle w:val="CharSClsNo"/>
        </w:rPr>
        <w:t>2</w:t>
      </w:r>
      <w:r>
        <w:t>.</w:t>
      </w:r>
      <w:r>
        <w:tab/>
        <w:t>Estimated value of building work</w:t>
      </w:r>
      <w:bookmarkEnd w:id="440"/>
      <w:bookmarkEnd w:id="441"/>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442" w:name="_Toc320625194"/>
      <w:bookmarkStart w:id="443" w:name="_Toc352667706"/>
      <w:r>
        <w:rPr>
          <w:rStyle w:val="CharSClsNo"/>
        </w:rPr>
        <w:t>3</w:t>
      </w:r>
      <w:r>
        <w:t>.</w:t>
      </w:r>
      <w:r>
        <w:tab/>
        <w:t>Estimated value of unauthorised building work</w:t>
      </w:r>
      <w:bookmarkEnd w:id="442"/>
      <w:bookmarkEnd w:id="443"/>
    </w:p>
    <w:p>
      <w:pPr>
        <w:pStyle w:val="ySubsection"/>
      </w:pPr>
      <w:r>
        <w:tab/>
      </w:r>
      <w:r>
        <w:tab/>
        <w:t>The estimated value of unauthorised building work is the sum of the estimated current value (including GST) of the relevant components.</w:t>
      </w:r>
    </w:p>
    <w:p>
      <w:pPr>
        <w:sectPr>
          <w:headerReference w:type="even" r:id="rId24"/>
          <w:headerReference w:type="default" r:id="rId25"/>
          <w:pgSz w:w="11907" w:h="16840" w:code="9"/>
          <w:pgMar w:top="2381" w:right="2410" w:bottom="3544" w:left="2410" w:header="720" w:footer="3380" w:gutter="0"/>
          <w:cols w:space="720"/>
          <w:docGrid w:linePitch="78"/>
        </w:sectPr>
      </w:pPr>
    </w:p>
    <w:p>
      <w:pPr>
        <w:pStyle w:val="yScheduleHeading"/>
      </w:pPr>
      <w:bookmarkStart w:id="444" w:name="_Toc320625195"/>
      <w:bookmarkStart w:id="445" w:name="_Toc320625559"/>
      <w:bookmarkStart w:id="446" w:name="_Toc320625834"/>
      <w:bookmarkStart w:id="447" w:name="_Toc320697874"/>
      <w:bookmarkStart w:id="448" w:name="_Toc327448515"/>
      <w:bookmarkStart w:id="449" w:name="_Toc327450607"/>
      <w:bookmarkStart w:id="450" w:name="_Toc341960275"/>
      <w:bookmarkStart w:id="451" w:name="_Toc341960372"/>
      <w:bookmarkStart w:id="452" w:name="_Toc341960685"/>
      <w:bookmarkStart w:id="453" w:name="_Toc343509058"/>
      <w:bookmarkStart w:id="454" w:name="_Toc343510006"/>
      <w:bookmarkStart w:id="455" w:name="_Toc352666412"/>
      <w:bookmarkStart w:id="456" w:name="_Toc352667585"/>
      <w:bookmarkStart w:id="457" w:name="_Toc352667707"/>
      <w:r>
        <w:rPr>
          <w:rStyle w:val="CharSchNo"/>
        </w:rPr>
        <w:t>Schedule 2</w:t>
      </w:r>
      <w:r>
        <w:t> — </w:t>
      </w:r>
      <w:r>
        <w:rPr>
          <w:rStyle w:val="CharSchText"/>
        </w:rPr>
        <w:t>Fees</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p>
    <w:p>
      <w:pPr>
        <w:pStyle w:val="yShoulderClause"/>
        <w:ind w:right="141"/>
      </w:pPr>
      <w:r>
        <w:t>[r. 11]</w:t>
      </w:r>
    </w:p>
    <w:p>
      <w:pPr>
        <w:pStyle w:val="yHeading3"/>
        <w:spacing w:after="60"/>
      </w:pPr>
      <w:bookmarkStart w:id="458" w:name="_Toc320625196"/>
      <w:bookmarkStart w:id="459" w:name="_Toc320625560"/>
      <w:bookmarkStart w:id="460" w:name="_Toc320625835"/>
      <w:bookmarkStart w:id="461" w:name="_Toc320697875"/>
      <w:bookmarkStart w:id="462" w:name="_Toc327448516"/>
      <w:bookmarkStart w:id="463" w:name="_Toc327450608"/>
      <w:bookmarkStart w:id="464" w:name="_Toc341960276"/>
      <w:bookmarkStart w:id="465" w:name="_Toc341960373"/>
      <w:bookmarkStart w:id="466" w:name="_Toc341960686"/>
      <w:bookmarkStart w:id="467" w:name="_Toc343509059"/>
      <w:bookmarkStart w:id="468" w:name="_Toc343510007"/>
      <w:bookmarkStart w:id="469" w:name="_Toc352666413"/>
      <w:bookmarkStart w:id="470" w:name="_Toc352667586"/>
      <w:bookmarkStart w:id="471" w:name="_Toc352667708"/>
      <w:r>
        <w:rPr>
          <w:rStyle w:val="CharSDivNo"/>
        </w:rPr>
        <w:t>Division 1</w:t>
      </w:r>
      <w:r>
        <w:t> — </w:t>
      </w:r>
      <w:r>
        <w:rPr>
          <w:rStyle w:val="CharSDivText"/>
        </w:rPr>
        <w:t>Applications for building permits, demolition permits</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p>
    <w:tbl>
      <w:tblPr>
        <w:tblW w:w="6775" w:type="dxa"/>
        <w:tblInd w:w="284" w:type="dxa"/>
        <w:tblLayout w:type="fixed"/>
        <w:tblCellMar>
          <w:left w:w="113" w:type="dxa"/>
          <w:right w:w="113" w:type="dxa"/>
        </w:tblCellMar>
        <w:tblLook w:val="0000" w:firstRow="0" w:lastRow="0" w:firstColumn="0" w:lastColumn="0" w:noHBand="0" w:noVBand="0"/>
      </w:tblPr>
      <w:tblGrid>
        <w:gridCol w:w="822"/>
        <w:gridCol w:w="3685"/>
        <w:gridCol w:w="2268"/>
      </w:tblGrid>
      <w:tr>
        <w:trPr>
          <w:cantSplit/>
          <w:tblHeader/>
        </w:trPr>
        <w:tc>
          <w:tcPr>
            <w:tcW w:w="822" w:type="dxa"/>
            <w:tcBorders>
              <w:top w:val="single" w:sz="4" w:space="0" w:color="auto"/>
              <w:bottom w:val="single" w:sz="4" w:space="0" w:color="auto"/>
            </w:tcBorders>
          </w:tcPr>
          <w:p>
            <w:pPr>
              <w:pStyle w:val="yTableNAm"/>
              <w:tabs>
                <w:tab w:val="clear" w:pos="567"/>
              </w:tabs>
              <w:rPr>
                <w:b/>
                <w:szCs w:val="22"/>
              </w:rPr>
            </w:pPr>
            <w:r>
              <w:rPr>
                <w:b/>
                <w:szCs w:val="22"/>
              </w:rPr>
              <w:t>Item</w:t>
            </w:r>
          </w:p>
        </w:tc>
        <w:tc>
          <w:tcPr>
            <w:tcW w:w="3685" w:type="dxa"/>
            <w:tcBorders>
              <w:top w:val="single" w:sz="4" w:space="0" w:color="auto"/>
              <w:bottom w:val="single" w:sz="4" w:space="0" w:color="auto"/>
            </w:tcBorders>
          </w:tcPr>
          <w:p>
            <w:pPr>
              <w:pStyle w:val="yTableNAm"/>
              <w:jc w:val="center"/>
              <w:rPr>
                <w:b/>
                <w:szCs w:val="22"/>
              </w:rPr>
            </w:pPr>
            <w:r>
              <w:rPr>
                <w:b/>
                <w:szCs w:val="22"/>
              </w:rPr>
              <w:t>Application</w:t>
            </w:r>
          </w:p>
        </w:tc>
        <w:tc>
          <w:tcPr>
            <w:tcW w:w="2268" w:type="dxa"/>
            <w:tcBorders>
              <w:top w:val="single" w:sz="4" w:space="0" w:color="auto"/>
              <w:bottom w:val="single" w:sz="4" w:space="0" w:color="auto"/>
            </w:tcBorders>
          </w:tcPr>
          <w:p>
            <w:pPr>
              <w:pStyle w:val="yTableNAm"/>
              <w:jc w:val="center"/>
              <w:rPr>
                <w:b/>
                <w:szCs w:val="22"/>
              </w:rPr>
            </w:pPr>
            <w:r>
              <w:rPr>
                <w:b/>
                <w:szCs w:val="22"/>
              </w:rPr>
              <w:t>Fee</w:t>
            </w:r>
          </w:p>
        </w:tc>
      </w:tr>
      <w:tr>
        <w:trPr>
          <w:cantSplit/>
        </w:trPr>
        <w:tc>
          <w:tcPr>
            <w:tcW w:w="822" w:type="dxa"/>
            <w:tcBorders>
              <w:top w:val="single" w:sz="4" w:space="0" w:color="auto"/>
            </w:tcBorders>
          </w:tcPr>
          <w:p>
            <w:pPr>
              <w:pStyle w:val="yTableNAm"/>
              <w:tabs>
                <w:tab w:val="clear" w:pos="567"/>
              </w:tabs>
              <w:rPr>
                <w:szCs w:val="22"/>
              </w:rPr>
            </w:pPr>
            <w:r>
              <w:rPr>
                <w:szCs w:val="22"/>
              </w:rPr>
              <w:t>1.</w:t>
            </w:r>
          </w:p>
        </w:tc>
        <w:tc>
          <w:tcPr>
            <w:tcW w:w="3685" w:type="dxa"/>
            <w:tcBorders>
              <w:top w:val="single" w:sz="4" w:space="0" w:color="auto"/>
            </w:tcBorders>
          </w:tcPr>
          <w:p>
            <w:pPr>
              <w:pStyle w:val="yTableNAm"/>
              <w:rPr>
                <w:szCs w:val="22"/>
              </w:rPr>
            </w:pPr>
            <w:r>
              <w:rPr>
                <w:szCs w:val="22"/>
              </w:rPr>
              <w:t>Certified application for a building permit (s. 16(l)) — </w:t>
            </w:r>
          </w:p>
        </w:tc>
        <w:tc>
          <w:tcPr>
            <w:tcW w:w="2268" w:type="dxa"/>
            <w:tcBorders>
              <w:top w:val="single" w:sz="4" w:space="0" w:color="auto"/>
            </w:tcBorders>
          </w:tcPr>
          <w:p>
            <w:pPr>
              <w:pStyle w:val="yTableNAm"/>
              <w:rPr>
                <w:szCs w:val="22"/>
              </w:rPr>
            </w:pPr>
          </w:p>
        </w:tc>
      </w:tr>
      <w:tr>
        <w:trPr>
          <w:cantSplit/>
        </w:trPr>
        <w:tc>
          <w:tcPr>
            <w:tcW w:w="822" w:type="dxa"/>
          </w:tcPr>
          <w:p>
            <w:pPr>
              <w:pStyle w:val="yTableNAm"/>
              <w:tabs>
                <w:tab w:val="clear" w:pos="567"/>
                <w:tab w:val="left" w:pos="446"/>
              </w:tabs>
              <w:rPr>
                <w:szCs w:val="22"/>
              </w:rPr>
            </w:pPr>
          </w:p>
        </w:tc>
        <w:tc>
          <w:tcPr>
            <w:tcW w:w="3685" w:type="dxa"/>
          </w:tcPr>
          <w:p>
            <w:pPr>
              <w:pStyle w:val="yTableNAm"/>
              <w:ind w:left="595" w:hanging="595"/>
              <w:rPr>
                <w:szCs w:val="22"/>
              </w:rPr>
            </w:pPr>
            <w:r>
              <w:rPr>
                <w:szCs w:val="22"/>
              </w:rPr>
              <w:t>(a)</w:t>
            </w:r>
            <w:r>
              <w:rPr>
                <w:szCs w:val="22"/>
              </w:rPr>
              <w:tab/>
              <w:t>for building work for a Class 1 or Class 10 building or incidental structure</w:t>
            </w:r>
          </w:p>
        </w:tc>
        <w:tc>
          <w:tcPr>
            <w:tcW w:w="2268" w:type="dxa"/>
          </w:tcPr>
          <w:p>
            <w:pPr>
              <w:pStyle w:val="yTableNAm"/>
              <w:rPr>
                <w:szCs w:val="22"/>
              </w:rPr>
            </w:pPr>
            <w:r>
              <w:rPr>
                <w:szCs w:val="22"/>
              </w:rPr>
              <w:t>0.19% of the estimated value of the building work as determined by the relevant permit authority, but not less than $90</w:t>
            </w:r>
          </w:p>
        </w:tc>
      </w:tr>
      <w:tr>
        <w:trPr>
          <w:cantSplit/>
        </w:trPr>
        <w:tc>
          <w:tcPr>
            <w:tcW w:w="822" w:type="dxa"/>
          </w:tcPr>
          <w:p>
            <w:pPr>
              <w:pStyle w:val="yTableNAm"/>
              <w:tabs>
                <w:tab w:val="clear" w:pos="567"/>
                <w:tab w:val="left" w:pos="425"/>
              </w:tabs>
              <w:rPr>
                <w:szCs w:val="22"/>
              </w:rPr>
            </w:pPr>
          </w:p>
        </w:tc>
        <w:tc>
          <w:tcPr>
            <w:tcW w:w="3685" w:type="dxa"/>
          </w:tcPr>
          <w:p>
            <w:pPr>
              <w:pStyle w:val="yTableNAm"/>
              <w:ind w:left="595" w:hanging="595"/>
              <w:rPr>
                <w:szCs w:val="22"/>
              </w:rPr>
            </w:pPr>
            <w:r>
              <w:rPr>
                <w:szCs w:val="22"/>
              </w:rPr>
              <w:t>(b)</w:t>
            </w:r>
            <w:r>
              <w:rPr>
                <w:szCs w:val="22"/>
              </w:rPr>
              <w:tab/>
              <w:t>for building work for a Class 2 to Class 9 building or incidental structure</w:t>
            </w:r>
          </w:p>
        </w:tc>
        <w:tc>
          <w:tcPr>
            <w:tcW w:w="2268" w:type="dxa"/>
          </w:tcPr>
          <w:p>
            <w:pPr>
              <w:pStyle w:val="yTableNAm"/>
              <w:rPr>
                <w:szCs w:val="22"/>
              </w:rPr>
            </w:pPr>
            <w:r>
              <w:rPr>
                <w:szCs w:val="22"/>
              </w:rPr>
              <w:t>0.09% of the estimated value of the building work as determined by the relevant permit authority, but not less than $90</w:t>
            </w:r>
          </w:p>
        </w:tc>
      </w:tr>
      <w:tr>
        <w:trPr>
          <w:cantSplit/>
        </w:trPr>
        <w:tc>
          <w:tcPr>
            <w:tcW w:w="822" w:type="dxa"/>
          </w:tcPr>
          <w:p>
            <w:pPr>
              <w:pStyle w:val="yTableNAm"/>
              <w:rPr>
                <w:szCs w:val="22"/>
              </w:rPr>
            </w:pPr>
            <w:r>
              <w:rPr>
                <w:szCs w:val="22"/>
              </w:rPr>
              <w:t>2.</w:t>
            </w:r>
          </w:p>
        </w:tc>
        <w:tc>
          <w:tcPr>
            <w:tcW w:w="3685" w:type="dxa"/>
          </w:tcPr>
          <w:p>
            <w:pPr>
              <w:pStyle w:val="yTableNAm"/>
              <w:rPr>
                <w:szCs w:val="22"/>
              </w:rPr>
            </w:pPr>
            <w:r>
              <w:rPr>
                <w:szCs w:val="22"/>
              </w:rPr>
              <w:t>Uncertified application for a building permit (s. 16(l))</w:t>
            </w:r>
          </w:p>
        </w:tc>
        <w:tc>
          <w:tcPr>
            <w:tcW w:w="2268" w:type="dxa"/>
          </w:tcPr>
          <w:p>
            <w:pPr>
              <w:pStyle w:val="yTableNAm"/>
              <w:rPr>
                <w:szCs w:val="22"/>
              </w:rPr>
            </w:pPr>
            <w:r>
              <w:rPr>
                <w:szCs w:val="22"/>
              </w:rPr>
              <w:t>0.32% of the estimated value of the building work as determined by the relevant permit authority, but not less than $90</w:t>
            </w:r>
          </w:p>
        </w:tc>
      </w:tr>
      <w:tr>
        <w:trPr>
          <w:cantSplit/>
        </w:trPr>
        <w:tc>
          <w:tcPr>
            <w:tcW w:w="822" w:type="dxa"/>
          </w:tcPr>
          <w:p>
            <w:pPr>
              <w:pStyle w:val="yTableNAm"/>
              <w:rPr>
                <w:szCs w:val="22"/>
              </w:rPr>
            </w:pPr>
            <w:r>
              <w:rPr>
                <w:szCs w:val="22"/>
              </w:rPr>
              <w:t>3.</w:t>
            </w:r>
          </w:p>
        </w:tc>
        <w:tc>
          <w:tcPr>
            <w:tcW w:w="3685" w:type="dxa"/>
          </w:tcPr>
          <w:p>
            <w:pPr>
              <w:pStyle w:val="yTableNAm"/>
              <w:rPr>
                <w:rStyle w:val="DraftersNotes"/>
                <w:b w:val="0"/>
                <w:i w:val="0"/>
                <w:sz w:val="22"/>
                <w:szCs w:val="22"/>
              </w:rPr>
            </w:pPr>
            <w:r>
              <w:rPr>
                <w:szCs w:val="22"/>
              </w:rPr>
              <w:t xml:space="preserve">Application for a demolition permit (s. 16(l)) —  </w:t>
            </w:r>
          </w:p>
        </w:tc>
        <w:tc>
          <w:tcPr>
            <w:tcW w:w="2268" w:type="dxa"/>
          </w:tcPr>
          <w:p>
            <w:pPr>
              <w:pStyle w:val="yTableNAm"/>
              <w:rPr>
                <w:rStyle w:val="DraftersNotes"/>
                <w:b w:val="0"/>
                <w:i w:val="0"/>
                <w:sz w:val="22"/>
                <w:szCs w:val="22"/>
              </w:rPr>
            </w:pPr>
          </w:p>
        </w:tc>
      </w:tr>
      <w:tr>
        <w:trPr>
          <w:cantSplit/>
        </w:trPr>
        <w:tc>
          <w:tcPr>
            <w:tcW w:w="822" w:type="dxa"/>
          </w:tcPr>
          <w:p>
            <w:pPr>
              <w:pStyle w:val="yTableNAm"/>
              <w:rPr>
                <w:szCs w:val="22"/>
              </w:rPr>
            </w:pPr>
          </w:p>
        </w:tc>
        <w:tc>
          <w:tcPr>
            <w:tcW w:w="3685" w:type="dxa"/>
          </w:tcPr>
          <w:p>
            <w:pPr>
              <w:pStyle w:val="yTableNAm"/>
              <w:ind w:left="595" w:hanging="595"/>
              <w:rPr>
                <w:szCs w:val="22"/>
              </w:rPr>
            </w:pPr>
            <w:r>
              <w:rPr>
                <w:szCs w:val="22"/>
              </w:rPr>
              <w:t>(a)</w:t>
            </w:r>
            <w:r>
              <w:rPr>
                <w:szCs w:val="22"/>
              </w:rPr>
              <w:tab/>
              <w:t>for demolition work in respect of a Class 1 or Class 10 building or incidental structure</w:t>
            </w:r>
          </w:p>
        </w:tc>
        <w:tc>
          <w:tcPr>
            <w:tcW w:w="2268" w:type="dxa"/>
          </w:tcPr>
          <w:p>
            <w:pPr>
              <w:pStyle w:val="yTableNAm"/>
              <w:rPr>
                <w:szCs w:val="22"/>
              </w:rPr>
            </w:pPr>
            <w:r>
              <w:rPr>
                <w:szCs w:val="22"/>
              </w:rPr>
              <w:t>$90</w:t>
            </w:r>
          </w:p>
        </w:tc>
      </w:tr>
      <w:tr>
        <w:trPr>
          <w:cantSplit/>
        </w:trPr>
        <w:tc>
          <w:tcPr>
            <w:tcW w:w="822" w:type="dxa"/>
          </w:tcPr>
          <w:p>
            <w:pPr>
              <w:pStyle w:val="yTableNAm"/>
              <w:rPr>
                <w:szCs w:val="22"/>
              </w:rPr>
            </w:pPr>
          </w:p>
        </w:tc>
        <w:tc>
          <w:tcPr>
            <w:tcW w:w="3685" w:type="dxa"/>
          </w:tcPr>
          <w:p>
            <w:pPr>
              <w:pStyle w:val="yTableNAm"/>
              <w:ind w:left="595" w:hanging="595"/>
              <w:rPr>
                <w:szCs w:val="22"/>
              </w:rPr>
            </w:pPr>
            <w:r>
              <w:rPr>
                <w:szCs w:val="22"/>
              </w:rPr>
              <w:t>(b)</w:t>
            </w:r>
            <w:r>
              <w:rPr>
                <w:szCs w:val="22"/>
              </w:rPr>
              <w:tab/>
              <w:t xml:space="preserve">for demolition work in respect of a Class 2 to Class 9 building </w:t>
            </w:r>
          </w:p>
        </w:tc>
        <w:tc>
          <w:tcPr>
            <w:tcW w:w="2268" w:type="dxa"/>
          </w:tcPr>
          <w:p>
            <w:pPr>
              <w:pStyle w:val="yTableNAm"/>
              <w:rPr>
                <w:szCs w:val="22"/>
              </w:rPr>
            </w:pPr>
            <w:r>
              <w:rPr>
                <w:szCs w:val="22"/>
              </w:rPr>
              <w:t xml:space="preserve">$90 for each storey of the building </w:t>
            </w:r>
          </w:p>
        </w:tc>
      </w:tr>
      <w:tr>
        <w:trPr>
          <w:cantSplit/>
        </w:trPr>
        <w:tc>
          <w:tcPr>
            <w:tcW w:w="822" w:type="dxa"/>
            <w:tcBorders>
              <w:bottom w:val="single" w:sz="4" w:space="0" w:color="auto"/>
            </w:tcBorders>
          </w:tcPr>
          <w:p>
            <w:pPr>
              <w:pStyle w:val="yTableNAm"/>
              <w:rPr>
                <w:szCs w:val="22"/>
              </w:rPr>
            </w:pPr>
            <w:r>
              <w:rPr>
                <w:szCs w:val="22"/>
              </w:rPr>
              <w:t>4.</w:t>
            </w:r>
          </w:p>
        </w:tc>
        <w:tc>
          <w:tcPr>
            <w:tcW w:w="3685" w:type="dxa"/>
            <w:tcBorders>
              <w:bottom w:val="single" w:sz="4" w:space="0" w:color="auto"/>
            </w:tcBorders>
          </w:tcPr>
          <w:p>
            <w:pPr>
              <w:pStyle w:val="yTableNAm"/>
              <w:rPr>
                <w:szCs w:val="22"/>
              </w:rPr>
            </w:pPr>
            <w:r>
              <w:rPr>
                <w:szCs w:val="22"/>
              </w:rPr>
              <w:t>Application to extend the time during which a building or demolition permit has effect (s. 32(3)(f))</w:t>
            </w:r>
          </w:p>
        </w:tc>
        <w:tc>
          <w:tcPr>
            <w:tcW w:w="2268" w:type="dxa"/>
            <w:tcBorders>
              <w:bottom w:val="single" w:sz="4" w:space="0" w:color="auto"/>
            </w:tcBorders>
          </w:tcPr>
          <w:p>
            <w:pPr>
              <w:pStyle w:val="yTableNAm"/>
              <w:rPr>
                <w:szCs w:val="22"/>
              </w:rPr>
            </w:pPr>
            <w:r>
              <w:rPr>
                <w:szCs w:val="22"/>
              </w:rPr>
              <w:t>$90</w:t>
            </w:r>
          </w:p>
        </w:tc>
      </w:tr>
    </w:tbl>
    <w:p>
      <w:pPr>
        <w:pStyle w:val="ySubsection"/>
      </w:pPr>
    </w:p>
    <w:p>
      <w:pPr>
        <w:pStyle w:val="yHeading3"/>
        <w:spacing w:after="60"/>
        <w:rPr>
          <w:sz w:val="22"/>
          <w:szCs w:val="22"/>
        </w:rPr>
      </w:pPr>
      <w:bookmarkStart w:id="472" w:name="_Toc320625197"/>
      <w:bookmarkStart w:id="473" w:name="_Toc320625561"/>
      <w:bookmarkStart w:id="474" w:name="_Toc320625836"/>
      <w:bookmarkStart w:id="475" w:name="_Toc320697876"/>
      <w:bookmarkStart w:id="476" w:name="_Toc327448517"/>
      <w:bookmarkStart w:id="477" w:name="_Toc327450609"/>
      <w:bookmarkStart w:id="478" w:name="_Toc341960277"/>
      <w:bookmarkStart w:id="479" w:name="_Toc341960374"/>
      <w:bookmarkStart w:id="480" w:name="_Toc341960687"/>
      <w:bookmarkStart w:id="481" w:name="_Toc343509060"/>
      <w:bookmarkStart w:id="482" w:name="_Toc343510008"/>
      <w:bookmarkStart w:id="483" w:name="_Toc352666414"/>
      <w:bookmarkStart w:id="484" w:name="_Toc352667587"/>
      <w:bookmarkStart w:id="485" w:name="_Toc352667709"/>
      <w:r>
        <w:rPr>
          <w:rStyle w:val="CharSDivNo"/>
          <w:sz w:val="22"/>
          <w:szCs w:val="22"/>
        </w:rPr>
        <w:t>Division 2</w:t>
      </w:r>
      <w:r>
        <w:rPr>
          <w:sz w:val="22"/>
          <w:szCs w:val="22"/>
        </w:rPr>
        <w:t> — </w:t>
      </w:r>
      <w:r>
        <w:rPr>
          <w:rStyle w:val="CharSDivText"/>
          <w:sz w:val="22"/>
        </w:rPr>
        <w:t>Application for o</w:t>
      </w:r>
      <w:r>
        <w:rPr>
          <w:rStyle w:val="CharSDivText"/>
          <w:sz w:val="22"/>
          <w:szCs w:val="22"/>
        </w:rPr>
        <w:t>ccupancy permits, building approval certificates</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tbl>
      <w:tblPr>
        <w:tblW w:w="6775" w:type="dxa"/>
        <w:tblInd w:w="284" w:type="dxa"/>
        <w:tblLayout w:type="fixed"/>
        <w:tblCellMar>
          <w:left w:w="113" w:type="dxa"/>
          <w:right w:w="113" w:type="dxa"/>
        </w:tblCellMar>
        <w:tblLook w:val="0000" w:firstRow="0" w:lastRow="0" w:firstColumn="0" w:lastColumn="0" w:noHBand="0" w:noVBand="0"/>
      </w:tblPr>
      <w:tblGrid>
        <w:gridCol w:w="822"/>
        <w:gridCol w:w="4252"/>
        <w:gridCol w:w="1701"/>
      </w:tblGrid>
      <w:tr>
        <w:trPr>
          <w:cantSplit/>
          <w:tblHeader/>
        </w:trPr>
        <w:tc>
          <w:tcPr>
            <w:tcW w:w="822" w:type="dxa"/>
            <w:tcBorders>
              <w:top w:val="single" w:sz="4" w:space="0" w:color="auto"/>
              <w:bottom w:val="single" w:sz="4" w:space="0" w:color="auto"/>
            </w:tcBorders>
          </w:tcPr>
          <w:p>
            <w:pPr>
              <w:pStyle w:val="yTableNAm"/>
              <w:tabs>
                <w:tab w:val="clear" w:pos="567"/>
              </w:tabs>
              <w:rPr>
                <w:b/>
                <w:szCs w:val="22"/>
              </w:rPr>
            </w:pPr>
            <w:r>
              <w:rPr>
                <w:b/>
                <w:szCs w:val="22"/>
              </w:rPr>
              <w:t>Item</w:t>
            </w:r>
          </w:p>
        </w:tc>
        <w:tc>
          <w:tcPr>
            <w:tcW w:w="4252" w:type="dxa"/>
            <w:tcBorders>
              <w:top w:val="single" w:sz="4" w:space="0" w:color="auto"/>
              <w:bottom w:val="single" w:sz="4" w:space="0" w:color="auto"/>
            </w:tcBorders>
          </w:tcPr>
          <w:p>
            <w:pPr>
              <w:pStyle w:val="yTableNAm"/>
              <w:jc w:val="center"/>
              <w:rPr>
                <w:b/>
                <w:szCs w:val="22"/>
              </w:rPr>
            </w:pPr>
            <w:r>
              <w:rPr>
                <w:b/>
                <w:szCs w:val="22"/>
              </w:rPr>
              <w:t>Application</w:t>
            </w:r>
          </w:p>
        </w:tc>
        <w:tc>
          <w:tcPr>
            <w:tcW w:w="1701" w:type="dxa"/>
            <w:tcBorders>
              <w:top w:val="single" w:sz="4" w:space="0" w:color="auto"/>
              <w:bottom w:val="single" w:sz="4" w:space="0" w:color="auto"/>
            </w:tcBorders>
          </w:tcPr>
          <w:p>
            <w:pPr>
              <w:pStyle w:val="yTableNAm"/>
              <w:jc w:val="center"/>
              <w:rPr>
                <w:b/>
                <w:szCs w:val="22"/>
              </w:rPr>
            </w:pPr>
            <w:r>
              <w:rPr>
                <w:b/>
                <w:szCs w:val="22"/>
              </w:rPr>
              <w:t>Fee</w:t>
            </w:r>
          </w:p>
        </w:tc>
      </w:tr>
      <w:tr>
        <w:trPr>
          <w:cantSplit/>
        </w:trPr>
        <w:tc>
          <w:tcPr>
            <w:tcW w:w="822" w:type="dxa"/>
            <w:tcBorders>
              <w:top w:val="single" w:sz="4" w:space="0" w:color="auto"/>
            </w:tcBorders>
          </w:tcPr>
          <w:p>
            <w:pPr>
              <w:pStyle w:val="yTableNAm"/>
              <w:tabs>
                <w:tab w:val="clear" w:pos="567"/>
              </w:tabs>
              <w:rPr>
                <w:szCs w:val="22"/>
              </w:rPr>
            </w:pPr>
            <w:r>
              <w:rPr>
                <w:szCs w:val="22"/>
              </w:rPr>
              <w:t>1.</w:t>
            </w:r>
          </w:p>
        </w:tc>
        <w:tc>
          <w:tcPr>
            <w:tcW w:w="4252" w:type="dxa"/>
            <w:tcBorders>
              <w:top w:val="single" w:sz="4" w:space="0" w:color="auto"/>
            </w:tcBorders>
          </w:tcPr>
          <w:p>
            <w:pPr>
              <w:pStyle w:val="yTableNAm"/>
              <w:rPr>
                <w:szCs w:val="22"/>
              </w:rPr>
            </w:pPr>
            <w:r>
              <w:rPr>
                <w:szCs w:val="22"/>
              </w:rPr>
              <w:t>Application for an occupancy permit for a completed building (s. 46)</w:t>
            </w:r>
          </w:p>
        </w:tc>
        <w:tc>
          <w:tcPr>
            <w:tcW w:w="1701" w:type="dxa"/>
            <w:tcBorders>
              <w:top w:val="single" w:sz="4" w:space="0" w:color="auto"/>
            </w:tcBorders>
          </w:tcPr>
          <w:p>
            <w:pPr>
              <w:pStyle w:val="TableNAm"/>
              <w:tabs>
                <w:tab w:val="clear" w:pos="567"/>
                <w:tab w:val="left" w:pos="316"/>
              </w:tabs>
              <w:rPr>
                <w:sz w:val="22"/>
                <w:szCs w:val="22"/>
              </w:rPr>
            </w:pPr>
            <w:r>
              <w:rPr>
                <w:sz w:val="22"/>
                <w:szCs w:val="22"/>
              </w:rPr>
              <w:t>$90</w:t>
            </w:r>
          </w:p>
        </w:tc>
      </w:tr>
      <w:tr>
        <w:trPr>
          <w:cantSplit/>
        </w:trPr>
        <w:tc>
          <w:tcPr>
            <w:tcW w:w="822" w:type="dxa"/>
          </w:tcPr>
          <w:p>
            <w:pPr>
              <w:pStyle w:val="yTableNAm"/>
              <w:rPr>
                <w:szCs w:val="22"/>
              </w:rPr>
            </w:pPr>
            <w:r>
              <w:rPr>
                <w:szCs w:val="22"/>
              </w:rPr>
              <w:t>2.</w:t>
            </w:r>
          </w:p>
        </w:tc>
        <w:tc>
          <w:tcPr>
            <w:tcW w:w="4252" w:type="dxa"/>
          </w:tcPr>
          <w:p>
            <w:pPr>
              <w:pStyle w:val="yTableNAm"/>
              <w:rPr>
                <w:szCs w:val="22"/>
              </w:rPr>
            </w:pPr>
            <w:r>
              <w:rPr>
                <w:szCs w:val="22"/>
              </w:rPr>
              <w:t>Application for a temporary occupancy permit for an incomplete building (s. 47)</w:t>
            </w:r>
          </w:p>
        </w:tc>
        <w:tc>
          <w:tcPr>
            <w:tcW w:w="1701" w:type="dxa"/>
          </w:tcPr>
          <w:p>
            <w:pPr>
              <w:pStyle w:val="TableNAm"/>
              <w:tabs>
                <w:tab w:val="clear" w:pos="567"/>
                <w:tab w:val="left" w:pos="316"/>
              </w:tabs>
              <w:rPr>
                <w:sz w:val="22"/>
                <w:szCs w:val="22"/>
              </w:rPr>
            </w:pPr>
            <w:r>
              <w:rPr>
                <w:sz w:val="22"/>
                <w:szCs w:val="22"/>
              </w:rPr>
              <w:t>$90</w:t>
            </w:r>
          </w:p>
        </w:tc>
      </w:tr>
      <w:tr>
        <w:trPr>
          <w:cantSplit/>
        </w:trPr>
        <w:tc>
          <w:tcPr>
            <w:tcW w:w="822" w:type="dxa"/>
          </w:tcPr>
          <w:p>
            <w:pPr>
              <w:pStyle w:val="yTableNAm"/>
              <w:rPr>
                <w:szCs w:val="22"/>
              </w:rPr>
            </w:pPr>
            <w:r>
              <w:rPr>
                <w:szCs w:val="22"/>
              </w:rPr>
              <w:t>3.</w:t>
            </w:r>
          </w:p>
        </w:tc>
        <w:tc>
          <w:tcPr>
            <w:tcW w:w="4252" w:type="dxa"/>
          </w:tcPr>
          <w:p>
            <w:pPr>
              <w:pStyle w:val="TableNAm"/>
              <w:tabs>
                <w:tab w:val="clear" w:pos="567"/>
              </w:tabs>
              <w:spacing w:before="60"/>
              <w:rPr>
                <w:sz w:val="22"/>
                <w:szCs w:val="22"/>
              </w:rPr>
            </w:pPr>
            <w:r>
              <w:rPr>
                <w:sz w:val="22"/>
                <w:szCs w:val="22"/>
              </w:rPr>
              <w:t>Application for modification of an occupancy permit for additional use of a building on a temporary basis (s. 48)</w:t>
            </w:r>
          </w:p>
        </w:tc>
        <w:tc>
          <w:tcPr>
            <w:tcW w:w="1701" w:type="dxa"/>
          </w:tcPr>
          <w:p>
            <w:pPr>
              <w:pStyle w:val="TableNAm"/>
              <w:tabs>
                <w:tab w:val="clear" w:pos="567"/>
                <w:tab w:val="left" w:pos="316"/>
              </w:tabs>
              <w:rPr>
                <w:sz w:val="22"/>
                <w:szCs w:val="22"/>
              </w:rPr>
            </w:pPr>
            <w:r>
              <w:rPr>
                <w:sz w:val="22"/>
                <w:szCs w:val="22"/>
              </w:rPr>
              <w:t>$90</w:t>
            </w:r>
          </w:p>
        </w:tc>
      </w:tr>
      <w:tr>
        <w:trPr>
          <w:cantSplit/>
        </w:trPr>
        <w:tc>
          <w:tcPr>
            <w:tcW w:w="822" w:type="dxa"/>
          </w:tcPr>
          <w:p>
            <w:pPr>
              <w:pStyle w:val="yTableNAm"/>
              <w:rPr>
                <w:szCs w:val="22"/>
              </w:rPr>
            </w:pPr>
            <w:r>
              <w:rPr>
                <w:szCs w:val="22"/>
              </w:rPr>
              <w:t>4.</w:t>
            </w:r>
          </w:p>
        </w:tc>
        <w:tc>
          <w:tcPr>
            <w:tcW w:w="4252" w:type="dxa"/>
          </w:tcPr>
          <w:p>
            <w:pPr>
              <w:pStyle w:val="yTableNAm"/>
              <w:tabs>
                <w:tab w:val="clear" w:pos="567"/>
              </w:tabs>
              <w:ind w:left="28" w:hanging="28"/>
              <w:rPr>
                <w:szCs w:val="22"/>
              </w:rPr>
            </w:pPr>
            <w:r>
              <w:rPr>
                <w:szCs w:val="22"/>
              </w:rPr>
              <w:t>Application for a replacement occupancy permit for permanent change of the building’s use, classification (s. 49)</w:t>
            </w:r>
          </w:p>
        </w:tc>
        <w:tc>
          <w:tcPr>
            <w:tcW w:w="1701" w:type="dxa"/>
          </w:tcPr>
          <w:p>
            <w:pPr>
              <w:pStyle w:val="TableNAm"/>
              <w:tabs>
                <w:tab w:val="clear" w:pos="567"/>
                <w:tab w:val="left" w:pos="316"/>
              </w:tabs>
              <w:rPr>
                <w:sz w:val="22"/>
                <w:szCs w:val="22"/>
              </w:rPr>
            </w:pPr>
            <w:r>
              <w:rPr>
                <w:sz w:val="22"/>
                <w:szCs w:val="22"/>
              </w:rPr>
              <w:t>$90</w:t>
            </w:r>
          </w:p>
        </w:tc>
      </w:tr>
      <w:tr>
        <w:trPr>
          <w:cantSplit/>
        </w:trPr>
        <w:tc>
          <w:tcPr>
            <w:tcW w:w="822" w:type="dxa"/>
          </w:tcPr>
          <w:p>
            <w:pPr>
              <w:pStyle w:val="yTableNAm"/>
              <w:rPr>
                <w:szCs w:val="22"/>
              </w:rPr>
            </w:pPr>
            <w:r>
              <w:rPr>
                <w:szCs w:val="22"/>
              </w:rPr>
              <w:t>5.</w:t>
            </w:r>
          </w:p>
        </w:tc>
        <w:tc>
          <w:tcPr>
            <w:tcW w:w="4252" w:type="dxa"/>
          </w:tcPr>
          <w:p>
            <w:pPr>
              <w:pStyle w:val="yTableNAm"/>
              <w:tabs>
                <w:tab w:val="clear" w:pos="567"/>
              </w:tabs>
              <w:rPr>
                <w:szCs w:val="22"/>
              </w:rPr>
            </w:pPr>
            <w:r>
              <w:rPr>
                <w:szCs w:val="22"/>
              </w:rPr>
              <w:t>Application for an occupancy permit or building approval certificate for registration of strata scheme, plan of re</w:t>
            </w:r>
            <w:r>
              <w:rPr>
                <w:szCs w:val="22"/>
              </w:rPr>
              <w:noBreakHyphen/>
              <w:t>subdivision (s. 50(1) and (2))</w:t>
            </w:r>
          </w:p>
        </w:tc>
        <w:tc>
          <w:tcPr>
            <w:tcW w:w="1701" w:type="dxa"/>
          </w:tcPr>
          <w:p>
            <w:pPr>
              <w:pStyle w:val="TableNAm"/>
              <w:tabs>
                <w:tab w:val="clear" w:pos="567"/>
                <w:tab w:val="left" w:pos="316"/>
              </w:tabs>
              <w:rPr>
                <w:sz w:val="22"/>
                <w:szCs w:val="22"/>
              </w:rPr>
            </w:pPr>
            <w:r>
              <w:rPr>
                <w:sz w:val="22"/>
                <w:szCs w:val="22"/>
              </w:rPr>
              <w:t>$10 for each strata unit covered by the application, but not less than $100</w:t>
            </w:r>
          </w:p>
        </w:tc>
      </w:tr>
      <w:tr>
        <w:trPr>
          <w:cantSplit/>
        </w:trPr>
        <w:tc>
          <w:tcPr>
            <w:tcW w:w="822" w:type="dxa"/>
          </w:tcPr>
          <w:p>
            <w:pPr>
              <w:pStyle w:val="yTableNAm"/>
              <w:rPr>
                <w:szCs w:val="22"/>
              </w:rPr>
            </w:pPr>
            <w:r>
              <w:rPr>
                <w:szCs w:val="22"/>
              </w:rPr>
              <w:t>6.</w:t>
            </w:r>
          </w:p>
        </w:tc>
        <w:tc>
          <w:tcPr>
            <w:tcW w:w="4252" w:type="dxa"/>
          </w:tcPr>
          <w:p>
            <w:pPr>
              <w:pStyle w:val="yTableNAm"/>
              <w:rPr>
                <w:szCs w:val="22"/>
              </w:rPr>
            </w:pPr>
            <w:r>
              <w:rPr>
                <w:szCs w:val="22"/>
              </w:rPr>
              <w:t>Application for an occupancy permit for a building in respect of which unauthorised work has been done (s. 51(2))</w:t>
            </w:r>
          </w:p>
        </w:tc>
        <w:tc>
          <w:tcPr>
            <w:tcW w:w="1701" w:type="dxa"/>
          </w:tcPr>
          <w:p>
            <w:pPr>
              <w:pStyle w:val="TableNAm"/>
              <w:tabs>
                <w:tab w:val="clear" w:pos="567"/>
                <w:tab w:val="left" w:pos="316"/>
              </w:tabs>
              <w:rPr>
                <w:sz w:val="22"/>
                <w:szCs w:val="22"/>
              </w:rPr>
            </w:pPr>
            <w:r>
              <w:rPr>
                <w:sz w:val="22"/>
                <w:szCs w:val="22"/>
              </w:rPr>
              <w:t>0.18% of the estimated value of the unauthorised work as determined by the relevant permit authority, but not less than $90</w:t>
            </w:r>
          </w:p>
        </w:tc>
      </w:tr>
      <w:tr>
        <w:trPr>
          <w:cantSplit/>
        </w:trPr>
        <w:tc>
          <w:tcPr>
            <w:tcW w:w="822" w:type="dxa"/>
          </w:tcPr>
          <w:p>
            <w:pPr>
              <w:pStyle w:val="yTableNAm"/>
              <w:rPr>
                <w:szCs w:val="22"/>
              </w:rPr>
            </w:pPr>
            <w:r>
              <w:rPr>
                <w:szCs w:val="22"/>
              </w:rPr>
              <w:t>7.</w:t>
            </w:r>
          </w:p>
        </w:tc>
        <w:tc>
          <w:tcPr>
            <w:tcW w:w="4252" w:type="dxa"/>
          </w:tcPr>
          <w:p>
            <w:pPr>
              <w:pStyle w:val="yTableNAm"/>
              <w:rPr>
                <w:szCs w:val="22"/>
              </w:rPr>
            </w:pPr>
            <w:r>
              <w:rPr>
                <w:szCs w:val="22"/>
              </w:rPr>
              <w:t>Application for a building approval certificate for a building in respect of which unauthorised work has been done (s. 51(3))</w:t>
            </w:r>
          </w:p>
        </w:tc>
        <w:tc>
          <w:tcPr>
            <w:tcW w:w="1701" w:type="dxa"/>
          </w:tcPr>
          <w:p>
            <w:pPr>
              <w:pStyle w:val="TableNAm"/>
              <w:tabs>
                <w:tab w:val="clear" w:pos="567"/>
                <w:tab w:val="left" w:pos="316"/>
              </w:tabs>
              <w:rPr>
                <w:sz w:val="22"/>
                <w:szCs w:val="22"/>
              </w:rPr>
            </w:pPr>
            <w:r>
              <w:rPr>
                <w:sz w:val="22"/>
                <w:szCs w:val="22"/>
              </w:rPr>
              <w:t>0.38% of the estimated value of the unauthorised work as determined by the relevant permit authority, but not less than $90</w:t>
            </w:r>
          </w:p>
        </w:tc>
      </w:tr>
      <w:tr>
        <w:trPr>
          <w:cantSplit/>
        </w:trPr>
        <w:tc>
          <w:tcPr>
            <w:tcW w:w="822" w:type="dxa"/>
          </w:tcPr>
          <w:p>
            <w:pPr>
              <w:pStyle w:val="yTableNAm"/>
              <w:rPr>
                <w:szCs w:val="22"/>
              </w:rPr>
            </w:pPr>
            <w:r>
              <w:rPr>
                <w:szCs w:val="22"/>
              </w:rPr>
              <w:t>8.</w:t>
            </w:r>
          </w:p>
        </w:tc>
        <w:tc>
          <w:tcPr>
            <w:tcW w:w="4252" w:type="dxa"/>
          </w:tcPr>
          <w:p>
            <w:pPr>
              <w:pStyle w:val="yTableNAm"/>
              <w:rPr>
                <w:szCs w:val="22"/>
              </w:rPr>
            </w:pPr>
            <w:r>
              <w:rPr>
                <w:szCs w:val="22"/>
              </w:rPr>
              <w:t>Application to replace an occupancy permit for an existing building (s. 52(1))</w:t>
            </w:r>
          </w:p>
        </w:tc>
        <w:tc>
          <w:tcPr>
            <w:tcW w:w="1701" w:type="dxa"/>
          </w:tcPr>
          <w:p>
            <w:pPr>
              <w:pStyle w:val="TableNAm"/>
              <w:tabs>
                <w:tab w:val="clear" w:pos="567"/>
                <w:tab w:val="left" w:pos="316"/>
              </w:tabs>
              <w:rPr>
                <w:sz w:val="22"/>
                <w:szCs w:val="22"/>
              </w:rPr>
            </w:pPr>
            <w:r>
              <w:rPr>
                <w:sz w:val="22"/>
                <w:szCs w:val="22"/>
              </w:rPr>
              <w:t>$90</w:t>
            </w:r>
          </w:p>
        </w:tc>
      </w:tr>
      <w:tr>
        <w:trPr>
          <w:cantSplit/>
        </w:trPr>
        <w:tc>
          <w:tcPr>
            <w:tcW w:w="822" w:type="dxa"/>
          </w:tcPr>
          <w:p>
            <w:pPr>
              <w:pStyle w:val="yTableNAm"/>
              <w:rPr>
                <w:szCs w:val="22"/>
              </w:rPr>
            </w:pPr>
            <w:r>
              <w:rPr>
                <w:szCs w:val="22"/>
              </w:rPr>
              <w:t>9.</w:t>
            </w:r>
          </w:p>
        </w:tc>
        <w:tc>
          <w:tcPr>
            <w:tcW w:w="4252" w:type="dxa"/>
          </w:tcPr>
          <w:p>
            <w:pPr>
              <w:pStyle w:val="yTableNAm"/>
              <w:rPr>
                <w:szCs w:val="22"/>
              </w:rPr>
            </w:pPr>
            <w:r>
              <w:rPr>
                <w:szCs w:val="22"/>
              </w:rPr>
              <w:t>Application for a building approval certificate for an existing building where unauthorised work has not been done (s. 52(2))</w:t>
            </w:r>
          </w:p>
        </w:tc>
        <w:tc>
          <w:tcPr>
            <w:tcW w:w="1701" w:type="dxa"/>
          </w:tcPr>
          <w:p>
            <w:pPr>
              <w:pStyle w:val="TableNAm"/>
              <w:tabs>
                <w:tab w:val="clear" w:pos="567"/>
                <w:tab w:val="left" w:pos="316"/>
              </w:tabs>
              <w:rPr>
                <w:sz w:val="22"/>
                <w:szCs w:val="22"/>
              </w:rPr>
            </w:pPr>
            <w:r>
              <w:rPr>
                <w:sz w:val="22"/>
                <w:szCs w:val="22"/>
              </w:rPr>
              <w:t>$90</w:t>
            </w:r>
          </w:p>
        </w:tc>
      </w:tr>
      <w:tr>
        <w:trPr>
          <w:cantSplit/>
        </w:trPr>
        <w:tc>
          <w:tcPr>
            <w:tcW w:w="822" w:type="dxa"/>
            <w:tcBorders>
              <w:bottom w:val="single" w:sz="4" w:space="0" w:color="auto"/>
            </w:tcBorders>
          </w:tcPr>
          <w:p>
            <w:pPr>
              <w:pStyle w:val="yTableNAm"/>
              <w:rPr>
                <w:szCs w:val="22"/>
              </w:rPr>
            </w:pPr>
            <w:r>
              <w:rPr>
                <w:szCs w:val="22"/>
              </w:rPr>
              <w:t>10.</w:t>
            </w:r>
          </w:p>
        </w:tc>
        <w:tc>
          <w:tcPr>
            <w:tcW w:w="4252" w:type="dxa"/>
            <w:tcBorders>
              <w:bottom w:val="single" w:sz="4" w:space="0" w:color="auto"/>
            </w:tcBorders>
          </w:tcPr>
          <w:p>
            <w:pPr>
              <w:pStyle w:val="yTableNAm"/>
              <w:rPr>
                <w:szCs w:val="22"/>
              </w:rPr>
            </w:pPr>
            <w:r>
              <w:rPr>
                <w:szCs w:val="22"/>
              </w:rPr>
              <w:t>Application to extend the time during which an occupancy permit or building approval certificate has effect (s. 65(3)(a))</w:t>
            </w:r>
          </w:p>
        </w:tc>
        <w:tc>
          <w:tcPr>
            <w:tcW w:w="1701" w:type="dxa"/>
            <w:tcBorders>
              <w:bottom w:val="single" w:sz="4" w:space="0" w:color="auto"/>
            </w:tcBorders>
          </w:tcPr>
          <w:p>
            <w:pPr>
              <w:pStyle w:val="TableNAm"/>
              <w:tabs>
                <w:tab w:val="clear" w:pos="567"/>
                <w:tab w:val="left" w:pos="316"/>
              </w:tabs>
              <w:rPr>
                <w:sz w:val="22"/>
                <w:szCs w:val="22"/>
              </w:rPr>
            </w:pPr>
            <w:r>
              <w:rPr>
                <w:sz w:val="22"/>
                <w:szCs w:val="22"/>
              </w:rPr>
              <w:t>$90</w:t>
            </w:r>
          </w:p>
        </w:tc>
      </w:tr>
    </w:tbl>
    <w:p>
      <w:pPr>
        <w:pStyle w:val="yHeading3"/>
        <w:keepLines/>
        <w:spacing w:after="60"/>
        <w:rPr>
          <w:sz w:val="22"/>
          <w:szCs w:val="22"/>
        </w:rPr>
      </w:pPr>
      <w:bookmarkStart w:id="486" w:name="_Toc320625198"/>
      <w:bookmarkStart w:id="487" w:name="_Toc320625562"/>
      <w:bookmarkStart w:id="488" w:name="_Toc320625837"/>
      <w:bookmarkStart w:id="489" w:name="_Toc320697877"/>
      <w:bookmarkStart w:id="490" w:name="_Toc327448518"/>
      <w:bookmarkStart w:id="491" w:name="_Toc327450610"/>
      <w:bookmarkStart w:id="492" w:name="_Toc341960278"/>
      <w:bookmarkStart w:id="493" w:name="_Toc341960375"/>
      <w:bookmarkStart w:id="494" w:name="_Toc341960688"/>
      <w:bookmarkStart w:id="495" w:name="_Toc343509061"/>
      <w:bookmarkStart w:id="496" w:name="_Toc343510009"/>
      <w:bookmarkStart w:id="497" w:name="_Toc352666415"/>
      <w:bookmarkStart w:id="498" w:name="_Toc352667588"/>
      <w:bookmarkStart w:id="499" w:name="_Toc352667710"/>
      <w:r>
        <w:rPr>
          <w:rStyle w:val="CharSDivNo"/>
          <w:sz w:val="22"/>
          <w:szCs w:val="22"/>
        </w:rPr>
        <w:t>Division 3</w:t>
      </w:r>
      <w:r>
        <w:rPr>
          <w:sz w:val="22"/>
          <w:szCs w:val="22"/>
        </w:rPr>
        <w:t> — </w:t>
      </w:r>
      <w:r>
        <w:rPr>
          <w:rStyle w:val="CharSDivText"/>
          <w:sz w:val="22"/>
          <w:szCs w:val="22"/>
        </w:rPr>
        <w:t>Other applications</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p>
    <w:tbl>
      <w:tblPr>
        <w:tblW w:w="6775" w:type="dxa"/>
        <w:tblInd w:w="284" w:type="dxa"/>
        <w:tblLayout w:type="fixed"/>
        <w:tblCellMar>
          <w:left w:w="113" w:type="dxa"/>
          <w:right w:w="113" w:type="dxa"/>
        </w:tblCellMar>
        <w:tblLook w:val="0000" w:firstRow="0" w:lastRow="0" w:firstColumn="0" w:lastColumn="0" w:noHBand="0" w:noVBand="0"/>
      </w:tblPr>
      <w:tblGrid>
        <w:gridCol w:w="822"/>
        <w:gridCol w:w="4252"/>
        <w:gridCol w:w="1701"/>
      </w:tblGrid>
      <w:tr>
        <w:tc>
          <w:tcPr>
            <w:tcW w:w="822" w:type="dxa"/>
            <w:tcBorders>
              <w:top w:val="single" w:sz="4" w:space="0" w:color="auto"/>
              <w:bottom w:val="single" w:sz="4" w:space="0" w:color="auto"/>
            </w:tcBorders>
          </w:tcPr>
          <w:p>
            <w:pPr>
              <w:pStyle w:val="yTableNAm"/>
              <w:keepNext/>
              <w:keepLines/>
              <w:rPr>
                <w:szCs w:val="22"/>
              </w:rPr>
            </w:pPr>
            <w:r>
              <w:rPr>
                <w:b/>
                <w:bCs/>
                <w:szCs w:val="22"/>
              </w:rPr>
              <w:t>Item</w:t>
            </w:r>
          </w:p>
        </w:tc>
        <w:tc>
          <w:tcPr>
            <w:tcW w:w="4252" w:type="dxa"/>
            <w:tcBorders>
              <w:top w:val="single" w:sz="4" w:space="0" w:color="auto"/>
              <w:bottom w:val="single" w:sz="4" w:space="0" w:color="auto"/>
            </w:tcBorders>
          </w:tcPr>
          <w:p>
            <w:pPr>
              <w:pStyle w:val="yTableNAm"/>
              <w:keepNext/>
              <w:keepLines/>
              <w:jc w:val="center"/>
              <w:rPr>
                <w:szCs w:val="22"/>
              </w:rPr>
            </w:pPr>
            <w:r>
              <w:rPr>
                <w:b/>
                <w:bCs/>
                <w:szCs w:val="22"/>
              </w:rPr>
              <w:t>Application</w:t>
            </w:r>
          </w:p>
        </w:tc>
        <w:tc>
          <w:tcPr>
            <w:tcW w:w="1701" w:type="dxa"/>
            <w:tcBorders>
              <w:top w:val="single" w:sz="4" w:space="0" w:color="auto"/>
              <w:bottom w:val="single" w:sz="4" w:space="0" w:color="auto"/>
            </w:tcBorders>
          </w:tcPr>
          <w:p>
            <w:pPr>
              <w:pStyle w:val="TableNAm"/>
              <w:keepNext/>
              <w:keepLines/>
              <w:tabs>
                <w:tab w:val="clear" w:pos="567"/>
                <w:tab w:val="left" w:pos="316"/>
              </w:tabs>
              <w:spacing w:before="60"/>
              <w:jc w:val="center"/>
              <w:rPr>
                <w:sz w:val="22"/>
                <w:szCs w:val="22"/>
              </w:rPr>
            </w:pPr>
            <w:r>
              <w:rPr>
                <w:b/>
                <w:bCs/>
                <w:sz w:val="22"/>
                <w:szCs w:val="22"/>
              </w:rPr>
              <w:t>Fee</w:t>
            </w:r>
          </w:p>
        </w:tc>
      </w:tr>
      <w:tr>
        <w:tc>
          <w:tcPr>
            <w:tcW w:w="822" w:type="dxa"/>
            <w:tcBorders>
              <w:top w:val="single" w:sz="4" w:space="0" w:color="auto"/>
              <w:bottom w:val="single" w:sz="4" w:space="0" w:color="auto"/>
            </w:tcBorders>
          </w:tcPr>
          <w:p>
            <w:pPr>
              <w:pStyle w:val="yTableNAm"/>
              <w:keepNext/>
              <w:keepLines/>
              <w:rPr>
                <w:szCs w:val="22"/>
              </w:rPr>
            </w:pPr>
            <w:r>
              <w:rPr>
                <w:szCs w:val="22"/>
              </w:rPr>
              <w:t>1.</w:t>
            </w:r>
          </w:p>
        </w:tc>
        <w:tc>
          <w:tcPr>
            <w:tcW w:w="4252" w:type="dxa"/>
            <w:tcBorders>
              <w:top w:val="single" w:sz="4" w:space="0" w:color="auto"/>
              <w:bottom w:val="single" w:sz="4" w:space="0" w:color="auto"/>
            </w:tcBorders>
          </w:tcPr>
          <w:p>
            <w:pPr>
              <w:pStyle w:val="yTableNAm"/>
              <w:keepNext/>
              <w:keepLines/>
              <w:rPr>
                <w:szCs w:val="22"/>
              </w:rPr>
            </w:pPr>
            <w:r>
              <w:rPr>
                <w:szCs w:val="22"/>
              </w:rPr>
              <w:t>Application as defined in regulation 31 (for each building standard in respect of which a declaration is sought)</w:t>
            </w:r>
          </w:p>
        </w:tc>
        <w:tc>
          <w:tcPr>
            <w:tcW w:w="1701" w:type="dxa"/>
            <w:tcBorders>
              <w:top w:val="single" w:sz="4" w:space="0" w:color="auto"/>
              <w:bottom w:val="single" w:sz="4" w:space="0" w:color="auto"/>
            </w:tcBorders>
          </w:tcPr>
          <w:p>
            <w:pPr>
              <w:pStyle w:val="TableNAm"/>
              <w:keepNext/>
              <w:keepLines/>
              <w:tabs>
                <w:tab w:val="clear" w:pos="567"/>
                <w:tab w:val="left" w:pos="316"/>
              </w:tabs>
              <w:spacing w:before="60"/>
              <w:rPr>
                <w:sz w:val="22"/>
                <w:szCs w:val="22"/>
              </w:rPr>
            </w:pPr>
            <w:r>
              <w:rPr>
                <w:sz w:val="22"/>
                <w:szCs w:val="22"/>
              </w:rPr>
              <w:t>$2 000</w:t>
            </w:r>
          </w:p>
        </w:tc>
      </w:tr>
    </w:tbl>
    <w:p>
      <w:pPr>
        <w:sectPr>
          <w:headerReference w:type="even" r:id="rId26"/>
          <w:headerReference w:type="default" r:id="rId27"/>
          <w:pgSz w:w="11907" w:h="16840" w:code="9"/>
          <w:pgMar w:top="2381" w:right="2410" w:bottom="3544" w:left="2410" w:header="720" w:footer="3380" w:gutter="0"/>
          <w:cols w:space="720"/>
          <w:docGrid w:linePitch="78"/>
        </w:sectPr>
      </w:pPr>
    </w:p>
    <w:p>
      <w:pPr>
        <w:pStyle w:val="yScheduleHeading"/>
      </w:pPr>
      <w:bookmarkStart w:id="500" w:name="_Toc320625199"/>
      <w:bookmarkStart w:id="501" w:name="_Toc320625563"/>
      <w:bookmarkStart w:id="502" w:name="_Toc320625838"/>
      <w:bookmarkStart w:id="503" w:name="_Toc320697878"/>
      <w:bookmarkStart w:id="504" w:name="_Toc327448519"/>
      <w:bookmarkStart w:id="505" w:name="_Toc327450611"/>
      <w:bookmarkStart w:id="506" w:name="_Toc341960279"/>
      <w:bookmarkStart w:id="507" w:name="_Toc341960376"/>
      <w:bookmarkStart w:id="508" w:name="_Toc341960689"/>
      <w:bookmarkStart w:id="509" w:name="_Toc343509062"/>
      <w:bookmarkStart w:id="510" w:name="_Toc343510010"/>
      <w:bookmarkStart w:id="511" w:name="_Toc352666416"/>
      <w:bookmarkStart w:id="512" w:name="_Toc352667589"/>
      <w:bookmarkStart w:id="513" w:name="_Toc352667711"/>
      <w:r>
        <w:rPr>
          <w:rStyle w:val="CharSchNo"/>
        </w:rPr>
        <w:t>Schedule 3</w:t>
      </w:r>
      <w:r>
        <w:t> — </w:t>
      </w:r>
      <w:r>
        <w:rPr>
          <w:rStyle w:val="CharSchText"/>
        </w:rPr>
        <w:t>Inspections or tests of systems</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pPr>
        <w:pStyle w:val="yShoulderClause"/>
      </w:pPr>
      <w:r>
        <w:t>[r. 27]</w:t>
      </w:r>
    </w:p>
    <w:p>
      <w:pPr>
        <w:pStyle w:val="yHeading5"/>
      </w:pPr>
      <w:bookmarkStart w:id="514" w:name="_Toc320625200"/>
      <w:bookmarkStart w:id="515" w:name="_Toc352667712"/>
      <w:r>
        <w:rPr>
          <w:rStyle w:val="CharSClsNo"/>
        </w:rPr>
        <w:t>1</w:t>
      </w:r>
      <w:r>
        <w:t>.</w:t>
      </w:r>
      <w:r>
        <w:tab/>
        <w:t>Term used: EP</w:t>
      </w:r>
      <w:bookmarkEnd w:id="514"/>
      <w:bookmarkEnd w:id="515"/>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544"/>
      </w:tblGrid>
      <w:tr>
        <w:trPr>
          <w:tblHeader/>
        </w:trPr>
        <w:tc>
          <w:tcPr>
            <w:tcW w:w="3402" w:type="dxa"/>
          </w:tcPr>
          <w:p>
            <w:pPr>
              <w:pStyle w:val="yTableNAm"/>
              <w:jc w:val="center"/>
              <w:rPr>
                <w:b/>
                <w:bCs/>
              </w:rPr>
            </w:pPr>
            <w:r>
              <w:rPr>
                <w:b/>
                <w:bCs/>
              </w:rPr>
              <w:t>Column 1</w:t>
            </w:r>
          </w:p>
          <w:p>
            <w:pPr>
              <w:pStyle w:val="yTableNAm"/>
              <w:jc w:val="center"/>
              <w:rPr>
                <w:b/>
                <w:bCs/>
              </w:rPr>
            </w:pPr>
            <w:r>
              <w:rPr>
                <w:b/>
                <w:bCs/>
              </w:rPr>
              <w:t>System to be tested</w:t>
            </w:r>
          </w:p>
        </w:tc>
        <w:tc>
          <w:tcPr>
            <w:tcW w:w="3544" w:type="dxa"/>
          </w:tcPr>
          <w:p>
            <w:pPr>
              <w:pStyle w:val="yTableNAm"/>
              <w:jc w:val="center"/>
              <w:rPr>
                <w:b/>
                <w:bCs/>
              </w:rPr>
            </w:pPr>
            <w:r>
              <w:rPr>
                <w:b/>
                <w:bCs/>
              </w:rPr>
              <w:t>Column 2</w:t>
            </w:r>
          </w:p>
          <w:p>
            <w:pPr>
              <w:pStyle w:val="yTableNAm"/>
              <w:jc w:val="center"/>
              <w:rPr>
                <w:b/>
                <w:bCs/>
              </w:rPr>
            </w:pPr>
            <w:r>
              <w:rPr>
                <w:b/>
                <w:bCs/>
              </w:rPr>
              <w:t>When test to be conducted</w:t>
            </w:r>
          </w:p>
        </w:tc>
      </w:tr>
      <w:tr>
        <w:tc>
          <w:tcPr>
            <w:tcW w:w="3402" w:type="dxa"/>
          </w:tcPr>
          <w:p>
            <w:pPr>
              <w:pStyle w:val="yTableNAm"/>
            </w:pPr>
            <w:r>
              <w:t>Fire hose reel system required under EP1.1 and EP1.5</w:t>
            </w:r>
          </w:p>
        </w:tc>
        <w:tc>
          <w:tcPr>
            <w:tcW w:w="3544" w:type="dxa"/>
          </w:tcPr>
          <w:p>
            <w:pPr>
              <w:pStyle w:val="yTableNAm"/>
            </w:pPr>
            <w:r>
              <w:t>On completion of the installation of the system</w:t>
            </w:r>
          </w:p>
        </w:tc>
      </w:tr>
      <w:tr>
        <w:tc>
          <w:tcPr>
            <w:tcW w:w="3402" w:type="dxa"/>
          </w:tcPr>
          <w:p>
            <w:pPr>
              <w:pStyle w:val="yTableNAm"/>
            </w:pPr>
            <w:r>
              <w:t>Fire hydrant system required under EP1.1 and EP1.5</w:t>
            </w:r>
          </w:p>
        </w:tc>
        <w:tc>
          <w:tcPr>
            <w:tcW w:w="3544" w:type="dxa"/>
          </w:tcPr>
          <w:p>
            <w:pPr>
              <w:pStyle w:val="yTableNAm"/>
            </w:pPr>
            <w:r>
              <w:t>On completion of the installation of the system</w:t>
            </w:r>
          </w:p>
        </w:tc>
      </w:tr>
      <w:tr>
        <w:tc>
          <w:tcPr>
            <w:tcW w:w="3402" w:type="dxa"/>
          </w:tcPr>
          <w:p>
            <w:pPr>
              <w:pStyle w:val="yTableNAm"/>
            </w:pPr>
            <w:r>
              <w:t>Automatic fire suppression system required under EP1.4</w:t>
            </w:r>
          </w:p>
        </w:tc>
        <w:tc>
          <w:tcPr>
            <w:tcW w:w="3544" w:type="dxa"/>
          </w:tcPr>
          <w:p>
            <w:pPr>
              <w:pStyle w:val="yTableNAm"/>
            </w:pPr>
            <w:r>
              <w:t>On completion of the installation of the system</w:t>
            </w:r>
          </w:p>
        </w:tc>
      </w:tr>
      <w:tr>
        <w:tc>
          <w:tcPr>
            <w:tcW w:w="3402" w:type="dxa"/>
          </w:tcPr>
          <w:p>
            <w:pPr>
              <w:pStyle w:val="yTableNAm"/>
            </w:pPr>
            <w:r>
              <w:t>Fire detection, warning, control and intercom systems required under EP2.1 and EP2.2</w:t>
            </w:r>
          </w:p>
        </w:tc>
        <w:tc>
          <w:tcPr>
            <w:tcW w:w="3544" w:type="dxa"/>
          </w:tcPr>
          <w:p>
            <w:pPr>
              <w:pStyle w:val="yTableNAm"/>
            </w:pPr>
            <w:r>
              <w:t>On completion of the installation of the system</w:t>
            </w:r>
          </w:p>
        </w:tc>
      </w:tr>
      <w:tr>
        <w:tc>
          <w:tcPr>
            <w:tcW w:w="3402" w:type="dxa"/>
          </w:tcPr>
          <w:p>
            <w:pPr>
              <w:pStyle w:val="yTableNAm"/>
            </w:pPr>
            <w:r>
              <w:t>Air handling systems that incorporate smoke control provisions required under EP2.2</w:t>
            </w:r>
          </w:p>
        </w:tc>
        <w:tc>
          <w:tcPr>
            <w:tcW w:w="3544" w:type="dxa"/>
          </w:tcPr>
          <w:p>
            <w:pPr>
              <w:pStyle w:val="yTableNAm"/>
            </w:pPr>
            <w:r>
              <w:t>On completion of the building work</w:t>
            </w:r>
          </w:p>
        </w:tc>
      </w:tr>
      <w:tr>
        <w:tc>
          <w:tcPr>
            <w:tcW w:w="3402" w:type="dxa"/>
          </w:tcPr>
          <w:p>
            <w:pPr>
              <w:pStyle w:val="yTableNAm"/>
            </w:pPr>
            <w:r>
              <w:t>Smoke/heat venting systems required under EP2.2</w:t>
            </w:r>
          </w:p>
        </w:tc>
        <w:tc>
          <w:tcPr>
            <w:tcW w:w="3544" w:type="dxa"/>
          </w:tcPr>
          <w:p>
            <w:pPr>
              <w:pStyle w:val="yTableNAm"/>
            </w:pPr>
            <w:r>
              <w:t>On completion of the installation of the system</w:t>
            </w:r>
          </w:p>
        </w:tc>
      </w:tr>
      <w:tr>
        <w:tc>
          <w:tcPr>
            <w:tcW w:w="3402" w:type="dxa"/>
          </w:tcPr>
          <w:p>
            <w:pPr>
              <w:pStyle w:val="yTableNAm"/>
            </w:pPr>
            <w:r>
              <w:t>Sound systems and intercom systems for emergency purposes required under EP4.3</w:t>
            </w:r>
          </w:p>
        </w:tc>
        <w:tc>
          <w:tcPr>
            <w:tcW w:w="3544" w:type="dxa"/>
          </w:tcPr>
          <w:p>
            <w:pPr>
              <w:pStyle w:val="yTableNAm"/>
            </w:pPr>
            <w:r>
              <w:t>On completion of the installation of the system</w:t>
            </w:r>
          </w:p>
        </w:tc>
      </w:tr>
    </w:tbl>
    <w:p>
      <w:pPr>
        <w:sectPr>
          <w:headerReference w:type="even" r:id="rId28"/>
          <w:headerReference w:type="default" r:id="rId29"/>
          <w:pgSz w:w="11907" w:h="16840" w:code="9"/>
          <w:pgMar w:top="2381" w:right="2410" w:bottom="3544" w:left="2410" w:header="720" w:footer="3380" w:gutter="0"/>
          <w:cols w:space="720"/>
          <w:docGrid w:linePitch="78"/>
        </w:sectPr>
      </w:pPr>
      <w:bookmarkStart w:id="516" w:name="_Toc308532497"/>
      <w:bookmarkStart w:id="517" w:name="_Toc308532582"/>
      <w:bookmarkStart w:id="518" w:name="_Toc308601871"/>
      <w:bookmarkStart w:id="519" w:name="_Toc309051609"/>
      <w:bookmarkStart w:id="520" w:name="_Toc309907294"/>
      <w:bookmarkStart w:id="521" w:name="_Toc309907380"/>
      <w:bookmarkStart w:id="522" w:name="_Toc309911998"/>
      <w:bookmarkStart w:id="523" w:name="_Toc309914706"/>
    </w:p>
    <w:p>
      <w:pPr>
        <w:pStyle w:val="yScheduleHeading"/>
      </w:pPr>
      <w:bookmarkStart w:id="524" w:name="_Toc320625201"/>
      <w:bookmarkStart w:id="525" w:name="_Toc320625565"/>
      <w:bookmarkStart w:id="526" w:name="_Toc320625840"/>
      <w:bookmarkStart w:id="527" w:name="_Toc320697880"/>
      <w:bookmarkStart w:id="528" w:name="_Toc327448521"/>
      <w:bookmarkStart w:id="529" w:name="_Toc327450613"/>
      <w:bookmarkStart w:id="530" w:name="_Toc341960281"/>
      <w:bookmarkStart w:id="531" w:name="_Toc341960378"/>
      <w:bookmarkStart w:id="532" w:name="_Toc341960691"/>
      <w:bookmarkStart w:id="533" w:name="_Toc343509064"/>
      <w:bookmarkStart w:id="534" w:name="_Toc343510012"/>
      <w:bookmarkStart w:id="535" w:name="_Toc352666418"/>
      <w:bookmarkStart w:id="536" w:name="_Toc352667591"/>
      <w:bookmarkStart w:id="537" w:name="_Toc352667713"/>
      <w:bookmarkEnd w:id="516"/>
      <w:bookmarkEnd w:id="517"/>
      <w:bookmarkEnd w:id="518"/>
      <w:bookmarkEnd w:id="519"/>
      <w:bookmarkEnd w:id="520"/>
      <w:bookmarkEnd w:id="521"/>
      <w:bookmarkEnd w:id="522"/>
      <w:bookmarkEnd w:id="523"/>
      <w:r>
        <w:rPr>
          <w:rStyle w:val="CharSchNo"/>
        </w:rPr>
        <w:t>Schedule 4</w:t>
      </w:r>
      <w:r>
        <w:t> — </w:t>
      </w:r>
      <w:r>
        <w:rPr>
          <w:rStyle w:val="CharSchText"/>
        </w:rPr>
        <w:t>Building work that does not require building permit</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p>
    <w:p>
      <w:pPr>
        <w:pStyle w:val="yShoulderClause"/>
      </w:pPr>
      <w:r>
        <w:t>[r. 41]</w:t>
      </w:r>
    </w:p>
    <w:p>
      <w:pPr>
        <w:pStyle w:val="yHeading5"/>
        <w:rPr>
          <w:rStyle w:val="CharSDivText"/>
        </w:rPr>
      </w:pPr>
      <w:bookmarkStart w:id="538" w:name="_Toc320625202"/>
      <w:bookmarkStart w:id="539" w:name="_Toc352667714"/>
      <w:r>
        <w:rPr>
          <w:rStyle w:val="CharSClsNo"/>
        </w:rPr>
        <w:t>1</w:t>
      </w:r>
      <w:r>
        <w:t>.</w:t>
      </w:r>
      <w:r>
        <w:tab/>
      </w:r>
      <w:r>
        <w:rPr>
          <w:rStyle w:val="CharSDivText"/>
        </w:rPr>
        <w:t>Areas where building permit not required for certain work</w:t>
      </w:r>
      <w:bookmarkEnd w:id="538"/>
      <w:bookmarkEnd w:id="539"/>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01"/>
        <w:gridCol w:w="2551"/>
        <w:gridCol w:w="2552"/>
      </w:tblGrid>
      <w:tr>
        <w:trPr>
          <w:tblHeader/>
        </w:trPr>
        <w:tc>
          <w:tcPr>
            <w:tcW w:w="1701" w:type="dxa"/>
            <w:tcBorders>
              <w:bottom w:val="single" w:sz="4" w:space="0" w:color="auto"/>
            </w:tcBorders>
          </w:tcPr>
          <w:p>
            <w:pPr>
              <w:pStyle w:val="yTableNAm"/>
              <w:jc w:val="center"/>
              <w:rPr>
                <w:b/>
                <w:bCs/>
              </w:rPr>
            </w:pPr>
            <w:r>
              <w:rPr>
                <w:b/>
                <w:bCs/>
              </w:rPr>
              <w:t>Column 1</w:t>
            </w:r>
          </w:p>
          <w:p>
            <w:pPr>
              <w:pStyle w:val="yTableNAm"/>
              <w:jc w:val="center"/>
              <w:rPr>
                <w:b/>
                <w:bCs/>
              </w:rPr>
            </w:pPr>
            <w:r>
              <w:rPr>
                <w:b/>
                <w:bCs/>
              </w:rPr>
              <w:t>Local government district</w:t>
            </w:r>
          </w:p>
        </w:tc>
        <w:tc>
          <w:tcPr>
            <w:tcW w:w="2551" w:type="dxa"/>
            <w:tcBorders>
              <w:bottom w:val="single" w:sz="4" w:space="0" w:color="auto"/>
            </w:tcBorders>
          </w:tcPr>
          <w:p>
            <w:pPr>
              <w:pStyle w:val="yTableNAm"/>
              <w:jc w:val="center"/>
              <w:rPr>
                <w:b/>
                <w:bCs/>
              </w:rPr>
            </w:pPr>
            <w:r>
              <w:rPr>
                <w:b/>
                <w:bCs/>
              </w:rPr>
              <w:t>Column 2</w:t>
            </w:r>
          </w:p>
          <w:p>
            <w:pPr>
              <w:pStyle w:val="yTableNAm"/>
              <w:jc w:val="center"/>
              <w:rPr>
                <w:b/>
                <w:bCs/>
              </w:rPr>
            </w:pPr>
            <w:r>
              <w:rPr>
                <w:b/>
                <w:bCs/>
              </w:rPr>
              <w:t>Area where building permit not required for building work for Class 10 building or incidental structure</w:t>
            </w:r>
          </w:p>
        </w:tc>
        <w:tc>
          <w:tcPr>
            <w:tcW w:w="2552" w:type="dxa"/>
            <w:tcBorders>
              <w:bottom w:val="single" w:sz="4" w:space="0" w:color="auto"/>
            </w:tcBorders>
          </w:tcPr>
          <w:p>
            <w:pPr>
              <w:pStyle w:val="yTableNAm"/>
              <w:jc w:val="center"/>
              <w:rPr>
                <w:b/>
                <w:bCs/>
              </w:rPr>
            </w:pPr>
            <w:r>
              <w:rPr>
                <w:b/>
                <w:bCs/>
              </w:rPr>
              <w:t>Column 3</w:t>
            </w:r>
          </w:p>
          <w:p>
            <w:pPr>
              <w:pStyle w:val="yTableNAm"/>
              <w:jc w:val="center"/>
              <w:rPr>
                <w:b/>
                <w:bCs/>
              </w:rPr>
            </w:pPr>
            <w:r>
              <w:rPr>
                <w:b/>
                <w:bCs/>
              </w:rPr>
              <w:t>Area where building permit not required for building work for building other than Class 10 building or incidental structure</w:t>
            </w:r>
          </w:p>
        </w:tc>
      </w:tr>
      <w:tr>
        <w:trPr>
          <w:cantSplit/>
        </w:trPr>
        <w:tc>
          <w:tcPr>
            <w:tcW w:w="1701" w:type="dxa"/>
            <w:tcBorders>
              <w:bottom w:val="nil"/>
            </w:tcBorders>
          </w:tcPr>
          <w:p>
            <w:pPr>
              <w:pStyle w:val="yTableNAm"/>
            </w:pPr>
            <w:r>
              <w:t>Broomehill</w:t>
            </w:r>
          </w:p>
        </w:tc>
        <w:tc>
          <w:tcPr>
            <w:tcW w:w="2551" w:type="dxa"/>
            <w:tcBorders>
              <w:bottom w:val="nil"/>
            </w:tcBorders>
          </w:tcPr>
          <w:p>
            <w:pPr>
              <w:pStyle w:val="ySubsection"/>
              <w:tabs>
                <w:tab w:val="clear" w:pos="595"/>
                <w:tab w:val="clear" w:pos="879"/>
                <w:tab w:val="right" w:pos="0"/>
                <w:tab w:val="left" w:pos="749"/>
                <w:tab w:val="left" w:pos="1139"/>
              </w:tabs>
              <w:ind w:left="0" w:firstLine="0"/>
            </w:pPr>
            <w:r>
              <w:t xml:space="preserve">Whole district other than — </w:t>
            </w:r>
          </w:p>
          <w:p>
            <w:pPr>
              <w:pStyle w:val="yTableNAm"/>
              <w:tabs>
                <w:tab w:val="left" w:pos="459"/>
                <w:tab w:val="left" w:pos="1139"/>
              </w:tabs>
              <w:ind w:left="34"/>
            </w:pPr>
            <w:r>
              <w:t>(a)</w:t>
            </w:r>
            <w:r>
              <w:tab/>
              <w:t>townsites;</w:t>
            </w:r>
          </w:p>
        </w:tc>
        <w:tc>
          <w:tcPr>
            <w:tcW w:w="2552" w:type="dxa"/>
            <w:tcBorders>
              <w:bottom w:val="nil"/>
            </w:tcBorders>
          </w:tcPr>
          <w:p>
            <w:pPr>
              <w:pStyle w:val="yTableNAm"/>
            </w:pPr>
          </w:p>
        </w:tc>
      </w:tr>
      <w:tr>
        <w:trPr>
          <w:cantSplit/>
        </w:trPr>
        <w:tc>
          <w:tcPr>
            <w:tcW w:w="1701" w:type="dxa"/>
            <w:tcBorders>
              <w:top w:val="nil"/>
              <w:bottom w:val="nil"/>
            </w:tcBorders>
          </w:tcPr>
          <w:p>
            <w:pPr>
              <w:pStyle w:val="yTableNAm"/>
            </w:pPr>
          </w:p>
        </w:tc>
        <w:tc>
          <w:tcPr>
            <w:tcW w:w="2551" w:type="dxa"/>
            <w:tcBorders>
              <w:top w:val="nil"/>
              <w:bottom w:val="nil"/>
            </w:tcBorders>
          </w:tcPr>
          <w:p>
            <w:pPr>
              <w:pStyle w:val="yTableNAm"/>
              <w:tabs>
                <w:tab w:val="clear" w:pos="567"/>
                <w:tab w:val="left" w:pos="459"/>
              </w:tabs>
              <w:spacing w:before="0"/>
              <w:ind w:left="459" w:hanging="459"/>
            </w:pPr>
            <w:r>
              <w:t>(b)</w:t>
            </w:r>
            <w:r>
              <w:tab/>
              <w:t>Broomehill Suburban Lots 362, 363, 372 to 423, 427 to 432, 438, 445, 446, 603 to 605, 609 and 610;</w:t>
            </w:r>
          </w:p>
        </w:tc>
        <w:tc>
          <w:tcPr>
            <w:tcW w:w="2552" w:type="dxa"/>
            <w:tcBorders>
              <w:top w:val="nil"/>
              <w:bottom w:val="nil"/>
            </w:tcBorders>
          </w:tcPr>
          <w:p>
            <w:pPr>
              <w:pStyle w:val="yTableNAm"/>
            </w:pPr>
          </w:p>
        </w:tc>
      </w:tr>
      <w:tr>
        <w:trPr>
          <w:cantSplit/>
        </w:trPr>
        <w:tc>
          <w:tcPr>
            <w:tcW w:w="1701" w:type="dxa"/>
            <w:tcBorders>
              <w:top w:val="nil"/>
              <w:bottom w:val="nil"/>
            </w:tcBorders>
          </w:tcPr>
          <w:p>
            <w:pPr>
              <w:pStyle w:val="yTableNAm"/>
            </w:pPr>
          </w:p>
        </w:tc>
        <w:tc>
          <w:tcPr>
            <w:tcW w:w="2551" w:type="dxa"/>
            <w:tcBorders>
              <w:top w:val="nil"/>
              <w:bottom w:val="nil"/>
            </w:tcBorders>
          </w:tcPr>
          <w:p>
            <w:pPr>
              <w:pStyle w:val="yTableNAm"/>
              <w:tabs>
                <w:tab w:val="clear" w:pos="567"/>
                <w:tab w:val="left" w:pos="459"/>
              </w:tabs>
              <w:spacing w:before="0"/>
              <w:ind w:left="459" w:hanging="459"/>
            </w:pPr>
            <w:r>
              <w:t>(c)</w:t>
            </w:r>
            <w:r>
              <w:tab/>
              <w:t>Lot 17 to 24 being portion of Kojonup Location 256;</w:t>
            </w:r>
          </w:p>
        </w:tc>
        <w:tc>
          <w:tcPr>
            <w:tcW w:w="2552" w:type="dxa"/>
            <w:tcBorders>
              <w:top w:val="nil"/>
              <w:bottom w:val="nil"/>
            </w:tcBorders>
          </w:tcPr>
          <w:p>
            <w:pPr>
              <w:pStyle w:val="yTableNAm"/>
            </w:pPr>
          </w:p>
        </w:tc>
      </w:tr>
      <w:tr>
        <w:trPr>
          <w:cantSplit/>
        </w:trPr>
        <w:tc>
          <w:tcPr>
            <w:tcW w:w="1701" w:type="dxa"/>
            <w:tcBorders>
              <w:top w:val="nil"/>
              <w:bottom w:val="nil"/>
            </w:tcBorders>
          </w:tcPr>
          <w:p>
            <w:pPr>
              <w:pStyle w:val="yTableNAm"/>
            </w:pPr>
          </w:p>
        </w:tc>
        <w:tc>
          <w:tcPr>
            <w:tcW w:w="2551" w:type="dxa"/>
            <w:tcBorders>
              <w:top w:val="nil"/>
              <w:bottom w:val="nil"/>
            </w:tcBorders>
          </w:tcPr>
          <w:p>
            <w:pPr>
              <w:pStyle w:val="yTableNAm"/>
              <w:tabs>
                <w:tab w:val="clear" w:pos="567"/>
                <w:tab w:val="left" w:pos="459"/>
              </w:tabs>
              <w:spacing w:before="0"/>
              <w:ind w:left="459" w:hanging="459"/>
            </w:pPr>
            <w:r>
              <w:t>(d)</w:t>
            </w:r>
            <w:r>
              <w:tab/>
              <w:t>Kojonup Location 1671;</w:t>
            </w:r>
          </w:p>
        </w:tc>
        <w:tc>
          <w:tcPr>
            <w:tcW w:w="2552" w:type="dxa"/>
            <w:tcBorders>
              <w:top w:val="nil"/>
              <w:bottom w:val="nil"/>
            </w:tcBorders>
          </w:tcPr>
          <w:p>
            <w:pPr>
              <w:pStyle w:val="yTableNAm"/>
            </w:pPr>
          </w:p>
        </w:tc>
      </w:tr>
      <w:tr>
        <w:trPr>
          <w:cantSplit/>
        </w:trPr>
        <w:tc>
          <w:tcPr>
            <w:tcW w:w="1701" w:type="dxa"/>
            <w:tcBorders>
              <w:top w:val="nil"/>
              <w:bottom w:val="single" w:sz="4" w:space="0" w:color="auto"/>
            </w:tcBorders>
          </w:tcPr>
          <w:p>
            <w:pPr>
              <w:pStyle w:val="yTableNAm"/>
            </w:pPr>
          </w:p>
        </w:tc>
        <w:tc>
          <w:tcPr>
            <w:tcW w:w="2551" w:type="dxa"/>
            <w:tcBorders>
              <w:top w:val="nil"/>
              <w:bottom w:val="single" w:sz="4" w:space="0" w:color="auto"/>
            </w:tcBorders>
          </w:tcPr>
          <w:p>
            <w:pPr>
              <w:pStyle w:val="yTableNAm"/>
              <w:tabs>
                <w:tab w:val="clear" w:pos="567"/>
                <w:tab w:val="left" w:pos="459"/>
              </w:tabs>
              <w:spacing w:before="0"/>
              <w:ind w:left="459" w:hanging="459"/>
            </w:pPr>
            <w:r>
              <w:t>(e)</w:t>
            </w:r>
            <w:r>
              <w:tab/>
              <w:t>Reserves 8163, 10285, 10431 and 17230</w:t>
            </w:r>
          </w:p>
        </w:tc>
        <w:tc>
          <w:tcPr>
            <w:tcW w:w="2552" w:type="dxa"/>
            <w:tcBorders>
              <w:top w:val="nil"/>
              <w:bottom w:val="single" w:sz="4" w:space="0" w:color="auto"/>
            </w:tcBorders>
          </w:tcPr>
          <w:p>
            <w:pPr>
              <w:pStyle w:val="yTableNAm"/>
            </w:pPr>
          </w:p>
        </w:tc>
      </w:tr>
      <w:tr>
        <w:trPr>
          <w:cantSplit/>
        </w:trPr>
        <w:tc>
          <w:tcPr>
            <w:tcW w:w="1701" w:type="dxa"/>
            <w:tcBorders>
              <w:top w:val="single" w:sz="4" w:space="0" w:color="auto"/>
            </w:tcBorders>
          </w:tcPr>
          <w:p>
            <w:pPr>
              <w:pStyle w:val="yTableNAm"/>
            </w:pPr>
            <w:r>
              <w:t>Bruce Rock</w:t>
            </w:r>
          </w:p>
        </w:tc>
        <w:tc>
          <w:tcPr>
            <w:tcW w:w="2551" w:type="dxa"/>
            <w:tcBorders>
              <w:top w:val="single" w:sz="4" w:space="0" w:color="auto"/>
            </w:tcBorders>
          </w:tcPr>
          <w:p>
            <w:pPr>
              <w:pStyle w:val="yTableNAm"/>
            </w:pPr>
            <w:r>
              <w:t>Whole district other than townsites</w:t>
            </w:r>
          </w:p>
        </w:tc>
        <w:tc>
          <w:tcPr>
            <w:tcW w:w="2552" w:type="dxa"/>
            <w:tcBorders>
              <w:top w:val="single" w:sz="4" w:space="0" w:color="auto"/>
            </w:tcBorders>
          </w:tcPr>
          <w:p>
            <w:pPr>
              <w:pStyle w:val="yTableNAm"/>
            </w:pPr>
          </w:p>
        </w:tc>
      </w:tr>
      <w:tr>
        <w:trPr>
          <w:cantSplit/>
        </w:trPr>
        <w:tc>
          <w:tcPr>
            <w:tcW w:w="1701" w:type="dxa"/>
          </w:tcPr>
          <w:p>
            <w:pPr>
              <w:pStyle w:val="yTableNAm"/>
            </w:pPr>
            <w:r>
              <w:t>Carnarvon</w:t>
            </w:r>
          </w:p>
        </w:tc>
        <w:tc>
          <w:tcPr>
            <w:tcW w:w="2551" w:type="dxa"/>
          </w:tcPr>
          <w:p>
            <w:pPr>
              <w:pStyle w:val="yTableNAm"/>
            </w:pPr>
            <w:r>
              <w:t>Gascoyne</w:t>
            </w:r>
            <w:r>
              <w:noBreakHyphen/>
              <w:t>Minilya Ward</w:t>
            </w:r>
          </w:p>
        </w:tc>
        <w:tc>
          <w:tcPr>
            <w:tcW w:w="2552" w:type="dxa"/>
          </w:tcPr>
          <w:p>
            <w:pPr>
              <w:pStyle w:val="yTableNAm"/>
            </w:pPr>
          </w:p>
        </w:tc>
      </w:tr>
      <w:tr>
        <w:trPr>
          <w:cantSplit/>
        </w:trPr>
        <w:tc>
          <w:tcPr>
            <w:tcW w:w="1701" w:type="dxa"/>
          </w:tcPr>
          <w:p>
            <w:pPr>
              <w:pStyle w:val="yTableNAm"/>
            </w:pPr>
            <w:r>
              <w:t>Corrigin</w:t>
            </w:r>
          </w:p>
        </w:tc>
        <w:tc>
          <w:tcPr>
            <w:tcW w:w="2551" w:type="dxa"/>
          </w:tcPr>
          <w:p>
            <w:pPr>
              <w:pStyle w:val="yTableNAm"/>
            </w:pPr>
            <w:r>
              <w:t>Whole district other than townsite of Corrigin</w:t>
            </w:r>
          </w:p>
        </w:tc>
        <w:tc>
          <w:tcPr>
            <w:tcW w:w="2552" w:type="dxa"/>
          </w:tcPr>
          <w:p>
            <w:pPr>
              <w:pStyle w:val="yTableNAm"/>
            </w:pPr>
          </w:p>
        </w:tc>
      </w:tr>
      <w:tr>
        <w:trPr>
          <w:cantSplit/>
        </w:trPr>
        <w:tc>
          <w:tcPr>
            <w:tcW w:w="1701" w:type="dxa"/>
          </w:tcPr>
          <w:p>
            <w:pPr>
              <w:pStyle w:val="yTableNAm"/>
            </w:pPr>
            <w:smartTag w:uri="urn:schemas-microsoft-com:office:smarttags" w:element="place">
              <w:smartTag w:uri="urn:schemas-microsoft-com:office:smarttags" w:element="City">
                <w:r>
                  <w:t>Cranbrook</w:t>
                </w:r>
              </w:smartTag>
            </w:smartTag>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Cue</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Cunderdin</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Dalwallinu</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Dandaragan</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Derby</w:t>
            </w:r>
            <w:r>
              <w:noBreakHyphen/>
              <w:t xml:space="preserve">West </w:t>
            </w:r>
            <w:smartTag w:uri="urn:schemas-microsoft-com:office:smarttags" w:element="place">
              <w:smartTag w:uri="urn:schemas-microsoft-com:office:smarttags" w:element="City">
                <w:r>
                  <w:t>Kimberley</w:t>
                </w:r>
              </w:smartTag>
            </w:smartTag>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Dowerin</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Dumbleyung</w:t>
            </w:r>
          </w:p>
        </w:tc>
        <w:tc>
          <w:tcPr>
            <w:tcW w:w="2551" w:type="dxa"/>
          </w:tcPr>
          <w:p>
            <w:pPr>
              <w:pStyle w:val="yTableNAm"/>
            </w:pPr>
            <w:r>
              <w:t>Whole district other than townsites of Dumbleyung, Kukerin</w:t>
            </w:r>
          </w:p>
        </w:tc>
        <w:tc>
          <w:tcPr>
            <w:tcW w:w="2552" w:type="dxa"/>
          </w:tcPr>
          <w:p>
            <w:pPr>
              <w:pStyle w:val="yTableNAm"/>
            </w:pPr>
          </w:p>
        </w:tc>
      </w:tr>
      <w:tr>
        <w:trPr>
          <w:cantSplit/>
        </w:trPr>
        <w:tc>
          <w:tcPr>
            <w:tcW w:w="1701" w:type="dxa"/>
          </w:tcPr>
          <w:p>
            <w:pPr>
              <w:pStyle w:val="yTableNAm"/>
            </w:pPr>
            <w:r>
              <w:t>Esperance</w:t>
            </w:r>
          </w:p>
        </w:tc>
        <w:tc>
          <w:tcPr>
            <w:tcW w:w="2551" w:type="dxa"/>
          </w:tcPr>
          <w:p>
            <w:pPr>
              <w:pStyle w:val="yTableNAm"/>
            </w:pPr>
            <w:r>
              <w:t xml:space="preserve">Whole district other than — </w:t>
            </w:r>
          </w:p>
          <w:p>
            <w:pPr>
              <w:pStyle w:val="yTableNAm"/>
              <w:tabs>
                <w:tab w:val="clear" w:pos="567"/>
                <w:tab w:val="left" w:pos="499"/>
              </w:tabs>
              <w:ind w:left="513" w:hanging="479"/>
            </w:pPr>
            <w:r>
              <w:t>(a)</w:t>
            </w:r>
            <w:r>
              <w:tab/>
              <w:t>townsites;</w:t>
            </w:r>
          </w:p>
          <w:p>
            <w:pPr>
              <w:pStyle w:val="yTableNAm"/>
              <w:tabs>
                <w:tab w:val="clear" w:pos="567"/>
                <w:tab w:val="left" w:pos="499"/>
              </w:tabs>
              <w:ind w:left="513" w:hanging="479"/>
            </w:pPr>
            <w:r>
              <w:t>(b)</w:t>
            </w:r>
            <w:r>
              <w:tab/>
              <w:t>lots measuring 10 ha or less</w:t>
            </w:r>
          </w:p>
        </w:tc>
        <w:tc>
          <w:tcPr>
            <w:tcW w:w="2552" w:type="dxa"/>
          </w:tcPr>
          <w:p>
            <w:pPr>
              <w:pStyle w:val="yTableNAm"/>
            </w:pPr>
          </w:p>
        </w:tc>
      </w:tr>
      <w:tr>
        <w:trPr>
          <w:cantSplit/>
        </w:trPr>
        <w:tc>
          <w:tcPr>
            <w:tcW w:w="1701" w:type="dxa"/>
          </w:tcPr>
          <w:p>
            <w:pPr>
              <w:pStyle w:val="yTableNAm"/>
            </w:pPr>
            <w:r>
              <w:t>Gnowangerup</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Greater Geraldton</w:t>
            </w:r>
          </w:p>
        </w:tc>
        <w:tc>
          <w:tcPr>
            <w:tcW w:w="2551" w:type="dxa"/>
          </w:tcPr>
          <w:p>
            <w:pPr>
              <w:pStyle w:val="yTableNAm"/>
            </w:pPr>
            <w:r>
              <w:t>Mullewa Ward other than townsites</w:t>
            </w:r>
          </w:p>
        </w:tc>
        <w:tc>
          <w:tcPr>
            <w:tcW w:w="2552" w:type="dxa"/>
          </w:tcPr>
          <w:p>
            <w:pPr>
              <w:pStyle w:val="yTableNAm"/>
            </w:pPr>
          </w:p>
        </w:tc>
      </w:tr>
      <w:tr>
        <w:trPr>
          <w:cantSplit/>
        </w:trPr>
        <w:tc>
          <w:tcPr>
            <w:tcW w:w="1701" w:type="dxa"/>
          </w:tcPr>
          <w:p>
            <w:pPr>
              <w:pStyle w:val="yTableNAm"/>
            </w:pPr>
            <w:r>
              <w:t>Jerramungup</w:t>
            </w:r>
          </w:p>
        </w:tc>
        <w:tc>
          <w:tcPr>
            <w:tcW w:w="2551" w:type="dxa"/>
          </w:tcPr>
          <w:p>
            <w:pPr>
              <w:pStyle w:val="yTableNAm"/>
            </w:pPr>
            <w:r>
              <w:t>Areas zoned rural by a local planning scheme</w:t>
            </w:r>
          </w:p>
        </w:tc>
        <w:tc>
          <w:tcPr>
            <w:tcW w:w="2552" w:type="dxa"/>
          </w:tcPr>
          <w:p>
            <w:pPr>
              <w:pStyle w:val="yTableNAm"/>
            </w:pPr>
          </w:p>
        </w:tc>
      </w:tr>
      <w:tr>
        <w:trPr>
          <w:cantSplit/>
        </w:trPr>
        <w:tc>
          <w:tcPr>
            <w:tcW w:w="1701" w:type="dxa"/>
          </w:tcPr>
          <w:p>
            <w:pPr>
              <w:pStyle w:val="yTableNAm"/>
            </w:pPr>
            <w:r>
              <w:t>Kellerberrin</w:t>
            </w:r>
          </w:p>
        </w:tc>
        <w:tc>
          <w:tcPr>
            <w:tcW w:w="2551" w:type="dxa"/>
          </w:tcPr>
          <w:p>
            <w:pPr>
              <w:pStyle w:val="yTableNAm"/>
            </w:pPr>
            <w:r>
              <w:t>Whole district other than townsites of Kellerberrin, Doodlakine and Baandee</w:t>
            </w:r>
          </w:p>
        </w:tc>
        <w:tc>
          <w:tcPr>
            <w:tcW w:w="2552" w:type="dxa"/>
          </w:tcPr>
          <w:p>
            <w:pPr>
              <w:pStyle w:val="yTableNAm"/>
            </w:pPr>
          </w:p>
        </w:tc>
      </w:tr>
      <w:tr>
        <w:trPr>
          <w:cantSplit/>
        </w:trPr>
        <w:tc>
          <w:tcPr>
            <w:tcW w:w="1701" w:type="dxa"/>
          </w:tcPr>
          <w:p>
            <w:pPr>
              <w:pStyle w:val="yTableNAm"/>
            </w:pPr>
            <w:smartTag w:uri="urn:schemas-microsoft-com:office:smarttags" w:element="place">
              <w:smartTag w:uri="urn:schemas-microsoft-com:office:smarttags" w:element="country-region">
                <w:r>
                  <w:t>Kent</w:t>
                </w:r>
              </w:smartTag>
            </w:smartTag>
          </w:p>
        </w:tc>
        <w:tc>
          <w:tcPr>
            <w:tcW w:w="2551" w:type="dxa"/>
          </w:tcPr>
          <w:p>
            <w:pPr>
              <w:pStyle w:val="yTableNAm"/>
            </w:pPr>
            <w:r>
              <w:t>Whole district other than townsites of Nyabing, Pingrup</w:t>
            </w:r>
          </w:p>
        </w:tc>
        <w:tc>
          <w:tcPr>
            <w:tcW w:w="2552" w:type="dxa"/>
          </w:tcPr>
          <w:p>
            <w:pPr>
              <w:pStyle w:val="yTableNAm"/>
            </w:pPr>
            <w:r>
              <w:t>Whole district other than townsites of Nyabing, Pingrup</w:t>
            </w:r>
          </w:p>
        </w:tc>
      </w:tr>
      <w:tr>
        <w:trPr>
          <w:cantSplit/>
        </w:trPr>
        <w:tc>
          <w:tcPr>
            <w:tcW w:w="1701" w:type="dxa"/>
          </w:tcPr>
          <w:p>
            <w:pPr>
              <w:pStyle w:val="yTableNAm"/>
            </w:pPr>
            <w:r>
              <w:t>Kojonup</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Koorda</w:t>
            </w:r>
          </w:p>
        </w:tc>
        <w:tc>
          <w:tcPr>
            <w:tcW w:w="2551" w:type="dxa"/>
          </w:tcPr>
          <w:p>
            <w:pPr>
              <w:pStyle w:val="yTableNAm"/>
            </w:pPr>
            <w:r>
              <w:t xml:space="preserve">Whole district other than — </w:t>
            </w:r>
          </w:p>
          <w:p>
            <w:pPr>
              <w:pStyle w:val="yTableNAm"/>
              <w:tabs>
                <w:tab w:val="clear" w:pos="567"/>
                <w:tab w:val="left" w:pos="499"/>
              </w:tabs>
              <w:ind w:left="513" w:hanging="479"/>
            </w:pPr>
            <w:r>
              <w:t>(a)</w:t>
            </w:r>
            <w:r>
              <w:tab/>
              <w:t>townsites;</w:t>
            </w:r>
          </w:p>
          <w:p>
            <w:pPr>
              <w:pStyle w:val="yTableNAm"/>
              <w:tabs>
                <w:tab w:val="clear" w:pos="567"/>
                <w:tab w:val="left" w:pos="499"/>
              </w:tabs>
              <w:ind w:left="513" w:hanging="479"/>
            </w:pPr>
            <w:r>
              <w:t>(b)</w:t>
            </w:r>
            <w:r>
              <w:tab/>
            </w:r>
            <w:smartTag w:uri="urn:schemas-microsoft-com:office:smarttags" w:element="place">
              <w:r>
                <w:t>Avon</w:t>
              </w:r>
            </w:smartTag>
            <w:r>
              <w:t xml:space="preserve"> location 16386</w:t>
            </w:r>
          </w:p>
        </w:tc>
        <w:tc>
          <w:tcPr>
            <w:tcW w:w="2552" w:type="dxa"/>
          </w:tcPr>
          <w:p>
            <w:pPr>
              <w:pStyle w:val="yTableNAm"/>
            </w:pPr>
          </w:p>
        </w:tc>
      </w:tr>
      <w:tr>
        <w:trPr>
          <w:cantSplit/>
        </w:trPr>
        <w:tc>
          <w:tcPr>
            <w:tcW w:w="1701" w:type="dxa"/>
          </w:tcPr>
          <w:p>
            <w:pPr>
              <w:pStyle w:val="yTableNAm"/>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Laverton</w:t>
            </w:r>
          </w:p>
        </w:tc>
        <w:tc>
          <w:tcPr>
            <w:tcW w:w="2551" w:type="dxa"/>
          </w:tcPr>
          <w:p>
            <w:pPr>
              <w:pStyle w:val="yTableNAm"/>
            </w:pPr>
            <w:r>
              <w:t>Whole district other than townsites</w:t>
            </w:r>
          </w:p>
        </w:tc>
        <w:tc>
          <w:tcPr>
            <w:tcW w:w="2552" w:type="dxa"/>
          </w:tcPr>
          <w:p>
            <w:pPr>
              <w:pStyle w:val="yTableNAm"/>
            </w:pPr>
            <w:r>
              <w:t>Whole district other than townsites</w:t>
            </w:r>
          </w:p>
        </w:tc>
      </w:tr>
      <w:tr>
        <w:trPr>
          <w:cantSplit/>
        </w:trPr>
        <w:tc>
          <w:tcPr>
            <w:tcW w:w="1701" w:type="dxa"/>
          </w:tcPr>
          <w:p>
            <w:pPr>
              <w:pStyle w:val="yTableNAm"/>
            </w:pPr>
            <w:r>
              <w:t>Leonora</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Meekatharra</w:t>
            </w:r>
          </w:p>
        </w:tc>
        <w:tc>
          <w:tcPr>
            <w:tcW w:w="2551" w:type="dxa"/>
          </w:tcPr>
          <w:p>
            <w:pPr>
              <w:pStyle w:val="yTableNAm"/>
            </w:pPr>
            <w:r>
              <w:t>Whole district other than townsites</w:t>
            </w:r>
          </w:p>
        </w:tc>
        <w:tc>
          <w:tcPr>
            <w:tcW w:w="2552" w:type="dxa"/>
          </w:tcPr>
          <w:p>
            <w:pPr>
              <w:pStyle w:val="yTableNAm"/>
            </w:pPr>
            <w:r>
              <w:t>Whole district other than townsites</w:t>
            </w:r>
          </w:p>
        </w:tc>
      </w:tr>
      <w:tr>
        <w:trPr>
          <w:cantSplit/>
        </w:trPr>
        <w:tc>
          <w:tcPr>
            <w:tcW w:w="1701" w:type="dxa"/>
          </w:tcPr>
          <w:p>
            <w:pPr>
              <w:pStyle w:val="yTableNAm"/>
            </w:pPr>
            <w:r>
              <w:t>Menzies</w:t>
            </w:r>
          </w:p>
        </w:tc>
        <w:tc>
          <w:tcPr>
            <w:tcW w:w="2551" w:type="dxa"/>
          </w:tcPr>
          <w:p>
            <w:pPr>
              <w:pStyle w:val="yTableNAm"/>
            </w:pPr>
            <w:r>
              <w:t>Whole district other than townsites</w:t>
            </w:r>
          </w:p>
        </w:tc>
        <w:tc>
          <w:tcPr>
            <w:tcW w:w="2552" w:type="dxa"/>
          </w:tcPr>
          <w:p>
            <w:pPr>
              <w:pStyle w:val="yTableNAm"/>
            </w:pPr>
            <w:r>
              <w:t>Whole district other than townsites</w:t>
            </w:r>
          </w:p>
        </w:tc>
      </w:tr>
      <w:tr>
        <w:trPr>
          <w:cantSplit/>
        </w:trPr>
        <w:tc>
          <w:tcPr>
            <w:tcW w:w="1701" w:type="dxa"/>
          </w:tcPr>
          <w:p>
            <w:pPr>
              <w:pStyle w:val="yTableNAm"/>
            </w:pPr>
            <w:r>
              <w:t>Merredin</w:t>
            </w:r>
          </w:p>
        </w:tc>
        <w:tc>
          <w:tcPr>
            <w:tcW w:w="2551" w:type="dxa"/>
          </w:tcPr>
          <w:p>
            <w:pPr>
              <w:pStyle w:val="yTableNAm"/>
            </w:pPr>
            <w:r>
              <w:t>Whole district other than townsites of Burracoppin, Hines Hill, Korbel, Merredin, Muntadgin, Nangeenan, Nokaning, Nukarni</w:t>
            </w:r>
          </w:p>
        </w:tc>
        <w:tc>
          <w:tcPr>
            <w:tcW w:w="2552" w:type="dxa"/>
          </w:tcPr>
          <w:p>
            <w:pPr>
              <w:pStyle w:val="yTableNAm"/>
            </w:pPr>
          </w:p>
        </w:tc>
      </w:tr>
      <w:tr>
        <w:trPr>
          <w:cantSplit/>
        </w:trPr>
        <w:tc>
          <w:tcPr>
            <w:tcW w:w="1701" w:type="dxa"/>
          </w:tcPr>
          <w:p>
            <w:pPr>
              <w:pStyle w:val="yTableNAm"/>
            </w:pPr>
            <w:r>
              <w:t>Mingenew</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Moora</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Morawa</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Mt Marshall</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Mt Magnet</w:t>
            </w:r>
          </w:p>
        </w:tc>
        <w:tc>
          <w:tcPr>
            <w:tcW w:w="2551" w:type="dxa"/>
          </w:tcPr>
          <w:p>
            <w:pPr>
              <w:pStyle w:val="yTableNAm"/>
            </w:pPr>
            <w:r>
              <w:t>Whole district other than townsites</w:t>
            </w:r>
          </w:p>
        </w:tc>
        <w:tc>
          <w:tcPr>
            <w:tcW w:w="2552" w:type="dxa"/>
          </w:tcPr>
          <w:p>
            <w:pPr>
              <w:pStyle w:val="yTableNAm"/>
            </w:pPr>
            <w:r>
              <w:t>Whole district other than townsites</w:t>
            </w:r>
          </w:p>
        </w:tc>
      </w:tr>
      <w:tr>
        <w:trPr>
          <w:cantSplit/>
        </w:trPr>
        <w:tc>
          <w:tcPr>
            <w:tcW w:w="1701" w:type="dxa"/>
          </w:tcPr>
          <w:p>
            <w:pPr>
              <w:pStyle w:val="yTableNAm"/>
            </w:pPr>
            <w:r>
              <w:t>Mukinbudin</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Murchison</w:t>
            </w:r>
          </w:p>
        </w:tc>
        <w:tc>
          <w:tcPr>
            <w:tcW w:w="2551" w:type="dxa"/>
          </w:tcPr>
          <w:p>
            <w:pPr>
              <w:pStyle w:val="yTableNAm"/>
            </w:pPr>
            <w:r>
              <w:t>Whole district</w:t>
            </w:r>
          </w:p>
        </w:tc>
        <w:tc>
          <w:tcPr>
            <w:tcW w:w="2552" w:type="dxa"/>
          </w:tcPr>
          <w:p>
            <w:pPr>
              <w:pStyle w:val="yTableNAm"/>
            </w:pPr>
            <w:r>
              <w:t>Whole district</w:t>
            </w:r>
          </w:p>
        </w:tc>
      </w:tr>
      <w:tr>
        <w:trPr>
          <w:cantSplit/>
        </w:trPr>
        <w:tc>
          <w:tcPr>
            <w:tcW w:w="1701" w:type="dxa"/>
          </w:tcPr>
          <w:p>
            <w:pPr>
              <w:pStyle w:val="yTableNAm"/>
            </w:pPr>
            <w:smartTag w:uri="urn:schemas-microsoft-com:office:smarttags" w:element="place">
              <w:smartTag w:uri="urn:schemas-microsoft-com:office:smarttags" w:element="City">
                <w:r>
                  <w:t>Murray</w:t>
                </w:r>
              </w:smartTag>
            </w:smartTag>
          </w:p>
        </w:tc>
        <w:tc>
          <w:tcPr>
            <w:tcW w:w="2551" w:type="dxa"/>
          </w:tcPr>
          <w:p>
            <w:pPr>
              <w:pStyle w:val="yTableNAm"/>
            </w:pPr>
            <w:r>
              <w:t>Areas zoned rural by local laws or a local planning scheme</w:t>
            </w:r>
          </w:p>
        </w:tc>
        <w:tc>
          <w:tcPr>
            <w:tcW w:w="2552" w:type="dxa"/>
          </w:tcPr>
          <w:p>
            <w:pPr>
              <w:pStyle w:val="yTableNAm"/>
            </w:pPr>
          </w:p>
        </w:tc>
      </w:tr>
      <w:tr>
        <w:trPr>
          <w:cantSplit/>
        </w:trPr>
        <w:tc>
          <w:tcPr>
            <w:tcW w:w="1701" w:type="dxa"/>
          </w:tcPr>
          <w:p>
            <w:pPr>
              <w:pStyle w:val="yTableNAm"/>
            </w:pPr>
            <w:r>
              <w:t>Narembeen</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Narrogin (Shire)</w:t>
            </w:r>
          </w:p>
        </w:tc>
        <w:tc>
          <w:tcPr>
            <w:tcW w:w="2551" w:type="dxa"/>
          </w:tcPr>
          <w:p>
            <w:pPr>
              <w:pStyle w:val="yTableNAm"/>
            </w:pPr>
            <w:r>
              <w:t>Areas zoned for farming purposes by a local planning scheme</w:t>
            </w:r>
          </w:p>
        </w:tc>
        <w:tc>
          <w:tcPr>
            <w:tcW w:w="2552" w:type="dxa"/>
          </w:tcPr>
          <w:p>
            <w:pPr>
              <w:pStyle w:val="yTableNAm"/>
            </w:pPr>
          </w:p>
        </w:tc>
      </w:tr>
      <w:tr>
        <w:trPr>
          <w:cantSplit/>
        </w:trPr>
        <w:tc>
          <w:tcPr>
            <w:tcW w:w="1701" w:type="dxa"/>
          </w:tcPr>
          <w:p>
            <w:pPr>
              <w:pStyle w:val="yTableNAm"/>
            </w:pPr>
            <w:r>
              <w:t>Nungarin</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Perenjori</w:t>
            </w:r>
          </w:p>
        </w:tc>
        <w:tc>
          <w:tcPr>
            <w:tcW w:w="2551" w:type="dxa"/>
          </w:tcPr>
          <w:p>
            <w:pPr>
              <w:pStyle w:val="yTableNAm"/>
            </w:pPr>
            <w:r>
              <w:t xml:space="preserve">Whole district other than — </w:t>
            </w:r>
          </w:p>
          <w:p>
            <w:pPr>
              <w:pStyle w:val="yTableNAm"/>
              <w:tabs>
                <w:tab w:val="clear" w:pos="567"/>
                <w:tab w:val="left" w:pos="499"/>
              </w:tabs>
              <w:ind w:left="513" w:hanging="479"/>
            </w:pPr>
            <w:r>
              <w:t>(a)</w:t>
            </w:r>
            <w:r>
              <w:tab/>
              <w:t>townsites;</w:t>
            </w:r>
          </w:p>
          <w:p>
            <w:pPr>
              <w:pStyle w:val="yTableNAm"/>
              <w:tabs>
                <w:tab w:val="clear" w:pos="567"/>
                <w:tab w:val="left" w:pos="499"/>
              </w:tabs>
              <w:ind w:left="513" w:hanging="479"/>
            </w:pPr>
            <w:r>
              <w:t>(b)</w:t>
            </w:r>
            <w:r>
              <w:tab/>
              <w:t>areas subject to local planning schemes</w:t>
            </w:r>
          </w:p>
        </w:tc>
        <w:tc>
          <w:tcPr>
            <w:tcW w:w="2552" w:type="dxa"/>
          </w:tcPr>
          <w:p>
            <w:pPr>
              <w:pStyle w:val="yTableNAm"/>
            </w:pPr>
          </w:p>
        </w:tc>
      </w:tr>
      <w:tr>
        <w:trPr>
          <w:cantSplit/>
        </w:trPr>
        <w:tc>
          <w:tcPr>
            <w:tcW w:w="1701" w:type="dxa"/>
          </w:tcPr>
          <w:p>
            <w:pPr>
              <w:pStyle w:val="yTableNAm"/>
            </w:pPr>
            <w:r>
              <w:t>Port Hedland</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Ravensthorpe</w:t>
            </w:r>
          </w:p>
        </w:tc>
        <w:tc>
          <w:tcPr>
            <w:tcW w:w="2551" w:type="dxa"/>
          </w:tcPr>
          <w:p>
            <w:pPr>
              <w:pStyle w:val="yTableNAm"/>
            </w:pPr>
            <w:r>
              <w:t>Areas zoned general agricultural by a local planning scheme</w:t>
            </w:r>
          </w:p>
        </w:tc>
        <w:tc>
          <w:tcPr>
            <w:tcW w:w="2552" w:type="dxa"/>
          </w:tcPr>
          <w:p>
            <w:pPr>
              <w:pStyle w:val="yTableNAm"/>
            </w:pPr>
          </w:p>
        </w:tc>
      </w:tr>
      <w:tr>
        <w:trPr>
          <w:cantSplit/>
        </w:trPr>
        <w:tc>
          <w:tcPr>
            <w:tcW w:w="1701" w:type="dxa"/>
          </w:tcPr>
          <w:p>
            <w:pPr>
              <w:pStyle w:val="yTableNAm"/>
            </w:pPr>
            <w:r>
              <w:t>Sandstone</w:t>
            </w:r>
          </w:p>
        </w:tc>
        <w:tc>
          <w:tcPr>
            <w:tcW w:w="2551" w:type="dxa"/>
          </w:tcPr>
          <w:p>
            <w:pPr>
              <w:pStyle w:val="yTableNAm"/>
            </w:pPr>
            <w:r>
              <w:t>Whole district other than townsites in Sandstone Ward</w:t>
            </w:r>
          </w:p>
        </w:tc>
        <w:tc>
          <w:tcPr>
            <w:tcW w:w="2552" w:type="dxa"/>
          </w:tcPr>
          <w:p>
            <w:pPr>
              <w:pStyle w:val="yTableNAm"/>
            </w:pPr>
            <w:r>
              <w:t>Whole district other than Sandstone Ward</w:t>
            </w:r>
          </w:p>
        </w:tc>
      </w:tr>
      <w:tr>
        <w:trPr>
          <w:cantSplit/>
        </w:trPr>
        <w:tc>
          <w:tcPr>
            <w:tcW w:w="1701" w:type="dxa"/>
          </w:tcPr>
          <w:p>
            <w:pPr>
              <w:pStyle w:val="yTableNAm"/>
            </w:pPr>
            <w:r>
              <w:t>Tammin</w:t>
            </w:r>
          </w:p>
        </w:tc>
        <w:tc>
          <w:tcPr>
            <w:tcW w:w="2551" w:type="dxa"/>
          </w:tcPr>
          <w:p>
            <w:pPr>
              <w:pStyle w:val="yTableNAm"/>
            </w:pPr>
            <w:r>
              <w:t>Whole district other than townsite of Tammin</w:t>
            </w:r>
          </w:p>
        </w:tc>
        <w:tc>
          <w:tcPr>
            <w:tcW w:w="2552" w:type="dxa"/>
          </w:tcPr>
          <w:p>
            <w:pPr>
              <w:pStyle w:val="yTableNAm"/>
            </w:pPr>
          </w:p>
        </w:tc>
      </w:tr>
      <w:tr>
        <w:trPr>
          <w:cantSplit/>
        </w:trPr>
        <w:tc>
          <w:tcPr>
            <w:tcW w:w="1701" w:type="dxa"/>
          </w:tcPr>
          <w:p>
            <w:pPr>
              <w:pStyle w:val="yTableNAm"/>
            </w:pPr>
            <w:r>
              <w:t>Three Springs</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Trayning</w:t>
            </w:r>
          </w:p>
        </w:tc>
        <w:tc>
          <w:tcPr>
            <w:tcW w:w="2551" w:type="dxa"/>
          </w:tcPr>
          <w:p>
            <w:pPr>
              <w:pStyle w:val="yTableNAm"/>
            </w:pPr>
            <w:r>
              <w:t>Whole district other than townsites of Trayning, Kununoppin, Yelbeni</w:t>
            </w:r>
          </w:p>
        </w:tc>
        <w:tc>
          <w:tcPr>
            <w:tcW w:w="2552" w:type="dxa"/>
          </w:tcPr>
          <w:p>
            <w:pPr>
              <w:pStyle w:val="yTableNAm"/>
            </w:pPr>
            <w:r>
              <w:t>Whole district other than townsites of Trayning, Kununoppin, Yelbeni</w:t>
            </w:r>
          </w:p>
        </w:tc>
      </w:tr>
      <w:tr>
        <w:trPr>
          <w:cantSplit/>
        </w:trPr>
        <w:tc>
          <w:tcPr>
            <w:tcW w:w="1701" w:type="dxa"/>
          </w:tcPr>
          <w:p>
            <w:pPr>
              <w:pStyle w:val="yTableNAm"/>
            </w:pPr>
            <w:r>
              <w:t>Wagin</w:t>
            </w:r>
          </w:p>
        </w:tc>
        <w:tc>
          <w:tcPr>
            <w:tcW w:w="2551" w:type="dxa"/>
          </w:tcPr>
          <w:p>
            <w:pPr>
              <w:pStyle w:val="yTableNAm"/>
            </w:pPr>
            <w:r>
              <w:t xml:space="preserve">Whole district other than — </w:t>
            </w:r>
          </w:p>
          <w:p>
            <w:pPr>
              <w:pStyle w:val="yTableNAm"/>
              <w:tabs>
                <w:tab w:val="clear" w:pos="567"/>
                <w:tab w:val="left" w:pos="499"/>
              </w:tabs>
              <w:ind w:left="513" w:hanging="479"/>
            </w:pPr>
            <w:r>
              <w:t>(a)</w:t>
            </w:r>
            <w:r>
              <w:tab/>
              <w:t>townsites in Town Ward;</w:t>
            </w:r>
          </w:p>
          <w:p>
            <w:pPr>
              <w:pStyle w:val="yTableNAm"/>
              <w:tabs>
                <w:tab w:val="clear" w:pos="567"/>
                <w:tab w:val="left" w:pos="499"/>
              </w:tabs>
              <w:ind w:left="513" w:hanging="479"/>
            </w:pPr>
            <w:r>
              <w:t>(b)</w:t>
            </w:r>
            <w:r>
              <w:tab/>
              <w:t>Williams loc. 440, 507, 545, 618, 945, 1165 or 5330</w:t>
            </w:r>
          </w:p>
        </w:tc>
        <w:tc>
          <w:tcPr>
            <w:tcW w:w="2552" w:type="dxa"/>
          </w:tcPr>
          <w:p>
            <w:pPr>
              <w:pStyle w:val="yTableNAm"/>
            </w:pPr>
          </w:p>
        </w:tc>
      </w:tr>
      <w:tr>
        <w:trPr>
          <w:cantSplit/>
        </w:trPr>
        <w:tc>
          <w:tcPr>
            <w:tcW w:w="1701" w:type="dxa"/>
          </w:tcPr>
          <w:p>
            <w:pPr>
              <w:pStyle w:val="yTableNAm"/>
            </w:pPr>
            <w:r>
              <w:t>Wandering</w:t>
            </w:r>
          </w:p>
        </w:tc>
        <w:tc>
          <w:tcPr>
            <w:tcW w:w="2551" w:type="dxa"/>
          </w:tcPr>
          <w:p>
            <w:pPr>
              <w:pStyle w:val="yTableNAm"/>
            </w:pPr>
            <w:r>
              <w:t xml:space="preserve">Whole district other than — </w:t>
            </w:r>
          </w:p>
          <w:p>
            <w:pPr>
              <w:pStyle w:val="yTableNAm"/>
              <w:tabs>
                <w:tab w:val="clear" w:pos="567"/>
                <w:tab w:val="left" w:pos="499"/>
              </w:tabs>
              <w:ind w:left="513" w:hanging="479"/>
            </w:pPr>
            <w:r>
              <w:t>(a)</w:t>
            </w:r>
            <w:r>
              <w:tab/>
              <w:t>townsite of Wandering;</w:t>
            </w:r>
          </w:p>
          <w:p>
            <w:pPr>
              <w:pStyle w:val="yTableNAm"/>
              <w:tabs>
                <w:tab w:val="clear" w:pos="567"/>
                <w:tab w:val="left" w:pos="499"/>
              </w:tabs>
              <w:ind w:left="513" w:hanging="479"/>
            </w:pPr>
            <w:r>
              <w:t>(b)</w:t>
            </w:r>
            <w:r>
              <w:tab/>
              <w:t>areas zoned rural residential by local laws or a local planning scheme</w:t>
            </w:r>
          </w:p>
        </w:tc>
        <w:tc>
          <w:tcPr>
            <w:tcW w:w="2552" w:type="dxa"/>
          </w:tcPr>
          <w:p>
            <w:pPr>
              <w:pStyle w:val="yTableNAm"/>
            </w:pPr>
          </w:p>
        </w:tc>
      </w:tr>
      <w:tr>
        <w:trPr>
          <w:cantSplit/>
        </w:trPr>
        <w:tc>
          <w:tcPr>
            <w:tcW w:w="1701" w:type="dxa"/>
          </w:tcPr>
          <w:p>
            <w:pPr>
              <w:pStyle w:val="yTableNAm"/>
            </w:pPr>
            <w:r>
              <w:t>West Arthur</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Wickepin</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Williams</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Wiluna</w:t>
            </w:r>
          </w:p>
        </w:tc>
        <w:tc>
          <w:tcPr>
            <w:tcW w:w="2551" w:type="dxa"/>
          </w:tcPr>
          <w:p>
            <w:pPr>
              <w:pStyle w:val="yTableNAm"/>
            </w:pPr>
            <w:r>
              <w:t>Whole district other than townsite of Wiluna</w:t>
            </w:r>
          </w:p>
        </w:tc>
        <w:tc>
          <w:tcPr>
            <w:tcW w:w="2552" w:type="dxa"/>
          </w:tcPr>
          <w:p>
            <w:pPr>
              <w:pStyle w:val="yTableNAm"/>
            </w:pPr>
            <w:r>
              <w:t>Whole district other than townsite of Wiluna</w:t>
            </w:r>
          </w:p>
        </w:tc>
      </w:tr>
      <w:tr>
        <w:trPr>
          <w:cantSplit/>
        </w:trPr>
        <w:tc>
          <w:tcPr>
            <w:tcW w:w="1701" w:type="dxa"/>
          </w:tcPr>
          <w:p>
            <w:pPr>
              <w:pStyle w:val="yTableNAm"/>
            </w:pPr>
            <w:r>
              <w:t>Wongan</w:t>
            </w:r>
            <w:r>
              <w:noBreakHyphen/>
              <w:t>Ballidu</w:t>
            </w:r>
          </w:p>
        </w:tc>
        <w:tc>
          <w:tcPr>
            <w:tcW w:w="2551" w:type="dxa"/>
          </w:tcPr>
          <w:p>
            <w:pPr>
              <w:pStyle w:val="yTableNAm"/>
            </w:pPr>
            <w:r>
              <w:t>Whole district other than townsites of Wongan Hills, Ballidu, Cadoux, Kondut, Burakin</w:t>
            </w:r>
          </w:p>
        </w:tc>
        <w:tc>
          <w:tcPr>
            <w:tcW w:w="2552" w:type="dxa"/>
          </w:tcPr>
          <w:p>
            <w:pPr>
              <w:pStyle w:val="yTableNAm"/>
            </w:pPr>
            <w:r>
              <w:t>Whole district other than townsites of Wongan Hills, Ballidu, Cadoux, Kondut, Burakin</w:t>
            </w:r>
          </w:p>
        </w:tc>
      </w:tr>
      <w:tr>
        <w:trPr>
          <w:cantSplit/>
        </w:trPr>
        <w:tc>
          <w:tcPr>
            <w:tcW w:w="1701" w:type="dxa"/>
          </w:tcPr>
          <w:p>
            <w:pPr>
              <w:pStyle w:val="yTableNAm"/>
            </w:pPr>
            <w:r>
              <w:t>Woodanilling</w:t>
            </w:r>
          </w:p>
        </w:tc>
        <w:tc>
          <w:tcPr>
            <w:tcW w:w="2551" w:type="dxa"/>
          </w:tcPr>
          <w:p>
            <w:pPr>
              <w:pStyle w:val="yTableNAm"/>
            </w:pPr>
            <w:r>
              <w:t>Whole district other than townsite of Woodanilling</w:t>
            </w:r>
          </w:p>
        </w:tc>
        <w:tc>
          <w:tcPr>
            <w:tcW w:w="2552" w:type="dxa"/>
          </w:tcPr>
          <w:p>
            <w:pPr>
              <w:pStyle w:val="yTableNAm"/>
            </w:pPr>
          </w:p>
        </w:tc>
      </w:tr>
      <w:tr>
        <w:trPr>
          <w:cantSplit/>
        </w:trPr>
        <w:tc>
          <w:tcPr>
            <w:tcW w:w="1701" w:type="dxa"/>
          </w:tcPr>
          <w:p>
            <w:pPr>
              <w:pStyle w:val="yTableNAm"/>
            </w:pPr>
            <w:r>
              <w:t>Yalgoo</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Yilgarn</w:t>
            </w:r>
          </w:p>
        </w:tc>
        <w:tc>
          <w:tcPr>
            <w:tcW w:w="2551" w:type="dxa"/>
          </w:tcPr>
          <w:p>
            <w:pPr>
              <w:pStyle w:val="yTableNAm"/>
            </w:pPr>
            <w:r>
              <w:t>Whole district other than townsites</w:t>
            </w:r>
          </w:p>
        </w:tc>
        <w:tc>
          <w:tcPr>
            <w:tcW w:w="2552" w:type="dxa"/>
          </w:tcPr>
          <w:p>
            <w:pPr>
              <w:pStyle w:val="yTableNAm"/>
            </w:pPr>
            <w:r>
              <w:t>Whole district other than townsites</w:t>
            </w:r>
          </w:p>
        </w:tc>
      </w:tr>
    </w:tbl>
    <w:p>
      <w:pPr>
        <w:pStyle w:val="yHeading5"/>
        <w:rPr>
          <w:rStyle w:val="CharSDivText"/>
        </w:rPr>
      </w:pPr>
      <w:bookmarkStart w:id="540" w:name="_Toc320625203"/>
      <w:bookmarkStart w:id="541" w:name="_Toc352667715"/>
      <w:r>
        <w:rPr>
          <w:rStyle w:val="CharSClsNo"/>
        </w:rPr>
        <w:t>2</w:t>
      </w:r>
      <w:r>
        <w:t>.</w:t>
      </w:r>
      <w:r>
        <w:tab/>
      </w:r>
      <w:r>
        <w:rPr>
          <w:rStyle w:val="CharSDivText"/>
        </w:rPr>
        <w:t>Kinds of building work for which a building permit is not required</w:t>
      </w:r>
      <w:bookmarkEnd w:id="540"/>
      <w:bookmarkEnd w:id="541"/>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6095"/>
      </w:tblGrid>
      <w:tr>
        <w:trPr>
          <w:cantSplit/>
          <w:tblHeader/>
        </w:trPr>
        <w:tc>
          <w:tcPr>
            <w:tcW w:w="709" w:type="dxa"/>
          </w:tcPr>
          <w:p>
            <w:pPr>
              <w:pStyle w:val="yTableNAm"/>
              <w:keepNext/>
              <w:jc w:val="center"/>
              <w:rPr>
                <w:b/>
                <w:bCs/>
                <w:szCs w:val="22"/>
              </w:rPr>
            </w:pPr>
            <w:r>
              <w:rPr>
                <w:b/>
                <w:bCs/>
                <w:szCs w:val="22"/>
              </w:rPr>
              <w:t>Item</w:t>
            </w:r>
          </w:p>
        </w:tc>
        <w:tc>
          <w:tcPr>
            <w:tcW w:w="6095" w:type="dxa"/>
          </w:tcPr>
          <w:p>
            <w:pPr>
              <w:pStyle w:val="yTableNAm"/>
              <w:keepNext/>
              <w:rPr>
                <w:b/>
                <w:bCs/>
                <w:szCs w:val="22"/>
              </w:rPr>
            </w:pPr>
            <w:r>
              <w:rPr>
                <w:b/>
                <w:bCs/>
                <w:szCs w:val="22"/>
              </w:rPr>
              <w:t>Description of building work for which building permit is not required</w:t>
            </w:r>
          </w:p>
        </w:tc>
      </w:tr>
      <w:tr>
        <w:trPr>
          <w:cantSplit/>
        </w:trPr>
        <w:tc>
          <w:tcPr>
            <w:tcW w:w="709" w:type="dxa"/>
          </w:tcPr>
          <w:p>
            <w:pPr>
              <w:pStyle w:val="yTableNAm"/>
              <w:rPr>
                <w:szCs w:val="22"/>
              </w:rPr>
            </w:pPr>
            <w:r>
              <w:rPr>
                <w:szCs w:val="22"/>
              </w:rPr>
              <w:t>1.</w:t>
            </w:r>
          </w:p>
        </w:tc>
        <w:tc>
          <w:tcPr>
            <w:tcW w:w="6095" w:type="dxa"/>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rPr>
          <w:cantSplit/>
        </w:trPr>
        <w:tc>
          <w:tcPr>
            <w:tcW w:w="709" w:type="dxa"/>
            <w:tcBorders>
              <w:bottom w:val="nil"/>
            </w:tcBorders>
          </w:tcPr>
          <w:p>
            <w:pPr>
              <w:pStyle w:val="yTableNAm"/>
              <w:rPr>
                <w:szCs w:val="22"/>
              </w:rPr>
            </w:pPr>
            <w:r>
              <w:rPr>
                <w:szCs w:val="22"/>
              </w:rPr>
              <w:t>2.</w:t>
            </w:r>
          </w:p>
        </w:tc>
        <w:tc>
          <w:tcPr>
            <w:tcW w:w="6095" w:type="dxa"/>
            <w:tcBorders>
              <w:bottom w:val="nil"/>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tab/>
              <w:t>(ii)</w:t>
            </w:r>
            <w:r>
              <w:rPr>
                <w:szCs w:val="22"/>
              </w:rPr>
              <w:tab/>
              <w:t>underpinning or replacement of footings; or</w:t>
            </w:r>
          </w:p>
          <w:p>
            <w:pPr>
              <w:pStyle w:val="yTableNAm"/>
              <w:tabs>
                <w:tab w:val="clear" w:pos="567"/>
                <w:tab w:val="left" w:pos="1131"/>
                <w:tab w:val="left" w:pos="1581"/>
              </w:tabs>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ind w:left="742" w:hanging="567"/>
              <w:rPr>
                <w:szCs w:val="22"/>
              </w:rPr>
            </w:pPr>
            <w:r>
              <w:rPr>
                <w:szCs w:val="22"/>
              </w:rPr>
              <w:tab/>
              <w:t>and</w:t>
            </w:r>
          </w:p>
        </w:tc>
      </w:tr>
      <w:tr>
        <w:trPr>
          <w:cantSplit/>
        </w:trPr>
        <w:tc>
          <w:tcPr>
            <w:tcW w:w="709" w:type="dxa"/>
            <w:tcBorders>
              <w:top w:val="nil"/>
              <w:bottom w:val="nil"/>
            </w:tcBorders>
          </w:tcPr>
          <w:p>
            <w:pPr>
              <w:pStyle w:val="yTableNAm"/>
              <w:rPr>
                <w:szCs w:val="22"/>
              </w:rPr>
            </w:pPr>
          </w:p>
        </w:tc>
        <w:tc>
          <w:tcPr>
            <w:tcW w:w="6095"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rPr>
          <w:cantSplit/>
        </w:trPr>
        <w:tc>
          <w:tcPr>
            <w:tcW w:w="709" w:type="dxa"/>
            <w:tcBorders>
              <w:top w:val="nil"/>
              <w:bottom w:val="nil"/>
            </w:tcBorders>
          </w:tcPr>
          <w:p>
            <w:pPr>
              <w:pStyle w:val="yTableNAm"/>
              <w:rPr>
                <w:szCs w:val="22"/>
              </w:rPr>
            </w:pPr>
          </w:p>
        </w:tc>
        <w:tc>
          <w:tcPr>
            <w:tcW w:w="6095"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rPr>
          <w:cantSplit/>
        </w:trPr>
        <w:tc>
          <w:tcPr>
            <w:tcW w:w="709" w:type="dxa"/>
            <w:tcBorders>
              <w:top w:val="nil"/>
              <w:bottom w:val="nil"/>
            </w:tcBorders>
          </w:tcPr>
          <w:p>
            <w:pPr>
              <w:pStyle w:val="yTableNAm"/>
              <w:rPr>
                <w:szCs w:val="22"/>
              </w:rPr>
            </w:pPr>
          </w:p>
        </w:tc>
        <w:tc>
          <w:tcPr>
            <w:tcW w:w="6095"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rPr>
          <w:cantSplit/>
        </w:trPr>
        <w:tc>
          <w:tcPr>
            <w:tcW w:w="709" w:type="dxa"/>
            <w:tcBorders>
              <w:top w:val="nil"/>
              <w:bottom w:val="nil"/>
            </w:tcBorders>
          </w:tcPr>
          <w:p>
            <w:pPr>
              <w:pStyle w:val="yTableNAm"/>
              <w:rPr>
                <w:szCs w:val="22"/>
              </w:rPr>
            </w:pPr>
          </w:p>
        </w:tc>
        <w:tc>
          <w:tcPr>
            <w:tcW w:w="6095"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rPr>
          <w:cantSplit/>
        </w:trPr>
        <w:tc>
          <w:tcPr>
            <w:tcW w:w="709" w:type="dxa"/>
            <w:tcBorders>
              <w:top w:val="nil"/>
              <w:bottom w:val="nil"/>
            </w:tcBorders>
          </w:tcPr>
          <w:p>
            <w:pPr>
              <w:pStyle w:val="yTableNAm"/>
              <w:rPr>
                <w:szCs w:val="22"/>
              </w:rPr>
            </w:pPr>
          </w:p>
        </w:tc>
        <w:tc>
          <w:tcPr>
            <w:tcW w:w="6095"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rPr>
          <w:cantSplit/>
        </w:trPr>
        <w:tc>
          <w:tcPr>
            <w:tcW w:w="709" w:type="dxa"/>
            <w:tcBorders>
              <w:top w:val="nil"/>
            </w:tcBorders>
          </w:tcPr>
          <w:p>
            <w:pPr>
              <w:pStyle w:val="yTableNAm"/>
              <w:rPr>
                <w:szCs w:val="22"/>
              </w:rPr>
            </w:pPr>
          </w:p>
        </w:tc>
        <w:tc>
          <w:tcPr>
            <w:tcW w:w="6095"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709" w:type="dxa"/>
          </w:tcPr>
          <w:p>
            <w:pPr>
              <w:pStyle w:val="yTableNAm"/>
              <w:rPr>
                <w:szCs w:val="22"/>
              </w:rPr>
            </w:pPr>
            <w:r>
              <w:rPr>
                <w:szCs w:val="22"/>
              </w:rPr>
              <w:t>3.</w:t>
            </w:r>
          </w:p>
        </w:tc>
        <w:tc>
          <w:tcPr>
            <w:tcW w:w="6095" w:type="dxa"/>
          </w:tcPr>
          <w:p>
            <w:pPr>
              <w:pStyle w:val="yTableNAm"/>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709" w:type="dxa"/>
            <w:tcBorders>
              <w:bottom w:val="nil"/>
            </w:tcBorders>
          </w:tcPr>
          <w:p>
            <w:pPr>
              <w:pStyle w:val="yTableNAm"/>
              <w:rPr>
                <w:szCs w:val="22"/>
              </w:rPr>
            </w:pPr>
            <w:r>
              <w:rPr>
                <w:szCs w:val="22"/>
              </w:rPr>
              <w:t>4.</w:t>
            </w:r>
          </w:p>
        </w:tc>
        <w:tc>
          <w:tcPr>
            <w:tcW w:w="6095" w:type="dxa"/>
            <w:tcBorders>
              <w:bottom w:val="nil"/>
            </w:tcBorders>
          </w:tcPr>
          <w:p>
            <w:pPr>
              <w:pStyle w:val="yTableNAm"/>
              <w:rPr>
                <w:szCs w:val="22"/>
              </w:rPr>
            </w:pPr>
            <w:r>
              <w:rPr>
                <w:szCs w:val="22"/>
              </w:rPr>
              <w:t xml:space="preserve">Construction, erection, assembly or placement of a fence, screen or similar structure, other than a fence forming part of an enclosure for a private swimming pool, if — </w:t>
            </w:r>
          </w:p>
          <w:p>
            <w:pPr>
              <w:pStyle w:val="yTableNAm"/>
              <w:tabs>
                <w:tab w:val="clear" w:pos="567"/>
              </w:tabs>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tc>
      </w:tr>
      <w:tr>
        <w:trPr>
          <w:cantSplit/>
        </w:trPr>
        <w:tc>
          <w:tcPr>
            <w:tcW w:w="709" w:type="dxa"/>
            <w:tcBorders>
              <w:top w:val="nil"/>
            </w:tcBorders>
          </w:tcPr>
          <w:p>
            <w:pPr>
              <w:pStyle w:val="yTableNAm"/>
              <w:rPr>
                <w:szCs w:val="22"/>
              </w:rPr>
            </w:pPr>
          </w:p>
        </w:tc>
        <w:tc>
          <w:tcPr>
            <w:tcW w:w="6095" w:type="dxa"/>
            <w:tcBorders>
              <w:top w:val="nil"/>
            </w:tcBorders>
          </w:tcPr>
          <w:p>
            <w:pPr>
              <w:pStyle w:val="yTableNAm"/>
              <w:tabs>
                <w:tab w:val="clear" w:pos="567"/>
              </w:tabs>
              <w:ind w:left="742"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ind w:left="1593" w:hanging="1593"/>
              <w:rPr>
                <w:szCs w:val="22"/>
              </w:rPr>
            </w:pPr>
            <w:r>
              <w:rPr>
                <w:szCs w:val="22"/>
              </w:rPr>
              <w:tab/>
              <w:t>(iii)</w:t>
            </w:r>
            <w:r>
              <w:rPr>
                <w:szCs w:val="22"/>
              </w:rPr>
              <w:tab/>
              <w:t>is not located in wind region C or D as defined in AS 1170.2.</w:t>
            </w:r>
          </w:p>
        </w:tc>
      </w:tr>
      <w:tr>
        <w:trPr>
          <w:cantSplit/>
        </w:trPr>
        <w:tc>
          <w:tcPr>
            <w:tcW w:w="709" w:type="dxa"/>
            <w:tcBorders>
              <w:bottom w:val="nil"/>
            </w:tcBorders>
          </w:tcPr>
          <w:p>
            <w:pPr>
              <w:pStyle w:val="yTableNAm"/>
              <w:rPr>
                <w:szCs w:val="22"/>
              </w:rPr>
            </w:pPr>
            <w:r>
              <w:rPr>
                <w:szCs w:val="22"/>
              </w:rPr>
              <w:t>5.</w:t>
            </w:r>
          </w:p>
        </w:tc>
        <w:tc>
          <w:tcPr>
            <w:tcW w:w="6095"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ind w:left="742" w:hanging="567"/>
              <w:rPr>
                <w:szCs w:val="22"/>
              </w:rPr>
            </w:pPr>
            <w:r>
              <w:rPr>
                <w:szCs w:val="22"/>
              </w:rPr>
              <w:t>(a)</w:t>
            </w:r>
            <w:r>
              <w:rPr>
                <w:szCs w:val="22"/>
              </w:rPr>
              <w:tab/>
              <w:t>is not located in wind region C or D as defined in AS 1170.2; and</w:t>
            </w:r>
          </w:p>
        </w:tc>
      </w:tr>
      <w:tr>
        <w:trPr>
          <w:cantSplit/>
        </w:trPr>
        <w:tc>
          <w:tcPr>
            <w:tcW w:w="709" w:type="dxa"/>
            <w:tcBorders>
              <w:top w:val="nil"/>
              <w:bottom w:val="nil"/>
            </w:tcBorders>
          </w:tcPr>
          <w:p>
            <w:pPr>
              <w:pStyle w:val="yTableNAm"/>
              <w:rPr>
                <w:szCs w:val="22"/>
              </w:rPr>
            </w:pPr>
          </w:p>
        </w:tc>
        <w:tc>
          <w:tcPr>
            <w:tcW w:w="6095" w:type="dxa"/>
            <w:tcBorders>
              <w:top w:val="nil"/>
              <w:bottom w:val="nil"/>
            </w:tcBorders>
          </w:tcPr>
          <w:p>
            <w:pPr>
              <w:pStyle w:val="yTableNAm"/>
              <w:tabs>
                <w:tab w:val="clear" w:pos="567"/>
              </w:tabs>
              <w:ind w:left="742" w:hanging="567"/>
              <w:rPr>
                <w:szCs w:val="22"/>
              </w:rPr>
            </w:pPr>
            <w:r>
              <w:rPr>
                <w:szCs w:val="22"/>
              </w:rPr>
              <w:t>(b)</w:t>
            </w:r>
            <w:r>
              <w:rPr>
                <w:szCs w:val="22"/>
              </w:rPr>
              <w:tab/>
              <w:t>if attached to a building —</w:t>
            </w:r>
          </w:p>
          <w:p>
            <w:pPr>
              <w:pStyle w:val="zMiscellaneousBody"/>
              <w:tabs>
                <w:tab w:val="left" w:pos="1026"/>
                <w:tab w:val="left" w:pos="1131"/>
                <w:tab w:val="left" w:pos="1581"/>
              </w:tabs>
              <w:ind w:left="1593" w:hanging="1593"/>
              <w:rPr>
                <w:sz w:val="22"/>
                <w:szCs w:val="22"/>
              </w:rPr>
            </w:pPr>
            <w:r>
              <w:rPr>
                <w:sz w:val="22"/>
                <w:szCs w:val="22"/>
              </w:rPr>
              <w:tab/>
              <w:t>(i)</w:t>
            </w:r>
            <w:r>
              <w:rPr>
                <w:sz w:val="22"/>
                <w:szCs w:val="22"/>
              </w:rPr>
              <w:tab/>
              <w:t>is no more than 2 m in height above the highest point of attachment to the building; and</w:t>
            </w:r>
          </w:p>
          <w:p>
            <w:pPr>
              <w:pStyle w:val="zMiscellaneousBody"/>
              <w:tabs>
                <w:tab w:val="left" w:pos="1026"/>
                <w:tab w:val="left" w:pos="1131"/>
                <w:tab w:val="left" w:pos="1581"/>
              </w:tabs>
              <w:ind w:left="1593" w:hanging="1593"/>
              <w:rPr>
                <w:sz w:val="22"/>
                <w:szCs w:val="22"/>
              </w:rPr>
            </w:pPr>
            <w:r>
              <w:rPr>
                <w:sz w:val="22"/>
                <w:szCs w:val="22"/>
              </w:rPr>
              <w:tab/>
              <w:t>(ii)</w:t>
            </w:r>
            <w:r>
              <w:rPr>
                <w:sz w:val="22"/>
                <w:szCs w:val="22"/>
              </w:rPr>
              <w:tab/>
              <w:t>will not affect the way in which the building complies with each building standard that applies to the building;</w:t>
            </w:r>
          </w:p>
          <w:p>
            <w:pPr>
              <w:pStyle w:val="zMiscellaneousBody"/>
              <w:tabs>
                <w:tab w:val="left" w:pos="1026"/>
                <w:tab w:val="left" w:pos="1131"/>
                <w:tab w:val="left" w:pos="1581"/>
              </w:tabs>
              <w:ind w:left="1593" w:hanging="1593"/>
              <w:rPr>
                <w:szCs w:val="22"/>
              </w:rPr>
            </w:pPr>
            <w:r>
              <w:rPr>
                <w:sz w:val="22"/>
                <w:szCs w:val="22"/>
              </w:rPr>
              <w:tab/>
            </w:r>
            <w:r>
              <w:rPr>
                <w:sz w:val="22"/>
                <w:szCs w:val="22"/>
              </w:rPr>
              <w:tab/>
              <w:t>and</w:t>
            </w:r>
          </w:p>
        </w:tc>
      </w:tr>
      <w:tr>
        <w:trPr>
          <w:cantSplit/>
        </w:trPr>
        <w:tc>
          <w:tcPr>
            <w:tcW w:w="709" w:type="dxa"/>
            <w:tcBorders>
              <w:top w:val="nil"/>
            </w:tcBorders>
          </w:tcPr>
          <w:p>
            <w:pPr>
              <w:pStyle w:val="yTableNAm"/>
              <w:rPr>
                <w:szCs w:val="22"/>
              </w:rPr>
            </w:pPr>
          </w:p>
        </w:tc>
        <w:tc>
          <w:tcPr>
            <w:tcW w:w="6095" w:type="dxa"/>
            <w:tcBorders>
              <w:top w:val="nil"/>
            </w:tcBorders>
          </w:tcPr>
          <w:p>
            <w:pPr>
              <w:pStyle w:val="yTableNAm"/>
              <w:tabs>
                <w:tab w:val="clear" w:pos="567"/>
              </w:tabs>
              <w:ind w:left="742" w:hanging="567"/>
              <w:rPr>
                <w:szCs w:val="22"/>
              </w:rPr>
            </w:pPr>
            <w:r>
              <w:rPr>
                <w:szCs w:val="22"/>
              </w:rPr>
              <w:t>(c)</w:t>
            </w:r>
            <w:r>
              <w:rPr>
                <w:szCs w:val="22"/>
              </w:rPr>
              <w:tab/>
              <w:t>if not attached to a building, is no more than 3 m in height.</w:t>
            </w:r>
          </w:p>
        </w:tc>
      </w:tr>
      <w:tr>
        <w:trPr>
          <w:cantSplit/>
        </w:trPr>
        <w:tc>
          <w:tcPr>
            <w:tcW w:w="709" w:type="dxa"/>
          </w:tcPr>
          <w:p>
            <w:pPr>
              <w:pStyle w:val="yTableNAm"/>
              <w:rPr>
                <w:szCs w:val="22"/>
              </w:rPr>
            </w:pPr>
            <w:r>
              <w:rPr>
                <w:szCs w:val="22"/>
              </w:rPr>
              <w:t>6.</w:t>
            </w:r>
          </w:p>
        </w:tc>
        <w:tc>
          <w:tcPr>
            <w:tcW w:w="6095" w:type="dxa"/>
          </w:tcPr>
          <w:p>
            <w:pPr>
              <w:pStyle w:val="yTableNAm"/>
              <w:rPr>
                <w:szCs w:val="22"/>
              </w:rPr>
            </w:pPr>
            <w:r>
              <w:rPr>
                <w:szCs w:val="22"/>
              </w:rPr>
              <w:t xml:space="preserve">Construction, erection, assembly or placement of a retaining wall that — </w:t>
            </w:r>
          </w:p>
          <w:p>
            <w:pPr>
              <w:pStyle w:val="yTableNAm"/>
              <w:tabs>
                <w:tab w:val="clear" w:pos="567"/>
              </w:tabs>
              <w:ind w:left="742" w:hanging="567"/>
              <w:rPr>
                <w:szCs w:val="22"/>
              </w:rPr>
            </w:pPr>
            <w:r>
              <w:rPr>
                <w:szCs w:val="22"/>
              </w:rPr>
              <w:t>(a)</w:t>
            </w:r>
            <w:r>
              <w:rPr>
                <w:szCs w:val="22"/>
              </w:rPr>
              <w:tab/>
              <w:t>retains ground no more than 0.5 m in height; and</w:t>
            </w:r>
          </w:p>
          <w:p>
            <w:pPr>
              <w:pStyle w:val="yTableNAm"/>
              <w:tabs>
                <w:tab w:val="clear" w:pos="567"/>
              </w:tabs>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ind w:left="742" w:hanging="567"/>
              <w:rPr>
                <w:szCs w:val="22"/>
              </w:rPr>
            </w:pPr>
            <w:r>
              <w:rPr>
                <w:szCs w:val="22"/>
              </w:rPr>
              <w:t>(c)</w:t>
            </w:r>
            <w:r>
              <w:rPr>
                <w:szCs w:val="22"/>
              </w:rPr>
              <w:tab/>
              <w:t>is not work of a kind to which section 76, 77, 78 or 79 relates.</w:t>
            </w:r>
          </w:p>
        </w:tc>
      </w:tr>
      <w:tr>
        <w:trPr>
          <w:cantSplit/>
        </w:trPr>
        <w:tc>
          <w:tcPr>
            <w:tcW w:w="709" w:type="dxa"/>
          </w:tcPr>
          <w:p>
            <w:pPr>
              <w:pStyle w:val="yTableNAm"/>
              <w:rPr>
                <w:szCs w:val="22"/>
              </w:rPr>
            </w:pPr>
            <w:r>
              <w:rPr>
                <w:szCs w:val="22"/>
              </w:rPr>
              <w:t>7.</w:t>
            </w:r>
          </w:p>
        </w:tc>
        <w:tc>
          <w:tcPr>
            <w:tcW w:w="6095"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that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709" w:type="dxa"/>
          </w:tcPr>
          <w:p>
            <w:pPr>
              <w:pStyle w:val="yTableNAm"/>
              <w:rPr>
                <w:szCs w:val="22"/>
              </w:rPr>
            </w:pPr>
            <w:r>
              <w:rPr>
                <w:szCs w:val="22"/>
              </w:rPr>
              <w:t>8.</w:t>
            </w:r>
          </w:p>
        </w:tc>
        <w:tc>
          <w:tcPr>
            <w:tcW w:w="6095"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709" w:type="dxa"/>
          </w:tcPr>
          <w:p>
            <w:pPr>
              <w:pStyle w:val="yTableNAm"/>
              <w:rPr>
                <w:szCs w:val="22"/>
              </w:rPr>
            </w:pPr>
            <w:r>
              <w:rPr>
                <w:szCs w:val="22"/>
              </w:rPr>
              <w:t>9.</w:t>
            </w:r>
          </w:p>
        </w:tc>
        <w:tc>
          <w:tcPr>
            <w:tcW w:w="6095"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709" w:type="dxa"/>
          </w:tcPr>
          <w:p>
            <w:pPr>
              <w:pStyle w:val="yTableNAm"/>
              <w:rPr>
                <w:szCs w:val="22"/>
              </w:rPr>
            </w:pPr>
            <w:r>
              <w:rPr>
                <w:szCs w:val="22"/>
              </w:rPr>
              <w:t>10.</w:t>
            </w:r>
          </w:p>
        </w:tc>
        <w:tc>
          <w:tcPr>
            <w:tcW w:w="6095"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709" w:type="dxa"/>
          </w:tcPr>
          <w:p>
            <w:pPr>
              <w:pStyle w:val="yTableNAm"/>
              <w:rPr>
                <w:szCs w:val="22"/>
              </w:rPr>
            </w:pPr>
            <w:r>
              <w:rPr>
                <w:szCs w:val="22"/>
              </w:rPr>
              <w:t>11.</w:t>
            </w:r>
          </w:p>
        </w:tc>
        <w:tc>
          <w:tcPr>
            <w:tcW w:w="6095"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709" w:type="dxa"/>
          </w:tcPr>
          <w:p>
            <w:pPr>
              <w:pStyle w:val="yTableNAm"/>
              <w:rPr>
                <w:szCs w:val="22"/>
              </w:rPr>
            </w:pPr>
            <w:r>
              <w:rPr>
                <w:szCs w:val="22"/>
              </w:rPr>
              <w:t>12.</w:t>
            </w:r>
          </w:p>
        </w:tc>
        <w:tc>
          <w:tcPr>
            <w:tcW w:w="6095"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2014; and</w:t>
            </w:r>
          </w:p>
          <w:p>
            <w:pPr>
              <w:pStyle w:val="yTableNAm"/>
              <w:tabs>
                <w:tab w:val="clear" w:pos="567"/>
              </w:tabs>
              <w:ind w:left="742" w:hanging="567"/>
              <w:rPr>
                <w:szCs w:val="22"/>
              </w:rPr>
            </w:pPr>
            <w:r>
              <w:t>(b)</w:t>
            </w:r>
            <w:r>
              <w:tab/>
              <w:t>has, when it commences, an estimated value of less than $50 000.</w:t>
            </w:r>
          </w:p>
        </w:tc>
      </w:tr>
    </w:tbl>
    <w:p>
      <w:pPr>
        <w:pStyle w:val="yFootnotesection"/>
      </w:pPr>
      <w:r>
        <w:tab/>
        <w:t>[Clause 2 amended in Gazette 15 Jun 2012 p. 2515; 18 Dec 2012 p. 6576.]</w:t>
      </w:r>
    </w:p>
    <w:p>
      <w:pPr>
        <w:sectPr>
          <w:headerReference w:type="even" r:id="rId30"/>
          <w:headerReference w:type="default" r:id="rId31"/>
          <w:pgSz w:w="11907" w:h="16840" w:code="9"/>
          <w:pgMar w:top="2381" w:right="2410" w:bottom="3544" w:left="2410" w:header="720" w:footer="3380" w:gutter="0"/>
          <w:cols w:space="720"/>
          <w:docGrid w:linePitch="78"/>
        </w:sectPr>
      </w:pPr>
    </w:p>
    <w:p>
      <w:pPr>
        <w:pStyle w:val="yScheduleHeading"/>
      </w:pPr>
      <w:bookmarkStart w:id="542" w:name="_Toc320625204"/>
      <w:bookmarkStart w:id="543" w:name="_Toc320625568"/>
      <w:bookmarkStart w:id="544" w:name="_Toc320625843"/>
      <w:bookmarkStart w:id="545" w:name="_Toc320697883"/>
      <w:bookmarkStart w:id="546" w:name="_Toc327448524"/>
      <w:bookmarkStart w:id="547" w:name="_Toc327450616"/>
      <w:bookmarkStart w:id="548" w:name="_Toc341960284"/>
      <w:bookmarkStart w:id="549" w:name="_Toc341960381"/>
      <w:bookmarkStart w:id="550" w:name="_Toc341960694"/>
      <w:bookmarkStart w:id="551" w:name="_Toc343509067"/>
      <w:bookmarkStart w:id="552" w:name="_Toc343510015"/>
      <w:bookmarkStart w:id="553" w:name="_Toc352666421"/>
      <w:bookmarkStart w:id="554" w:name="_Toc352667594"/>
      <w:bookmarkStart w:id="555" w:name="_Toc352667716"/>
      <w:r>
        <w:rPr>
          <w:rStyle w:val="CharSchNo"/>
        </w:rPr>
        <w:t>Schedule 5</w:t>
      </w:r>
      <w:r>
        <w:rPr>
          <w:rStyle w:val="CharSDivNo"/>
        </w:rPr>
        <w:t> </w:t>
      </w:r>
      <w:r>
        <w:t>—</w:t>
      </w:r>
      <w:r>
        <w:rPr>
          <w:rStyle w:val="CharSDivText"/>
        </w:rPr>
        <w:t> </w:t>
      </w:r>
      <w:r>
        <w:rPr>
          <w:rStyle w:val="CharSchText"/>
        </w:rPr>
        <w:t>Areas of State where Part 8 Division 2 applies</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p>
      <w:pPr>
        <w:pStyle w:val="yShoulderClause"/>
      </w:pPr>
      <w:r>
        <w:t>[r. 49]</w:t>
      </w:r>
    </w:p>
    <w:p>
      <w:pPr>
        <w:pStyle w:val="yTHeadingNAm"/>
      </w:pPr>
      <w:r>
        <w:t>Table</w:t>
      </w:r>
    </w:p>
    <w:tbl>
      <w:tblPr>
        <w:tblW w:w="6662" w:type="dxa"/>
        <w:tblInd w:w="340" w:type="dxa"/>
        <w:tblLayout w:type="fixed"/>
        <w:tblCellMar>
          <w:left w:w="56" w:type="dxa"/>
          <w:right w:w="56" w:type="dxa"/>
        </w:tblCellMar>
        <w:tblLook w:val="0000" w:firstRow="0" w:lastRow="0" w:firstColumn="0" w:lastColumn="0" w:noHBand="0" w:noVBand="0"/>
      </w:tblPr>
      <w:tblGrid>
        <w:gridCol w:w="3118"/>
        <w:gridCol w:w="3544"/>
      </w:tblGrid>
      <w:tr>
        <w:trPr>
          <w:cantSplit/>
          <w:tblHeader/>
        </w:trPr>
        <w:tc>
          <w:tcPr>
            <w:tcW w:w="3118" w:type="dxa"/>
            <w:tcBorders>
              <w:top w:val="single" w:sz="4" w:space="0" w:color="auto"/>
              <w:bottom w:val="single" w:sz="4" w:space="0" w:color="auto"/>
            </w:tcBorders>
          </w:tcPr>
          <w:p>
            <w:pPr>
              <w:pStyle w:val="yTableNAm"/>
              <w:jc w:val="center"/>
              <w:rPr>
                <w:b/>
                <w:bCs/>
              </w:rPr>
            </w:pPr>
            <w:r>
              <w:rPr>
                <w:b/>
                <w:bCs/>
              </w:rPr>
              <w:t>Column 1</w:t>
            </w:r>
          </w:p>
          <w:p>
            <w:pPr>
              <w:pStyle w:val="yTableNAm"/>
              <w:jc w:val="center"/>
              <w:rPr>
                <w:b/>
                <w:bCs/>
              </w:rPr>
            </w:pPr>
            <w:r>
              <w:rPr>
                <w:b/>
                <w:bCs/>
              </w:rPr>
              <w:t>Local government district</w:t>
            </w:r>
          </w:p>
        </w:tc>
        <w:tc>
          <w:tcPr>
            <w:tcW w:w="3544" w:type="dxa"/>
            <w:tcBorders>
              <w:top w:val="single" w:sz="4" w:space="0" w:color="auto"/>
              <w:bottom w:val="single" w:sz="4" w:space="0" w:color="auto"/>
            </w:tcBorders>
          </w:tcPr>
          <w:p>
            <w:pPr>
              <w:pStyle w:val="yTableNAm"/>
              <w:jc w:val="center"/>
              <w:rPr>
                <w:b/>
                <w:bCs/>
              </w:rPr>
            </w:pPr>
            <w:r>
              <w:rPr>
                <w:b/>
                <w:bCs/>
              </w:rPr>
              <w:t>Column 2</w:t>
            </w:r>
          </w:p>
          <w:p>
            <w:pPr>
              <w:pStyle w:val="yTableNAm"/>
              <w:jc w:val="center"/>
              <w:rPr>
                <w:b/>
                <w:bCs/>
              </w:rPr>
            </w:pPr>
            <w:r>
              <w:rPr>
                <w:b/>
              </w:rPr>
              <w:t xml:space="preserve">Areas of State where </w:t>
            </w:r>
            <w:r>
              <w:rPr>
                <w:b/>
              </w:rPr>
              <w:br/>
              <w:t>Part 8 Division 2 applies</w:t>
            </w:r>
          </w:p>
        </w:tc>
      </w:tr>
      <w:tr>
        <w:trPr>
          <w:cantSplit/>
        </w:trPr>
        <w:tc>
          <w:tcPr>
            <w:tcW w:w="3118" w:type="dxa"/>
            <w:tcBorders>
              <w:top w:val="single" w:sz="4" w:space="0" w:color="auto"/>
            </w:tcBorders>
          </w:tcPr>
          <w:p>
            <w:pPr>
              <w:pStyle w:val="yTableNAm"/>
              <w:tabs>
                <w:tab w:val="clear" w:pos="567"/>
                <w:tab w:val="left" w:pos="3631"/>
              </w:tabs>
              <w:spacing w:before="60"/>
            </w:pPr>
            <w:smartTag w:uri="urn:schemas-microsoft-com:office:smarttags" w:element="place">
              <w:smartTag w:uri="urn:schemas-microsoft-com:office:smarttags" w:element="City">
                <w:r>
                  <w:t>Albany</w:t>
                </w:r>
              </w:smartTag>
            </w:smartTag>
          </w:p>
        </w:tc>
        <w:tc>
          <w:tcPr>
            <w:tcW w:w="3544"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Armadale</w:t>
            </w:r>
          </w:p>
        </w:tc>
        <w:tc>
          <w:tcPr>
            <w:tcW w:w="3544" w:type="dxa"/>
          </w:tcPr>
          <w:p>
            <w:pPr>
              <w:pStyle w:val="yTableNAm"/>
              <w:tabs>
                <w:tab w:val="clear" w:pos="567"/>
                <w:tab w:val="left" w:pos="304"/>
                <w:tab w:val="left" w:pos="2170"/>
                <w:tab w:val="left" w:pos="3631"/>
              </w:tabs>
              <w:spacing w:before="60"/>
            </w:pPr>
            <w:r>
              <w:t xml:space="preserve">Whole district </w:t>
            </w:r>
          </w:p>
        </w:tc>
      </w:tr>
      <w:tr>
        <w:trPr>
          <w:cantSplit/>
        </w:trPr>
        <w:tc>
          <w:tcPr>
            <w:tcW w:w="3118" w:type="dxa"/>
          </w:tcPr>
          <w:p>
            <w:pPr>
              <w:pStyle w:val="yTableNAm"/>
              <w:tabs>
                <w:tab w:val="clear" w:pos="567"/>
                <w:tab w:val="left" w:pos="3631"/>
              </w:tabs>
              <w:spacing w:before="0"/>
            </w:pPr>
            <w:r>
              <w:t>Augusta</w:t>
            </w:r>
            <w:r>
              <w:noBreakHyphen/>
              <w:t>Margaret River</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Bassendean</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Bayswater</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smartTag w:uri="urn:schemas-microsoft-com:office:smarttags" w:element="place">
              <w:smartTag w:uri="urn:schemas-microsoft-com:office:smarttags" w:element="City">
                <w:r>
                  <w:t>Belmont</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Beverley</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Boddington</w:t>
            </w:r>
          </w:p>
        </w:tc>
        <w:tc>
          <w:tcPr>
            <w:tcW w:w="3544"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118" w:type="dxa"/>
          </w:tcPr>
          <w:p>
            <w:pPr>
              <w:pStyle w:val="yTableNAm"/>
              <w:tabs>
                <w:tab w:val="clear" w:pos="567"/>
                <w:tab w:val="left" w:pos="3631"/>
              </w:tabs>
              <w:spacing w:before="60"/>
              <w:ind w:right="64"/>
            </w:pPr>
            <w:r>
              <w:t>Bridgetown</w:t>
            </w:r>
            <w:r>
              <w:noBreakHyphen/>
              <w:t>Greenbushes</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Brookton</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Bunbury</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Busselton</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smartTag w:uri="urn:schemas-microsoft-com:office:smarttags" w:element="place">
              <w:smartTag w:uri="urn:schemas-microsoft-com:office:smarttags" w:element="City">
                <w:r>
                  <w:t>Cambridge</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Canning</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Capel</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Carnarvon</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smartTag w:uri="urn:schemas-microsoft-com:office:smarttags" w:element="place">
              <w:smartTag w:uri="urn:schemas-microsoft-com:office:smarttags" w:element="City">
                <w:r>
                  <w:t>Claremont</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Cockburn</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Collie</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Coorow</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Cottesloe</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Dardanup</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Derby</w:t>
            </w:r>
            <w:r>
              <w:noBreakHyphen/>
              <w:t xml:space="preserve">West </w:t>
            </w:r>
            <w:smartTag w:uri="urn:schemas-microsoft-com:office:smarttags" w:element="place">
              <w:smartTag w:uri="urn:schemas-microsoft-com:office:smarttags" w:element="City">
                <w:r>
                  <w:t>Kimberley</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Donnybook</w:t>
            </w:r>
            <w:r>
              <w:noBreakHyphen/>
              <w:t>Balingup</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Dumbleyung</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smartTag w:uri="urn:schemas-microsoft-com:office:smarttags" w:element="place">
              <w:r>
                <w:t>East Fremantle</w:t>
              </w:r>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Esperance</w:t>
            </w:r>
          </w:p>
        </w:tc>
        <w:tc>
          <w:tcPr>
            <w:tcW w:w="3544"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118" w:type="dxa"/>
          </w:tcPr>
          <w:p>
            <w:pPr>
              <w:pStyle w:val="yTableNAm"/>
              <w:tabs>
                <w:tab w:val="clear" w:pos="567"/>
                <w:tab w:val="left" w:pos="3631"/>
              </w:tabs>
              <w:spacing w:before="60"/>
            </w:pPr>
            <w:r>
              <w:t>Fremantle</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Gosnells</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ind w:right="304"/>
            </w:pPr>
            <w:r>
              <w:t>Greater Geraldton</w:t>
            </w:r>
          </w:p>
        </w:tc>
        <w:tc>
          <w:tcPr>
            <w:tcW w:w="3544" w:type="dxa"/>
          </w:tcPr>
          <w:p>
            <w:pPr>
              <w:pStyle w:val="yTableNAm"/>
              <w:tabs>
                <w:tab w:val="clear" w:pos="567"/>
                <w:tab w:val="left" w:pos="304"/>
                <w:tab w:val="left" w:pos="2170"/>
                <w:tab w:val="left" w:pos="3631"/>
              </w:tabs>
              <w:spacing w:before="60"/>
            </w:pPr>
            <w:r>
              <w:t>Whole district except townsites in Mullewa Ward</w:t>
            </w:r>
          </w:p>
        </w:tc>
      </w:tr>
      <w:tr>
        <w:trPr>
          <w:cantSplit/>
        </w:trPr>
        <w:tc>
          <w:tcPr>
            <w:tcW w:w="3118" w:type="dxa"/>
          </w:tcPr>
          <w:p>
            <w:pPr>
              <w:pStyle w:val="yTableNAm"/>
              <w:tabs>
                <w:tab w:val="clear" w:pos="567"/>
                <w:tab w:val="left" w:pos="3631"/>
              </w:tabs>
              <w:spacing w:before="60"/>
            </w:pPr>
            <w:r>
              <w:t>Hall’s Creek</w:t>
            </w:r>
          </w:p>
        </w:tc>
        <w:tc>
          <w:tcPr>
            <w:tcW w:w="3544"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118" w:type="dxa"/>
          </w:tcPr>
          <w:p>
            <w:pPr>
              <w:pStyle w:val="yTableNAm"/>
              <w:tabs>
                <w:tab w:val="clear" w:pos="567"/>
                <w:tab w:val="left" w:pos="3631"/>
              </w:tabs>
              <w:spacing w:before="60"/>
            </w:pPr>
            <w:smartTag w:uri="urn:schemas-microsoft-com:office:smarttags" w:element="place">
              <w:smartTag w:uri="urn:schemas-microsoft-com:office:smarttags" w:element="City">
                <w:r>
                  <w:t>Harvey</w:t>
                </w:r>
              </w:smartTag>
            </w:smartTag>
          </w:p>
        </w:tc>
        <w:tc>
          <w:tcPr>
            <w:tcW w:w="3544"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118" w:type="dxa"/>
          </w:tcPr>
          <w:p>
            <w:pPr>
              <w:pStyle w:val="yTableNAm"/>
              <w:tabs>
                <w:tab w:val="clear" w:pos="567"/>
                <w:tab w:val="left" w:pos="3631"/>
              </w:tabs>
              <w:spacing w:before="60"/>
            </w:pPr>
            <w:r>
              <w:t>Jerramungup</w:t>
            </w:r>
          </w:p>
        </w:tc>
        <w:tc>
          <w:tcPr>
            <w:tcW w:w="3544"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118" w:type="dxa"/>
          </w:tcPr>
          <w:p>
            <w:pPr>
              <w:pStyle w:val="yTableNAm"/>
              <w:tabs>
                <w:tab w:val="clear" w:pos="567"/>
                <w:tab w:val="left" w:pos="3631"/>
              </w:tabs>
              <w:spacing w:before="60"/>
            </w:pPr>
            <w:r>
              <w:t>Joondalup</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Kalamunda</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Kalgoorlie</w:t>
            </w:r>
            <w:r>
              <w:noBreakHyphen/>
            </w:r>
          </w:p>
          <w:p>
            <w:pPr>
              <w:pStyle w:val="yTableNAm"/>
              <w:tabs>
                <w:tab w:val="clear" w:pos="567"/>
                <w:tab w:val="left" w:pos="3631"/>
              </w:tabs>
              <w:spacing w:before="0"/>
            </w:pPr>
            <w:smartTag w:uri="urn:schemas-microsoft-com:office:smarttags" w:element="place">
              <w:smartTag w:uri="urn:schemas-microsoft-com:office:smarttags" w:element="City">
                <w:r>
                  <w:t>Boulder</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Katanning</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Kellerberrin</w:t>
            </w:r>
          </w:p>
        </w:tc>
        <w:tc>
          <w:tcPr>
            <w:tcW w:w="3544"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118" w:type="dxa"/>
          </w:tcPr>
          <w:p>
            <w:pPr>
              <w:pStyle w:val="yTableNAm"/>
              <w:tabs>
                <w:tab w:val="clear" w:pos="567"/>
                <w:tab w:val="left" w:pos="3631"/>
              </w:tabs>
              <w:spacing w:before="60"/>
            </w:pPr>
            <w:smartTag w:uri="urn:schemas-microsoft-com:office:smarttags" w:element="place">
              <w:smartTag w:uri="urn:schemas-microsoft-com:office:smarttags" w:element="country-region">
                <w:r>
                  <w:t>Kent</w:t>
                </w:r>
              </w:smartTag>
            </w:smartTag>
          </w:p>
        </w:tc>
        <w:tc>
          <w:tcPr>
            <w:tcW w:w="3544" w:type="dxa"/>
          </w:tcPr>
          <w:p>
            <w:pPr>
              <w:pStyle w:val="yTableNAm"/>
              <w:tabs>
                <w:tab w:val="clear" w:pos="567"/>
                <w:tab w:val="left" w:pos="304"/>
                <w:tab w:val="left" w:pos="2170"/>
                <w:tab w:val="left" w:pos="3631"/>
              </w:tabs>
              <w:spacing w:before="60"/>
            </w:pPr>
            <w:r>
              <w:t>Townsites of Nyabing, Pingrup</w:t>
            </w:r>
          </w:p>
        </w:tc>
      </w:tr>
      <w:tr>
        <w:trPr>
          <w:cantSplit/>
        </w:trPr>
        <w:tc>
          <w:tcPr>
            <w:tcW w:w="3118" w:type="dxa"/>
          </w:tcPr>
          <w:p>
            <w:pPr>
              <w:pStyle w:val="yTableNAm"/>
              <w:tabs>
                <w:tab w:val="clear" w:pos="567"/>
                <w:tab w:val="left" w:pos="3631"/>
              </w:tabs>
              <w:spacing w:before="60"/>
            </w:pPr>
            <w:r>
              <w:t>Koorda</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Kwinana</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Mandurah</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Manjimup</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Melville</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Merredin</w:t>
            </w:r>
          </w:p>
        </w:tc>
        <w:tc>
          <w:tcPr>
            <w:tcW w:w="3544"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118" w:type="dxa"/>
          </w:tcPr>
          <w:p>
            <w:pPr>
              <w:pStyle w:val="yTableNAm"/>
              <w:tabs>
                <w:tab w:val="clear" w:pos="567"/>
                <w:tab w:val="left" w:pos="3631"/>
              </w:tabs>
              <w:spacing w:before="60"/>
            </w:pPr>
            <w:r>
              <w:t>Mingenew</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Mundaring</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Murchison</w:t>
            </w:r>
          </w:p>
        </w:tc>
        <w:tc>
          <w:tcPr>
            <w:tcW w:w="3544" w:type="dxa"/>
          </w:tcPr>
          <w:p>
            <w:pPr>
              <w:pStyle w:val="yTableNAm"/>
              <w:tabs>
                <w:tab w:val="clear" w:pos="567"/>
                <w:tab w:val="left" w:pos="304"/>
                <w:tab w:val="left" w:pos="2170"/>
                <w:tab w:val="left" w:pos="3631"/>
              </w:tabs>
              <w:spacing w:before="60"/>
            </w:pPr>
            <w:r>
              <w:t>None</w:t>
            </w:r>
          </w:p>
        </w:tc>
      </w:tr>
      <w:tr>
        <w:trPr>
          <w:cantSplit/>
        </w:trPr>
        <w:tc>
          <w:tcPr>
            <w:tcW w:w="3118" w:type="dxa"/>
          </w:tcPr>
          <w:p>
            <w:pPr>
              <w:pStyle w:val="yTableNAm"/>
              <w:tabs>
                <w:tab w:val="clear" w:pos="567"/>
                <w:tab w:val="left" w:pos="3631"/>
              </w:tabs>
              <w:spacing w:before="60"/>
            </w:pPr>
            <w:smartTag w:uri="urn:schemas-microsoft-com:office:smarttags" w:element="place">
              <w:smartTag w:uri="urn:schemas-microsoft-com:office:smarttags" w:element="City">
                <w:r>
                  <w:t>Murray</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Narrogin (Town)</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Nedlands</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Northam</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smartTag w:uri="urn:schemas-microsoft-com:office:smarttags" w:element="place">
              <w:smartTag w:uri="urn:schemas-microsoft-com:office:smarttags" w:element="City">
                <w:r>
                  <w:t>Northampton</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Peppermint Grove</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smartTag w:uri="urn:schemas-microsoft-com:office:smarttags" w:element="place">
              <w:smartTag w:uri="urn:schemas-microsoft-com:office:smarttags" w:element="City">
                <w:r>
                  <w:t>Perth</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Pingelly</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Plantagenet</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Quairading</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Ravensthorpe</w:t>
            </w:r>
          </w:p>
        </w:tc>
        <w:tc>
          <w:tcPr>
            <w:tcW w:w="3544"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118" w:type="dxa"/>
          </w:tcPr>
          <w:p>
            <w:pPr>
              <w:pStyle w:val="yTableNAm"/>
              <w:tabs>
                <w:tab w:val="clear" w:pos="567"/>
                <w:tab w:val="left" w:pos="3631"/>
              </w:tabs>
              <w:spacing w:before="60"/>
            </w:pPr>
            <w:r>
              <w:t>Rockingham</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Sandstone</w:t>
            </w:r>
          </w:p>
        </w:tc>
        <w:tc>
          <w:tcPr>
            <w:tcW w:w="3544" w:type="dxa"/>
          </w:tcPr>
          <w:p>
            <w:pPr>
              <w:pStyle w:val="yTableNAm"/>
              <w:tabs>
                <w:tab w:val="clear" w:pos="567"/>
                <w:tab w:val="left" w:pos="304"/>
                <w:tab w:val="left" w:pos="2170"/>
                <w:tab w:val="left" w:pos="3631"/>
              </w:tabs>
              <w:spacing w:before="60"/>
            </w:pPr>
            <w:r>
              <w:t>Sandstone Ward</w:t>
            </w:r>
          </w:p>
        </w:tc>
      </w:tr>
      <w:tr>
        <w:trPr>
          <w:cantSplit/>
        </w:trPr>
        <w:tc>
          <w:tcPr>
            <w:tcW w:w="3118" w:type="dxa"/>
          </w:tcPr>
          <w:p>
            <w:pPr>
              <w:pStyle w:val="yTableNAm"/>
              <w:tabs>
                <w:tab w:val="clear" w:pos="567"/>
                <w:tab w:val="left" w:pos="3631"/>
              </w:tabs>
              <w:spacing w:before="0"/>
            </w:pPr>
            <w:r>
              <w:t>Serpentine</w:t>
            </w:r>
            <w:r>
              <w:noBreakHyphen/>
              <w:t>Jarrahdale</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smartTag w:uri="urn:schemas-microsoft-com:office:smarttags" w:element="place">
              <w:r>
                <w:t>South Perth</w:t>
              </w:r>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smartTag w:uri="urn:schemas-microsoft-com:office:smarttags" w:element="place">
              <w:r>
                <w:t>Stirling</w:t>
              </w:r>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Subiaco</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Swan</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Tammin</w:t>
            </w:r>
          </w:p>
        </w:tc>
        <w:tc>
          <w:tcPr>
            <w:tcW w:w="3544" w:type="dxa"/>
          </w:tcPr>
          <w:p>
            <w:pPr>
              <w:pStyle w:val="yTableNAm"/>
              <w:tabs>
                <w:tab w:val="clear" w:pos="567"/>
                <w:tab w:val="left" w:pos="304"/>
                <w:tab w:val="left" w:pos="2170"/>
                <w:tab w:val="left" w:pos="3631"/>
              </w:tabs>
              <w:spacing w:before="60"/>
            </w:pPr>
            <w:r>
              <w:t>Townsite of Tammin</w:t>
            </w:r>
          </w:p>
        </w:tc>
      </w:tr>
      <w:tr>
        <w:trPr>
          <w:cantSplit/>
        </w:trPr>
        <w:tc>
          <w:tcPr>
            <w:tcW w:w="3118" w:type="dxa"/>
          </w:tcPr>
          <w:p>
            <w:pPr>
              <w:pStyle w:val="yTableNAm"/>
              <w:tabs>
                <w:tab w:val="clear" w:pos="567"/>
                <w:tab w:val="left" w:pos="3631"/>
              </w:tabs>
              <w:spacing w:before="60"/>
            </w:pPr>
            <w:r>
              <w:t>Trayning</w:t>
            </w:r>
          </w:p>
        </w:tc>
        <w:tc>
          <w:tcPr>
            <w:tcW w:w="3544"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118" w:type="dxa"/>
          </w:tcPr>
          <w:p>
            <w:pPr>
              <w:pStyle w:val="yTableNAm"/>
              <w:tabs>
                <w:tab w:val="clear" w:pos="567"/>
                <w:tab w:val="left" w:pos="3631"/>
              </w:tabs>
              <w:spacing w:before="60"/>
            </w:pPr>
            <w:r>
              <w:t>Victoria Park</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Vincent</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Wagin</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Wandering</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Wanneroo</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Waroona</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West Arthur</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Williams</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Wiluna</w:t>
            </w:r>
          </w:p>
        </w:tc>
        <w:tc>
          <w:tcPr>
            <w:tcW w:w="3544" w:type="dxa"/>
          </w:tcPr>
          <w:p>
            <w:pPr>
              <w:pStyle w:val="yTableNAm"/>
              <w:tabs>
                <w:tab w:val="clear" w:pos="567"/>
                <w:tab w:val="left" w:pos="304"/>
                <w:tab w:val="left" w:pos="2170"/>
                <w:tab w:val="left" w:pos="3631"/>
              </w:tabs>
              <w:spacing w:before="60"/>
            </w:pPr>
            <w:r>
              <w:t>Townsite of Wiluna</w:t>
            </w:r>
          </w:p>
        </w:tc>
      </w:tr>
      <w:tr>
        <w:trPr>
          <w:cantSplit/>
        </w:trPr>
        <w:tc>
          <w:tcPr>
            <w:tcW w:w="3118" w:type="dxa"/>
          </w:tcPr>
          <w:p>
            <w:pPr>
              <w:pStyle w:val="yTableNAm"/>
              <w:tabs>
                <w:tab w:val="clear" w:pos="567"/>
                <w:tab w:val="left" w:pos="3631"/>
              </w:tabs>
              <w:spacing w:before="0"/>
            </w:pPr>
            <w:r>
              <w:t>Wongan</w:t>
            </w:r>
            <w:r>
              <w:noBreakHyphen/>
              <w:t>Ballidu</w:t>
            </w:r>
          </w:p>
        </w:tc>
        <w:tc>
          <w:tcPr>
            <w:tcW w:w="3544"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118" w:type="dxa"/>
          </w:tcPr>
          <w:p>
            <w:pPr>
              <w:pStyle w:val="yTableNAm"/>
              <w:tabs>
                <w:tab w:val="clear" w:pos="567"/>
                <w:tab w:val="left" w:pos="3631"/>
              </w:tabs>
              <w:spacing w:before="60"/>
            </w:pPr>
            <w:r>
              <w:t>Woodanilling</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Wyalkatchem</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0"/>
            </w:pPr>
            <w:r>
              <w:t>Wyndham</w:t>
            </w:r>
            <w:r>
              <w:noBreakHyphen/>
              <w:t>East </w:t>
            </w:r>
            <w:smartTag w:uri="urn:schemas-microsoft-com:office:smarttags" w:element="place">
              <w:smartTag w:uri="urn:schemas-microsoft-com:office:smarttags" w:element="City">
                <w:r>
                  <w:t>Kimberley</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smartTag w:uri="urn:schemas-microsoft-com:office:smarttags" w:element="place">
              <w:smartTag w:uri="urn:schemas-microsoft-com:office:smarttags" w:element="City">
                <w:r>
                  <w:t>York</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Borders>
              <w:bottom w:val="single" w:sz="4" w:space="0" w:color="auto"/>
            </w:tcBorders>
          </w:tcPr>
          <w:p>
            <w:pPr>
              <w:pStyle w:val="yTableNAm"/>
              <w:tabs>
                <w:tab w:val="clear" w:pos="567"/>
                <w:tab w:val="left" w:pos="3631"/>
              </w:tabs>
              <w:spacing w:before="60"/>
            </w:pPr>
            <w:r>
              <w:t xml:space="preserve">All other districts </w:t>
            </w:r>
          </w:p>
        </w:tc>
        <w:tc>
          <w:tcPr>
            <w:tcW w:w="3544"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ScheduleHeading"/>
      </w:pPr>
      <w:bookmarkStart w:id="556" w:name="_Toc343509068"/>
      <w:bookmarkStart w:id="557" w:name="_Toc343510016"/>
      <w:bookmarkStart w:id="558" w:name="_Toc352666422"/>
      <w:bookmarkStart w:id="559" w:name="_Toc352667595"/>
      <w:bookmarkStart w:id="560" w:name="_Toc352667717"/>
      <w:bookmarkStart w:id="561" w:name="_Toc319322069"/>
      <w:bookmarkStart w:id="562" w:name="_Toc319403168"/>
      <w:r>
        <w:rPr>
          <w:rStyle w:val="CharSchNo"/>
        </w:rPr>
        <w:t>Schedule 6</w:t>
      </w:r>
      <w:r>
        <w:rPr>
          <w:rStyle w:val="CharSDivNo"/>
        </w:rPr>
        <w:t> </w:t>
      </w:r>
      <w:r>
        <w:t>—</w:t>
      </w:r>
      <w:r>
        <w:rPr>
          <w:rStyle w:val="CharSDivText"/>
        </w:rPr>
        <w:t> </w:t>
      </w:r>
      <w:r>
        <w:rPr>
          <w:rStyle w:val="CharSchText"/>
        </w:rPr>
        <w:t>Prescribed offences and modified penalties</w:t>
      </w:r>
      <w:bookmarkEnd w:id="556"/>
      <w:bookmarkEnd w:id="557"/>
      <w:bookmarkEnd w:id="558"/>
      <w:bookmarkEnd w:id="559"/>
      <w:bookmarkEnd w:id="560"/>
    </w:p>
    <w:p>
      <w:pPr>
        <w:pStyle w:val="yShoulderClause"/>
      </w:pPr>
      <w:r>
        <w:t>[r. 69(1) and (2)]</w:t>
      </w:r>
    </w:p>
    <w:p>
      <w:pPr>
        <w:pStyle w:val="yFootnoteheading"/>
        <w:spacing w:after="100"/>
      </w:pPr>
      <w:r>
        <w:tab/>
        <w:t>[Heading inserted in Gazette 18 Dec 2012 p. 6577.]</w:t>
      </w:r>
    </w:p>
    <w:tbl>
      <w:tblPr>
        <w:tblW w:w="637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3969"/>
        <w:gridCol w:w="1418"/>
      </w:tblGrid>
      <w:tr>
        <w:trPr>
          <w:tblHeader/>
        </w:trPr>
        <w:tc>
          <w:tcPr>
            <w:tcW w:w="4961" w:type="dxa"/>
            <w:gridSpan w:val="2"/>
          </w:tcPr>
          <w:p>
            <w:pPr>
              <w:pStyle w:val="yTableNAm"/>
              <w:jc w:val="center"/>
            </w:pPr>
            <w:r>
              <w:rPr>
                <w:b/>
                <w:bCs/>
              </w:rPr>
              <w:t>Offences</w:t>
            </w:r>
          </w:p>
        </w:tc>
        <w:tc>
          <w:tcPr>
            <w:tcW w:w="1418" w:type="dxa"/>
          </w:tcPr>
          <w:p>
            <w:pPr>
              <w:pStyle w:val="yTableNAm"/>
              <w:jc w:val="center"/>
            </w:pPr>
            <w:r>
              <w:rPr>
                <w:b/>
                <w:bCs/>
              </w:rPr>
              <w:t>Modified penalty</w:t>
            </w:r>
          </w:p>
          <w:p>
            <w:pPr>
              <w:pStyle w:val="yTableNAm"/>
              <w:jc w:val="center"/>
            </w:pPr>
            <w:r>
              <w:t>($)</w:t>
            </w:r>
          </w:p>
        </w:tc>
      </w:tr>
      <w:tr>
        <w:tc>
          <w:tcPr>
            <w:tcW w:w="992" w:type="dxa"/>
          </w:tcPr>
          <w:p>
            <w:pPr>
              <w:pStyle w:val="yTableNAm"/>
            </w:pPr>
            <w:r>
              <w:t>r. 50(1)</w:t>
            </w:r>
          </w:p>
        </w:tc>
        <w:tc>
          <w:tcPr>
            <w:tcW w:w="3969" w:type="dxa"/>
          </w:tcPr>
          <w:p>
            <w:pPr>
              <w:pStyle w:val="yTableNAm"/>
            </w:pPr>
            <w:r>
              <w:t>Enclosure of private swimming pool</w:t>
            </w:r>
          </w:p>
        </w:tc>
        <w:tc>
          <w:tcPr>
            <w:tcW w:w="1418" w:type="dxa"/>
          </w:tcPr>
          <w:p>
            <w:pPr>
              <w:pStyle w:val="yTableNAm"/>
              <w:jc w:val="center"/>
            </w:pPr>
            <w:r>
              <w:t>100</w:t>
            </w:r>
          </w:p>
        </w:tc>
      </w:tr>
      <w:tr>
        <w:tc>
          <w:tcPr>
            <w:tcW w:w="992" w:type="dxa"/>
          </w:tcPr>
          <w:p>
            <w:pPr>
              <w:pStyle w:val="yTableNAm"/>
            </w:pPr>
            <w:r>
              <w:t>r. 56</w:t>
            </w:r>
          </w:p>
        </w:tc>
        <w:tc>
          <w:tcPr>
            <w:tcW w:w="3969" w:type="dxa"/>
          </w:tcPr>
          <w:p>
            <w:pPr>
              <w:pStyle w:val="yTableNAm"/>
            </w:pPr>
            <w:r>
              <w:t>Requirement to have smoke alarms or similar prior to transfer of dwelling</w:t>
            </w:r>
          </w:p>
        </w:tc>
        <w:tc>
          <w:tcPr>
            <w:tcW w:w="1418" w:type="dxa"/>
          </w:tcPr>
          <w:p>
            <w:pPr>
              <w:pStyle w:val="yTableNAm"/>
              <w:jc w:val="center"/>
            </w:pPr>
            <w:r>
              <w:br/>
              <w:t>750</w:t>
            </w:r>
          </w:p>
        </w:tc>
      </w:tr>
      <w:tr>
        <w:tc>
          <w:tcPr>
            <w:tcW w:w="992" w:type="dxa"/>
          </w:tcPr>
          <w:p>
            <w:pPr>
              <w:pStyle w:val="yTableNAm"/>
            </w:pPr>
            <w:r>
              <w:t>r. 58</w:t>
            </w:r>
          </w:p>
        </w:tc>
        <w:tc>
          <w:tcPr>
            <w:tcW w:w="3969" w:type="dxa"/>
          </w:tcPr>
          <w:p>
            <w:pPr>
              <w:pStyle w:val="yTableNAm"/>
            </w:pPr>
            <w:r>
              <w:t>Requirement to have smoke alarms or similar prior to tenancy</w:t>
            </w:r>
          </w:p>
        </w:tc>
        <w:tc>
          <w:tcPr>
            <w:tcW w:w="1418" w:type="dxa"/>
          </w:tcPr>
          <w:p>
            <w:pPr>
              <w:pStyle w:val="yTableNAm"/>
              <w:jc w:val="center"/>
            </w:pPr>
            <w:r>
              <w:br/>
              <w:t>750</w:t>
            </w:r>
          </w:p>
        </w:tc>
      </w:tr>
      <w:tr>
        <w:tc>
          <w:tcPr>
            <w:tcW w:w="992" w:type="dxa"/>
          </w:tcPr>
          <w:p>
            <w:pPr>
              <w:pStyle w:val="yTableNAm"/>
            </w:pPr>
            <w:r>
              <w:t>r. 59</w:t>
            </w:r>
          </w:p>
        </w:tc>
        <w:tc>
          <w:tcPr>
            <w:tcW w:w="3969" w:type="dxa"/>
          </w:tcPr>
          <w:p>
            <w:pPr>
              <w:pStyle w:val="yTableNAm"/>
            </w:pPr>
            <w:r>
              <w:t>Requirement to have smoke alarms or similar prior to hire of dwelling</w:t>
            </w:r>
          </w:p>
        </w:tc>
        <w:tc>
          <w:tcPr>
            <w:tcW w:w="1418" w:type="dxa"/>
          </w:tcPr>
          <w:p>
            <w:pPr>
              <w:pStyle w:val="yTableNAm"/>
              <w:jc w:val="center"/>
            </w:pPr>
            <w:r>
              <w:br/>
              <w:t>750</w:t>
            </w:r>
          </w:p>
        </w:tc>
      </w:tr>
    </w:tbl>
    <w:p>
      <w:pPr>
        <w:pStyle w:val="yFootnotesection"/>
      </w:pPr>
      <w:r>
        <w:tab/>
        <w:t>[Schedule 6 inserted in Gazette 18 Dec 2012 p. 6577.]</w:t>
      </w:r>
    </w:p>
    <w:p>
      <w:pPr>
        <w:pStyle w:val="yScheduleHeading"/>
      </w:pPr>
      <w:bookmarkStart w:id="563" w:name="_Toc343509069"/>
      <w:bookmarkStart w:id="564" w:name="_Toc343510017"/>
      <w:bookmarkStart w:id="565" w:name="_Toc352666423"/>
      <w:bookmarkStart w:id="566" w:name="_Toc352667596"/>
      <w:bookmarkStart w:id="567" w:name="_Toc352667718"/>
      <w:r>
        <w:rPr>
          <w:rStyle w:val="CharSchNo"/>
        </w:rPr>
        <w:t>Schedule 7</w:t>
      </w:r>
      <w:r>
        <w:rPr>
          <w:rStyle w:val="CharSDivNo"/>
        </w:rPr>
        <w:t> </w:t>
      </w:r>
      <w:r>
        <w:t>—</w:t>
      </w:r>
      <w:r>
        <w:rPr>
          <w:rStyle w:val="CharSDivText"/>
        </w:rPr>
        <w:t> </w:t>
      </w:r>
      <w:r>
        <w:rPr>
          <w:rStyle w:val="CharSchText"/>
        </w:rPr>
        <w:t>Forms</w:t>
      </w:r>
      <w:bookmarkEnd w:id="563"/>
      <w:bookmarkEnd w:id="564"/>
      <w:bookmarkEnd w:id="565"/>
      <w:bookmarkEnd w:id="566"/>
      <w:bookmarkEnd w:id="567"/>
    </w:p>
    <w:p>
      <w:pPr>
        <w:pStyle w:val="yShoulderClause"/>
      </w:pPr>
      <w:r>
        <w:t>[r. 71]</w:t>
      </w:r>
    </w:p>
    <w:p>
      <w:pPr>
        <w:pStyle w:val="yFootnoteheading"/>
        <w:spacing w:after="100"/>
      </w:pPr>
      <w:r>
        <w:tab/>
        <w:t>[Heading inserted in Gazette 18 Dec 2012 p. 6577.]</w:t>
      </w:r>
    </w:p>
    <w:p>
      <w:pPr>
        <w:pStyle w:val="yMiscellaneousHeading"/>
        <w:jc w:val="left"/>
        <w:rPr>
          <w:b/>
        </w:rPr>
      </w:pPr>
      <w:r>
        <w:rPr>
          <w:b/>
        </w:rPr>
        <w:t>Form 1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134"/>
        <w:gridCol w:w="283"/>
        <w:gridCol w:w="1134"/>
        <w:gridCol w:w="426"/>
        <w:gridCol w:w="567"/>
        <w:gridCol w:w="425"/>
        <w:gridCol w:w="1559"/>
      </w:tblGrid>
      <w:tr>
        <w:trPr>
          <w:cantSplit/>
          <w:trHeight w:val="282"/>
        </w:trPr>
        <w:tc>
          <w:tcPr>
            <w:tcW w:w="4820" w:type="dxa"/>
            <w:gridSpan w:val="6"/>
          </w:tcPr>
          <w:p>
            <w:pPr>
              <w:pStyle w:val="yTableNAm"/>
              <w:jc w:val="center"/>
            </w:pPr>
            <w:r>
              <w:rPr>
                <w:b/>
                <w:szCs w:val="22"/>
              </w:rPr>
              <w:br w:type="page"/>
            </w:r>
            <w:r>
              <w:rPr>
                <w:i/>
                <w:szCs w:val="22"/>
              </w:rPr>
              <w:t>Building Act 2011</w:t>
            </w:r>
          </w:p>
          <w:p>
            <w:pPr>
              <w:pStyle w:val="yTableNAm"/>
              <w:jc w:val="center"/>
              <w:rPr>
                <w:i/>
              </w:rPr>
            </w:pPr>
            <w:r>
              <w:rPr>
                <w:i/>
              </w:rPr>
              <w:t>Building Regulations 2012</w:t>
            </w:r>
          </w:p>
          <w:p>
            <w:pPr>
              <w:pStyle w:val="yTableNAm"/>
              <w:jc w:val="center"/>
              <w:rPr>
                <w:b/>
                <w:sz w:val="28"/>
                <w:szCs w:val="28"/>
              </w:rPr>
            </w:pPr>
            <w:r>
              <w:rPr>
                <w:b/>
                <w:sz w:val="28"/>
                <w:szCs w:val="28"/>
              </w:rPr>
              <w:t>INFRINGEMENT NOTICE</w:t>
            </w:r>
          </w:p>
        </w:tc>
        <w:tc>
          <w:tcPr>
            <w:tcW w:w="1984" w:type="dxa"/>
            <w:gridSpan w:val="2"/>
          </w:tcPr>
          <w:p>
            <w:pPr>
              <w:pStyle w:val="yTableNAm"/>
            </w:pPr>
            <w:r>
              <w:rPr>
                <w:szCs w:val="22"/>
              </w:rPr>
              <w:t xml:space="preserve">Infringement </w:t>
            </w:r>
            <w:r>
              <w:rPr>
                <w:szCs w:val="22"/>
              </w:rPr>
              <w:br/>
              <w:t>notice no.</w:t>
            </w:r>
          </w:p>
        </w:tc>
      </w:tr>
      <w:tr>
        <w:trPr>
          <w:cantSplit/>
          <w:trHeight w:val="150"/>
        </w:trPr>
        <w:tc>
          <w:tcPr>
            <w:tcW w:w="1276" w:type="dxa"/>
            <w:vMerge w:val="restart"/>
          </w:tcPr>
          <w:p>
            <w:pPr>
              <w:pStyle w:val="yTableNAm"/>
            </w:pPr>
            <w:r>
              <w:rPr>
                <w:b/>
                <w:szCs w:val="22"/>
              </w:rPr>
              <w:t>Alleged offender</w:t>
            </w:r>
          </w:p>
        </w:tc>
        <w:tc>
          <w:tcPr>
            <w:tcW w:w="1417" w:type="dxa"/>
            <w:gridSpan w:val="2"/>
            <w:vMerge w:val="restart"/>
          </w:tcPr>
          <w:p>
            <w:pPr>
              <w:pStyle w:val="yTableNAm"/>
            </w:pPr>
            <w:r>
              <w:rPr>
                <w:szCs w:val="22"/>
              </w:rPr>
              <w:t>Name</w:t>
            </w:r>
          </w:p>
        </w:tc>
        <w:tc>
          <w:tcPr>
            <w:tcW w:w="4111" w:type="dxa"/>
            <w:gridSpan w:val="5"/>
          </w:tcPr>
          <w:p>
            <w:pPr>
              <w:pStyle w:val="yTableNAm"/>
            </w:pPr>
          </w:p>
        </w:tc>
      </w:tr>
      <w:tr>
        <w:trPr>
          <w:cantSplit/>
          <w:trHeight w:val="150"/>
        </w:trPr>
        <w:tc>
          <w:tcPr>
            <w:tcW w:w="1276" w:type="dxa"/>
            <w:vMerge/>
          </w:tcPr>
          <w:p>
            <w:pPr>
              <w:pStyle w:val="zyTableNAm"/>
              <w:rPr>
                <w:b/>
                <w:szCs w:val="22"/>
              </w:rPr>
            </w:pPr>
          </w:p>
        </w:tc>
        <w:tc>
          <w:tcPr>
            <w:tcW w:w="1417" w:type="dxa"/>
            <w:gridSpan w:val="2"/>
            <w:vMerge/>
          </w:tcPr>
          <w:p>
            <w:pPr>
              <w:pStyle w:val="zyTableNAm"/>
              <w:rPr>
                <w:szCs w:val="22"/>
              </w:rPr>
            </w:pPr>
          </w:p>
        </w:tc>
        <w:tc>
          <w:tcPr>
            <w:tcW w:w="4111" w:type="dxa"/>
            <w:gridSpan w:val="5"/>
          </w:tcPr>
          <w:p>
            <w:pPr>
              <w:pStyle w:val="yTableNAm"/>
            </w:pPr>
          </w:p>
        </w:tc>
      </w:tr>
      <w:tr>
        <w:trPr>
          <w:cantSplit/>
          <w:trHeight w:val="150"/>
        </w:trPr>
        <w:tc>
          <w:tcPr>
            <w:tcW w:w="1276" w:type="dxa"/>
            <w:vMerge/>
          </w:tcPr>
          <w:p>
            <w:pPr>
              <w:pStyle w:val="zyTableNAm"/>
              <w:rPr>
                <w:b/>
                <w:szCs w:val="22"/>
              </w:rPr>
            </w:pPr>
          </w:p>
        </w:tc>
        <w:tc>
          <w:tcPr>
            <w:tcW w:w="1417" w:type="dxa"/>
            <w:gridSpan w:val="2"/>
            <w:vMerge w:val="restart"/>
          </w:tcPr>
          <w:p>
            <w:pPr>
              <w:pStyle w:val="yTableNAm"/>
            </w:pPr>
            <w:r>
              <w:rPr>
                <w:szCs w:val="22"/>
              </w:rPr>
              <w:t>Address</w:t>
            </w:r>
          </w:p>
        </w:tc>
        <w:tc>
          <w:tcPr>
            <w:tcW w:w="4111" w:type="dxa"/>
            <w:gridSpan w:val="5"/>
          </w:tcPr>
          <w:p>
            <w:pPr>
              <w:pStyle w:val="yTableNAm"/>
            </w:pPr>
          </w:p>
        </w:tc>
      </w:tr>
      <w:tr>
        <w:trPr>
          <w:cantSplit/>
          <w:trHeight w:val="150"/>
        </w:trPr>
        <w:tc>
          <w:tcPr>
            <w:tcW w:w="1276" w:type="dxa"/>
            <w:vMerge/>
          </w:tcPr>
          <w:p>
            <w:pPr>
              <w:pStyle w:val="zyTableNAm"/>
              <w:rPr>
                <w:b/>
                <w:szCs w:val="22"/>
              </w:rPr>
            </w:pPr>
          </w:p>
        </w:tc>
        <w:tc>
          <w:tcPr>
            <w:tcW w:w="1417" w:type="dxa"/>
            <w:gridSpan w:val="2"/>
            <w:vMerge/>
          </w:tcPr>
          <w:p>
            <w:pPr>
              <w:pStyle w:val="zyTableNAm"/>
              <w:rPr>
                <w:szCs w:val="22"/>
              </w:rPr>
            </w:pPr>
          </w:p>
        </w:tc>
        <w:tc>
          <w:tcPr>
            <w:tcW w:w="4111" w:type="dxa"/>
            <w:gridSpan w:val="5"/>
          </w:tcPr>
          <w:p>
            <w:pPr>
              <w:pStyle w:val="yTableNAm"/>
            </w:pPr>
          </w:p>
        </w:tc>
      </w:tr>
      <w:tr>
        <w:trPr>
          <w:cantSplit/>
          <w:trHeight w:val="150"/>
        </w:trPr>
        <w:tc>
          <w:tcPr>
            <w:tcW w:w="1276" w:type="dxa"/>
            <w:vMerge w:val="restart"/>
          </w:tcPr>
          <w:p>
            <w:pPr>
              <w:pStyle w:val="yTableNAm"/>
            </w:pPr>
            <w:r>
              <w:rPr>
                <w:b/>
                <w:szCs w:val="22"/>
              </w:rPr>
              <w:t>Details of alleged offence</w:t>
            </w:r>
          </w:p>
        </w:tc>
        <w:tc>
          <w:tcPr>
            <w:tcW w:w="1417" w:type="dxa"/>
            <w:gridSpan w:val="2"/>
          </w:tcPr>
          <w:p>
            <w:pPr>
              <w:pStyle w:val="yTableNAm"/>
            </w:pPr>
            <w:r>
              <w:rPr>
                <w:szCs w:val="22"/>
              </w:rPr>
              <w:t>Date or period</w:t>
            </w:r>
          </w:p>
        </w:tc>
        <w:tc>
          <w:tcPr>
            <w:tcW w:w="4111" w:type="dxa"/>
            <w:gridSpan w:val="5"/>
          </w:tcPr>
          <w:p>
            <w:pPr>
              <w:pStyle w:val="yTableNAm"/>
            </w:pPr>
          </w:p>
        </w:tc>
      </w:tr>
      <w:tr>
        <w:trPr>
          <w:cantSplit/>
          <w:trHeight w:val="150"/>
        </w:trPr>
        <w:tc>
          <w:tcPr>
            <w:tcW w:w="1276" w:type="dxa"/>
            <w:vMerge/>
          </w:tcPr>
          <w:p>
            <w:pPr>
              <w:pStyle w:val="zyTableNAm"/>
              <w:keepNext/>
              <w:keepLines/>
              <w:rPr>
                <w:b/>
                <w:szCs w:val="22"/>
              </w:rPr>
            </w:pPr>
          </w:p>
        </w:tc>
        <w:tc>
          <w:tcPr>
            <w:tcW w:w="1417" w:type="dxa"/>
            <w:gridSpan w:val="2"/>
          </w:tcPr>
          <w:p>
            <w:pPr>
              <w:pStyle w:val="yTableNAm"/>
            </w:pPr>
            <w:r>
              <w:rPr>
                <w:szCs w:val="22"/>
              </w:rPr>
              <w:t>Place</w:t>
            </w:r>
          </w:p>
        </w:tc>
        <w:tc>
          <w:tcPr>
            <w:tcW w:w="4111" w:type="dxa"/>
            <w:gridSpan w:val="5"/>
          </w:tcPr>
          <w:p>
            <w:pPr>
              <w:pStyle w:val="yTableNAm"/>
            </w:pPr>
          </w:p>
        </w:tc>
      </w:tr>
      <w:tr>
        <w:trPr>
          <w:cantSplit/>
          <w:trHeight w:val="150"/>
        </w:trPr>
        <w:tc>
          <w:tcPr>
            <w:tcW w:w="1276" w:type="dxa"/>
            <w:vMerge/>
          </w:tcPr>
          <w:p>
            <w:pPr>
              <w:pStyle w:val="zyTableNAm"/>
              <w:rPr>
                <w:b/>
                <w:szCs w:val="22"/>
              </w:rPr>
            </w:pPr>
          </w:p>
        </w:tc>
        <w:tc>
          <w:tcPr>
            <w:tcW w:w="1417" w:type="dxa"/>
            <w:gridSpan w:val="2"/>
          </w:tcPr>
          <w:p>
            <w:pPr>
              <w:pStyle w:val="yTableNAm"/>
            </w:pPr>
            <w:r>
              <w:rPr>
                <w:szCs w:val="22"/>
              </w:rPr>
              <w:t>Written law contravened</w:t>
            </w:r>
          </w:p>
        </w:tc>
        <w:tc>
          <w:tcPr>
            <w:tcW w:w="4111" w:type="dxa"/>
            <w:gridSpan w:val="5"/>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276" w:type="dxa"/>
            <w:vMerge/>
          </w:tcPr>
          <w:p>
            <w:pPr>
              <w:pStyle w:val="zyTableNAm"/>
              <w:rPr>
                <w:b/>
                <w:szCs w:val="22"/>
              </w:rPr>
            </w:pPr>
          </w:p>
        </w:tc>
        <w:tc>
          <w:tcPr>
            <w:tcW w:w="1417" w:type="dxa"/>
            <w:gridSpan w:val="2"/>
            <w:vMerge w:val="restart"/>
          </w:tcPr>
          <w:p>
            <w:pPr>
              <w:pStyle w:val="yTableNAm"/>
            </w:pPr>
            <w:r>
              <w:rPr>
                <w:szCs w:val="22"/>
              </w:rPr>
              <w:t>Details of offence</w:t>
            </w:r>
          </w:p>
        </w:tc>
        <w:tc>
          <w:tcPr>
            <w:tcW w:w="4111" w:type="dxa"/>
            <w:gridSpan w:val="5"/>
          </w:tcPr>
          <w:p>
            <w:pPr>
              <w:pStyle w:val="yTableNAm"/>
            </w:pPr>
          </w:p>
        </w:tc>
      </w:tr>
      <w:tr>
        <w:trPr>
          <w:cantSplit/>
          <w:trHeight w:val="310"/>
        </w:trPr>
        <w:tc>
          <w:tcPr>
            <w:tcW w:w="1276" w:type="dxa"/>
            <w:vMerge/>
          </w:tcPr>
          <w:p>
            <w:pPr>
              <w:pStyle w:val="zyTableNAm"/>
              <w:rPr>
                <w:b/>
                <w:szCs w:val="22"/>
              </w:rPr>
            </w:pPr>
          </w:p>
        </w:tc>
        <w:tc>
          <w:tcPr>
            <w:tcW w:w="1417" w:type="dxa"/>
            <w:gridSpan w:val="2"/>
            <w:vMerge/>
          </w:tcPr>
          <w:p>
            <w:pPr>
              <w:pStyle w:val="zyTableNAm"/>
              <w:rPr>
                <w:szCs w:val="22"/>
              </w:rPr>
            </w:pPr>
          </w:p>
        </w:tc>
        <w:tc>
          <w:tcPr>
            <w:tcW w:w="4111" w:type="dxa"/>
            <w:gridSpan w:val="5"/>
          </w:tcPr>
          <w:p>
            <w:pPr>
              <w:pStyle w:val="yTableNAm"/>
            </w:pPr>
          </w:p>
        </w:tc>
      </w:tr>
      <w:tr>
        <w:trPr>
          <w:cantSplit/>
        </w:trPr>
        <w:tc>
          <w:tcPr>
            <w:tcW w:w="1276" w:type="dxa"/>
          </w:tcPr>
          <w:p>
            <w:pPr>
              <w:pStyle w:val="yTableNAm"/>
            </w:pPr>
            <w:r>
              <w:rPr>
                <w:b/>
                <w:szCs w:val="22"/>
              </w:rPr>
              <w:t>Date</w:t>
            </w:r>
          </w:p>
        </w:tc>
        <w:tc>
          <w:tcPr>
            <w:tcW w:w="1417" w:type="dxa"/>
            <w:gridSpan w:val="2"/>
          </w:tcPr>
          <w:p>
            <w:pPr>
              <w:pStyle w:val="yTableNAm"/>
            </w:pPr>
            <w:r>
              <w:rPr>
                <w:szCs w:val="22"/>
              </w:rPr>
              <w:t>Date of notice</w:t>
            </w:r>
          </w:p>
        </w:tc>
        <w:tc>
          <w:tcPr>
            <w:tcW w:w="4111" w:type="dxa"/>
            <w:gridSpan w:val="5"/>
          </w:tcPr>
          <w:p>
            <w:pPr>
              <w:pStyle w:val="yTableNAm"/>
            </w:pPr>
          </w:p>
        </w:tc>
      </w:tr>
      <w:tr>
        <w:trPr>
          <w:cantSplit/>
        </w:trPr>
        <w:tc>
          <w:tcPr>
            <w:tcW w:w="1276" w:type="dxa"/>
            <w:vMerge w:val="restart"/>
          </w:tcPr>
          <w:p>
            <w:pPr>
              <w:pStyle w:val="yTableNAm"/>
            </w:pPr>
            <w:r>
              <w:rPr>
                <w:b/>
                <w:szCs w:val="22"/>
              </w:rPr>
              <w:t>Issuing officer</w:t>
            </w:r>
          </w:p>
        </w:tc>
        <w:tc>
          <w:tcPr>
            <w:tcW w:w="1417" w:type="dxa"/>
            <w:gridSpan w:val="2"/>
          </w:tcPr>
          <w:p>
            <w:pPr>
              <w:pStyle w:val="yTableNAm"/>
            </w:pPr>
            <w:r>
              <w:rPr>
                <w:szCs w:val="22"/>
              </w:rPr>
              <w:t>Name</w:t>
            </w:r>
          </w:p>
        </w:tc>
        <w:tc>
          <w:tcPr>
            <w:tcW w:w="4111" w:type="dxa"/>
            <w:gridSpan w:val="5"/>
          </w:tcPr>
          <w:p>
            <w:pPr>
              <w:pStyle w:val="yTableNAm"/>
            </w:pPr>
          </w:p>
        </w:tc>
      </w:tr>
      <w:tr>
        <w:trPr>
          <w:cantSplit/>
        </w:trPr>
        <w:tc>
          <w:tcPr>
            <w:tcW w:w="1276" w:type="dxa"/>
            <w:vMerge/>
          </w:tcPr>
          <w:p>
            <w:pPr>
              <w:pStyle w:val="zyTableNAm"/>
              <w:rPr>
                <w:b/>
                <w:szCs w:val="22"/>
              </w:rPr>
            </w:pPr>
          </w:p>
        </w:tc>
        <w:tc>
          <w:tcPr>
            <w:tcW w:w="1417" w:type="dxa"/>
            <w:gridSpan w:val="2"/>
          </w:tcPr>
          <w:p>
            <w:pPr>
              <w:pStyle w:val="yTableNAm"/>
            </w:pPr>
            <w:r>
              <w:rPr>
                <w:szCs w:val="22"/>
              </w:rPr>
              <w:t>Office</w:t>
            </w:r>
          </w:p>
        </w:tc>
        <w:tc>
          <w:tcPr>
            <w:tcW w:w="4111" w:type="dxa"/>
            <w:gridSpan w:val="5"/>
          </w:tcPr>
          <w:p>
            <w:pPr>
              <w:pStyle w:val="yTableNAm"/>
            </w:pPr>
          </w:p>
        </w:tc>
      </w:tr>
      <w:tr>
        <w:trPr>
          <w:cantSplit/>
        </w:trPr>
        <w:tc>
          <w:tcPr>
            <w:tcW w:w="1276" w:type="dxa"/>
            <w:vMerge/>
          </w:tcPr>
          <w:p>
            <w:pPr>
              <w:pStyle w:val="zyTableNAm"/>
              <w:rPr>
                <w:szCs w:val="22"/>
              </w:rPr>
            </w:pPr>
          </w:p>
        </w:tc>
        <w:tc>
          <w:tcPr>
            <w:tcW w:w="1417" w:type="dxa"/>
            <w:gridSpan w:val="2"/>
          </w:tcPr>
          <w:p>
            <w:pPr>
              <w:pStyle w:val="yTableNAm"/>
            </w:pPr>
            <w:r>
              <w:rPr>
                <w:szCs w:val="22"/>
              </w:rPr>
              <w:t>Signature</w:t>
            </w:r>
          </w:p>
        </w:tc>
        <w:tc>
          <w:tcPr>
            <w:tcW w:w="4111" w:type="dxa"/>
            <w:gridSpan w:val="5"/>
          </w:tcPr>
          <w:p>
            <w:pPr>
              <w:pStyle w:val="yTableNAm"/>
            </w:pPr>
          </w:p>
        </w:tc>
      </w:tr>
      <w:tr>
        <w:trPr>
          <w:trHeight w:val="604"/>
        </w:trPr>
        <w:tc>
          <w:tcPr>
            <w:tcW w:w="1276" w:type="dxa"/>
          </w:tcPr>
          <w:p>
            <w:pPr>
              <w:pStyle w:val="yTableNAm"/>
            </w:pPr>
            <w:r>
              <w:rPr>
                <w:b/>
                <w:szCs w:val="22"/>
              </w:rPr>
              <w:t>Modified penalty</w:t>
            </w:r>
          </w:p>
        </w:tc>
        <w:tc>
          <w:tcPr>
            <w:tcW w:w="5528" w:type="dxa"/>
            <w:gridSpan w:val="7"/>
          </w:tcPr>
          <w:p>
            <w:pPr>
              <w:pStyle w:val="yTableNAm"/>
            </w:pPr>
            <w:r>
              <w:rPr>
                <w:szCs w:val="22"/>
              </w:rPr>
              <w:t>$_____</w:t>
            </w:r>
          </w:p>
        </w:tc>
      </w:tr>
      <w:tr>
        <w:trPr>
          <w:trHeight w:val="560"/>
        </w:trPr>
        <w:tc>
          <w:tcPr>
            <w:tcW w:w="1276" w:type="dxa"/>
            <w:vMerge w:val="restart"/>
          </w:tcPr>
          <w:p>
            <w:pPr>
              <w:pStyle w:val="yTableNAm"/>
            </w:pPr>
            <w:r>
              <w:rPr>
                <w:b/>
                <w:szCs w:val="22"/>
              </w:rPr>
              <w:t>Penalty</w:t>
            </w:r>
          </w:p>
        </w:tc>
        <w:tc>
          <w:tcPr>
            <w:tcW w:w="1417" w:type="dxa"/>
            <w:gridSpan w:val="2"/>
          </w:tcPr>
          <w:p>
            <w:pPr>
              <w:pStyle w:val="yTableNAm"/>
            </w:pPr>
            <w:r>
              <w:rPr>
                <w:szCs w:val="22"/>
              </w:rPr>
              <w:t>Individual</w:t>
            </w:r>
          </w:p>
        </w:tc>
        <w:tc>
          <w:tcPr>
            <w:tcW w:w="1134" w:type="dxa"/>
          </w:tcPr>
          <w:p>
            <w:pPr>
              <w:pStyle w:val="yTableNAm"/>
            </w:pPr>
            <w:r>
              <w:rPr>
                <w:szCs w:val="22"/>
              </w:rPr>
              <w:t>$_____</w:t>
            </w:r>
          </w:p>
        </w:tc>
        <w:tc>
          <w:tcPr>
            <w:tcW w:w="2977"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276" w:type="dxa"/>
            <w:vMerge/>
          </w:tcPr>
          <w:p>
            <w:pPr>
              <w:pStyle w:val="zyTableNAm"/>
              <w:rPr>
                <w:b/>
                <w:szCs w:val="22"/>
              </w:rPr>
            </w:pPr>
          </w:p>
        </w:tc>
        <w:tc>
          <w:tcPr>
            <w:tcW w:w="1417" w:type="dxa"/>
            <w:gridSpan w:val="2"/>
          </w:tcPr>
          <w:p>
            <w:pPr>
              <w:pStyle w:val="yTableNAm"/>
            </w:pPr>
            <w:r>
              <w:rPr>
                <w:szCs w:val="22"/>
              </w:rPr>
              <w:t>Body corporate</w:t>
            </w:r>
          </w:p>
        </w:tc>
        <w:tc>
          <w:tcPr>
            <w:tcW w:w="1134" w:type="dxa"/>
          </w:tcPr>
          <w:p>
            <w:pPr>
              <w:pStyle w:val="yTableNAm"/>
            </w:pPr>
            <w:r>
              <w:rPr>
                <w:szCs w:val="22"/>
              </w:rPr>
              <w:t>$_____</w:t>
            </w:r>
          </w:p>
        </w:tc>
        <w:tc>
          <w:tcPr>
            <w:tcW w:w="2977" w:type="dxa"/>
            <w:gridSpan w:val="4"/>
            <w:vMerge/>
          </w:tcPr>
          <w:p>
            <w:pPr>
              <w:pStyle w:val="yTableNAm"/>
            </w:pPr>
          </w:p>
        </w:tc>
      </w:tr>
      <w:tr>
        <w:trPr>
          <w:trHeight w:val="401"/>
        </w:trPr>
        <w:tc>
          <w:tcPr>
            <w:tcW w:w="1276" w:type="dxa"/>
          </w:tcPr>
          <w:p>
            <w:pPr>
              <w:pStyle w:val="yTableNAm"/>
            </w:pPr>
            <w:r>
              <w:rPr>
                <w:b/>
                <w:szCs w:val="22"/>
              </w:rPr>
              <w:t>TAKE NOTICE</w:t>
            </w:r>
          </w:p>
        </w:tc>
        <w:tc>
          <w:tcPr>
            <w:tcW w:w="5528" w:type="dxa"/>
            <w:gridSpan w:val="7"/>
          </w:tcPr>
          <w:p>
            <w:pPr>
              <w:pStyle w:val="yTableNAm"/>
            </w:pPr>
            <w:r>
              <w:rPr>
                <w:szCs w:val="22"/>
              </w:rPr>
              <w:t>It is alleged that you have committed the above offence.</w:t>
            </w:r>
          </w:p>
          <w:p>
            <w:pPr>
              <w:pStyle w:val="yTableNAm"/>
            </w:pPr>
            <w:r>
              <w:rPr>
                <w:b/>
              </w:rPr>
              <w:t>If you do not want to be prosecuted in court for the offence</w:t>
            </w:r>
            <w:r>
              <w:t>, pay the modified penalty to the Approved Officer within 28 days after the date of this notice.</w:t>
            </w:r>
          </w:p>
          <w:p>
            <w:pPr>
              <w:pStyle w:val="yTableNAm"/>
            </w:pPr>
            <w:r>
              <w:rPr>
                <w:b/>
              </w:rPr>
              <w:t>If you do not pay</w:t>
            </w:r>
            <w:r>
              <w:t xml:space="preserve"> the modified penalty within 28 days, you may be prosecuted or enforcement action may be taken under the </w:t>
            </w:r>
            <w:r>
              <w:rPr>
                <w:i/>
              </w:rPr>
              <w:t>Fines, Penalties and Infringement Notices Enforcement Act 1994</w:t>
            </w:r>
            <w:r>
              <w:t>.  Under that Act your driver’s licence or vehicle licence may be suspended.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276" w:type="dxa"/>
            <w:vMerge w:val="restart"/>
          </w:tcPr>
          <w:p>
            <w:pPr>
              <w:pStyle w:val="yTableNAm"/>
            </w:pPr>
            <w:r>
              <w:rPr>
                <w:b/>
                <w:szCs w:val="22"/>
              </w:rPr>
              <w:t>How to pay</w:t>
            </w:r>
          </w:p>
        </w:tc>
        <w:tc>
          <w:tcPr>
            <w:tcW w:w="1134" w:type="dxa"/>
          </w:tcPr>
          <w:p>
            <w:pPr>
              <w:pStyle w:val="yTableNAm"/>
            </w:pPr>
            <w:r>
              <w:rPr>
                <w:szCs w:val="22"/>
              </w:rPr>
              <w:t>By post</w:t>
            </w:r>
          </w:p>
        </w:tc>
        <w:tc>
          <w:tcPr>
            <w:tcW w:w="4394" w:type="dxa"/>
            <w:gridSpan w:val="6"/>
          </w:tcPr>
          <w:p>
            <w:pPr>
              <w:pStyle w:val="yTableNAm"/>
            </w:pPr>
            <w:r>
              <w:rPr>
                <w:szCs w:val="22"/>
              </w:rPr>
              <w:t>Tick the relevant box below and post this notice to:</w:t>
            </w:r>
          </w:p>
          <w:p>
            <w:pPr>
              <w:pStyle w:val="yTableNAm"/>
            </w:pPr>
            <w:r>
              <w:t xml:space="preserve">Approved Officer — </w:t>
            </w:r>
            <w:r>
              <w:rPr>
                <w:i/>
              </w:rPr>
              <w:t>Building Act 2011</w:t>
            </w:r>
          </w:p>
          <w:p>
            <w:pPr>
              <w:pStyle w:val="yTableNAm"/>
              <w:rPr>
                <w:rFonts w:eastAsia="MS Mincho"/>
              </w:rPr>
            </w:pPr>
            <w:r>
              <w:rPr>
                <w:rFonts w:eastAsia="MS Mincho"/>
              </w:rPr>
              <w:t>[</w:t>
            </w:r>
            <w:r>
              <w:rPr>
                <w:rFonts w:eastAsia="MS Mincho"/>
                <w:i/>
              </w:rPr>
              <w:t>Address</w:t>
            </w:r>
            <w:r>
              <w:rPr>
                <w:rFonts w:eastAsia="MS Mincho"/>
              </w:rPr>
              <w:t>]</w:t>
            </w:r>
          </w:p>
          <w:p>
            <w:pPr>
              <w:pStyle w:val="yTableNAm"/>
              <w:ind w:left="589" w:hanging="589"/>
            </w:pPr>
            <w:r>
              <w:rPr>
                <w:rFonts w:eastAsia="MS Mincho"/>
              </w:rPr>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rStyle w:val="yTableNAmChar"/>
                <w:szCs w:val="22"/>
              </w:rPr>
            </w:pPr>
            <w:r>
              <w:rPr>
                <w:rStyle w:val="yTableNAmChar"/>
                <w:szCs w:val="22"/>
              </w:rPr>
              <w:t>Card type _____________________________</w:t>
            </w:r>
          </w:p>
          <w:p>
            <w:pPr>
              <w:pStyle w:val="yTableNAm"/>
              <w:rPr>
                <w:rStyle w:val="yTableNAmChar"/>
                <w:szCs w:val="22"/>
              </w:rPr>
            </w:pPr>
            <w:r>
              <w:rPr>
                <w:rStyle w:val="yTableNAmChar"/>
                <w:szCs w:val="22"/>
              </w:rPr>
              <w:t>Cardholder name _______________________</w:t>
            </w:r>
          </w:p>
          <w:p>
            <w:pPr>
              <w:pStyle w:val="yTableNAm"/>
              <w:rPr>
                <w:rStyle w:val="yTableNAmChar"/>
                <w:szCs w:val="22"/>
              </w:rPr>
            </w:pPr>
            <w:r>
              <w:rPr>
                <w:rStyle w:val="yTableNAmChar"/>
                <w:szCs w:val="22"/>
              </w:rPr>
              <w:t>Card number</w:t>
            </w:r>
          </w:p>
          <w:p>
            <w:pPr>
              <w:pStyle w:val="yTableNAm"/>
              <w:rPr>
                <w:rStyle w:val="yTableNAmChar"/>
                <w:szCs w:val="22"/>
              </w:rPr>
            </w:pPr>
            <w:r>
              <w:rPr>
                <w:rStyle w:val="yTableNAmChar"/>
                <w:szCs w:val="22"/>
              </w:rPr>
              <w:t>[ ] [ ] [ ] [ ] [ ] [ ] [ ] [ ] [ ] [ ] [ ] [ ] [ ] [ ] [ ] [ ]</w:t>
            </w:r>
          </w:p>
          <w:p>
            <w:pPr>
              <w:pStyle w:val="yTableNAm"/>
              <w:rPr>
                <w:rStyle w:val="yTableNAmChar"/>
                <w:szCs w:val="22"/>
              </w:rPr>
            </w:pPr>
            <w:r>
              <w:rPr>
                <w:rStyle w:val="yTableNAmChar"/>
                <w:szCs w:val="22"/>
              </w:rPr>
              <w:t>Expiry date of card _____/_____</w:t>
            </w:r>
          </w:p>
          <w:p>
            <w:pPr>
              <w:pStyle w:val="yTableNAm"/>
              <w:rPr>
                <w:rStyle w:val="yTableNAmChar"/>
                <w:szCs w:val="22"/>
              </w:rPr>
            </w:pPr>
            <w:r>
              <w:rPr>
                <w:rStyle w:val="yTableNAmChar"/>
                <w:szCs w:val="22"/>
              </w:rPr>
              <w:t>Amount $__________</w:t>
            </w:r>
          </w:p>
          <w:p>
            <w:pPr>
              <w:pStyle w:val="yTableNAm"/>
              <w:rPr>
                <w:rStyle w:val="yTableNAmChar"/>
                <w:szCs w:val="22"/>
              </w:rPr>
            </w:pPr>
            <w:r>
              <w:rPr>
                <w:rStyle w:val="yTableNAmChar"/>
                <w:szCs w:val="22"/>
              </w:rPr>
              <w:t>Signature ____________________</w:t>
            </w:r>
          </w:p>
          <w:p>
            <w:pPr>
              <w:pStyle w:val="yTableNAm"/>
            </w:pPr>
            <w:r>
              <w:rPr>
                <w:b/>
              </w:rPr>
              <w:t>Complete all details</w:t>
            </w:r>
          </w:p>
        </w:tc>
      </w:tr>
      <w:tr>
        <w:trPr>
          <w:trHeight w:val="401"/>
        </w:trPr>
        <w:tc>
          <w:tcPr>
            <w:tcW w:w="1276" w:type="dxa"/>
            <w:vMerge/>
          </w:tcPr>
          <w:p>
            <w:pPr>
              <w:pStyle w:val="zyTableNAm"/>
              <w:rPr>
                <w:b/>
                <w:szCs w:val="22"/>
              </w:rPr>
            </w:pPr>
          </w:p>
        </w:tc>
        <w:tc>
          <w:tcPr>
            <w:tcW w:w="1134" w:type="dxa"/>
          </w:tcPr>
          <w:p>
            <w:pPr>
              <w:pStyle w:val="yTableNAm"/>
            </w:pPr>
            <w:r>
              <w:rPr>
                <w:szCs w:val="22"/>
              </w:rPr>
              <w:t>In person</w:t>
            </w:r>
          </w:p>
        </w:tc>
        <w:tc>
          <w:tcPr>
            <w:tcW w:w="4394"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276" w:type="dxa"/>
          </w:tcPr>
          <w:p>
            <w:pPr>
              <w:pStyle w:val="yTableNAm"/>
            </w:pPr>
            <w:r>
              <w:rPr>
                <w:b/>
                <w:szCs w:val="22"/>
              </w:rPr>
              <w:t>Method of service</w:t>
            </w:r>
          </w:p>
        </w:tc>
        <w:tc>
          <w:tcPr>
            <w:tcW w:w="2977" w:type="dxa"/>
            <w:gridSpan w:val="4"/>
          </w:tcPr>
          <w:p>
            <w:pPr>
              <w:pStyle w:val="zyTableNAm"/>
              <w:rPr>
                <w:szCs w:val="22"/>
              </w:rPr>
            </w:pPr>
          </w:p>
        </w:tc>
        <w:tc>
          <w:tcPr>
            <w:tcW w:w="992" w:type="dxa"/>
            <w:gridSpan w:val="2"/>
            <w:shd w:val="clear" w:color="auto" w:fill="auto"/>
          </w:tcPr>
          <w:p>
            <w:pPr>
              <w:pStyle w:val="yTableNAm"/>
            </w:pPr>
            <w:r>
              <w:rPr>
                <w:b/>
                <w:szCs w:val="22"/>
              </w:rPr>
              <w:t>Date of service</w:t>
            </w:r>
          </w:p>
        </w:tc>
        <w:tc>
          <w:tcPr>
            <w:tcW w:w="1559" w:type="dxa"/>
            <w:shd w:val="clear" w:color="auto" w:fill="auto"/>
          </w:tcPr>
          <w:p>
            <w:pPr>
              <w:pStyle w:val="yTableNAm"/>
            </w:pPr>
          </w:p>
        </w:tc>
      </w:tr>
    </w:tbl>
    <w:p>
      <w:pPr>
        <w:pStyle w:val="yFootnotesection"/>
      </w:pPr>
      <w:r>
        <w:tab/>
        <w:t>[Form 1 inserted in Gazette 18 Dec 2012 p. 6577-80.]</w:t>
      </w:r>
    </w:p>
    <w:p>
      <w:pPr>
        <w:pStyle w:val="yMiscellaneousHeading"/>
        <w:jc w:val="left"/>
        <w:rPr>
          <w:b/>
        </w:rPr>
      </w:pPr>
      <w:r>
        <w:rPr>
          <w:b/>
        </w:rPr>
        <w:t>Form 2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992"/>
        <w:gridCol w:w="851"/>
        <w:gridCol w:w="283"/>
        <w:gridCol w:w="1701"/>
      </w:tblGrid>
      <w:tr>
        <w:trPr>
          <w:cantSplit/>
          <w:trHeight w:val="282"/>
        </w:trPr>
        <w:tc>
          <w:tcPr>
            <w:tcW w:w="4820" w:type="dxa"/>
            <w:gridSpan w:val="4"/>
          </w:tcPr>
          <w:p>
            <w:pPr>
              <w:pStyle w:val="yTableNAm"/>
              <w:jc w:val="center"/>
            </w:pPr>
            <w:r>
              <w:rPr>
                <w:b/>
                <w:szCs w:val="22"/>
              </w:rPr>
              <w:br w:type="page"/>
            </w:r>
            <w:r>
              <w:rPr>
                <w:i/>
                <w:szCs w:val="22"/>
              </w:rPr>
              <w:t>Building Act 2011</w:t>
            </w:r>
          </w:p>
          <w:p>
            <w:pPr>
              <w:pStyle w:val="yTableNAm"/>
              <w:jc w:val="center"/>
              <w:rPr>
                <w:i/>
              </w:rPr>
            </w:pPr>
            <w:r>
              <w:rPr>
                <w:i/>
              </w:rPr>
              <w:t>Building Regulations 2012</w:t>
            </w:r>
          </w:p>
          <w:p>
            <w:pPr>
              <w:pStyle w:val="yTableNAm"/>
              <w:jc w:val="center"/>
              <w:rPr>
                <w:b/>
                <w:sz w:val="28"/>
                <w:szCs w:val="28"/>
              </w:rPr>
            </w:pPr>
            <w:r>
              <w:rPr>
                <w:b/>
                <w:sz w:val="28"/>
                <w:szCs w:val="28"/>
              </w:rPr>
              <w:t>WITHDRAWAL OF INFRINGEMENT NOTICE</w:t>
            </w:r>
          </w:p>
        </w:tc>
        <w:tc>
          <w:tcPr>
            <w:tcW w:w="1984" w:type="dxa"/>
            <w:gridSpan w:val="2"/>
            <w:tcBorders>
              <w:bottom w:val="single" w:sz="4" w:space="0" w:color="auto"/>
            </w:tcBorders>
          </w:tcPr>
          <w:p>
            <w:pPr>
              <w:pStyle w:val="yTableNAm"/>
            </w:pPr>
            <w:r>
              <w:rPr>
                <w:szCs w:val="22"/>
              </w:rPr>
              <w:t>Withdrawal no.</w:t>
            </w:r>
          </w:p>
        </w:tc>
      </w:tr>
      <w:tr>
        <w:trPr>
          <w:cantSplit/>
          <w:trHeight w:val="150"/>
        </w:trPr>
        <w:tc>
          <w:tcPr>
            <w:tcW w:w="1559" w:type="dxa"/>
            <w:vMerge w:val="restart"/>
          </w:tcPr>
          <w:p>
            <w:pPr>
              <w:pStyle w:val="yTableNAm"/>
            </w:pPr>
            <w:r>
              <w:rPr>
                <w:b/>
                <w:szCs w:val="22"/>
              </w:rPr>
              <w:t>Alleged offender</w:t>
            </w:r>
          </w:p>
        </w:tc>
        <w:tc>
          <w:tcPr>
            <w:tcW w:w="1418" w:type="dxa"/>
            <w:vMerge w:val="restart"/>
          </w:tcPr>
          <w:p>
            <w:pPr>
              <w:pStyle w:val="yTableNAm"/>
            </w:pPr>
            <w:r>
              <w:rPr>
                <w:szCs w:val="22"/>
              </w:rPr>
              <w:t>Name</w:t>
            </w:r>
          </w:p>
        </w:tc>
        <w:tc>
          <w:tcPr>
            <w:tcW w:w="3827" w:type="dxa"/>
            <w:gridSpan w:val="4"/>
          </w:tcPr>
          <w:p>
            <w:pPr>
              <w:pStyle w:val="yTableNAm"/>
            </w:pPr>
          </w:p>
        </w:tc>
      </w:tr>
      <w:tr>
        <w:trPr>
          <w:cantSplit/>
          <w:trHeight w:val="150"/>
        </w:trPr>
        <w:tc>
          <w:tcPr>
            <w:tcW w:w="1559" w:type="dxa"/>
            <w:vMerge/>
          </w:tcPr>
          <w:p>
            <w:pPr>
              <w:pStyle w:val="zyTableNAm"/>
              <w:rPr>
                <w:b/>
                <w:szCs w:val="22"/>
              </w:rPr>
            </w:pPr>
          </w:p>
        </w:tc>
        <w:tc>
          <w:tcPr>
            <w:tcW w:w="1418" w:type="dxa"/>
            <w:vMerge/>
          </w:tcPr>
          <w:p>
            <w:pPr>
              <w:pStyle w:val="zyTableNAm"/>
              <w:rPr>
                <w:szCs w:val="22"/>
              </w:rPr>
            </w:pPr>
          </w:p>
        </w:tc>
        <w:tc>
          <w:tcPr>
            <w:tcW w:w="3827" w:type="dxa"/>
            <w:gridSpan w:val="4"/>
          </w:tcPr>
          <w:p>
            <w:pPr>
              <w:pStyle w:val="yTableNAm"/>
            </w:pPr>
          </w:p>
        </w:tc>
      </w:tr>
      <w:tr>
        <w:trPr>
          <w:cantSplit/>
          <w:trHeight w:val="150"/>
        </w:trPr>
        <w:tc>
          <w:tcPr>
            <w:tcW w:w="1559" w:type="dxa"/>
            <w:vMerge/>
          </w:tcPr>
          <w:p>
            <w:pPr>
              <w:pStyle w:val="zyTableNAm"/>
              <w:rPr>
                <w:b/>
                <w:szCs w:val="22"/>
              </w:rPr>
            </w:pPr>
          </w:p>
        </w:tc>
        <w:tc>
          <w:tcPr>
            <w:tcW w:w="1418" w:type="dxa"/>
            <w:vMerge w:val="restart"/>
          </w:tcPr>
          <w:p>
            <w:pPr>
              <w:pStyle w:val="yTableNAm"/>
            </w:pPr>
            <w:r>
              <w:rPr>
                <w:szCs w:val="22"/>
              </w:rPr>
              <w:t>Address</w:t>
            </w:r>
          </w:p>
        </w:tc>
        <w:tc>
          <w:tcPr>
            <w:tcW w:w="3827" w:type="dxa"/>
            <w:gridSpan w:val="4"/>
          </w:tcPr>
          <w:p>
            <w:pPr>
              <w:pStyle w:val="yTableNAm"/>
            </w:pPr>
          </w:p>
        </w:tc>
      </w:tr>
      <w:tr>
        <w:trPr>
          <w:cantSplit/>
          <w:trHeight w:val="150"/>
        </w:trPr>
        <w:tc>
          <w:tcPr>
            <w:tcW w:w="1559" w:type="dxa"/>
            <w:vMerge/>
          </w:tcPr>
          <w:p>
            <w:pPr>
              <w:pStyle w:val="zyTableNAm"/>
              <w:rPr>
                <w:b/>
                <w:szCs w:val="22"/>
              </w:rPr>
            </w:pPr>
          </w:p>
        </w:tc>
        <w:tc>
          <w:tcPr>
            <w:tcW w:w="1418" w:type="dxa"/>
            <w:vMerge/>
          </w:tcPr>
          <w:p>
            <w:pPr>
              <w:pStyle w:val="zyTableNAm"/>
              <w:rPr>
                <w:szCs w:val="22"/>
              </w:rPr>
            </w:pPr>
          </w:p>
        </w:tc>
        <w:tc>
          <w:tcPr>
            <w:tcW w:w="3827" w:type="dxa"/>
            <w:gridSpan w:val="4"/>
          </w:tcPr>
          <w:p>
            <w:pPr>
              <w:pStyle w:val="yTableNAm"/>
            </w:pPr>
          </w:p>
        </w:tc>
      </w:tr>
      <w:tr>
        <w:trPr>
          <w:cantSplit/>
          <w:trHeight w:val="150"/>
        </w:trPr>
        <w:tc>
          <w:tcPr>
            <w:tcW w:w="1559" w:type="dxa"/>
            <w:vMerge w:val="restart"/>
          </w:tcPr>
          <w:p>
            <w:pPr>
              <w:pStyle w:val="yTableNAm"/>
            </w:pPr>
            <w:r>
              <w:rPr>
                <w:b/>
                <w:szCs w:val="22"/>
              </w:rPr>
              <w:t>Details of infringement notice</w:t>
            </w:r>
          </w:p>
        </w:tc>
        <w:tc>
          <w:tcPr>
            <w:tcW w:w="1418" w:type="dxa"/>
          </w:tcPr>
          <w:p>
            <w:pPr>
              <w:pStyle w:val="yTableNAm"/>
            </w:pPr>
            <w:r>
              <w:rPr>
                <w:szCs w:val="22"/>
              </w:rPr>
              <w:t>Infringement notice no.</w:t>
            </w:r>
          </w:p>
        </w:tc>
        <w:tc>
          <w:tcPr>
            <w:tcW w:w="3827" w:type="dxa"/>
            <w:gridSpan w:val="4"/>
          </w:tcPr>
          <w:p>
            <w:pPr>
              <w:pStyle w:val="yTableNAm"/>
            </w:pPr>
          </w:p>
        </w:tc>
      </w:tr>
      <w:tr>
        <w:trPr>
          <w:cantSplit/>
          <w:trHeight w:val="150"/>
        </w:trPr>
        <w:tc>
          <w:tcPr>
            <w:tcW w:w="1559" w:type="dxa"/>
            <w:vMerge/>
          </w:tcPr>
          <w:p>
            <w:pPr>
              <w:pStyle w:val="zyTableNAm"/>
              <w:rPr>
                <w:b/>
                <w:szCs w:val="22"/>
              </w:rPr>
            </w:pPr>
          </w:p>
        </w:tc>
        <w:tc>
          <w:tcPr>
            <w:tcW w:w="1418" w:type="dxa"/>
          </w:tcPr>
          <w:p>
            <w:pPr>
              <w:pStyle w:val="yTableNAm"/>
            </w:pPr>
            <w:r>
              <w:rPr>
                <w:szCs w:val="22"/>
              </w:rPr>
              <w:t>Date of issue</w:t>
            </w:r>
          </w:p>
        </w:tc>
        <w:tc>
          <w:tcPr>
            <w:tcW w:w="3827" w:type="dxa"/>
            <w:gridSpan w:val="4"/>
          </w:tcPr>
          <w:p>
            <w:pPr>
              <w:pStyle w:val="yTableNAm"/>
            </w:pPr>
          </w:p>
        </w:tc>
      </w:tr>
      <w:tr>
        <w:trPr>
          <w:cantSplit/>
          <w:trHeight w:val="150"/>
        </w:trPr>
        <w:tc>
          <w:tcPr>
            <w:tcW w:w="1559" w:type="dxa"/>
            <w:vMerge w:val="restart"/>
          </w:tcPr>
          <w:p>
            <w:pPr>
              <w:pStyle w:val="yTableNAm"/>
            </w:pPr>
            <w:r>
              <w:rPr>
                <w:b/>
                <w:szCs w:val="22"/>
              </w:rPr>
              <w:t>Details of alleged offence</w:t>
            </w:r>
          </w:p>
        </w:tc>
        <w:tc>
          <w:tcPr>
            <w:tcW w:w="1418" w:type="dxa"/>
          </w:tcPr>
          <w:p>
            <w:pPr>
              <w:pStyle w:val="yTableNAm"/>
            </w:pPr>
            <w:r>
              <w:rPr>
                <w:szCs w:val="22"/>
              </w:rPr>
              <w:t>Date or period</w:t>
            </w:r>
          </w:p>
        </w:tc>
        <w:tc>
          <w:tcPr>
            <w:tcW w:w="3827" w:type="dxa"/>
            <w:gridSpan w:val="4"/>
          </w:tcPr>
          <w:p>
            <w:pPr>
              <w:pStyle w:val="yTableNAm"/>
            </w:pPr>
          </w:p>
        </w:tc>
      </w:tr>
      <w:tr>
        <w:trPr>
          <w:cantSplit/>
          <w:trHeight w:val="150"/>
        </w:trPr>
        <w:tc>
          <w:tcPr>
            <w:tcW w:w="1559" w:type="dxa"/>
            <w:vMerge/>
          </w:tcPr>
          <w:p>
            <w:pPr>
              <w:pStyle w:val="zyTableNAm"/>
              <w:rPr>
                <w:b/>
                <w:szCs w:val="22"/>
              </w:rPr>
            </w:pPr>
          </w:p>
        </w:tc>
        <w:tc>
          <w:tcPr>
            <w:tcW w:w="1418" w:type="dxa"/>
          </w:tcPr>
          <w:p>
            <w:pPr>
              <w:pStyle w:val="yTableNAm"/>
            </w:pPr>
            <w:r>
              <w:rPr>
                <w:szCs w:val="22"/>
              </w:rPr>
              <w:t>Place</w:t>
            </w:r>
          </w:p>
        </w:tc>
        <w:tc>
          <w:tcPr>
            <w:tcW w:w="3827" w:type="dxa"/>
            <w:gridSpan w:val="4"/>
          </w:tcPr>
          <w:p>
            <w:pPr>
              <w:pStyle w:val="yTableNAm"/>
            </w:pPr>
          </w:p>
        </w:tc>
      </w:tr>
      <w:tr>
        <w:trPr>
          <w:cantSplit/>
          <w:trHeight w:val="150"/>
        </w:trPr>
        <w:tc>
          <w:tcPr>
            <w:tcW w:w="1559" w:type="dxa"/>
            <w:vMerge/>
          </w:tcPr>
          <w:p>
            <w:pPr>
              <w:pStyle w:val="zyTableNAm"/>
              <w:rPr>
                <w:b/>
                <w:szCs w:val="22"/>
              </w:rPr>
            </w:pPr>
          </w:p>
        </w:tc>
        <w:tc>
          <w:tcPr>
            <w:tcW w:w="1418" w:type="dxa"/>
          </w:tcPr>
          <w:p>
            <w:pPr>
              <w:pStyle w:val="yTableNAm"/>
            </w:pPr>
            <w:r>
              <w:rPr>
                <w:szCs w:val="22"/>
              </w:rPr>
              <w:t>Written law contravened</w:t>
            </w:r>
          </w:p>
        </w:tc>
        <w:tc>
          <w:tcPr>
            <w:tcW w:w="3827" w:type="dxa"/>
            <w:gridSpan w:val="4"/>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559" w:type="dxa"/>
            <w:vMerge/>
          </w:tcPr>
          <w:p>
            <w:pPr>
              <w:pStyle w:val="zyTableNAm"/>
              <w:rPr>
                <w:b/>
                <w:szCs w:val="22"/>
              </w:rPr>
            </w:pPr>
          </w:p>
        </w:tc>
        <w:tc>
          <w:tcPr>
            <w:tcW w:w="1418" w:type="dxa"/>
            <w:vMerge w:val="restart"/>
          </w:tcPr>
          <w:p>
            <w:pPr>
              <w:pStyle w:val="yTableNAm"/>
            </w:pPr>
            <w:r>
              <w:rPr>
                <w:szCs w:val="22"/>
              </w:rPr>
              <w:t>Details of offence</w:t>
            </w:r>
          </w:p>
        </w:tc>
        <w:tc>
          <w:tcPr>
            <w:tcW w:w="3827" w:type="dxa"/>
            <w:gridSpan w:val="4"/>
          </w:tcPr>
          <w:p>
            <w:pPr>
              <w:pStyle w:val="yTableNAm"/>
            </w:pPr>
          </w:p>
        </w:tc>
      </w:tr>
      <w:tr>
        <w:trPr>
          <w:cantSplit/>
          <w:trHeight w:val="310"/>
        </w:trPr>
        <w:tc>
          <w:tcPr>
            <w:tcW w:w="1559" w:type="dxa"/>
            <w:vMerge/>
          </w:tcPr>
          <w:p>
            <w:pPr>
              <w:pStyle w:val="zyTableNAm"/>
              <w:rPr>
                <w:b/>
                <w:szCs w:val="22"/>
              </w:rPr>
            </w:pPr>
          </w:p>
        </w:tc>
        <w:tc>
          <w:tcPr>
            <w:tcW w:w="1418" w:type="dxa"/>
            <w:vMerge/>
          </w:tcPr>
          <w:p>
            <w:pPr>
              <w:pStyle w:val="zyTableNAm"/>
              <w:rPr>
                <w:szCs w:val="22"/>
              </w:rPr>
            </w:pPr>
          </w:p>
        </w:tc>
        <w:tc>
          <w:tcPr>
            <w:tcW w:w="3827" w:type="dxa"/>
            <w:gridSpan w:val="4"/>
          </w:tcPr>
          <w:p>
            <w:pPr>
              <w:pStyle w:val="yTableNAm"/>
            </w:pPr>
          </w:p>
        </w:tc>
      </w:tr>
      <w:tr>
        <w:trPr>
          <w:cantSplit/>
        </w:trPr>
        <w:tc>
          <w:tcPr>
            <w:tcW w:w="1559" w:type="dxa"/>
            <w:vMerge w:val="restart"/>
          </w:tcPr>
          <w:p>
            <w:pPr>
              <w:pStyle w:val="yTableNAm"/>
            </w:pPr>
            <w:r>
              <w:rPr>
                <w:b/>
                <w:szCs w:val="22"/>
              </w:rPr>
              <w:t>Approved Officer withdrawing notice</w:t>
            </w:r>
          </w:p>
        </w:tc>
        <w:tc>
          <w:tcPr>
            <w:tcW w:w="1418" w:type="dxa"/>
          </w:tcPr>
          <w:p>
            <w:pPr>
              <w:pStyle w:val="yTableNAm"/>
            </w:pPr>
            <w:r>
              <w:rPr>
                <w:szCs w:val="22"/>
              </w:rPr>
              <w:t>Name</w:t>
            </w:r>
          </w:p>
        </w:tc>
        <w:tc>
          <w:tcPr>
            <w:tcW w:w="3827" w:type="dxa"/>
            <w:gridSpan w:val="4"/>
          </w:tcPr>
          <w:p>
            <w:pPr>
              <w:pStyle w:val="yTableNAm"/>
            </w:pPr>
          </w:p>
        </w:tc>
      </w:tr>
      <w:tr>
        <w:trPr>
          <w:cantSplit/>
          <w:trHeight w:val="370"/>
        </w:trPr>
        <w:tc>
          <w:tcPr>
            <w:tcW w:w="1559" w:type="dxa"/>
            <w:vMerge/>
          </w:tcPr>
          <w:p>
            <w:pPr>
              <w:pStyle w:val="zyTableNAm"/>
              <w:rPr>
                <w:szCs w:val="22"/>
              </w:rPr>
            </w:pPr>
          </w:p>
        </w:tc>
        <w:tc>
          <w:tcPr>
            <w:tcW w:w="1418" w:type="dxa"/>
          </w:tcPr>
          <w:p>
            <w:pPr>
              <w:pStyle w:val="yTableNAm"/>
            </w:pPr>
            <w:r>
              <w:rPr>
                <w:szCs w:val="22"/>
              </w:rPr>
              <w:t>Office</w:t>
            </w:r>
          </w:p>
        </w:tc>
        <w:tc>
          <w:tcPr>
            <w:tcW w:w="3827" w:type="dxa"/>
            <w:gridSpan w:val="4"/>
          </w:tcPr>
          <w:p>
            <w:pPr>
              <w:pStyle w:val="yTableNAm"/>
            </w:pPr>
          </w:p>
        </w:tc>
      </w:tr>
      <w:tr>
        <w:trPr>
          <w:cantSplit/>
          <w:trHeight w:val="370"/>
        </w:trPr>
        <w:tc>
          <w:tcPr>
            <w:tcW w:w="1559" w:type="dxa"/>
            <w:vMerge/>
          </w:tcPr>
          <w:p>
            <w:pPr>
              <w:pStyle w:val="zyTableNAm"/>
              <w:rPr>
                <w:szCs w:val="22"/>
              </w:rPr>
            </w:pPr>
          </w:p>
        </w:tc>
        <w:tc>
          <w:tcPr>
            <w:tcW w:w="1418" w:type="dxa"/>
          </w:tcPr>
          <w:p>
            <w:pPr>
              <w:pStyle w:val="yTableNAm"/>
            </w:pPr>
            <w:r>
              <w:rPr>
                <w:szCs w:val="22"/>
              </w:rPr>
              <w:t>Signature</w:t>
            </w:r>
          </w:p>
        </w:tc>
        <w:tc>
          <w:tcPr>
            <w:tcW w:w="3827" w:type="dxa"/>
            <w:gridSpan w:val="4"/>
          </w:tcPr>
          <w:p>
            <w:pPr>
              <w:pStyle w:val="yTableNAm"/>
            </w:pPr>
          </w:p>
        </w:tc>
      </w:tr>
      <w:tr>
        <w:trPr>
          <w:cantSplit/>
        </w:trPr>
        <w:tc>
          <w:tcPr>
            <w:tcW w:w="1559" w:type="dxa"/>
          </w:tcPr>
          <w:p>
            <w:pPr>
              <w:pStyle w:val="yTableNAm"/>
            </w:pPr>
            <w:r>
              <w:rPr>
                <w:b/>
                <w:szCs w:val="22"/>
              </w:rPr>
              <w:t>Date</w:t>
            </w:r>
          </w:p>
        </w:tc>
        <w:tc>
          <w:tcPr>
            <w:tcW w:w="1418" w:type="dxa"/>
          </w:tcPr>
          <w:p>
            <w:pPr>
              <w:pStyle w:val="yTableNAm"/>
            </w:pPr>
            <w:r>
              <w:rPr>
                <w:szCs w:val="22"/>
              </w:rPr>
              <w:t>Date of withdrawal</w:t>
            </w:r>
          </w:p>
        </w:tc>
        <w:tc>
          <w:tcPr>
            <w:tcW w:w="3827" w:type="dxa"/>
            <w:gridSpan w:val="4"/>
          </w:tcPr>
          <w:p>
            <w:pPr>
              <w:pStyle w:val="yTableNAm"/>
            </w:pPr>
          </w:p>
        </w:tc>
      </w:tr>
      <w:tr>
        <w:trPr>
          <w:cantSplit/>
          <w:trHeight w:val="1097"/>
        </w:trPr>
        <w:tc>
          <w:tcPr>
            <w:tcW w:w="1559" w:type="dxa"/>
          </w:tcPr>
          <w:p>
            <w:pPr>
              <w:pStyle w:val="yTableNAm"/>
            </w:pPr>
            <w:r>
              <w:rPr>
                <w:b/>
                <w:szCs w:val="22"/>
              </w:rPr>
              <w:t>Withdrawal of infringement notice</w:t>
            </w:r>
          </w:p>
          <w:p>
            <w:pPr>
              <w:pStyle w:val="yTableNAm"/>
              <w:rPr>
                <w:i/>
              </w:rPr>
            </w:pPr>
            <w:r>
              <w:rPr>
                <w:i/>
              </w:rPr>
              <w:t>[*Delete whichever is not applicable]</w:t>
            </w:r>
          </w:p>
        </w:tc>
        <w:tc>
          <w:tcPr>
            <w:tcW w:w="5245"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tabs>
                <w:tab w:val="left" w:pos="1155"/>
              </w:tabs>
              <w:ind w:left="1155" w:hanging="1155"/>
            </w:pPr>
            <w:r>
              <w:rPr>
                <w:i/>
              </w:rPr>
              <w:tab/>
              <w:t>*</w:t>
            </w:r>
            <w:r>
              <w:tab/>
              <w:t>Your refund is enclosed</w:t>
            </w:r>
          </w:p>
          <w:p>
            <w:pPr>
              <w:pStyle w:val="yTableNAm"/>
              <w:rPr>
                <w:i/>
              </w:rPr>
            </w:pPr>
            <w:r>
              <w:rPr>
                <w:i/>
              </w:rPr>
              <w:t>or</w:t>
            </w:r>
          </w:p>
          <w:p>
            <w:pPr>
              <w:pStyle w:val="yTableNAm"/>
              <w:tabs>
                <w:tab w:val="left" w:pos="1155"/>
              </w:tabs>
              <w:ind w:left="1155" w:hanging="1155"/>
            </w:pPr>
            <w:r>
              <w:tab/>
            </w:r>
            <w:r>
              <w:rPr>
                <w:i/>
              </w:rPr>
              <w:t>*</w:t>
            </w:r>
            <w:r>
              <w:tab/>
              <w:t>If you have paid the modified penalty but a refund is not enclosed, you may claim your refund by signing and dating this notice and posting it to:</w:t>
            </w:r>
          </w:p>
          <w:p>
            <w:pPr>
              <w:pStyle w:val="yTableNAm"/>
              <w:tabs>
                <w:tab w:val="left" w:pos="1155"/>
              </w:tabs>
              <w:ind w:left="1155" w:hanging="1155"/>
            </w:pPr>
            <w:r>
              <w:tab/>
            </w:r>
            <w:r>
              <w:tab/>
              <w:t xml:space="preserve">Approved Officer — </w:t>
            </w:r>
            <w:r>
              <w:rPr>
                <w:i/>
              </w:rPr>
              <w:t>Building Act 2011</w:t>
            </w:r>
          </w:p>
          <w:p>
            <w:pPr>
              <w:pStyle w:val="yTableNAm"/>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59" w:type="dxa"/>
          </w:tcPr>
          <w:p>
            <w:pPr>
              <w:pStyle w:val="yTableNAm"/>
            </w:pPr>
            <w:r>
              <w:rPr>
                <w:b/>
                <w:szCs w:val="22"/>
              </w:rPr>
              <w:t>Your signature</w:t>
            </w:r>
          </w:p>
        </w:tc>
        <w:tc>
          <w:tcPr>
            <w:tcW w:w="2410" w:type="dxa"/>
            <w:gridSpan w:val="2"/>
          </w:tcPr>
          <w:p>
            <w:pPr>
              <w:pStyle w:val="zyTableNAm"/>
              <w:rPr>
                <w:szCs w:val="22"/>
              </w:rPr>
            </w:pPr>
          </w:p>
        </w:tc>
        <w:tc>
          <w:tcPr>
            <w:tcW w:w="1134" w:type="dxa"/>
            <w:gridSpan w:val="2"/>
          </w:tcPr>
          <w:p>
            <w:pPr>
              <w:pStyle w:val="yTableNAm"/>
            </w:pPr>
            <w:r>
              <w:rPr>
                <w:b/>
                <w:szCs w:val="22"/>
              </w:rPr>
              <w:t>Date</w:t>
            </w:r>
          </w:p>
        </w:tc>
        <w:tc>
          <w:tcPr>
            <w:tcW w:w="1701" w:type="dxa"/>
          </w:tcPr>
          <w:p>
            <w:pPr>
              <w:pStyle w:val="yTableNAm"/>
            </w:pPr>
          </w:p>
        </w:tc>
      </w:tr>
    </w:tbl>
    <w:p>
      <w:pPr>
        <w:pStyle w:val="yFootnotesection"/>
      </w:pPr>
      <w:r>
        <w:tab/>
        <w:t>[Form 2 inserted in Gazette 18 Dec 2012 p. 6580-1.]</w:t>
      </w:r>
    </w:p>
    <w:p>
      <w:pPr>
        <w:pStyle w:val="Subsection"/>
        <w:outlineLvl w:val="0"/>
        <w:sectPr>
          <w:headerReference w:type="even" r:id="rId32"/>
          <w:headerReference w:type="default" r:id="rId33"/>
          <w:endnotePr>
            <w:numFmt w:val="decimal"/>
          </w:endnotePr>
          <w:pgSz w:w="11907" w:h="16840" w:code="9"/>
          <w:pgMar w:top="2381" w:right="2410" w:bottom="3544" w:left="2410" w:header="720" w:footer="3380" w:gutter="0"/>
          <w:cols w:space="720"/>
          <w:docGrid w:linePitch="78"/>
        </w:sectPr>
      </w:pPr>
    </w:p>
    <w:p>
      <w:pPr>
        <w:pStyle w:val="nHeading2"/>
      </w:pPr>
      <w:bookmarkStart w:id="568" w:name="_Toc320625569"/>
      <w:bookmarkStart w:id="569" w:name="_Toc320625844"/>
      <w:bookmarkStart w:id="570" w:name="_Toc320697884"/>
      <w:bookmarkStart w:id="571" w:name="_Toc327448525"/>
      <w:bookmarkStart w:id="572" w:name="_Toc327450617"/>
      <w:bookmarkStart w:id="573" w:name="_Toc341960285"/>
      <w:bookmarkStart w:id="574" w:name="_Toc341960382"/>
      <w:bookmarkStart w:id="575" w:name="_Toc341960695"/>
      <w:bookmarkStart w:id="576" w:name="_Toc343509070"/>
      <w:bookmarkStart w:id="577" w:name="_Toc343510018"/>
      <w:bookmarkStart w:id="578" w:name="_Toc352666424"/>
      <w:bookmarkStart w:id="579" w:name="_Toc352667597"/>
      <w:bookmarkStart w:id="580" w:name="_Toc352667719"/>
      <w:r>
        <w:t>Notes</w:t>
      </w:r>
      <w:bookmarkEnd w:id="418"/>
      <w:bookmarkEnd w:id="419"/>
      <w:bookmarkEnd w:id="420"/>
      <w:bookmarkEnd w:id="421"/>
      <w:bookmarkEnd w:id="561"/>
      <w:bookmarkEnd w:id="562"/>
      <w:bookmarkEnd w:id="568"/>
      <w:bookmarkEnd w:id="569"/>
      <w:bookmarkEnd w:id="570"/>
      <w:bookmarkEnd w:id="571"/>
      <w:bookmarkEnd w:id="572"/>
      <w:bookmarkEnd w:id="573"/>
      <w:bookmarkEnd w:id="574"/>
      <w:bookmarkEnd w:id="575"/>
      <w:bookmarkEnd w:id="576"/>
      <w:bookmarkEnd w:id="577"/>
      <w:bookmarkEnd w:id="578"/>
      <w:bookmarkEnd w:id="579"/>
      <w:bookmarkEnd w:id="580"/>
    </w:p>
    <w:p>
      <w:pPr>
        <w:pStyle w:val="nSubsection"/>
        <w:rPr>
          <w:snapToGrid w:val="0"/>
        </w:rPr>
      </w:pPr>
      <w:r>
        <w:rPr>
          <w:snapToGrid w:val="0"/>
          <w:vertAlign w:val="superscript"/>
        </w:rPr>
        <w:t>1</w:t>
      </w:r>
      <w:r>
        <w:rPr>
          <w:snapToGrid w:val="0"/>
        </w:rPr>
        <w:tab/>
        <w:t xml:space="preserve">This is a compilation of the </w:t>
      </w:r>
      <w:r>
        <w:rPr>
          <w:i/>
        </w:rPr>
        <w:t>Building Regulations 2012</w:t>
      </w:r>
      <w:r>
        <w:rPr>
          <w:snapToGrid w:val="0"/>
        </w:rPr>
        <w:t xml:space="preserve"> and includes the amendments made by the other written laws referred to in the following table.</w:t>
      </w:r>
    </w:p>
    <w:p>
      <w:pPr>
        <w:pStyle w:val="nHeading3"/>
      </w:pPr>
      <w:bookmarkStart w:id="581" w:name="_Toc352667720"/>
      <w:r>
        <w:t>Compilation table</w:t>
      </w:r>
      <w:bookmarkEnd w:id="581"/>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4" w:space="0" w:color="auto"/>
            </w:tcBorders>
            <w:shd w:val="clear" w:color="auto" w:fill="auto"/>
          </w:tcPr>
          <w:p>
            <w:pPr>
              <w:pStyle w:val="nTable"/>
              <w:spacing w:after="40"/>
              <w:rPr>
                <w:b/>
                <w:sz w:val="19"/>
              </w:rPr>
            </w:pPr>
            <w:r>
              <w:rPr>
                <w:b/>
                <w:sz w:val="19"/>
              </w:rPr>
              <w:t>Citation</w:t>
            </w:r>
          </w:p>
        </w:tc>
        <w:tc>
          <w:tcPr>
            <w:tcW w:w="1276" w:type="dxa"/>
            <w:tcBorders>
              <w:bottom w:val="single" w:sz="4" w:space="0" w:color="auto"/>
            </w:tcBorders>
            <w:shd w:val="clear" w:color="auto" w:fill="auto"/>
          </w:tcPr>
          <w:p>
            <w:pPr>
              <w:pStyle w:val="nTable"/>
              <w:spacing w:after="40"/>
              <w:rPr>
                <w:b/>
                <w:sz w:val="19"/>
              </w:rPr>
            </w:pPr>
            <w:r>
              <w:rPr>
                <w:b/>
                <w:sz w:val="19"/>
              </w:rPr>
              <w:t>Gazettal</w:t>
            </w:r>
          </w:p>
        </w:tc>
        <w:tc>
          <w:tcPr>
            <w:tcW w:w="2693" w:type="dxa"/>
            <w:tcBorders>
              <w:bottom w:val="single" w:sz="4" w:space="0" w:color="auto"/>
            </w:tcBorders>
            <w:shd w:val="clear" w:color="auto" w:fill="auto"/>
          </w:tcPr>
          <w:p>
            <w:pPr>
              <w:pStyle w:val="nTable"/>
              <w:spacing w:after="40"/>
              <w:rPr>
                <w:b/>
                <w:sz w:val="19"/>
              </w:rPr>
            </w:pPr>
            <w:r>
              <w:rPr>
                <w:b/>
                <w:sz w:val="19"/>
              </w:rPr>
              <w:t>Commencement</w:t>
            </w:r>
          </w:p>
        </w:tc>
      </w:tr>
      <w:tr>
        <w:tc>
          <w:tcPr>
            <w:tcW w:w="3118" w:type="dxa"/>
            <w:tcBorders>
              <w:bottom w:val="nil"/>
            </w:tcBorders>
          </w:tcPr>
          <w:p>
            <w:pPr>
              <w:pStyle w:val="nTable"/>
              <w:spacing w:after="40"/>
              <w:rPr>
                <w:rFonts w:ascii="Times" w:hAnsi="Times"/>
                <w:i/>
                <w:noProof/>
                <w:snapToGrid w:val="0"/>
                <w:sz w:val="19"/>
              </w:rPr>
            </w:pPr>
            <w:r>
              <w:rPr>
                <w:rFonts w:ascii="Times" w:hAnsi="Times"/>
                <w:i/>
                <w:noProof/>
                <w:snapToGrid w:val="0"/>
                <w:sz w:val="19"/>
              </w:rPr>
              <w:t>Building Regulations 2012</w:t>
            </w:r>
          </w:p>
        </w:tc>
        <w:tc>
          <w:tcPr>
            <w:tcW w:w="1276" w:type="dxa"/>
            <w:tcBorders>
              <w:bottom w:val="nil"/>
            </w:tcBorders>
          </w:tcPr>
          <w:p>
            <w:pPr>
              <w:pStyle w:val="nTable"/>
              <w:spacing w:after="40"/>
              <w:rPr>
                <w:rFonts w:ascii="Times" w:hAnsi="Times"/>
                <w:sz w:val="19"/>
              </w:rPr>
            </w:pPr>
            <w:r>
              <w:rPr>
                <w:rFonts w:ascii="Times" w:hAnsi="Times"/>
                <w:sz w:val="19"/>
              </w:rPr>
              <w:t>13 Mar 2012 p. 1055-137</w:t>
            </w:r>
          </w:p>
        </w:tc>
        <w:tc>
          <w:tcPr>
            <w:tcW w:w="2693" w:type="dxa"/>
            <w:tcBorders>
              <w:bottom w:val="nil"/>
            </w:tcBorders>
          </w:tcPr>
          <w:p>
            <w:pPr>
              <w:pStyle w:val="nTable"/>
              <w:spacing w:after="40"/>
              <w:rPr>
                <w:rFonts w:ascii="Times" w:hAnsi="Times"/>
                <w:sz w:val="19"/>
              </w:rPr>
            </w:pPr>
            <w:r>
              <w:rPr>
                <w:rFonts w:ascii="Times" w:hAnsi="Times"/>
                <w:sz w:val="19"/>
              </w:rPr>
              <w:t>r. 1 and 2: 13 Mar 2012 (see r. 2(a))</w:t>
            </w:r>
            <w:r>
              <w:rPr>
                <w:rFonts w:ascii="Times" w:hAnsi="Times"/>
                <w:sz w:val="19"/>
              </w:rPr>
              <w:br/>
              <w:t xml:space="preserve">Regulations other than r. 1 and 2: 2 Apr 2012 (see r. 2(b) and </w:t>
            </w:r>
            <w:r>
              <w:rPr>
                <w:rFonts w:ascii="Times" w:hAnsi="Times"/>
                <w:i/>
                <w:sz w:val="19"/>
              </w:rPr>
              <w:t>Gazette</w:t>
            </w:r>
            <w:r>
              <w:rPr>
                <w:rFonts w:ascii="Times" w:hAnsi="Times"/>
                <w:sz w:val="19"/>
              </w:rPr>
              <w:t xml:space="preserve"> 13 Mar 2012 p. 1033)</w:t>
            </w:r>
          </w:p>
        </w:tc>
      </w:tr>
      <w:tr>
        <w:tc>
          <w:tcPr>
            <w:tcW w:w="3118" w:type="dxa"/>
            <w:tcBorders>
              <w:top w:val="nil"/>
              <w:bottom w:val="nil"/>
            </w:tcBorders>
          </w:tcPr>
          <w:p>
            <w:pPr>
              <w:pStyle w:val="nTable"/>
              <w:spacing w:after="40"/>
              <w:rPr>
                <w:rFonts w:ascii="Times" w:hAnsi="Times"/>
                <w:i/>
                <w:noProof/>
                <w:snapToGrid w:val="0"/>
                <w:sz w:val="19"/>
              </w:rPr>
            </w:pPr>
            <w:r>
              <w:rPr>
                <w:rFonts w:ascii="Times" w:hAnsi="Times"/>
                <w:i/>
                <w:noProof/>
                <w:snapToGrid w:val="0"/>
                <w:sz w:val="19"/>
              </w:rPr>
              <w:t>Building Amendment Regulations 2012</w:t>
            </w:r>
          </w:p>
        </w:tc>
        <w:tc>
          <w:tcPr>
            <w:tcW w:w="1276" w:type="dxa"/>
            <w:tcBorders>
              <w:top w:val="nil"/>
              <w:bottom w:val="nil"/>
            </w:tcBorders>
          </w:tcPr>
          <w:p>
            <w:pPr>
              <w:pStyle w:val="nTable"/>
              <w:spacing w:after="40"/>
              <w:rPr>
                <w:rFonts w:ascii="Times" w:hAnsi="Times"/>
                <w:sz w:val="19"/>
              </w:rPr>
            </w:pPr>
            <w:r>
              <w:rPr>
                <w:rFonts w:ascii="Times" w:hAnsi="Times"/>
                <w:sz w:val="19"/>
              </w:rPr>
              <w:t>15 Jun 2012 p. 2513</w:t>
            </w:r>
            <w:r>
              <w:rPr>
                <w:rFonts w:ascii="Times" w:hAnsi="Times"/>
                <w:sz w:val="19"/>
              </w:rPr>
              <w:noBreakHyphen/>
              <w:t>15</w:t>
            </w:r>
          </w:p>
        </w:tc>
        <w:tc>
          <w:tcPr>
            <w:tcW w:w="2693" w:type="dxa"/>
            <w:tcBorders>
              <w:top w:val="nil"/>
              <w:bottom w:val="nil"/>
            </w:tcBorders>
          </w:tcPr>
          <w:p>
            <w:pPr>
              <w:pStyle w:val="nTable"/>
              <w:spacing w:after="40"/>
              <w:rPr>
                <w:rFonts w:ascii="Times" w:hAnsi="Times"/>
                <w:sz w:val="19"/>
              </w:rPr>
            </w:pPr>
            <w:r>
              <w:rPr>
                <w:rFonts w:ascii="Times" w:hAnsi="Times"/>
                <w:snapToGrid w:val="0"/>
                <w:sz w:val="19"/>
                <w:lang w:val="en-US"/>
              </w:rPr>
              <w:t>r. 1 and 2: 15 Jun 2012 (see r. 2(a));</w:t>
            </w:r>
            <w:r>
              <w:rPr>
                <w:rFonts w:ascii="Times" w:hAnsi="Times"/>
                <w:snapToGrid w:val="0"/>
                <w:sz w:val="19"/>
                <w:lang w:val="en-US"/>
              </w:rPr>
              <w:br/>
              <w:t>Regulations other than r. 1 and 2: 16 Jun 2012 (see r. 2(b))</w:t>
            </w:r>
          </w:p>
        </w:tc>
      </w:tr>
      <w:tr>
        <w:tc>
          <w:tcPr>
            <w:tcW w:w="3118" w:type="dxa"/>
            <w:tcBorders>
              <w:top w:val="nil"/>
              <w:bottom w:val="nil"/>
            </w:tcBorders>
          </w:tcPr>
          <w:p>
            <w:pPr>
              <w:pStyle w:val="nTable"/>
              <w:spacing w:after="40"/>
              <w:rPr>
                <w:rFonts w:ascii="Times" w:hAnsi="Times"/>
                <w:i/>
                <w:noProof/>
                <w:snapToGrid w:val="0"/>
                <w:sz w:val="19"/>
              </w:rPr>
            </w:pPr>
            <w:r>
              <w:rPr>
                <w:rFonts w:ascii="Times" w:hAnsi="Times"/>
                <w:i/>
                <w:noProof/>
                <w:snapToGrid w:val="0"/>
                <w:sz w:val="19"/>
              </w:rPr>
              <w:t>Building Amendment Regulations (No. 3) 2012</w:t>
            </w:r>
          </w:p>
        </w:tc>
        <w:tc>
          <w:tcPr>
            <w:tcW w:w="1276" w:type="dxa"/>
            <w:tcBorders>
              <w:top w:val="nil"/>
              <w:bottom w:val="nil"/>
            </w:tcBorders>
          </w:tcPr>
          <w:p>
            <w:pPr>
              <w:pStyle w:val="nTable"/>
              <w:spacing w:after="40"/>
              <w:rPr>
                <w:rFonts w:ascii="Times" w:hAnsi="Times"/>
                <w:sz w:val="19"/>
              </w:rPr>
            </w:pPr>
            <w:r>
              <w:rPr>
                <w:rFonts w:ascii="Times" w:hAnsi="Times"/>
                <w:sz w:val="19"/>
              </w:rPr>
              <w:t>30 Nov 2012 p. 5782</w:t>
            </w:r>
            <w:r>
              <w:rPr>
                <w:rFonts w:ascii="Times" w:hAnsi="Times"/>
                <w:sz w:val="19"/>
              </w:rPr>
              <w:noBreakHyphen/>
              <w:t>3</w:t>
            </w:r>
          </w:p>
        </w:tc>
        <w:tc>
          <w:tcPr>
            <w:tcW w:w="2693" w:type="dxa"/>
            <w:tcBorders>
              <w:top w:val="nil"/>
              <w:bottom w:val="nil"/>
            </w:tcBorders>
          </w:tcPr>
          <w:p>
            <w:pPr>
              <w:pStyle w:val="nTable"/>
              <w:spacing w:after="40"/>
              <w:rPr>
                <w:rFonts w:ascii="Times" w:hAnsi="Times"/>
                <w:snapToGrid w:val="0"/>
                <w:sz w:val="19"/>
                <w:lang w:val="en-US"/>
              </w:rPr>
            </w:pPr>
            <w:r>
              <w:rPr>
                <w:rFonts w:ascii="Times" w:hAnsi="Times"/>
                <w:snapToGrid w:val="0"/>
                <w:sz w:val="19"/>
                <w:lang w:val="en-US"/>
              </w:rPr>
              <w:t>r. 1 and 2: 30 Nov 2012 (see r. 2(a));</w:t>
            </w:r>
            <w:r>
              <w:rPr>
                <w:rFonts w:ascii="Times" w:hAnsi="Times"/>
                <w:snapToGrid w:val="0"/>
                <w:sz w:val="19"/>
                <w:lang w:val="en-US"/>
              </w:rPr>
              <w:br/>
              <w:t>Regulations other than r. 1 and 2: 1 Dec 2012 (see r. 2(b))</w:t>
            </w:r>
          </w:p>
        </w:tc>
      </w:tr>
      <w:tr>
        <w:tc>
          <w:tcPr>
            <w:tcW w:w="3118" w:type="dxa"/>
            <w:tcBorders>
              <w:top w:val="nil"/>
            </w:tcBorders>
          </w:tcPr>
          <w:p>
            <w:pPr>
              <w:pStyle w:val="nTable"/>
              <w:spacing w:after="40"/>
              <w:rPr>
                <w:rFonts w:ascii="Times" w:hAnsi="Times"/>
                <w:i/>
                <w:noProof/>
                <w:snapToGrid w:val="0"/>
                <w:sz w:val="19"/>
              </w:rPr>
            </w:pPr>
            <w:r>
              <w:rPr>
                <w:rFonts w:ascii="Times" w:hAnsi="Times"/>
                <w:i/>
                <w:noProof/>
                <w:snapToGrid w:val="0"/>
                <w:sz w:val="19"/>
              </w:rPr>
              <w:t>Building Amendment Regulations (No. 2) 2012</w:t>
            </w:r>
          </w:p>
        </w:tc>
        <w:tc>
          <w:tcPr>
            <w:tcW w:w="1276" w:type="dxa"/>
            <w:tcBorders>
              <w:top w:val="nil"/>
            </w:tcBorders>
          </w:tcPr>
          <w:p>
            <w:pPr>
              <w:pStyle w:val="nTable"/>
              <w:spacing w:after="40"/>
              <w:rPr>
                <w:rFonts w:ascii="Times" w:hAnsi="Times"/>
                <w:sz w:val="19"/>
              </w:rPr>
            </w:pPr>
            <w:r>
              <w:rPr>
                <w:rFonts w:ascii="Times" w:hAnsi="Times"/>
                <w:sz w:val="19"/>
              </w:rPr>
              <w:t>18 Dec 2012 p. 6555-81</w:t>
            </w:r>
          </w:p>
        </w:tc>
        <w:tc>
          <w:tcPr>
            <w:tcW w:w="2693" w:type="dxa"/>
            <w:tcBorders>
              <w:top w:val="nil"/>
            </w:tcBorders>
          </w:tcPr>
          <w:p>
            <w:pPr>
              <w:pStyle w:val="nTable"/>
              <w:spacing w:after="40"/>
              <w:rPr>
                <w:rFonts w:ascii="Times" w:hAnsi="Times"/>
                <w:snapToGrid w:val="0"/>
                <w:sz w:val="19"/>
                <w:lang w:val="en-US"/>
              </w:rPr>
            </w:pPr>
            <w:r>
              <w:rPr>
                <w:rFonts w:ascii="Times" w:hAnsi="Times"/>
                <w:snapToGrid w:val="0"/>
                <w:sz w:val="19"/>
                <w:lang w:val="en-US"/>
              </w:rPr>
              <w:t>r. 1 and 2: 18 Dec 2012 (see r. 2(a));</w:t>
            </w:r>
            <w:r>
              <w:rPr>
                <w:rFonts w:ascii="Times" w:hAnsi="Times"/>
                <w:snapToGrid w:val="0"/>
                <w:sz w:val="19"/>
                <w:lang w:val="en-US"/>
              </w:rPr>
              <w:br/>
              <w:t xml:space="preserve">Regulations other than r. 1 and 2: 19 Dec 2012 (see r. 2(b) and </w:t>
            </w:r>
            <w:r>
              <w:rPr>
                <w:rFonts w:ascii="Times" w:hAnsi="Times"/>
                <w:i/>
                <w:snapToGrid w:val="0"/>
                <w:sz w:val="19"/>
                <w:lang w:val="en-US"/>
              </w:rPr>
              <w:t>Gazette</w:t>
            </w:r>
            <w:r>
              <w:rPr>
                <w:rFonts w:ascii="Times" w:hAnsi="Times"/>
                <w:snapToGrid w:val="0"/>
                <w:sz w:val="19"/>
                <w:lang w:val="en-US"/>
              </w:rPr>
              <w:t xml:space="preserve"> 18 Dec 2012 p. 6585)</w:t>
            </w:r>
          </w:p>
        </w:tc>
      </w:tr>
    </w:tbl>
    <w:p>
      <w:pPr>
        <w:pStyle w:val="nSubsection"/>
        <w:keepNext/>
        <w:keepLines/>
        <w:spacing w:before="140"/>
      </w:pPr>
      <w:r>
        <w:rPr>
          <w:snapToGrid w:val="0"/>
          <w:vertAlign w:val="superscript"/>
        </w:rPr>
        <w:t>2</w:t>
      </w:r>
      <w:r>
        <w:rPr>
          <w:snapToGrid w:val="0"/>
        </w:rPr>
        <w:tab/>
        <w:t xml:space="preserve">Part 9 (r. 63-68) expired </w:t>
      </w:r>
      <w:r>
        <w:t>on 2 Apr 2013.  Regulation 68 reads as follows:</w:t>
      </w:r>
    </w:p>
    <w:p>
      <w:pPr>
        <w:pStyle w:val="BlankOpen"/>
      </w:pPr>
    </w:p>
    <w:p>
      <w:pPr>
        <w:pStyle w:val="nzHeading5"/>
      </w:pPr>
      <w:r>
        <w:rPr>
          <w:rStyle w:val="CharSectno"/>
        </w:rPr>
        <w:t>68</w:t>
      </w:r>
      <w:r>
        <w:t>.</w:t>
      </w:r>
      <w:r>
        <w:tab/>
        <w:t>Expiry of Part</w:t>
      </w:r>
    </w:p>
    <w:p>
      <w:pPr>
        <w:pStyle w:val="nzSubsection"/>
      </w:pPr>
      <w:r>
        <w:tab/>
      </w:r>
      <w:r>
        <w:tab/>
        <w:t>This Part expires</w:t>
      </w:r>
      <w:r>
        <w:rPr>
          <w:vertAlign w:val="superscript"/>
        </w:rPr>
        <w:t> 2</w:t>
      </w:r>
      <w:r>
        <w:t xml:space="preserve"> on the day that is one year after the day on which the rest of these regulations come into operation under regulation 2(b).</w:t>
      </w:r>
    </w:p>
    <w:p>
      <w:pPr>
        <w:pStyle w:val="BlankClose"/>
      </w:pPr>
    </w:p>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pPr>
        <w:pStyle w:val="nHeading2"/>
        <w:rPr>
          <w:sz w:val="28"/>
        </w:rPr>
      </w:pPr>
      <w:bookmarkStart w:id="582" w:name="_Toc343509072"/>
      <w:bookmarkStart w:id="583" w:name="_Toc343510020"/>
      <w:bookmarkStart w:id="584" w:name="_Toc352666426"/>
      <w:bookmarkStart w:id="585" w:name="_Toc352667599"/>
      <w:bookmarkStart w:id="586" w:name="_Toc352667721"/>
      <w:r>
        <w:rPr>
          <w:sz w:val="28"/>
        </w:rPr>
        <w:t>Defined Terms</w:t>
      </w:r>
      <w:bookmarkEnd w:id="582"/>
      <w:bookmarkEnd w:id="583"/>
      <w:bookmarkEnd w:id="584"/>
      <w:bookmarkEnd w:id="585"/>
      <w:bookmarkEnd w:id="58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87" w:name="DefinedTerms"/>
      <w:bookmarkEnd w:id="587"/>
      <w:r>
        <w:t>10 year life battery</w:t>
      </w:r>
      <w:r>
        <w:tab/>
        <w:t>55(1)</w:t>
      </w:r>
    </w:p>
    <w:p>
      <w:pPr>
        <w:pStyle w:val="DefinedTerms"/>
      </w:pPr>
      <w:r>
        <w:t>access through a building</w:t>
      </w:r>
      <w:r>
        <w:tab/>
        <w:t>48</w:t>
      </w:r>
    </w:p>
    <w:p>
      <w:pPr>
        <w:pStyle w:val="DefinedTerms"/>
      </w:pPr>
      <w:r>
        <w:t>alternative solution</w:t>
      </w:r>
      <w:r>
        <w:tab/>
        <w:t>3</w:t>
      </w:r>
    </w:p>
    <w:p>
      <w:pPr>
        <w:pStyle w:val="DefinedTerms"/>
      </w:pPr>
      <w:r>
        <w:t>application</w:t>
      </w:r>
      <w:r>
        <w:tab/>
        <w:t>31, 40(1)</w:t>
      </w:r>
    </w:p>
    <w:p>
      <w:pPr>
        <w:pStyle w:val="DefinedTerms"/>
      </w:pPr>
      <w:r>
        <w:t>approved alternative building solution</w:t>
      </w:r>
      <w:r>
        <w:tab/>
        <w:t>55(1)</w:t>
      </w:r>
    </w:p>
    <w:p>
      <w:pPr>
        <w:pStyle w:val="DefinedTerms"/>
      </w:pPr>
      <w:r>
        <w:t>approved alternative requirement</w:t>
      </w:r>
      <w:r>
        <w:tab/>
        <w:t>48</w:t>
      </w:r>
    </w:p>
    <w:p>
      <w:pPr>
        <w:pStyle w:val="DefinedTerms"/>
      </w:pPr>
      <w:r>
        <w:t>approved door</w:t>
      </w:r>
      <w:r>
        <w:tab/>
        <w:t>48</w:t>
      </w:r>
    </w:p>
    <w:p>
      <w:pPr>
        <w:pStyle w:val="DefinedTerms"/>
      </w:pPr>
      <w:r>
        <w:t>AS</w:t>
      </w:r>
      <w:r>
        <w:tab/>
        <w:t>3</w:t>
      </w:r>
    </w:p>
    <w:p>
      <w:pPr>
        <w:pStyle w:val="DefinedTerms"/>
      </w:pPr>
      <w:r>
        <w:t>AS 1926.1</w:t>
      </w:r>
      <w:r>
        <w:tab/>
        <w:t>48</w:t>
      </w:r>
    </w:p>
    <w:p>
      <w:pPr>
        <w:pStyle w:val="DefinedTerms"/>
      </w:pPr>
      <w:r>
        <w:t>assessment method</w:t>
      </w:r>
      <w:r>
        <w:tab/>
        <w:t>3</w:t>
      </w:r>
    </w:p>
    <w:p>
      <w:pPr>
        <w:pStyle w:val="DefinedTerms"/>
      </w:pPr>
      <w:r>
        <w:t>builder work</w:t>
      </w:r>
      <w:r>
        <w:tab/>
        <w:t>3</w:t>
      </w:r>
    </w:p>
    <w:p>
      <w:pPr>
        <w:pStyle w:val="DefinedTerms"/>
      </w:pPr>
      <w:r>
        <w:t>Building Code</w:t>
      </w:r>
      <w:r>
        <w:tab/>
        <w:t>3</w:t>
      </w:r>
    </w:p>
    <w:p>
      <w:pPr>
        <w:pStyle w:val="DefinedTerms"/>
      </w:pPr>
      <w:r>
        <w:t>building product</w:t>
      </w:r>
      <w:r>
        <w:tab/>
        <w:t>9(1), 31J(1)</w:t>
      </w:r>
    </w:p>
    <w:p>
      <w:pPr>
        <w:pStyle w:val="DefinedTerms"/>
      </w:pPr>
      <w:r>
        <w:t>business day</w:t>
      </w:r>
      <w:r>
        <w:tab/>
        <w:t>3</w:t>
      </w:r>
    </w:p>
    <w:p>
      <w:pPr>
        <w:pStyle w:val="DefinedTerms"/>
      </w:pPr>
      <w:r>
        <w:t>Class</w:t>
      </w:r>
      <w:r>
        <w:tab/>
        <w:t>3</w:t>
      </w:r>
    </w:p>
    <w:p>
      <w:pPr>
        <w:pStyle w:val="DefinedTerms"/>
      </w:pPr>
      <w:r>
        <w:t>CodeMark certificate</w:t>
      </w:r>
      <w:r>
        <w:tab/>
        <w:t>9(1), 31J(1)</w:t>
      </w:r>
    </w:p>
    <w:p>
      <w:pPr>
        <w:pStyle w:val="DefinedTerms"/>
      </w:pPr>
      <w:r>
        <w:t>commencement day</w:t>
      </w:r>
      <w:r>
        <w:tab/>
        <w:t>3</w:t>
      </w:r>
    </w:p>
    <w:p>
      <w:pPr>
        <w:pStyle w:val="DefinedTerms"/>
      </w:pPr>
      <w:r>
        <w:t>decision</w:t>
      </w:r>
      <w:r>
        <w:tab/>
        <w:t>33(1)</w:t>
      </w:r>
    </w:p>
    <w:p>
      <w:pPr>
        <w:pStyle w:val="DefinedTerms"/>
      </w:pPr>
      <w:r>
        <w:t>dwelling</w:t>
      </w:r>
      <w:r>
        <w:tab/>
        <w:t>55(1)</w:t>
      </w:r>
    </w:p>
    <w:p>
      <w:pPr>
        <w:pStyle w:val="DefinedTerms"/>
      </w:pPr>
      <w:r>
        <w:t>electrician</w:t>
      </w:r>
      <w:r>
        <w:tab/>
        <w:t>55(1)</w:t>
      </w:r>
    </w:p>
    <w:p>
      <w:pPr>
        <w:pStyle w:val="DefinedTerms"/>
      </w:pPr>
      <w:r>
        <w:t>EP</w:t>
      </w:r>
      <w:r>
        <w:tab/>
        <w:t>Sch. 3, cl. 1</w:t>
      </w:r>
    </w:p>
    <w:p>
      <w:pPr>
        <w:pStyle w:val="DefinedTerms"/>
      </w:pPr>
      <w:r>
        <w:t>estimated value</w:t>
      </w:r>
      <w:r>
        <w:tab/>
        <w:t>3</w:t>
      </w:r>
    </w:p>
    <w:p>
      <w:pPr>
        <w:pStyle w:val="DefinedTerms"/>
      </w:pPr>
      <w:r>
        <w:t>expiry day</w:t>
      </w:r>
      <w:r>
        <w:tab/>
        <w:t>23(1), 40(1)</w:t>
      </w:r>
    </w:p>
    <w:p>
      <w:pPr>
        <w:pStyle w:val="DefinedTerms"/>
      </w:pPr>
      <w:smartTag w:uri="urn:schemas-microsoft-com:office:smarttags" w:element="place">
        <w:r>
          <w:t>FES</w:t>
        </w:r>
      </w:smartTag>
      <w:r>
        <w:t xml:space="preserve"> Commissioner</w:t>
      </w:r>
      <w:r>
        <w:tab/>
        <w:t>3</w:t>
      </w:r>
    </w:p>
    <w:p>
      <w:pPr>
        <w:pStyle w:val="DefinedTerms"/>
      </w:pPr>
      <w:r>
        <w:t>former provisions</w:t>
      </w:r>
      <w:r>
        <w:tab/>
        <w:t>3</w:t>
      </w:r>
    </w:p>
    <w:p>
      <w:pPr>
        <w:pStyle w:val="DefinedTerms"/>
      </w:pPr>
      <w:r>
        <w:t>GST</w:t>
      </w:r>
      <w:r>
        <w:tab/>
        <w:t>Sch. 1, cl. 1</w:t>
      </w:r>
    </w:p>
    <w:p>
      <w:pPr>
        <w:pStyle w:val="DefinedTerms"/>
      </w:pPr>
      <w:r>
        <w:t>Heritage Act</w:t>
      </w:r>
      <w:r>
        <w:tab/>
        <w:t>3</w:t>
      </w:r>
    </w:p>
    <w:p>
      <w:pPr>
        <w:pStyle w:val="DefinedTerms"/>
      </w:pPr>
      <w:r>
        <w:t>licensed surveyor</w:t>
      </w:r>
      <w:r>
        <w:tab/>
        <w:t>39(1)</w:t>
      </w:r>
    </w:p>
    <w:p>
      <w:pPr>
        <w:pStyle w:val="DefinedTerms"/>
      </w:pPr>
      <w:r>
        <w:t>local planning scheme</w:t>
      </w:r>
      <w:r>
        <w:tab/>
        <w:t>3</w:t>
      </w:r>
    </w:p>
    <w:p>
      <w:pPr>
        <w:pStyle w:val="DefinedTerms"/>
      </w:pPr>
      <w:r>
        <w:t>new owner</w:t>
      </w:r>
      <w:r>
        <w:tab/>
        <w:t>57(1)</w:t>
      </w:r>
    </w:p>
    <w:p>
      <w:pPr>
        <w:pStyle w:val="DefinedTerms"/>
      </w:pPr>
      <w:r>
        <w:t>owner</w:t>
      </w:r>
      <w:r>
        <w:tab/>
        <w:t>10(2A), 55(1)</w:t>
      </w:r>
    </w:p>
    <w:p>
      <w:pPr>
        <w:pStyle w:val="DefinedTerms"/>
      </w:pPr>
      <w:r>
        <w:t>performance requirement</w:t>
      </w:r>
      <w:r>
        <w:tab/>
        <w:t>3</w:t>
      </w:r>
    </w:p>
    <w:p>
      <w:pPr>
        <w:pStyle w:val="DefinedTerms"/>
      </w:pPr>
      <w:r>
        <w:t>pergola</w:t>
      </w:r>
      <w:r>
        <w:tab/>
        <w:t>Sch. 4, cl. 2</w:t>
      </w:r>
    </w:p>
    <w:p>
      <w:pPr>
        <w:pStyle w:val="DefinedTerms"/>
      </w:pPr>
      <w:r>
        <w:t>person with a disability</w:t>
      </w:r>
      <w:r>
        <w:tab/>
        <w:t>51(1)</w:t>
      </w:r>
    </w:p>
    <w:p>
      <w:pPr>
        <w:pStyle w:val="DefinedTerms"/>
      </w:pPr>
      <w:r>
        <w:t>prior owner</w:t>
      </w:r>
      <w:r>
        <w:tab/>
        <w:t>57(1)</w:t>
      </w:r>
    </w:p>
    <w:p>
      <w:pPr>
        <w:pStyle w:val="DefinedTerms"/>
      </w:pPr>
      <w:r>
        <w:t>private swimming pool</w:t>
      </w:r>
      <w:r>
        <w:tab/>
        <w:t>3</w:t>
      </w:r>
    </w:p>
    <w:p>
      <w:pPr>
        <w:pStyle w:val="DefinedTerms"/>
      </w:pPr>
      <w:r>
        <w:t>relevant components</w:t>
      </w:r>
      <w:r>
        <w:tab/>
        <w:t>Sch. 1, cl. 1</w:t>
      </w:r>
    </w:p>
    <w:p>
      <w:pPr>
        <w:pStyle w:val="DefinedTerms"/>
      </w:pPr>
      <w:r>
        <w:t>relevant day</w:t>
      </w:r>
      <w:r>
        <w:tab/>
        <w:t>60(1)</w:t>
      </w:r>
    </w:p>
    <w:p>
      <w:pPr>
        <w:pStyle w:val="DefinedTerms"/>
      </w:pPr>
      <w:r>
        <w:t>repeal day</w:t>
      </w:r>
      <w:r>
        <w:tab/>
        <w:t>54(1)</w:t>
      </w:r>
    </w:p>
    <w:p>
      <w:pPr>
        <w:pStyle w:val="DefinedTerms"/>
      </w:pPr>
      <w:r>
        <w:t>repealed provisions</w:t>
      </w:r>
      <w:r>
        <w:tab/>
        <w:t>54(1)</w:t>
      </w:r>
    </w:p>
    <w:p>
      <w:pPr>
        <w:pStyle w:val="DefinedTerms"/>
      </w:pPr>
      <w:r>
        <w:t>residential tenancy agreement</w:t>
      </w:r>
      <w:r>
        <w:tab/>
        <w:t>55(1)</w:t>
      </w:r>
    </w:p>
    <w:p>
      <w:pPr>
        <w:pStyle w:val="DefinedTerms"/>
      </w:pPr>
      <w:r>
        <w:t>section</w:t>
      </w:r>
      <w:r>
        <w:tab/>
        <w:t>3</w:t>
      </w:r>
    </w:p>
    <w:p>
      <w:pPr>
        <w:pStyle w:val="DefinedTerms"/>
      </w:pPr>
      <w:r>
        <w:t>Table</w:t>
      </w:r>
      <w:r>
        <w:tab/>
        <w:t>41(2)</w:t>
      </w:r>
    </w:p>
    <w:p>
      <w:pPr>
        <w:pStyle w:val="DefinedTerms"/>
      </w:pPr>
      <w:r>
        <w:t>townsite</w:t>
      </w:r>
      <w:r>
        <w:tab/>
        <w:t>3</w:t>
      </w:r>
    </w:p>
    <w:p>
      <w:pPr>
        <w:pStyle w:val="DefinedTerms"/>
      </w:pPr>
      <w:r>
        <w:t>unit</w:t>
      </w:r>
      <w:r>
        <w:tab/>
        <w:t>55(1)</w:t>
      </w:r>
    </w:p>
    <w:p>
      <w:pPr>
        <w:pStyle w:val="DefinedTerms"/>
      </w:pPr>
      <w:r>
        <w:t>young child</w:t>
      </w:r>
      <w:r>
        <w:tab/>
        <w:t>48</w:t>
      </w:r>
    </w:p>
    <w:p/>
    <w:p>
      <w:pPr>
        <w:sectPr>
          <w:headerReference w:type="even" r:id="rId37"/>
          <w:headerReference w:type="default" r:id="rId38"/>
          <w:footerReference w:type="even" r:id="rId39"/>
          <w:footerReference w:type="default" r:id="rId40"/>
          <w:headerReference w:type="first" r:id="rId41"/>
          <w:footerReference w:type="first" r:id="rId42"/>
          <w:pgSz w:w="11906" w:h="16838" w:code="9"/>
          <w:pgMar w:top="2376" w:right="2404" w:bottom="3544" w:left="2404" w:header="720" w:footer="3380" w:gutter="0"/>
          <w:cols w:space="720"/>
          <w:noEndnote/>
          <w:docGrid w:linePitch="326"/>
        </w:sectPr>
      </w:pPr>
    </w:p>
    <w:p/>
    <w:sectPr>
      <w:headerReference w:type="even" r:id="rId43"/>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Building Regulations 2012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Regulations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Regulations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46</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Building Regulations 2012</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r>
    <w:tr>
      <w:trPr>
        <w:cantSplit/>
      </w:trPr>
      <w:tc>
        <w:tcPr>
          <w:tcW w:w="7263" w:type="dxa"/>
          <w:gridSpan w:val="2"/>
        </w:tcPr>
        <w:p>
          <w:pPr>
            <w:pStyle w:val="HeaderNumberRight"/>
            <w:rPr>
              <w:b w:val="0"/>
            </w:rPr>
          </w:pPr>
          <w:r>
            <w:t xml:space="preserve">r.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43</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rPr>
              <w:noProof/>
            </w:rPr>
            <w:fldChar w:fldCharType="end"/>
          </w:r>
          <w:r>
            <w:instrText>" "</w:instrText>
          </w:r>
          <w:fldSimple w:instr=" STYLEREF CharSClsNo \n ">
            <w:r>
              <w:rPr>
                <w:noProof/>
              </w:rPr>
              <w:instrText>3</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rPr>
              <w:noProof/>
            </w:rPr>
            <w:fldChar w:fldCharType="end"/>
          </w:r>
          <w:r>
            <w:instrText>" "</w:instrText>
          </w:r>
          <w:fldSimple w:instr=" STYLEREF CharSClsNo \n ">
            <w:r>
              <w:rPr>
                <w:noProof/>
              </w:rPr>
              <w:instrText>1</w:instrText>
            </w:r>
          </w:fldSimple>
          <w:r>
            <w:instrText>"</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Estimated value of building work</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fldSimple w:instr=" styleref CharSchText ">
            <w:r>
              <w:rPr>
                <w:noProof/>
              </w:rPr>
              <w:t>Estimated value of building work</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1</w:t>
          </w:r>
          <w:r>
            <w:rPr>
              <w:bCs/>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Division 3</w:t>
          </w:r>
          <w:r>
            <w:rPr>
              <w:bCs/>
            </w:rPr>
            <w:fldChar w:fldCharType="end"/>
          </w:r>
        </w:p>
      </w:tc>
      <w:tc>
        <w:tcPr>
          <w:tcW w:w="5715" w:type="dxa"/>
        </w:tcPr>
        <w:p>
          <w:pPr>
            <w:pStyle w:val="HeaderTextLeft"/>
          </w:pPr>
          <w:fldSimple w:instr=" styleref CharSDivText ">
            <w:r>
              <w:rPr>
                <w:noProof/>
              </w:rPr>
              <w:t>Other applications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3</w:instrText>
            </w:r>
          </w:fldSimple>
          <w:r>
            <w:instrText>" "</w:instrText>
          </w:r>
          <w:fldSimple w:instr=" STYLEREF CharSClsNo \n ">
            <w:r>
              <w:rPr>
                <w:noProof/>
              </w:rPr>
              <w:instrText>3</w:instrText>
            </w:r>
          </w:fldSimple>
          <w:r>
            <w:instrText>"</w:instrText>
          </w:r>
          <w:r>
            <w:fldChar w:fldCharType="separate"/>
          </w:r>
          <w:r>
            <w:rPr>
              <w:noProof/>
            </w:rPr>
            <w:t>3</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fldSimple w:instr=" styleref CharSchText ">
            <w:r>
              <w:rPr>
                <w:noProof/>
              </w:rPr>
              <w:t>Fees</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3</w:instrText>
            </w:r>
          </w:fldSimple>
          <w:r>
            <w:instrText>" "</w:instrText>
          </w:r>
          <w:fldSimple w:instr=" STYLEREF CharSClsNo \n ">
            <w:r>
              <w:rPr>
                <w:noProof/>
              </w:rPr>
              <w:instrText>1</w:instrText>
            </w:r>
          </w:fldSimple>
          <w:r>
            <w:instrText>"</w:instrText>
          </w:r>
          <w:r>
            <w:fldChar w:fldCharType="separate"/>
          </w:r>
          <w:r>
            <w:rPr>
              <w:noProof/>
            </w:rPr>
            <w:t>3</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3</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3</w:t>
          </w:r>
          <w:r>
            <w:rPr>
              <w:bCs/>
            </w:rPr>
            <w:fldChar w:fldCharType="end"/>
          </w:r>
        </w:p>
      </w:tc>
      <w:tc>
        <w:tcPr>
          <w:tcW w:w="5715" w:type="dxa"/>
        </w:tcPr>
        <w:p>
          <w:pPr>
            <w:pStyle w:val="HeaderTextLeft"/>
          </w:pPr>
          <w:fldSimple w:instr=" styleref CharSchText ">
            <w:r>
              <w:rPr>
                <w:noProof/>
              </w:rPr>
              <w:t>Inspections or tests of systems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fldSimple w:instr=" styleref CharSchText ">
            <w:r>
              <w:rPr>
                <w:noProof/>
              </w:rPr>
              <w:t>Inspections or tests of systems</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3</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3</w:t>
          </w:r>
          <w:r>
            <w:rPr>
              <w:bCs/>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4</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4</w:t>
          </w:r>
          <w:r>
            <w:rPr>
              <w:bCs/>
            </w:rPr>
            <w:fldChar w:fldCharType="end"/>
          </w:r>
        </w:p>
      </w:tc>
      <w:tc>
        <w:tcPr>
          <w:tcW w:w="5715" w:type="dxa"/>
        </w:tcPr>
        <w:p>
          <w:pPr>
            <w:pStyle w:val="HeaderTextLeft"/>
          </w:pPr>
          <w:fldSimple w:instr=" styleref CharSchText ">
            <w:r>
              <w:rPr>
                <w:noProof/>
              </w:rPr>
              <w:t>Building work that does not require building permit</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Division 3</w:t>
          </w:r>
          <w:r>
            <w:rPr>
              <w:bCs/>
            </w:rPr>
            <w:fldChar w:fldCharType="end"/>
          </w:r>
        </w:p>
      </w:tc>
      <w:tc>
        <w:tcPr>
          <w:tcW w:w="5715" w:type="dxa"/>
        </w:tcPr>
        <w:p>
          <w:pPr>
            <w:pStyle w:val="HeaderTextLeft"/>
          </w:pPr>
          <w:fldSimple w:instr=" styleref CharSDivText ">
            <w:r>
              <w:rPr>
                <w:noProof/>
              </w:rPr>
              <w:t>Kinds of building work for which a building permit is not required</w:t>
            </w:r>
            <w:r>
              <w:rPr>
                <w:noProof/>
              </w:rPr>
              <w:cr/>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fldSimple w:instr=" styleref CharSchText ">
            <w:r>
              <w:rPr>
                <w:noProof/>
              </w:rPr>
              <w:t>Building work that does not require building permit</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4</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4</w:t>
          </w:r>
          <w:r>
            <w:rPr>
              <w:bCs/>
            </w:rPr>
            <w:fldChar w:fldCharType="end"/>
          </w:r>
        </w:p>
      </w:tc>
    </w:tr>
    <w:tr>
      <w:tc>
        <w:tcPr>
          <w:tcW w:w="5715" w:type="dxa"/>
        </w:tcPr>
        <w:p>
          <w:pPr>
            <w:pStyle w:val="HeaderTextRight"/>
          </w:pPr>
          <w:fldSimple w:instr=" styleref CharSDivText ">
            <w:r>
              <w:rPr>
                <w:noProof/>
              </w:rPr>
              <w:t>Kinds of building work for which a building permit is not required</w:t>
            </w:r>
            <w:r>
              <w:rPr>
                <w:noProof/>
              </w:rPr>
              <w:cr/>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Division 3</w: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Regulations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Regulations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Regulations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Regulations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6244F9A"/>
    <w:multiLevelType w:val="hybridMultilevel"/>
    <w:tmpl w:val="24C2A9D6"/>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08624391"/>
    <w:multiLevelType w:val="hybridMultilevel"/>
    <w:tmpl w:val="A52063F0"/>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0DEC3682"/>
    <w:multiLevelType w:val="hybridMultilevel"/>
    <w:tmpl w:val="B21C7A34"/>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106B1BBB"/>
    <w:multiLevelType w:val="multilevel"/>
    <w:tmpl w:val="87BA4B22"/>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2">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5">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30">
    <w:nsid w:val="48D54F6B"/>
    <w:multiLevelType w:val="multilevel"/>
    <w:tmpl w:val="E3EA382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nsid w:val="4CC03303"/>
    <w:multiLevelType w:val="singleLevel"/>
    <w:tmpl w:val="0809000F"/>
    <w:lvl w:ilvl="0">
      <w:start w:val="1"/>
      <w:numFmt w:val="decimal"/>
      <w:lvlText w:val="%1."/>
      <w:lvlJc w:val="left"/>
      <w:pPr>
        <w:tabs>
          <w:tab w:val="num" w:pos="360"/>
        </w:tabs>
        <w:ind w:left="360" w:hanging="360"/>
      </w:pPr>
    </w:lvl>
  </w:abstractNum>
  <w:abstractNum w:abstractNumId="3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3">
    <w:nsid w:val="54783F84"/>
    <w:multiLevelType w:val="hybridMultilevel"/>
    <w:tmpl w:val="1DBC29F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5A3B5B6A"/>
    <w:multiLevelType w:val="hybridMultilevel"/>
    <w:tmpl w:val="87BA4B22"/>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5A8D22A2"/>
    <w:multiLevelType w:val="hybridMultilevel"/>
    <w:tmpl w:val="D4787BAA"/>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nsid w:val="5BC132B7"/>
    <w:multiLevelType w:val="hybridMultilevel"/>
    <w:tmpl w:val="B37C4F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nsid w:val="6CDA361E"/>
    <w:multiLevelType w:val="hybridMultilevel"/>
    <w:tmpl w:val="C13824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2">
    <w:nsid w:val="72CB17DE"/>
    <w:multiLevelType w:val="hybridMultilevel"/>
    <w:tmpl w:val="BE70867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9"/>
  </w:num>
  <w:num w:numId="2">
    <w:abstractNumId w:val="31"/>
  </w:num>
  <w:num w:numId="3">
    <w:abstractNumId w:val="19"/>
  </w:num>
  <w:num w:numId="4">
    <w:abstractNumId w:val="14"/>
  </w:num>
  <w:num w:numId="5">
    <w:abstractNumId w:val="21"/>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9"/>
  </w:num>
  <w:num w:numId="17">
    <w:abstractNumId w:val="38"/>
  </w:num>
  <w:num w:numId="18">
    <w:abstractNumId w:val="33"/>
  </w:num>
  <w:num w:numId="19">
    <w:abstractNumId w:val="30"/>
  </w:num>
  <w:num w:numId="20">
    <w:abstractNumId w:val="13"/>
  </w:num>
  <w:num w:numId="21">
    <w:abstractNumId w:val="34"/>
  </w:num>
  <w:num w:numId="22">
    <w:abstractNumId w:val="18"/>
  </w:num>
  <w:num w:numId="23">
    <w:abstractNumId w:val="12"/>
  </w:num>
  <w:num w:numId="24">
    <w:abstractNumId w:val="16"/>
  </w:num>
  <w:num w:numId="25">
    <w:abstractNumId w:val="35"/>
  </w:num>
  <w:num w:numId="26">
    <w:abstractNumId w:val="26"/>
  </w:num>
  <w:num w:numId="27">
    <w:abstractNumId w:val="20"/>
  </w:num>
  <w:num w:numId="28">
    <w:abstractNumId w:val="28"/>
  </w:num>
  <w:num w:numId="29">
    <w:abstractNumId w:val="41"/>
  </w:num>
  <w:num w:numId="30">
    <w:abstractNumId w:val="42"/>
  </w:num>
  <w:num w:numId="31">
    <w:abstractNumId w:val="39"/>
  </w:num>
  <w:num w:numId="32">
    <w:abstractNumId w:val="3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3846"/>
    <w:docVar w:name="WAFER_20151207123846" w:val="RemoveTrackChanges"/>
    <w:docVar w:name="WAFER_20151207123846_GUID" w:val="d902a5b0-2873-4f80-bcf1-62956c3e326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link w:val="SubsectionChar"/>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link w:val="TableAmChar"/>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link w:val="yTableNAmChar"/>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link w:val="zTableNAmChar"/>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character" w:customStyle="1" w:styleId="TableAmChar">
    <w:name w:val="TableAm Char"/>
    <w:basedOn w:val="DefaultParagraphFont"/>
    <w:link w:val="TableAm"/>
    <w:rPr>
      <w:sz w:val="24"/>
      <w:lang w:val="en-AU" w:eastAsia="en-US" w:bidi="ar-SA"/>
    </w:rPr>
  </w:style>
  <w:style w:type="character" w:customStyle="1" w:styleId="zTableNAmChar">
    <w:name w:val="zTableNAm Char"/>
    <w:basedOn w:val="TableAmChar"/>
    <w:link w:val="zTableNAm"/>
    <w:rPr>
      <w:sz w:val="24"/>
      <w:lang w:val="en-AU" w:eastAsia="en-US" w:bidi="ar-SA"/>
    </w:rPr>
  </w:style>
  <w:style w:type="character" w:customStyle="1" w:styleId="SubsectionChar">
    <w:name w:val="Subsection Char"/>
    <w:basedOn w:val="DefaultParagraphFont"/>
    <w:link w:val="Subsection"/>
    <w:rPr>
      <w:sz w:val="24"/>
      <w:lang w:val="en-AU" w:eastAsia="en-US" w:bidi="ar-SA"/>
    </w:rPr>
  </w:style>
  <w:style w:type="paragraph" w:styleId="ListParagraph">
    <w:name w:val="List Paragraph"/>
    <w:basedOn w:val="Normal"/>
    <w:qFormat/>
    <w:pPr>
      <w:spacing w:before="100" w:beforeAutospacing="1" w:after="100" w:afterAutospacing="1"/>
    </w:pPr>
    <w:rPr>
      <w:rFonts w:eastAsia="Calibri"/>
      <w:szCs w:val="24"/>
      <w:lang w:eastAsia="en-AU"/>
    </w:rPr>
  </w:style>
  <w:style w:type="character" w:customStyle="1" w:styleId="FootnotesectionChar">
    <w:name w:val="Footnote(section) Char"/>
    <w:basedOn w:val="DefaultParagraphFont"/>
    <w:link w:val="Footnotesection"/>
    <w:rPr>
      <w:i/>
      <w:snapToGrid w:val="0"/>
      <w:sz w:val="24"/>
      <w:lang w:val="en-AU" w:eastAsia="en-US" w:bidi="ar-SA"/>
    </w:rPr>
  </w:style>
  <w:style w:type="character" w:customStyle="1" w:styleId="yTableNAmChar">
    <w:name w:val="yTableNAm Char"/>
    <w:basedOn w:val="DefaultParagraphFont"/>
    <w:link w:val="yTableNAm"/>
    <w:rPr>
      <w:sz w:val="22"/>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link w:val="SubsectionChar"/>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link w:val="TableAmChar"/>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link w:val="yTableNAmChar"/>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link w:val="zTableNAmChar"/>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character" w:customStyle="1" w:styleId="TableAmChar">
    <w:name w:val="TableAm Char"/>
    <w:basedOn w:val="DefaultParagraphFont"/>
    <w:link w:val="TableAm"/>
    <w:rPr>
      <w:sz w:val="24"/>
      <w:lang w:val="en-AU" w:eastAsia="en-US" w:bidi="ar-SA"/>
    </w:rPr>
  </w:style>
  <w:style w:type="character" w:customStyle="1" w:styleId="zTableNAmChar">
    <w:name w:val="zTableNAm Char"/>
    <w:basedOn w:val="TableAmChar"/>
    <w:link w:val="zTableNAm"/>
    <w:rPr>
      <w:sz w:val="24"/>
      <w:lang w:val="en-AU" w:eastAsia="en-US" w:bidi="ar-SA"/>
    </w:rPr>
  </w:style>
  <w:style w:type="character" w:customStyle="1" w:styleId="SubsectionChar">
    <w:name w:val="Subsection Char"/>
    <w:basedOn w:val="DefaultParagraphFont"/>
    <w:link w:val="Subsection"/>
    <w:rPr>
      <w:sz w:val="24"/>
      <w:lang w:val="en-AU" w:eastAsia="en-US" w:bidi="ar-SA"/>
    </w:rPr>
  </w:style>
  <w:style w:type="paragraph" w:styleId="ListParagraph">
    <w:name w:val="List Paragraph"/>
    <w:basedOn w:val="Normal"/>
    <w:qFormat/>
    <w:pPr>
      <w:spacing w:before="100" w:beforeAutospacing="1" w:after="100" w:afterAutospacing="1"/>
    </w:pPr>
    <w:rPr>
      <w:rFonts w:eastAsia="Calibri"/>
      <w:szCs w:val="24"/>
      <w:lang w:eastAsia="en-AU"/>
    </w:rPr>
  </w:style>
  <w:style w:type="character" w:customStyle="1" w:styleId="FootnotesectionChar">
    <w:name w:val="Footnote(section) Char"/>
    <w:basedOn w:val="DefaultParagraphFont"/>
    <w:link w:val="Footnotesection"/>
    <w:rPr>
      <w:i/>
      <w:snapToGrid w:val="0"/>
      <w:sz w:val="24"/>
      <w:lang w:val="en-AU" w:eastAsia="en-US" w:bidi="ar-SA"/>
    </w:rPr>
  </w:style>
  <w:style w:type="character" w:customStyle="1" w:styleId="yTableNAmChar">
    <w:name w:val="yTableNAm Char"/>
    <w:basedOn w:val="DefaultParagraphFont"/>
    <w:link w:val="yTableNAm"/>
    <w:rPr>
      <w:sz w:val="22"/>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42"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11.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9.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103</Pages>
  <Words>20076</Words>
  <Characters>100382</Characters>
  <Application>Microsoft Office Word</Application>
  <DocSecurity>0</DocSecurity>
  <Lines>3461</Lines>
  <Paragraphs>1974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118484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2012 - 00-f0-02</dc:title>
  <dc:subject/>
  <dc:creator/>
  <cp:keywords/>
  <dc:description/>
  <cp:lastModifiedBy>svcMRProcess</cp:lastModifiedBy>
  <cp:revision>4</cp:revision>
  <cp:lastPrinted>2012-12-17T02:57:00Z</cp:lastPrinted>
  <dcterms:created xsi:type="dcterms:W3CDTF">2018-09-18T23:37:00Z</dcterms:created>
  <dcterms:modified xsi:type="dcterms:W3CDTF">2018-09-18T23:38:00Z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CommencementDate">
    <vt:lpwstr>20130402</vt:lpwstr>
  </property>
  <property fmtid="{D5CDD505-2E9C-101B-9397-08002B2CF9AE}" pid="4" name="AsAtDate">
    <vt:lpwstr>02 Apr 2013</vt:lpwstr>
  </property>
  <property fmtid="{D5CDD505-2E9C-101B-9397-08002B2CF9AE}" pid="5" name="Suffix">
    <vt:lpwstr>00-f0-02</vt:lpwstr>
  </property>
  <property fmtid="{D5CDD505-2E9C-101B-9397-08002B2CF9AE}" pid="6" name="DocumentType">
    <vt:lpwstr>Reg</vt:lpwstr>
  </property>
</Properties>
</file>