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_Toc378152539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_Toc378152540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 these regulations</w:t>
      </w:r>
      <w:r>
        <w:tab/>
      </w:r>
      <w:r>
        <w:fldChar w:fldCharType="begin"/>
      </w:r>
      <w:r>
        <w:instrText xml:space="preserve"> PAGEREF _Toc378152541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_Toc378152543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_Toc378152544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_Toc378152545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_Toc378152546 \h </w:instrText>
      </w:r>
      <w:r>
        <w:fldChar w:fldCharType="separate"/>
      </w:r>
      <w:r>
        <w:t>4</w:t>
      </w:r>
      <w:r>
        <w:fldChar w:fldCharType="end"/>
      </w:r>
    </w:p>
    <w:p>
      <w:pPr>
        <w:pStyle w:val="TOC2"/>
        <w:tabs>
          <w:tab w:val="right" w:leader="dot" w:pos="7078"/>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_Toc378152548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_Toc378152549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_Toc378152550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_Toc378152552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_Toc378152553 \h </w:instrText>
      </w:r>
      <w:r>
        <w:fldChar w:fldCharType="separate"/>
      </w:r>
      <w:r>
        <w:t>6</w:t>
      </w:r>
      <w:r>
        <w:fldChar w:fldCharType="end"/>
      </w:r>
    </w:p>
    <w:p>
      <w:pPr>
        <w:pStyle w:val="TOC2"/>
        <w:tabs>
          <w:tab w:val="right" w:leader="dot" w:pos="7078"/>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a medical practitioner</w:t>
      </w:r>
      <w:r>
        <w:tab/>
      </w:r>
      <w:r>
        <w:fldChar w:fldCharType="begin"/>
      </w:r>
      <w:r>
        <w:instrText xml:space="preserve"> PAGEREF _Toc378152555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_Toc378152556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_Toc378152558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a cemetery</w:t>
      </w:r>
      <w:r>
        <w:tab/>
      </w:r>
      <w:r>
        <w:fldChar w:fldCharType="begin"/>
      </w:r>
      <w:r>
        <w:instrText xml:space="preserve"> PAGEREF _Toc378152559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_Toc378152560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_Toc378152562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_Toc378152563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_Toc378152564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_Toc378152565 \h </w:instrText>
      </w:r>
      <w:r>
        <w:fldChar w:fldCharType="separate"/>
      </w:r>
      <w:r>
        <w:t>10</w:t>
      </w:r>
      <w:r>
        <w:fldChar w:fldCharType="end"/>
      </w:r>
    </w:p>
    <w:p>
      <w:pPr>
        <w:pStyle w:val="TOC2"/>
        <w:tabs>
          <w:tab w:val="right" w:leader="dot" w:pos="7078"/>
        </w:tabs>
        <w:rPr>
          <w:rFonts w:asciiTheme="minorHAnsi" w:eastAsiaTheme="minorEastAsia" w:hAnsiTheme="minorHAnsi" w:cstheme="minorBidi"/>
          <w:b w:val="0"/>
          <w:sz w:val="22"/>
          <w:szCs w:val="22"/>
        </w:rPr>
      </w:pPr>
      <w:r>
        <w:t>Appendix “A”</w:t>
      </w:r>
    </w:p>
    <w:p>
      <w:pPr>
        <w:pStyle w:val="TOC2"/>
        <w:tabs>
          <w:tab w:val="right" w:leader="dot" w:pos="7078"/>
        </w:tabs>
        <w:rPr>
          <w:rFonts w:asciiTheme="minorHAnsi" w:eastAsiaTheme="minorEastAsia" w:hAnsiTheme="minorHAnsi" w:cstheme="minorBidi"/>
          <w:b w:val="0"/>
          <w:sz w:val="22"/>
          <w:szCs w:val="22"/>
        </w:rPr>
      </w:pPr>
      <w:r>
        <w:t>Appendix “B”</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_Toc378152569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378152539"/>
      <w:r>
        <w:rPr>
          <w:rStyle w:val="CharSectno"/>
        </w:rPr>
        <w:t>1</w:t>
      </w:r>
      <w:r>
        <w:rPr>
          <w:snapToGrid w:val="0"/>
        </w:rPr>
        <w:t>.</w:t>
      </w:r>
      <w:r>
        <w:rPr>
          <w:snapToGrid w:val="0"/>
        </w:rPr>
        <w:tab/>
        <w:t>Citation</w:t>
      </w:r>
      <w:bookmarkEnd w:id="1"/>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2" w:name="_Toc378152540"/>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These regulations shall come into operation on 6 September 1954.</w:t>
      </w:r>
    </w:p>
    <w:p>
      <w:pPr>
        <w:pStyle w:val="Heading5"/>
      </w:pPr>
      <w:bookmarkStart w:id="3" w:name="_Toc378152541"/>
      <w:r>
        <w:rPr>
          <w:rStyle w:val="CharSectno"/>
        </w:rPr>
        <w:t>3</w:t>
      </w:r>
      <w:r>
        <w:t>.</w:t>
      </w:r>
      <w:r>
        <w:tab/>
        <w:t>Term used in these regulations</w:t>
      </w:r>
      <w:bookmarkEnd w:id="3"/>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4" w:name="_Toc378152542"/>
      <w:r>
        <w:rPr>
          <w:rStyle w:val="CharPartNo"/>
        </w:rPr>
        <w:t>Part I</w:t>
      </w:r>
      <w:r>
        <w:rPr>
          <w:rStyle w:val="CharDivNo"/>
        </w:rPr>
        <w:t> </w:t>
      </w:r>
      <w:r>
        <w:t>—</w:t>
      </w:r>
      <w:r>
        <w:rPr>
          <w:rStyle w:val="CharDivText"/>
        </w:rPr>
        <w:t> </w:t>
      </w:r>
      <w:r>
        <w:rPr>
          <w:rStyle w:val="CharPartText"/>
        </w:rPr>
        <w:t>Application for licence to use and conduct a crematorium</w:t>
      </w:r>
      <w:bookmarkEnd w:id="4"/>
      <w:r>
        <w:rPr>
          <w:rStyle w:val="CharPartText"/>
        </w:rPr>
        <w:t xml:space="preserve"> </w:t>
      </w:r>
    </w:p>
    <w:p>
      <w:pPr>
        <w:pStyle w:val="Heading5"/>
        <w:rPr>
          <w:snapToGrid w:val="0"/>
        </w:rPr>
      </w:pPr>
      <w:bookmarkStart w:id="5" w:name="_Toc378152543"/>
      <w:r>
        <w:rPr>
          <w:rStyle w:val="CharSectno"/>
        </w:rPr>
        <w:t>4</w:t>
      </w:r>
      <w:r>
        <w:rPr>
          <w:snapToGrid w:val="0"/>
        </w:rPr>
        <w:t>.</w:t>
      </w:r>
      <w:r>
        <w:rPr>
          <w:snapToGrid w:val="0"/>
        </w:rPr>
        <w:tab/>
        <w:t>Application</w:t>
      </w:r>
      <w:bookmarkEnd w:id="5"/>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6" w:name="_Toc378152544"/>
      <w:r>
        <w:rPr>
          <w:rStyle w:val="CharSectno"/>
        </w:rPr>
        <w:t>5</w:t>
      </w:r>
      <w:r>
        <w:rPr>
          <w:snapToGrid w:val="0"/>
        </w:rPr>
        <w:t>.</w:t>
      </w:r>
      <w:r>
        <w:rPr>
          <w:snapToGrid w:val="0"/>
        </w:rPr>
        <w:tab/>
        <w:t>Form of licence</w:t>
      </w:r>
      <w:bookmarkEnd w:id="6"/>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7" w:name="_Toc378152545"/>
      <w:r>
        <w:rPr>
          <w:rStyle w:val="CharSectno"/>
        </w:rPr>
        <w:t>6</w:t>
      </w:r>
      <w:r>
        <w:rPr>
          <w:snapToGrid w:val="0"/>
        </w:rPr>
        <w:t>.</w:t>
      </w:r>
      <w:r>
        <w:rPr>
          <w:snapToGrid w:val="0"/>
        </w:rPr>
        <w:tab/>
        <w:t>Compliance certificate</w:t>
      </w:r>
      <w:bookmarkEnd w:id="7"/>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8" w:name="_Toc378152546"/>
      <w:r>
        <w:rPr>
          <w:rStyle w:val="CharSectno"/>
        </w:rPr>
        <w:t>7</w:t>
      </w:r>
      <w:r>
        <w:rPr>
          <w:snapToGrid w:val="0"/>
        </w:rPr>
        <w:t>.</w:t>
      </w:r>
      <w:r>
        <w:rPr>
          <w:snapToGrid w:val="0"/>
        </w:rPr>
        <w:tab/>
        <w:t>Form of certificate</w:t>
      </w:r>
      <w:bookmarkEnd w:id="8"/>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9" w:name="_Toc378152547"/>
      <w:r>
        <w:rPr>
          <w:rStyle w:val="CharPartNo"/>
        </w:rPr>
        <w:t>Part II</w:t>
      </w:r>
      <w:r>
        <w:rPr>
          <w:rStyle w:val="CharDivNo"/>
        </w:rPr>
        <w:t> </w:t>
      </w:r>
      <w:r>
        <w:t>—</w:t>
      </w:r>
      <w:r>
        <w:rPr>
          <w:rStyle w:val="CharDivText"/>
        </w:rPr>
        <w:t> </w:t>
      </w:r>
      <w:r>
        <w:rPr>
          <w:rStyle w:val="CharPartText"/>
        </w:rPr>
        <w:t>Maintenance and inspection of crematoria</w:t>
      </w:r>
      <w:bookmarkEnd w:id="9"/>
      <w:r>
        <w:rPr>
          <w:rStyle w:val="CharPartText"/>
        </w:rPr>
        <w:t xml:space="preserve"> </w:t>
      </w:r>
    </w:p>
    <w:p>
      <w:pPr>
        <w:pStyle w:val="Heading5"/>
        <w:rPr>
          <w:snapToGrid w:val="0"/>
        </w:rPr>
      </w:pPr>
      <w:bookmarkStart w:id="10" w:name="_Toc378152548"/>
      <w:r>
        <w:rPr>
          <w:rStyle w:val="CharSectno"/>
        </w:rPr>
        <w:t>8</w:t>
      </w:r>
      <w:r>
        <w:rPr>
          <w:snapToGrid w:val="0"/>
        </w:rPr>
        <w:t>.</w:t>
      </w:r>
      <w:r>
        <w:rPr>
          <w:snapToGrid w:val="0"/>
        </w:rPr>
        <w:tab/>
        <w:t>Crematoria to be maintained</w:t>
      </w:r>
      <w:bookmarkEnd w:id="10"/>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11" w:name="_Toc378152549"/>
      <w:r>
        <w:rPr>
          <w:rStyle w:val="CharSectno"/>
        </w:rPr>
        <w:t>9</w:t>
      </w:r>
      <w:r>
        <w:rPr>
          <w:snapToGrid w:val="0"/>
        </w:rPr>
        <w:t>.</w:t>
      </w:r>
      <w:r>
        <w:rPr>
          <w:snapToGrid w:val="0"/>
        </w:rPr>
        <w:tab/>
        <w:t>Inspection</w:t>
      </w:r>
      <w:bookmarkEnd w:id="11"/>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12" w:name="_Toc378152550"/>
      <w:r>
        <w:rPr>
          <w:rStyle w:val="CharSectno"/>
        </w:rPr>
        <w:t>10</w:t>
      </w:r>
      <w:r>
        <w:rPr>
          <w:snapToGrid w:val="0"/>
        </w:rPr>
        <w:t>.</w:t>
      </w:r>
      <w:r>
        <w:rPr>
          <w:snapToGrid w:val="0"/>
        </w:rPr>
        <w:tab/>
        <w:t>Notice requiring work to be carried out</w:t>
      </w:r>
      <w:bookmarkEnd w:id="12"/>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13" w:name="_Toc378152551"/>
      <w:r>
        <w:rPr>
          <w:rStyle w:val="CharPartNo"/>
        </w:rPr>
        <w:t>Part III</w:t>
      </w:r>
      <w:r>
        <w:rPr>
          <w:rStyle w:val="CharDivNo"/>
        </w:rPr>
        <w:t> </w:t>
      </w:r>
      <w:r>
        <w:t>—</w:t>
      </w:r>
      <w:r>
        <w:rPr>
          <w:rStyle w:val="CharDivText"/>
        </w:rPr>
        <w:t> </w:t>
      </w:r>
      <w:r>
        <w:rPr>
          <w:rStyle w:val="CharPartText"/>
        </w:rPr>
        <w:t>Application for permit to cremate</w:t>
      </w:r>
      <w:bookmarkEnd w:id="13"/>
      <w:r>
        <w:rPr>
          <w:rStyle w:val="CharPartText"/>
        </w:rPr>
        <w:t xml:space="preserve"> </w:t>
      </w:r>
    </w:p>
    <w:p>
      <w:pPr>
        <w:pStyle w:val="Heading5"/>
        <w:rPr>
          <w:snapToGrid w:val="0"/>
        </w:rPr>
      </w:pPr>
      <w:bookmarkStart w:id="14" w:name="_Toc378152552"/>
      <w:r>
        <w:rPr>
          <w:rStyle w:val="CharSectno"/>
        </w:rPr>
        <w:t>11</w:t>
      </w:r>
      <w:r>
        <w:rPr>
          <w:snapToGrid w:val="0"/>
        </w:rPr>
        <w:t>.</w:t>
      </w:r>
      <w:r>
        <w:rPr>
          <w:snapToGrid w:val="0"/>
        </w:rPr>
        <w:tab/>
        <w:t>Form of permit application</w:t>
      </w:r>
      <w:bookmarkEnd w:id="1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5" w:name="_Toc378152553"/>
      <w:r>
        <w:rPr>
          <w:rStyle w:val="CharSectno"/>
        </w:rPr>
        <w:t>12</w:t>
      </w:r>
      <w:r>
        <w:t>.</w:t>
      </w:r>
      <w:r>
        <w:tab/>
        <w:t>Other requirements for permit</w:t>
      </w:r>
      <w:bookmarkEnd w:id="15"/>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6" w:name="_Toc378152554"/>
      <w:r>
        <w:rPr>
          <w:rStyle w:val="CharPartNo"/>
        </w:rPr>
        <w:t>Part IV</w:t>
      </w:r>
      <w:r>
        <w:rPr>
          <w:rStyle w:val="CharDivNo"/>
        </w:rPr>
        <w:t> </w:t>
      </w:r>
      <w:r>
        <w:t>—</w:t>
      </w:r>
      <w:r>
        <w:rPr>
          <w:rStyle w:val="CharDivText"/>
        </w:rPr>
        <w:t> </w:t>
      </w:r>
      <w:r>
        <w:rPr>
          <w:rStyle w:val="CharPartText"/>
        </w:rPr>
        <w:t>The medical referee</w:t>
      </w:r>
      <w:bookmarkEnd w:id="16"/>
      <w:r>
        <w:rPr>
          <w:rStyle w:val="CharPartText"/>
        </w:rPr>
        <w:t xml:space="preserve"> </w:t>
      </w:r>
    </w:p>
    <w:p>
      <w:pPr>
        <w:pStyle w:val="Heading5"/>
        <w:rPr>
          <w:snapToGrid w:val="0"/>
        </w:rPr>
      </w:pPr>
      <w:bookmarkStart w:id="17" w:name="_Toc378152555"/>
      <w:r>
        <w:rPr>
          <w:rStyle w:val="CharSectno"/>
        </w:rPr>
        <w:t>13</w:t>
      </w:r>
      <w:r>
        <w:rPr>
          <w:snapToGrid w:val="0"/>
        </w:rPr>
        <w:t>.</w:t>
      </w:r>
      <w:r>
        <w:rPr>
          <w:snapToGrid w:val="0"/>
        </w:rPr>
        <w:tab/>
        <w:t>Referee to be a medical practitioner</w:t>
      </w:r>
      <w:bookmarkEnd w:id="1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8" w:name="_Toc378152556"/>
      <w:r>
        <w:rPr>
          <w:rStyle w:val="CharSectno"/>
        </w:rPr>
        <w:t>14</w:t>
      </w:r>
      <w:r>
        <w:rPr>
          <w:snapToGrid w:val="0"/>
        </w:rPr>
        <w:t>.</w:t>
      </w:r>
      <w:r>
        <w:rPr>
          <w:snapToGrid w:val="0"/>
        </w:rPr>
        <w:tab/>
        <w:t>Conditions for medical referee</w:t>
      </w:r>
      <w:bookmarkEnd w:id="1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9" w:name="_Toc378152557"/>
      <w:r>
        <w:rPr>
          <w:rStyle w:val="CharPartNo"/>
        </w:rPr>
        <w:t>Part V</w:t>
      </w:r>
      <w:r>
        <w:rPr>
          <w:rStyle w:val="CharDivNo"/>
        </w:rPr>
        <w:t> </w:t>
      </w:r>
      <w:r>
        <w:t>—</w:t>
      </w:r>
      <w:r>
        <w:rPr>
          <w:rStyle w:val="CharDivText"/>
        </w:rPr>
        <w:t> </w:t>
      </w:r>
      <w:r>
        <w:rPr>
          <w:rStyle w:val="CharPartText"/>
        </w:rPr>
        <w:t>Cremation elsewhere than in a crematorium</w:t>
      </w:r>
      <w:bookmarkEnd w:id="19"/>
      <w:r>
        <w:rPr>
          <w:rStyle w:val="CharPartText"/>
        </w:rPr>
        <w:t xml:space="preserve"> </w:t>
      </w:r>
    </w:p>
    <w:p>
      <w:pPr>
        <w:pStyle w:val="Heading5"/>
        <w:rPr>
          <w:snapToGrid w:val="0"/>
        </w:rPr>
      </w:pPr>
      <w:bookmarkStart w:id="20" w:name="_Toc378152558"/>
      <w:r>
        <w:rPr>
          <w:rStyle w:val="CharSectno"/>
        </w:rPr>
        <w:t>15</w:t>
      </w:r>
      <w:r>
        <w:rPr>
          <w:snapToGrid w:val="0"/>
        </w:rPr>
        <w:t>.</w:t>
      </w:r>
      <w:r>
        <w:rPr>
          <w:snapToGrid w:val="0"/>
        </w:rPr>
        <w:tab/>
        <w:t>Cremation elsewhere for religious reasons</w:t>
      </w:r>
      <w:bookmarkEnd w:id="2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21" w:name="_Toc378152559"/>
      <w:r>
        <w:rPr>
          <w:rStyle w:val="CharSectno"/>
        </w:rPr>
        <w:t>16</w:t>
      </w:r>
      <w:r>
        <w:rPr>
          <w:snapToGrid w:val="0"/>
        </w:rPr>
        <w:t>.</w:t>
      </w:r>
      <w:r>
        <w:rPr>
          <w:snapToGrid w:val="0"/>
        </w:rPr>
        <w:tab/>
        <w:t>Cremation in a cemetery</w:t>
      </w:r>
      <w:bookmarkEnd w:id="21"/>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22" w:name="_Toc378152560"/>
      <w:r>
        <w:rPr>
          <w:rStyle w:val="CharSectno"/>
        </w:rPr>
        <w:t>17</w:t>
      </w:r>
      <w:r>
        <w:rPr>
          <w:snapToGrid w:val="0"/>
        </w:rPr>
        <w:t>.</w:t>
      </w:r>
      <w:r>
        <w:rPr>
          <w:snapToGrid w:val="0"/>
        </w:rPr>
        <w:tab/>
        <w:t>Permission required for cremation elsewhere</w:t>
      </w:r>
      <w:bookmarkEnd w:id="2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23" w:name="_Toc378152561"/>
      <w:r>
        <w:rPr>
          <w:rStyle w:val="CharPartNo"/>
        </w:rPr>
        <w:t>Part VI</w:t>
      </w:r>
      <w:r>
        <w:rPr>
          <w:rStyle w:val="CharDivNo"/>
        </w:rPr>
        <w:t> </w:t>
      </w:r>
      <w:r>
        <w:t>—</w:t>
      </w:r>
      <w:r>
        <w:rPr>
          <w:rStyle w:val="CharDivText"/>
        </w:rPr>
        <w:t> </w:t>
      </w:r>
      <w:r>
        <w:rPr>
          <w:rStyle w:val="CharPartText"/>
        </w:rPr>
        <w:t>Miscellaneous</w:t>
      </w:r>
      <w:bookmarkEnd w:id="23"/>
      <w:r>
        <w:rPr>
          <w:rStyle w:val="CharPartText"/>
        </w:rPr>
        <w:t xml:space="preserve"> </w:t>
      </w:r>
    </w:p>
    <w:p>
      <w:pPr>
        <w:pStyle w:val="Heading5"/>
        <w:rPr>
          <w:snapToGrid w:val="0"/>
        </w:rPr>
      </w:pPr>
      <w:bookmarkStart w:id="24" w:name="_Toc378152562"/>
      <w:r>
        <w:rPr>
          <w:rStyle w:val="CharSectno"/>
        </w:rPr>
        <w:t>18</w:t>
      </w:r>
      <w:r>
        <w:rPr>
          <w:snapToGrid w:val="0"/>
        </w:rPr>
        <w:t>.</w:t>
      </w:r>
      <w:r>
        <w:rPr>
          <w:snapToGrid w:val="0"/>
        </w:rPr>
        <w:tab/>
        <w:t>Register of cremation to be kept</w:t>
      </w:r>
      <w:bookmarkEnd w:id="24"/>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25" w:name="_Toc378152563"/>
      <w:r>
        <w:rPr>
          <w:rStyle w:val="CharSectno"/>
        </w:rPr>
        <w:t>19</w:t>
      </w:r>
      <w:r>
        <w:rPr>
          <w:snapToGrid w:val="0"/>
        </w:rPr>
        <w:t>.</w:t>
      </w:r>
      <w:r>
        <w:rPr>
          <w:snapToGrid w:val="0"/>
        </w:rPr>
        <w:tab/>
        <w:t>Inspection of register</w:t>
      </w:r>
      <w:bookmarkEnd w:id="25"/>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26" w:name="_Toc378152564"/>
      <w:r>
        <w:rPr>
          <w:rStyle w:val="CharSectno"/>
        </w:rPr>
        <w:t>20</w:t>
      </w:r>
      <w:r>
        <w:rPr>
          <w:snapToGrid w:val="0"/>
        </w:rPr>
        <w:t>.</w:t>
      </w:r>
      <w:r>
        <w:rPr>
          <w:snapToGrid w:val="0"/>
        </w:rPr>
        <w:tab/>
        <w:t>Notice of cremation to be given</w:t>
      </w:r>
      <w:bookmarkEnd w:id="26"/>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27" w:name="_Toc378152565"/>
      <w:r>
        <w:rPr>
          <w:rStyle w:val="CharSectno"/>
        </w:rPr>
        <w:t>20A</w:t>
      </w:r>
      <w:r>
        <w:rPr>
          <w:snapToGrid w:val="0"/>
        </w:rPr>
        <w:t>.</w:t>
      </w:r>
      <w:r>
        <w:rPr>
          <w:snapToGrid w:val="0"/>
        </w:rPr>
        <w:tab/>
        <w:t>Post mortem certificate</w:t>
      </w:r>
      <w:bookmarkEnd w:id="27"/>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28" w:name="_Toc378152566"/>
      <w:r>
        <w:rPr>
          <w:rStyle w:val="CharSchNo"/>
        </w:rPr>
        <w:t>Appendix “A”</w:t>
      </w:r>
      <w:bookmarkEnd w:id="28"/>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5187"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5188"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5189"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5190"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5191"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shd w:val="clear" w:color="auto" w:fill="E0E0E0"/>
          </w:tcPr>
          <w:p>
            <w:pPr>
              <w:pStyle w:val="yTableNAm"/>
              <w:rPr>
                <w:sz w:val="20"/>
              </w:rPr>
            </w:pPr>
            <w:r>
              <w:rPr>
                <w:b/>
                <w:sz w:val="20"/>
              </w:rPr>
              <w:t>Signature of applicant</w:t>
            </w:r>
          </w:p>
        </w:tc>
        <w:tc>
          <w:tcPr>
            <w:tcW w:w="5546"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00" w:type="dxa"/>
            <w:shd w:val="clear" w:color="auto" w:fill="E0E0E0"/>
          </w:tcPr>
          <w:p>
            <w:pPr>
              <w:pStyle w:val="yTableNAm"/>
              <w:rPr>
                <w:b/>
                <w:sz w:val="20"/>
              </w:rPr>
            </w:pPr>
            <w:r>
              <w:rPr>
                <w:b/>
                <w:sz w:val="20"/>
              </w:rPr>
              <w:t>Statutory declaration</w:t>
            </w:r>
          </w:p>
          <w:p>
            <w:pPr>
              <w:pStyle w:val="yTableNAm"/>
            </w:pPr>
            <w:r>
              <w:rPr>
                <w:rFonts w:ascii="Times" w:hAnsi="Times"/>
                <w:i/>
                <w:iCs/>
                <w:sz w:val="20"/>
              </w:rPr>
              <w:t xml:space="preserve">(This section not to be completed by administrator) </w:t>
            </w:r>
          </w:p>
          <w:p>
            <w:pPr>
              <w:pStyle w:val="zyDefstart"/>
              <w:rPr>
                <w:b/>
                <w:bCs/>
                <w:sz w:val="20"/>
              </w:rPr>
            </w:pPr>
          </w:p>
        </w:tc>
        <w:tc>
          <w:tcPr>
            <w:tcW w:w="5546" w:type="dxa"/>
            <w:gridSpan w:val="2"/>
          </w:tcPr>
          <w:p>
            <w:pPr>
              <w:pStyle w:val="yTableNAm"/>
              <w:rPr>
                <w:sz w:val="20"/>
              </w:rPr>
            </w:pPr>
            <w:r>
              <w:rPr>
                <w:sz w:val="20"/>
              </w:rPr>
              <w:t xml:space="preserve">I, </w:t>
            </w:r>
            <w:r>
              <w:rPr>
                <w:i/>
                <w:sz w:val="20"/>
              </w:rPr>
              <w:t>[name, address and occupation of person making the declaration]</w:t>
            </w:r>
          </w:p>
          <w:p>
            <w:pPr>
              <w:pStyle w:val="yTableNAm"/>
              <w:rPr>
                <w:sz w:val="20"/>
              </w:rPr>
            </w:pPr>
            <w:r>
              <w:rPr>
                <w:sz w:val="20"/>
              </w:rPr>
              <w:t xml:space="preserve">sincerely declare as follows — </w:t>
            </w:r>
          </w:p>
          <w:p>
            <w:pPr>
              <w:pStyle w:val="yTableNAm"/>
              <w:rPr>
                <w:i/>
                <w:sz w:val="20"/>
              </w:rPr>
            </w:pPr>
            <w:r>
              <w:rPr>
                <w:sz w:val="20"/>
              </w:rPr>
              <w:t xml:space="preserve">That I make this application instead of an administrator because </w:t>
            </w:r>
            <w:r>
              <w:rPr>
                <w:i/>
                <w:sz w:val="20"/>
              </w:rPr>
              <w:t>[give reasons]</w:t>
            </w:r>
          </w:p>
          <w:p>
            <w:pPr>
              <w:pStyle w:val="yTableNAm"/>
              <w:rPr>
                <w:sz w:val="20"/>
              </w:rPr>
            </w:pPr>
          </w:p>
          <w:p>
            <w:pPr>
              <w:pStyle w:val="yTableNAm"/>
              <w:rPr>
                <w:sz w:val="20"/>
              </w:rPr>
            </w:pPr>
            <w:r>
              <w:rPr>
                <w:sz w:val="20"/>
              </w:rPr>
              <w:t>This declaration is true and I know that it is an offence to make a declaration knowing that it is false in a material particular.</w:t>
            </w:r>
          </w:p>
          <w:p>
            <w:pPr>
              <w:pStyle w:val="yTableNAm"/>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rPr>
                <w:i/>
                <w:sz w:val="20"/>
              </w:rPr>
            </w:pPr>
            <w:r>
              <w:rPr>
                <w:i/>
                <w:sz w:val="20"/>
              </w:rPr>
              <w:t xml:space="preserve">[Signature of person making the declaration] </w:t>
            </w:r>
          </w:p>
          <w:p>
            <w:pPr>
              <w:pStyle w:val="yTableNAm"/>
              <w:rPr>
                <w:sz w:val="20"/>
              </w:rPr>
            </w:pPr>
            <w:r>
              <w:rPr>
                <w:sz w:val="20"/>
              </w:rPr>
              <w:t>in the presence of</w:t>
            </w:r>
          </w:p>
          <w:p>
            <w:pPr>
              <w:pStyle w:val="yTableNAm"/>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zyDefstart"/>
              <w:tabs>
                <w:tab w:val="left" w:pos="5212"/>
              </w:tabs>
              <w:ind w:left="0" w:right="118" w:firstLine="0"/>
              <w:jc w:val="both"/>
              <w:rPr>
                <w:sz w:val="20"/>
              </w:rPr>
            </w:pPr>
            <w:r>
              <w:rPr>
                <w:i/>
                <w:sz w:val="20"/>
              </w:rPr>
              <w:t>[Name of authorised witness and qualification as such a witness]</w:t>
            </w: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Strontium</w:t>
            </w:r>
            <w:r>
              <w:rPr>
                <w:sz w:val="20"/>
              </w:rPr>
              <w:noBreakHyphen/>
              <w:t>89 injection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Samarium</w:t>
            </w:r>
            <w:r>
              <w:rPr>
                <w:sz w:val="20"/>
              </w:rPr>
              <w:noBreakHyphen/>
              <w:t>153 injection during the 3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Rhenium</w:t>
            </w:r>
            <w:r>
              <w:rPr>
                <w:sz w:val="20"/>
              </w:rPr>
              <w:noBreakHyphen/>
              <w:t>188 injection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243"/>
                <w:tab w:val="left" w:pos="526"/>
                <w:tab w:val="left" w:pos="1377"/>
              </w:tabs>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5192"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5193"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5194"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5195"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5196"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9" w:name="_Toc378152567"/>
      <w:r>
        <w:rPr>
          <w:rStyle w:val="CharSchNo"/>
        </w:rPr>
        <w:t>Appendix “B”</w:t>
      </w:r>
      <w:bookmarkEnd w:id="29"/>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30" w:name="_Toc378152568"/>
      <w:r>
        <w:t>Notes</w:t>
      </w:r>
      <w:bookmarkEnd w:id="30"/>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 w:name="_Toc378152569"/>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2908" w:type="dxa"/>
          </w:tcPr>
          <w:p>
            <w:pPr>
              <w:pStyle w:val="nTable"/>
              <w:spacing w:after="40"/>
              <w:ind w:right="170"/>
              <w:rPr>
                <w:i/>
                <w:sz w:val="19"/>
              </w:rPr>
            </w:pPr>
            <w:r>
              <w:rPr>
                <w:i/>
                <w:sz w:val="19"/>
              </w:rPr>
              <w:t>Cremation Amendment Regulations 2013</w:t>
            </w:r>
          </w:p>
        </w:tc>
        <w:tc>
          <w:tcPr>
            <w:tcW w:w="1487" w:type="dxa"/>
          </w:tcPr>
          <w:p>
            <w:pPr>
              <w:pStyle w:val="nTable"/>
              <w:spacing w:after="40"/>
              <w:rPr>
                <w:sz w:val="19"/>
              </w:rPr>
            </w:pPr>
            <w:r>
              <w:rPr>
                <w:sz w:val="19"/>
              </w:rPr>
              <w:t>8 Feb 2013 p. 865</w:t>
            </w:r>
            <w:r>
              <w:rPr>
                <w:sz w:val="19"/>
              </w:rPr>
              <w:noBreakHyphen/>
              <w:t>6</w:t>
            </w:r>
          </w:p>
        </w:tc>
        <w:tc>
          <w:tcPr>
            <w:tcW w:w="2694" w:type="dxa"/>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(No. 2) 2013</w:t>
            </w:r>
          </w:p>
        </w:tc>
        <w:tc>
          <w:tcPr>
            <w:tcW w:w="1487" w:type="dxa"/>
            <w:tcBorders>
              <w:bottom w:val="single" w:sz="4" w:space="0" w:color="auto"/>
            </w:tcBorders>
          </w:tcPr>
          <w:p>
            <w:pPr>
              <w:pStyle w:val="nTable"/>
              <w:spacing w:after="40"/>
              <w:rPr>
                <w:sz w:val="19"/>
              </w:rPr>
            </w:pPr>
            <w:r>
              <w:rPr>
                <w:sz w:val="19"/>
              </w:rPr>
              <w:t>9 Apr 2013 p. 1521</w:t>
            </w:r>
          </w:p>
        </w:tc>
        <w:tc>
          <w:tcPr>
            <w:tcW w:w="2694" w:type="dxa"/>
            <w:tcBorders>
              <w:bottom w:val="single" w:sz="4" w:space="0" w:color="auto"/>
            </w:tcBorders>
          </w:tcPr>
          <w:p>
            <w:pPr>
              <w:pStyle w:val="nTable"/>
              <w:spacing w:after="40"/>
              <w:rPr>
                <w:rFonts w:ascii="Times" w:hAnsi="Times"/>
                <w:i/>
                <w:snapToGrid w:val="0"/>
                <w:sz w:val="19"/>
              </w:rPr>
            </w:pPr>
            <w:r>
              <w:rPr>
                <w:rFonts w:ascii="Times" w:hAnsi="Times"/>
                <w:snapToGrid w:val="0"/>
                <w:sz w:val="19"/>
              </w:rPr>
              <w:t>r. 1 and 2: 9 Apr 2013 (see r. 2(a));</w:t>
            </w:r>
            <w:r>
              <w:rPr>
                <w:rFonts w:ascii="Times" w:hAnsi="Times"/>
                <w:snapToGrid w:val="0"/>
                <w:sz w:val="19"/>
              </w:rPr>
              <w:br/>
              <w:t>Regulations other than r. 1 and 2: 10 Apr 2013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32" w:name="_Toc378152570"/>
      <w:r>
        <w:rPr>
          <w:sz w:val="28"/>
        </w:rPr>
        <w:t>Defined Terms</w:t>
      </w:r>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 w:name="DefinedTerms"/>
      <w:bookmarkEnd w:id="33"/>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Apr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10932"/>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6628</Words>
  <Characters>40498</Characters>
  <Application>Microsoft Office Word</Application>
  <DocSecurity>0</DocSecurity>
  <Lines>1265</Lines>
  <Paragraphs>760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1954 - 03-f0-01</dc:title>
  <dc:subject/>
  <dc:creator/>
  <cp:keywords/>
  <dc:description/>
  <cp:lastModifiedBy>svcMRProcess</cp:lastModifiedBy>
  <cp:revision>4</cp:revision>
  <cp:lastPrinted>2008-08-04T02:10:00Z</cp:lastPrinted>
  <dcterms:created xsi:type="dcterms:W3CDTF">2020-02-22T17:06:00Z</dcterms:created>
  <dcterms:modified xsi:type="dcterms:W3CDTF">2020-02-22T17:06:00Z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20130410</vt:lpwstr>
  </property>
  <property fmtid="{D5CDD505-2E9C-101B-9397-08002B2CF9AE}" pid="4" name="DocumentType">
    <vt:lpwstr>Reg</vt:lpwstr>
  </property>
  <property fmtid="{D5CDD505-2E9C-101B-9397-08002B2CF9AE}" pid="5" name="OwlsUID">
    <vt:i4>4381</vt:i4>
  </property>
  <property fmtid="{D5CDD505-2E9C-101B-9397-08002B2CF9AE}" pid="6" name="AsAtDate">
    <vt:lpwstr>10 Apr 2013</vt:lpwstr>
  </property>
  <property fmtid="{D5CDD505-2E9C-101B-9397-08002B2CF9AE}" pid="7" name="Suffix">
    <vt:lpwstr>03-f0-01</vt:lpwstr>
  </property>
  <property fmtid="{D5CDD505-2E9C-101B-9397-08002B2CF9AE}" pid="8" name="ReprintNo">
    <vt:lpwstr>3</vt:lpwstr>
  </property>
</Properties>
</file>