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Water Agencies (Powers) Act 1984</w:t>
      </w:r>
    </w:p>
    <w:p>
      <w:pPr>
        <w:pStyle w:val="NameofActRegPage1"/>
        <w:spacing w:before="3760" w:after="4200"/>
        <w:ind w:left="284" w:right="284"/>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Water Agencies (Water Use) By-laws 2010</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April 2013</w:t>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Page1"/>
      </w:pPr>
      <w:r>
        <w:t>Water Agencies (Water Use) By-laws 2010</w:t>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_Toc352065564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_Toc352065565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_Toc352065566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Water restrictions</w:t>
      </w:r>
    </w:p>
    <w:p>
      <w:pPr>
        <w:pStyle w:val="TOC4"/>
        <w:tabs>
          <w:tab w:val="right" w:leader="dot" w:pos="7086"/>
        </w:tabs>
        <w:rPr>
          <w:rFonts w:asciiTheme="minorHAnsi" w:eastAsiaTheme="minorEastAsia" w:hAnsiTheme="minorHAnsi" w:cstheme="minorBidi"/>
          <w:b w:val="0"/>
          <w:szCs w:val="22"/>
        </w:rPr>
      </w:pPr>
      <w:r>
        <w:t>Division 1 — Restrictions</w:t>
      </w:r>
    </w:p>
    <w:p>
      <w:pPr>
        <w:pStyle w:val="TOC8"/>
        <w:rPr>
          <w:rFonts w:asciiTheme="minorHAnsi" w:eastAsiaTheme="minorEastAsia" w:hAnsiTheme="minorHAnsi" w:cstheme="minorBidi"/>
          <w:szCs w:val="22"/>
        </w:rPr>
      </w:pPr>
      <w:r>
        <w:t>4.</w:t>
      </w:r>
      <w:r>
        <w:tab/>
        <w:t>Contravening restrictions, offence</w:t>
      </w:r>
      <w:r>
        <w:tab/>
      </w:r>
      <w:r>
        <w:fldChar w:fldCharType="begin"/>
      </w:r>
      <w:r>
        <w:instrText xml:space="preserve"> PAGEREF _Toc352065569 \h </w:instrText>
      </w:r>
      <w:r>
        <w:fldChar w:fldCharType="separate"/>
      </w:r>
      <w:r>
        <w:t>4</w:t>
      </w:r>
      <w:r>
        <w:fldChar w:fldCharType="end"/>
      </w:r>
    </w:p>
    <w:p>
      <w:pPr>
        <w:pStyle w:val="TOC8"/>
        <w:rPr>
          <w:rFonts w:asciiTheme="minorHAnsi" w:eastAsiaTheme="minorEastAsia" w:hAnsiTheme="minorHAnsi" w:cstheme="minorBidi"/>
          <w:szCs w:val="22"/>
        </w:rPr>
      </w:pPr>
      <w:r>
        <w:t>5.</w:t>
      </w:r>
      <w:r>
        <w:tab/>
        <w:t>Area 1’s restrictions</w:t>
      </w:r>
      <w:r>
        <w:tab/>
      </w:r>
      <w:r>
        <w:fldChar w:fldCharType="begin"/>
      </w:r>
      <w:r>
        <w:instrText xml:space="preserve"> PAGEREF _Toc352065570 \h </w:instrText>
      </w:r>
      <w:r>
        <w:fldChar w:fldCharType="separate"/>
      </w:r>
      <w:r>
        <w:t>4</w:t>
      </w:r>
      <w:r>
        <w:fldChar w:fldCharType="end"/>
      </w:r>
    </w:p>
    <w:p>
      <w:pPr>
        <w:pStyle w:val="TOC8"/>
        <w:rPr>
          <w:rFonts w:asciiTheme="minorHAnsi" w:eastAsiaTheme="minorEastAsia" w:hAnsiTheme="minorHAnsi" w:cstheme="minorBidi"/>
          <w:szCs w:val="22"/>
        </w:rPr>
      </w:pPr>
      <w:r>
        <w:t>6.</w:t>
      </w:r>
      <w:r>
        <w:tab/>
        <w:t>Area 2’s restrictions</w:t>
      </w:r>
      <w:r>
        <w:tab/>
      </w:r>
      <w:r>
        <w:fldChar w:fldCharType="begin"/>
      </w:r>
      <w:r>
        <w:instrText xml:space="preserve"> PAGEREF _Toc352065571 \h </w:instrText>
      </w:r>
      <w:r>
        <w:fldChar w:fldCharType="separate"/>
      </w:r>
      <w:r>
        <w:t>4</w:t>
      </w:r>
      <w:r>
        <w:fldChar w:fldCharType="end"/>
      </w:r>
    </w:p>
    <w:p>
      <w:pPr>
        <w:pStyle w:val="TOC8"/>
        <w:rPr>
          <w:rFonts w:asciiTheme="minorHAnsi" w:eastAsiaTheme="minorEastAsia" w:hAnsiTheme="minorHAnsi" w:cstheme="minorBidi"/>
          <w:szCs w:val="22"/>
        </w:rPr>
      </w:pPr>
      <w:r>
        <w:t>7.</w:t>
      </w:r>
      <w:r>
        <w:tab/>
        <w:t>Area 3’s restrictions</w:t>
      </w:r>
      <w:r>
        <w:tab/>
      </w:r>
      <w:r>
        <w:fldChar w:fldCharType="begin"/>
      </w:r>
      <w:r>
        <w:instrText xml:space="preserve"> PAGEREF _Toc352065572 \h </w:instrText>
      </w:r>
      <w:r>
        <w:fldChar w:fldCharType="separate"/>
      </w:r>
      <w:r>
        <w:t>5</w:t>
      </w:r>
      <w:r>
        <w:fldChar w:fldCharType="end"/>
      </w:r>
    </w:p>
    <w:p>
      <w:pPr>
        <w:pStyle w:val="TOC8"/>
        <w:rPr>
          <w:rFonts w:asciiTheme="minorHAnsi" w:eastAsiaTheme="minorEastAsia" w:hAnsiTheme="minorHAnsi" w:cstheme="minorBidi"/>
          <w:szCs w:val="22"/>
        </w:rPr>
      </w:pPr>
      <w:r>
        <w:t>8.</w:t>
      </w:r>
      <w:r>
        <w:tab/>
        <w:t>Area 4’s restrictions</w:t>
      </w:r>
      <w:r>
        <w:tab/>
      </w:r>
      <w:r>
        <w:fldChar w:fldCharType="begin"/>
      </w:r>
      <w:r>
        <w:instrText xml:space="preserve"> PAGEREF _Toc352065573 \h </w:instrText>
      </w:r>
      <w:r>
        <w:fldChar w:fldCharType="separate"/>
      </w:r>
      <w:r>
        <w:t>5</w:t>
      </w:r>
      <w:r>
        <w:fldChar w:fldCharType="end"/>
      </w:r>
    </w:p>
    <w:p>
      <w:pPr>
        <w:pStyle w:val="TOC8"/>
        <w:rPr>
          <w:rFonts w:asciiTheme="minorHAnsi" w:eastAsiaTheme="minorEastAsia" w:hAnsiTheme="minorHAnsi" w:cstheme="minorBidi"/>
          <w:szCs w:val="22"/>
        </w:rPr>
      </w:pPr>
      <w:r>
        <w:t>9.</w:t>
      </w:r>
      <w:r>
        <w:tab/>
        <w:t>Halls Creek district, restrictions</w:t>
      </w:r>
      <w:r>
        <w:tab/>
      </w:r>
      <w:r>
        <w:fldChar w:fldCharType="begin"/>
      </w:r>
      <w:r>
        <w:instrText xml:space="preserve"> PAGEREF _Toc352065574 \h </w:instrText>
      </w:r>
      <w:r>
        <w:fldChar w:fldCharType="separate"/>
      </w:r>
      <w:r>
        <w:t>5</w:t>
      </w:r>
      <w:r>
        <w:fldChar w:fldCharType="end"/>
      </w:r>
    </w:p>
    <w:p>
      <w:pPr>
        <w:pStyle w:val="TOC8"/>
        <w:rPr>
          <w:rFonts w:asciiTheme="minorHAnsi" w:eastAsiaTheme="minorEastAsia" w:hAnsiTheme="minorHAnsi" w:cstheme="minorBidi"/>
          <w:szCs w:val="22"/>
        </w:rPr>
      </w:pPr>
      <w:r>
        <w:t>10AA.</w:t>
      </w:r>
      <w:r>
        <w:tab/>
        <w:t>Grass Patch and Salmon Gums, restrictions for until 31 Oct 2012</w:t>
      </w:r>
      <w:r>
        <w:tab/>
      </w:r>
      <w:r>
        <w:fldChar w:fldCharType="begin"/>
      </w:r>
      <w:r>
        <w:instrText xml:space="preserve"> PAGEREF _Toc352065575 \h </w:instrText>
      </w:r>
      <w:r>
        <w:fldChar w:fldCharType="separate"/>
      </w:r>
      <w:r>
        <w:t>6</w:t>
      </w:r>
      <w:r>
        <w:fldChar w:fldCharType="end"/>
      </w:r>
    </w:p>
    <w:p>
      <w:pPr>
        <w:pStyle w:val="TOC8"/>
        <w:rPr>
          <w:rFonts w:asciiTheme="minorHAnsi" w:eastAsiaTheme="minorEastAsia" w:hAnsiTheme="minorHAnsi" w:cstheme="minorBidi"/>
          <w:szCs w:val="22"/>
        </w:rPr>
      </w:pPr>
      <w:r>
        <w:t>10A.</w:t>
      </w:r>
      <w:r>
        <w:tab/>
        <w:t>Manjimup, restrictions for during 1 Sep to 30 Nov 2012</w:t>
      </w:r>
      <w:r>
        <w:tab/>
      </w:r>
      <w:r>
        <w:fldChar w:fldCharType="begin"/>
      </w:r>
      <w:r>
        <w:instrText xml:space="preserve"> PAGEREF _Toc352065576 \h </w:instrText>
      </w:r>
      <w:r>
        <w:fldChar w:fldCharType="separate"/>
      </w:r>
      <w:r>
        <w:t>8</w:t>
      </w:r>
      <w:r>
        <w:fldChar w:fldCharType="end"/>
      </w:r>
    </w:p>
    <w:p>
      <w:pPr>
        <w:pStyle w:val="TOC4"/>
        <w:tabs>
          <w:tab w:val="right" w:leader="dot" w:pos="7086"/>
        </w:tabs>
        <w:rPr>
          <w:rFonts w:asciiTheme="minorHAnsi" w:eastAsiaTheme="minorEastAsia" w:hAnsiTheme="minorHAnsi" w:cstheme="minorBidi"/>
          <w:b w:val="0"/>
          <w:szCs w:val="22"/>
        </w:rPr>
      </w:pPr>
      <w:r>
        <w:t>Division 2 — Exemptions</w:t>
      </w:r>
    </w:p>
    <w:p>
      <w:pPr>
        <w:pStyle w:val="TOC8"/>
        <w:rPr>
          <w:rFonts w:asciiTheme="minorHAnsi" w:eastAsiaTheme="minorEastAsia" w:hAnsiTheme="minorHAnsi" w:cstheme="minorBidi"/>
          <w:szCs w:val="22"/>
        </w:rPr>
      </w:pPr>
      <w:r>
        <w:t>10.</w:t>
      </w:r>
      <w:r>
        <w:tab/>
      </w:r>
      <w:r>
        <w:rPr>
          <w:i/>
        </w:rPr>
        <w:t>Rights in Water and Irrigation Act </w:t>
      </w:r>
      <w:r>
        <w:rPr>
          <w:i/>
          <w:iCs/>
        </w:rPr>
        <w:t>1914</w:t>
      </w:r>
      <w:r>
        <w:t xml:space="preserve"> s. 5C, use of water under is exempt</w:t>
      </w:r>
      <w:r>
        <w:tab/>
      </w:r>
      <w:r>
        <w:fldChar w:fldCharType="begin"/>
      </w:r>
      <w:r>
        <w:instrText xml:space="preserve"> PAGEREF _Toc352065578 \h </w:instrText>
      </w:r>
      <w:r>
        <w:fldChar w:fldCharType="separate"/>
      </w:r>
      <w:r>
        <w:t>9</w:t>
      </w:r>
      <w:r>
        <w:fldChar w:fldCharType="end"/>
      </w:r>
    </w:p>
    <w:p>
      <w:pPr>
        <w:pStyle w:val="TOC8"/>
        <w:rPr>
          <w:rFonts w:asciiTheme="minorHAnsi" w:eastAsiaTheme="minorEastAsia" w:hAnsiTheme="minorHAnsi" w:cstheme="minorBidi"/>
          <w:szCs w:val="22"/>
        </w:rPr>
      </w:pPr>
      <w:r>
        <w:t>11.</w:t>
      </w:r>
      <w:r>
        <w:tab/>
        <w:t>Domestic bore on other property, using water from</w:t>
      </w:r>
      <w:r>
        <w:tab/>
      </w:r>
      <w:r>
        <w:fldChar w:fldCharType="begin"/>
      </w:r>
      <w:r>
        <w:instrText xml:space="preserve"> PAGEREF _Toc352065579 \h </w:instrText>
      </w:r>
      <w:r>
        <w:fldChar w:fldCharType="separate"/>
      </w:r>
      <w:r>
        <w:t>9</w:t>
      </w:r>
      <w:r>
        <w:fldChar w:fldCharType="end"/>
      </w:r>
    </w:p>
    <w:p>
      <w:pPr>
        <w:pStyle w:val="TOC8"/>
        <w:rPr>
          <w:rFonts w:asciiTheme="minorHAnsi" w:eastAsiaTheme="minorEastAsia" w:hAnsiTheme="minorHAnsi" w:cstheme="minorBidi"/>
          <w:szCs w:val="22"/>
        </w:rPr>
      </w:pPr>
      <w:r>
        <w:t>12.</w:t>
      </w:r>
      <w:r>
        <w:tab/>
        <w:t>Installing etc. reticulation system, using water for</w:t>
      </w:r>
      <w:r>
        <w:tab/>
      </w:r>
      <w:r>
        <w:fldChar w:fldCharType="begin"/>
      </w:r>
      <w:r>
        <w:instrText xml:space="preserve"> PAGEREF _Toc352065580 \h </w:instrText>
      </w:r>
      <w:r>
        <w:fldChar w:fldCharType="separate"/>
      </w:r>
      <w:r>
        <w:t>10</w:t>
      </w:r>
      <w:r>
        <w:fldChar w:fldCharType="end"/>
      </w:r>
    </w:p>
    <w:p>
      <w:pPr>
        <w:pStyle w:val="TOC8"/>
        <w:rPr>
          <w:rFonts w:asciiTheme="minorHAnsi" w:eastAsiaTheme="minorEastAsia" w:hAnsiTheme="minorHAnsi" w:cstheme="minorBidi"/>
          <w:szCs w:val="22"/>
        </w:rPr>
      </w:pPr>
      <w:r>
        <w:t>13.</w:t>
      </w:r>
      <w:r>
        <w:tab/>
        <w:t>Vertimowing, fertilising etc. by commercial operator, watering after</w:t>
      </w:r>
      <w:r>
        <w:tab/>
      </w:r>
      <w:r>
        <w:fldChar w:fldCharType="begin"/>
      </w:r>
      <w:r>
        <w:instrText xml:space="preserve"> PAGEREF _Toc352065581 \h </w:instrText>
      </w:r>
      <w:r>
        <w:fldChar w:fldCharType="separate"/>
      </w:r>
      <w:r>
        <w:t>10</w:t>
      </w:r>
      <w:r>
        <w:fldChar w:fldCharType="end"/>
      </w:r>
    </w:p>
    <w:p>
      <w:pPr>
        <w:pStyle w:val="TOC8"/>
        <w:rPr>
          <w:rFonts w:asciiTheme="minorHAnsi" w:eastAsiaTheme="minorEastAsia" w:hAnsiTheme="minorHAnsi" w:cstheme="minorBidi"/>
          <w:szCs w:val="22"/>
        </w:rPr>
      </w:pPr>
      <w:r>
        <w:t>14.</w:t>
      </w:r>
      <w:r>
        <w:tab/>
        <w:t>Market garden or plant nursery, watering of</w:t>
      </w:r>
      <w:r>
        <w:tab/>
      </w:r>
      <w:r>
        <w:fldChar w:fldCharType="begin"/>
      </w:r>
      <w:r>
        <w:instrText xml:space="preserve"> PAGEREF _Toc352065582 \h </w:instrText>
      </w:r>
      <w:r>
        <w:fldChar w:fldCharType="separate"/>
      </w:r>
      <w:r>
        <w:t>10</w:t>
      </w:r>
      <w:r>
        <w:fldChar w:fldCharType="end"/>
      </w:r>
    </w:p>
    <w:p>
      <w:pPr>
        <w:pStyle w:val="TOC8"/>
        <w:rPr>
          <w:rFonts w:asciiTheme="minorHAnsi" w:eastAsiaTheme="minorEastAsia" w:hAnsiTheme="minorHAnsi" w:cstheme="minorBidi"/>
          <w:szCs w:val="22"/>
        </w:rPr>
      </w:pPr>
      <w:r>
        <w:t>15.</w:t>
      </w:r>
      <w:r>
        <w:tab/>
        <w:t>Caravan park site etc., watering of after vacation of</w:t>
      </w:r>
      <w:r>
        <w:tab/>
      </w:r>
      <w:r>
        <w:fldChar w:fldCharType="begin"/>
      </w:r>
      <w:r>
        <w:instrText xml:space="preserve"> PAGEREF _Toc352065583 \h </w:instrText>
      </w:r>
      <w:r>
        <w:fldChar w:fldCharType="separate"/>
      </w:r>
      <w:r>
        <w:t>10</w:t>
      </w:r>
      <w:r>
        <w:fldChar w:fldCharType="end"/>
      </w:r>
    </w:p>
    <w:p>
      <w:pPr>
        <w:pStyle w:val="TOC8"/>
        <w:rPr>
          <w:rFonts w:asciiTheme="minorHAnsi" w:eastAsiaTheme="minorEastAsia" w:hAnsiTheme="minorHAnsi" w:cstheme="minorBidi"/>
          <w:szCs w:val="22"/>
        </w:rPr>
      </w:pPr>
      <w:r>
        <w:t>16.</w:t>
      </w:r>
      <w:r>
        <w:tab/>
        <w:t>Aviary, water for birds in</w:t>
      </w:r>
      <w:r>
        <w:tab/>
      </w:r>
      <w:r>
        <w:fldChar w:fldCharType="begin"/>
      </w:r>
      <w:r>
        <w:instrText xml:space="preserve"> PAGEREF _Toc352065584 \h </w:instrText>
      </w:r>
      <w:r>
        <w:fldChar w:fldCharType="separate"/>
      </w:r>
      <w:r>
        <w:t>11</w:t>
      </w:r>
      <w:r>
        <w:fldChar w:fldCharType="end"/>
      </w:r>
    </w:p>
    <w:p>
      <w:pPr>
        <w:pStyle w:val="TOC8"/>
        <w:rPr>
          <w:rFonts w:asciiTheme="minorHAnsi" w:eastAsiaTheme="minorEastAsia" w:hAnsiTheme="minorHAnsi" w:cstheme="minorBidi"/>
          <w:szCs w:val="22"/>
        </w:rPr>
      </w:pPr>
      <w:r>
        <w:t>17.</w:t>
      </w:r>
      <w:r>
        <w:tab/>
        <w:t>Fire fighting, using water for</w:t>
      </w:r>
      <w:r>
        <w:tab/>
      </w:r>
      <w:r>
        <w:fldChar w:fldCharType="begin"/>
      </w:r>
      <w:r>
        <w:instrText xml:space="preserve"> PAGEREF _Toc352065585 \h </w:instrText>
      </w:r>
      <w:r>
        <w:fldChar w:fldCharType="separate"/>
      </w:r>
      <w:r>
        <w:t>11</w:t>
      </w:r>
      <w:r>
        <w:fldChar w:fldCharType="end"/>
      </w:r>
    </w:p>
    <w:p>
      <w:pPr>
        <w:pStyle w:val="TOC2"/>
        <w:tabs>
          <w:tab w:val="right" w:leader="dot" w:pos="7086"/>
        </w:tabs>
        <w:rPr>
          <w:rFonts w:asciiTheme="minorHAnsi" w:eastAsiaTheme="minorEastAsia" w:hAnsiTheme="minorHAnsi" w:cstheme="minorBidi"/>
          <w:b w:val="0"/>
          <w:sz w:val="22"/>
          <w:szCs w:val="22"/>
        </w:rPr>
      </w:pPr>
      <w:r>
        <w:t>Part 3 — Scheme water efficiency management plans</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18.</w:t>
      </w:r>
      <w:r>
        <w:tab/>
        <w:t>Terms used</w:t>
      </w:r>
      <w:r>
        <w:tab/>
      </w:r>
      <w:r>
        <w:fldChar w:fldCharType="begin"/>
      </w:r>
      <w:r>
        <w:instrText xml:space="preserve"> PAGEREF _Toc352065588 \h </w:instrText>
      </w:r>
      <w:r>
        <w:fldChar w:fldCharType="separate"/>
      </w:r>
      <w:r>
        <w:t>12</w:t>
      </w:r>
      <w:r>
        <w:fldChar w:fldCharType="end"/>
      </w:r>
    </w:p>
    <w:p>
      <w:pPr>
        <w:pStyle w:val="TOC8"/>
        <w:rPr>
          <w:rFonts w:asciiTheme="minorHAnsi" w:eastAsiaTheme="minorEastAsia" w:hAnsiTheme="minorHAnsi" w:cstheme="minorBidi"/>
          <w:szCs w:val="22"/>
        </w:rPr>
      </w:pPr>
      <w:r>
        <w:t>19.</w:t>
      </w:r>
      <w:r>
        <w:tab/>
        <w:t>Extension of time, application for and grant of</w:t>
      </w:r>
      <w:r>
        <w:tab/>
      </w:r>
      <w:r>
        <w:fldChar w:fldCharType="begin"/>
      </w:r>
      <w:r>
        <w:instrText xml:space="preserve"> PAGEREF _Toc352065589 \h </w:instrText>
      </w:r>
      <w:r>
        <w:fldChar w:fldCharType="separate"/>
      </w:r>
      <w:r>
        <w:t>13</w:t>
      </w:r>
      <w:r>
        <w:fldChar w:fldCharType="end"/>
      </w:r>
    </w:p>
    <w:p>
      <w:pPr>
        <w:pStyle w:val="TOC4"/>
        <w:tabs>
          <w:tab w:val="right" w:leader="dot" w:pos="7086"/>
        </w:tabs>
        <w:rPr>
          <w:rFonts w:asciiTheme="minorHAnsi" w:eastAsiaTheme="minorEastAsia" w:hAnsiTheme="minorHAnsi" w:cstheme="minorBidi"/>
          <w:b w:val="0"/>
          <w:szCs w:val="22"/>
        </w:rPr>
      </w:pPr>
      <w:r>
        <w:t>Division 2 — Preparation, submission and approval of scheme water efficiency management plans</w:t>
      </w:r>
    </w:p>
    <w:p>
      <w:pPr>
        <w:pStyle w:val="TOC8"/>
        <w:rPr>
          <w:rFonts w:asciiTheme="minorHAnsi" w:eastAsiaTheme="minorEastAsia" w:hAnsiTheme="minorHAnsi" w:cstheme="minorBidi"/>
          <w:szCs w:val="22"/>
        </w:rPr>
      </w:pPr>
      <w:r>
        <w:t>20.</w:t>
      </w:r>
      <w:r>
        <w:tab/>
        <w:t>Supplier may require certain owners etc. to submit plan</w:t>
      </w:r>
      <w:r>
        <w:tab/>
      </w:r>
      <w:r>
        <w:fldChar w:fldCharType="begin"/>
      </w:r>
      <w:r>
        <w:instrText xml:space="preserve"> PAGEREF _Toc352065591 \h </w:instrText>
      </w:r>
      <w:r>
        <w:fldChar w:fldCharType="separate"/>
      </w:r>
      <w:r>
        <w:t>13</w:t>
      </w:r>
      <w:r>
        <w:fldChar w:fldCharType="end"/>
      </w:r>
    </w:p>
    <w:p>
      <w:pPr>
        <w:pStyle w:val="TOC8"/>
        <w:rPr>
          <w:rFonts w:asciiTheme="minorHAnsi" w:eastAsiaTheme="minorEastAsia" w:hAnsiTheme="minorHAnsi" w:cstheme="minorBidi"/>
          <w:szCs w:val="22"/>
        </w:rPr>
      </w:pPr>
      <w:r>
        <w:t>21.</w:t>
      </w:r>
      <w:r>
        <w:tab/>
        <w:t>Supplier’s functions on receiving plan</w:t>
      </w:r>
      <w:r>
        <w:tab/>
      </w:r>
      <w:r>
        <w:fldChar w:fldCharType="begin"/>
      </w:r>
      <w:r>
        <w:instrText xml:space="preserve"> PAGEREF _Toc352065592 \h </w:instrText>
      </w:r>
      <w:r>
        <w:fldChar w:fldCharType="separate"/>
      </w:r>
      <w:r>
        <w:t>14</w:t>
      </w:r>
      <w:r>
        <w:fldChar w:fldCharType="end"/>
      </w:r>
    </w:p>
    <w:p>
      <w:pPr>
        <w:pStyle w:val="TOC8"/>
        <w:rPr>
          <w:rFonts w:asciiTheme="minorHAnsi" w:eastAsiaTheme="minorEastAsia" w:hAnsiTheme="minorHAnsi" w:cstheme="minorBidi"/>
          <w:szCs w:val="22"/>
        </w:rPr>
      </w:pPr>
      <w:r>
        <w:t>22.</w:t>
      </w:r>
      <w:r>
        <w:tab/>
        <w:t>Revised plan may be submitted at any time</w:t>
      </w:r>
      <w:r>
        <w:tab/>
      </w:r>
      <w:r>
        <w:fldChar w:fldCharType="begin"/>
      </w:r>
      <w:r>
        <w:instrText xml:space="preserve"> PAGEREF _Toc352065593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3 — After approval of scheme water efficiency management plans</w:t>
      </w:r>
    </w:p>
    <w:p>
      <w:pPr>
        <w:pStyle w:val="TOC8"/>
        <w:rPr>
          <w:rFonts w:asciiTheme="minorHAnsi" w:eastAsiaTheme="minorEastAsia" w:hAnsiTheme="minorHAnsi" w:cstheme="minorBidi"/>
          <w:szCs w:val="22"/>
        </w:rPr>
      </w:pPr>
      <w:r>
        <w:t>23.</w:t>
      </w:r>
      <w:r>
        <w:tab/>
        <w:t>Application of this Division</w:t>
      </w:r>
      <w:r>
        <w:tab/>
      </w:r>
      <w:r>
        <w:fldChar w:fldCharType="begin"/>
      </w:r>
      <w:r>
        <w:instrText xml:space="preserve"> PAGEREF _Toc352065595 \h </w:instrText>
      </w:r>
      <w:r>
        <w:fldChar w:fldCharType="separate"/>
      </w:r>
      <w:r>
        <w:t>15</w:t>
      </w:r>
      <w:r>
        <w:fldChar w:fldCharType="end"/>
      </w:r>
    </w:p>
    <w:p>
      <w:pPr>
        <w:pStyle w:val="TOC8"/>
        <w:rPr>
          <w:rFonts w:asciiTheme="minorHAnsi" w:eastAsiaTheme="minorEastAsia" w:hAnsiTheme="minorHAnsi" w:cstheme="minorBidi"/>
          <w:szCs w:val="22"/>
        </w:rPr>
      </w:pPr>
      <w:r>
        <w:t>24.</w:t>
      </w:r>
      <w:r>
        <w:tab/>
        <w:t>Approval of plan, duration of</w:t>
      </w:r>
      <w:r>
        <w:tab/>
      </w:r>
      <w:r>
        <w:fldChar w:fldCharType="begin"/>
      </w:r>
      <w:r>
        <w:instrText xml:space="preserve"> PAGEREF _Toc352065596 \h </w:instrText>
      </w:r>
      <w:r>
        <w:fldChar w:fldCharType="separate"/>
      </w:r>
      <w:r>
        <w:t>15</w:t>
      </w:r>
      <w:r>
        <w:fldChar w:fldCharType="end"/>
      </w:r>
    </w:p>
    <w:p>
      <w:pPr>
        <w:pStyle w:val="TOC8"/>
        <w:rPr>
          <w:rFonts w:asciiTheme="minorHAnsi" w:eastAsiaTheme="minorEastAsia" w:hAnsiTheme="minorHAnsi" w:cstheme="minorBidi"/>
          <w:szCs w:val="22"/>
        </w:rPr>
      </w:pPr>
      <w:r>
        <w:t>25.</w:t>
      </w:r>
      <w:r>
        <w:tab/>
        <w:t>Approved plan to be complied with etc.</w:t>
      </w:r>
      <w:r>
        <w:tab/>
      </w:r>
      <w:r>
        <w:fldChar w:fldCharType="begin"/>
      </w:r>
      <w:r>
        <w:instrText xml:space="preserve"> PAGEREF _Toc352065597 \h </w:instrText>
      </w:r>
      <w:r>
        <w:fldChar w:fldCharType="separate"/>
      </w:r>
      <w:r>
        <w:t>16</w:t>
      </w:r>
      <w:r>
        <w:fldChar w:fldCharType="end"/>
      </w:r>
    </w:p>
    <w:p>
      <w:pPr>
        <w:pStyle w:val="TOC8"/>
        <w:rPr>
          <w:rFonts w:asciiTheme="minorHAnsi" w:eastAsiaTheme="minorEastAsia" w:hAnsiTheme="minorHAnsi" w:cstheme="minorBidi"/>
          <w:szCs w:val="22"/>
        </w:rPr>
      </w:pPr>
      <w:r>
        <w:t>26.</w:t>
      </w:r>
      <w:r>
        <w:tab/>
        <w:t>Revised plan to be submitted before end of approved plan in some cases</w:t>
      </w:r>
      <w:r>
        <w:tab/>
      </w:r>
      <w:r>
        <w:fldChar w:fldCharType="begin"/>
      </w:r>
      <w:r>
        <w:instrText xml:space="preserve"> PAGEREF _Toc352065598 \h </w:instrText>
      </w:r>
      <w:r>
        <w:fldChar w:fldCharType="separate"/>
      </w:r>
      <w:r>
        <w:t>16</w:t>
      </w:r>
      <w:r>
        <w:fldChar w:fldCharType="end"/>
      </w:r>
    </w:p>
    <w:p>
      <w:pPr>
        <w:pStyle w:val="TOC8"/>
        <w:rPr>
          <w:rFonts w:asciiTheme="minorHAnsi" w:eastAsiaTheme="minorEastAsia" w:hAnsiTheme="minorHAnsi" w:cstheme="minorBidi"/>
          <w:szCs w:val="22"/>
        </w:rPr>
      </w:pPr>
      <w:r>
        <w:t>27.</w:t>
      </w:r>
      <w:r>
        <w:tab/>
        <w:t>Supplier may require revised plan to be submitted in some cases</w:t>
      </w:r>
      <w:r>
        <w:tab/>
      </w:r>
      <w:r>
        <w:fldChar w:fldCharType="begin"/>
      </w:r>
      <w:r>
        <w:instrText xml:space="preserve"> PAGEREF _Toc352065599 \h </w:instrText>
      </w:r>
      <w:r>
        <w:fldChar w:fldCharType="separate"/>
      </w:r>
      <w:r>
        <w:t>17</w:t>
      </w:r>
      <w:r>
        <w:fldChar w:fldCharType="end"/>
      </w:r>
    </w:p>
    <w:p>
      <w:pPr>
        <w:pStyle w:val="TOC8"/>
        <w:rPr>
          <w:rFonts w:asciiTheme="minorHAnsi" w:eastAsiaTheme="minorEastAsia" w:hAnsiTheme="minorHAnsi" w:cstheme="minorBidi"/>
          <w:szCs w:val="22"/>
        </w:rPr>
      </w:pPr>
      <w:r>
        <w:t>28.</w:t>
      </w:r>
      <w:r>
        <w:tab/>
        <w:t>Revocation of approval of plan, application for etc.</w:t>
      </w:r>
      <w:r>
        <w:tab/>
      </w:r>
      <w:r>
        <w:fldChar w:fldCharType="begin"/>
      </w:r>
      <w:r>
        <w:instrText xml:space="preserve"> PAGEREF _Toc352065600 \h </w:instrText>
      </w:r>
      <w:r>
        <w:fldChar w:fldCharType="separate"/>
      </w:r>
      <w:r>
        <w:t>17</w:t>
      </w:r>
      <w:r>
        <w:fldChar w:fldCharType="end"/>
      </w:r>
    </w:p>
    <w:p>
      <w:pPr>
        <w:pStyle w:val="TOC8"/>
        <w:rPr>
          <w:rFonts w:asciiTheme="minorHAnsi" w:eastAsiaTheme="minorEastAsia" w:hAnsiTheme="minorHAnsi" w:cstheme="minorBidi"/>
          <w:szCs w:val="22"/>
        </w:rPr>
      </w:pPr>
      <w:r>
        <w:t>29.</w:t>
      </w:r>
      <w:r>
        <w:tab/>
        <w:t>Annual report on plan to be given to supplier</w:t>
      </w:r>
      <w:r>
        <w:tab/>
      </w:r>
      <w:r>
        <w:fldChar w:fldCharType="begin"/>
      </w:r>
      <w:r>
        <w:instrText xml:space="preserve"> PAGEREF _Toc352065601 \h </w:instrText>
      </w:r>
      <w:r>
        <w:fldChar w:fldCharType="separate"/>
      </w:r>
      <w:r>
        <w:t>18</w:t>
      </w:r>
      <w:r>
        <w:fldChar w:fldCharType="end"/>
      </w:r>
    </w:p>
    <w:p>
      <w:pPr>
        <w:pStyle w:val="TOC2"/>
        <w:tabs>
          <w:tab w:val="right" w:leader="dot" w:pos="7086"/>
        </w:tabs>
        <w:rPr>
          <w:rFonts w:asciiTheme="minorHAnsi" w:eastAsiaTheme="minorEastAsia" w:hAnsiTheme="minorHAnsi" w:cstheme="minorBidi"/>
          <w:b w:val="0"/>
          <w:sz w:val="22"/>
          <w:szCs w:val="22"/>
        </w:rPr>
      </w:pPr>
      <w:r>
        <w:t>Part 4 — Repeal, saving and transitional</w:t>
      </w:r>
    </w:p>
    <w:p>
      <w:pPr>
        <w:pStyle w:val="TOC8"/>
        <w:rPr>
          <w:rFonts w:asciiTheme="minorHAnsi" w:eastAsiaTheme="minorEastAsia" w:hAnsiTheme="minorHAnsi" w:cstheme="minorBidi"/>
          <w:szCs w:val="22"/>
        </w:rPr>
      </w:pPr>
      <w:r>
        <w:t>30.</w:t>
      </w:r>
      <w:r>
        <w:tab/>
        <w:t>Repeal</w:t>
      </w:r>
      <w:r>
        <w:tab/>
      </w:r>
      <w:r>
        <w:fldChar w:fldCharType="begin"/>
      </w:r>
      <w:r>
        <w:instrText xml:space="preserve"> PAGEREF _Toc352065603 \h </w:instrText>
      </w:r>
      <w:r>
        <w:fldChar w:fldCharType="separate"/>
      </w:r>
      <w:r>
        <w:t>20</w:t>
      </w:r>
      <w:r>
        <w:fldChar w:fldCharType="end"/>
      </w:r>
    </w:p>
    <w:p>
      <w:pPr>
        <w:pStyle w:val="TOC8"/>
        <w:rPr>
          <w:rFonts w:asciiTheme="minorHAnsi" w:eastAsiaTheme="minorEastAsia" w:hAnsiTheme="minorHAnsi" w:cstheme="minorBidi"/>
          <w:szCs w:val="22"/>
        </w:rPr>
      </w:pPr>
      <w:r>
        <w:t>31.</w:t>
      </w:r>
      <w:r>
        <w:tab/>
      </w:r>
      <w:r>
        <w:rPr>
          <w:i/>
        </w:rPr>
        <w:t>Water Agencies (Water Use) By</w:t>
      </w:r>
      <w:r>
        <w:rPr>
          <w:i/>
        </w:rPr>
        <w:noBreakHyphen/>
        <w:t>laws 2007</w:t>
      </w:r>
      <w:r>
        <w:t>, provisions for</w:t>
      </w:r>
      <w:r>
        <w:tab/>
      </w:r>
      <w:r>
        <w:fldChar w:fldCharType="begin"/>
      </w:r>
      <w:r>
        <w:instrText xml:space="preserve"> PAGEREF _Toc352065604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Schedule 1 — Maps showing Areas 1, 2, 3 and 4</w:t>
      </w:r>
    </w:p>
    <w:p>
      <w:pPr>
        <w:pStyle w:val="TOC2"/>
        <w:tabs>
          <w:tab w:val="right" w:leader="dot" w:pos="7086"/>
        </w:tabs>
        <w:rPr>
          <w:rFonts w:asciiTheme="minorHAnsi" w:eastAsiaTheme="minorEastAsia" w:hAnsiTheme="minorHAnsi" w:cstheme="minorBidi"/>
          <w:b w:val="0"/>
          <w:sz w:val="22"/>
          <w:szCs w:val="22"/>
        </w:rPr>
      </w:pPr>
      <w:r>
        <w:t>Schedule 2 — Stages of restrictions</w:t>
      </w:r>
    </w:p>
    <w:p>
      <w:pPr>
        <w:pStyle w:val="TOC8"/>
        <w:rPr>
          <w:rFonts w:asciiTheme="minorHAnsi" w:eastAsiaTheme="minorEastAsia" w:hAnsiTheme="minorHAnsi" w:cstheme="minorBidi"/>
          <w:szCs w:val="22"/>
        </w:rPr>
      </w:pPr>
      <w:r>
        <w:t>1.</w:t>
      </w:r>
      <w:r>
        <w:tab/>
        <w:t>Stage 1</w:t>
      </w:r>
      <w:r>
        <w:tab/>
      </w:r>
      <w:r>
        <w:fldChar w:fldCharType="begin"/>
      </w:r>
      <w:r>
        <w:instrText xml:space="preserve"> PAGEREF _Toc352065607 \h </w:instrText>
      </w:r>
      <w:r>
        <w:fldChar w:fldCharType="separate"/>
      </w:r>
      <w:r>
        <w:t>23</w:t>
      </w:r>
      <w:r>
        <w:fldChar w:fldCharType="end"/>
      </w:r>
    </w:p>
    <w:p>
      <w:pPr>
        <w:pStyle w:val="TOC8"/>
        <w:rPr>
          <w:rFonts w:asciiTheme="minorHAnsi" w:eastAsiaTheme="minorEastAsia" w:hAnsiTheme="minorHAnsi" w:cstheme="minorBidi"/>
          <w:szCs w:val="22"/>
        </w:rPr>
      </w:pPr>
      <w:r>
        <w:t>2.</w:t>
      </w:r>
      <w:r>
        <w:tab/>
        <w:t>Stage 2</w:t>
      </w:r>
      <w:r>
        <w:tab/>
      </w:r>
      <w:r>
        <w:fldChar w:fldCharType="begin"/>
      </w:r>
      <w:r>
        <w:instrText xml:space="preserve"> PAGEREF _Toc352065608 \h </w:instrText>
      </w:r>
      <w:r>
        <w:fldChar w:fldCharType="separate"/>
      </w:r>
      <w:r>
        <w:t>23</w:t>
      </w:r>
      <w:r>
        <w:fldChar w:fldCharType="end"/>
      </w:r>
    </w:p>
    <w:p>
      <w:pPr>
        <w:pStyle w:val="TOC8"/>
        <w:rPr>
          <w:rFonts w:asciiTheme="minorHAnsi" w:eastAsiaTheme="minorEastAsia" w:hAnsiTheme="minorHAnsi" w:cstheme="minorBidi"/>
          <w:szCs w:val="22"/>
        </w:rPr>
      </w:pPr>
      <w:r>
        <w:t>3.</w:t>
      </w:r>
      <w:r>
        <w:tab/>
        <w:t>Stage 3</w:t>
      </w:r>
      <w:r>
        <w:tab/>
      </w:r>
      <w:r>
        <w:fldChar w:fldCharType="begin"/>
      </w:r>
      <w:r>
        <w:instrText xml:space="preserve"> PAGEREF _Toc352065609 \h </w:instrText>
      </w:r>
      <w:r>
        <w:fldChar w:fldCharType="separate"/>
      </w:r>
      <w:r>
        <w:t>24</w:t>
      </w:r>
      <w:r>
        <w:fldChar w:fldCharType="end"/>
      </w:r>
    </w:p>
    <w:p>
      <w:pPr>
        <w:pStyle w:val="TOC8"/>
        <w:rPr>
          <w:rFonts w:asciiTheme="minorHAnsi" w:eastAsiaTheme="minorEastAsia" w:hAnsiTheme="minorHAnsi" w:cstheme="minorBidi"/>
          <w:szCs w:val="22"/>
        </w:rPr>
      </w:pPr>
      <w:r>
        <w:t>4.</w:t>
      </w:r>
      <w:r>
        <w:tab/>
        <w:t>Stage 4</w:t>
      </w:r>
      <w:r>
        <w:tab/>
      </w:r>
      <w:r>
        <w:fldChar w:fldCharType="begin"/>
      </w:r>
      <w:r>
        <w:instrText xml:space="preserve"> PAGEREF _Toc352065610 \h </w:instrText>
      </w:r>
      <w:r>
        <w:fldChar w:fldCharType="separate"/>
      </w:r>
      <w:r>
        <w:t>25</w:t>
      </w:r>
      <w:r>
        <w:fldChar w:fldCharType="end"/>
      </w:r>
    </w:p>
    <w:p>
      <w:pPr>
        <w:pStyle w:val="TOC8"/>
        <w:rPr>
          <w:rFonts w:asciiTheme="minorHAnsi" w:eastAsiaTheme="minorEastAsia" w:hAnsiTheme="minorHAnsi" w:cstheme="minorBidi"/>
          <w:szCs w:val="22"/>
        </w:rPr>
      </w:pPr>
      <w:r>
        <w:t>5.</w:t>
      </w:r>
      <w:r>
        <w:tab/>
        <w:t>Stage 5</w:t>
      </w:r>
      <w:r>
        <w:tab/>
      </w:r>
      <w:r>
        <w:fldChar w:fldCharType="begin"/>
      </w:r>
      <w:r>
        <w:instrText xml:space="preserve"> PAGEREF _Toc352065611 \h </w:instrText>
      </w:r>
      <w:r>
        <w:fldChar w:fldCharType="separate"/>
      </w:r>
      <w:r>
        <w:t>26</w:t>
      </w:r>
      <w:r>
        <w:fldChar w:fldCharType="end"/>
      </w:r>
    </w:p>
    <w:p>
      <w:pPr>
        <w:pStyle w:val="TOC8"/>
        <w:rPr>
          <w:rFonts w:asciiTheme="minorHAnsi" w:eastAsiaTheme="minorEastAsia" w:hAnsiTheme="minorHAnsi" w:cstheme="minorBidi"/>
          <w:szCs w:val="22"/>
        </w:rPr>
      </w:pPr>
      <w:r>
        <w:t>6.</w:t>
      </w:r>
      <w:r>
        <w:tab/>
        <w:t>Stage 6</w:t>
      </w:r>
      <w:r>
        <w:tab/>
      </w:r>
      <w:r>
        <w:fldChar w:fldCharType="begin"/>
      </w:r>
      <w:r>
        <w:instrText xml:space="preserve"> PAGEREF _Toc352065612 \h </w:instrText>
      </w:r>
      <w:r>
        <w:fldChar w:fldCharType="separate"/>
      </w:r>
      <w:r>
        <w:t>27</w:t>
      </w:r>
      <w:r>
        <w:fldChar w:fldCharType="end"/>
      </w:r>
    </w:p>
    <w:p>
      <w:pPr>
        <w:pStyle w:val="TOC8"/>
        <w:rPr>
          <w:rFonts w:asciiTheme="minorHAnsi" w:eastAsiaTheme="minorEastAsia" w:hAnsiTheme="minorHAnsi" w:cstheme="minorBidi"/>
          <w:szCs w:val="22"/>
        </w:rPr>
      </w:pPr>
      <w:r>
        <w:t>7.</w:t>
      </w:r>
      <w:r>
        <w:tab/>
        <w:t>Stage 7</w:t>
      </w:r>
      <w:r>
        <w:tab/>
      </w:r>
      <w:r>
        <w:fldChar w:fldCharType="begin"/>
      </w:r>
      <w:r>
        <w:instrText xml:space="preserve"> PAGEREF _Toc352065613 \h </w:instrText>
      </w:r>
      <w:r>
        <w:fldChar w:fldCharType="separate"/>
      </w:r>
      <w:r>
        <w:t>28</w:t>
      </w:r>
      <w:r>
        <w:fldChar w:fldCharType="end"/>
      </w:r>
    </w:p>
    <w:p>
      <w:pPr>
        <w:pStyle w:val="TOC2"/>
        <w:tabs>
          <w:tab w:val="right" w:leader="dot" w:pos="7086"/>
        </w:tabs>
        <w:rPr>
          <w:rFonts w:asciiTheme="minorHAnsi" w:eastAsiaTheme="minorEastAsia" w:hAnsiTheme="minorHAnsi" w:cstheme="minorBidi"/>
          <w:b w:val="0"/>
          <w:sz w:val="22"/>
          <w:szCs w:val="22"/>
        </w:rPr>
      </w:pPr>
      <w:r>
        <w:t>Schedule 3 — Specified days for watering by reticulation</w:t>
      </w:r>
    </w:p>
    <w:p>
      <w:pPr>
        <w:pStyle w:val="TOC4"/>
        <w:tabs>
          <w:tab w:val="right" w:leader="dot" w:pos="7086"/>
        </w:tabs>
        <w:rPr>
          <w:rFonts w:asciiTheme="minorHAnsi" w:eastAsiaTheme="minorEastAsia" w:hAnsiTheme="minorHAnsi" w:cstheme="minorBidi"/>
          <w:b w:val="0"/>
          <w:szCs w:val="22"/>
        </w:rPr>
      </w:pPr>
      <w:r>
        <w:t>Division 1 — Specified days for Schedule 2 clauses 3(1)(a), 4(2)(a), 5(2)(a) and 6(2)(a)</w:t>
      </w:r>
    </w:p>
    <w:p>
      <w:pPr>
        <w:pStyle w:val="TOC4"/>
        <w:tabs>
          <w:tab w:val="right" w:leader="dot" w:pos="7086"/>
        </w:tabs>
        <w:rPr>
          <w:rFonts w:asciiTheme="minorHAnsi" w:eastAsiaTheme="minorEastAsia" w:hAnsiTheme="minorHAnsi" w:cstheme="minorBidi"/>
          <w:b w:val="0"/>
          <w:szCs w:val="22"/>
        </w:rPr>
      </w:pPr>
      <w:r>
        <w:t>Division 2 — Specified days for Schedule 2 clause 4(1)(a)</w:t>
      </w:r>
    </w:p>
    <w:p>
      <w:pPr>
        <w:pStyle w:val="TOC4"/>
        <w:tabs>
          <w:tab w:val="right" w:leader="dot" w:pos="7086"/>
        </w:tabs>
        <w:rPr>
          <w:rFonts w:asciiTheme="minorHAnsi" w:eastAsiaTheme="minorEastAsia" w:hAnsiTheme="minorHAnsi" w:cstheme="minorBidi"/>
          <w:b w:val="0"/>
          <w:szCs w:val="22"/>
        </w:rPr>
      </w:pPr>
      <w:r>
        <w:t>Division 3 — Specified days for Schedule 2 clause 5(1)(a)</w:t>
      </w:r>
    </w:p>
    <w:p>
      <w:pPr>
        <w:pStyle w:val="TOC2"/>
        <w:tabs>
          <w:tab w:val="right" w:leader="dot" w:pos="7086"/>
        </w:tabs>
        <w:rPr>
          <w:rFonts w:asciiTheme="minorHAnsi" w:eastAsiaTheme="minorEastAsia" w:hAnsiTheme="minorHAnsi" w:cstheme="minorBidi"/>
          <w:b w:val="0"/>
          <w:sz w:val="22"/>
          <w:szCs w:val="22"/>
        </w:rPr>
      </w:pPr>
      <w:r>
        <w:t>Schedule 4 — Maps of certain scheme water areas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_Toc352065620 \h </w:instrText>
      </w:r>
      <w:r>
        <w:fldChar w:fldCharType="separate"/>
      </w:r>
      <w:r>
        <w:t>34</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69900"/>
                  <wp:effectExtent l="0" t="0" r="0" b="635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April 2013</w:t>
            </w:r>
          </w:p>
        </w:tc>
      </w:tr>
    </w:tbl>
    <w:p>
      <w:pPr>
        <w:pStyle w:val="WA"/>
        <w:spacing w:before="120"/>
      </w:pPr>
      <w:smartTag w:uri="urn:schemas-microsoft-com:office:smarttags" w:element="place">
        <w:smartTag w:uri="urn:schemas-microsoft-com:office:smarttags" w:element="State">
          <w:r>
            <w:t>Western Australia</w:t>
          </w:r>
        </w:smartTag>
      </w:smartTag>
    </w:p>
    <w:p>
      <w:pPr>
        <w:pStyle w:val="PrincipalActReg"/>
      </w:pPr>
      <w:r>
        <w:t>Water Agencies (Powers) Act 1984</w:t>
      </w:r>
    </w:p>
    <w:p>
      <w:pPr>
        <w:pStyle w:val="NameofActReg"/>
      </w:pPr>
      <w:r>
        <w:t>Water Agencies (Water Use) By</w:t>
      </w:r>
      <w:r>
        <w:noBreakHyphen/>
        <w:t>laws 2010</w:t>
      </w:r>
    </w:p>
    <w:p>
      <w:pPr>
        <w:pStyle w:val="Heading2"/>
        <w:pageBreakBefore w:val="0"/>
        <w:spacing w:before="320"/>
      </w:pPr>
      <w:bookmarkStart w:id="1" w:name="_Toc175156471"/>
      <w:bookmarkStart w:id="2" w:name="_Toc175475248"/>
      <w:bookmarkStart w:id="3" w:name="_Toc175478425"/>
      <w:bookmarkStart w:id="4" w:name="_Toc175730332"/>
      <w:bookmarkStart w:id="5" w:name="_Toc176255625"/>
      <w:bookmarkStart w:id="6" w:name="_Toc176328325"/>
      <w:bookmarkStart w:id="7" w:name="_Toc176343425"/>
      <w:bookmarkStart w:id="8" w:name="_Toc176349329"/>
      <w:bookmarkStart w:id="9" w:name="_Toc176365922"/>
      <w:bookmarkStart w:id="10" w:name="_Toc176366584"/>
      <w:bookmarkStart w:id="11" w:name="_Toc176403125"/>
      <w:bookmarkStart w:id="12" w:name="_Toc176409137"/>
      <w:bookmarkStart w:id="13" w:name="_Toc176410493"/>
      <w:bookmarkStart w:id="14" w:name="_Toc176411235"/>
      <w:bookmarkStart w:id="15" w:name="_Toc176411541"/>
      <w:bookmarkStart w:id="16" w:name="_Toc176411781"/>
      <w:bookmarkStart w:id="17" w:name="_Toc176579490"/>
      <w:bookmarkStart w:id="18" w:name="_Toc176587777"/>
      <w:bookmarkStart w:id="19" w:name="_Toc176588384"/>
      <w:bookmarkStart w:id="20" w:name="_Toc176759290"/>
      <w:bookmarkStart w:id="21" w:name="_Toc176759744"/>
      <w:bookmarkStart w:id="22" w:name="_Toc176760533"/>
      <w:bookmarkStart w:id="23" w:name="_Toc176762018"/>
      <w:bookmarkStart w:id="24" w:name="_Toc176763393"/>
      <w:bookmarkStart w:id="25" w:name="_Toc176764394"/>
      <w:bookmarkStart w:id="26" w:name="_Toc176861263"/>
      <w:bookmarkStart w:id="27" w:name="_Toc176861329"/>
      <w:bookmarkStart w:id="28" w:name="_Toc177624788"/>
      <w:bookmarkStart w:id="29" w:name="_Toc177624836"/>
      <w:bookmarkStart w:id="30" w:name="_Toc177625434"/>
      <w:bookmarkStart w:id="31" w:name="_Toc177625807"/>
      <w:bookmarkStart w:id="32" w:name="_Toc177626183"/>
      <w:bookmarkStart w:id="33" w:name="_Toc177626748"/>
      <w:bookmarkStart w:id="34" w:name="_Toc177627582"/>
      <w:bookmarkStart w:id="35" w:name="_Toc177783983"/>
      <w:bookmarkStart w:id="36" w:name="_Toc177786577"/>
      <w:bookmarkStart w:id="37" w:name="_Toc177788436"/>
      <w:bookmarkStart w:id="38" w:name="_Toc177788474"/>
      <w:bookmarkStart w:id="39" w:name="_Toc177792364"/>
      <w:bookmarkStart w:id="40" w:name="_Toc177793467"/>
      <w:bookmarkStart w:id="41" w:name="_Toc177793738"/>
      <w:bookmarkStart w:id="42" w:name="_Toc177794816"/>
      <w:bookmarkStart w:id="43" w:name="_Toc177797278"/>
      <w:bookmarkStart w:id="44" w:name="_Toc177799381"/>
      <w:bookmarkStart w:id="45" w:name="_Toc177799645"/>
      <w:bookmarkStart w:id="46" w:name="_Toc177800058"/>
      <w:bookmarkStart w:id="47" w:name="_Toc177800131"/>
      <w:bookmarkStart w:id="48" w:name="_Toc177809187"/>
      <w:bookmarkStart w:id="49" w:name="_Toc177809277"/>
      <w:bookmarkStart w:id="50" w:name="_Toc177811563"/>
      <w:bookmarkStart w:id="51" w:name="_Toc177812234"/>
      <w:bookmarkStart w:id="52" w:name="_Toc177812272"/>
      <w:bookmarkStart w:id="53" w:name="_Toc177869914"/>
      <w:bookmarkStart w:id="54" w:name="_Toc178659541"/>
      <w:bookmarkStart w:id="55" w:name="_Toc178661905"/>
      <w:bookmarkStart w:id="56" w:name="_Toc178741866"/>
      <w:bookmarkStart w:id="57" w:name="_Toc178756166"/>
      <w:bookmarkStart w:id="58" w:name="_Toc179340861"/>
      <w:bookmarkStart w:id="59" w:name="_Toc248218209"/>
      <w:bookmarkStart w:id="60" w:name="_Toc253407937"/>
      <w:bookmarkStart w:id="61" w:name="_Toc253409346"/>
      <w:bookmarkStart w:id="62" w:name="_Toc253409413"/>
      <w:bookmarkStart w:id="63" w:name="_Toc253409804"/>
      <w:bookmarkStart w:id="64" w:name="_Toc253409890"/>
      <w:bookmarkStart w:id="65" w:name="_Toc253411480"/>
      <w:bookmarkStart w:id="66" w:name="_Toc253412775"/>
      <w:bookmarkStart w:id="67" w:name="_Toc253412829"/>
      <w:bookmarkStart w:id="68" w:name="_Toc253472295"/>
      <w:bookmarkStart w:id="69" w:name="_Toc253482318"/>
      <w:bookmarkStart w:id="70" w:name="_Toc253729587"/>
      <w:bookmarkStart w:id="71" w:name="_Toc253729640"/>
      <w:bookmarkStart w:id="72" w:name="_Toc253730809"/>
      <w:bookmarkStart w:id="73" w:name="_Toc253730862"/>
      <w:bookmarkStart w:id="74" w:name="_Toc253730915"/>
      <w:bookmarkStart w:id="75" w:name="_Toc254182161"/>
      <w:bookmarkStart w:id="76" w:name="_Toc254182466"/>
      <w:bookmarkStart w:id="77" w:name="_Toc254183039"/>
      <w:bookmarkStart w:id="78" w:name="_Toc254183142"/>
      <w:bookmarkStart w:id="79" w:name="_Toc254190516"/>
      <w:bookmarkStart w:id="80" w:name="_Toc254263009"/>
      <w:bookmarkStart w:id="81" w:name="_Toc254263586"/>
      <w:bookmarkStart w:id="82" w:name="_Toc254333734"/>
      <w:bookmarkStart w:id="83" w:name="_Toc256422665"/>
      <w:bookmarkStart w:id="84" w:name="_Toc256423584"/>
      <w:bookmarkStart w:id="85" w:name="_Toc256424126"/>
      <w:bookmarkStart w:id="86" w:name="_Toc256424726"/>
      <w:bookmarkStart w:id="87" w:name="_Toc257639286"/>
      <w:bookmarkStart w:id="88" w:name="_Toc257643292"/>
      <w:bookmarkStart w:id="89" w:name="_Toc273439161"/>
      <w:bookmarkStart w:id="90" w:name="_Toc278898223"/>
      <w:bookmarkStart w:id="91" w:name="_Toc278898328"/>
      <w:bookmarkStart w:id="92" w:name="_Toc287360932"/>
      <w:bookmarkStart w:id="93" w:name="_Toc287360991"/>
      <w:bookmarkStart w:id="94" w:name="_Toc287361050"/>
      <w:bookmarkStart w:id="95" w:name="_Toc309303085"/>
      <w:bookmarkStart w:id="96" w:name="_Toc309303144"/>
      <w:bookmarkStart w:id="97" w:name="_Toc309309699"/>
      <w:bookmarkStart w:id="98" w:name="_Toc333487374"/>
      <w:bookmarkStart w:id="99" w:name="_Toc333487476"/>
      <w:bookmarkStart w:id="100" w:name="_Toc333487757"/>
      <w:bookmarkStart w:id="101" w:name="_Toc346884768"/>
      <w:bookmarkStart w:id="102" w:name="_Toc346889622"/>
      <w:bookmarkStart w:id="103" w:name="_Toc350245206"/>
      <w:bookmarkStart w:id="104" w:name="_Toc352053003"/>
      <w:bookmarkStart w:id="105" w:name="_Toc352053064"/>
      <w:bookmarkStart w:id="106" w:name="_Toc352065222"/>
      <w:bookmarkStart w:id="107" w:name="_Toc35206556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pPr>
        <w:pStyle w:val="Heading5"/>
      </w:pPr>
      <w:bookmarkStart w:id="108" w:name="_Toc423332722"/>
      <w:bookmarkStart w:id="109" w:name="_Toc425219441"/>
      <w:bookmarkStart w:id="110" w:name="_Toc426249308"/>
      <w:bookmarkStart w:id="111" w:name="_Toc449924704"/>
      <w:bookmarkStart w:id="112" w:name="_Toc449947722"/>
      <w:bookmarkStart w:id="113" w:name="_Toc454185713"/>
      <w:bookmarkStart w:id="114" w:name="_Toc515958686"/>
      <w:bookmarkStart w:id="115" w:name="_Toc254333735"/>
      <w:bookmarkStart w:id="116" w:name="_Toc256422666"/>
      <w:bookmarkStart w:id="117" w:name="_Toc352065564"/>
      <w:r>
        <w:rPr>
          <w:rStyle w:val="CharSectno"/>
        </w:rPr>
        <w:t>1</w:t>
      </w:r>
      <w:r>
        <w:t>.</w:t>
      </w:r>
      <w:r>
        <w:tab/>
        <w:t>Citation</w:t>
      </w:r>
      <w:bookmarkEnd w:id="108"/>
      <w:bookmarkEnd w:id="109"/>
      <w:bookmarkEnd w:id="110"/>
      <w:bookmarkEnd w:id="111"/>
      <w:bookmarkEnd w:id="112"/>
      <w:bookmarkEnd w:id="113"/>
      <w:bookmarkEnd w:id="114"/>
      <w:bookmarkEnd w:id="115"/>
      <w:bookmarkEnd w:id="116"/>
      <w:bookmarkEnd w:id="117"/>
    </w:p>
    <w:p>
      <w:pPr>
        <w:pStyle w:val="Subsection"/>
        <w:ind w:right="990"/>
        <w:rPr>
          <w:i/>
        </w:rPr>
      </w:pPr>
      <w:r>
        <w:tab/>
      </w:r>
      <w:r>
        <w:tab/>
      </w:r>
      <w:bookmarkStart w:id="118" w:name="Start_Cursor"/>
      <w:bookmarkEnd w:id="118"/>
      <w:r>
        <w:rPr>
          <w:spacing w:val="-2"/>
        </w:rPr>
        <w:t>These</w:t>
      </w:r>
      <w:r>
        <w:t xml:space="preserve"> </w:t>
      </w:r>
      <w:r>
        <w:rPr>
          <w:spacing w:val="-2"/>
        </w:rPr>
        <w:t>by</w:t>
      </w:r>
      <w:r>
        <w:rPr>
          <w:spacing w:val="-2"/>
        </w:rPr>
        <w:noBreakHyphen/>
        <w:t>laws</w:t>
      </w:r>
      <w:r>
        <w:t xml:space="preserve"> are the </w:t>
      </w:r>
      <w:r>
        <w:rPr>
          <w:i/>
        </w:rPr>
        <w:t>Water Agencies (Water Use) By</w:t>
      </w:r>
      <w:r>
        <w:rPr>
          <w:i/>
        </w:rPr>
        <w:noBreakHyphen/>
        <w:t>laws 2010</w:t>
      </w:r>
      <w:r>
        <w:rPr>
          <w:iCs/>
          <w:vertAlign w:val="superscript"/>
        </w:rPr>
        <w:t> 1</w:t>
      </w:r>
      <w:r>
        <w:t>.</w:t>
      </w:r>
    </w:p>
    <w:p>
      <w:pPr>
        <w:pStyle w:val="Heading5"/>
        <w:rPr>
          <w:spacing w:val="-2"/>
        </w:rPr>
      </w:pPr>
      <w:bookmarkStart w:id="119" w:name="_Toc423332723"/>
      <w:bookmarkStart w:id="120" w:name="_Toc425219442"/>
      <w:bookmarkStart w:id="121" w:name="_Toc426249309"/>
      <w:bookmarkStart w:id="122" w:name="_Toc449924705"/>
      <w:bookmarkStart w:id="123" w:name="_Toc449947723"/>
      <w:bookmarkStart w:id="124" w:name="_Toc454185714"/>
      <w:bookmarkStart w:id="125" w:name="_Toc515958687"/>
      <w:bookmarkStart w:id="126" w:name="_Toc254333736"/>
      <w:bookmarkStart w:id="127" w:name="_Toc256422667"/>
      <w:bookmarkStart w:id="128" w:name="_Toc352065565"/>
      <w:r>
        <w:rPr>
          <w:rStyle w:val="CharSectno"/>
        </w:rPr>
        <w:t>2</w:t>
      </w:r>
      <w:r>
        <w:rPr>
          <w:spacing w:val="-2"/>
        </w:rPr>
        <w:t>.</w:t>
      </w:r>
      <w:r>
        <w:rPr>
          <w:spacing w:val="-2"/>
        </w:rPr>
        <w:tab/>
        <w:t>Commencement</w:t>
      </w:r>
      <w:bookmarkEnd w:id="119"/>
      <w:bookmarkEnd w:id="120"/>
      <w:bookmarkEnd w:id="121"/>
      <w:bookmarkEnd w:id="122"/>
      <w:bookmarkEnd w:id="123"/>
      <w:bookmarkEnd w:id="124"/>
      <w:bookmarkEnd w:id="125"/>
      <w:bookmarkEnd w:id="126"/>
      <w:bookmarkEnd w:id="127"/>
      <w:bookmarkEnd w:id="128"/>
    </w:p>
    <w:p>
      <w:pPr>
        <w:pStyle w:val="Subsection"/>
        <w:rPr>
          <w:spacing w:val="-2"/>
        </w:rPr>
      </w:pPr>
      <w:r>
        <w:rPr>
          <w:spacing w:val="-2"/>
        </w:rPr>
        <w:tab/>
      </w:r>
      <w:r>
        <w:rPr>
          <w:spacing w:val="-2"/>
        </w:rPr>
        <w:tab/>
        <w:t>These by</w:t>
      </w:r>
      <w:r>
        <w:rPr>
          <w:spacing w:val="-2"/>
        </w:rPr>
        <w:noBreakHyphen/>
        <w:t>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rPr>
          <w:iCs/>
          <w:vertAlign w:val="superscript"/>
        </w:rPr>
        <w:t> 1</w:t>
      </w:r>
      <w:r>
        <w:t>;</w:t>
      </w:r>
    </w:p>
    <w:p>
      <w:pPr>
        <w:pStyle w:val="Indenta"/>
      </w:pPr>
      <w:r>
        <w:tab/>
        <w:t>(b)</w:t>
      </w:r>
      <w:r>
        <w:tab/>
        <w:t>the rest of the by</w:t>
      </w:r>
      <w:r>
        <w:noBreakHyphen/>
        <w:t>laws — on 1 April 2010.</w:t>
      </w:r>
    </w:p>
    <w:p>
      <w:pPr>
        <w:pStyle w:val="Heading5"/>
      </w:pPr>
      <w:bookmarkStart w:id="129" w:name="_Toc257638568"/>
      <w:bookmarkStart w:id="130" w:name="_Toc352065566"/>
      <w:r>
        <w:rPr>
          <w:rStyle w:val="CharSectno"/>
        </w:rPr>
        <w:t>3</w:t>
      </w:r>
      <w:r>
        <w:t>.</w:t>
      </w:r>
      <w:r>
        <w:tab/>
        <w:t>Terms used</w:t>
      </w:r>
      <w:bookmarkEnd w:id="129"/>
      <w:bookmarkEnd w:id="130"/>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 xml:space="preserve">starting at latitude </w:t>
      </w:r>
      <w:r>
        <w:noBreakHyphen/>
        <w:t> 27.428° and longitude 114.063°; and</w:t>
      </w:r>
    </w:p>
    <w:p>
      <w:pPr>
        <w:pStyle w:val="Defpara"/>
      </w:pPr>
      <w:r>
        <w:tab/>
        <w:t>(b)</w:t>
      </w:r>
      <w:r>
        <w:tab/>
        <w:t xml:space="preserve">extending to latitude </w:t>
      </w:r>
      <w:r>
        <w:noBreakHyphen/>
        <w:t> 30.117° and longitude 117.081°; and</w:t>
      </w:r>
    </w:p>
    <w:p>
      <w:pPr>
        <w:pStyle w:val="Defpara"/>
      </w:pPr>
      <w:r>
        <w:tab/>
        <w:t>(c)</w:t>
      </w:r>
      <w:r>
        <w:tab/>
        <w:t xml:space="preserve">extending to latitude </w:t>
      </w:r>
      <w:r>
        <w:noBreakHyphen/>
        <w:t> 30.117° and longitude 128.993°,</w:t>
      </w:r>
    </w:p>
    <w:p>
      <w:pPr>
        <w:pStyle w:val="Defstart"/>
      </w:pPr>
      <w:r>
        <w:tab/>
        <w:t>as illustrated for information purposes on the maps shown in Schedule 1;</w:t>
      </w:r>
    </w:p>
    <w:p>
      <w:pPr>
        <w:pStyle w:val="Defstart"/>
      </w:pPr>
      <w:r>
        <w:tab/>
      </w:r>
      <w:r>
        <w:rPr>
          <w:rStyle w:val="CharDefText"/>
        </w:rPr>
        <w:t>Area 2</w:t>
      </w:r>
      <w:r>
        <w:t xml:space="preserve"> means that part of the State that is south of the line —</w:t>
      </w:r>
    </w:p>
    <w:p>
      <w:pPr>
        <w:pStyle w:val="Defpara"/>
      </w:pPr>
      <w:r>
        <w:tab/>
        <w:t>(a)</w:t>
      </w:r>
      <w:r>
        <w:tab/>
        <w:t xml:space="preserve">starting at latitude </w:t>
      </w:r>
      <w:r>
        <w:noBreakHyphen/>
        <w:t> 27.428° and longitude 114.063°; and</w:t>
      </w:r>
    </w:p>
    <w:p>
      <w:pPr>
        <w:pStyle w:val="Defpara"/>
      </w:pPr>
      <w:r>
        <w:tab/>
        <w:t>(b)</w:t>
      </w:r>
      <w:r>
        <w:tab/>
        <w:t xml:space="preserve">extending to latitude </w:t>
      </w:r>
      <w:r>
        <w:noBreakHyphen/>
        <w:t> 30.117° and longitude 117.081°; and</w:t>
      </w:r>
    </w:p>
    <w:p>
      <w:pPr>
        <w:pStyle w:val="Defpara"/>
      </w:pPr>
      <w:r>
        <w:tab/>
        <w:t>(c)</w:t>
      </w:r>
      <w:r>
        <w:tab/>
        <w:t xml:space="preserve">extending to latitude </w:t>
      </w:r>
      <w:r>
        <w:noBreakHyphen/>
        <w:t>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 xml:space="preserve">scheme water </w:t>
      </w:r>
      <w:r>
        <w:t>means water supplied by scheme water supplier;</w:t>
      </w:r>
    </w:p>
    <w:p>
      <w:pPr>
        <w:pStyle w:val="Defstart"/>
      </w:pPr>
      <w:r>
        <w:tab/>
      </w:r>
      <w:r>
        <w:rPr>
          <w:rStyle w:val="CharDefText"/>
        </w:rPr>
        <w:t>scheme water supplier</w:t>
      </w:r>
      <w:r>
        <w:t xml:space="preserve"> means —</w:t>
      </w:r>
    </w:p>
    <w:p>
      <w:pPr>
        <w:pStyle w:val="Defpara"/>
      </w:pPr>
      <w:r>
        <w:tab/>
        <w:t>(a)</w:t>
      </w:r>
      <w:r>
        <w:tab/>
        <w:t>the Corporation; or</w:t>
      </w:r>
    </w:p>
    <w:p>
      <w:pPr>
        <w:pStyle w:val="Defpara"/>
      </w:pPr>
      <w:r>
        <w:tab/>
        <w:t>(b)</w:t>
      </w:r>
      <w:r>
        <w:tab/>
        <w:t xml:space="preserve">a water board as defined in the </w:t>
      </w:r>
      <w:r>
        <w:rPr>
          <w:i/>
          <w:iCs/>
        </w:rPr>
        <w:t>Water Boards Act 1904</w:t>
      </w:r>
      <w:r>
        <w:t xml:space="preserve"> section 3(1);</w:t>
      </w:r>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water</w:t>
      </w:r>
      <w:r>
        <w:t xml:space="preserve"> means —</w:t>
      </w:r>
    </w:p>
    <w:p>
      <w:pPr>
        <w:pStyle w:val="Defpara"/>
      </w:pPr>
      <w:r>
        <w:tab/>
        <w:t>(a)</w:t>
      </w:r>
      <w:r>
        <w:tab/>
        <w:t>scheme water; or</w:t>
      </w:r>
    </w:p>
    <w:p>
      <w:pPr>
        <w:pStyle w:val="Defpara"/>
      </w:pPr>
      <w:r>
        <w:tab/>
        <w:t>(b)</w:t>
      </w:r>
      <w:r>
        <w:tab/>
        <w:t>domestic bore water;</w:t>
      </w:r>
    </w:p>
    <w:p>
      <w:pPr>
        <w:pStyle w:val="Defstart"/>
      </w:pPr>
      <w:r>
        <w:tab/>
      </w:r>
      <w:r>
        <w:rPr>
          <w:rStyle w:val="CharDefText"/>
        </w:rPr>
        <w:t>week</w:t>
      </w:r>
      <w:r>
        <w:t xml:space="preserve"> means a period of 7 successive days beginning with Sunday.</w:t>
      </w:r>
    </w:p>
    <w:p>
      <w:pPr>
        <w:pStyle w:val="Footnotesection"/>
      </w:pPr>
      <w:r>
        <w:tab/>
        <w:t>[By</w:t>
      </w:r>
      <w:r>
        <w:noBreakHyphen/>
        <w:t>law 3 amended in Gazette 30 Nov 2010 p. 6016.]</w:t>
      </w:r>
    </w:p>
    <w:p>
      <w:pPr>
        <w:pStyle w:val="Heading2"/>
      </w:pPr>
      <w:bookmarkStart w:id="131" w:name="_Toc257638569"/>
      <w:bookmarkStart w:id="132" w:name="_Toc257639290"/>
      <w:bookmarkStart w:id="133" w:name="_Toc257643296"/>
      <w:bookmarkStart w:id="134" w:name="_Toc273439165"/>
      <w:bookmarkStart w:id="135" w:name="_Toc278898227"/>
      <w:bookmarkStart w:id="136" w:name="_Toc278898332"/>
      <w:bookmarkStart w:id="137" w:name="_Toc287360936"/>
      <w:bookmarkStart w:id="138" w:name="_Toc287360995"/>
      <w:bookmarkStart w:id="139" w:name="_Toc287361054"/>
      <w:bookmarkStart w:id="140" w:name="_Toc309303089"/>
      <w:bookmarkStart w:id="141" w:name="_Toc309303148"/>
      <w:bookmarkStart w:id="142" w:name="_Toc309309703"/>
      <w:bookmarkStart w:id="143" w:name="_Toc333487378"/>
      <w:bookmarkStart w:id="144" w:name="_Toc333487480"/>
      <w:bookmarkStart w:id="145" w:name="_Toc333487761"/>
      <w:bookmarkStart w:id="146" w:name="_Toc346884772"/>
      <w:bookmarkStart w:id="147" w:name="_Toc346889626"/>
      <w:bookmarkStart w:id="148" w:name="_Toc350245210"/>
      <w:bookmarkStart w:id="149" w:name="_Toc352053007"/>
      <w:bookmarkStart w:id="150" w:name="_Toc352053068"/>
      <w:bookmarkStart w:id="151" w:name="_Toc352065226"/>
      <w:bookmarkStart w:id="152" w:name="_Toc352065567"/>
      <w:r>
        <w:rPr>
          <w:rStyle w:val="CharPartNo"/>
        </w:rPr>
        <w:t>Part 2</w:t>
      </w:r>
      <w:r>
        <w:t> — </w:t>
      </w:r>
      <w:r>
        <w:rPr>
          <w:rStyle w:val="CharPartText"/>
        </w:rPr>
        <w:t>Water restrictions</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pPr>
        <w:pStyle w:val="Heading3"/>
      </w:pPr>
      <w:bookmarkStart w:id="153" w:name="_Toc257638570"/>
      <w:bookmarkStart w:id="154" w:name="_Toc257639291"/>
      <w:bookmarkStart w:id="155" w:name="_Toc257643297"/>
      <w:bookmarkStart w:id="156" w:name="_Toc273439166"/>
      <w:bookmarkStart w:id="157" w:name="_Toc278898228"/>
      <w:bookmarkStart w:id="158" w:name="_Toc278898333"/>
      <w:bookmarkStart w:id="159" w:name="_Toc287360937"/>
      <w:bookmarkStart w:id="160" w:name="_Toc287360996"/>
      <w:bookmarkStart w:id="161" w:name="_Toc287361055"/>
      <w:bookmarkStart w:id="162" w:name="_Toc309303090"/>
      <w:bookmarkStart w:id="163" w:name="_Toc309303149"/>
      <w:bookmarkStart w:id="164" w:name="_Toc309309704"/>
      <w:bookmarkStart w:id="165" w:name="_Toc333487379"/>
      <w:bookmarkStart w:id="166" w:name="_Toc333487481"/>
      <w:bookmarkStart w:id="167" w:name="_Toc333487762"/>
      <w:bookmarkStart w:id="168" w:name="_Toc346884773"/>
      <w:bookmarkStart w:id="169" w:name="_Toc346889627"/>
      <w:bookmarkStart w:id="170" w:name="_Toc350245211"/>
      <w:bookmarkStart w:id="171" w:name="_Toc352053008"/>
      <w:bookmarkStart w:id="172" w:name="_Toc352053069"/>
      <w:bookmarkStart w:id="173" w:name="_Toc352065227"/>
      <w:bookmarkStart w:id="174" w:name="_Toc352065568"/>
      <w:r>
        <w:rPr>
          <w:rStyle w:val="CharDivNo"/>
        </w:rPr>
        <w:t>Division 1</w:t>
      </w:r>
      <w:r>
        <w:t> — </w:t>
      </w:r>
      <w:r>
        <w:rPr>
          <w:rStyle w:val="CharDivText"/>
        </w:rPr>
        <w:t>Restrictions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pPr>
        <w:pStyle w:val="Heading5"/>
      </w:pPr>
      <w:bookmarkStart w:id="175" w:name="_Toc257638571"/>
      <w:bookmarkStart w:id="176" w:name="_Toc352065569"/>
      <w:r>
        <w:rPr>
          <w:rStyle w:val="CharSectno"/>
        </w:rPr>
        <w:t>4</w:t>
      </w:r>
      <w:r>
        <w:t>.</w:t>
      </w:r>
      <w:r>
        <w:tab/>
        <w:t>Contravening restrictions</w:t>
      </w:r>
      <w:bookmarkEnd w:id="175"/>
      <w:r>
        <w:t>, offence</w:t>
      </w:r>
      <w:bookmarkEnd w:id="176"/>
    </w:p>
    <w:p>
      <w:pPr>
        <w:pStyle w:val="Subsection"/>
      </w:pPr>
      <w:r>
        <w:tab/>
        <w:t>(1)</w:t>
      </w:r>
      <w:r>
        <w:tab/>
        <w:t>In this by</w:t>
      </w:r>
      <w:r>
        <w:noBreakHyphen/>
        <w:t xml:space="preserve">law — </w:t>
      </w:r>
    </w:p>
    <w:p>
      <w:pPr>
        <w:pStyle w:val="Defstart"/>
      </w:pPr>
      <w:r>
        <w:tab/>
      </w:r>
      <w:r>
        <w:rPr>
          <w:rStyle w:val="CharDefText"/>
        </w:rPr>
        <w:t>written approval</w:t>
      </w:r>
      <w:r>
        <w:t xml:space="preserve"> means written approval from — </w:t>
      </w:r>
    </w:p>
    <w:p>
      <w:pPr>
        <w:pStyle w:val="Defpara"/>
      </w:pPr>
      <w:r>
        <w:tab/>
        <w:t>(a)</w:t>
      </w:r>
      <w:r>
        <w:tab/>
        <w:t>in relation to scheme water — the scheme water supplier; and</w:t>
      </w:r>
    </w:p>
    <w:p>
      <w:pPr>
        <w:pStyle w:val="Defpara"/>
      </w:pPr>
      <w:r>
        <w:tab/>
        <w:t>(b)</w:t>
      </w:r>
      <w:r>
        <w:tab/>
        <w:t>in relation to domestic bore water — the chief executive officer of the department of the Public Service principally assisting in the administration of the Act.</w:t>
      </w:r>
    </w:p>
    <w:p>
      <w:pPr>
        <w:pStyle w:val="Subsection"/>
      </w:pPr>
      <w:r>
        <w:tab/>
        <w:t>(2)</w:t>
      </w:r>
      <w:r>
        <w:tab/>
        <w:t>A person must not, without written approval, use water in contravention of the stage of restrictions applicable under these by</w:t>
      </w:r>
      <w:r>
        <w:noBreakHyphen/>
        <w:t>laws.</w:t>
      </w:r>
    </w:p>
    <w:p>
      <w:pPr>
        <w:pStyle w:val="Penstart"/>
      </w:pPr>
      <w:r>
        <w:tab/>
        <w:t>Penalty: a fine of $500.</w:t>
      </w:r>
    </w:p>
    <w:p>
      <w:pPr>
        <w:pStyle w:val="Footnotesection"/>
      </w:pPr>
      <w:r>
        <w:tab/>
        <w:t>[By</w:t>
      </w:r>
      <w:r>
        <w:noBreakHyphen/>
        <w:t>law 4 amended in Gazette 28 Sep 2010 p. 5063.]</w:t>
      </w:r>
    </w:p>
    <w:p>
      <w:pPr>
        <w:pStyle w:val="Heading5"/>
      </w:pPr>
      <w:bookmarkStart w:id="177" w:name="_Toc257638572"/>
      <w:bookmarkStart w:id="178" w:name="_Toc352065570"/>
      <w:r>
        <w:rPr>
          <w:rStyle w:val="CharSectno"/>
        </w:rPr>
        <w:t>5</w:t>
      </w:r>
      <w:r>
        <w:t>.</w:t>
      </w:r>
      <w:r>
        <w:tab/>
        <w:t>Area 1</w:t>
      </w:r>
      <w:bookmarkEnd w:id="177"/>
      <w:r>
        <w:t>’s restrictions</w:t>
      </w:r>
      <w:bookmarkEnd w:id="178"/>
    </w:p>
    <w:p>
      <w:pPr>
        <w:pStyle w:val="Subsection"/>
      </w:pPr>
      <w:r>
        <w:tab/>
        <w:t>(1)</w:t>
      </w:r>
      <w:r>
        <w:tab/>
        <w:t>Subject to by</w:t>
      </w:r>
      <w:r>
        <w:noBreakHyphen/>
        <w:t>law 9, the stage of restrictions that applies in relation to the use of scheme water in Area 1 is stage 2.</w:t>
      </w:r>
    </w:p>
    <w:p>
      <w:pPr>
        <w:pStyle w:val="Subsection"/>
      </w:pPr>
      <w:r>
        <w:tab/>
        <w:t>(2)</w:t>
      </w:r>
      <w:r>
        <w:tab/>
        <w:t>The stage of restrictions that applies in relation to the use of domestic bore water in Area 1 is stage 1.</w:t>
      </w:r>
    </w:p>
    <w:p>
      <w:pPr>
        <w:pStyle w:val="Footnotesection"/>
      </w:pPr>
      <w:bookmarkStart w:id="179" w:name="_Toc257638573"/>
      <w:r>
        <w:tab/>
        <w:t>[By</w:t>
      </w:r>
      <w:r>
        <w:noBreakHyphen/>
        <w:t>law 5 amended in Gazette 28 Sep 2010 p. 5063.]</w:t>
      </w:r>
    </w:p>
    <w:p>
      <w:pPr>
        <w:pStyle w:val="Heading5"/>
      </w:pPr>
      <w:bookmarkStart w:id="180" w:name="_Toc352065571"/>
      <w:r>
        <w:rPr>
          <w:rStyle w:val="CharSectno"/>
        </w:rPr>
        <w:t>6</w:t>
      </w:r>
      <w:r>
        <w:t>.</w:t>
      </w:r>
      <w:r>
        <w:tab/>
        <w:t>Area 2</w:t>
      </w:r>
      <w:bookmarkEnd w:id="179"/>
      <w:r>
        <w:t>’s restrictions</w:t>
      </w:r>
      <w:bookmarkEnd w:id="180"/>
    </w:p>
    <w:p>
      <w:pPr>
        <w:pStyle w:val="Subsection"/>
      </w:pPr>
      <w:r>
        <w:tab/>
        <w:t>(1)</w:t>
      </w:r>
      <w:r>
        <w:tab/>
        <w:t>Subject to by</w:t>
      </w:r>
      <w:r>
        <w:noBreakHyphen/>
        <w:t>law 10AA, the stage of restrictions that applies in relation to the use of scheme water in Area 2 is stage 4.</w:t>
      </w:r>
    </w:p>
    <w:p>
      <w:pPr>
        <w:pStyle w:val="Subsection"/>
      </w:pPr>
      <w:r>
        <w:tab/>
        <w:t>(2)</w:t>
      </w:r>
      <w:r>
        <w:tab/>
        <w:t>The stage of restrictions that applies in relation to the use of domestic bore water in Area 2 is stage 1.</w:t>
      </w:r>
    </w:p>
    <w:p>
      <w:pPr>
        <w:pStyle w:val="Footnotesection"/>
      </w:pPr>
      <w:bookmarkStart w:id="181" w:name="_Toc257638574"/>
      <w:r>
        <w:tab/>
        <w:t>[By</w:t>
      </w:r>
      <w:r>
        <w:noBreakHyphen/>
        <w:t>law 6 amended in Gazette 28 Sep 2010 p. 5064; 8 Mar 2011 p. 801.]</w:t>
      </w:r>
    </w:p>
    <w:p>
      <w:pPr>
        <w:pStyle w:val="Heading5"/>
      </w:pPr>
      <w:bookmarkStart w:id="182" w:name="_Toc352065572"/>
      <w:r>
        <w:rPr>
          <w:rStyle w:val="CharSectno"/>
        </w:rPr>
        <w:t>7</w:t>
      </w:r>
      <w:r>
        <w:t>.</w:t>
      </w:r>
      <w:r>
        <w:tab/>
        <w:t>Area 3</w:t>
      </w:r>
      <w:bookmarkEnd w:id="181"/>
      <w:r>
        <w:t>’s restrictions</w:t>
      </w:r>
      <w:bookmarkEnd w:id="182"/>
    </w:p>
    <w:p>
      <w:pPr>
        <w:pStyle w:val="Subsection"/>
        <w:spacing w:before="120"/>
      </w:pPr>
      <w:r>
        <w:tab/>
        <w:t>(1)</w:t>
      </w:r>
      <w:r>
        <w:tab/>
        <w:t xml:space="preserve">The stage of restrictions that applies in relation to the use of scheme water in Area 3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spacing w:before="120"/>
      </w:pPr>
      <w:r>
        <w:tab/>
        <w:t>(2)</w:t>
      </w:r>
      <w:r>
        <w:tab/>
        <w:t xml:space="preserve">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Footnotesection"/>
      </w:pPr>
      <w:bookmarkStart w:id="183" w:name="_Toc257638575"/>
      <w:r>
        <w:tab/>
        <w:t>[By</w:t>
      </w:r>
      <w:r>
        <w:noBreakHyphen/>
        <w:t>law 7 amended in Gazette 28 Sep 2010 p. 5064; 30 Nov 2010 p. 6016.]</w:t>
      </w:r>
    </w:p>
    <w:p>
      <w:pPr>
        <w:pStyle w:val="Heading5"/>
      </w:pPr>
      <w:bookmarkStart w:id="184" w:name="_Toc352065573"/>
      <w:r>
        <w:rPr>
          <w:rStyle w:val="CharSectno"/>
        </w:rPr>
        <w:t>8</w:t>
      </w:r>
      <w:r>
        <w:t>.</w:t>
      </w:r>
      <w:r>
        <w:tab/>
        <w:t>Area 4</w:t>
      </w:r>
      <w:bookmarkEnd w:id="183"/>
      <w:r>
        <w:t>’s restrictions</w:t>
      </w:r>
      <w:bookmarkEnd w:id="184"/>
    </w:p>
    <w:p>
      <w:pPr>
        <w:pStyle w:val="Subsection"/>
        <w:spacing w:before="120"/>
      </w:pPr>
      <w:r>
        <w:tab/>
        <w:t>(1)</w:t>
      </w:r>
      <w:r>
        <w:tab/>
        <w:t>Subject to by</w:t>
      </w:r>
      <w:r>
        <w:noBreakHyphen/>
        <w:t xml:space="preserve">law 10A, the stage of restrictions that applies in relation to the use of scheme water in Area 4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spacing w:before="120"/>
      </w:pPr>
      <w:r>
        <w:tab/>
        <w:t>(2)</w:t>
      </w:r>
      <w:r>
        <w:tab/>
        <w:t xml:space="preserve">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Footnotesection"/>
      </w:pPr>
      <w:bookmarkStart w:id="185" w:name="_Toc257638576"/>
      <w:r>
        <w:tab/>
        <w:t>[By</w:t>
      </w:r>
      <w:r>
        <w:noBreakHyphen/>
        <w:t>law 8 amended in Gazette 28 Sep 2010 p. 5064.]</w:t>
      </w:r>
    </w:p>
    <w:p>
      <w:pPr>
        <w:pStyle w:val="Heading5"/>
        <w:spacing w:before="180"/>
      </w:pPr>
      <w:bookmarkStart w:id="186" w:name="_Toc352065574"/>
      <w:bookmarkStart w:id="187" w:name="_Toc257638577"/>
      <w:bookmarkStart w:id="188" w:name="_Toc257639298"/>
      <w:bookmarkStart w:id="189" w:name="_Toc257643304"/>
      <w:bookmarkEnd w:id="185"/>
      <w:r>
        <w:rPr>
          <w:rStyle w:val="CharSectno"/>
        </w:rPr>
        <w:t>9</w:t>
      </w:r>
      <w:r>
        <w:t>.</w:t>
      </w:r>
      <w:r>
        <w:tab/>
        <w:t>Halls Creek district, restrictions</w:t>
      </w:r>
      <w:bookmarkEnd w:id="186"/>
    </w:p>
    <w:p>
      <w:pPr>
        <w:pStyle w:val="Subsection"/>
      </w:pPr>
      <w:r>
        <w:tab/>
      </w:r>
      <w:r>
        <w:tab/>
        <w:t>The stage of restrictions that applies in relation to the use of scheme water in the local government district of Halls Creek is stage 4.</w:t>
      </w:r>
    </w:p>
    <w:p>
      <w:pPr>
        <w:pStyle w:val="Footnotesection"/>
      </w:pPr>
      <w:r>
        <w:tab/>
        <w:t>[By</w:t>
      </w:r>
      <w:r>
        <w:noBreakHyphen/>
        <w:t>law 9 inserted in Gazette 28 Sep 2010 p. 5064.]</w:t>
      </w:r>
    </w:p>
    <w:p>
      <w:pPr>
        <w:pStyle w:val="Heading5"/>
      </w:pPr>
      <w:bookmarkStart w:id="190" w:name="_Toc352065575"/>
      <w:bookmarkStart w:id="191" w:name="_Toc273439174"/>
      <w:r>
        <w:rPr>
          <w:rStyle w:val="CharSectno"/>
        </w:rPr>
        <w:t>10AA</w:t>
      </w:r>
      <w:r>
        <w:t>.</w:t>
      </w:r>
      <w:r>
        <w:tab/>
        <w:t>Grass Patch and Salmon Gums, restrictions for until 31 Oct 2012</w:t>
      </w:r>
      <w:bookmarkEnd w:id="190"/>
    </w:p>
    <w:p>
      <w:pPr>
        <w:pStyle w:val="Subsection"/>
      </w:pPr>
      <w:r>
        <w:tab/>
        <w:t>(1)</w:t>
      </w:r>
      <w:r>
        <w:tab/>
        <w:t>In this by</w:t>
      </w:r>
      <w:r>
        <w:noBreakHyphen/>
        <w:t xml:space="preserve">law — </w:t>
      </w:r>
    </w:p>
    <w:p>
      <w:pPr>
        <w:pStyle w:val="Defstart"/>
      </w:pPr>
      <w:r>
        <w:tab/>
      </w:r>
      <w:r>
        <w:rPr>
          <w:rStyle w:val="CharDefText"/>
        </w:rPr>
        <w:t>commencement day</w:t>
      </w:r>
      <w:r>
        <w:t xml:space="preserve"> means the day on which the </w:t>
      </w:r>
      <w:r>
        <w:rPr>
          <w:i/>
        </w:rPr>
        <w:t>Water Agencies (Water Use) Amendment By</w:t>
      </w:r>
      <w:r>
        <w:rPr>
          <w:i/>
        </w:rPr>
        <w:noBreakHyphen/>
        <w:t>laws (No. 2) 2011</w:t>
      </w:r>
      <w:r>
        <w:t>, other than by</w:t>
      </w:r>
      <w:r>
        <w:noBreakHyphen/>
        <w:t>laws 1 and 2, come into operation</w:t>
      </w:r>
      <w:r>
        <w:rPr>
          <w:vertAlign w:val="superscript"/>
        </w:rPr>
        <w:t> 1</w:t>
      </w:r>
      <w:r>
        <w:t>;</w:t>
      </w:r>
    </w:p>
    <w:p>
      <w:pPr>
        <w:pStyle w:val="Defstart"/>
      </w:pPr>
      <w:r>
        <w:tab/>
      </w:r>
      <w:r>
        <w:rPr>
          <w:rStyle w:val="CharDefText"/>
        </w:rPr>
        <w:t>coordinate</w:t>
      </w:r>
      <w:r>
        <w:t xml:space="preserve"> means a Map Grid of Australia (Geocentric Datum of Australia 1994) coordinate for zone 50.</w:t>
      </w:r>
    </w:p>
    <w:p>
      <w:pPr>
        <w:pStyle w:val="Subsection"/>
      </w:pPr>
      <w:r>
        <w:tab/>
        <w:t>(2)</w:t>
      </w:r>
      <w:r>
        <w:tab/>
        <w:t>This by</w:t>
      </w:r>
      <w:r>
        <w:noBreakHyphen/>
        <w:t>law applies from commencement day to 31 October 2012.</w:t>
      </w:r>
    </w:p>
    <w:p>
      <w:pPr>
        <w:pStyle w:val="Subsection"/>
      </w:pPr>
      <w:r>
        <w:tab/>
        <w:t>(3)</w:t>
      </w:r>
      <w:r>
        <w:tab/>
        <w:t xml:space="preserve">The stage of restrictions that applies in relation to the use of scheme water in the following areas is stage 5 — </w:t>
      </w:r>
    </w:p>
    <w:p>
      <w:pPr>
        <w:pStyle w:val="Indenta"/>
      </w:pPr>
      <w:r>
        <w:tab/>
        <w:t>(a)</w:t>
      </w:r>
      <w:r>
        <w:tab/>
        <w:t>the Grass Patch scheme water area;</w:t>
      </w:r>
    </w:p>
    <w:p>
      <w:pPr>
        <w:pStyle w:val="Indenta"/>
      </w:pPr>
      <w:r>
        <w:tab/>
        <w:t>(b)</w:t>
      </w:r>
      <w:r>
        <w:tab/>
        <w:t>the Salmon Gums scheme water area.</w:t>
      </w:r>
    </w:p>
    <w:p>
      <w:pPr>
        <w:pStyle w:val="Subsection"/>
      </w:pPr>
      <w:r>
        <w:tab/>
        <w:t>(4)</w:t>
      </w:r>
      <w:r>
        <w:tab/>
        <w:t>The Grass Patch scheme water area is the area (around Grass Patch) defined by boundaries joining the coordinates in the Table sequentially.</w:t>
      </w:r>
    </w:p>
    <w:p>
      <w:pPr>
        <w:pStyle w:val="THeadingNAm"/>
      </w:pPr>
      <w:r>
        <w:t>Table</w:t>
      </w:r>
    </w:p>
    <w:tbl>
      <w:tblPr>
        <w:tblW w:w="0" w:type="auto"/>
        <w:tblInd w:w="962"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330"/>
        <w:gridCol w:w="2212"/>
        <w:gridCol w:w="1805"/>
      </w:tblGrid>
      <w:tr>
        <w:trPr>
          <w:tblHeader/>
        </w:trPr>
        <w:tc>
          <w:tcPr>
            <w:tcW w:w="1330" w:type="dxa"/>
          </w:tcPr>
          <w:p>
            <w:pPr>
              <w:pStyle w:val="TableNAm"/>
              <w:jc w:val="center"/>
              <w:rPr>
                <w:b/>
              </w:rPr>
            </w:pPr>
            <w:r>
              <w:rPr>
                <w:b/>
              </w:rPr>
              <w:t>Point No.</w:t>
            </w:r>
          </w:p>
        </w:tc>
        <w:tc>
          <w:tcPr>
            <w:tcW w:w="2212" w:type="dxa"/>
          </w:tcPr>
          <w:p>
            <w:pPr>
              <w:pStyle w:val="TableNAm"/>
              <w:jc w:val="center"/>
              <w:rPr>
                <w:b/>
              </w:rPr>
            </w:pPr>
            <w:r>
              <w:rPr>
                <w:b/>
              </w:rPr>
              <w:t>Easting</w:t>
            </w:r>
          </w:p>
        </w:tc>
        <w:tc>
          <w:tcPr>
            <w:tcW w:w="1805" w:type="dxa"/>
          </w:tcPr>
          <w:p>
            <w:pPr>
              <w:pStyle w:val="TableNAm"/>
              <w:jc w:val="center"/>
              <w:rPr>
                <w:b/>
              </w:rPr>
            </w:pPr>
            <w:r>
              <w:rPr>
                <w:b/>
              </w:rPr>
              <w:t>Northing</w:t>
            </w:r>
          </w:p>
        </w:tc>
      </w:tr>
      <w:tr>
        <w:tc>
          <w:tcPr>
            <w:tcW w:w="1330" w:type="dxa"/>
            <w:tcBorders>
              <w:bottom w:val="nil"/>
            </w:tcBorders>
          </w:tcPr>
          <w:p>
            <w:pPr>
              <w:pStyle w:val="TableNAm"/>
              <w:jc w:val="center"/>
            </w:pPr>
            <w:r>
              <w:t>1</w:t>
            </w:r>
          </w:p>
        </w:tc>
        <w:tc>
          <w:tcPr>
            <w:tcW w:w="2212" w:type="dxa"/>
            <w:tcBorders>
              <w:bottom w:val="nil"/>
            </w:tcBorders>
          </w:tcPr>
          <w:p>
            <w:pPr>
              <w:pStyle w:val="TableNAm"/>
              <w:jc w:val="center"/>
            </w:pPr>
            <w:r>
              <w:t>379155</w:t>
            </w:r>
          </w:p>
        </w:tc>
        <w:tc>
          <w:tcPr>
            <w:tcW w:w="1805" w:type="dxa"/>
            <w:tcBorders>
              <w:bottom w:val="nil"/>
            </w:tcBorders>
          </w:tcPr>
          <w:p>
            <w:pPr>
              <w:pStyle w:val="TableNAm"/>
              <w:jc w:val="center"/>
            </w:pPr>
            <w:r>
              <w:t>6323550</w:t>
            </w:r>
          </w:p>
        </w:tc>
      </w:tr>
      <w:tr>
        <w:tc>
          <w:tcPr>
            <w:tcW w:w="1330" w:type="dxa"/>
            <w:tcBorders>
              <w:top w:val="nil"/>
              <w:bottom w:val="nil"/>
            </w:tcBorders>
          </w:tcPr>
          <w:p>
            <w:pPr>
              <w:pStyle w:val="TableNAm"/>
              <w:jc w:val="center"/>
            </w:pPr>
            <w:r>
              <w:t>2</w:t>
            </w:r>
          </w:p>
        </w:tc>
        <w:tc>
          <w:tcPr>
            <w:tcW w:w="2212" w:type="dxa"/>
            <w:tcBorders>
              <w:top w:val="nil"/>
              <w:bottom w:val="nil"/>
            </w:tcBorders>
          </w:tcPr>
          <w:p>
            <w:pPr>
              <w:pStyle w:val="TableNAm"/>
              <w:jc w:val="center"/>
            </w:pPr>
            <w:r>
              <w:t>381035</w:t>
            </w:r>
          </w:p>
        </w:tc>
        <w:tc>
          <w:tcPr>
            <w:tcW w:w="1805" w:type="dxa"/>
            <w:tcBorders>
              <w:top w:val="nil"/>
              <w:bottom w:val="nil"/>
            </w:tcBorders>
          </w:tcPr>
          <w:p>
            <w:pPr>
              <w:pStyle w:val="TableNAm"/>
              <w:jc w:val="center"/>
            </w:pPr>
            <w:r>
              <w:t>6323550</w:t>
            </w:r>
          </w:p>
        </w:tc>
      </w:tr>
      <w:tr>
        <w:tc>
          <w:tcPr>
            <w:tcW w:w="1330" w:type="dxa"/>
            <w:tcBorders>
              <w:top w:val="nil"/>
              <w:bottom w:val="nil"/>
            </w:tcBorders>
          </w:tcPr>
          <w:p>
            <w:pPr>
              <w:pStyle w:val="TableNAm"/>
              <w:jc w:val="center"/>
            </w:pPr>
            <w:r>
              <w:t>3</w:t>
            </w:r>
          </w:p>
        </w:tc>
        <w:tc>
          <w:tcPr>
            <w:tcW w:w="2212" w:type="dxa"/>
            <w:tcBorders>
              <w:top w:val="nil"/>
              <w:bottom w:val="nil"/>
            </w:tcBorders>
          </w:tcPr>
          <w:p>
            <w:pPr>
              <w:pStyle w:val="TableNAm"/>
              <w:jc w:val="center"/>
            </w:pPr>
            <w:r>
              <w:t>381035</w:t>
            </w:r>
          </w:p>
        </w:tc>
        <w:tc>
          <w:tcPr>
            <w:tcW w:w="1805" w:type="dxa"/>
            <w:tcBorders>
              <w:top w:val="nil"/>
              <w:bottom w:val="nil"/>
            </w:tcBorders>
          </w:tcPr>
          <w:p>
            <w:pPr>
              <w:pStyle w:val="TableNAm"/>
              <w:jc w:val="center"/>
            </w:pPr>
            <w:r>
              <w:t>6322270</w:t>
            </w:r>
          </w:p>
        </w:tc>
      </w:tr>
      <w:tr>
        <w:tc>
          <w:tcPr>
            <w:tcW w:w="1330" w:type="dxa"/>
            <w:tcBorders>
              <w:top w:val="nil"/>
              <w:bottom w:val="nil"/>
            </w:tcBorders>
          </w:tcPr>
          <w:p>
            <w:pPr>
              <w:pStyle w:val="TableNAm"/>
              <w:jc w:val="center"/>
            </w:pPr>
            <w:r>
              <w:t>4</w:t>
            </w:r>
          </w:p>
        </w:tc>
        <w:tc>
          <w:tcPr>
            <w:tcW w:w="2212" w:type="dxa"/>
            <w:tcBorders>
              <w:top w:val="nil"/>
              <w:bottom w:val="nil"/>
            </w:tcBorders>
          </w:tcPr>
          <w:p>
            <w:pPr>
              <w:pStyle w:val="TableNAm"/>
              <w:jc w:val="center"/>
            </w:pPr>
            <w:r>
              <w:t>379155</w:t>
            </w:r>
          </w:p>
        </w:tc>
        <w:tc>
          <w:tcPr>
            <w:tcW w:w="1805" w:type="dxa"/>
            <w:tcBorders>
              <w:top w:val="nil"/>
              <w:bottom w:val="nil"/>
            </w:tcBorders>
          </w:tcPr>
          <w:p>
            <w:pPr>
              <w:pStyle w:val="TableNAm"/>
              <w:jc w:val="center"/>
            </w:pPr>
            <w:r>
              <w:t>6322270</w:t>
            </w:r>
          </w:p>
        </w:tc>
      </w:tr>
      <w:tr>
        <w:tc>
          <w:tcPr>
            <w:tcW w:w="1330" w:type="dxa"/>
            <w:tcBorders>
              <w:top w:val="nil"/>
              <w:bottom w:val="single" w:sz="4" w:space="0" w:color="auto"/>
            </w:tcBorders>
          </w:tcPr>
          <w:p>
            <w:pPr>
              <w:pStyle w:val="TableNAm"/>
              <w:jc w:val="center"/>
            </w:pPr>
            <w:r>
              <w:t>5</w:t>
            </w:r>
          </w:p>
        </w:tc>
        <w:tc>
          <w:tcPr>
            <w:tcW w:w="2212" w:type="dxa"/>
            <w:tcBorders>
              <w:top w:val="nil"/>
              <w:bottom w:val="single" w:sz="4" w:space="0" w:color="auto"/>
            </w:tcBorders>
          </w:tcPr>
          <w:p>
            <w:pPr>
              <w:pStyle w:val="TableNAm"/>
              <w:jc w:val="center"/>
            </w:pPr>
            <w:r>
              <w:t>379155</w:t>
            </w:r>
          </w:p>
        </w:tc>
        <w:tc>
          <w:tcPr>
            <w:tcW w:w="1805" w:type="dxa"/>
            <w:tcBorders>
              <w:top w:val="nil"/>
              <w:bottom w:val="single" w:sz="4" w:space="0" w:color="auto"/>
            </w:tcBorders>
          </w:tcPr>
          <w:p>
            <w:pPr>
              <w:pStyle w:val="TableNAm"/>
              <w:jc w:val="center"/>
            </w:pPr>
            <w:r>
              <w:t>6323550</w:t>
            </w:r>
          </w:p>
        </w:tc>
      </w:tr>
    </w:tbl>
    <w:p>
      <w:pPr>
        <w:pStyle w:val="Subsection"/>
        <w:keepNext/>
      </w:pPr>
      <w:r>
        <w:tab/>
        <w:t>(5)</w:t>
      </w:r>
      <w:r>
        <w:tab/>
        <w:t>The Salmon Gums scheme water area is the area (around Salmon Gums) defined by boundaries joining the coordinates in the Table sequentially.</w:t>
      </w:r>
    </w:p>
    <w:p>
      <w:pPr>
        <w:pStyle w:val="THeadingNAm"/>
      </w:pPr>
      <w:r>
        <w:t>Table</w:t>
      </w:r>
    </w:p>
    <w:tbl>
      <w:tblPr>
        <w:tblW w:w="5351" w:type="dxa"/>
        <w:jc w:val="center"/>
        <w:tblInd w:w="4124"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7"/>
        <w:gridCol w:w="1339"/>
        <w:gridCol w:w="7"/>
        <w:gridCol w:w="2175"/>
        <w:gridCol w:w="7"/>
        <w:gridCol w:w="1802"/>
        <w:gridCol w:w="14"/>
      </w:tblGrid>
      <w:tr>
        <w:trPr>
          <w:gridBefore w:val="1"/>
          <w:wBefore w:w="7" w:type="dxa"/>
          <w:tblHeader/>
          <w:jc w:val="center"/>
        </w:trPr>
        <w:tc>
          <w:tcPr>
            <w:tcW w:w="1346" w:type="dxa"/>
            <w:gridSpan w:val="2"/>
          </w:tcPr>
          <w:p>
            <w:pPr>
              <w:pStyle w:val="TableNAm"/>
              <w:jc w:val="center"/>
              <w:rPr>
                <w:b/>
              </w:rPr>
            </w:pPr>
            <w:r>
              <w:rPr>
                <w:b/>
              </w:rPr>
              <w:t>Point No.</w:t>
            </w:r>
          </w:p>
        </w:tc>
        <w:tc>
          <w:tcPr>
            <w:tcW w:w="2182" w:type="dxa"/>
            <w:gridSpan w:val="2"/>
          </w:tcPr>
          <w:p>
            <w:pPr>
              <w:pStyle w:val="TableNAm"/>
              <w:jc w:val="center"/>
              <w:rPr>
                <w:b/>
              </w:rPr>
            </w:pPr>
            <w:r>
              <w:rPr>
                <w:b/>
              </w:rPr>
              <w:t>Easting</w:t>
            </w:r>
          </w:p>
        </w:tc>
        <w:tc>
          <w:tcPr>
            <w:tcW w:w="1816" w:type="dxa"/>
            <w:gridSpan w:val="2"/>
          </w:tcPr>
          <w:p>
            <w:pPr>
              <w:pStyle w:val="TableNAm"/>
              <w:jc w:val="center"/>
              <w:rPr>
                <w:b/>
              </w:rPr>
            </w:pPr>
            <w:r>
              <w:rPr>
                <w:b/>
              </w:rPr>
              <w:t>Northing</w:t>
            </w:r>
          </w:p>
        </w:tc>
      </w:tr>
      <w:tr>
        <w:trPr>
          <w:gridAfter w:val="1"/>
          <w:wAfter w:w="14" w:type="dxa"/>
          <w:jc w:val="center"/>
        </w:trPr>
        <w:tc>
          <w:tcPr>
            <w:tcW w:w="1346" w:type="dxa"/>
            <w:gridSpan w:val="2"/>
            <w:tcBorders>
              <w:bottom w:val="nil"/>
            </w:tcBorders>
          </w:tcPr>
          <w:p>
            <w:pPr>
              <w:pStyle w:val="TableNAm"/>
              <w:jc w:val="center"/>
            </w:pPr>
            <w:r>
              <w:t>1</w:t>
            </w:r>
          </w:p>
        </w:tc>
        <w:tc>
          <w:tcPr>
            <w:tcW w:w="2182" w:type="dxa"/>
            <w:gridSpan w:val="2"/>
            <w:tcBorders>
              <w:bottom w:val="nil"/>
            </w:tcBorders>
          </w:tcPr>
          <w:p>
            <w:pPr>
              <w:pStyle w:val="TableNAm"/>
              <w:jc w:val="center"/>
            </w:pPr>
            <w:r>
              <w:t>371210</w:t>
            </w:r>
          </w:p>
        </w:tc>
        <w:tc>
          <w:tcPr>
            <w:tcW w:w="1809" w:type="dxa"/>
            <w:gridSpan w:val="2"/>
            <w:tcBorders>
              <w:bottom w:val="nil"/>
            </w:tcBorders>
          </w:tcPr>
          <w:p>
            <w:pPr>
              <w:pStyle w:val="TableNAm"/>
              <w:jc w:val="center"/>
            </w:pPr>
            <w:r>
              <w:t>6351320</w:t>
            </w:r>
          </w:p>
        </w:tc>
      </w:tr>
      <w:tr>
        <w:trPr>
          <w:gridAfter w:val="1"/>
          <w:wAfter w:w="14" w:type="dxa"/>
          <w:jc w:val="center"/>
        </w:trPr>
        <w:tc>
          <w:tcPr>
            <w:tcW w:w="1346" w:type="dxa"/>
            <w:gridSpan w:val="2"/>
            <w:tcBorders>
              <w:top w:val="nil"/>
              <w:bottom w:val="nil"/>
            </w:tcBorders>
          </w:tcPr>
          <w:p>
            <w:pPr>
              <w:pStyle w:val="TableNAm"/>
              <w:jc w:val="center"/>
            </w:pPr>
            <w:r>
              <w:t>2</w:t>
            </w:r>
          </w:p>
        </w:tc>
        <w:tc>
          <w:tcPr>
            <w:tcW w:w="2182" w:type="dxa"/>
            <w:gridSpan w:val="2"/>
            <w:tcBorders>
              <w:top w:val="nil"/>
              <w:bottom w:val="nil"/>
            </w:tcBorders>
          </w:tcPr>
          <w:p>
            <w:pPr>
              <w:pStyle w:val="TableNAm"/>
              <w:jc w:val="center"/>
            </w:pPr>
            <w:r>
              <w:t>372280</w:t>
            </w:r>
          </w:p>
        </w:tc>
        <w:tc>
          <w:tcPr>
            <w:tcW w:w="1809" w:type="dxa"/>
            <w:gridSpan w:val="2"/>
            <w:tcBorders>
              <w:top w:val="nil"/>
              <w:bottom w:val="nil"/>
            </w:tcBorders>
          </w:tcPr>
          <w:p>
            <w:pPr>
              <w:pStyle w:val="TableNAm"/>
              <w:jc w:val="center"/>
            </w:pPr>
            <w:r>
              <w:t>6352570</w:t>
            </w:r>
          </w:p>
        </w:tc>
      </w:tr>
      <w:tr>
        <w:trPr>
          <w:gridAfter w:val="1"/>
          <w:wAfter w:w="14" w:type="dxa"/>
          <w:jc w:val="center"/>
        </w:trPr>
        <w:tc>
          <w:tcPr>
            <w:tcW w:w="1346" w:type="dxa"/>
            <w:gridSpan w:val="2"/>
            <w:tcBorders>
              <w:top w:val="nil"/>
              <w:bottom w:val="nil"/>
            </w:tcBorders>
          </w:tcPr>
          <w:p>
            <w:pPr>
              <w:pStyle w:val="TableNAm"/>
              <w:jc w:val="center"/>
            </w:pPr>
            <w:r>
              <w:t>3</w:t>
            </w:r>
          </w:p>
        </w:tc>
        <w:tc>
          <w:tcPr>
            <w:tcW w:w="2182" w:type="dxa"/>
            <w:gridSpan w:val="2"/>
            <w:tcBorders>
              <w:top w:val="nil"/>
              <w:bottom w:val="nil"/>
            </w:tcBorders>
          </w:tcPr>
          <w:p>
            <w:pPr>
              <w:pStyle w:val="TableNAm"/>
              <w:jc w:val="center"/>
            </w:pPr>
            <w:r>
              <w:t>373820</w:t>
            </w:r>
          </w:p>
        </w:tc>
        <w:tc>
          <w:tcPr>
            <w:tcW w:w="1809" w:type="dxa"/>
            <w:gridSpan w:val="2"/>
            <w:tcBorders>
              <w:top w:val="nil"/>
              <w:bottom w:val="nil"/>
            </w:tcBorders>
          </w:tcPr>
          <w:p>
            <w:pPr>
              <w:pStyle w:val="TableNAm"/>
              <w:jc w:val="center"/>
            </w:pPr>
            <w:r>
              <w:t>6349485</w:t>
            </w:r>
          </w:p>
        </w:tc>
      </w:tr>
      <w:tr>
        <w:trPr>
          <w:gridAfter w:val="1"/>
          <w:wAfter w:w="14" w:type="dxa"/>
          <w:jc w:val="center"/>
        </w:trPr>
        <w:tc>
          <w:tcPr>
            <w:tcW w:w="1346" w:type="dxa"/>
            <w:gridSpan w:val="2"/>
            <w:tcBorders>
              <w:top w:val="nil"/>
              <w:bottom w:val="nil"/>
            </w:tcBorders>
          </w:tcPr>
          <w:p>
            <w:pPr>
              <w:pStyle w:val="TableNAm"/>
              <w:jc w:val="center"/>
            </w:pPr>
            <w:r>
              <w:t>4</w:t>
            </w:r>
          </w:p>
        </w:tc>
        <w:tc>
          <w:tcPr>
            <w:tcW w:w="2182" w:type="dxa"/>
            <w:gridSpan w:val="2"/>
            <w:tcBorders>
              <w:top w:val="nil"/>
              <w:bottom w:val="nil"/>
            </w:tcBorders>
          </w:tcPr>
          <w:p>
            <w:pPr>
              <w:pStyle w:val="TableNAm"/>
              <w:jc w:val="center"/>
            </w:pPr>
            <w:r>
              <w:t>373820</w:t>
            </w:r>
          </w:p>
        </w:tc>
        <w:tc>
          <w:tcPr>
            <w:tcW w:w="1809" w:type="dxa"/>
            <w:gridSpan w:val="2"/>
            <w:tcBorders>
              <w:top w:val="nil"/>
              <w:bottom w:val="nil"/>
            </w:tcBorders>
          </w:tcPr>
          <w:p>
            <w:pPr>
              <w:pStyle w:val="TableNAm"/>
              <w:jc w:val="center"/>
            </w:pPr>
            <w:r>
              <w:t>6349380</w:t>
            </w:r>
          </w:p>
        </w:tc>
      </w:tr>
      <w:tr>
        <w:trPr>
          <w:gridAfter w:val="1"/>
          <w:wAfter w:w="14" w:type="dxa"/>
          <w:jc w:val="center"/>
        </w:trPr>
        <w:tc>
          <w:tcPr>
            <w:tcW w:w="1346" w:type="dxa"/>
            <w:gridSpan w:val="2"/>
            <w:tcBorders>
              <w:top w:val="nil"/>
              <w:bottom w:val="nil"/>
            </w:tcBorders>
          </w:tcPr>
          <w:p>
            <w:pPr>
              <w:pStyle w:val="TableNAm"/>
              <w:jc w:val="center"/>
            </w:pPr>
            <w:r>
              <w:t>5</w:t>
            </w:r>
          </w:p>
        </w:tc>
        <w:tc>
          <w:tcPr>
            <w:tcW w:w="2182" w:type="dxa"/>
            <w:gridSpan w:val="2"/>
            <w:tcBorders>
              <w:top w:val="nil"/>
              <w:bottom w:val="nil"/>
            </w:tcBorders>
          </w:tcPr>
          <w:p>
            <w:pPr>
              <w:pStyle w:val="TableNAm"/>
              <w:jc w:val="center"/>
            </w:pPr>
            <w:r>
              <w:t>373320</w:t>
            </w:r>
          </w:p>
        </w:tc>
        <w:tc>
          <w:tcPr>
            <w:tcW w:w="1809" w:type="dxa"/>
            <w:gridSpan w:val="2"/>
            <w:tcBorders>
              <w:top w:val="nil"/>
              <w:bottom w:val="nil"/>
            </w:tcBorders>
          </w:tcPr>
          <w:p>
            <w:pPr>
              <w:pStyle w:val="TableNAm"/>
              <w:jc w:val="center"/>
            </w:pPr>
            <w:r>
              <w:t>6349590</w:t>
            </w:r>
          </w:p>
        </w:tc>
      </w:tr>
      <w:tr>
        <w:trPr>
          <w:gridAfter w:val="1"/>
          <w:wAfter w:w="14" w:type="dxa"/>
          <w:jc w:val="center"/>
        </w:trPr>
        <w:tc>
          <w:tcPr>
            <w:tcW w:w="1346" w:type="dxa"/>
            <w:gridSpan w:val="2"/>
            <w:tcBorders>
              <w:top w:val="nil"/>
              <w:bottom w:val="nil"/>
            </w:tcBorders>
          </w:tcPr>
          <w:p>
            <w:pPr>
              <w:pStyle w:val="TableNAm"/>
              <w:jc w:val="center"/>
            </w:pPr>
            <w:r>
              <w:t>6</w:t>
            </w:r>
          </w:p>
        </w:tc>
        <w:tc>
          <w:tcPr>
            <w:tcW w:w="2182" w:type="dxa"/>
            <w:gridSpan w:val="2"/>
            <w:tcBorders>
              <w:top w:val="nil"/>
              <w:bottom w:val="nil"/>
            </w:tcBorders>
          </w:tcPr>
          <w:p>
            <w:pPr>
              <w:pStyle w:val="TableNAm"/>
              <w:jc w:val="center"/>
            </w:pPr>
            <w:r>
              <w:t>371180</w:t>
            </w:r>
          </w:p>
        </w:tc>
        <w:tc>
          <w:tcPr>
            <w:tcW w:w="1809" w:type="dxa"/>
            <w:gridSpan w:val="2"/>
            <w:tcBorders>
              <w:top w:val="nil"/>
              <w:bottom w:val="nil"/>
            </w:tcBorders>
          </w:tcPr>
          <w:p>
            <w:pPr>
              <w:pStyle w:val="TableNAm"/>
              <w:jc w:val="center"/>
            </w:pPr>
            <w:r>
              <w:t>6349570</w:t>
            </w:r>
          </w:p>
        </w:tc>
      </w:tr>
      <w:tr>
        <w:trPr>
          <w:gridAfter w:val="1"/>
          <w:wAfter w:w="14" w:type="dxa"/>
          <w:jc w:val="center"/>
        </w:trPr>
        <w:tc>
          <w:tcPr>
            <w:tcW w:w="1346" w:type="dxa"/>
            <w:gridSpan w:val="2"/>
            <w:tcBorders>
              <w:top w:val="nil"/>
              <w:bottom w:val="single" w:sz="4" w:space="0" w:color="auto"/>
            </w:tcBorders>
          </w:tcPr>
          <w:p>
            <w:pPr>
              <w:pStyle w:val="TableNAm"/>
              <w:jc w:val="center"/>
            </w:pPr>
            <w:r>
              <w:t>7</w:t>
            </w:r>
          </w:p>
        </w:tc>
        <w:tc>
          <w:tcPr>
            <w:tcW w:w="2182" w:type="dxa"/>
            <w:gridSpan w:val="2"/>
            <w:tcBorders>
              <w:top w:val="nil"/>
              <w:bottom w:val="single" w:sz="4" w:space="0" w:color="auto"/>
            </w:tcBorders>
          </w:tcPr>
          <w:p>
            <w:pPr>
              <w:pStyle w:val="TableNAm"/>
              <w:jc w:val="center"/>
            </w:pPr>
            <w:r>
              <w:t>371210</w:t>
            </w:r>
          </w:p>
        </w:tc>
        <w:tc>
          <w:tcPr>
            <w:tcW w:w="1809" w:type="dxa"/>
            <w:gridSpan w:val="2"/>
            <w:tcBorders>
              <w:top w:val="nil"/>
              <w:bottom w:val="single" w:sz="4" w:space="0" w:color="auto"/>
            </w:tcBorders>
          </w:tcPr>
          <w:p>
            <w:pPr>
              <w:pStyle w:val="TableNAm"/>
              <w:jc w:val="center"/>
            </w:pPr>
            <w:r>
              <w:t>6351320</w:t>
            </w:r>
          </w:p>
        </w:tc>
      </w:tr>
    </w:tbl>
    <w:p>
      <w:pPr>
        <w:pStyle w:val="Subsection"/>
      </w:pPr>
      <w:r>
        <w:tab/>
        <w:t>(6)</w:t>
      </w:r>
      <w:r>
        <w:tab/>
        <w:t xml:space="preserve">Each scheme water area is shown on the appropriate map in Schedule 4 and a copy of each map is available for inspection at — </w:t>
      </w:r>
    </w:p>
    <w:p>
      <w:pPr>
        <w:pStyle w:val="Indenta"/>
      </w:pPr>
      <w:r>
        <w:tab/>
        <w:t>(a)</w:t>
      </w:r>
      <w:r>
        <w:tab/>
        <w:t xml:space="preserve">the Department of Water, 168 St Georges Terrace, </w:t>
      </w:r>
      <w:smartTag w:uri="urn:schemas-microsoft-com:office:smarttags" w:element="place">
        <w:smartTag w:uri="urn:schemas-microsoft-com:office:smarttags" w:element="City">
          <w:r>
            <w:t>Perth</w:t>
          </w:r>
        </w:smartTag>
      </w:smartTag>
      <w:r>
        <w:t>; and</w:t>
      </w:r>
    </w:p>
    <w:p>
      <w:pPr>
        <w:pStyle w:val="Indenta"/>
      </w:pPr>
      <w:r>
        <w:tab/>
        <w:t>(b)</w:t>
      </w:r>
      <w:r>
        <w:tab/>
        <w:t xml:space="preserve">the Shire of Esperance, Administration Centre, </w:t>
      </w:r>
      <w:smartTag w:uri="urn:schemas-microsoft-com:office:smarttags" w:element="Street">
        <w:smartTag w:uri="urn:schemas-microsoft-com:office:smarttags" w:element="address">
          <w:r>
            <w:t>Windich Street</w:t>
          </w:r>
        </w:smartTag>
      </w:smartTag>
      <w:r>
        <w:t>, Esperance; and</w:t>
      </w:r>
    </w:p>
    <w:p>
      <w:pPr>
        <w:pStyle w:val="Indenta"/>
      </w:pPr>
      <w:r>
        <w:tab/>
        <w:t>(c)</w:t>
      </w:r>
      <w:r>
        <w:tab/>
        <w:t xml:space="preserve">the Water Corporation, 629 Newcastle Street, Leederville or corner of </w:t>
      </w:r>
      <w:smartTag w:uri="urn:schemas-microsoft-com:office:smarttags" w:element="Street">
        <w:smartTag w:uri="urn:schemas-microsoft-com:office:smarttags" w:element="address">
          <w:r>
            <w:t>Harbour Road</w:t>
          </w:r>
        </w:smartTag>
      </w:smartTag>
      <w:r>
        <w:t xml:space="preserve"> and Sim Street, Esperance.</w:t>
      </w:r>
    </w:p>
    <w:p>
      <w:pPr>
        <w:pStyle w:val="Footnotesection"/>
      </w:pPr>
      <w:r>
        <w:tab/>
        <w:t>[By</w:t>
      </w:r>
      <w:r>
        <w:noBreakHyphen/>
        <w:t xml:space="preserve">law 10AA inserted in Gazette </w:t>
      </w:r>
      <w:r>
        <w:rPr>
          <w:szCs w:val="24"/>
        </w:rPr>
        <w:t>8 Mar 2011 p. 802</w:t>
      </w:r>
      <w:r>
        <w:rPr>
          <w:szCs w:val="24"/>
        </w:rPr>
        <w:noBreakHyphen/>
        <w:t>3; amended in Gazette 18 Nov 2011 p. 4819.]</w:t>
      </w:r>
    </w:p>
    <w:p>
      <w:pPr>
        <w:pStyle w:val="Heading5"/>
      </w:pPr>
      <w:bookmarkStart w:id="192" w:name="_Toc352065576"/>
      <w:r>
        <w:rPr>
          <w:rStyle w:val="CharSectno"/>
        </w:rPr>
        <w:t>10A</w:t>
      </w:r>
      <w:r>
        <w:t>.</w:t>
      </w:r>
      <w:r>
        <w:tab/>
        <w:t>Manjimup, restrictions for during 1 Sep to 30 Nov 2012</w:t>
      </w:r>
      <w:bookmarkEnd w:id="192"/>
    </w:p>
    <w:p>
      <w:pPr>
        <w:pStyle w:val="Subsection"/>
        <w:keepNext/>
        <w:keepLines/>
      </w:pPr>
      <w:r>
        <w:tab/>
        <w:t>(1)</w:t>
      </w:r>
      <w:r>
        <w:tab/>
        <w:t>In this by</w:t>
      </w:r>
      <w:r>
        <w:noBreakHyphen/>
        <w:t>law —</w:t>
      </w:r>
    </w:p>
    <w:p>
      <w:pPr>
        <w:pStyle w:val="Defstart"/>
        <w:keepNext/>
        <w:keepLines/>
      </w:pPr>
      <w:r>
        <w:tab/>
      </w:r>
      <w:r>
        <w:rPr>
          <w:rStyle w:val="CharDefText"/>
        </w:rPr>
        <w:t>coordinate</w:t>
      </w:r>
      <w:r>
        <w:t xml:space="preserve"> means a Map Grid of Australia (Geocentric Datum of Australia 1994) coordinate for zone 50.</w:t>
      </w:r>
    </w:p>
    <w:p>
      <w:pPr>
        <w:pStyle w:val="Subsection"/>
      </w:pPr>
      <w:r>
        <w:tab/>
        <w:t>(2)</w:t>
      </w:r>
      <w:r>
        <w:tab/>
        <w:t>This by</w:t>
      </w:r>
      <w:r>
        <w:noBreakHyphen/>
        <w:t>law applies from 1 September to 30 November 2012.</w:t>
      </w:r>
    </w:p>
    <w:p>
      <w:pPr>
        <w:pStyle w:val="Subsection"/>
      </w:pPr>
      <w:r>
        <w:tab/>
        <w:t>(3)</w:t>
      </w:r>
      <w:r>
        <w:tab/>
        <w:t>The stage of restrictions that applies in relation to the use of scheme water in the Manjimup scheme water area is stage 6.</w:t>
      </w:r>
    </w:p>
    <w:p>
      <w:pPr>
        <w:pStyle w:val="Subsection"/>
      </w:pPr>
      <w:r>
        <w:tab/>
        <w:t>(4)</w:t>
      </w:r>
      <w:r>
        <w:tab/>
        <w:t>The Manjimup scheme water area is the area (around Manjimup) defined by boundaries joining the coordinates in the Table sequentially.</w:t>
      </w:r>
    </w:p>
    <w:p>
      <w:pPr>
        <w:pStyle w:val="THeadingNAm"/>
      </w:pPr>
      <w:r>
        <w:t>Table</w:t>
      </w:r>
    </w:p>
    <w:tbl>
      <w:tblPr>
        <w:tblW w:w="0" w:type="auto"/>
        <w:tblInd w:w="1101"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2409"/>
        <w:gridCol w:w="1985"/>
        <w:gridCol w:w="1559"/>
      </w:tblGrid>
      <w:tr>
        <w:trPr>
          <w:tblHeader/>
        </w:trPr>
        <w:tc>
          <w:tcPr>
            <w:tcW w:w="2409" w:type="dxa"/>
          </w:tcPr>
          <w:p>
            <w:pPr>
              <w:pStyle w:val="TableNAm"/>
              <w:jc w:val="center"/>
              <w:rPr>
                <w:b/>
              </w:rPr>
            </w:pPr>
            <w:r>
              <w:rPr>
                <w:b/>
              </w:rPr>
              <w:t>Point No.</w:t>
            </w:r>
          </w:p>
        </w:tc>
        <w:tc>
          <w:tcPr>
            <w:tcW w:w="1985" w:type="dxa"/>
          </w:tcPr>
          <w:p>
            <w:pPr>
              <w:pStyle w:val="TableNAm"/>
              <w:rPr>
                <w:b/>
              </w:rPr>
            </w:pPr>
            <w:r>
              <w:rPr>
                <w:b/>
              </w:rPr>
              <w:t>Easting</w:t>
            </w:r>
          </w:p>
        </w:tc>
        <w:tc>
          <w:tcPr>
            <w:tcW w:w="1559" w:type="dxa"/>
          </w:tcPr>
          <w:p>
            <w:pPr>
              <w:pStyle w:val="TableNAm"/>
              <w:rPr>
                <w:b/>
              </w:rPr>
            </w:pPr>
            <w:r>
              <w:rPr>
                <w:b/>
              </w:rPr>
              <w:t>Northing</w:t>
            </w:r>
          </w:p>
        </w:tc>
      </w:tr>
      <w:tr>
        <w:tc>
          <w:tcPr>
            <w:tcW w:w="2409" w:type="dxa"/>
            <w:tcBorders>
              <w:bottom w:val="nil"/>
            </w:tcBorders>
          </w:tcPr>
          <w:p>
            <w:pPr>
              <w:pStyle w:val="TableNAm"/>
              <w:jc w:val="center"/>
            </w:pPr>
            <w:r>
              <w:t>1</w:t>
            </w:r>
          </w:p>
        </w:tc>
        <w:tc>
          <w:tcPr>
            <w:tcW w:w="1985" w:type="dxa"/>
            <w:tcBorders>
              <w:bottom w:val="nil"/>
            </w:tcBorders>
            <w:vAlign w:val="bottom"/>
          </w:tcPr>
          <w:p>
            <w:pPr>
              <w:pStyle w:val="TableNAm"/>
            </w:pPr>
            <w:r>
              <w:t>423568.46</w:t>
            </w:r>
          </w:p>
        </w:tc>
        <w:tc>
          <w:tcPr>
            <w:tcW w:w="1559" w:type="dxa"/>
            <w:tcBorders>
              <w:bottom w:val="nil"/>
            </w:tcBorders>
            <w:vAlign w:val="bottom"/>
          </w:tcPr>
          <w:p>
            <w:pPr>
              <w:pStyle w:val="TableNAm"/>
            </w:pPr>
            <w:r>
              <w:t>6213447.39</w:t>
            </w:r>
          </w:p>
        </w:tc>
      </w:tr>
      <w:tr>
        <w:tc>
          <w:tcPr>
            <w:tcW w:w="2409" w:type="dxa"/>
            <w:tcBorders>
              <w:top w:val="nil"/>
              <w:bottom w:val="nil"/>
            </w:tcBorders>
          </w:tcPr>
          <w:p>
            <w:pPr>
              <w:pStyle w:val="TableNAm"/>
              <w:jc w:val="center"/>
            </w:pPr>
            <w:r>
              <w:t>2</w:t>
            </w:r>
          </w:p>
        </w:tc>
        <w:tc>
          <w:tcPr>
            <w:tcW w:w="1985" w:type="dxa"/>
            <w:tcBorders>
              <w:top w:val="nil"/>
              <w:bottom w:val="nil"/>
            </w:tcBorders>
            <w:vAlign w:val="bottom"/>
          </w:tcPr>
          <w:p>
            <w:pPr>
              <w:pStyle w:val="TableNAm"/>
            </w:pPr>
            <w:r>
              <w:t>423622.84</w:t>
            </w:r>
          </w:p>
        </w:tc>
        <w:tc>
          <w:tcPr>
            <w:tcW w:w="1559" w:type="dxa"/>
            <w:tcBorders>
              <w:top w:val="nil"/>
              <w:bottom w:val="nil"/>
            </w:tcBorders>
            <w:vAlign w:val="bottom"/>
          </w:tcPr>
          <w:p>
            <w:pPr>
              <w:pStyle w:val="TableNAm"/>
            </w:pPr>
            <w:r>
              <w:t>6206716.95</w:t>
            </w:r>
          </w:p>
        </w:tc>
      </w:tr>
      <w:tr>
        <w:tc>
          <w:tcPr>
            <w:tcW w:w="2409" w:type="dxa"/>
            <w:tcBorders>
              <w:top w:val="nil"/>
              <w:bottom w:val="nil"/>
            </w:tcBorders>
          </w:tcPr>
          <w:p>
            <w:pPr>
              <w:pStyle w:val="TableNAm"/>
              <w:jc w:val="center"/>
            </w:pPr>
            <w:r>
              <w:t>3</w:t>
            </w:r>
          </w:p>
        </w:tc>
        <w:tc>
          <w:tcPr>
            <w:tcW w:w="1985" w:type="dxa"/>
            <w:tcBorders>
              <w:top w:val="nil"/>
              <w:bottom w:val="nil"/>
            </w:tcBorders>
            <w:vAlign w:val="bottom"/>
          </w:tcPr>
          <w:p>
            <w:pPr>
              <w:pStyle w:val="TableNAm"/>
            </w:pPr>
            <w:r>
              <w:t>416294.83</w:t>
            </w:r>
          </w:p>
        </w:tc>
        <w:tc>
          <w:tcPr>
            <w:tcW w:w="1559" w:type="dxa"/>
            <w:tcBorders>
              <w:top w:val="nil"/>
              <w:bottom w:val="nil"/>
            </w:tcBorders>
            <w:vAlign w:val="bottom"/>
          </w:tcPr>
          <w:p>
            <w:pPr>
              <w:pStyle w:val="TableNAm"/>
            </w:pPr>
            <w:r>
              <w:t>6206659.15</w:t>
            </w:r>
          </w:p>
        </w:tc>
      </w:tr>
      <w:tr>
        <w:tc>
          <w:tcPr>
            <w:tcW w:w="2409" w:type="dxa"/>
            <w:tcBorders>
              <w:top w:val="nil"/>
              <w:bottom w:val="nil"/>
            </w:tcBorders>
          </w:tcPr>
          <w:p>
            <w:pPr>
              <w:pStyle w:val="TableNAm"/>
              <w:jc w:val="center"/>
            </w:pPr>
            <w:r>
              <w:t>4</w:t>
            </w:r>
          </w:p>
        </w:tc>
        <w:tc>
          <w:tcPr>
            <w:tcW w:w="1985" w:type="dxa"/>
            <w:tcBorders>
              <w:top w:val="nil"/>
              <w:bottom w:val="nil"/>
            </w:tcBorders>
            <w:vAlign w:val="bottom"/>
          </w:tcPr>
          <w:p>
            <w:pPr>
              <w:pStyle w:val="TableNAm"/>
            </w:pPr>
            <w:r>
              <w:t>416310.55</w:t>
            </w:r>
          </w:p>
        </w:tc>
        <w:tc>
          <w:tcPr>
            <w:tcW w:w="1559" w:type="dxa"/>
            <w:tcBorders>
              <w:top w:val="nil"/>
              <w:bottom w:val="nil"/>
            </w:tcBorders>
            <w:vAlign w:val="bottom"/>
          </w:tcPr>
          <w:p>
            <w:pPr>
              <w:pStyle w:val="TableNAm"/>
            </w:pPr>
            <w:r>
              <w:t>6204688.22</w:t>
            </w:r>
          </w:p>
        </w:tc>
      </w:tr>
      <w:tr>
        <w:tc>
          <w:tcPr>
            <w:tcW w:w="2409" w:type="dxa"/>
            <w:tcBorders>
              <w:top w:val="nil"/>
              <w:bottom w:val="nil"/>
            </w:tcBorders>
          </w:tcPr>
          <w:p>
            <w:pPr>
              <w:pStyle w:val="TableNAm"/>
              <w:jc w:val="center"/>
            </w:pPr>
            <w:r>
              <w:t>5</w:t>
            </w:r>
          </w:p>
        </w:tc>
        <w:tc>
          <w:tcPr>
            <w:tcW w:w="1985" w:type="dxa"/>
            <w:tcBorders>
              <w:top w:val="nil"/>
              <w:bottom w:val="nil"/>
            </w:tcBorders>
            <w:vAlign w:val="bottom"/>
          </w:tcPr>
          <w:p>
            <w:pPr>
              <w:pStyle w:val="TableNAm"/>
            </w:pPr>
            <w:r>
              <w:t>412430.10</w:t>
            </w:r>
          </w:p>
        </w:tc>
        <w:tc>
          <w:tcPr>
            <w:tcW w:w="1559" w:type="dxa"/>
            <w:tcBorders>
              <w:top w:val="nil"/>
              <w:bottom w:val="nil"/>
            </w:tcBorders>
            <w:vAlign w:val="bottom"/>
          </w:tcPr>
          <w:p>
            <w:pPr>
              <w:pStyle w:val="TableNAm"/>
            </w:pPr>
            <w:r>
              <w:t>6204651.65</w:t>
            </w:r>
          </w:p>
        </w:tc>
      </w:tr>
      <w:tr>
        <w:tc>
          <w:tcPr>
            <w:tcW w:w="2409" w:type="dxa"/>
            <w:tcBorders>
              <w:top w:val="nil"/>
              <w:bottom w:val="nil"/>
            </w:tcBorders>
          </w:tcPr>
          <w:p>
            <w:pPr>
              <w:pStyle w:val="TableNAm"/>
              <w:jc w:val="center"/>
            </w:pPr>
            <w:r>
              <w:t>6</w:t>
            </w:r>
          </w:p>
        </w:tc>
        <w:tc>
          <w:tcPr>
            <w:tcW w:w="1985" w:type="dxa"/>
            <w:tcBorders>
              <w:top w:val="nil"/>
              <w:bottom w:val="nil"/>
            </w:tcBorders>
            <w:vAlign w:val="bottom"/>
          </w:tcPr>
          <w:p>
            <w:pPr>
              <w:pStyle w:val="TableNAm"/>
            </w:pPr>
            <w:r>
              <w:t>412403.71</w:t>
            </w:r>
          </w:p>
        </w:tc>
        <w:tc>
          <w:tcPr>
            <w:tcW w:w="1559" w:type="dxa"/>
            <w:tcBorders>
              <w:top w:val="nil"/>
              <w:bottom w:val="nil"/>
            </w:tcBorders>
            <w:vAlign w:val="bottom"/>
          </w:tcPr>
          <w:p>
            <w:pPr>
              <w:pStyle w:val="TableNAm"/>
            </w:pPr>
            <w:r>
              <w:t>6207436.43</w:t>
            </w:r>
          </w:p>
        </w:tc>
      </w:tr>
      <w:tr>
        <w:tc>
          <w:tcPr>
            <w:tcW w:w="2409" w:type="dxa"/>
            <w:tcBorders>
              <w:top w:val="nil"/>
              <w:bottom w:val="nil"/>
            </w:tcBorders>
          </w:tcPr>
          <w:p>
            <w:pPr>
              <w:pStyle w:val="TableNAm"/>
              <w:jc w:val="center"/>
            </w:pPr>
            <w:r>
              <w:t>7</w:t>
            </w:r>
          </w:p>
        </w:tc>
        <w:tc>
          <w:tcPr>
            <w:tcW w:w="1985" w:type="dxa"/>
            <w:tcBorders>
              <w:top w:val="nil"/>
              <w:bottom w:val="nil"/>
            </w:tcBorders>
            <w:vAlign w:val="bottom"/>
          </w:tcPr>
          <w:p>
            <w:pPr>
              <w:pStyle w:val="TableNAm"/>
            </w:pPr>
            <w:r>
              <w:t>415077.14</w:t>
            </w:r>
          </w:p>
        </w:tc>
        <w:tc>
          <w:tcPr>
            <w:tcW w:w="1559" w:type="dxa"/>
            <w:tcBorders>
              <w:top w:val="nil"/>
              <w:bottom w:val="nil"/>
            </w:tcBorders>
            <w:vAlign w:val="bottom"/>
          </w:tcPr>
          <w:p>
            <w:pPr>
              <w:pStyle w:val="TableNAm"/>
            </w:pPr>
            <w:r>
              <w:t>6207463.02</w:t>
            </w:r>
          </w:p>
        </w:tc>
      </w:tr>
      <w:tr>
        <w:tc>
          <w:tcPr>
            <w:tcW w:w="2409" w:type="dxa"/>
            <w:tcBorders>
              <w:top w:val="nil"/>
              <w:bottom w:val="nil"/>
            </w:tcBorders>
          </w:tcPr>
          <w:p>
            <w:pPr>
              <w:pStyle w:val="TableNAm"/>
              <w:jc w:val="center"/>
            </w:pPr>
            <w:r>
              <w:t>8</w:t>
            </w:r>
          </w:p>
        </w:tc>
        <w:tc>
          <w:tcPr>
            <w:tcW w:w="1985" w:type="dxa"/>
            <w:tcBorders>
              <w:top w:val="nil"/>
              <w:bottom w:val="nil"/>
            </w:tcBorders>
            <w:vAlign w:val="bottom"/>
          </w:tcPr>
          <w:p>
            <w:pPr>
              <w:pStyle w:val="TableNAm"/>
            </w:pPr>
            <w:r>
              <w:t>415026.25</w:t>
            </w:r>
          </w:p>
        </w:tc>
        <w:tc>
          <w:tcPr>
            <w:tcW w:w="1559" w:type="dxa"/>
            <w:tcBorders>
              <w:top w:val="nil"/>
              <w:bottom w:val="nil"/>
            </w:tcBorders>
            <w:vAlign w:val="bottom"/>
          </w:tcPr>
          <w:p>
            <w:pPr>
              <w:pStyle w:val="TableNAm"/>
            </w:pPr>
            <w:r>
              <w:t>6213371.91</w:t>
            </w:r>
          </w:p>
        </w:tc>
      </w:tr>
      <w:tr>
        <w:tc>
          <w:tcPr>
            <w:tcW w:w="2409" w:type="dxa"/>
            <w:tcBorders>
              <w:top w:val="nil"/>
            </w:tcBorders>
          </w:tcPr>
          <w:p>
            <w:pPr>
              <w:pStyle w:val="TableNAm"/>
              <w:jc w:val="center"/>
            </w:pPr>
            <w:r>
              <w:t>9</w:t>
            </w:r>
          </w:p>
        </w:tc>
        <w:tc>
          <w:tcPr>
            <w:tcW w:w="1985" w:type="dxa"/>
            <w:tcBorders>
              <w:top w:val="nil"/>
            </w:tcBorders>
            <w:vAlign w:val="bottom"/>
          </w:tcPr>
          <w:p>
            <w:pPr>
              <w:pStyle w:val="TableNAm"/>
            </w:pPr>
            <w:r>
              <w:t>423568.46</w:t>
            </w:r>
          </w:p>
        </w:tc>
        <w:tc>
          <w:tcPr>
            <w:tcW w:w="1559" w:type="dxa"/>
            <w:tcBorders>
              <w:top w:val="nil"/>
            </w:tcBorders>
            <w:vAlign w:val="bottom"/>
          </w:tcPr>
          <w:p>
            <w:pPr>
              <w:pStyle w:val="TableNAm"/>
            </w:pPr>
            <w:r>
              <w:t>6213447.39</w:t>
            </w:r>
          </w:p>
        </w:tc>
      </w:tr>
    </w:tbl>
    <w:p>
      <w:pPr>
        <w:pStyle w:val="Subsection"/>
        <w:keepNext/>
      </w:pPr>
      <w:r>
        <w:tab/>
        <w:t>(5)</w:t>
      </w:r>
      <w:r>
        <w:tab/>
        <w:t>The Manjimup scheme water area is shown on the appropriate map in Schedule 4 and a copy of this map is available for inspection at —</w:t>
      </w:r>
    </w:p>
    <w:p>
      <w:pPr>
        <w:pStyle w:val="Indenta"/>
      </w:pPr>
      <w:r>
        <w:tab/>
        <w:t>(a)</w:t>
      </w:r>
      <w:r>
        <w:tab/>
        <w:t xml:space="preserve">the Department of Water, 168 St Georges Terrace, </w:t>
      </w:r>
      <w:smartTag w:uri="urn:schemas-microsoft-com:office:smarttags" w:element="place">
        <w:smartTag w:uri="urn:schemas-microsoft-com:office:smarttags" w:element="City">
          <w:r>
            <w:t>Perth</w:t>
          </w:r>
        </w:smartTag>
      </w:smartTag>
      <w:r>
        <w:t xml:space="preserve"> or 35</w:t>
      </w:r>
      <w:r>
        <w:noBreakHyphen/>
        <w:t xml:space="preserve">39 </w:t>
      </w:r>
      <w:smartTag w:uri="urn:schemas-microsoft-com:office:smarttags" w:element="address">
        <w:smartTag w:uri="urn:schemas-microsoft-com:office:smarttags" w:element="Street">
          <w:r>
            <w:t>McCombe Road</w:t>
          </w:r>
        </w:smartTag>
      </w:smartTag>
      <w:r>
        <w:t>, Bunbury; and</w:t>
      </w:r>
    </w:p>
    <w:p>
      <w:pPr>
        <w:pStyle w:val="Indenta"/>
      </w:pPr>
      <w:r>
        <w:tab/>
        <w:t>(b)</w:t>
      </w:r>
      <w:r>
        <w:tab/>
        <w:t xml:space="preserve">the Water Corporation, </w:t>
      </w:r>
      <w:smartTag w:uri="urn:schemas-microsoft-com:office:smarttags" w:element="address">
        <w:smartTag w:uri="urn:schemas-microsoft-com:office:smarttags" w:element="Street">
          <w:r>
            <w:t>629 Newcastle Street</w:t>
          </w:r>
        </w:smartTag>
      </w:smartTag>
      <w:r>
        <w:t xml:space="preserve">, Leederville or Level 3, </w:t>
      </w:r>
      <w:smartTag w:uri="urn:schemas-microsoft-com:office:smarttags" w:element="address">
        <w:smartTag w:uri="urn:schemas-microsoft-com:office:smarttags" w:element="Street">
          <w:r>
            <w:t>61 Victoria Street</w:t>
          </w:r>
        </w:smartTag>
      </w:smartTag>
      <w:r>
        <w:t>, Bunbury.</w:t>
      </w:r>
    </w:p>
    <w:p>
      <w:pPr>
        <w:pStyle w:val="Footnotesection"/>
      </w:pPr>
      <w:r>
        <w:tab/>
        <w:t>[By</w:t>
      </w:r>
      <w:r>
        <w:noBreakHyphen/>
        <w:t>law 10A inserted in Gazette 24 Aug 2012 p. 3961</w:t>
      </w:r>
      <w:r>
        <w:noBreakHyphen/>
        <w:t>2.]</w:t>
      </w:r>
    </w:p>
    <w:p>
      <w:pPr>
        <w:pStyle w:val="Heading3"/>
      </w:pPr>
      <w:bookmarkStart w:id="193" w:name="_Toc278898236"/>
      <w:bookmarkStart w:id="194" w:name="_Toc278898341"/>
      <w:bookmarkStart w:id="195" w:name="_Toc287360946"/>
      <w:bookmarkStart w:id="196" w:name="_Toc287361005"/>
      <w:bookmarkStart w:id="197" w:name="_Toc287361064"/>
      <w:bookmarkStart w:id="198" w:name="_Toc309303099"/>
      <w:bookmarkStart w:id="199" w:name="_Toc309303158"/>
      <w:bookmarkStart w:id="200" w:name="_Toc309309713"/>
      <w:bookmarkStart w:id="201" w:name="_Toc333487388"/>
      <w:bookmarkStart w:id="202" w:name="_Toc333487490"/>
      <w:bookmarkStart w:id="203" w:name="_Toc333487771"/>
      <w:bookmarkStart w:id="204" w:name="_Toc346884782"/>
      <w:bookmarkStart w:id="205" w:name="_Toc346889636"/>
      <w:bookmarkStart w:id="206" w:name="_Toc350245220"/>
      <w:bookmarkStart w:id="207" w:name="_Toc352053017"/>
      <w:bookmarkStart w:id="208" w:name="_Toc352053078"/>
      <w:bookmarkStart w:id="209" w:name="_Toc352065236"/>
      <w:bookmarkStart w:id="210" w:name="_Toc352065577"/>
      <w:r>
        <w:rPr>
          <w:rStyle w:val="CharDivNo"/>
        </w:rPr>
        <w:t>Division 2</w:t>
      </w:r>
      <w:r>
        <w:t> — </w:t>
      </w:r>
      <w:r>
        <w:rPr>
          <w:rStyle w:val="CharDivText"/>
        </w:rPr>
        <w:t>Exemptions</w:t>
      </w:r>
      <w:bookmarkEnd w:id="187"/>
      <w:bookmarkEnd w:id="188"/>
      <w:bookmarkEnd w:id="189"/>
      <w:bookmarkEnd w:id="191"/>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Heading5"/>
      </w:pPr>
      <w:bookmarkStart w:id="211" w:name="_Toc257638578"/>
      <w:bookmarkStart w:id="212" w:name="_Toc352065578"/>
      <w:r>
        <w:rPr>
          <w:rStyle w:val="CharSectno"/>
        </w:rPr>
        <w:t>10</w:t>
      </w:r>
      <w:r>
        <w:t>.</w:t>
      </w:r>
      <w:r>
        <w:tab/>
      </w:r>
      <w:r>
        <w:rPr>
          <w:i/>
        </w:rPr>
        <w:t>Rights in Water and Irrigation Act </w:t>
      </w:r>
      <w:r>
        <w:rPr>
          <w:i/>
          <w:iCs/>
        </w:rPr>
        <w:t>1914</w:t>
      </w:r>
      <w:r>
        <w:t xml:space="preserve"> s. 5C</w:t>
      </w:r>
      <w:bookmarkEnd w:id="211"/>
      <w:r>
        <w:t>, use of water under is exempt</w:t>
      </w:r>
      <w:bookmarkEnd w:id="212"/>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213" w:name="_Toc257638579"/>
      <w:bookmarkStart w:id="214" w:name="_Toc352065579"/>
      <w:r>
        <w:rPr>
          <w:rStyle w:val="CharSectno"/>
        </w:rPr>
        <w:t>11</w:t>
      </w:r>
      <w:r>
        <w:t>.</w:t>
      </w:r>
      <w:r>
        <w:tab/>
        <w:t>Domestic bore</w:t>
      </w:r>
      <w:bookmarkEnd w:id="213"/>
      <w:r>
        <w:t xml:space="preserve"> on other property, using water from</w:t>
      </w:r>
      <w:bookmarkEnd w:id="214"/>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215" w:name="_Toc257638580"/>
      <w:bookmarkStart w:id="216" w:name="_Toc352065580"/>
      <w:r>
        <w:rPr>
          <w:rStyle w:val="CharSectno"/>
        </w:rPr>
        <w:t>12</w:t>
      </w:r>
      <w:r>
        <w:t>.</w:t>
      </w:r>
      <w:r>
        <w:tab/>
        <w:t>Installing etc. reticulation system</w:t>
      </w:r>
      <w:bookmarkEnd w:id="215"/>
      <w:r>
        <w:t>, using water for</w:t>
      </w:r>
      <w:bookmarkEnd w:id="216"/>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pPr>
      <w:r>
        <w:tab/>
        <w:t>(2)</w:t>
      </w:r>
      <w:r>
        <w:tab/>
        <w:t>A person does not commit an offence under by</w:t>
      </w:r>
      <w:r>
        <w:noBreakHyphen/>
        <w:t>law 4 if, in the course of the person’s occupation in the turf, garden or landscaping industries, the person operates a reticulation system using either scheme water or domestic bore water to the minimum extent necessary while the reticulation system is being installed, maintained, tested or repaired.</w:t>
      </w:r>
    </w:p>
    <w:p>
      <w:pPr>
        <w:pStyle w:val="Heading5"/>
      </w:pPr>
      <w:bookmarkStart w:id="217" w:name="_Toc257638581"/>
      <w:bookmarkStart w:id="218" w:name="_Toc352065581"/>
      <w:r>
        <w:rPr>
          <w:rStyle w:val="CharSectno"/>
        </w:rPr>
        <w:t>13</w:t>
      </w:r>
      <w:r>
        <w:t>.</w:t>
      </w:r>
      <w:r>
        <w:tab/>
        <w:t>Vertimowing, fertilising etc. by commercial operator, watering after</w:t>
      </w:r>
      <w:bookmarkEnd w:id="217"/>
      <w:bookmarkEnd w:id="218"/>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219" w:name="_Toc257638582"/>
      <w:bookmarkStart w:id="220" w:name="_Toc352065582"/>
      <w:r>
        <w:rPr>
          <w:rStyle w:val="CharSectno"/>
        </w:rPr>
        <w:t>14</w:t>
      </w:r>
      <w:r>
        <w:t>.</w:t>
      </w:r>
      <w:r>
        <w:tab/>
        <w:t>Market garden or plant nursery, watering of</w:t>
      </w:r>
      <w:bookmarkEnd w:id="219"/>
      <w:bookmarkEnd w:id="220"/>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221" w:name="_Toc257638583"/>
      <w:bookmarkStart w:id="222" w:name="_Toc352065583"/>
      <w:r>
        <w:rPr>
          <w:rStyle w:val="CharSectno"/>
        </w:rPr>
        <w:t>15</w:t>
      </w:r>
      <w:r>
        <w:t>.</w:t>
      </w:r>
      <w:r>
        <w:tab/>
        <w:t>Caravan park site etc., watering of after vacation of</w:t>
      </w:r>
      <w:bookmarkEnd w:id="221"/>
      <w:bookmarkEnd w:id="222"/>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223" w:name="_Toc257638584"/>
      <w:bookmarkStart w:id="224" w:name="_Toc352065584"/>
      <w:r>
        <w:rPr>
          <w:rStyle w:val="CharSectno"/>
        </w:rPr>
        <w:t>16</w:t>
      </w:r>
      <w:r>
        <w:t>.</w:t>
      </w:r>
      <w:r>
        <w:tab/>
        <w:t>Aviary, water for birds in</w:t>
      </w:r>
      <w:bookmarkEnd w:id="223"/>
      <w:bookmarkEnd w:id="224"/>
    </w:p>
    <w:p>
      <w:pPr>
        <w:pStyle w:val="Subsection"/>
      </w:pPr>
      <w:r>
        <w:tab/>
      </w:r>
      <w:r>
        <w:tab/>
        <w:t>A person does not commit an offence under by</w:t>
      </w:r>
      <w:r>
        <w:noBreakHyphen/>
        <w:t>law 4 if the person waters an aviary to the minimum extent necessary to maintain the birds in that aviary.</w:t>
      </w:r>
    </w:p>
    <w:p>
      <w:pPr>
        <w:pStyle w:val="Heading5"/>
        <w:keepNext w:val="0"/>
        <w:keepLines w:val="0"/>
      </w:pPr>
      <w:bookmarkStart w:id="225" w:name="_Toc257638585"/>
      <w:bookmarkStart w:id="226" w:name="_Toc352065585"/>
      <w:r>
        <w:rPr>
          <w:rStyle w:val="CharSectno"/>
        </w:rPr>
        <w:t>17</w:t>
      </w:r>
      <w:r>
        <w:t>.</w:t>
      </w:r>
      <w:r>
        <w:tab/>
        <w:t>Fire fighting</w:t>
      </w:r>
      <w:bookmarkEnd w:id="225"/>
      <w:r>
        <w:t>, using water for</w:t>
      </w:r>
      <w:bookmarkEnd w:id="226"/>
    </w:p>
    <w:p>
      <w:pPr>
        <w:pStyle w:val="Subsection"/>
      </w:pPr>
      <w:r>
        <w:tab/>
      </w:r>
      <w:r>
        <w:tab/>
        <w:t>A person does not commit an offence under by</w:t>
      </w:r>
      <w:r>
        <w:noBreakHyphen/>
        <w:t>law 4 if the person uses water to the minimum extent necessary for fire fighting or training for fire fighting.</w:t>
      </w:r>
    </w:p>
    <w:p>
      <w:pPr>
        <w:pStyle w:val="Heading2"/>
      </w:pPr>
      <w:bookmarkStart w:id="227" w:name="_Toc257638586"/>
      <w:bookmarkStart w:id="228" w:name="_Toc257639307"/>
      <w:bookmarkStart w:id="229" w:name="_Toc257643313"/>
      <w:bookmarkStart w:id="230" w:name="_Toc273439183"/>
      <w:bookmarkStart w:id="231" w:name="_Toc278898245"/>
      <w:bookmarkStart w:id="232" w:name="_Toc278898350"/>
      <w:bookmarkStart w:id="233" w:name="_Toc287360955"/>
      <w:bookmarkStart w:id="234" w:name="_Toc287361014"/>
      <w:bookmarkStart w:id="235" w:name="_Toc287361073"/>
      <w:bookmarkStart w:id="236" w:name="_Toc309303108"/>
      <w:bookmarkStart w:id="237" w:name="_Toc309303167"/>
      <w:bookmarkStart w:id="238" w:name="_Toc309309722"/>
      <w:bookmarkStart w:id="239" w:name="_Toc333487397"/>
      <w:bookmarkStart w:id="240" w:name="_Toc333487499"/>
      <w:bookmarkStart w:id="241" w:name="_Toc333487780"/>
      <w:bookmarkStart w:id="242" w:name="_Toc346884791"/>
      <w:bookmarkStart w:id="243" w:name="_Toc346889645"/>
      <w:bookmarkStart w:id="244" w:name="_Toc350245229"/>
      <w:bookmarkStart w:id="245" w:name="_Toc352053026"/>
      <w:bookmarkStart w:id="246" w:name="_Toc352053087"/>
      <w:bookmarkStart w:id="247" w:name="_Toc352065245"/>
      <w:bookmarkStart w:id="248" w:name="_Toc352065586"/>
      <w:r>
        <w:rPr>
          <w:rStyle w:val="CharPartNo"/>
        </w:rPr>
        <w:t>Part 3</w:t>
      </w:r>
      <w:r>
        <w:t> — </w:t>
      </w:r>
      <w:r>
        <w:rPr>
          <w:rStyle w:val="CharPartText"/>
        </w:rPr>
        <w:t>Scheme water efficiency management plans</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pPr>
        <w:pStyle w:val="Heading3"/>
      </w:pPr>
      <w:bookmarkStart w:id="249" w:name="_Toc257638587"/>
      <w:bookmarkStart w:id="250" w:name="_Toc257639308"/>
      <w:bookmarkStart w:id="251" w:name="_Toc257643314"/>
      <w:bookmarkStart w:id="252" w:name="_Toc273439184"/>
      <w:bookmarkStart w:id="253" w:name="_Toc278898246"/>
      <w:bookmarkStart w:id="254" w:name="_Toc278898351"/>
      <w:bookmarkStart w:id="255" w:name="_Toc287360956"/>
      <w:bookmarkStart w:id="256" w:name="_Toc287361015"/>
      <w:bookmarkStart w:id="257" w:name="_Toc287361074"/>
      <w:bookmarkStart w:id="258" w:name="_Toc309303109"/>
      <w:bookmarkStart w:id="259" w:name="_Toc309303168"/>
      <w:bookmarkStart w:id="260" w:name="_Toc309309723"/>
      <w:bookmarkStart w:id="261" w:name="_Toc333487398"/>
      <w:bookmarkStart w:id="262" w:name="_Toc333487500"/>
      <w:bookmarkStart w:id="263" w:name="_Toc333487781"/>
      <w:bookmarkStart w:id="264" w:name="_Toc346884792"/>
      <w:bookmarkStart w:id="265" w:name="_Toc346889646"/>
      <w:bookmarkStart w:id="266" w:name="_Toc350245230"/>
      <w:bookmarkStart w:id="267" w:name="_Toc352053027"/>
      <w:bookmarkStart w:id="268" w:name="_Toc352053088"/>
      <w:bookmarkStart w:id="269" w:name="_Toc352065246"/>
      <w:bookmarkStart w:id="270" w:name="_Toc352065587"/>
      <w:r>
        <w:rPr>
          <w:rStyle w:val="CharDivNo"/>
        </w:rPr>
        <w:t>Division 1</w:t>
      </w:r>
      <w:r>
        <w:t> — </w:t>
      </w:r>
      <w:r>
        <w:rPr>
          <w:rStyle w:val="CharDivText"/>
        </w:rPr>
        <w:t>General</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pPr>
        <w:pStyle w:val="Heading5"/>
      </w:pPr>
      <w:bookmarkStart w:id="271" w:name="_Toc257638588"/>
      <w:bookmarkStart w:id="272" w:name="_Toc352065588"/>
      <w:r>
        <w:rPr>
          <w:rStyle w:val="CharSectno"/>
        </w:rPr>
        <w:t>18</w:t>
      </w:r>
      <w:r>
        <w:t>.</w:t>
      </w:r>
      <w:r>
        <w:tab/>
        <w:t>Terms used</w:t>
      </w:r>
      <w:bookmarkEnd w:id="271"/>
      <w:bookmarkEnd w:id="272"/>
    </w:p>
    <w:p>
      <w:pPr>
        <w:pStyle w:val="Subsection"/>
      </w:pPr>
      <w:r>
        <w:tab/>
      </w:r>
      <w:r>
        <w:tab/>
        <w:t xml:space="preserve">In this Part — </w:t>
      </w:r>
    </w:p>
    <w:p>
      <w:pPr>
        <w:pStyle w:val="Defstart"/>
      </w:pPr>
      <w:r>
        <w:tab/>
      </w:r>
      <w:r>
        <w:rPr>
          <w:rStyle w:val="CharDefText"/>
        </w:rPr>
        <w:t>approved</w:t>
      </w:r>
      <w:r>
        <w:t xml:space="preserve"> means approved by the scheme water supplier;</w:t>
      </w:r>
    </w:p>
    <w:p>
      <w:pPr>
        <w:pStyle w:val="Defstart"/>
      </w:pPr>
      <w:r>
        <w:tab/>
      </w:r>
      <w:r>
        <w:rPr>
          <w:rStyle w:val="CharDefText"/>
        </w:rPr>
        <w:t>consumption year</w:t>
      </w:r>
      <w:r>
        <w:t xml:space="preserve"> has the meaning given in the </w:t>
      </w:r>
      <w:r>
        <w:rPr>
          <w:i/>
        </w:rPr>
        <w:t>Water Agencies (Charges) By</w:t>
      </w:r>
      <w:r>
        <w:rPr>
          <w:i/>
        </w:rPr>
        <w:noBreakHyphen/>
        <w:t>laws 1987</w:t>
      </w:r>
      <w:r>
        <w:t xml:space="preserve"> by</w:t>
      </w:r>
      <w:r>
        <w:noBreakHyphen/>
        <w:t>law 2(1);</w:t>
      </w:r>
    </w:p>
    <w:p>
      <w:pPr>
        <w:pStyle w:val="Defstart"/>
      </w:pPr>
      <w:r>
        <w:tab/>
      </w:r>
      <w:r>
        <w:rPr>
          <w:rStyle w:val="CharDefText"/>
        </w:rPr>
        <w:t>non</w:t>
      </w:r>
      <w:r>
        <w:rPr>
          <w:rStyle w:val="CharDefText"/>
        </w:rPr>
        <w:noBreakHyphen/>
        <w:t>residential lot</w:t>
      </w:r>
      <w:r>
        <w:t xml:space="preserve"> means a lot as defined in section 41GA(5) of the Act, except a habitable lot as defined in that section;</w:t>
      </w:r>
    </w:p>
    <w:p>
      <w:pPr>
        <w:pStyle w:val="Defstart"/>
      </w:pPr>
      <w:r>
        <w:tab/>
      </w:r>
      <w:r>
        <w:rPr>
          <w:rStyle w:val="CharDefText"/>
        </w:rPr>
        <w:t>scheme water efficiency management plan</w:t>
      </w:r>
      <w:r>
        <w:t>, in relation to a non</w:t>
      </w:r>
      <w:r>
        <w:noBreakHyphen/>
        <w:t>residential lot, means a plan for ensuring that water supplied to the lot is used as efficiently as practicable, prepared in the approved form and containing —</w:t>
      </w:r>
    </w:p>
    <w:p>
      <w:pPr>
        <w:pStyle w:val="Indenta"/>
      </w:pPr>
      <w:r>
        <w:tab/>
        <w:t>(a)</w:t>
      </w:r>
      <w:r>
        <w:tab/>
        <w:t>the full name and address of each owner and occupier of the lot; and</w:t>
      </w:r>
    </w:p>
    <w:p>
      <w:pPr>
        <w:pStyle w:val="Indenta"/>
      </w:pPr>
      <w:r>
        <w:tab/>
        <w:t>(b)</w:t>
      </w:r>
      <w:r>
        <w:tab/>
        <w:t>a description of the nature of any business or other work being conducted on the lot; and</w:t>
      </w:r>
    </w:p>
    <w:p>
      <w:pPr>
        <w:pStyle w:val="Indenta"/>
      </w:pPr>
      <w:r>
        <w:tab/>
        <w:t>(c)</w:t>
      </w:r>
      <w:r>
        <w:tab/>
        <w:t>details of the measures comprising the plan, including proposed timeframes for implementing each of those measures; and</w:t>
      </w:r>
    </w:p>
    <w:p>
      <w:pPr>
        <w:pStyle w:val="Indenta"/>
      </w:pPr>
      <w:r>
        <w:tab/>
        <w:t>(d)</w:t>
      </w:r>
      <w:r>
        <w:tab/>
        <w:t>the estimated savings in water use under the plan; and</w:t>
      </w:r>
    </w:p>
    <w:p>
      <w:pPr>
        <w:pStyle w:val="Indenta"/>
      </w:pPr>
      <w:r>
        <w:tab/>
        <w:t>(e)</w:t>
      </w:r>
      <w:r>
        <w:tab/>
        <w:t>the substance of the most recent report under by</w:t>
      </w:r>
      <w:r>
        <w:noBreakHyphen/>
        <w:t>law 29 (if any) prepared in relation to the lot; and</w:t>
      </w:r>
    </w:p>
    <w:p>
      <w:pPr>
        <w:pStyle w:val="Indenta"/>
      </w:pPr>
      <w:r>
        <w:tab/>
        <w:t>(f)</w:t>
      </w:r>
      <w:r>
        <w:tab/>
        <w:t>such other information as the scheme water supplier reasonably requires, as specified in any notice under by</w:t>
      </w:r>
      <w:r>
        <w:noBreakHyphen/>
        <w:t>law 20(2), 21(2) or 27(1);</w:t>
      </w:r>
    </w:p>
    <w:p>
      <w:pPr>
        <w:pStyle w:val="Defstart"/>
      </w:pPr>
      <w:r>
        <w:tab/>
      </w:r>
      <w:r>
        <w:rPr>
          <w:rStyle w:val="CharDefText"/>
        </w:rPr>
        <w:t>water</w:t>
      </w:r>
      <w:r>
        <w:t xml:space="preserve"> means scheme water.</w:t>
      </w:r>
    </w:p>
    <w:p>
      <w:pPr>
        <w:pStyle w:val="Heading5"/>
      </w:pPr>
      <w:bookmarkStart w:id="273" w:name="_Toc257638589"/>
      <w:bookmarkStart w:id="274" w:name="_Toc352065589"/>
      <w:r>
        <w:rPr>
          <w:rStyle w:val="CharSectno"/>
        </w:rPr>
        <w:t>19</w:t>
      </w:r>
      <w:r>
        <w:t>.</w:t>
      </w:r>
      <w:r>
        <w:tab/>
        <w:t>Extension of time</w:t>
      </w:r>
      <w:bookmarkEnd w:id="273"/>
      <w:r>
        <w:t>, application for and grant of</w:t>
      </w:r>
      <w:bookmarkEnd w:id="274"/>
    </w:p>
    <w:p>
      <w:pPr>
        <w:pStyle w:val="Subsection"/>
        <w:keepNext/>
        <w:keepLines/>
      </w:pPr>
      <w:r>
        <w:tab/>
        <w:t>(1)</w:t>
      </w:r>
      <w:r>
        <w:tab/>
        <w:t xml:space="preserve">Where under this Part — </w:t>
      </w:r>
    </w:p>
    <w:p>
      <w:pPr>
        <w:pStyle w:val="Indenta"/>
      </w:pPr>
      <w:r>
        <w:tab/>
        <w:t>(a)</w:t>
      </w:r>
      <w:r>
        <w:tab/>
        <w:t>it is an offence for a person to fail to do something within a specified period; and</w:t>
      </w:r>
    </w:p>
    <w:p>
      <w:pPr>
        <w:pStyle w:val="Indenta"/>
      </w:pPr>
      <w:r>
        <w:tab/>
        <w:t>(b)</w:t>
      </w:r>
      <w:r>
        <w:tab/>
        <w:t>in a particular case it is not practicable for the person to do the thing within that period,</w:t>
      </w:r>
    </w:p>
    <w:p>
      <w:pPr>
        <w:pStyle w:val="Subsection"/>
      </w:pPr>
      <w:r>
        <w:tab/>
      </w:r>
      <w:r>
        <w:tab/>
        <w:t>the person may, before the end of the period, make a written application to the scheme water supplier to extend that period.</w:t>
      </w:r>
    </w:p>
    <w:p>
      <w:pPr>
        <w:pStyle w:val="Subsection"/>
      </w:pPr>
      <w:r>
        <w:tab/>
        <w:t>(2)</w:t>
      </w:r>
      <w:r>
        <w:tab/>
        <w:t>The scheme water supplier may, on an application under sub</w:t>
      </w:r>
      <w:r>
        <w:noBreakHyphen/>
        <w:t>bylaw (1) extend the period.</w:t>
      </w:r>
    </w:p>
    <w:p>
      <w:pPr>
        <w:pStyle w:val="Subsection"/>
      </w:pPr>
      <w:r>
        <w:tab/>
        <w:t>(3)</w:t>
      </w:r>
      <w:r>
        <w:tab/>
        <w:t>The person does not commit the offence if the person does the thing within the extended period.</w:t>
      </w:r>
    </w:p>
    <w:p>
      <w:pPr>
        <w:pStyle w:val="Heading3"/>
      </w:pPr>
      <w:bookmarkStart w:id="275" w:name="_Toc257638590"/>
      <w:bookmarkStart w:id="276" w:name="_Toc257639311"/>
      <w:bookmarkStart w:id="277" w:name="_Toc257643317"/>
      <w:bookmarkStart w:id="278" w:name="_Toc273439187"/>
      <w:bookmarkStart w:id="279" w:name="_Toc278898249"/>
      <w:bookmarkStart w:id="280" w:name="_Toc278898354"/>
      <w:bookmarkStart w:id="281" w:name="_Toc287360959"/>
      <w:bookmarkStart w:id="282" w:name="_Toc287361018"/>
      <w:bookmarkStart w:id="283" w:name="_Toc287361077"/>
      <w:bookmarkStart w:id="284" w:name="_Toc309303112"/>
      <w:bookmarkStart w:id="285" w:name="_Toc309303171"/>
      <w:bookmarkStart w:id="286" w:name="_Toc309309726"/>
      <w:bookmarkStart w:id="287" w:name="_Toc333487401"/>
      <w:bookmarkStart w:id="288" w:name="_Toc333487503"/>
      <w:bookmarkStart w:id="289" w:name="_Toc333487784"/>
      <w:bookmarkStart w:id="290" w:name="_Toc346884795"/>
      <w:bookmarkStart w:id="291" w:name="_Toc346889649"/>
      <w:bookmarkStart w:id="292" w:name="_Toc350245233"/>
      <w:bookmarkStart w:id="293" w:name="_Toc352053030"/>
      <w:bookmarkStart w:id="294" w:name="_Toc352053091"/>
      <w:bookmarkStart w:id="295" w:name="_Toc352065249"/>
      <w:bookmarkStart w:id="296" w:name="_Toc352065590"/>
      <w:r>
        <w:rPr>
          <w:rStyle w:val="CharDivNo"/>
        </w:rPr>
        <w:t>Division 2</w:t>
      </w:r>
      <w:r>
        <w:t> — </w:t>
      </w:r>
      <w:r>
        <w:rPr>
          <w:rStyle w:val="CharDivText"/>
        </w:rPr>
        <w:t>Preparation, submission and approval of scheme water efficiency management plans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pPr>
        <w:pStyle w:val="Heading5"/>
      </w:pPr>
      <w:bookmarkStart w:id="297" w:name="_Toc257638591"/>
      <w:bookmarkStart w:id="298" w:name="_Toc352065591"/>
      <w:r>
        <w:rPr>
          <w:rStyle w:val="CharSectno"/>
        </w:rPr>
        <w:t>20</w:t>
      </w:r>
      <w:r>
        <w:t>.</w:t>
      </w:r>
      <w:r>
        <w:tab/>
        <w:t>Supplier may require certain owners etc. to submit plan</w:t>
      </w:r>
      <w:bookmarkEnd w:id="297"/>
      <w:bookmarkEnd w:id="298"/>
    </w:p>
    <w:p>
      <w:pPr>
        <w:pStyle w:val="Subsection"/>
      </w:pPr>
      <w:r>
        <w:tab/>
        <w:t>(1)</w:t>
      </w:r>
      <w:r>
        <w:tab/>
        <w:t>This by</w:t>
      </w:r>
      <w:r>
        <w:noBreakHyphen/>
        <w:t>law applies to an owner or occupier of a non</w:t>
      </w:r>
      <w:r>
        <w:noBreakHyphen/>
        <w:t xml:space="preserve">residential lot in a particular consumption year unless — </w:t>
      </w:r>
    </w:p>
    <w:p>
      <w:pPr>
        <w:pStyle w:val="Indenta"/>
      </w:pPr>
      <w:r>
        <w:tab/>
        <w:t>(a)</w:t>
      </w:r>
      <w:r>
        <w:tab/>
        <w:t>the lot was supplied with less than 20 ML of water in the consumption year immediately before that year; or</w:t>
      </w:r>
    </w:p>
    <w:p>
      <w:pPr>
        <w:pStyle w:val="Indenta"/>
      </w:pPr>
      <w:r>
        <w:tab/>
        <w:t>(b)</w:t>
      </w:r>
      <w:r>
        <w:tab/>
        <w:t xml:space="preserve">the owner or occupier has submitted to the scheme water supplier a scheme water efficiency management plan, the approval of which — </w:t>
      </w:r>
    </w:p>
    <w:p>
      <w:pPr>
        <w:pStyle w:val="Indenti"/>
      </w:pPr>
      <w:r>
        <w:tab/>
        <w:t>(i)</w:t>
      </w:r>
      <w:r>
        <w:tab/>
        <w:t>is being considered under by</w:t>
      </w:r>
      <w:r>
        <w:noBreakHyphen/>
        <w:t>law 21; or</w:t>
      </w:r>
    </w:p>
    <w:p>
      <w:pPr>
        <w:pStyle w:val="Indenti"/>
      </w:pPr>
      <w:r>
        <w:tab/>
        <w:t>(ii)</w:t>
      </w:r>
      <w:r>
        <w:tab/>
        <w:t>has been given and remains in force under by</w:t>
      </w:r>
      <w:r>
        <w:noBreakHyphen/>
        <w:t>law 24.</w:t>
      </w:r>
    </w:p>
    <w:p>
      <w:pPr>
        <w:pStyle w:val="Subsection"/>
      </w:pPr>
      <w:r>
        <w:tab/>
        <w:t>(2)</w:t>
      </w:r>
      <w:r>
        <w:tab/>
        <w:t>The scheme water supplier may, by notice in writing, require the owner or occupier to prepare and submit for approval to the scheme water supplier a scheme water efficiency management plan.</w:t>
      </w:r>
    </w:p>
    <w:p>
      <w:pPr>
        <w:pStyle w:val="Subsection"/>
      </w:pPr>
      <w:r>
        <w:tab/>
        <w:t>(3)</w:t>
      </w:r>
      <w:r>
        <w:tab/>
        <w:t>A person who is served with a notice under sub</w:t>
      </w:r>
      <w:r>
        <w:noBreakHyphen/>
        <w:t>bylaw (2) must prepare the scheme water efficiency management plan and submit it for approval to the scheme water supplier within 90 days after the notice is served on the person.</w:t>
      </w:r>
    </w:p>
    <w:p>
      <w:pPr>
        <w:pStyle w:val="Penstart"/>
      </w:pPr>
      <w:r>
        <w:tab/>
        <w:t>Penalty: a fine of $2 000.</w:t>
      </w:r>
    </w:p>
    <w:p>
      <w:pPr>
        <w:pStyle w:val="Heading5"/>
        <w:spacing w:before="180"/>
      </w:pPr>
      <w:bookmarkStart w:id="299" w:name="_Toc257638592"/>
      <w:bookmarkStart w:id="300" w:name="_Toc352065592"/>
      <w:r>
        <w:rPr>
          <w:rStyle w:val="CharSectno"/>
        </w:rPr>
        <w:t>21</w:t>
      </w:r>
      <w:r>
        <w:t>.</w:t>
      </w:r>
      <w:r>
        <w:tab/>
        <w:t>Supplier’s functions on receiving plan</w:t>
      </w:r>
      <w:bookmarkEnd w:id="299"/>
      <w:bookmarkEnd w:id="300"/>
    </w:p>
    <w:p>
      <w:pPr>
        <w:pStyle w:val="Subsection"/>
      </w:pPr>
      <w:r>
        <w:tab/>
        <w:t>(1)</w:t>
      </w:r>
      <w:r>
        <w:tab/>
        <w:t>This by</w:t>
      </w:r>
      <w:r>
        <w:noBreakHyphen/>
        <w:t>law applies when the scheme water supplier receives from a person —</w:t>
      </w:r>
    </w:p>
    <w:p>
      <w:pPr>
        <w:pStyle w:val="Indenta"/>
      </w:pPr>
      <w:r>
        <w:tab/>
        <w:t>(a)</w:t>
      </w:r>
      <w:r>
        <w:tab/>
        <w:t>a scheme water efficiency management plan prepared and submitted under sub</w:t>
      </w:r>
      <w:r>
        <w:noBreakHyphen/>
        <w:t>bylaw (4) or by</w:t>
      </w:r>
      <w:r>
        <w:noBreakHyphen/>
        <w:t>law 20(3), 22, 26 or 27(3); or</w:t>
      </w:r>
    </w:p>
    <w:p>
      <w:pPr>
        <w:pStyle w:val="Indenta"/>
      </w:pPr>
      <w:r>
        <w:tab/>
        <w:t>(b)</w:t>
      </w:r>
      <w:r>
        <w:tab/>
        <w:t>further information provided under sub</w:t>
      </w:r>
      <w:r>
        <w:noBreakHyphen/>
        <w:t>bylaw (3).</w:t>
      </w:r>
    </w:p>
    <w:p>
      <w:pPr>
        <w:pStyle w:val="Subsection"/>
      </w:pPr>
      <w:r>
        <w:tab/>
        <w:t>(2)</w:t>
      </w:r>
      <w:r>
        <w:tab/>
        <w:t xml:space="preserve">The scheme water supplier must, by notice in writing served on the person within 60 days after the plan is received by the scheme water supplier — </w:t>
      </w:r>
    </w:p>
    <w:p>
      <w:pPr>
        <w:pStyle w:val="Indenta"/>
      </w:pPr>
      <w:r>
        <w:tab/>
        <w:t>(a)</w:t>
      </w:r>
      <w:r>
        <w:tab/>
        <w:t>approve the plan in the form most recently submitted; or</w:t>
      </w:r>
    </w:p>
    <w:p>
      <w:pPr>
        <w:pStyle w:val="Indenta"/>
      </w:pPr>
      <w:r>
        <w:tab/>
        <w:t>(b)</w:t>
      </w:r>
      <w:r>
        <w:tab/>
        <w:t>request further information from the person relating to the plan, including the person’s comments on any specific amendments to the plan the scheme water supplier considers might be necessary; or</w:t>
      </w:r>
    </w:p>
    <w:p>
      <w:pPr>
        <w:pStyle w:val="Indenta"/>
      </w:pPr>
      <w:r>
        <w:tab/>
        <w:t>(c)</w:t>
      </w:r>
      <w:r>
        <w:tab/>
        <w:t>request an amended scheme water efficiency management plan in accordance with any instructions specified in the notice; or</w:t>
      </w:r>
    </w:p>
    <w:p>
      <w:pPr>
        <w:pStyle w:val="Indenta"/>
      </w:pPr>
      <w:r>
        <w:tab/>
        <w:t>(d)</w:t>
      </w:r>
      <w:r>
        <w:tab/>
        <w:t>if, while the scheme water supplier is considering the plan, a subsequent revised scheme water efficiency management plan is submitted to the scheme water supplier under by</w:t>
      </w:r>
      <w:r>
        <w:noBreakHyphen/>
        <w:t>law 22, do anything referred to in paragraph (a), (b) or (c) in relation to the revised plan.</w:t>
      </w:r>
    </w:p>
    <w:p>
      <w:pPr>
        <w:pStyle w:val="Subsection"/>
        <w:spacing w:before="120"/>
      </w:pPr>
      <w:r>
        <w:tab/>
        <w:t>(3)</w:t>
      </w:r>
      <w:r>
        <w:tab/>
        <w:t>A person who is served with a notice under sub</w:t>
      </w:r>
      <w:r>
        <w:noBreakHyphen/>
        <w:t>bylaw (2)(b) must provide the further information within 30 days after the notice is served on the person.</w:t>
      </w:r>
    </w:p>
    <w:p>
      <w:pPr>
        <w:pStyle w:val="Penstart"/>
      </w:pPr>
      <w:r>
        <w:tab/>
        <w:t>Penalty: a fine of $2 000.</w:t>
      </w:r>
    </w:p>
    <w:p>
      <w:pPr>
        <w:pStyle w:val="Subsection"/>
      </w:pPr>
      <w:r>
        <w:tab/>
        <w:t>(4)</w:t>
      </w:r>
      <w:r>
        <w:tab/>
        <w:t>A person who is served with a notice under sub</w:t>
      </w:r>
      <w:r>
        <w:noBreakHyphen/>
        <w:t>bylaw (2)(c) must prepare the amended scheme water efficiency management plan and submit it for approval to the scheme water supplier within 60 days after the notice is served on the person.</w:t>
      </w:r>
    </w:p>
    <w:p>
      <w:pPr>
        <w:pStyle w:val="Penstart"/>
      </w:pPr>
      <w:r>
        <w:tab/>
        <w:t>Penalty: a fine of $2 000.</w:t>
      </w:r>
    </w:p>
    <w:p>
      <w:pPr>
        <w:pStyle w:val="Heading5"/>
      </w:pPr>
      <w:bookmarkStart w:id="301" w:name="_Toc257638593"/>
      <w:bookmarkStart w:id="302" w:name="_Toc352065593"/>
      <w:r>
        <w:rPr>
          <w:rStyle w:val="CharSectno"/>
        </w:rPr>
        <w:t>22</w:t>
      </w:r>
      <w:r>
        <w:t>.</w:t>
      </w:r>
      <w:r>
        <w:tab/>
        <w:t>Revised plan may be submitted at any time</w:t>
      </w:r>
      <w:bookmarkEnd w:id="301"/>
      <w:bookmarkEnd w:id="302"/>
    </w:p>
    <w:p>
      <w:pPr>
        <w:pStyle w:val="Subsection"/>
      </w:pPr>
      <w:r>
        <w:tab/>
      </w:r>
      <w:r>
        <w:tab/>
        <w:t>A person who has submitted a scheme water efficiency management plan for approval to the scheme water supplier under this Part may, at any time after that submission (whether or not the plan has been approved), prepare a revised scheme water efficiency management plan and submit it for approval to the scheme water supplier.</w:t>
      </w:r>
    </w:p>
    <w:p>
      <w:pPr>
        <w:pStyle w:val="Heading3"/>
      </w:pPr>
      <w:bookmarkStart w:id="303" w:name="_Toc257638594"/>
      <w:bookmarkStart w:id="304" w:name="_Toc257639315"/>
      <w:bookmarkStart w:id="305" w:name="_Toc257643321"/>
      <w:bookmarkStart w:id="306" w:name="_Toc273439191"/>
      <w:bookmarkStart w:id="307" w:name="_Toc278898253"/>
      <w:bookmarkStart w:id="308" w:name="_Toc278898358"/>
      <w:bookmarkStart w:id="309" w:name="_Toc287360963"/>
      <w:bookmarkStart w:id="310" w:name="_Toc287361022"/>
      <w:bookmarkStart w:id="311" w:name="_Toc287361081"/>
      <w:bookmarkStart w:id="312" w:name="_Toc309303116"/>
      <w:bookmarkStart w:id="313" w:name="_Toc309303175"/>
      <w:bookmarkStart w:id="314" w:name="_Toc309309730"/>
      <w:bookmarkStart w:id="315" w:name="_Toc333487405"/>
      <w:bookmarkStart w:id="316" w:name="_Toc333487507"/>
      <w:bookmarkStart w:id="317" w:name="_Toc333487788"/>
      <w:bookmarkStart w:id="318" w:name="_Toc346884799"/>
      <w:bookmarkStart w:id="319" w:name="_Toc346889653"/>
      <w:bookmarkStart w:id="320" w:name="_Toc350245237"/>
      <w:bookmarkStart w:id="321" w:name="_Toc352053034"/>
      <w:bookmarkStart w:id="322" w:name="_Toc352053095"/>
      <w:bookmarkStart w:id="323" w:name="_Toc352065253"/>
      <w:bookmarkStart w:id="324" w:name="_Toc352065594"/>
      <w:r>
        <w:rPr>
          <w:rStyle w:val="CharDivNo"/>
        </w:rPr>
        <w:t>Division 3</w:t>
      </w:r>
      <w:r>
        <w:t> — </w:t>
      </w:r>
      <w:r>
        <w:rPr>
          <w:rStyle w:val="CharDivText"/>
        </w:rPr>
        <w:t>After approval of scheme water efficiency management plans</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pStyle w:val="Heading5"/>
      </w:pPr>
      <w:bookmarkStart w:id="325" w:name="_Toc257638595"/>
      <w:bookmarkStart w:id="326" w:name="_Toc352065595"/>
      <w:r>
        <w:rPr>
          <w:rStyle w:val="CharSectno"/>
        </w:rPr>
        <w:t>23</w:t>
      </w:r>
      <w:r>
        <w:t>.</w:t>
      </w:r>
      <w:r>
        <w:tab/>
        <w:t>Application</w:t>
      </w:r>
      <w:bookmarkEnd w:id="325"/>
      <w:r>
        <w:t xml:space="preserve"> of this Division</w:t>
      </w:r>
      <w:bookmarkEnd w:id="326"/>
    </w:p>
    <w:p>
      <w:pPr>
        <w:pStyle w:val="Subsection"/>
      </w:pPr>
      <w:r>
        <w:tab/>
      </w:r>
      <w:r>
        <w:tab/>
        <w:t>This Division applies where a person has submitted a scheme water efficiency management plan under by</w:t>
      </w:r>
      <w:r>
        <w:noBreakHyphen/>
        <w:t>law 20(3), 21(4), 22, 26 or 27(3) and the plan has been approved.</w:t>
      </w:r>
    </w:p>
    <w:p>
      <w:pPr>
        <w:pStyle w:val="Heading5"/>
      </w:pPr>
      <w:bookmarkStart w:id="327" w:name="_Toc257638596"/>
      <w:bookmarkStart w:id="328" w:name="_Toc352065596"/>
      <w:r>
        <w:rPr>
          <w:rStyle w:val="CharSectno"/>
        </w:rPr>
        <w:t>24</w:t>
      </w:r>
      <w:r>
        <w:t>.</w:t>
      </w:r>
      <w:r>
        <w:tab/>
        <w:t>Approval of plan, duration of</w:t>
      </w:r>
      <w:bookmarkEnd w:id="327"/>
      <w:bookmarkEnd w:id="328"/>
    </w:p>
    <w:p>
      <w:pPr>
        <w:pStyle w:val="Subsection"/>
      </w:pPr>
      <w:r>
        <w:tab/>
      </w:r>
      <w:r>
        <w:tab/>
        <w:t>The approval remains in force on and from the day the approval was given until —</w:t>
      </w:r>
    </w:p>
    <w:p>
      <w:pPr>
        <w:pStyle w:val="Indenta"/>
      </w:pPr>
      <w:r>
        <w:tab/>
        <w:t>(a)</w:t>
      </w:r>
      <w:r>
        <w:tab/>
        <w:t>the person ceases to be an owner or occupier of the lot; or</w:t>
      </w:r>
    </w:p>
    <w:p>
      <w:pPr>
        <w:pStyle w:val="Indenta"/>
      </w:pPr>
      <w:r>
        <w:tab/>
        <w:t>(b)</w:t>
      </w:r>
      <w:r>
        <w:tab/>
        <w:t>the approval is revoked under by</w:t>
      </w:r>
      <w:r>
        <w:noBreakHyphen/>
        <w:t>law 28; or</w:t>
      </w:r>
    </w:p>
    <w:p>
      <w:pPr>
        <w:pStyle w:val="Indenta"/>
      </w:pPr>
      <w:r>
        <w:tab/>
        <w:t>(c)</w:t>
      </w:r>
      <w:r>
        <w:tab/>
        <w:t>a revised scheme water efficiency management plan is submitted by the person under by</w:t>
      </w:r>
      <w:r>
        <w:noBreakHyphen/>
        <w:t>law 22, 26 or 27(3) and is approved; or</w:t>
      </w:r>
    </w:p>
    <w:p>
      <w:pPr>
        <w:pStyle w:val="Indenta"/>
      </w:pPr>
      <w:r>
        <w:tab/>
        <w:t>(d)</w:t>
      </w:r>
      <w:r>
        <w:tab/>
        <w:t>a period of 5 years expires,</w:t>
      </w:r>
    </w:p>
    <w:p>
      <w:pPr>
        <w:pStyle w:val="Subsection"/>
      </w:pPr>
      <w:r>
        <w:tab/>
      </w:r>
      <w:r>
        <w:tab/>
        <w:t>whichever occurs first.</w:t>
      </w:r>
    </w:p>
    <w:p>
      <w:pPr>
        <w:pStyle w:val="Heading5"/>
      </w:pPr>
      <w:bookmarkStart w:id="329" w:name="_Toc257638597"/>
      <w:bookmarkStart w:id="330" w:name="_Toc352065597"/>
      <w:r>
        <w:rPr>
          <w:rStyle w:val="CharSectno"/>
        </w:rPr>
        <w:t>25</w:t>
      </w:r>
      <w:r>
        <w:t>.</w:t>
      </w:r>
      <w:r>
        <w:tab/>
        <w:t>Approved plan to be complied with etc</w:t>
      </w:r>
      <w:bookmarkEnd w:id="329"/>
      <w:r>
        <w:t>.</w:t>
      </w:r>
      <w:bookmarkEnd w:id="330"/>
    </w:p>
    <w:p>
      <w:pPr>
        <w:pStyle w:val="Subsection"/>
      </w:pPr>
      <w:r>
        <w:tab/>
        <w:t>(1)</w:t>
      </w:r>
      <w:r>
        <w:tab/>
        <w:t>The person must comply with the scheme water efficiency management plan during the period that the approval remains in force under by</w:t>
      </w:r>
      <w:r>
        <w:noBreakHyphen/>
        <w:t>law 24.</w:t>
      </w:r>
    </w:p>
    <w:p>
      <w:pPr>
        <w:pStyle w:val="Penstart"/>
      </w:pPr>
      <w:r>
        <w:tab/>
        <w:t>Penalty: a fine of $2 000.</w:t>
      </w:r>
    </w:p>
    <w:p>
      <w:pPr>
        <w:pStyle w:val="Subsection"/>
      </w:pPr>
      <w:r>
        <w:tab/>
        <w:t>(2)</w:t>
      </w:r>
      <w:r>
        <w:tab/>
        <w:t>If the scheme water supplier reasonably suspects that the person has not complied, or is not complying, with the plan during the period that the approval remains in force under by</w:t>
      </w:r>
      <w:r>
        <w:noBreakHyphen/>
        <w:t>law 24, the scheme water supplier may, by notice in writing, require the person to provide a written report on the person’s implementation of the plan.</w:t>
      </w:r>
    </w:p>
    <w:p>
      <w:pPr>
        <w:pStyle w:val="Subsection"/>
      </w:pPr>
      <w:r>
        <w:tab/>
        <w:t>(3)</w:t>
      </w:r>
      <w:r>
        <w:tab/>
        <w:t>A person who is served with a notice under sub</w:t>
      </w:r>
      <w:r>
        <w:noBreakHyphen/>
        <w:t>bylaw (2) must prepare the report in an approved form and submit it to the scheme water supplier within 30 days after the notice is served on the person.</w:t>
      </w:r>
    </w:p>
    <w:p>
      <w:pPr>
        <w:pStyle w:val="Penstart"/>
      </w:pPr>
      <w:r>
        <w:tab/>
        <w:t>Penalty: a fine of $2 000.</w:t>
      </w:r>
    </w:p>
    <w:p>
      <w:pPr>
        <w:pStyle w:val="Heading5"/>
      </w:pPr>
      <w:bookmarkStart w:id="331" w:name="_Toc257638598"/>
      <w:bookmarkStart w:id="332" w:name="_Toc352065598"/>
      <w:r>
        <w:rPr>
          <w:rStyle w:val="CharSectno"/>
        </w:rPr>
        <w:t>26</w:t>
      </w:r>
      <w:r>
        <w:t>.</w:t>
      </w:r>
      <w:r>
        <w:tab/>
        <w:t>Revised plan to be submitted before end of approved plan in some cases</w:t>
      </w:r>
      <w:bookmarkEnd w:id="331"/>
      <w:bookmarkEnd w:id="332"/>
    </w:p>
    <w:p>
      <w:pPr>
        <w:pStyle w:val="Subsection"/>
      </w:pPr>
      <w:r>
        <w:tab/>
        <w:t>(1)</w:t>
      </w:r>
      <w:r>
        <w:tab/>
        <w:t>Except as provided in sub</w:t>
      </w:r>
      <w:r>
        <w:noBreakHyphen/>
        <w:t>bylaw (2), the person must, at least 90 days before the end of the period that the approval remains in force under by</w:t>
      </w:r>
      <w:r>
        <w:noBreakHyphen/>
        <w:t>law 24, prepare and submit for approval to the scheme water supplier a revised scheme water efficiency management plan.</w:t>
      </w:r>
    </w:p>
    <w:p>
      <w:pPr>
        <w:pStyle w:val="Penstart"/>
      </w:pPr>
      <w:r>
        <w:tab/>
        <w:t>Penalty: a fine of $2 000.</w:t>
      </w:r>
    </w:p>
    <w:p>
      <w:pPr>
        <w:pStyle w:val="Subsection"/>
      </w:pPr>
      <w:r>
        <w:tab/>
        <w:t>(2)</w:t>
      </w:r>
      <w:r>
        <w:tab/>
        <w:t>Sub</w:t>
      </w:r>
      <w:r>
        <w:noBreakHyphen/>
        <w:t xml:space="preserve">bylaw (1) does not apply to the person if — </w:t>
      </w:r>
    </w:p>
    <w:p>
      <w:pPr>
        <w:pStyle w:val="Indenta"/>
      </w:pPr>
      <w:r>
        <w:tab/>
        <w:t>(a)</w:t>
      </w:r>
      <w:r>
        <w:tab/>
        <w:t>the lot was supplied with less than 20 ML of water in the consumption year immediately before the consumption year in which the approval is due to expire; and</w:t>
      </w:r>
    </w:p>
    <w:p>
      <w:pPr>
        <w:pStyle w:val="Indenta"/>
      </w:pPr>
      <w:r>
        <w:tab/>
        <w:t>(b)</w:t>
      </w:r>
      <w:r>
        <w:tab/>
        <w:t xml:space="preserve">the person has submitted to the scheme water supplier a written notice in an approved form — </w:t>
      </w:r>
    </w:p>
    <w:p>
      <w:pPr>
        <w:pStyle w:val="Indenti"/>
      </w:pPr>
      <w:r>
        <w:tab/>
        <w:t>(i)</w:t>
      </w:r>
      <w:r>
        <w:tab/>
        <w:t>confirming the circumstances in paragraph (a); and</w:t>
      </w:r>
    </w:p>
    <w:p>
      <w:pPr>
        <w:pStyle w:val="Indenti"/>
      </w:pPr>
      <w:r>
        <w:tab/>
        <w:t>(ii)</w:t>
      </w:r>
      <w:r>
        <w:tab/>
        <w:t>stating that the person does not intend to use 20 ML or more of water in the consumption year in which the approval is due to expire.</w:t>
      </w:r>
    </w:p>
    <w:p>
      <w:pPr>
        <w:pStyle w:val="Heading5"/>
      </w:pPr>
      <w:bookmarkStart w:id="333" w:name="_Toc257638599"/>
      <w:bookmarkStart w:id="334" w:name="_Toc352065599"/>
      <w:r>
        <w:rPr>
          <w:rStyle w:val="CharSectno"/>
        </w:rPr>
        <w:t>27</w:t>
      </w:r>
      <w:r>
        <w:t>.</w:t>
      </w:r>
      <w:r>
        <w:tab/>
        <w:t>Supplier may require revised plan to be submitted in some cases</w:t>
      </w:r>
      <w:bookmarkEnd w:id="333"/>
      <w:bookmarkEnd w:id="334"/>
    </w:p>
    <w:p>
      <w:pPr>
        <w:pStyle w:val="Subsection"/>
      </w:pPr>
      <w:r>
        <w:tab/>
        <w:t>(1)</w:t>
      </w:r>
      <w:r>
        <w:tab/>
        <w:t>In addition to by</w:t>
      </w:r>
      <w:r>
        <w:noBreakHyphen/>
        <w:t>law 26, the scheme water supplier may, by notice in writing at any time during the period that the approval remains in force under by</w:t>
      </w:r>
      <w:r>
        <w:noBreakHyphen/>
        <w:t xml:space="preserve">law 24, require the person to prepare and submit for approval to the scheme water supplier a revised scheme water efficiency management plan if — </w:t>
      </w:r>
    </w:p>
    <w:p>
      <w:pPr>
        <w:pStyle w:val="Indenta"/>
      </w:pPr>
      <w:r>
        <w:tab/>
        <w:t>(a)</w:t>
      </w:r>
      <w:r>
        <w:tab/>
        <w:t xml:space="preserve">there has been a significant change in — </w:t>
      </w:r>
    </w:p>
    <w:p>
      <w:pPr>
        <w:pStyle w:val="Indenti"/>
      </w:pPr>
      <w:r>
        <w:tab/>
        <w:t>(i)</w:t>
      </w:r>
      <w:r>
        <w:tab/>
        <w:t>the use of water supplied to the lot; or</w:t>
      </w:r>
    </w:p>
    <w:p>
      <w:pPr>
        <w:pStyle w:val="Indenti"/>
      </w:pPr>
      <w:r>
        <w:tab/>
        <w:t>(ii)</w:t>
      </w:r>
      <w:r>
        <w:tab/>
        <w:t>the quantity of water available for supply to the lot,</w:t>
      </w:r>
    </w:p>
    <w:p>
      <w:pPr>
        <w:pStyle w:val="Indenta"/>
      </w:pPr>
      <w:r>
        <w:tab/>
      </w:r>
      <w:r>
        <w:tab/>
        <w:t>since the approval was given; or</w:t>
      </w:r>
    </w:p>
    <w:p>
      <w:pPr>
        <w:pStyle w:val="Indenta"/>
      </w:pPr>
      <w:r>
        <w:tab/>
        <w:t>(b)</w:t>
      </w:r>
      <w:r>
        <w:tab/>
        <w:t>otherwise where the scheme water supplier thinks it is necessary on the basis of a report under by</w:t>
      </w:r>
      <w:r>
        <w:noBreakHyphen/>
        <w:t>law 29.</w:t>
      </w:r>
    </w:p>
    <w:p>
      <w:pPr>
        <w:pStyle w:val="Subsection"/>
      </w:pPr>
      <w:r>
        <w:tab/>
        <w:t>(2)</w:t>
      </w:r>
      <w:r>
        <w:tab/>
        <w:t>The notice may specify measures to be included in the revised plan, including timeframes for implementing each of those measures.</w:t>
      </w:r>
    </w:p>
    <w:p>
      <w:pPr>
        <w:pStyle w:val="Subsection"/>
      </w:pPr>
      <w:r>
        <w:tab/>
        <w:t>(3)</w:t>
      </w:r>
      <w:r>
        <w:tab/>
        <w:t>A person who is served with a notice under sub</w:t>
      </w:r>
      <w:r>
        <w:noBreakHyphen/>
        <w:t>bylaw (1) must prepare the revised plan and submit it for approval to the scheme water supplier within 60 days after the notice is served on the person.</w:t>
      </w:r>
    </w:p>
    <w:p>
      <w:pPr>
        <w:pStyle w:val="Penstart"/>
      </w:pPr>
      <w:r>
        <w:tab/>
        <w:t>Penalty: a fine of $2 000.</w:t>
      </w:r>
    </w:p>
    <w:p>
      <w:pPr>
        <w:pStyle w:val="Heading5"/>
      </w:pPr>
      <w:bookmarkStart w:id="335" w:name="_Toc257638600"/>
      <w:bookmarkStart w:id="336" w:name="_Toc352065600"/>
      <w:r>
        <w:rPr>
          <w:rStyle w:val="CharSectno"/>
        </w:rPr>
        <w:t>28</w:t>
      </w:r>
      <w:r>
        <w:t>.</w:t>
      </w:r>
      <w:r>
        <w:tab/>
        <w:t>Revocation of approval of plan, application for etc.</w:t>
      </w:r>
      <w:bookmarkEnd w:id="335"/>
      <w:bookmarkEnd w:id="336"/>
    </w:p>
    <w:p>
      <w:pPr>
        <w:pStyle w:val="Subsection"/>
      </w:pPr>
      <w:r>
        <w:tab/>
        <w:t>(1)</w:t>
      </w:r>
      <w:r>
        <w:tab/>
        <w:t>The person may, in an approved form, make an application for the scheme water supplier to revoke the scheme water supplier’s approval of the scheme water efficiency management plan.</w:t>
      </w:r>
    </w:p>
    <w:p>
      <w:pPr>
        <w:pStyle w:val="Subsection"/>
      </w:pPr>
      <w:r>
        <w:tab/>
        <w:t>(2)</w:t>
      </w:r>
      <w:r>
        <w:tab/>
        <w:t>On an application under sub</w:t>
      </w:r>
      <w:r>
        <w:noBreakHyphen/>
        <w:t xml:space="preserve">bylaw (1) the scheme water supplier may revoke its approval if the scheme water supplier is satisfied that — </w:t>
      </w:r>
    </w:p>
    <w:p>
      <w:pPr>
        <w:pStyle w:val="Indenta"/>
      </w:pPr>
      <w:r>
        <w:tab/>
        <w:t>(a)</w:t>
      </w:r>
      <w:r>
        <w:tab/>
        <w:t>the lot was supplied with less than 20 ML of water in the consumption year immediately before the consumption year in which the application was made; and</w:t>
      </w:r>
    </w:p>
    <w:p>
      <w:pPr>
        <w:pStyle w:val="Indenta"/>
      </w:pPr>
      <w:r>
        <w:tab/>
        <w:t>(b)</w:t>
      </w:r>
      <w:r>
        <w:tab/>
        <w:t>the person does not intend to use 20 ML or more of water in the consumption year in which the application was made.</w:t>
      </w:r>
    </w:p>
    <w:p>
      <w:pPr>
        <w:pStyle w:val="Heading5"/>
      </w:pPr>
      <w:bookmarkStart w:id="337" w:name="_Toc257638601"/>
      <w:bookmarkStart w:id="338" w:name="_Toc352065601"/>
      <w:r>
        <w:rPr>
          <w:rStyle w:val="CharSectno"/>
        </w:rPr>
        <w:t>29</w:t>
      </w:r>
      <w:r>
        <w:t>.</w:t>
      </w:r>
      <w:r>
        <w:tab/>
        <w:t>Annual report on plan</w:t>
      </w:r>
      <w:bookmarkEnd w:id="337"/>
      <w:r>
        <w:t xml:space="preserve"> to be given to supplier</w:t>
      </w:r>
      <w:bookmarkEnd w:id="338"/>
    </w:p>
    <w:p>
      <w:pPr>
        <w:pStyle w:val="Subsection"/>
      </w:pPr>
      <w:r>
        <w:tab/>
        <w:t>(1)</w:t>
      </w:r>
      <w:r>
        <w:tab/>
        <w:t>During the period that the approval remains in force under by</w:t>
      </w:r>
      <w:r>
        <w:noBreakHyphen/>
        <w:t>law 24 the person must, within 30 days after each anniversary of the approval, prepare and submit to the scheme water supplier a report on the efficacy of the scheme water efficiency management plan.</w:t>
      </w:r>
    </w:p>
    <w:p>
      <w:pPr>
        <w:pStyle w:val="Penstart"/>
      </w:pPr>
      <w:r>
        <w:tab/>
        <w:t>Penalty: a fine of $2 000.</w:t>
      </w:r>
    </w:p>
    <w:p>
      <w:pPr>
        <w:pStyle w:val="Subsection"/>
      </w:pPr>
      <w:r>
        <w:tab/>
        <w:t>(2)</w:t>
      </w:r>
      <w:r>
        <w:tab/>
        <w:t xml:space="preserve">The report must be in an approved form and must — </w:t>
      </w:r>
    </w:p>
    <w:p>
      <w:pPr>
        <w:pStyle w:val="Indenta"/>
      </w:pPr>
      <w:r>
        <w:tab/>
        <w:t>(a)</w:t>
      </w:r>
      <w:r>
        <w:tab/>
        <w:t>compare the use of water supplied to the property during the period to which the report relates against the estimated savings in water use under the plan for that period; and</w:t>
      </w:r>
    </w:p>
    <w:p>
      <w:pPr>
        <w:pStyle w:val="Indenta"/>
      </w:pPr>
      <w:r>
        <w:tab/>
        <w:t>(b)</w:t>
      </w:r>
      <w:r>
        <w:tab/>
        <w:t xml:space="preserve">contain such other information relating to the efficacy of the plan as the scheme water supplier reasonably requires, as specified in — </w:t>
      </w:r>
    </w:p>
    <w:p>
      <w:pPr>
        <w:pStyle w:val="Indenti"/>
      </w:pPr>
      <w:r>
        <w:tab/>
        <w:t>(i)</w:t>
      </w:r>
      <w:r>
        <w:tab/>
        <w:t>any notice under by</w:t>
      </w:r>
      <w:r>
        <w:noBreakHyphen/>
        <w:t>law 20(2), 21(2) or 27(1); or</w:t>
      </w:r>
    </w:p>
    <w:p>
      <w:pPr>
        <w:pStyle w:val="Indenti"/>
      </w:pPr>
      <w:r>
        <w:tab/>
        <w:t>(ii)</w:t>
      </w:r>
      <w:r>
        <w:tab/>
        <w:t>any other written notice served on the person for the purposes of this paragraph.</w:t>
      </w:r>
    </w:p>
    <w:p>
      <w:pPr>
        <w:pStyle w:val="Subsection"/>
      </w:pPr>
      <w:r>
        <w:tab/>
        <w:t>(3)</w:t>
      </w:r>
      <w:r>
        <w:tab/>
        <w:t>The scheme water supplier may, by notice in writing served on the person within 90 days after the report is received by the scheme water supplier, request such further information from the person relating to the efficacy of the plan as the scheme water supplier reasonably requires.</w:t>
      </w:r>
    </w:p>
    <w:p>
      <w:pPr>
        <w:pStyle w:val="Subsection"/>
      </w:pPr>
      <w:r>
        <w:tab/>
        <w:t>(4)</w:t>
      </w:r>
      <w:r>
        <w:tab/>
        <w:t>A person who is served with a notice under sub</w:t>
      </w:r>
      <w:r>
        <w:noBreakHyphen/>
        <w:t>bylaw (3) must provide the information in an approved form and submit it to the scheme water supplier within 30 days after the notice is served on the person.</w:t>
      </w:r>
    </w:p>
    <w:p>
      <w:pPr>
        <w:pStyle w:val="Penstart"/>
      </w:pPr>
      <w:r>
        <w:tab/>
        <w:t>Penalty: a fine of $2 000.</w:t>
      </w:r>
    </w:p>
    <w:p>
      <w:pPr>
        <w:pStyle w:val="Heading2"/>
      </w:pPr>
      <w:bookmarkStart w:id="339" w:name="_Toc257638602"/>
      <w:bookmarkStart w:id="340" w:name="_Toc257639323"/>
      <w:bookmarkStart w:id="341" w:name="_Toc257643329"/>
      <w:bookmarkStart w:id="342" w:name="_Toc273439199"/>
      <w:bookmarkStart w:id="343" w:name="_Toc278898261"/>
      <w:bookmarkStart w:id="344" w:name="_Toc278898366"/>
      <w:bookmarkStart w:id="345" w:name="_Toc287360971"/>
      <w:bookmarkStart w:id="346" w:name="_Toc287361030"/>
      <w:bookmarkStart w:id="347" w:name="_Toc287361089"/>
      <w:bookmarkStart w:id="348" w:name="_Toc309303124"/>
      <w:bookmarkStart w:id="349" w:name="_Toc309303183"/>
      <w:bookmarkStart w:id="350" w:name="_Toc309309738"/>
      <w:bookmarkStart w:id="351" w:name="_Toc333487413"/>
      <w:bookmarkStart w:id="352" w:name="_Toc333487515"/>
      <w:bookmarkStart w:id="353" w:name="_Toc333487796"/>
      <w:bookmarkStart w:id="354" w:name="_Toc346884807"/>
      <w:bookmarkStart w:id="355" w:name="_Toc346889661"/>
      <w:bookmarkStart w:id="356" w:name="_Toc350245245"/>
      <w:bookmarkStart w:id="357" w:name="_Toc352053042"/>
      <w:bookmarkStart w:id="358" w:name="_Toc352053103"/>
      <w:bookmarkStart w:id="359" w:name="_Toc352065261"/>
      <w:bookmarkStart w:id="360" w:name="_Toc352065602"/>
      <w:r>
        <w:rPr>
          <w:rStyle w:val="CharPartNo"/>
        </w:rPr>
        <w:t>Part 4</w:t>
      </w:r>
      <w:r>
        <w:rPr>
          <w:rStyle w:val="CharDivNo"/>
        </w:rPr>
        <w:t> </w:t>
      </w:r>
      <w:r>
        <w:t>—</w:t>
      </w:r>
      <w:r>
        <w:rPr>
          <w:rStyle w:val="CharDivText"/>
        </w:rPr>
        <w:t> </w:t>
      </w:r>
      <w:r>
        <w:rPr>
          <w:rStyle w:val="CharPartText"/>
        </w:rPr>
        <w:t>Repeal, saving and transitional</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Heading5"/>
      </w:pPr>
      <w:bookmarkStart w:id="361" w:name="_Toc257638603"/>
      <w:bookmarkStart w:id="362" w:name="_Toc352065603"/>
      <w:r>
        <w:rPr>
          <w:rStyle w:val="CharSectno"/>
        </w:rPr>
        <w:t>30</w:t>
      </w:r>
      <w:r>
        <w:t>.</w:t>
      </w:r>
      <w:r>
        <w:tab/>
        <w:t>Repeal</w:t>
      </w:r>
      <w:bookmarkEnd w:id="361"/>
      <w:bookmarkEnd w:id="362"/>
    </w:p>
    <w:p>
      <w:pPr>
        <w:pStyle w:val="Subsection"/>
      </w:pPr>
      <w:r>
        <w:tab/>
      </w:r>
      <w:r>
        <w:tab/>
        <w:t xml:space="preserve">The </w:t>
      </w:r>
      <w:r>
        <w:rPr>
          <w:i/>
        </w:rPr>
        <w:t>Water Agencies (Water Use) By</w:t>
      </w:r>
      <w:r>
        <w:rPr>
          <w:i/>
        </w:rPr>
        <w:noBreakHyphen/>
        <w:t>laws 2007</w:t>
      </w:r>
      <w:r>
        <w:t xml:space="preserve"> are repealed.</w:t>
      </w:r>
    </w:p>
    <w:p>
      <w:pPr>
        <w:pStyle w:val="Heading5"/>
      </w:pPr>
      <w:bookmarkStart w:id="363" w:name="_Toc257638604"/>
      <w:bookmarkStart w:id="364" w:name="_Toc352065604"/>
      <w:r>
        <w:rPr>
          <w:rStyle w:val="CharSectno"/>
        </w:rPr>
        <w:t>31</w:t>
      </w:r>
      <w:r>
        <w:t>.</w:t>
      </w:r>
      <w:r>
        <w:tab/>
      </w:r>
      <w:r>
        <w:rPr>
          <w:rStyle w:val="CharSDivText"/>
          <w:i/>
        </w:rPr>
        <w:t>Water Agencies (Water Use) By</w:t>
      </w:r>
      <w:r>
        <w:rPr>
          <w:rStyle w:val="CharSDivText"/>
          <w:i/>
        </w:rPr>
        <w:noBreakHyphen/>
        <w:t>laws 2007</w:t>
      </w:r>
      <w:bookmarkEnd w:id="363"/>
      <w:r>
        <w:rPr>
          <w:rStyle w:val="CharSDivText"/>
        </w:rPr>
        <w:t>, provisions for</w:t>
      </w:r>
      <w:bookmarkEnd w:id="364"/>
    </w:p>
    <w:p>
      <w:pPr>
        <w:pStyle w:val="Subsection"/>
      </w:pPr>
      <w:r>
        <w:tab/>
        <w:t>(1)</w:t>
      </w:r>
      <w:r>
        <w:tab/>
        <w:t>In this by</w:t>
      </w:r>
      <w:r>
        <w:noBreakHyphen/>
        <w:t>law —</w:t>
      </w:r>
    </w:p>
    <w:p>
      <w:pPr>
        <w:pStyle w:val="Defstart"/>
      </w:pPr>
      <w:r>
        <w:tab/>
      </w:r>
      <w:r>
        <w:rPr>
          <w:rStyle w:val="CharDefText"/>
        </w:rPr>
        <w:t>commencement day</w:t>
      </w:r>
      <w:r>
        <w:t xml:space="preserve"> means the day on which these by</w:t>
      </w:r>
      <w:r>
        <w:noBreakHyphen/>
        <w:t>laws, other than by</w:t>
      </w:r>
      <w:r>
        <w:noBreakHyphen/>
        <w:t>laws 1 and 2, come into operation;</w:t>
      </w:r>
    </w:p>
    <w:p>
      <w:pPr>
        <w:pStyle w:val="Defstart"/>
      </w:pPr>
      <w:r>
        <w:tab/>
      </w:r>
      <w:r>
        <w:rPr>
          <w:rStyle w:val="CharDefText"/>
        </w:rPr>
        <w:t>former plan</w:t>
      </w:r>
      <w:r>
        <w:t xml:space="preserve"> means a water efficiency management plan submitted and approved under the </w:t>
      </w:r>
      <w:r>
        <w:rPr>
          <w:i/>
          <w:iCs/>
        </w:rPr>
        <w:t>Water Agencies (Water Use) By</w:t>
      </w:r>
      <w:r>
        <w:rPr>
          <w:i/>
          <w:iCs/>
        </w:rPr>
        <w:noBreakHyphen/>
        <w:t xml:space="preserve">laws 2007 </w:t>
      </w:r>
      <w:r>
        <w:t>Part 3;</w:t>
      </w:r>
    </w:p>
    <w:p>
      <w:pPr>
        <w:pStyle w:val="Defstart"/>
      </w:pPr>
      <w:r>
        <w:tab/>
      </w:r>
      <w:r>
        <w:rPr>
          <w:rStyle w:val="CharDefText"/>
        </w:rPr>
        <w:t>restriction notice</w:t>
      </w:r>
      <w:r>
        <w:t xml:space="preserve"> means a notice under by</w:t>
      </w:r>
      <w:r>
        <w:noBreakHyphen/>
        <w:t>law 9;</w:t>
      </w:r>
    </w:p>
    <w:p>
      <w:pPr>
        <w:pStyle w:val="Defstart"/>
      </w:pPr>
      <w:r>
        <w:tab/>
      </w:r>
      <w:r>
        <w:rPr>
          <w:rStyle w:val="CharDefText"/>
        </w:rPr>
        <w:t>specified day</w:t>
      </w:r>
      <w:r>
        <w:t>, in a restriction notice, means the day from which a stage of restrictions applies under the notice.</w:t>
      </w:r>
    </w:p>
    <w:p>
      <w:pPr>
        <w:pStyle w:val="Subsection"/>
      </w:pPr>
      <w:r>
        <w:tab/>
        <w:t>(2)</w:t>
      </w:r>
      <w:r>
        <w:tab/>
        <w:t>Despite by</w:t>
      </w:r>
      <w:r>
        <w:noBreakHyphen/>
        <w:t xml:space="preserve">law 9(2), the specified day in the first restriction notice made in relation to an Area may be a day that is the later of — </w:t>
      </w:r>
    </w:p>
    <w:p>
      <w:pPr>
        <w:pStyle w:val="Indenta"/>
      </w:pPr>
      <w:r>
        <w:tab/>
        <w:t>(a)</w:t>
      </w:r>
      <w:r>
        <w:tab/>
        <w:t>1 April 2010; or</w:t>
      </w:r>
    </w:p>
    <w:p>
      <w:pPr>
        <w:pStyle w:val="Indenta"/>
      </w:pPr>
      <w:r>
        <w:tab/>
        <w:t>(b)</w:t>
      </w:r>
      <w:r>
        <w:tab/>
        <w:t xml:space="preserve">the day of the publication of the notice in the </w:t>
      </w:r>
      <w:r>
        <w:rPr>
          <w:i/>
          <w:iCs/>
        </w:rPr>
        <w:t>Gazette</w:t>
      </w:r>
      <w:r>
        <w:t>.</w:t>
      </w:r>
    </w:p>
    <w:p>
      <w:pPr>
        <w:pStyle w:val="Subsection"/>
      </w:pPr>
      <w:r>
        <w:tab/>
        <w:t>(3)</w:t>
      </w:r>
      <w:r>
        <w:tab/>
        <w:t>A former plan is, on and after the commencement day, to be taken to be a scheme water efficiency management plan submitted and approved under Part 3.</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365" w:name="_Toc257638605"/>
      <w:bookmarkStart w:id="366" w:name="_Toc257639326"/>
      <w:bookmarkStart w:id="367" w:name="_Toc257643332"/>
      <w:bookmarkStart w:id="368" w:name="_Toc273439202"/>
      <w:bookmarkStart w:id="369" w:name="_Toc278898264"/>
      <w:bookmarkStart w:id="370" w:name="_Toc278898369"/>
      <w:bookmarkStart w:id="371" w:name="_Toc287360974"/>
      <w:bookmarkStart w:id="372" w:name="_Toc287361033"/>
      <w:bookmarkStart w:id="373" w:name="_Toc287361092"/>
      <w:bookmarkStart w:id="374" w:name="_Toc309303127"/>
      <w:bookmarkStart w:id="375" w:name="_Toc309303186"/>
      <w:bookmarkStart w:id="376" w:name="_Toc309309741"/>
      <w:bookmarkStart w:id="377" w:name="_Toc333487416"/>
      <w:bookmarkStart w:id="378" w:name="_Toc333487518"/>
      <w:bookmarkStart w:id="379" w:name="_Toc333487799"/>
      <w:bookmarkStart w:id="380" w:name="_Toc346884810"/>
      <w:bookmarkStart w:id="381" w:name="_Toc346889664"/>
      <w:bookmarkStart w:id="382" w:name="_Toc350245248"/>
      <w:bookmarkStart w:id="383" w:name="_Toc352053045"/>
      <w:bookmarkStart w:id="384" w:name="_Toc352053106"/>
      <w:bookmarkStart w:id="385" w:name="_Toc352065264"/>
      <w:bookmarkStart w:id="386" w:name="_Toc352065605"/>
      <w:bookmarkStart w:id="387" w:name="_Toc113695922"/>
      <w:bookmarkStart w:id="388" w:name="_Toc256424129"/>
      <w:bookmarkStart w:id="389" w:name="_Toc256424729"/>
      <w:r>
        <w:rPr>
          <w:rStyle w:val="CharSchNo"/>
        </w:rPr>
        <w:t>Schedule 1</w:t>
      </w:r>
      <w:r>
        <w:rPr>
          <w:rStyle w:val="CharSDivNo"/>
        </w:rPr>
        <w:t> </w:t>
      </w:r>
      <w:r>
        <w:t>—</w:t>
      </w:r>
      <w:r>
        <w:rPr>
          <w:rStyle w:val="CharSDivText"/>
        </w:rPr>
        <w:t> </w:t>
      </w:r>
      <w:r>
        <w:rPr>
          <w:rStyle w:val="CharSchText"/>
        </w:rPr>
        <w:t>Maps showing Areas 1, 2, 3 and 4</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yShoulderClause"/>
      </w:pPr>
      <w:r>
        <w:t>[bl. 3]</w:t>
      </w:r>
    </w:p>
    <w:p>
      <w:pPr>
        <w:pStyle w:val="Graphics"/>
        <w:jc w:val="center"/>
      </w:pPr>
      <w:r>
        <w:drawing>
          <wp:inline distT="0" distB="0" distL="0" distR="0">
            <wp:extent cx="3962400" cy="5721350"/>
            <wp:effectExtent l="0" t="0" r="0" b="0"/>
            <wp:docPr id="3" name="Picture 3" descr="WCSt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CStage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62400" cy="5721350"/>
                    </a:xfrm>
                    <a:prstGeom prst="rect">
                      <a:avLst/>
                    </a:prstGeom>
                    <a:noFill/>
                    <a:ln>
                      <a:noFill/>
                    </a:ln>
                  </pic:spPr>
                </pic:pic>
              </a:graphicData>
            </a:graphic>
          </wp:inline>
        </w:drawing>
      </w:r>
    </w:p>
    <w:p>
      <w:pPr>
        <w:pStyle w:val="Graphics"/>
        <w:jc w:val="center"/>
      </w:pPr>
      <w:r>
        <w:drawing>
          <wp:inline distT="0" distB="0" distL="0" distR="0">
            <wp:extent cx="3943350" cy="5670550"/>
            <wp:effectExtent l="0" t="0" r="0" b="6350"/>
            <wp:docPr id="4" name="Picture 4" descr="WCStage6_SW3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CStage6_SW3_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43350" cy="5670550"/>
                    </a:xfrm>
                    <a:prstGeom prst="rect">
                      <a:avLst/>
                    </a:prstGeom>
                    <a:noFill/>
                    <a:ln>
                      <a:noFill/>
                    </a:ln>
                  </pic:spPr>
                </pic:pic>
              </a:graphicData>
            </a:graphic>
          </wp:inline>
        </w:drawing>
      </w:r>
    </w:p>
    <w:p>
      <w:pPr>
        <w:pStyle w:val="yScheduleHeading"/>
        <w:sectPr>
          <w:headerReference w:type="even" r:id="rId29"/>
          <w:headerReference w:type="default" r:id="rId30"/>
          <w:endnotePr>
            <w:numFmt w:val="decimal"/>
          </w:endnotePr>
          <w:pgSz w:w="11907" w:h="16840" w:code="9"/>
          <w:pgMar w:top="2381" w:right="2410" w:bottom="3544" w:left="2410" w:header="720" w:footer="3380" w:gutter="0"/>
          <w:cols w:space="720"/>
          <w:docGrid w:linePitch="326"/>
        </w:sectPr>
      </w:pPr>
      <w:bookmarkStart w:id="390" w:name="_Toc253407979"/>
      <w:bookmarkStart w:id="391" w:name="_Toc253409388"/>
      <w:bookmarkStart w:id="392" w:name="_Toc253409455"/>
      <w:bookmarkStart w:id="393" w:name="_Toc253409846"/>
      <w:bookmarkStart w:id="394" w:name="_Toc253409932"/>
      <w:bookmarkStart w:id="395" w:name="_Toc253411522"/>
      <w:bookmarkStart w:id="396" w:name="_Toc253412817"/>
      <w:bookmarkStart w:id="397" w:name="_Toc253412871"/>
      <w:bookmarkStart w:id="398" w:name="_Toc253472337"/>
      <w:bookmarkStart w:id="399" w:name="_Toc253482360"/>
      <w:bookmarkStart w:id="400" w:name="_Toc253729628"/>
      <w:bookmarkStart w:id="401" w:name="_Toc253729681"/>
      <w:bookmarkStart w:id="402" w:name="_Toc253730850"/>
      <w:bookmarkStart w:id="403" w:name="_Toc253730903"/>
      <w:bookmarkStart w:id="404" w:name="_Toc253730956"/>
    </w:p>
    <w:p>
      <w:pPr>
        <w:pStyle w:val="yScheduleHeading"/>
      </w:pPr>
      <w:bookmarkStart w:id="405" w:name="_Toc257638606"/>
      <w:bookmarkStart w:id="406" w:name="_Toc257639327"/>
      <w:bookmarkStart w:id="407" w:name="_Toc257643333"/>
      <w:bookmarkStart w:id="408" w:name="_Toc273439203"/>
      <w:bookmarkStart w:id="409" w:name="_Toc278898265"/>
      <w:bookmarkStart w:id="410" w:name="_Toc278898370"/>
      <w:bookmarkStart w:id="411" w:name="_Toc287360975"/>
      <w:bookmarkStart w:id="412" w:name="_Toc287361034"/>
      <w:bookmarkStart w:id="413" w:name="_Toc287361093"/>
      <w:bookmarkStart w:id="414" w:name="_Toc309303128"/>
      <w:bookmarkStart w:id="415" w:name="_Toc309303187"/>
      <w:bookmarkStart w:id="416" w:name="_Toc309309742"/>
      <w:bookmarkStart w:id="417" w:name="_Toc333487417"/>
      <w:bookmarkStart w:id="418" w:name="_Toc333487519"/>
      <w:bookmarkStart w:id="419" w:name="_Toc333487800"/>
      <w:bookmarkStart w:id="420" w:name="_Toc346884811"/>
      <w:bookmarkStart w:id="421" w:name="_Toc346889665"/>
      <w:bookmarkStart w:id="422" w:name="_Toc350245249"/>
      <w:bookmarkStart w:id="423" w:name="_Toc352053046"/>
      <w:bookmarkStart w:id="424" w:name="_Toc352053107"/>
      <w:bookmarkStart w:id="425" w:name="_Toc352065265"/>
      <w:bookmarkStart w:id="426" w:name="_Toc352065606"/>
      <w:r>
        <w:rPr>
          <w:rStyle w:val="CharSchNo"/>
        </w:rPr>
        <w:t>Schedule 2</w:t>
      </w:r>
      <w:r>
        <w:rPr>
          <w:rStyle w:val="CharSDivNo"/>
        </w:rPr>
        <w:t> </w:t>
      </w:r>
      <w:r>
        <w:t>—</w:t>
      </w:r>
      <w:r>
        <w:rPr>
          <w:rStyle w:val="CharSDivText"/>
        </w:rPr>
        <w:t> </w:t>
      </w:r>
      <w:r>
        <w:rPr>
          <w:rStyle w:val="CharSchText"/>
        </w:rPr>
        <w:t>Stages of restrictions</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pPr>
        <w:pStyle w:val="yShoulderClause"/>
      </w:pPr>
      <w:r>
        <w:t>[bl. 3]</w:t>
      </w:r>
    </w:p>
    <w:p>
      <w:pPr>
        <w:pStyle w:val="yHeading5"/>
      </w:pPr>
      <w:bookmarkStart w:id="427" w:name="_Toc257638607"/>
      <w:bookmarkStart w:id="428" w:name="_Toc352065607"/>
      <w:r>
        <w:rPr>
          <w:rStyle w:val="CharSClsNo"/>
        </w:rPr>
        <w:t>1</w:t>
      </w:r>
      <w:r>
        <w:t>.</w:t>
      </w:r>
      <w:r>
        <w:tab/>
        <w:t>Stage 1</w:t>
      </w:r>
      <w:bookmarkEnd w:id="427"/>
      <w:bookmarkEnd w:id="428"/>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429" w:name="_Toc257638608"/>
      <w:bookmarkStart w:id="430" w:name="_Toc352065608"/>
      <w:r>
        <w:rPr>
          <w:rStyle w:val="CharSClsNo"/>
        </w:rPr>
        <w:t>2</w:t>
      </w:r>
      <w:r>
        <w:t>.</w:t>
      </w:r>
      <w:r>
        <w:tab/>
        <w:t>Stage 2</w:t>
      </w:r>
      <w:bookmarkEnd w:id="429"/>
      <w:bookmarkEnd w:id="430"/>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keepNext/>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431" w:name="_Toc257638609"/>
      <w:bookmarkStart w:id="432" w:name="_Toc352065609"/>
      <w:r>
        <w:rPr>
          <w:rStyle w:val="CharSClsNo"/>
        </w:rPr>
        <w:t>3</w:t>
      </w:r>
      <w:r>
        <w:t>.</w:t>
      </w:r>
      <w:r>
        <w:tab/>
        <w:t>Stage 3</w:t>
      </w:r>
      <w:bookmarkEnd w:id="431"/>
      <w:bookmarkEnd w:id="432"/>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433" w:name="_Toc257638610"/>
      <w:bookmarkStart w:id="434" w:name="_Toc352065610"/>
      <w:r>
        <w:rPr>
          <w:rStyle w:val="CharSClsNo"/>
        </w:rPr>
        <w:t>4</w:t>
      </w:r>
      <w:r>
        <w:t>.</w:t>
      </w:r>
      <w:r>
        <w:tab/>
        <w:t>Stage 4</w:t>
      </w:r>
      <w:bookmarkEnd w:id="433"/>
      <w:bookmarkEnd w:id="434"/>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435" w:name="_Toc257638611"/>
      <w:bookmarkStart w:id="436" w:name="_Toc352065611"/>
      <w:r>
        <w:rPr>
          <w:rStyle w:val="CharSClsNo"/>
        </w:rPr>
        <w:t>5</w:t>
      </w:r>
      <w:r>
        <w:t>.</w:t>
      </w:r>
      <w:r>
        <w:tab/>
        <w:t>Stage 5</w:t>
      </w:r>
      <w:bookmarkEnd w:id="435"/>
      <w:bookmarkEnd w:id="436"/>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437" w:name="_Toc257638612"/>
      <w:bookmarkStart w:id="438" w:name="_Toc352065612"/>
      <w:r>
        <w:rPr>
          <w:rStyle w:val="CharSClsNo"/>
        </w:rPr>
        <w:t>6</w:t>
      </w:r>
      <w:r>
        <w:t>.</w:t>
      </w:r>
      <w:r>
        <w:tab/>
        <w:t>Stage 6</w:t>
      </w:r>
      <w:bookmarkEnd w:id="437"/>
      <w:bookmarkEnd w:id="438"/>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439" w:name="_Toc257638613"/>
      <w:bookmarkStart w:id="440" w:name="_Toc352065613"/>
      <w:r>
        <w:rPr>
          <w:rStyle w:val="CharSClsNo"/>
        </w:rPr>
        <w:t>7</w:t>
      </w:r>
      <w:r>
        <w:t>.</w:t>
      </w:r>
      <w:r>
        <w:tab/>
        <w:t>Stage 7</w:t>
      </w:r>
      <w:bookmarkEnd w:id="439"/>
      <w:bookmarkEnd w:id="440"/>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outlineLvl w:val="0"/>
        <w:sectPr>
          <w:headerReference w:type="even" r:id="rId31"/>
          <w:headerReference w:type="default" r:id="rId32"/>
          <w:endnotePr>
            <w:numFmt w:val="decimal"/>
          </w:endnotePr>
          <w:pgSz w:w="11907" w:h="16840" w:code="9"/>
          <w:pgMar w:top="2381" w:right="2410" w:bottom="3544" w:left="2410" w:header="720" w:footer="3380" w:gutter="0"/>
          <w:cols w:space="720"/>
          <w:docGrid w:linePitch="326"/>
        </w:sectPr>
      </w:pPr>
      <w:bookmarkStart w:id="441" w:name="_Toc253407987"/>
      <w:bookmarkStart w:id="442" w:name="_Toc253409396"/>
      <w:bookmarkStart w:id="443" w:name="_Toc253409463"/>
      <w:bookmarkStart w:id="444" w:name="_Toc253409854"/>
      <w:bookmarkStart w:id="445" w:name="_Toc253409940"/>
      <w:bookmarkStart w:id="446" w:name="_Toc253411530"/>
      <w:bookmarkStart w:id="447" w:name="_Toc253412825"/>
      <w:bookmarkStart w:id="448" w:name="_Toc253412879"/>
      <w:bookmarkStart w:id="449" w:name="_Toc253472345"/>
      <w:bookmarkStart w:id="450" w:name="_Toc253482368"/>
      <w:bookmarkStart w:id="451" w:name="_Toc253729636"/>
      <w:bookmarkStart w:id="452" w:name="_Toc253729689"/>
      <w:bookmarkStart w:id="453" w:name="_Toc253730858"/>
      <w:bookmarkStart w:id="454" w:name="_Toc253730911"/>
      <w:bookmarkStart w:id="455" w:name="_Toc253730964"/>
      <w:bookmarkStart w:id="456" w:name="_Toc254182210"/>
      <w:bookmarkStart w:id="457" w:name="_Toc254182515"/>
    </w:p>
    <w:p>
      <w:pPr>
        <w:pStyle w:val="yScheduleHeading"/>
      </w:pPr>
      <w:bookmarkStart w:id="458" w:name="_Toc257638614"/>
      <w:bookmarkStart w:id="459" w:name="_Toc257639335"/>
      <w:bookmarkStart w:id="460" w:name="_Toc257643341"/>
      <w:bookmarkStart w:id="461" w:name="_Toc273439211"/>
      <w:bookmarkStart w:id="462" w:name="_Toc278898273"/>
      <w:bookmarkStart w:id="463" w:name="_Toc278898378"/>
      <w:bookmarkStart w:id="464" w:name="_Toc287360983"/>
      <w:bookmarkStart w:id="465" w:name="_Toc287361042"/>
      <w:bookmarkStart w:id="466" w:name="_Toc287361101"/>
      <w:bookmarkStart w:id="467" w:name="_Toc309303136"/>
      <w:bookmarkStart w:id="468" w:name="_Toc309303195"/>
      <w:bookmarkStart w:id="469" w:name="_Toc309309750"/>
      <w:bookmarkStart w:id="470" w:name="_Toc333487425"/>
      <w:bookmarkStart w:id="471" w:name="_Toc333487527"/>
      <w:bookmarkStart w:id="472" w:name="_Toc333487808"/>
      <w:bookmarkStart w:id="473" w:name="_Toc346884819"/>
      <w:bookmarkStart w:id="474" w:name="_Toc346889673"/>
      <w:bookmarkStart w:id="475" w:name="_Toc350245257"/>
      <w:bookmarkStart w:id="476" w:name="_Toc352053054"/>
      <w:bookmarkStart w:id="477" w:name="_Toc352053115"/>
      <w:bookmarkStart w:id="478" w:name="_Toc352065273"/>
      <w:bookmarkStart w:id="479" w:name="_Toc352065614"/>
      <w:r>
        <w:rPr>
          <w:rStyle w:val="CharSchNo"/>
        </w:rPr>
        <w:t>Schedule 3</w:t>
      </w:r>
      <w:r>
        <w:t> — </w:t>
      </w:r>
      <w:r>
        <w:rPr>
          <w:rStyle w:val="CharSchText"/>
        </w:rPr>
        <w:t>Specified days for watering by reticulation</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pPr>
        <w:pStyle w:val="yShoulderClause"/>
      </w:pPr>
      <w:r>
        <w:t>[bl. 3, 6, Sch. 2 cl. 3, 4, 5 and 6]</w:t>
      </w:r>
    </w:p>
    <w:p>
      <w:pPr>
        <w:pStyle w:val="yHeading3"/>
        <w:spacing w:after="120"/>
      </w:pPr>
      <w:bookmarkStart w:id="480" w:name="_Toc257638615"/>
      <w:bookmarkStart w:id="481" w:name="_Toc257639336"/>
      <w:bookmarkStart w:id="482" w:name="_Toc257643342"/>
      <w:bookmarkStart w:id="483" w:name="_Toc273439212"/>
      <w:bookmarkStart w:id="484" w:name="_Toc278898274"/>
      <w:bookmarkStart w:id="485" w:name="_Toc278898379"/>
      <w:bookmarkStart w:id="486" w:name="_Toc287360984"/>
      <w:bookmarkStart w:id="487" w:name="_Toc287361043"/>
      <w:bookmarkStart w:id="488" w:name="_Toc287361102"/>
      <w:bookmarkStart w:id="489" w:name="_Toc309303137"/>
      <w:bookmarkStart w:id="490" w:name="_Toc309303196"/>
      <w:bookmarkStart w:id="491" w:name="_Toc309309751"/>
      <w:bookmarkStart w:id="492" w:name="_Toc333487426"/>
      <w:bookmarkStart w:id="493" w:name="_Toc333487528"/>
      <w:bookmarkStart w:id="494" w:name="_Toc333487809"/>
      <w:bookmarkStart w:id="495" w:name="_Toc346884820"/>
      <w:bookmarkStart w:id="496" w:name="_Toc346889674"/>
      <w:bookmarkStart w:id="497" w:name="_Toc350245258"/>
      <w:bookmarkStart w:id="498" w:name="_Toc352053055"/>
      <w:bookmarkStart w:id="499" w:name="_Toc352053116"/>
      <w:bookmarkStart w:id="500" w:name="_Toc352065274"/>
      <w:bookmarkStart w:id="501" w:name="_Toc352065615"/>
      <w:r>
        <w:rPr>
          <w:rStyle w:val="CharSDivNo"/>
        </w:rPr>
        <w:t>Division 1</w:t>
      </w:r>
      <w:r>
        <w:t> — </w:t>
      </w:r>
      <w:r>
        <w:rPr>
          <w:rStyle w:val="CharSDivText"/>
        </w:rPr>
        <w:t>Specified days for Schedule 2 clauses 3(1)(a), 4(2)(a), 5(2)(a) and 6(2)(a)</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rPr>
                <w:b/>
                <w:bCs/>
              </w:rPr>
            </w:pPr>
            <w:r>
              <w:rPr>
                <w:b/>
                <w:bCs/>
              </w:rPr>
              <w:t>Days for watering by reticulation</w:t>
            </w:r>
          </w:p>
        </w:tc>
      </w:tr>
      <w:tr>
        <w:tc>
          <w:tcPr>
            <w:tcW w:w="3402" w:type="dxa"/>
            <w:tcBorders>
              <w:left w:val="nil"/>
              <w:bottom w:val="nil"/>
            </w:tcBorders>
          </w:tcPr>
          <w:p>
            <w:pPr>
              <w:pStyle w:val="yTableNAm"/>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pPr>
            <w:r>
              <w:t>0</w:t>
            </w:r>
          </w:p>
        </w:tc>
        <w:tc>
          <w:tcPr>
            <w:tcW w:w="3402" w:type="dxa"/>
            <w:tcBorders>
              <w:top w:val="nil"/>
              <w:right w:val="nil"/>
            </w:tcBorders>
          </w:tcPr>
          <w:p>
            <w:pPr>
              <w:pStyle w:val="yTableNAm"/>
            </w:pPr>
            <w:r>
              <w:t>Monday, Wednesday and Friday</w:t>
            </w:r>
          </w:p>
        </w:tc>
      </w:tr>
    </w:tbl>
    <w:p>
      <w:pPr>
        <w:pStyle w:val="yHeading3"/>
        <w:spacing w:after="120"/>
      </w:pPr>
      <w:bookmarkStart w:id="502" w:name="_Toc257638616"/>
      <w:bookmarkStart w:id="503" w:name="_Toc257639337"/>
      <w:bookmarkStart w:id="504" w:name="_Toc257643343"/>
      <w:bookmarkStart w:id="505" w:name="_Toc273439213"/>
      <w:bookmarkStart w:id="506" w:name="_Toc278898275"/>
      <w:bookmarkStart w:id="507" w:name="_Toc278898380"/>
      <w:bookmarkStart w:id="508" w:name="_Toc287360985"/>
      <w:bookmarkStart w:id="509" w:name="_Toc287361044"/>
      <w:bookmarkStart w:id="510" w:name="_Toc287361103"/>
      <w:bookmarkStart w:id="511" w:name="_Toc309303138"/>
      <w:bookmarkStart w:id="512" w:name="_Toc309303197"/>
      <w:bookmarkStart w:id="513" w:name="_Toc309309752"/>
      <w:bookmarkStart w:id="514" w:name="_Toc333487427"/>
      <w:bookmarkStart w:id="515" w:name="_Toc333487529"/>
      <w:bookmarkStart w:id="516" w:name="_Toc333487810"/>
      <w:bookmarkStart w:id="517" w:name="_Toc346884821"/>
      <w:bookmarkStart w:id="518" w:name="_Toc346889675"/>
      <w:bookmarkStart w:id="519" w:name="_Toc350245259"/>
      <w:bookmarkStart w:id="520" w:name="_Toc352053056"/>
      <w:bookmarkStart w:id="521" w:name="_Toc352053117"/>
      <w:bookmarkStart w:id="522" w:name="_Toc352065275"/>
      <w:bookmarkStart w:id="523" w:name="_Toc352065616"/>
      <w:r>
        <w:rPr>
          <w:rStyle w:val="CharSDivNo"/>
        </w:rPr>
        <w:t>Division 2</w:t>
      </w:r>
      <w:r>
        <w:t> — </w:t>
      </w:r>
      <w:r>
        <w:rPr>
          <w:rStyle w:val="CharSDivText"/>
        </w:rPr>
        <w:t>Specified days for Schedule 2 clause 4(1)(a)</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rPr>
                <w:b/>
                <w:bCs/>
              </w:rPr>
            </w:pPr>
            <w:r>
              <w:rPr>
                <w:b/>
                <w:bCs/>
              </w:rPr>
              <w:t>Days for watering by reticulation</w:t>
            </w:r>
          </w:p>
        </w:tc>
      </w:tr>
      <w:tr>
        <w:tc>
          <w:tcPr>
            <w:tcW w:w="3402" w:type="dxa"/>
            <w:tcBorders>
              <w:top w:val="single" w:sz="4" w:space="0" w:color="auto"/>
            </w:tcBorders>
          </w:tcPr>
          <w:p>
            <w:pPr>
              <w:pStyle w:val="yTableNAm"/>
            </w:pPr>
            <w:r>
              <w:t>1</w:t>
            </w:r>
          </w:p>
        </w:tc>
        <w:tc>
          <w:tcPr>
            <w:tcW w:w="3402" w:type="dxa"/>
            <w:tcBorders>
              <w:top w:val="single" w:sz="4" w:space="0" w:color="auto"/>
            </w:tcBorders>
          </w:tcPr>
          <w:p>
            <w:pPr>
              <w:pStyle w:val="yTableNAm"/>
            </w:pPr>
            <w:r>
              <w:t>Wednesday and Saturday</w:t>
            </w:r>
          </w:p>
        </w:tc>
      </w:tr>
      <w:tr>
        <w:tc>
          <w:tcPr>
            <w:tcW w:w="3402" w:type="dxa"/>
          </w:tcPr>
          <w:p>
            <w:pPr>
              <w:pStyle w:val="yTableNAm"/>
            </w:pPr>
            <w:r>
              <w:t>2</w:t>
            </w:r>
          </w:p>
        </w:tc>
        <w:tc>
          <w:tcPr>
            <w:tcW w:w="3402" w:type="dxa"/>
          </w:tcPr>
          <w:p>
            <w:pPr>
              <w:pStyle w:val="yTableNAm"/>
            </w:pPr>
            <w:r>
              <w:t>Sunday and Thursday</w:t>
            </w:r>
          </w:p>
        </w:tc>
      </w:tr>
      <w:tr>
        <w:tc>
          <w:tcPr>
            <w:tcW w:w="3402" w:type="dxa"/>
          </w:tcPr>
          <w:p>
            <w:pPr>
              <w:pStyle w:val="yTableNAm"/>
            </w:pPr>
            <w:r>
              <w:t>3</w:t>
            </w:r>
          </w:p>
        </w:tc>
        <w:tc>
          <w:tcPr>
            <w:tcW w:w="3402" w:type="dxa"/>
          </w:tcPr>
          <w:p>
            <w:pPr>
              <w:pStyle w:val="yTableNAm"/>
            </w:pPr>
            <w:r>
              <w:t>Monday and Friday</w:t>
            </w:r>
          </w:p>
        </w:tc>
      </w:tr>
      <w:tr>
        <w:tc>
          <w:tcPr>
            <w:tcW w:w="3402" w:type="dxa"/>
          </w:tcPr>
          <w:p>
            <w:pPr>
              <w:pStyle w:val="yTableNAm"/>
            </w:pPr>
            <w:r>
              <w:t>4</w:t>
            </w:r>
          </w:p>
        </w:tc>
        <w:tc>
          <w:tcPr>
            <w:tcW w:w="3402" w:type="dxa"/>
          </w:tcPr>
          <w:p>
            <w:pPr>
              <w:pStyle w:val="yTableNAm"/>
            </w:pPr>
            <w:r>
              <w:t>Tuesday and Saturday</w:t>
            </w:r>
          </w:p>
        </w:tc>
      </w:tr>
      <w:tr>
        <w:tc>
          <w:tcPr>
            <w:tcW w:w="3402" w:type="dxa"/>
          </w:tcPr>
          <w:p>
            <w:pPr>
              <w:pStyle w:val="yTableNAm"/>
            </w:pPr>
            <w:r>
              <w:t>5</w:t>
            </w:r>
          </w:p>
        </w:tc>
        <w:tc>
          <w:tcPr>
            <w:tcW w:w="3402" w:type="dxa"/>
          </w:tcPr>
          <w:p>
            <w:pPr>
              <w:pStyle w:val="yTableNAm"/>
            </w:pPr>
            <w:r>
              <w:t>Sunday and Wednesday</w:t>
            </w:r>
          </w:p>
        </w:tc>
      </w:tr>
      <w:tr>
        <w:tc>
          <w:tcPr>
            <w:tcW w:w="3402" w:type="dxa"/>
          </w:tcPr>
          <w:p>
            <w:pPr>
              <w:pStyle w:val="yTableNAm"/>
            </w:pPr>
            <w:r>
              <w:t>6</w:t>
            </w:r>
          </w:p>
        </w:tc>
        <w:tc>
          <w:tcPr>
            <w:tcW w:w="3402" w:type="dxa"/>
          </w:tcPr>
          <w:p>
            <w:pPr>
              <w:pStyle w:val="yTableNAm"/>
            </w:pPr>
            <w:r>
              <w:t>Monday and Thursday</w:t>
            </w:r>
          </w:p>
        </w:tc>
      </w:tr>
      <w:tr>
        <w:tc>
          <w:tcPr>
            <w:tcW w:w="3402" w:type="dxa"/>
          </w:tcPr>
          <w:p>
            <w:pPr>
              <w:pStyle w:val="yTableNAm"/>
            </w:pPr>
            <w:r>
              <w:t>7</w:t>
            </w:r>
          </w:p>
        </w:tc>
        <w:tc>
          <w:tcPr>
            <w:tcW w:w="3402" w:type="dxa"/>
          </w:tcPr>
          <w:p>
            <w:pPr>
              <w:pStyle w:val="yTableNAm"/>
            </w:pPr>
            <w:r>
              <w:t>Tuesday and Friday</w:t>
            </w:r>
          </w:p>
        </w:tc>
      </w:tr>
      <w:tr>
        <w:tc>
          <w:tcPr>
            <w:tcW w:w="3402" w:type="dxa"/>
          </w:tcPr>
          <w:p>
            <w:pPr>
              <w:pStyle w:val="yTableNAm"/>
            </w:pPr>
            <w:r>
              <w:t>8</w:t>
            </w:r>
          </w:p>
        </w:tc>
        <w:tc>
          <w:tcPr>
            <w:tcW w:w="3402" w:type="dxa"/>
          </w:tcPr>
          <w:p>
            <w:pPr>
              <w:pStyle w:val="yTableNAm"/>
            </w:pPr>
            <w:r>
              <w:t>Wednesday and Saturday</w:t>
            </w:r>
          </w:p>
        </w:tc>
      </w:tr>
      <w:tr>
        <w:tc>
          <w:tcPr>
            <w:tcW w:w="3402" w:type="dxa"/>
          </w:tcPr>
          <w:p>
            <w:pPr>
              <w:pStyle w:val="yTableNAm"/>
            </w:pPr>
            <w:r>
              <w:t>9</w:t>
            </w:r>
          </w:p>
        </w:tc>
        <w:tc>
          <w:tcPr>
            <w:tcW w:w="3402" w:type="dxa"/>
          </w:tcPr>
          <w:p>
            <w:pPr>
              <w:pStyle w:val="yTableNAm"/>
            </w:pPr>
            <w:r>
              <w:t>Sunday and Thursday</w:t>
            </w:r>
          </w:p>
        </w:tc>
      </w:tr>
      <w:tr>
        <w:tc>
          <w:tcPr>
            <w:tcW w:w="3402" w:type="dxa"/>
          </w:tcPr>
          <w:p>
            <w:pPr>
              <w:pStyle w:val="yTableNAm"/>
            </w:pPr>
            <w:r>
              <w:t>0</w:t>
            </w:r>
          </w:p>
        </w:tc>
        <w:tc>
          <w:tcPr>
            <w:tcW w:w="3402" w:type="dxa"/>
          </w:tcPr>
          <w:p>
            <w:pPr>
              <w:pStyle w:val="yTableNAm"/>
            </w:pPr>
            <w:r>
              <w:t>Monday and Friday</w:t>
            </w:r>
          </w:p>
        </w:tc>
      </w:tr>
    </w:tbl>
    <w:p>
      <w:pPr>
        <w:pStyle w:val="yHeading3"/>
        <w:spacing w:after="120"/>
      </w:pPr>
      <w:bookmarkStart w:id="524" w:name="_Toc257638617"/>
      <w:bookmarkStart w:id="525" w:name="_Toc257639338"/>
      <w:bookmarkStart w:id="526" w:name="_Toc257643344"/>
      <w:bookmarkStart w:id="527" w:name="_Toc273439214"/>
      <w:bookmarkStart w:id="528" w:name="_Toc278898276"/>
      <w:bookmarkStart w:id="529" w:name="_Toc278898381"/>
      <w:bookmarkStart w:id="530" w:name="_Toc287360986"/>
      <w:bookmarkStart w:id="531" w:name="_Toc287361045"/>
      <w:bookmarkStart w:id="532" w:name="_Toc287361104"/>
      <w:bookmarkStart w:id="533" w:name="_Toc309303139"/>
      <w:bookmarkStart w:id="534" w:name="_Toc309303198"/>
      <w:bookmarkStart w:id="535" w:name="_Toc309309753"/>
      <w:bookmarkStart w:id="536" w:name="_Toc333487428"/>
      <w:bookmarkStart w:id="537" w:name="_Toc333487530"/>
      <w:bookmarkStart w:id="538" w:name="_Toc333487811"/>
      <w:bookmarkStart w:id="539" w:name="_Toc346884822"/>
      <w:bookmarkStart w:id="540" w:name="_Toc346889676"/>
      <w:bookmarkStart w:id="541" w:name="_Toc350245260"/>
      <w:bookmarkStart w:id="542" w:name="_Toc352053057"/>
      <w:bookmarkStart w:id="543" w:name="_Toc352053118"/>
      <w:bookmarkStart w:id="544" w:name="_Toc352065276"/>
      <w:bookmarkStart w:id="545" w:name="_Toc352065617"/>
      <w:r>
        <w:rPr>
          <w:rStyle w:val="CharSDivNo"/>
        </w:rPr>
        <w:t>Division 3</w:t>
      </w:r>
      <w:r>
        <w:t> — </w:t>
      </w:r>
      <w:r>
        <w:rPr>
          <w:rStyle w:val="CharSDivText"/>
        </w:rPr>
        <w:t>Specified days for Schedule 2 clause 5(1)(a)</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tbl>
      <w:tblPr>
        <w:tblW w:w="0" w:type="auto"/>
        <w:tblInd w:w="234"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16"/>
        <w:gridCol w:w="3402"/>
        <w:gridCol w:w="3371"/>
      </w:tblGrid>
      <w:tr>
        <w:trPr>
          <w:tblHeader/>
        </w:trPr>
        <w:tc>
          <w:tcPr>
            <w:tcW w:w="3418" w:type="dxa"/>
            <w:gridSpan w:val="2"/>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371" w:type="dxa"/>
            <w:tcBorders>
              <w:top w:val="single" w:sz="4" w:space="0" w:color="auto"/>
              <w:bottom w:val="single" w:sz="4" w:space="0" w:color="auto"/>
            </w:tcBorders>
          </w:tcPr>
          <w:p>
            <w:pPr>
              <w:pStyle w:val="yTableNAm"/>
              <w:rPr>
                <w:b/>
                <w:bCs/>
              </w:rPr>
            </w:pPr>
            <w:r>
              <w:rPr>
                <w:b/>
                <w:bCs/>
              </w:rPr>
              <w:t>Day for watering by reticulation</w:t>
            </w:r>
          </w:p>
        </w:tc>
      </w:tr>
      <w:tr>
        <w:tc>
          <w:tcPr>
            <w:tcW w:w="3418" w:type="dxa"/>
            <w:gridSpan w:val="2"/>
            <w:tcBorders>
              <w:top w:val="single" w:sz="4" w:space="0" w:color="auto"/>
            </w:tcBorders>
          </w:tcPr>
          <w:p>
            <w:pPr>
              <w:pStyle w:val="yTableNAm"/>
            </w:pPr>
            <w:r>
              <w:t>1</w:t>
            </w:r>
          </w:p>
        </w:tc>
        <w:tc>
          <w:tcPr>
            <w:tcW w:w="3371" w:type="dxa"/>
            <w:tcBorders>
              <w:top w:val="single" w:sz="4" w:space="0" w:color="auto"/>
            </w:tcBorders>
          </w:tcPr>
          <w:p>
            <w:pPr>
              <w:pStyle w:val="yTableNAm"/>
            </w:pPr>
            <w:r>
              <w:t>Wednesday</w:t>
            </w:r>
          </w:p>
        </w:tc>
      </w:tr>
      <w:tr>
        <w:tc>
          <w:tcPr>
            <w:tcW w:w="3418" w:type="dxa"/>
            <w:gridSpan w:val="2"/>
          </w:tcPr>
          <w:p>
            <w:pPr>
              <w:pStyle w:val="yTableNAm"/>
            </w:pPr>
            <w:r>
              <w:t>2</w:t>
            </w:r>
          </w:p>
        </w:tc>
        <w:tc>
          <w:tcPr>
            <w:tcW w:w="3371" w:type="dxa"/>
          </w:tcPr>
          <w:p>
            <w:pPr>
              <w:pStyle w:val="yTableNAm"/>
            </w:pPr>
            <w:r>
              <w:t>Thursday</w:t>
            </w:r>
          </w:p>
        </w:tc>
      </w:tr>
      <w:tr>
        <w:tc>
          <w:tcPr>
            <w:tcW w:w="3418" w:type="dxa"/>
            <w:gridSpan w:val="2"/>
          </w:tcPr>
          <w:p>
            <w:pPr>
              <w:pStyle w:val="yTableNAm"/>
            </w:pPr>
            <w:r>
              <w:t>3</w:t>
            </w:r>
          </w:p>
        </w:tc>
        <w:tc>
          <w:tcPr>
            <w:tcW w:w="3371" w:type="dxa"/>
          </w:tcPr>
          <w:p>
            <w:pPr>
              <w:pStyle w:val="yTableNAm"/>
            </w:pPr>
            <w:r>
              <w:t>Friday</w:t>
            </w:r>
          </w:p>
        </w:tc>
      </w:tr>
      <w:tr>
        <w:tc>
          <w:tcPr>
            <w:tcW w:w="3418" w:type="dxa"/>
            <w:gridSpan w:val="2"/>
          </w:tcPr>
          <w:p>
            <w:pPr>
              <w:pStyle w:val="yTableNAm"/>
            </w:pPr>
            <w:r>
              <w:t>4</w:t>
            </w:r>
          </w:p>
        </w:tc>
        <w:tc>
          <w:tcPr>
            <w:tcW w:w="3371" w:type="dxa"/>
          </w:tcPr>
          <w:p>
            <w:pPr>
              <w:pStyle w:val="yTableNAm"/>
            </w:pPr>
            <w:r>
              <w:t>Saturday</w:t>
            </w:r>
          </w:p>
        </w:tc>
      </w:tr>
      <w:tr>
        <w:tc>
          <w:tcPr>
            <w:tcW w:w="3418" w:type="dxa"/>
            <w:gridSpan w:val="2"/>
          </w:tcPr>
          <w:p>
            <w:pPr>
              <w:pStyle w:val="yTableNAm"/>
            </w:pPr>
            <w:r>
              <w:t>5</w:t>
            </w:r>
          </w:p>
        </w:tc>
        <w:tc>
          <w:tcPr>
            <w:tcW w:w="3371" w:type="dxa"/>
          </w:tcPr>
          <w:p>
            <w:pPr>
              <w:pStyle w:val="yTableNAm"/>
            </w:pPr>
            <w:r>
              <w:t>Sunday</w:t>
            </w:r>
          </w:p>
        </w:tc>
      </w:tr>
      <w:tr>
        <w:tc>
          <w:tcPr>
            <w:tcW w:w="3418" w:type="dxa"/>
            <w:gridSpan w:val="2"/>
          </w:tcPr>
          <w:p>
            <w:pPr>
              <w:pStyle w:val="yTableNAm"/>
            </w:pPr>
            <w:r>
              <w:t>6</w:t>
            </w:r>
          </w:p>
        </w:tc>
        <w:tc>
          <w:tcPr>
            <w:tcW w:w="3371" w:type="dxa"/>
          </w:tcPr>
          <w:p>
            <w:pPr>
              <w:pStyle w:val="yTableNAm"/>
            </w:pPr>
            <w:r>
              <w:t>Monday</w:t>
            </w:r>
          </w:p>
        </w:tc>
      </w:tr>
      <w:tr>
        <w:tc>
          <w:tcPr>
            <w:tcW w:w="3418" w:type="dxa"/>
            <w:gridSpan w:val="2"/>
          </w:tcPr>
          <w:p>
            <w:pPr>
              <w:pStyle w:val="yTableNAm"/>
            </w:pPr>
            <w:r>
              <w:t>7</w:t>
            </w:r>
          </w:p>
        </w:tc>
        <w:tc>
          <w:tcPr>
            <w:tcW w:w="3371" w:type="dxa"/>
          </w:tcPr>
          <w:p>
            <w:pPr>
              <w:pStyle w:val="yTableNAm"/>
            </w:pPr>
            <w:r>
              <w:t>Tuesday</w:t>
            </w:r>
          </w:p>
        </w:tc>
      </w:tr>
      <w:tr>
        <w:trPr>
          <w:gridBefore w:val="1"/>
          <w:wBefore w:w="16" w:type="dxa"/>
        </w:trPr>
        <w:tc>
          <w:tcPr>
            <w:tcW w:w="3402" w:type="dxa"/>
          </w:tcPr>
          <w:p>
            <w:pPr>
              <w:pStyle w:val="yTableNAm"/>
            </w:pPr>
            <w:r>
              <w:t>8</w:t>
            </w:r>
          </w:p>
        </w:tc>
        <w:tc>
          <w:tcPr>
            <w:tcW w:w="3371" w:type="dxa"/>
          </w:tcPr>
          <w:p>
            <w:pPr>
              <w:pStyle w:val="yTableNAm"/>
            </w:pPr>
            <w:r>
              <w:t>Wednesday</w:t>
            </w:r>
          </w:p>
        </w:tc>
      </w:tr>
      <w:tr>
        <w:trPr>
          <w:gridBefore w:val="1"/>
          <w:wBefore w:w="16" w:type="dxa"/>
        </w:trPr>
        <w:tc>
          <w:tcPr>
            <w:tcW w:w="3402" w:type="dxa"/>
          </w:tcPr>
          <w:p>
            <w:pPr>
              <w:pStyle w:val="yTableNAm"/>
            </w:pPr>
            <w:r>
              <w:t>9</w:t>
            </w:r>
          </w:p>
        </w:tc>
        <w:tc>
          <w:tcPr>
            <w:tcW w:w="3371" w:type="dxa"/>
          </w:tcPr>
          <w:p>
            <w:pPr>
              <w:pStyle w:val="yTableNAm"/>
            </w:pPr>
            <w:r>
              <w:t>Thursday</w:t>
            </w:r>
          </w:p>
        </w:tc>
      </w:tr>
      <w:tr>
        <w:trPr>
          <w:gridBefore w:val="1"/>
          <w:wBefore w:w="16" w:type="dxa"/>
        </w:trPr>
        <w:tc>
          <w:tcPr>
            <w:tcW w:w="3402" w:type="dxa"/>
          </w:tcPr>
          <w:p>
            <w:pPr>
              <w:pStyle w:val="yTableNAm"/>
            </w:pPr>
            <w:r>
              <w:t>0</w:t>
            </w:r>
          </w:p>
        </w:tc>
        <w:tc>
          <w:tcPr>
            <w:tcW w:w="3371" w:type="dxa"/>
          </w:tcPr>
          <w:p>
            <w:pPr>
              <w:pStyle w:val="yTableNAm"/>
            </w:pPr>
            <w:r>
              <w:t>Friday</w:t>
            </w:r>
          </w:p>
        </w:tc>
      </w:tr>
    </w:tbl>
    <w:p>
      <w:pPr>
        <w:pStyle w:val="yFootnotesection"/>
      </w:pPr>
      <w:r>
        <w:tab/>
        <w:t>[Division 3 amended in Gazette 28 Sep 2010 p. 5065.]</w:t>
      </w:r>
    </w:p>
    <w:p>
      <w:pPr>
        <w:pStyle w:val="BlankOpen"/>
      </w:pPr>
    </w:p>
    <w:p>
      <w:pPr>
        <w:pStyle w:val="yScheduleHeading"/>
      </w:pPr>
      <w:bookmarkStart w:id="546" w:name="_Toc333487429"/>
      <w:bookmarkStart w:id="547" w:name="_Toc333487531"/>
      <w:bookmarkStart w:id="548" w:name="_Toc333487812"/>
      <w:bookmarkStart w:id="549" w:name="_Toc346884823"/>
      <w:bookmarkStart w:id="550" w:name="_Toc346889677"/>
      <w:bookmarkStart w:id="551" w:name="_Toc350245261"/>
      <w:bookmarkStart w:id="552" w:name="_Toc352053058"/>
      <w:bookmarkStart w:id="553" w:name="_Toc352053119"/>
      <w:bookmarkStart w:id="554" w:name="_Toc352065277"/>
      <w:bookmarkStart w:id="555" w:name="_Toc352065618"/>
      <w:bookmarkStart w:id="556" w:name="_Toc278898277"/>
      <w:bookmarkStart w:id="557" w:name="_Toc278898382"/>
      <w:bookmarkStart w:id="558" w:name="_Toc287360987"/>
      <w:bookmarkStart w:id="559" w:name="_Toc287361046"/>
      <w:bookmarkStart w:id="560" w:name="_Toc287361105"/>
      <w:bookmarkStart w:id="561" w:name="_Toc309303140"/>
      <w:bookmarkStart w:id="562" w:name="_Toc309303199"/>
      <w:bookmarkStart w:id="563" w:name="_Toc309309754"/>
      <w:r>
        <w:rPr>
          <w:rStyle w:val="CharSchNo"/>
        </w:rPr>
        <w:t>Schedule 4</w:t>
      </w:r>
      <w:r>
        <w:rPr>
          <w:rStyle w:val="CharSDivNo"/>
        </w:rPr>
        <w:t> </w:t>
      </w:r>
      <w:r>
        <w:t>—</w:t>
      </w:r>
      <w:r>
        <w:rPr>
          <w:rStyle w:val="CharSDivText"/>
        </w:rPr>
        <w:t> </w:t>
      </w:r>
      <w:r>
        <w:rPr>
          <w:rStyle w:val="CharSchText"/>
        </w:rPr>
        <w:t>Maps of certain scheme water areas</w:t>
      </w:r>
      <w:bookmarkEnd w:id="546"/>
      <w:bookmarkEnd w:id="547"/>
      <w:bookmarkEnd w:id="548"/>
      <w:bookmarkEnd w:id="549"/>
      <w:bookmarkEnd w:id="550"/>
      <w:bookmarkEnd w:id="551"/>
      <w:bookmarkEnd w:id="552"/>
      <w:bookmarkEnd w:id="553"/>
      <w:bookmarkEnd w:id="554"/>
      <w:bookmarkEnd w:id="555"/>
    </w:p>
    <w:p>
      <w:pPr>
        <w:pStyle w:val="yShoulderClause"/>
      </w:pPr>
      <w:r>
        <w:t>[bl. 10AA(6) and 10A(5)]</w:t>
      </w:r>
    </w:p>
    <w:p>
      <w:pPr>
        <w:pStyle w:val="yFootnoteheading"/>
      </w:pPr>
      <w:r>
        <w:tab/>
        <w:t>[Heading inserted in Gazette 24 Aug 2012 p. 3962.]</w:t>
      </w:r>
    </w:p>
    <w:p>
      <w:pPr>
        <w:pStyle w:val="yMiscellaneousHeading"/>
        <w:rPr>
          <w:b/>
          <w:bCs/>
        </w:rPr>
      </w:pPr>
      <w:r>
        <w:rPr>
          <w:b/>
          <w:bCs/>
        </w:rPr>
        <w:t>Map 1 — the Grass Patch scheme water area</w:t>
      </w:r>
    </w:p>
    <w:p>
      <w:pPr>
        <w:pStyle w:val="Graphics"/>
        <w:jc w:val="center"/>
      </w:pPr>
      <w:r>
        <w:drawing>
          <wp:inline distT="0" distB="0" distL="0" distR="0">
            <wp:extent cx="3727450" cy="2628900"/>
            <wp:effectExtent l="0" t="0" r="6350" b="0"/>
            <wp:docPr id="5" name="Picture 5" descr="Grass Patc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ss Patch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27450" cy="2628900"/>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MiscellaneousHeading"/>
        <w:spacing w:before="120"/>
        <w:rPr>
          <w:b/>
          <w:bCs/>
        </w:rPr>
      </w:pPr>
      <w:r>
        <w:rPr>
          <w:b/>
          <w:bCs/>
        </w:rPr>
        <w:t>Map 2 — the Manjimup scheme water area</w:t>
      </w:r>
    </w:p>
    <w:p>
      <w:pPr>
        <w:pStyle w:val="Graphics"/>
        <w:jc w:val="center"/>
      </w:pPr>
      <w:r>
        <w:drawing>
          <wp:inline distT="0" distB="0" distL="0" distR="0">
            <wp:extent cx="3790950" cy="26797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90950" cy="2679700"/>
                    </a:xfrm>
                    <a:prstGeom prst="rect">
                      <a:avLst/>
                    </a:prstGeom>
                    <a:noFill/>
                    <a:ln>
                      <a:noFill/>
                    </a:ln>
                  </pic:spPr>
                </pic:pic>
              </a:graphicData>
            </a:graphic>
          </wp:inline>
        </w:drawing>
      </w:r>
    </w:p>
    <w:p>
      <w:pPr>
        <w:pStyle w:val="NotesPerm"/>
        <w:tabs>
          <w:tab w:val="clear" w:pos="879"/>
          <w:tab w:val="left" w:pos="851"/>
        </w:tabs>
        <w:spacing w:before="120"/>
        <w:ind w:left="1418" w:hanging="1418"/>
      </w:pPr>
      <w:r>
        <w:tab/>
        <w:t>Note:</w:t>
      </w:r>
      <w:r>
        <w:tab/>
        <w:t>This map is for information only.</w:t>
      </w:r>
    </w:p>
    <w:p>
      <w:pPr>
        <w:pStyle w:val="yMiscellaneousHeading"/>
        <w:spacing w:before="120"/>
        <w:rPr>
          <w:b/>
          <w:bCs/>
        </w:rPr>
      </w:pPr>
      <w:r>
        <w:rPr>
          <w:b/>
          <w:bCs/>
        </w:rPr>
        <w:t>Map 3 — the Salmon Gums scheme water area</w:t>
      </w:r>
    </w:p>
    <w:p>
      <w:pPr>
        <w:pStyle w:val="Graphics"/>
        <w:jc w:val="center"/>
      </w:pPr>
      <w:r>
        <w:drawing>
          <wp:inline distT="0" distB="0" distL="0" distR="0">
            <wp:extent cx="3429000" cy="2425700"/>
            <wp:effectExtent l="0" t="0" r="0" b="0"/>
            <wp:docPr id="7" name="Picture 7" descr="Salmon Gum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lmon Gums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29000" cy="2425700"/>
                    </a:xfrm>
                    <a:prstGeom prst="rect">
                      <a:avLst/>
                    </a:prstGeom>
                    <a:noFill/>
                    <a:ln>
                      <a:noFill/>
                    </a:ln>
                  </pic:spPr>
                </pic:pic>
              </a:graphicData>
            </a:graphic>
          </wp:inline>
        </w:drawing>
      </w:r>
    </w:p>
    <w:p>
      <w:pPr>
        <w:pStyle w:val="NotesPerm"/>
        <w:tabs>
          <w:tab w:val="clear" w:pos="879"/>
          <w:tab w:val="left" w:pos="851"/>
        </w:tabs>
        <w:spacing w:before="120"/>
        <w:ind w:left="1418" w:hanging="1418"/>
      </w:pPr>
      <w:r>
        <w:tab/>
        <w:t>Note:</w:t>
      </w:r>
      <w:r>
        <w:tab/>
        <w:t>This map is for information only.</w:t>
      </w:r>
    </w:p>
    <w:p>
      <w:pPr>
        <w:pStyle w:val="yFootnotesection"/>
        <w:spacing w:before="60"/>
      </w:pPr>
      <w:r>
        <w:tab/>
        <w:t>[Schedule 4 inserted in Gazette 24 Aug 2012 p. 3962</w:t>
      </w:r>
      <w:r>
        <w:noBreakHyphen/>
        <w:t>3.]</w:t>
      </w:r>
    </w:p>
    <w:p>
      <w:pPr>
        <w:pStyle w:val="CentredBaseLine"/>
        <w:spacing w:before="120"/>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rPr>
          <w:sz w:val="16"/>
          <w:szCs w:val="16"/>
        </w:rPr>
      </w:pPr>
    </w:p>
    <w:bookmarkEnd w:id="556"/>
    <w:bookmarkEnd w:id="557"/>
    <w:bookmarkEnd w:id="558"/>
    <w:bookmarkEnd w:id="559"/>
    <w:bookmarkEnd w:id="560"/>
    <w:bookmarkEnd w:id="561"/>
    <w:bookmarkEnd w:id="562"/>
    <w:bookmarkEnd w:id="563"/>
    <w:p>
      <w:pPr>
        <w:sectPr>
          <w:headerReference w:type="even" r:id="rId37"/>
          <w:headerReference w:type="default" r:id="rId38"/>
          <w:endnotePr>
            <w:numFmt w:val="decimal"/>
          </w:endnotePr>
          <w:pgSz w:w="11907" w:h="16840" w:code="9"/>
          <w:pgMar w:top="2381" w:right="2410" w:bottom="3544" w:left="2410" w:header="720" w:footer="3380" w:gutter="0"/>
          <w:cols w:space="720"/>
          <w:docGrid w:linePitch="326"/>
        </w:sectPr>
      </w:pPr>
    </w:p>
    <w:p>
      <w:pPr>
        <w:pStyle w:val="nHeading2"/>
      </w:pPr>
      <w:bookmarkStart w:id="564" w:name="_Toc257639339"/>
      <w:bookmarkStart w:id="565" w:name="_Toc257643345"/>
      <w:bookmarkStart w:id="566" w:name="_Toc273439215"/>
      <w:bookmarkStart w:id="567" w:name="_Toc278898278"/>
      <w:bookmarkStart w:id="568" w:name="_Toc278898383"/>
      <w:bookmarkStart w:id="569" w:name="_Toc287360988"/>
      <w:bookmarkStart w:id="570" w:name="_Toc287361047"/>
      <w:bookmarkStart w:id="571" w:name="_Toc287361106"/>
      <w:bookmarkStart w:id="572" w:name="_Toc309303141"/>
      <w:bookmarkStart w:id="573" w:name="_Toc309303200"/>
      <w:bookmarkStart w:id="574" w:name="_Toc309309755"/>
      <w:bookmarkStart w:id="575" w:name="_Toc333487430"/>
      <w:bookmarkStart w:id="576" w:name="_Toc333487532"/>
      <w:bookmarkStart w:id="577" w:name="_Toc333487813"/>
      <w:bookmarkStart w:id="578" w:name="_Toc346884824"/>
      <w:bookmarkStart w:id="579" w:name="_Toc346889678"/>
      <w:bookmarkStart w:id="580" w:name="_Toc350245262"/>
      <w:bookmarkStart w:id="581" w:name="_Toc352053059"/>
      <w:bookmarkStart w:id="582" w:name="_Toc352053120"/>
      <w:bookmarkStart w:id="583" w:name="_Toc352065278"/>
      <w:bookmarkStart w:id="584" w:name="_Toc352065619"/>
      <w:r>
        <w:t>Notes</w:t>
      </w:r>
      <w:bookmarkEnd w:id="387"/>
      <w:bookmarkEnd w:id="388"/>
      <w:bookmarkEnd w:id="389"/>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pPr>
        <w:pStyle w:val="nSubsection"/>
        <w:rPr>
          <w:snapToGrid w:val="0"/>
        </w:rPr>
      </w:pPr>
      <w:r>
        <w:rPr>
          <w:snapToGrid w:val="0"/>
          <w:vertAlign w:val="superscript"/>
        </w:rPr>
        <w:t>1</w:t>
      </w:r>
      <w:r>
        <w:rPr>
          <w:snapToGrid w:val="0"/>
        </w:rPr>
        <w:tab/>
        <w:t xml:space="preserve">This reprint is a compilation as at 5 April 2013 of the </w:t>
      </w:r>
      <w:r>
        <w:rPr>
          <w:i/>
          <w:noProof/>
          <w:snapToGrid w:val="0"/>
        </w:rPr>
        <w:t>Water Agencies (Water Use) By-laws 2010</w:t>
      </w:r>
      <w:r>
        <w:rPr>
          <w:snapToGrid w:val="0"/>
        </w:rPr>
        <w:t xml:space="preserve"> and includes the amendments made by the other written laws referred to in the following table.  The table also contains information about any reprint.</w:t>
      </w:r>
    </w:p>
    <w:p>
      <w:pPr>
        <w:pStyle w:val="nHeading3"/>
      </w:pPr>
      <w:bookmarkStart w:id="585" w:name="_Toc352065620"/>
      <w:r>
        <w:t>Compilation table</w:t>
      </w:r>
      <w:bookmarkEnd w:id="58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sz w:val="19"/>
              </w:rPr>
            </w:pPr>
            <w:r>
              <w:rPr>
                <w:b/>
                <w:sz w:val="19"/>
              </w:rPr>
              <w:t>Citation</w:t>
            </w:r>
          </w:p>
        </w:tc>
        <w:tc>
          <w:tcPr>
            <w:tcW w:w="1276" w:type="dxa"/>
            <w:tcBorders>
              <w:bottom w:val="single" w:sz="8" w:space="0" w:color="auto"/>
            </w:tcBorders>
            <w:shd w:val="clear" w:color="auto" w:fill="auto"/>
          </w:tcPr>
          <w:p>
            <w:pPr>
              <w:pStyle w:val="nTable"/>
              <w:spacing w:after="40"/>
              <w:rPr>
                <w:b/>
                <w:sz w:val="19"/>
              </w:rPr>
            </w:pPr>
            <w:r>
              <w:rPr>
                <w:b/>
                <w:sz w:val="19"/>
              </w:rPr>
              <w:t>Gazettal</w:t>
            </w:r>
          </w:p>
        </w:tc>
        <w:tc>
          <w:tcPr>
            <w:tcW w:w="2693" w:type="dxa"/>
            <w:tcBorders>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bottom w:val="nil"/>
            </w:tcBorders>
          </w:tcPr>
          <w:p>
            <w:pPr>
              <w:pStyle w:val="nTable"/>
              <w:spacing w:after="40"/>
              <w:rPr>
                <w:rFonts w:ascii="Times" w:hAnsi="Times"/>
                <w:sz w:val="19"/>
              </w:rPr>
            </w:pPr>
            <w:r>
              <w:rPr>
                <w:rFonts w:ascii="Times" w:hAnsi="Times"/>
                <w:i/>
                <w:sz w:val="19"/>
              </w:rPr>
              <w:t>Water Agencies (Water Use) By</w:t>
            </w:r>
            <w:r>
              <w:rPr>
                <w:rFonts w:ascii="Times" w:hAnsi="Times"/>
                <w:i/>
                <w:sz w:val="19"/>
              </w:rPr>
              <w:noBreakHyphen/>
              <w:t xml:space="preserve">laws 2010 </w:t>
            </w:r>
          </w:p>
        </w:tc>
        <w:tc>
          <w:tcPr>
            <w:tcW w:w="1276" w:type="dxa"/>
            <w:tcBorders>
              <w:top w:val="single" w:sz="8" w:space="0" w:color="auto"/>
              <w:bottom w:val="nil"/>
            </w:tcBorders>
          </w:tcPr>
          <w:p>
            <w:pPr>
              <w:pStyle w:val="nTable"/>
              <w:spacing w:after="40"/>
              <w:rPr>
                <w:rFonts w:ascii="Times" w:hAnsi="Times"/>
                <w:sz w:val="19"/>
              </w:rPr>
            </w:pPr>
            <w:r>
              <w:rPr>
                <w:rFonts w:ascii="Times" w:hAnsi="Times"/>
                <w:sz w:val="19"/>
              </w:rPr>
              <w:t>16 Mar 2010 p. 999</w:t>
            </w:r>
            <w:r>
              <w:rPr>
                <w:rFonts w:ascii="Times" w:hAnsi="Times"/>
                <w:sz w:val="19"/>
              </w:rPr>
              <w:noBreakHyphen/>
              <w:t>1031</w:t>
            </w:r>
          </w:p>
        </w:tc>
        <w:tc>
          <w:tcPr>
            <w:tcW w:w="2693" w:type="dxa"/>
            <w:tcBorders>
              <w:top w:val="single" w:sz="8" w:space="0" w:color="auto"/>
              <w:bottom w:val="nil"/>
            </w:tcBorders>
          </w:tcPr>
          <w:p>
            <w:pPr>
              <w:pStyle w:val="nTable"/>
              <w:spacing w:after="40"/>
              <w:rPr>
                <w:rFonts w:ascii="Times" w:hAnsi="Times"/>
                <w:sz w:val="19"/>
              </w:rPr>
            </w:pPr>
            <w:r>
              <w:rPr>
                <w:rFonts w:ascii="Times" w:hAnsi="Times"/>
                <w:sz w:val="19"/>
              </w:rPr>
              <w:t>bl. 1 and 2: 16 Mar 2010 (see bl. 2(a));</w:t>
            </w:r>
            <w:r>
              <w:rPr>
                <w:rFonts w:ascii="Times" w:hAnsi="Times"/>
                <w:sz w:val="19"/>
              </w:rPr>
              <w:br/>
              <w:t>By</w:t>
            </w:r>
            <w:r>
              <w:rPr>
                <w:rFonts w:ascii="Times" w:hAnsi="Times"/>
                <w:sz w:val="19"/>
              </w:rPr>
              <w:noBreakHyphen/>
              <w:t>laws other than bl. 1 and 2: 1 Apr 2010 (see bl. 2(b))</w:t>
            </w:r>
          </w:p>
        </w:tc>
      </w:tr>
      <w:tr>
        <w:tc>
          <w:tcPr>
            <w:tcW w:w="3118" w:type="dxa"/>
            <w:tcBorders>
              <w:top w:val="nil"/>
              <w:bottom w:val="nil"/>
            </w:tcBorders>
          </w:tcPr>
          <w:p>
            <w:pPr>
              <w:pStyle w:val="nTable"/>
              <w:spacing w:after="40"/>
              <w:rPr>
                <w:rFonts w:ascii="Times" w:hAnsi="Times"/>
                <w:i/>
                <w:sz w:val="19"/>
              </w:rPr>
            </w:pPr>
            <w:r>
              <w:rPr>
                <w:rFonts w:ascii="Times" w:hAnsi="Times"/>
                <w:i/>
                <w:sz w:val="19"/>
              </w:rPr>
              <w:t>Water Agencies (Water Use) Amendment By</w:t>
            </w:r>
            <w:r>
              <w:rPr>
                <w:rFonts w:ascii="Times" w:hAnsi="Times"/>
                <w:i/>
                <w:sz w:val="19"/>
              </w:rPr>
              <w:noBreakHyphen/>
              <w:t>laws 2010</w:t>
            </w:r>
          </w:p>
        </w:tc>
        <w:tc>
          <w:tcPr>
            <w:tcW w:w="1276" w:type="dxa"/>
            <w:tcBorders>
              <w:top w:val="nil"/>
              <w:bottom w:val="nil"/>
            </w:tcBorders>
          </w:tcPr>
          <w:p>
            <w:pPr>
              <w:pStyle w:val="nTable"/>
              <w:spacing w:after="40"/>
              <w:rPr>
                <w:rFonts w:ascii="Times" w:hAnsi="Times"/>
                <w:sz w:val="19"/>
              </w:rPr>
            </w:pPr>
            <w:r>
              <w:rPr>
                <w:rFonts w:ascii="Times" w:hAnsi="Times"/>
                <w:sz w:val="19"/>
              </w:rPr>
              <w:t>28 Sep 2010 p. 5063</w:t>
            </w:r>
            <w:r>
              <w:rPr>
                <w:rFonts w:ascii="Times" w:hAnsi="Times"/>
                <w:sz w:val="19"/>
              </w:rPr>
              <w:noBreakHyphen/>
              <w:t>5</w:t>
            </w:r>
          </w:p>
        </w:tc>
        <w:tc>
          <w:tcPr>
            <w:tcW w:w="2693" w:type="dxa"/>
            <w:tcBorders>
              <w:top w:val="nil"/>
              <w:bottom w:val="nil"/>
            </w:tcBorders>
          </w:tcPr>
          <w:p>
            <w:pPr>
              <w:pStyle w:val="nTable"/>
              <w:spacing w:after="40"/>
              <w:rPr>
                <w:rFonts w:ascii="Times" w:hAnsi="Times"/>
                <w:sz w:val="19"/>
              </w:rPr>
            </w:pPr>
            <w:r>
              <w:rPr>
                <w:rFonts w:ascii="Times" w:hAnsi="Times"/>
                <w:sz w:val="19"/>
              </w:rPr>
              <w:t>bl. 1 and 2: 28 Sep 2010 (see bl. 2(a));</w:t>
            </w:r>
            <w:r>
              <w:rPr>
                <w:rFonts w:ascii="Times" w:hAnsi="Times"/>
                <w:sz w:val="19"/>
              </w:rPr>
              <w:br/>
              <w:t>By</w:t>
            </w:r>
            <w:r>
              <w:rPr>
                <w:rFonts w:ascii="Times" w:hAnsi="Times"/>
                <w:sz w:val="19"/>
              </w:rPr>
              <w:noBreakHyphen/>
              <w:t>laws other than bl. 1 and 2: 1 Oct 2010 (see bl. 2(b))</w:t>
            </w:r>
          </w:p>
        </w:tc>
      </w:tr>
      <w:tr>
        <w:tc>
          <w:tcPr>
            <w:tcW w:w="3118" w:type="dxa"/>
            <w:tcBorders>
              <w:top w:val="nil"/>
              <w:bottom w:val="nil"/>
            </w:tcBorders>
          </w:tcPr>
          <w:p>
            <w:pPr>
              <w:pStyle w:val="nTable"/>
              <w:spacing w:after="40"/>
              <w:rPr>
                <w:rFonts w:ascii="Times" w:hAnsi="Times"/>
                <w:i/>
                <w:sz w:val="19"/>
              </w:rPr>
            </w:pPr>
            <w:r>
              <w:rPr>
                <w:rFonts w:ascii="Times" w:hAnsi="Times"/>
                <w:i/>
                <w:sz w:val="19"/>
              </w:rPr>
              <w:t>Water Agencies (Water Use) Amendment By</w:t>
            </w:r>
            <w:r>
              <w:rPr>
                <w:rFonts w:ascii="Times" w:hAnsi="Times"/>
                <w:i/>
                <w:sz w:val="19"/>
              </w:rPr>
              <w:noBreakHyphen/>
              <w:t>laws (No. 2) 2010</w:t>
            </w:r>
          </w:p>
        </w:tc>
        <w:tc>
          <w:tcPr>
            <w:tcW w:w="1276" w:type="dxa"/>
            <w:tcBorders>
              <w:top w:val="nil"/>
              <w:bottom w:val="nil"/>
            </w:tcBorders>
          </w:tcPr>
          <w:p>
            <w:pPr>
              <w:pStyle w:val="nTable"/>
              <w:spacing w:after="40"/>
              <w:rPr>
                <w:rFonts w:ascii="Times" w:hAnsi="Times"/>
                <w:sz w:val="19"/>
              </w:rPr>
            </w:pPr>
            <w:r>
              <w:rPr>
                <w:rFonts w:ascii="Times" w:hAnsi="Times"/>
                <w:sz w:val="19"/>
              </w:rPr>
              <w:t>30 Nov 2010 p. 6016</w:t>
            </w:r>
            <w:r>
              <w:rPr>
                <w:rFonts w:ascii="Times" w:hAnsi="Times"/>
                <w:sz w:val="19"/>
              </w:rPr>
              <w:noBreakHyphen/>
              <w:t>22</w:t>
            </w:r>
          </w:p>
        </w:tc>
        <w:tc>
          <w:tcPr>
            <w:tcW w:w="2693" w:type="dxa"/>
            <w:tcBorders>
              <w:top w:val="nil"/>
              <w:bottom w:val="nil"/>
            </w:tcBorders>
          </w:tcPr>
          <w:p>
            <w:pPr>
              <w:pStyle w:val="nTable"/>
              <w:spacing w:after="40"/>
              <w:rPr>
                <w:rFonts w:ascii="Times" w:hAnsi="Times"/>
                <w:sz w:val="19"/>
              </w:rPr>
            </w:pPr>
            <w:r>
              <w:rPr>
                <w:rFonts w:ascii="Times" w:hAnsi="Times"/>
                <w:sz w:val="19"/>
              </w:rPr>
              <w:t>bl. 1 and 2: 30 Nov 2010 (see bl. 2(a));</w:t>
            </w:r>
            <w:r>
              <w:rPr>
                <w:rFonts w:ascii="Times" w:hAnsi="Times"/>
                <w:sz w:val="19"/>
              </w:rPr>
              <w:br/>
              <w:t>By</w:t>
            </w:r>
            <w:r>
              <w:rPr>
                <w:rFonts w:ascii="Times" w:hAnsi="Times"/>
                <w:sz w:val="19"/>
              </w:rPr>
              <w:noBreakHyphen/>
              <w:t>laws other than bl. 1 and 2: 1 Dec 2010 (see bl. 2(b))</w:t>
            </w:r>
          </w:p>
        </w:tc>
      </w:tr>
      <w:tr>
        <w:tc>
          <w:tcPr>
            <w:tcW w:w="3118" w:type="dxa"/>
            <w:tcBorders>
              <w:top w:val="nil"/>
              <w:bottom w:val="nil"/>
            </w:tcBorders>
          </w:tcPr>
          <w:p>
            <w:pPr>
              <w:pStyle w:val="nTable"/>
              <w:spacing w:after="40"/>
              <w:rPr>
                <w:rFonts w:ascii="Times" w:hAnsi="Times"/>
                <w:i/>
                <w:sz w:val="19"/>
              </w:rPr>
            </w:pPr>
            <w:r>
              <w:rPr>
                <w:rFonts w:ascii="Times" w:hAnsi="Times"/>
                <w:i/>
                <w:sz w:val="19"/>
              </w:rPr>
              <w:t>Water Agencies (Water Use) Amendment By</w:t>
            </w:r>
            <w:r>
              <w:rPr>
                <w:rFonts w:ascii="Times" w:hAnsi="Times"/>
                <w:i/>
                <w:sz w:val="19"/>
              </w:rPr>
              <w:noBreakHyphen/>
              <w:t>laws 2011</w:t>
            </w:r>
          </w:p>
        </w:tc>
        <w:tc>
          <w:tcPr>
            <w:tcW w:w="1276" w:type="dxa"/>
            <w:tcBorders>
              <w:top w:val="nil"/>
              <w:bottom w:val="nil"/>
            </w:tcBorders>
          </w:tcPr>
          <w:p>
            <w:pPr>
              <w:pStyle w:val="nTable"/>
              <w:spacing w:after="40"/>
              <w:rPr>
                <w:rFonts w:ascii="Times" w:hAnsi="Times"/>
                <w:sz w:val="19"/>
              </w:rPr>
            </w:pPr>
            <w:r>
              <w:rPr>
                <w:rFonts w:ascii="Times" w:hAnsi="Times"/>
                <w:sz w:val="19"/>
              </w:rPr>
              <w:t>8 Mar 2011 p. 801</w:t>
            </w:r>
            <w:r>
              <w:rPr>
                <w:rFonts w:ascii="Times" w:hAnsi="Times"/>
                <w:sz w:val="19"/>
              </w:rPr>
              <w:noBreakHyphen/>
              <w:t>4</w:t>
            </w:r>
          </w:p>
        </w:tc>
        <w:tc>
          <w:tcPr>
            <w:tcW w:w="2693" w:type="dxa"/>
            <w:tcBorders>
              <w:top w:val="nil"/>
              <w:bottom w:val="nil"/>
            </w:tcBorders>
          </w:tcPr>
          <w:p>
            <w:pPr>
              <w:pStyle w:val="nTable"/>
              <w:spacing w:after="40"/>
              <w:rPr>
                <w:rFonts w:ascii="Times" w:hAnsi="Times"/>
                <w:sz w:val="19"/>
              </w:rPr>
            </w:pPr>
            <w:r>
              <w:rPr>
                <w:rFonts w:ascii="Times" w:hAnsi="Times"/>
                <w:snapToGrid w:val="0"/>
                <w:sz w:val="19"/>
              </w:rPr>
              <w:t>bl. 1 and 2: 8 Mar 2011 (see bl. 2(a));</w:t>
            </w:r>
            <w:r>
              <w:rPr>
                <w:rFonts w:ascii="Times" w:hAnsi="Times"/>
                <w:snapToGrid w:val="0"/>
                <w:sz w:val="19"/>
              </w:rPr>
              <w:br/>
              <w:t>By</w:t>
            </w:r>
            <w:r>
              <w:rPr>
                <w:rFonts w:ascii="Times" w:hAnsi="Times"/>
                <w:snapToGrid w:val="0"/>
                <w:sz w:val="19"/>
              </w:rPr>
              <w:noBreakHyphen/>
              <w:t>laws other than bl. 1 and 2: 9 Mar 2011 (see bl. 2(b))</w:t>
            </w:r>
          </w:p>
        </w:tc>
      </w:tr>
      <w:tr>
        <w:tc>
          <w:tcPr>
            <w:tcW w:w="3118" w:type="dxa"/>
            <w:tcBorders>
              <w:top w:val="nil"/>
              <w:bottom w:val="nil"/>
            </w:tcBorders>
          </w:tcPr>
          <w:p>
            <w:pPr>
              <w:pStyle w:val="nTable"/>
              <w:spacing w:after="40"/>
              <w:rPr>
                <w:rFonts w:ascii="Times" w:hAnsi="Times"/>
                <w:i/>
                <w:sz w:val="19"/>
              </w:rPr>
            </w:pPr>
            <w:r>
              <w:rPr>
                <w:rFonts w:ascii="Times" w:hAnsi="Times"/>
                <w:i/>
                <w:sz w:val="19"/>
              </w:rPr>
              <w:t>Water Agencies (Water Use) Amendment By</w:t>
            </w:r>
            <w:r>
              <w:rPr>
                <w:rFonts w:ascii="Times" w:hAnsi="Times"/>
                <w:i/>
                <w:sz w:val="19"/>
              </w:rPr>
              <w:noBreakHyphen/>
              <w:t>laws (No. 2) 2011</w:t>
            </w:r>
          </w:p>
        </w:tc>
        <w:tc>
          <w:tcPr>
            <w:tcW w:w="1276" w:type="dxa"/>
            <w:tcBorders>
              <w:top w:val="nil"/>
              <w:bottom w:val="nil"/>
            </w:tcBorders>
          </w:tcPr>
          <w:p>
            <w:pPr>
              <w:pStyle w:val="nTable"/>
              <w:spacing w:after="40"/>
              <w:rPr>
                <w:rFonts w:ascii="Times" w:hAnsi="Times"/>
                <w:sz w:val="19"/>
              </w:rPr>
            </w:pPr>
            <w:r>
              <w:rPr>
                <w:rFonts w:ascii="Times" w:hAnsi="Times"/>
                <w:sz w:val="19"/>
              </w:rPr>
              <w:t>18 Nov 2011 p. 4818</w:t>
            </w:r>
            <w:r>
              <w:rPr>
                <w:rFonts w:ascii="Times" w:hAnsi="Times"/>
                <w:sz w:val="19"/>
              </w:rPr>
              <w:noBreakHyphen/>
              <w:t>19</w:t>
            </w:r>
          </w:p>
        </w:tc>
        <w:tc>
          <w:tcPr>
            <w:tcW w:w="2693" w:type="dxa"/>
            <w:tcBorders>
              <w:top w:val="nil"/>
              <w:bottom w:val="nil"/>
            </w:tcBorders>
          </w:tcPr>
          <w:p>
            <w:pPr>
              <w:pStyle w:val="nTable"/>
              <w:spacing w:after="40"/>
              <w:rPr>
                <w:rFonts w:ascii="Times" w:hAnsi="Times"/>
                <w:snapToGrid w:val="0"/>
                <w:sz w:val="19"/>
              </w:rPr>
            </w:pPr>
            <w:r>
              <w:rPr>
                <w:rFonts w:ascii="Times" w:hAnsi="Times"/>
                <w:snapToGrid w:val="0"/>
                <w:sz w:val="19"/>
              </w:rPr>
              <w:t>bl. 1 and 2: 18 Nov 2011 (see bl. 2(a));</w:t>
            </w:r>
            <w:r>
              <w:rPr>
                <w:rFonts w:ascii="Times" w:hAnsi="Times"/>
                <w:snapToGrid w:val="0"/>
                <w:sz w:val="19"/>
              </w:rPr>
              <w:br/>
              <w:t>By</w:t>
            </w:r>
            <w:r>
              <w:rPr>
                <w:rFonts w:ascii="Times" w:hAnsi="Times"/>
                <w:snapToGrid w:val="0"/>
                <w:sz w:val="19"/>
              </w:rPr>
              <w:noBreakHyphen/>
              <w:t>laws other than bl. 1 and 2: 19 Nov 2011 (see bl. 2(b))</w:t>
            </w:r>
          </w:p>
        </w:tc>
      </w:tr>
      <w:tr>
        <w:tc>
          <w:tcPr>
            <w:tcW w:w="3118" w:type="dxa"/>
            <w:tcBorders>
              <w:top w:val="nil"/>
              <w:bottom w:val="nil"/>
              <w:right w:val="nil"/>
            </w:tcBorders>
          </w:tcPr>
          <w:p>
            <w:pPr>
              <w:pStyle w:val="nTable"/>
              <w:spacing w:after="40"/>
              <w:rPr>
                <w:rFonts w:ascii="Times" w:hAnsi="Times"/>
                <w:i/>
                <w:sz w:val="19"/>
              </w:rPr>
            </w:pPr>
            <w:bookmarkStart w:id="586" w:name="AutoSch"/>
            <w:bookmarkEnd w:id="586"/>
            <w:r>
              <w:rPr>
                <w:rFonts w:ascii="Times" w:hAnsi="Times"/>
                <w:i/>
                <w:sz w:val="19"/>
              </w:rPr>
              <w:t>Water Agencies (Water Use) Amendment By</w:t>
            </w:r>
            <w:r>
              <w:rPr>
                <w:rFonts w:ascii="Times" w:hAnsi="Times"/>
                <w:i/>
                <w:sz w:val="19"/>
              </w:rPr>
              <w:noBreakHyphen/>
              <w:t>laws 2012</w:t>
            </w:r>
          </w:p>
        </w:tc>
        <w:tc>
          <w:tcPr>
            <w:tcW w:w="1276" w:type="dxa"/>
            <w:tcBorders>
              <w:top w:val="nil"/>
              <w:left w:val="nil"/>
              <w:bottom w:val="nil"/>
              <w:right w:val="nil"/>
            </w:tcBorders>
          </w:tcPr>
          <w:p>
            <w:pPr>
              <w:pStyle w:val="nTable"/>
              <w:spacing w:after="40"/>
              <w:rPr>
                <w:rFonts w:ascii="Times" w:hAnsi="Times"/>
                <w:sz w:val="19"/>
              </w:rPr>
            </w:pPr>
            <w:r>
              <w:rPr>
                <w:rFonts w:ascii="Times" w:hAnsi="Times"/>
                <w:sz w:val="19"/>
              </w:rPr>
              <w:t>24 Aug 2012 p. 3961</w:t>
            </w:r>
            <w:r>
              <w:rPr>
                <w:rFonts w:ascii="Times" w:hAnsi="Times"/>
                <w:sz w:val="19"/>
              </w:rPr>
              <w:noBreakHyphen/>
              <w:t>3</w:t>
            </w:r>
          </w:p>
        </w:tc>
        <w:tc>
          <w:tcPr>
            <w:tcW w:w="2693" w:type="dxa"/>
            <w:tcBorders>
              <w:top w:val="nil"/>
              <w:left w:val="nil"/>
              <w:bottom w:val="nil"/>
            </w:tcBorders>
          </w:tcPr>
          <w:p>
            <w:pPr>
              <w:pStyle w:val="nTable"/>
              <w:spacing w:after="40"/>
              <w:rPr>
                <w:rFonts w:ascii="Times" w:hAnsi="Times"/>
                <w:snapToGrid w:val="0"/>
                <w:sz w:val="19"/>
              </w:rPr>
            </w:pPr>
            <w:r>
              <w:rPr>
                <w:rFonts w:ascii="Times" w:hAnsi="Times"/>
                <w:snapToGrid w:val="0"/>
                <w:sz w:val="19"/>
              </w:rPr>
              <w:t>bl. 1 and 2: 24 Aug 2012 (see bl. 2(a));</w:t>
            </w:r>
            <w:r>
              <w:rPr>
                <w:rFonts w:ascii="Times" w:hAnsi="Times"/>
                <w:snapToGrid w:val="0"/>
                <w:sz w:val="19"/>
              </w:rPr>
              <w:br/>
              <w:t>By</w:t>
            </w:r>
            <w:r>
              <w:rPr>
                <w:rFonts w:ascii="Times" w:hAnsi="Times"/>
                <w:snapToGrid w:val="0"/>
                <w:sz w:val="19"/>
              </w:rPr>
              <w:noBreakHyphen/>
              <w:t>laws other than bl. 1 and 2: 25 Aug 2012 (see bl. 2(b))</w:t>
            </w:r>
          </w:p>
        </w:tc>
      </w:tr>
      <w:tr>
        <w:tc>
          <w:tcPr>
            <w:tcW w:w="7087" w:type="dxa"/>
            <w:gridSpan w:val="3"/>
            <w:tcBorders>
              <w:top w:val="nil"/>
              <w:bottom w:val="single" w:sz="8" w:space="0" w:color="auto"/>
            </w:tcBorders>
            <w:shd w:val="clear" w:color="auto" w:fill="auto"/>
          </w:tcPr>
          <w:p>
            <w:pPr>
              <w:pStyle w:val="nTable"/>
              <w:spacing w:after="40"/>
              <w:rPr>
                <w:rFonts w:ascii="Times" w:hAnsi="Times"/>
                <w:snapToGrid w:val="0"/>
                <w:sz w:val="19"/>
              </w:rPr>
            </w:pPr>
            <w:r>
              <w:rPr>
                <w:rFonts w:ascii="Times" w:hAnsi="Times"/>
                <w:b/>
                <w:snapToGrid w:val="0"/>
                <w:sz w:val="19"/>
              </w:rPr>
              <w:t xml:space="preserve">Reprint 1: The </w:t>
            </w:r>
            <w:r>
              <w:rPr>
                <w:rFonts w:ascii="Times" w:hAnsi="Times"/>
                <w:b/>
                <w:i/>
                <w:sz w:val="19"/>
              </w:rPr>
              <w:t>Water Agencies (Water Use) By</w:t>
            </w:r>
            <w:r>
              <w:rPr>
                <w:rFonts w:ascii="Times" w:hAnsi="Times"/>
                <w:b/>
                <w:i/>
                <w:sz w:val="19"/>
              </w:rPr>
              <w:noBreakHyphen/>
              <w:t xml:space="preserve">laws 2010 </w:t>
            </w:r>
            <w:r>
              <w:rPr>
                <w:rFonts w:ascii="Times" w:hAnsi="Times"/>
                <w:b/>
                <w:snapToGrid w:val="0"/>
                <w:sz w:val="19"/>
              </w:rPr>
              <w:t>as at 5 Apr 2013</w:t>
            </w:r>
            <w:r>
              <w:rPr>
                <w:rFonts w:ascii="Times" w:hAnsi="Times"/>
                <w:b/>
                <w:snapToGrid w:val="0"/>
                <w:sz w:val="19"/>
              </w:rPr>
              <w:br/>
            </w:r>
            <w:r>
              <w:rPr>
                <w:rFonts w:ascii="Times" w:hAnsi="Times"/>
                <w:snapToGrid w:val="0"/>
                <w:sz w:val="19"/>
              </w:rPr>
              <w:t>(includes amendments listed above)</w:t>
            </w:r>
          </w:p>
        </w:tc>
      </w:tr>
    </w:tbl>
    <w:p/>
    <w:p>
      <w:pPr>
        <w:sectPr>
          <w:headerReference w:type="even" r:id="rId39"/>
          <w:headerReference w:type="default" r:id="rId40"/>
          <w:headerReference w:type="first" r:id="rId41"/>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587" w:name="_Toc287360990"/>
      <w:bookmarkStart w:id="588" w:name="_Toc287361049"/>
      <w:bookmarkStart w:id="589" w:name="_Toc287361108"/>
      <w:bookmarkStart w:id="590" w:name="_Toc309303143"/>
      <w:bookmarkStart w:id="591" w:name="_Toc309303202"/>
      <w:bookmarkStart w:id="592" w:name="_Toc309309757"/>
      <w:bookmarkStart w:id="593" w:name="_Toc333487432"/>
      <w:bookmarkStart w:id="594" w:name="_Toc333487534"/>
      <w:bookmarkStart w:id="595" w:name="_Toc333487815"/>
      <w:bookmarkStart w:id="596" w:name="_Toc346884826"/>
      <w:bookmarkStart w:id="597" w:name="_Toc346889680"/>
      <w:bookmarkStart w:id="598" w:name="_Toc350245264"/>
      <w:bookmarkStart w:id="599" w:name="_Toc352053061"/>
      <w:bookmarkStart w:id="600" w:name="_Toc352053122"/>
      <w:bookmarkStart w:id="601" w:name="_Toc352065280"/>
      <w:bookmarkStart w:id="602" w:name="_Toc352065621"/>
      <w:r>
        <w:rPr>
          <w:sz w:val="28"/>
        </w:rPr>
        <w:t>Defined terms</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03" w:name="DefinedTerms"/>
      <w:bookmarkEnd w:id="603"/>
      <w:r>
        <w:t>approved</w:t>
      </w:r>
      <w:r>
        <w:tab/>
        <w:t>18</w:t>
      </w:r>
    </w:p>
    <w:p>
      <w:pPr>
        <w:pStyle w:val="DefinedTerms"/>
      </w:pPr>
      <w:r>
        <w:t>Area</w:t>
      </w:r>
      <w:r>
        <w:tab/>
        <w:t>3</w:t>
      </w:r>
    </w:p>
    <w:p>
      <w:pPr>
        <w:pStyle w:val="DefinedTerms"/>
      </w:pPr>
      <w:r>
        <w:t>Area 1</w:t>
      </w:r>
      <w:r>
        <w:tab/>
        <w:t>3</w:t>
      </w:r>
    </w:p>
    <w:p>
      <w:pPr>
        <w:pStyle w:val="DefinedTerms"/>
      </w:pPr>
      <w:r>
        <w:t>Area 2</w:t>
      </w:r>
      <w:r>
        <w:tab/>
        <w:t>3</w:t>
      </w:r>
    </w:p>
    <w:p>
      <w:pPr>
        <w:pStyle w:val="DefinedTerms"/>
      </w:pPr>
      <w:r>
        <w:t>Area 3</w:t>
      </w:r>
      <w:r>
        <w:tab/>
        <w:t>3</w:t>
      </w:r>
    </w:p>
    <w:p>
      <w:pPr>
        <w:pStyle w:val="DefinedTerms"/>
      </w:pPr>
      <w:r>
        <w:t>Area 4</w:t>
      </w:r>
      <w:r>
        <w:tab/>
        <w:t>3</w:t>
      </w:r>
    </w:p>
    <w:p>
      <w:pPr>
        <w:pStyle w:val="DefinedTerms"/>
      </w:pPr>
      <w:r>
        <w:t>commencement day</w:t>
      </w:r>
      <w:r>
        <w:tab/>
        <w:t>10AA(1), 31(1)</w:t>
      </w:r>
    </w:p>
    <w:p>
      <w:pPr>
        <w:pStyle w:val="DefinedTerms"/>
      </w:pPr>
      <w:r>
        <w:t>consumption year</w:t>
      </w:r>
      <w:r>
        <w:tab/>
        <w:t>18</w:t>
      </w:r>
    </w:p>
    <w:p>
      <w:pPr>
        <w:pStyle w:val="DefinedTerms"/>
      </w:pPr>
      <w:r>
        <w:t>coordinate</w:t>
      </w:r>
      <w:r>
        <w:tab/>
        <w:t>10AA(1), 10A(1)</w:t>
      </w:r>
    </w:p>
    <w:p>
      <w:pPr>
        <w:pStyle w:val="DefinedTerms"/>
      </w:pPr>
      <w:r>
        <w:t>domestic bore</w:t>
      </w:r>
      <w:r>
        <w:tab/>
        <w:t>3</w:t>
      </w:r>
    </w:p>
    <w:p>
      <w:pPr>
        <w:pStyle w:val="DefinedTerms"/>
      </w:pPr>
      <w:r>
        <w:t>domestic bore water</w:t>
      </w:r>
      <w:r>
        <w:tab/>
        <w:t>3</w:t>
      </w:r>
    </w:p>
    <w:p>
      <w:pPr>
        <w:pStyle w:val="DefinedTerms"/>
      </w:pPr>
      <w:r>
        <w:t>evening period</w:t>
      </w:r>
      <w:r>
        <w:tab/>
        <w:t>3</w:t>
      </w:r>
    </w:p>
    <w:p>
      <w:pPr>
        <w:pStyle w:val="DefinedTerms"/>
      </w:pPr>
      <w:r>
        <w:t>former plan</w:t>
      </w:r>
      <w:r>
        <w:tab/>
        <w:t>31(1)</w:t>
      </w:r>
    </w:p>
    <w:p>
      <w:pPr>
        <w:pStyle w:val="DefinedTerms"/>
      </w:pPr>
      <w:r>
        <w:t>garden</w:t>
      </w:r>
      <w:r>
        <w:tab/>
        <w:t>3</w:t>
      </w:r>
    </w:p>
    <w:p>
      <w:pPr>
        <w:pStyle w:val="DefinedTerms"/>
      </w:pPr>
      <w:r>
        <w:t>high pressure water cleaner</w:t>
      </w:r>
      <w:r>
        <w:tab/>
        <w:t>3</w:t>
      </w:r>
    </w:p>
    <w:p>
      <w:pPr>
        <w:pStyle w:val="DefinedTerms"/>
      </w:pPr>
      <w:r>
        <w:t>lawn</w:t>
      </w:r>
      <w:r>
        <w:tab/>
        <w:t>3</w:t>
      </w:r>
    </w:p>
    <w:p>
      <w:pPr>
        <w:pStyle w:val="DefinedTerms"/>
      </w:pPr>
      <w:r>
        <w:t>morning period</w:t>
      </w:r>
      <w:r>
        <w:tab/>
        <w:t>3</w:t>
      </w:r>
    </w:p>
    <w:p>
      <w:pPr>
        <w:pStyle w:val="DefinedTerms"/>
      </w:pPr>
      <w:r>
        <w:t>non</w:t>
      </w:r>
      <w:r>
        <w:noBreakHyphen/>
        <w:t>residential lot</w:t>
      </w:r>
      <w:r>
        <w:tab/>
        <w:t>18</w:t>
      </w:r>
    </w:p>
    <w:p>
      <w:pPr>
        <w:pStyle w:val="DefinedTerms"/>
      </w:pPr>
      <w:r>
        <w:t>other property</w:t>
      </w:r>
      <w:r>
        <w:tab/>
        <w:t>11(1)(b)</w:t>
      </w:r>
    </w:p>
    <w:p>
      <w:pPr>
        <w:pStyle w:val="DefinedTerms"/>
      </w:pPr>
      <w:r>
        <w:t>relevant property</w:t>
      </w:r>
      <w:r>
        <w:tab/>
        <w:t>3</w:t>
      </w:r>
    </w:p>
    <w:p>
      <w:pPr>
        <w:pStyle w:val="DefinedTerms"/>
      </w:pPr>
      <w:r>
        <w:t>restriction notice</w:t>
      </w:r>
      <w:r>
        <w:tab/>
        <w:t>31(1)</w:t>
      </w:r>
    </w:p>
    <w:p>
      <w:pPr>
        <w:pStyle w:val="DefinedTerms"/>
      </w:pPr>
      <w:r>
        <w:t xml:space="preserve">scheme water </w:t>
      </w:r>
      <w:r>
        <w:tab/>
        <w:t>3</w:t>
      </w:r>
    </w:p>
    <w:p>
      <w:pPr>
        <w:pStyle w:val="DefinedTerms"/>
      </w:pPr>
      <w:r>
        <w:t>scheme water efficiency management plan</w:t>
      </w:r>
      <w:r>
        <w:tab/>
        <w:t>18</w:t>
      </w:r>
    </w:p>
    <w:p>
      <w:pPr>
        <w:pStyle w:val="DefinedTerms"/>
      </w:pPr>
      <w:r>
        <w:t>scheme water supplier</w:t>
      </w:r>
      <w:r>
        <w:tab/>
        <w:t>3</w:t>
      </w:r>
    </w:p>
    <w:p>
      <w:pPr>
        <w:pStyle w:val="DefinedTerms"/>
      </w:pPr>
      <w:r>
        <w:t>specified day</w:t>
      </w:r>
      <w:r>
        <w:tab/>
        <w:t>31(1)</w:t>
      </w:r>
    </w:p>
    <w:p>
      <w:pPr>
        <w:pStyle w:val="DefinedTerms"/>
      </w:pPr>
      <w:r>
        <w:t>stage of restrictions</w:t>
      </w:r>
      <w:r>
        <w:tab/>
        <w:t>3</w:t>
      </w:r>
    </w:p>
    <w:p>
      <w:pPr>
        <w:pStyle w:val="DefinedTerms"/>
      </w:pPr>
      <w:r>
        <w:t>synthetic sporting ground</w:t>
      </w:r>
      <w:r>
        <w:tab/>
        <w:t>3</w:t>
      </w:r>
    </w:p>
    <w:p>
      <w:pPr>
        <w:pStyle w:val="DefinedTerms"/>
      </w:pPr>
      <w:r>
        <w:t>water</w:t>
      </w:r>
      <w:r>
        <w:tab/>
        <w:t>3, 18</w:t>
      </w:r>
    </w:p>
    <w:p>
      <w:pPr>
        <w:pStyle w:val="DefinedTerms"/>
      </w:pPr>
      <w:r>
        <w:t>week</w:t>
      </w:r>
      <w:r>
        <w:tab/>
        <w:t>3</w:t>
      </w:r>
    </w:p>
    <w:p>
      <w:pPr>
        <w:pStyle w:val="DefinedTerms"/>
      </w:pPr>
      <w:r>
        <w:t>written approval</w:t>
      </w:r>
      <w:r>
        <w:tab/>
        <w:t>4(1)</w:t>
      </w:r>
    </w:p>
    <w:p>
      <w:pPr>
        <w:pStyle w:val="DefinedTerms"/>
        <w:sectPr>
          <w:headerReference w:type="even" r:id="rId42"/>
          <w:headerReference w:type="default" r:id="rId43"/>
          <w:headerReference w:type="first" r:id="rId44"/>
          <w:endnotePr>
            <w:numFmt w:val="decimal"/>
          </w:endnotePr>
          <w:pgSz w:w="11906" w:h="16838" w:code="9"/>
          <w:pgMar w:top="2376" w:right="2404" w:bottom="3544" w:left="2404" w:header="720" w:footer="3380" w:gutter="0"/>
          <w:cols w:space="720"/>
          <w:noEndnote/>
          <w:docGrid w:linePitch="326"/>
        </w:sectPr>
      </w:pPr>
    </w:p>
    <w:p/>
    <w:p/>
    <w:p/>
    <w:p/>
    <w:p/>
    <w:sectPr>
      <w:headerReference w:type="even" r:id="rId4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p>
      <w:pPr>
        <w:pStyle w:val="nTable"/>
      </w:pPr>
      <w:r>
        <w:separator/>
      </w:r>
    </w:p>
  </w:footnote>
  <w:footnote w:type="continuationSeparator" w:id="0">
    <w:p>
      <w:pPr>
        <w:pStyle w:val="nTabl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noProof/>
            </w:rPr>
            <w:instrText>Schedule 1Schedule 1</w:instrText>
          </w:r>
          <w:r>
            <w:rPr>
              <w:bCs/>
            </w:rPr>
            <w:fldChar w:fldCharType="end"/>
          </w:r>
        </w:p>
      </w:tc>
    </w:tr>
    <w:tr>
      <w:tc>
        <w:tcPr>
          <w:tcW w:w="5715" w:type="dxa"/>
        </w:tcPr>
        <w:p>
          <w:pPr>
            <w:pStyle w:val="HeaderTextRight"/>
          </w:pPr>
          <w:fldSimple w:instr=" styleref CharSDivText ">
            <w:r>
              <w:rPr>
                <w:noProof/>
              </w:rPr>
              <w:t>Water Agencies (Water Use) By-laws 2007, provisions for</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Maps showing Areas 1, 2, 3 and 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rPr>
              <w:noProof/>
            </w:rPr>
            <w:fldChar w:fldCharType="end"/>
          </w:r>
          <w:r>
            <w:instrText>" "</w:instrText>
          </w:r>
          <w:fldSimple w:instr=" STYLEREF CharSClsNo \n ">
            <w:r>
              <w:rPr>
                <w:noProof/>
              </w:rPr>
              <w:instrText>6</w:instrText>
            </w:r>
          </w:fldSimple>
          <w:r>
            <w:instrText>"</w:instrText>
          </w:r>
          <w:r>
            <w:rPr>
              <w:noProof/>
            </w:rPr>
            <w:instrText>77</w:instrTex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Maps showing Areas 1, 2, 3 and 4</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rPr>
              <w:noProof/>
            </w:rPr>
            <w:fldChar w:fldCharType="end"/>
          </w:r>
          <w:r>
            <w:instrText>" "</w:instrText>
          </w:r>
          <w:fldSimple w:instr=" STYLEREF CharSClsNo \n ">
            <w:r>
              <w:rPr>
                <w:noProof/>
              </w:rPr>
              <w:instrText>7</w:instrText>
            </w:r>
          </w:fldSimple>
          <w:r>
            <w:instrText>"</w:instrText>
          </w:r>
          <w:r>
            <w:rPr>
              <w:noProof/>
            </w:rPr>
            <w:instrText>66</w:instrTex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c>
        <w:tcPr>
          <w:tcW w:w="5715" w:type="dxa"/>
        </w:tcPr>
        <w:p>
          <w:pPr>
            <w:pStyle w:val="HeaderTextLeft"/>
          </w:pPr>
          <w:fldSimple w:instr=" styleref CharSchText ">
            <w:r>
              <w:rPr>
                <w:noProof/>
              </w:rPr>
              <w:t>Stages of restrictions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Stages of restrictions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bl.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bl.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noProof/>
            </w:rPr>
            <w:instrText>Schedule 1Schedule 1</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fldSimple w:instr=" styleref CharSDivText ">
            <w:r>
              <w:rPr>
                <w:noProof/>
              </w:rPr>
              <w:t>Water Agencies (Water Use) By-laws 2007, provisions for</w:t>
            </w:r>
          </w:fldSimple>
        </w:p>
      </w:tc>
    </w:tr>
    <w:tr>
      <w:tc>
        <w:tcPr>
          <w:tcW w:w="1548" w:type="dxa"/>
        </w:tcPr>
        <w:p>
          <w:pPr>
            <w:pStyle w:val="HeaderNumberLeft"/>
          </w:pP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8B76CFA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89B20E2A"/>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31745"/>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character" w:styleId="EndnoteReference">
    <w:name w:val="endnote reference"/>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rPr>
      <w:sz w:val="22"/>
    </w:rPr>
  </w:style>
  <w:style w:type="character" w:customStyle="1" w:styleId="CharSDivNo">
    <w:name w:val="CharSDivNo"/>
    <w:rPr>
      <w:sz w:val="24"/>
    </w:rPr>
  </w:style>
  <w:style w:type="character" w:customStyle="1" w:styleId="CharSDivText">
    <w:name w:val="CharSDivTex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character" w:styleId="EndnoteReference">
    <w:name w:val="endnote reference"/>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rPr>
      <w:sz w:val="22"/>
    </w:rPr>
  </w:style>
  <w:style w:type="character" w:customStyle="1" w:styleId="CharSDivNo">
    <w:name w:val="CharSDivNo"/>
    <w:rPr>
      <w:sz w:val="24"/>
    </w:rPr>
  </w:style>
  <w:style w:type="character" w:customStyle="1" w:styleId="CharSDivText">
    <w:name w:val="CharSDivTex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image" Target="media/image6.png"/><Relationship Id="rId42" Type="http://schemas.openxmlformats.org/officeDocument/2006/relationships/header" Target="header18.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image" Target="media/image5.jpeg"/><Relationship Id="rId38" Type="http://schemas.openxmlformats.org/officeDocument/2006/relationships/header" Target="header14.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9.xml"/><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2.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4.jpeg"/><Relationship Id="rId36" Type="http://schemas.openxmlformats.org/officeDocument/2006/relationships/image" Target="media/image8.png"/><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1.xml"/><Relationship Id="rId44" Type="http://schemas.openxmlformats.org/officeDocument/2006/relationships/header" Target="header2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jpeg"/><Relationship Id="rId30" Type="http://schemas.openxmlformats.org/officeDocument/2006/relationships/header" Target="header10.xml"/><Relationship Id="rId35" Type="http://schemas.openxmlformats.org/officeDocument/2006/relationships/image" Target="media/image7.jpeg"/><Relationship Id="rId43"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7014</Words>
  <Characters>33181</Characters>
  <Application>Microsoft Office Word</Application>
  <DocSecurity>0</DocSecurity>
  <Lines>1144</Lines>
  <Paragraphs>788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39407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2010 - 01-a0-00</dc:title>
  <dc:subject/>
  <dc:creator/>
  <cp:keywords/>
  <dc:description/>
  <cp:lastModifiedBy>svcMRProcess</cp:lastModifiedBy>
  <cp:revision>4</cp:revision>
  <cp:lastPrinted>2013-04-08T07:46:00Z</cp:lastPrinted>
  <dcterms:created xsi:type="dcterms:W3CDTF">2018-09-18T06:28:00Z</dcterms:created>
  <dcterms:modified xsi:type="dcterms:W3CDTF">2018-09-18T06:28:00Z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CommencementDate">
    <vt:lpwstr>20130405</vt:lpwstr>
  </property>
  <property fmtid="{D5CDD505-2E9C-101B-9397-08002B2CF9AE}" pid="4" name="AsAtDate">
    <vt:lpwstr>05 Apr 2013</vt:lpwstr>
  </property>
  <property fmtid="{D5CDD505-2E9C-101B-9397-08002B2CF9AE}" pid="5" name="Suffix">
    <vt:lpwstr>01-a0-00</vt:lpwstr>
  </property>
  <property fmtid="{D5CDD505-2E9C-101B-9397-08002B2CF9AE}" pid="6" name="OwlsUID">
    <vt:i4>42426</vt:i4>
  </property>
  <property fmtid="{D5CDD505-2E9C-101B-9397-08002B2CF9AE}" pid="7" name="DocumentType">
    <vt:lpwstr>Reg</vt:lpwstr>
  </property>
  <property fmtid="{D5CDD505-2E9C-101B-9397-08002B2CF9AE}" pid="8" name="ReprintNo">
    <vt:lpwstr>1</vt:lpwstr>
  </property>
  <property fmtid="{D5CDD505-2E9C-101B-9397-08002B2CF9AE}" pid="9" name="ReprintedAsAt">
    <vt:filetime>2013-04-04T16:00:00Z</vt:filetime>
  </property>
</Properties>
</file>