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State Trading Concerns Act 1916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pStyle w:val="ReprintNo"/>
        <w:outlineLvl w:val="9"/>
      </w:pPr>
      <w:r>
        <w:t>Reprint 5:  The regulations as at 5 April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40010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_Toc382388957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_Toc382388958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_Toc382388959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_Toc382388960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_Toc382388961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4"/>
        <w:tabs>
          <w:tab w:val="right" w:leader="dot" w:pos="7086"/>
        </w:tabs>
        <w:rPr>
          <w:rFonts w:asciiTheme="minorHAnsi" w:eastAsiaTheme="minorEastAsia" w:hAnsiTheme="minorHAnsi" w:cstheme="minorBidi"/>
          <w:b w:val="0"/>
          <w:szCs w:val="22"/>
        </w:rPr>
      </w:pPr>
      <w:r>
        <w:t>Part 1 — Prescribed financial entities (regulation 2)</w:t>
      </w:r>
    </w:p>
    <w:p>
      <w:pPr>
        <w:pStyle w:val="TOC4"/>
        <w:tabs>
          <w:tab w:val="right" w:leader="dot" w:pos="7086"/>
        </w:tabs>
        <w:rPr>
          <w:rFonts w:asciiTheme="minorHAnsi" w:eastAsiaTheme="minorEastAsia" w:hAnsiTheme="minorHAnsi" w:cstheme="minorBidi"/>
          <w:b w:val="0"/>
          <w:szCs w:val="22"/>
        </w:rPr>
      </w:pPr>
      <w:r>
        <w:t>Part 2 — Prescribed activities (regulation 3)</w:t>
      </w:r>
    </w:p>
    <w:p>
      <w:pPr>
        <w:pStyle w:val="TOC2"/>
        <w:tabs>
          <w:tab w:val="right" w:leader="dot" w:pos="7086"/>
        </w:tabs>
        <w:rPr>
          <w:rFonts w:asciiTheme="minorHAnsi" w:eastAsiaTheme="minorEastAsia" w:hAnsiTheme="minorHAnsi" w:cstheme="minorBidi"/>
          <w:b w:val="0"/>
          <w:sz w:val="22"/>
          <w:szCs w:val="22"/>
        </w:rPr>
      </w:pPr>
      <w:r>
        <w:t>Schedule 2</w:t>
      </w:r>
    </w:p>
    <w:p>
      <w:pPr>
        <w:pStyle w:val="TOC4"/>
        <w:tabs>
          <w:tab w:val="right" w:leader="dot" w:pos="7086"/>
        </w:tabs>
        <w:rPr>
          <w:rFonts w:asciiTheme="minorHAnsi" w:eastAsiaTheme="minorEastAsia" w:hAnsiTheme="minorHAnsi" w:cstheme="minorBidi"/>
          <w:b w:val="0"/>
          <w:szCs w:val="22"/>
        </w:rPr>
      </w:pPr>
      <w:r>
        <w:t>Part 1 — Prescribed statutory corporations (regulation 4)</w:t>
      </w:r>
    </w:p>
    <w:p>
      <w:pPr>
        <w:pStyle w:val="TOC4"/>
        <w:tabs>
          <w:tab w:val="right" w:leader="dot" w:pos="7086"/>
        </w:tabs>
        <w:rPr>
          <w:rFonts w:asciiTheme="minorHAnsi" w:eastAsiaTheme="minorEastAsia" w:hAnsiTheme="minorHAnsi" w:cstheme="minorBidi"/>
          <w:b w:val="0"/>
          <w:szCs w:val="22"/>
        </w:rPr>
      </w:pPr>
      <w:r>
        <w:t>Part 2 — Prescribed activities (regulation 5)</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_Toc382388969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382388957"/>
      <w:r>
        <w:rPr>
          <w:rStyle w:val="CharSectno"/>
        </w:rPr>
        <w:t>1</w:t>
      </w:r>
      <w:r>
        <w:rPr>
          <w:snapToGrid w:val="0"/>
        </w:rPr>
        <w:t>.</w:t>
      </w:r>
      <w:r>
        <w:rPr>
          <w:snapToGrid w:val="0"/>
        </w:rPr>
        <w:tab/>
        <w:t>Citation</w:t>
      </w:r>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2" w:name="_Toc382388958"/>
      <w:r>
        <w:rPr>
          <w:rStyle w:val="CharSectno"/>
        </w:rPr>
        <w:t>2</w:t>
      </w:r>
      <w:r>
        <w:rPr>
          <w:snapToGrid w:val="0"/>
        </w:rPr>
        <w:t>.</w:t>
      </w:r>
      <w:r>
        <w:rPr>
          <w:snapToGrid w:val="0"/>
        </w:rPr>
        <w:tab/>
        <w:t>Prescribed financial entities (Act s. 4A(2)(a))</w:t>
      </w:r>
      <w:bookmarkEnd w:id="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3" w:name="_Toc382388959"/>
      <w:r>
        <w:rPr>
          <w:rStyle w:val="CharSectno"/>
        </w:rPr>
        <w:t>3</w:t>
      </w:r>
      <w:r>
        <w:rPr>
          <w:snapToGrid w:val="0"/>
        </w:rPr>
        <w:t>.</w:t>
      </w:r>
      <w:r>
        <w:rPr>
          <w:snapToGrid w:val="0"/>
        </w:rPr>
        <w:tab/>
        <w:t>Prescribed activities by financial entities (Act s. 4A(2)(b))</w:t>
      </w:r>
      <w:bookmarkEnd w:id="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4" w:name="_Toc382388960"/>
      <w:r>
        <w:rPr>
          <w:rStyle w:val="CharSectno"/>
        </w:rPr>
        <w:t>4</w:t>
      </w:r>
      <w:r>
        <w:t>.</w:t>
      </w:r>
      <w:r>
        <w:tab/>
        <w:t>Prescribed statutory corporations (Act s. 4B(2))</w:t>
      </w:r>
      <w:bookmarkEnd w:id="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5" w:name="_Toc382388961"/>
      <w:r>
        <w:rPr>
          <w:rStyle w:val="CharSectno"/>
        </w:rPr>
        <w:t>5</w:t>
      </w:r>
      <w:r>
        <w:t>.</w:t>
      </w:r>
      <w:r>
        <w:tab/>
        <w:t>Prescribed activities by statutory corporations (Act s. 4B(2))</w:t>
      </w:r>
      <w:bookmarkEnd w:id="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 w:name="_Toc382388962"/>
      <w:r>
        <w:rPr>
          <w:rStyle w:val="CharSchNo"/>
        </w:rPr>
        <w:t>Schedule 1</w:t>
      </w:r>
      <w:bookmarkEnd w:id="6"/>
      <w:r>
        <w:rPr>
          <w:rStyle w:val="CharSchText"/>
        </w:rPr>
        <w:t xml:space="preserve"> </w:t>
      </w:r>
    </w:p>
    <w:p>
      <w:pPr>
        <w:pStyle w:val="yFootnoteheading"/>
        <w:tabs>
          <w:tab w:val="left" w:pos="600"/>
        </w:tabs>
      </w:pPr>
      <w:r>
        <w:tab/>
        <w:t>[Heading inserted in Gazette 31 Aug 1999 p. 4241.]</w:t>
      </w:r>
    </w:p>
    <w:p>
      <w:pPr>
        <w:pStyle w:val="yHeading3"/>
      </w:pPr>
      <w:bookmarkStart w:id="7" w:name="_Toc382388963"/>
      <w:r>
        <w:rPr>
          <w:rStyle w:val="CharSDivNo"/>
        </w:rPr>
        <w:t>Part 1</w:t>
      </w:r>
      <w:r>
        <w:t xml:space="preserve"> — </w:t>
      </w:r>
      <w:r>
        <w:rPr>
          <w:rStyle w:val="CharSDivText"/>
        </w:rPr>
        <w:t>Prescribed financial entities (regulation 2)</w:t>
      </w:r>
      <w:bookmarkEnd w:id="7"/>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rPr>
          <w:vertAlign w:val="superscript"/>
        </w:rPr>
      </w:pPr>
      <w:r>
        <w:t>Department of Justice</w:t>
      </w:r>
      <w:r>
        <w:rPr>
          <w:vertAlign w:val="superscript"/>
        </w:rPr>
        <w:t> 6</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w:t>
      </w:r>
    </w:p>
    <w:p>
      <w:pPr>
        <w:pStyle w:val="yHeading3"/>
      </w:pPr>
      <w:bookmarkStart w:id="8" w:name="_Toc382388964"/>
      <w:r>
        <w:rPr>
          <w:rStyle w:val="CharSDivNo"/>
        </w:rPr>
        <w:t>Part 2</w:t>
      </w:r>
      <w:r>
        <w:t xml:space="preserve"> — </w:t>
      </w:r>
      <w:r>
        <w:rPr>
          <w:rStyle w:val="CharSDivText"/>
        </w:rPr>
        <w:t>Prescribed activities (regulation 3)</w:t>
      </w:r>
      <w:bookmarkEnd w:id="8"/>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keepNext/>
        <w:rPr>
          <w:u w:val="single"/>
          <w:vertAlign w:val="superscript"/>
        </w:rPr>
      </w:pPr>
      <w:r>
        <w:rPr>
          <w:u w:val="single"/>
        </w:rPr>
        <w:t>Department of Justice</w:t>
      </w:r>
      <w:r>
        <w:rPr>
          <w:u w:val="single"/>
          <w:vertAlign w:val="superscript"/>
        </w:rPr>
        <w:t> 6</w:t>
      </w:r>
    </w:p>
    <w:p>
      <w:pPr>
        <w:pStyle w:val="yMiscellaneousBody"/>
        <w:tabs>
          <w:tab w:val="left" w:pos="532"/>
        </w:tabs>
        <w:ind w:left="546" w:hanging="546"/>
        <w:rPr>
          <w:u w:val="single"/>
        </w:rPr>
      </w:pPr>
      <w:r>
        <w:tab/>
        <w:t>The provision of information or intellectual property that is or has been developed by the Department of Justice in relation to scientific, technical, educational, training, management and advisory services provided by the Department of Justice.</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w:t>
      </w:r>
    </w:p>
    <w:p>
      <w:pPr>
        <w:pStyle w:val="yScheduleHeading"/>
      </w:pPr>
      <w:bookmarkStart w:id="9" w:name="_Toc382388965"/>
      <w:r>
        <w:rPr>
          <w:rStyle w:val="CharSchNo"/>
        </w:rPr>
        <w:t>Schedule 2</w:t>
      </w:r>
      <w:bookmarkEnd w:id="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10" w:name="_Toc382388966"/>
      <w:r>
        <w:rPr>
          <w:rStyle w:val="CharSDivNo"/>
        </w:rPr>
        <w:t>Part 1</w:t>
      </w:r>
      <w:r>
        <w:t xml:space="preserve"> — </w:t>
      </w:r>
      <w:r>
        <w:rPr>
          <w:rStyle w:val="CharSDivText"/>
        </w:rPr>
        <w:t>Prescribed statutory corporations (regulation 4)</w:t>
      </w:r>
      <w:bookmarkEnd w:id="1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11" w:name="_Toc382388967"/>
      <w:r>
        <w:rPr>
          <w:rStyle w:val="CharSDivNo"/>
        </w:rPr>
        <w:t>Part 2</w:t>
      </w:r>
      <w:r>
        <w:t xml:space="preserve"> — </w:t>
      </w:r>
      <w:r>
        <w:rPr>
          <w:rStyle w:val="CharSDivText"/>
        </w:rPr>
        <w:t>Prescribed activities (regulation 5)</w:t>
      </w:r>
      <w:bookmarkEnd w:id="1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2" w:name="_Toc382388968"/>
      <w:r>
        <w:t>Notes</w:t>
      </w:r>
      <w:bookmarkEnd w:id="12"/>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82388969"/>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4261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(Authorization)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(Authorization)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z w:val="19"/>
              </w:rPr>
              <w:t>r. 1 and 2: 1 Oct 2010 (see r. 2(a));</w:t>
            </w:r>
            <w:r>
              <w:rPr>
                <w:snapToGrid w:val="0"/>
                <w:sz w:val="19"/>
              </w:rPr>
              <w:br/>
              <w:t>Regulations other than r. 1 and 2: 2 Oct 2010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9"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z w:val="19"/>
              </w:rPr>
            </w:pPr>
            <w:r>
              <w:rPr>
                <w:snapToGrid w:val="0"/>
                <w:sz w:val="19"/>
              </w:rPr>
              <w:t>r. 1 and 2: 23 Sep 2011 (see r. 2(a));</w:t>
            </w:r>
            <w:r>
              <w:rPr>
                <w:snapToGrid w:val="0"/>
                <w:sz w:val="19"/>
              </w:rPr>
              <w:br/>
              <w:t>Regulations other than r. 1 and 2: 24 Sep 2011 (see r. 2(b))</w:t>
            </w:r>
          </w:p>
        </w:tc>
      </w:tr>
      <w:tr>
        <w:tc>
          <w:tcPr>
            <w:tcW w:w="3119"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z w:val="19"/>
              </w:rPr>
            </w:pPr>
            <w:r>
              <w:rPr>
                <w:snapToGrid w:val="0"/>
                <w:sz w:val="19"/>
              </w:rPr>
              <w:t>r. 1 and 2: 8 Nov 2011 (see r. 2(a));</w:t>
            </w:r>
            <w:r>
              <w:rPr>
                <w:snapToGrid w:val="0"/>
                <w:sz w:val="19"/>
              </w:rPr>
              <w:br/>
              <w:t>Regulations other than r. 1 and 2: 9 Nov 2011 (see r. 2(b))</w:t>
            </w:r>
          </w:p>
        </w:tc>
      </w:tr>
      <w:tr>
        <w:trPr>
          <w:cantSplit/>
        </w:trPr>
        <w:tc>
          <w:tcPr>
            <w:tcW w:w="3119"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z w:val="19"/>
              </w:rPr>
            </w:pPr>
            <w:r>
              <w:rPr>
                <w:snapToGrid w:val="0"/>
                <w:sz w:val="19"/>
              </w:rPr>
              <w:t>r. 1 and 2: 29 Jun 2012 (see r. 2(a));</w:t>
            </w:r>
            <w:r>
              <w:rPr>
                <w:snapToGrid w:val="0"/>
                <w:sz w:val="19"/>
              </w:rPr>
              <w:br/>
              <w:t>Regulations other than r. 1 and 2: 30 Jun 2012 (see r. 2(b))</w:t>
            </w:r>
          </w:p>
        </w:tc>
      </w:tr>
      <w:tr>
        <w:tc>
          <w:tcPr>
            <w:tcW w:w="3119" w:type="dxa"/>
          </w:tcPr>
          <w:p>
            <w:pPr>
              <w:pStyle w:val="nTable"/>
              <w:spacing w:after="40"/>
              <w:rPr>
                <w:i/>
                <w:sz w:val="19"/>
              </w:rPr>
            </w:pPr>
            <w:r>
              <w:rPr>
                <w:i/>
                <w:sz w:val="19"/>
              </w:rPr>
              <w:t>State Trading Concerns (Authorisation) Amendment Regulations (No. 2) 2012</w:t>
            </w:r>
          </w:p>
        </w:tc>
        <w:tc>
          <w:tcPr>
            <w:tcW w:w="1276" w:type="dxa"/>
          </w:tcPr>
          <w:p>
            <w:pPr>
              <w:pStyle w:val="nTable"/>
              <w:spacing w:after="40"/>
            </w:pPr>
            <w:r>
              <w:t>18 Dec 2012 p. 6598-9</w:t>
            </w:r>
          </w:p>
        </w:tc>
        <w:tc>
          <w:tcPr>
            <w:tcW w:w="2693" w:type="dxa"/>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c>
          <w:tcPr>
            <w:tcW w:w="3119" w:type="dxa"/>
          </w:tcPr>
          <w:p>
            <w:pPr>
              <w:pStyle w:val="nTable"/>
              <w:spacing w:after="40"/>
              <w:rPr>
                <w:i/>
                <w:sz w:val="19"/>
                <w:szCs w:val="19"/>
              </w:rPr>
            </w:pPr>
            <w:r>
              <w:rPr>
                <w:i/>
                <w:sz w:val="19"/>
                <w:szCs w:val="19"/>
              </w:rPr>
              <w:t>State Trading Concerns (Authorisation) Amendment Regulations (No. 3) 2012</w:t>
            </w:r>
          </w:p>
        </w:tc>
        <w:tc>
          <w:tcPr>
            <w:tcW w:w="1276" w:type="dxa"/>
          </w:tcPr>
          <w:p>
            <w:pPr>
              <w:pStyle w:val="nTable"/>
              <w:spacing w:after="40"/>
              <w:rPr>
                <w:sz w:val="19"/>
                <w:szCs w:val="19"/>
              </w:rPr>
            </w:pPr>
            <w:r>
              <w:rPr>
                <w:sz w:val="19"/>
                <w:szCs w:val="19"/>
              </w:rPr>
              <w:t>19 Feb 2013 p. 998</w:t>
            </w:r>
            <w:r>
              <w:rPr>
                <w:sz w:val="19"/>
                <w:szCs w:val="19"/>
              </w:rPr>
              <w:noBreakHyphen/>
              <w:t>9</w:t>
            </w:r>
          </w:p>
        </w:tc>
        <w:tc>
          <w:tcPr>
            <w:tcW w:w="2693" w:type="dxa"/>
          </w:tcPr>
          <w:p>
            <w:pPr>
              <w:pStyle w:val="nTable"/>
              <w:spacing w:after="40"/>
              <w:rPr>
                <w:snapToGrid w:val="0"/>
                <w:sz w:val="19"/>
                <w:szCs w:val="19"/>
              </w:rPr>
            </w:pPr>
            <w:r>
              <w:rPr>
                <w:snapToGrid w:val="0"/>
                <w:sz w:val="19"/>
                <w:szCs w:val="19"/>
              </w:rPr>
              <w:t>r. 1 and 2: 19 Feb 2013 (see r. 2(a));</w:t>
            </w:r>
            <w:r>
              <w:rPr>
                <w:snapToGrid w:val="0"/>
                <w:sz w:val="19"/>
                <w:szCs w:val="19"/>
              </w:rPr>
              <w:br/>
              <w:t>Regulations other than r. 1 and 2: 20 Feb 2013 (see r. 2(b))</w:t>
            </w:r>
          </w:p>
        </w:tc>
      </w:tr>
      <w:tr>
        <w:tc>
          <w:tcPr>
            <w:tcW w:w="7088" w:type="dxa"/>
            <w:gridSpan w:val="3"/>
            <w:tcBorders>
              <w:bottom w:val="single" w:sz="4" w:space="0" w:color="auto"/>
            </w:tcBorders>
          </w:tcPr>
          <w:p>
            <w:pPr>
              <w:pStyle w:val="nTable"/>
              <w:spacing w:after="40"/>
              <w:rPr>
                <w:rFonts w:ascii="Arial" w:hAnsi="Arial"/>
                <w:b/>
                <w:snapToGrid w:val="0"/>
                <w:spacing w:val="-2"/>
                <w:sz w:val="19"/>
              </w:rPr>
            </w:pPr>
            <w:r>
              <w:rPr>
                <w:b/>
                <w:bCs/>
                <w:sz w:val="19"/>
              </w:rPr>
              <w:t xml:space="preserve">Reprint 5: The </w:t>
            </w:r>
            <w:r>
              <w:rPr>
                <w:b/>
                <w:bCs/>
                <w:i/>
                <w:iCs/>
                <w:sz w:val="19"/>
              </w:rPr>
              <w:t xml:space="preserve">State Trading Concerns (Authorisation) Regulations 1998 </w:t>
            </w:r>
            <w:r>
              <w:rPr>
                <w:b/>
                <w:bCs/>
                <w:sz w:val="19"/>
              </w:rPr>
              <w:t>as at 5 Apr 2013</w:t>
            </w:r>
            <w:r>
              <w:rPr>
                <w:sz w:val="19"/>
              </w:rPr>
              <w:t xml:space="preserve"> (includes amendments listed above)</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reprint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4" w:name="_Toc382388970"/>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 w:name="DefinedTerms"/>
      <w:bookmarkEnd w:id="15"/>
      <w:r>
        <w:t>scientific support</w:t>
      </w:r>
      <w:r>
        <w:tab/>
        <w:t>Sch. 2 Pt. 2</w:t>
      </w:r>
    </w:p>
    <w:p/>
    <w:p/>
    <w:p/>
    <w:p/>
    <w:p/>
    <w:p/>
    <w:p/>
    <w:p/>
    <w:p/>
    <w:p/>
    <w:p/>
    <w:p/>
    <w:p/>
    <w:p/>
    <w:p/>
    <w:p/>
    <w:p/>
    <w:p/>
    <w:p/>
    <w:p/>
    <w:p/>
    <w:p/>
    <w:p/>
    <w:p/>
    <w:p/>
    <w:p/>
    <w:p/>
    <w:p/>
    <w:p/>
    <w:p/>
    <w:p/>
    <w:p/>
    <w:p>
      <w:pPr>
        <w:sectPr>
          <w:headerReference w:type="even" r:id="rId37"/>
          <w:headerReference w:type="default" r:id="rId38"/>
          <w:footerReference w:type="default" r:id="rId39"/>
          <w:headerReference w:type="first" r:id="rId40"/>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1"/>
      <w:headerReference w:type="defaul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850"/>
    <w:docVar w:name="WAFER_20140312114341" w:val="RemoveTocBookmarks,RemoveUnusedBookmarks,RemoveLanguageTags,UsedStyles,ResetPageSize"/>
    <w:docVar w:name="WAFER_20140312114341_GUID" w:val="ae62c86c-9c48-4acf-aa4e-a5154170e017"/>
    <w:docVar w:name="WAFER_20151203103850" w:val="RemoveTrackChanges"/>
    <w:docVar w:name="WAFER_20151203103850_GUID" w:val="c6c7b934-5609-487a-a6d3-b81106242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2C5A8-16CF-4331-B047-346DFF215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4843</Words>
  <Characters>25673</Characters>
  <Application>Microsoft Office Word</Application>
  <DocSecurity>0</DocSecurity>
  <Lines>885</Lines>
  <Paragraphs>476</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1998 - 05-00-02</dc:title>
  <dc:subject/>
  <dc:creator/>
  <cp:keywords/>
  <dc:description/>
  <cp:lastModifiedBy>svcMRProcess</cp:lastModifiedBy>
  <cp:revision>4</cp:revision>
  <cp:lastPrinted>2013-03-27T01:20:00Z</cp:lastPrinted>
  <dcterms:created xsi:type="dcterms:W3CDTF">2020-04-26T01:55:00Z</dcterms:created>
  <dcterms:modified xsi:type="dcterms:W3CDTF">2020-04-26T01:55:00Z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89</vt:i4>
  </property>
  <property fmtid="{D5CDD505-2E9C-101B-9397-08002B2CF9AE}" pid="6" name="AsAtDate">
    <vt:lpwstr>05 Apr 2013</vt:lpwstr>
  </property>
  <property fmtid="{D5CDD505-2E9C-101B-9397-08002B2CF9AE}" pid="7" name="Suffix">
    <vt:lpwstr>05-00-02</vt:lpwstr>
  </property>
  <property fmtid="{D5CDD505-2E9C-101B-9397-08002B2CF9AE}" pid="8" name="ReprintNo">
    <vt:lpwstr>5</vt:lpwstr>
  </property>
  <property fmtid="{D5CDD505-2E9C-101B-9397-08002B2CF9AE}" pid="9" name="ReprintedAsAt">
    <vt:filetime>2013-04-04T16:00:00Z</vt:filetime>
  </property>
</Properties>
</file>