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(Wangkatjungka Restricted Area)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_Toc421007788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_Toc421007789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“Wangkatjungka Aboriginal Community” in these regulations</w:t>
      </w:r>
      <w:r>
        <w:tab/>
      </w:r>
      <w:r>
        <w:fldChar w:fldCharType="begin"/>
      </w:r>
      <w:r>
        <w:instrText xml:space="preserve"> PAGEREF _Toc421007790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_Toc421007791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_Toc421007792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_Toc421007793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Wangkatjungka Aboriginal Community</w:t>
      </w:r>
      <w:r>
        <w:tab/>
      </w:r>
      <w:r>
        <w:fldChar w:fldCharType="begin"/>
      </w:r>
      <w:r>
        <w:instrText xml:space="preserve"> PAGEREF _Toc421007794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_Toc421007795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_Toc421007796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_Toc421007798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3" w:name="_Toc379205408"/>
      <w:bookmarkStart w:id="4" w:name="_Toc421007788"/>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6" w:name="_Toc379205409"/>
      <w:bookmarkStart w:id="7" w:name="_Toc42100778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79205410"/>
      <w:bookmarkStart w:id="9" w:name="_Toc421007790"/>
      <w:r>
        <w:rPr>
          <w:rStyle w:val="CharSectno"/>
        </w:rPr>
        <w:t>3</w:t>
      </w:r>
      <w:r>
        <w:t>.</w:t>
      </w:r>
      <w:r>
        <w:tab/>
        <w:t>Meaning of “Wangkatjungka Aboriginal Community” in these regulations</w:t>
      </w:r>
      <w:bookmarkEnd w:id="8"/>
      <w:bookmarkEnd w:id="9"/>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10" w:name="_Toc379205411"/>
      <w:bookmarkStart w:id="11" w:name="_Toc421007791"/>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79205412"/>
      <w:bookmarkStart w:id="13" w:name="_Toc421007792"/>
      <w:r>
        <w:rPr>
          <w:rStyle w:val="CharSectno"/>
        </w:rPr>
        <w:t>5</w:t>
      </w:r>
      <w:r>
        <w:t>.</w:t>
      </w:r>
      <w:r>
        <w:tab/>
        <w:t>Declaration of restricted area</w:t>
      </w:r>
      <w:bookmarkEnd w:id="12"/>
      <w:bookmarkEnd w:id="13"/>
    </w:p>
    <w:p>
      <w:pPr>
        <w:pStyle w:val="Subsection"/>
      </w:pPr>
      <w:r>
        <w:tab/>
      </w:r>
      <w:r>
        <w:tab/>
        <w:t>The Wangkatjungka Aboriginal Community is declared to be a restricted area for the purposes of section 175(1a) of the Act.</w:t>
      </w:r>
    </w:p>
    <w:p>
      <w:pPr>
        <w:pStyle w:val="Heading5"/>
      </w:pPr>
      <w:bookmarkStart w:id="14" w:name="_Toc379205413"/>
      <w:bookmarkStart w:id="15" w:name="_Toc421007793"/>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79205414"/>
      <w:bookmarkStart w:id="17" w:name="_Toc421007794"/>
      <w:r>
        <w:rPr>
          <w:rStyle w:val="CharSectno"/>
        </w:rPr>
        <w:t>7</w:t>
      </w:r>
      <w:r>
        <w:t>.</w:t>
      </w:r>
      <w:r>
        <w:tab/>
        <w:t>Prohibitions as to liquor in Wangkatjungka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79205415"/>
      <w:bookmarkStart w:id="19" w:name="_Toc421007795"/>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79205416"/>
      <w:bookmarkStart w:id="21" w:name="_Toc421007796"/>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on the day 8 years after the day referred to in regulation 2(b).</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21 Apr 2009 p. 1370; 20 Apr 2010 p. 1513; 19 Apr 2013 p. 1569.]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79205417"/>
      <w:bookmarkStart w:id="23" w:name="_Toc421007786"/>
      <w:bookmarkStart w:id="24" w:name="_Toc421007797"/>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(Wangkatjungka Restricted Area) Regulations 2008</w:t>
      </w:r>
      <w:r>
        <w:rPr>
          <w:noProof/>
          <w:snapToGrid w:val="0"/>
          <w:vertAlign w:val="superscript"/>
        </w:rPr>
        <w:t> 2</w:t>
      </w:r>
      <w:r>
        <w:rPr>
          <w:snapToGrid w:val="0"/>
        </w:rPr>
        <w:t xml:space="preserve"> and includes the amendments made by the other written laws referred to in the following table.</w:t>
      </w:r>
    </w:p>
    <w:p>
      <w:pPr>
        <w:pStyle w:val="nHeading3"/>
      </w:pPr>
      <w:bookmarkStart w:id="25" w:name="_Toc379205418"/>
      <w:bookmarkStart w:id="26" w:name="_Toc421007798"/>
      <w:r>
        <w:t>Compilation table</w:t>
      </w:r>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c>
          <w:tcPr>
            <w:tcW w:w="3118" w:type="dxa"/>
            <w:tcBorders>
              <w:top w:val="nil"/>
              <w:bottom w:val="single" w:sz="4" w:space="0" w:color="auto"/>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single" w:sz="4" w:space="0" w:color="auto"/>
            </w:tcBorders>
          </w:tcPr>
          <w:p>
            <w:pPr>
              <w:pStyle w:val="nTable"/>
              <w:spacing w:after="40"/>
            </w:pPr>
            <w:r>
              <w:t>19 Apr 2013 p. 1569</w:t>
            </w:r>
          </w:p>
        </w:tc>
        <w:tc>
          <w:tcPr>
            <w:tcW w:w="2693" w:type="dxa"/>
            <w:tcBorders>
              <w:top w:val="nil"/>
              <w:bottom w:val="single" w:sz="4" w:space="0" w:color="auto"/>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bl>
    <w:p>
      <w:pPr>
        <w:pStyle w:val="nSubsection"/>
      </w:pPr>
      <w:r>
        <w:rPr>
          <w:vertAlign w:val="superscript"/>
        </w:rPr>
        <w:t>2</w:t>
      </w:r>
      <w:r>
        <w:tab/>
        <w:t>These regulations expire 23 Apr 2016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8" w:name="_Toc421007799"/>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Wangkatjungka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Apr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Apr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927"/>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912</Words>
  <Characters>4590</Characters>
  <Application>Microsoft Office Word</Application>
  <DocSecurity>0</DocSecurity>
  <Lines>170</Lines>
  <Paragraphs>110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2008 - 00-d0-03</dc:title>
  <dc:subject/>
  <dc:creator/>
  <cp:keywords/>
  <dc:description/>
  <cp:lastModifiedBy>svcMRProcess</cp:lastModifiedBy>
  <cp:revision>4</cp:revision>
  <cp:lastPrinted>2008-03-28T02:05:00Z</cp:lastPrinted>
  <dcterms:created xsi:type="dcterms:W3CDTF">2015-11-26T02:42:00Z</dcterms:created>
  <dcterms:modified xsi:type="dcterms:W3CDTF">2015-11-26T02:42:00Z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CommencementDate">
    <vt:lpwstr>20130420</vt:lpwstr>
  </property>
  <property fmtid="{D5CDD505-2E9C-101B-9397-08002B2CF9AE}" pid="4" name="OwlsUID">
    <vt:i4>40295</vt:i4>
  </property>
  <property fmtid="{D5CDD505-2E9C-101B-9397-08002B2CF9AE}" pid="5" name="DocumentType">
    <vt:lpwstr>Reg</vt:lpwstr>
  </property>
  <property fmtid="{D5CDD505-2E9C-101B-9397-08002B2CF9AE}" pid="6" name="AsAtDate">
    <vt:lpwstr>20 Apr 2013</vt:lpwstr>
  </property>
  <property fmtid="{D5CDD505-2E9C-101B-9397-08002B2CF9AE}" pid="7" name="Suffix">
    <vt:lpwstr>00-d0-03</vt:lpwstr>
  </property>
</Properties>
</file>