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Combat Sports Act 1987</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Combat Sports Regulations 2004</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1</w:t>
      </w:r>
      <w:r>
        <w:fldChar w:fldCharType="end"/>
      </w:r>
      <w:r>
        <w:t xml:space="preserve">:  The regulations as at </w:t>
      </w:r>
      <w:r>
        <w:fldChar w:fldCharType="begin"/>
      </w:r>
      <w:r>
        <w:instrText xml:space="preserve"> DOCPROPERTY "ReprintedAsAt" \@ "d MMMM yyyy" </w:instrText>
      </w:r>
      <w:r>
        <w:fldChar w:fldCharType="separate"/>
      </w:r>
      <w:r>
        <w:t>5 April 2013</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8.5pt" o:ole="" fillcolor="window">
            <v:imagedata r:id="rId10" o:title=""/>
          </v:shape>
          <o:OLEObject Type="Embed" ProgID="Word.Picture.8" ShapeID="_x0000_i1025" DrawAspect="Content" ObjectID="_1644894486"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5"/>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25"/>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5 April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Combat Sports Regulations 2004</w:t>
      </w:r>
      <w:r>
        <w:fldChar w:fldCharType="end"/>
      </w:r>
    </w:p>
    <w:p>
      <w:pPr>
        <w:pStyle w:val="Arrangement"/>
        <w:pBdr>
          <w:top w:val="none" w:sz="0" w:space="0" w:color="auto"/>
          <w:bottom w:val="none" w:sz="0" w:space="0" w:color="auto"/>
        </w:pBdr>
        <w:rPr>
          <w:b/>
          <w:sz w:val="28"/>
          <w:szCs w:val="28"/>
        </w:rPr>
      </w:pPr>
      <w:r>
        <w:rPr>
          <w:b/>
          <w:sz w:val="28"/>
          <w:szCs w:val="28"/>
        </w:rP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_Toc382313188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_Toc382313189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_Toc382313190 \h </w:instrText>
      </w:r>
      <w:r>
        <w:fldChar w:fldCharType="separate"/>
      </w:r>
      <w:r>
        <w:t>1</w:t>
      </w:r>
      <w:r>
        <w:fldChar w:fldCharType="end"/>
      </w:r>
    </w:p>
    <w:p>
      <w:pPr>
        <w:pStyle w:val="TOC8"/>
        <w:rPr>
          <w:rFonts w:asciiTheme="minorHAnsi" w:eastAsiaTheme="minorEastAsia" w:hAnsiTheme="minorHAnsi" w:cstheme="minorBidi"/>
          <w:szCs w:val="22"/>
        </w:rPr>
      </w:pPr>
      <w:r>
        <w:t>4.</w:t>
      </w:r>
      <w:r>
        <w:tab/>
        <w:t>Combat sports prescribed not to be combat sport</w:t>
      </w:r>
      <w:r>
        <w:tab/>
      </w:r>
      <w:r>
        <w:fldChar w:fldCharType="begin"/>
      </w:r>
      <w:r>
        <w:instrText xml:space="preserve"> PAGEREF _Toc382313191 \h </w:instrText>
      </w:r>
      <w:r>
        <w:fldChar w:fldCharType="separate"/>
      </w:r>
      <w:r>
        <w:t>2</w:t>
      </w:r>
      <w:r>
        <w:fldChar w:fldCharType="end"/>
      </w:r>
    </w:p>
    <w:p>
      <w:pPr>
        <w:pStyle w:val="TOC8"/>
        <w:rPr>
          <w:rFonts w:asciiTheme="minorHAnsi" w:eastAsiaTheme="minorEastAsia" w:hAnsiTheme="minorHAnsi" w:cstheme="minorBidi"/>
          <w:szCs w:val="22"/>
        </w:rPr>
      </w:pPr>
      <w:r>
        <w:t>5A.</w:t>
      </w:r>
      <w:r>
        <w:tab/>
        <w:t>Contests prescribed not to be contest</w:t>
      </w:r>
      <w:r>
        <w:tab/>
      </w:r>
      <w:r>
        <w:fldChar w:fldCharType="begin"/>
      </w:r>
      <w:r>
        <w:instrText xml:space="preserve"> PAGEREF _Toc382313192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Registration</w:t>
      </w:r>
    </w:p>
    <w:p>
      <w:pPr>
        <w:pStyle w:val="TOC4"/>
        <w:tabs>
          <w:tab w:val="right" w:leader="dot" w:pos="7086"/>
        </w:tabs>
        <w:rPr>
          <w:rFonts w:asciiTheme="minorHAnsi" w:eastAsiaTheme="minorEastAsia" w:hAnsiTheme="minorHAnsi" w:cstheme="minorBidi"/>
          <w:b w:val="0"/>
          <w:szCs w:val="22"/>
        </w:rPr>
      </w:pPr>
      <w:r>
        <w:t>Division 1 — Contestants</w:t>
      </w:r>
    </w:p>
    <w:p>
      <w:pPr>
        <w:pStyle w:val="TOC8"/>
        <w:rPr>
          <w:rFonts w:asciiTheme="minorHAnsi" w:eastAsiaTheme="minorEastAsia" w:hAnsiTheme="minorHAnsi" w:cstheme="minorBidi"/>
          <w:szCs w:val="22"/>
        </w:rPr>
      </w:pPr>
      <w:r>
        <w:t>5.</w:t>
      </w:r>
      <w:r>
        <w:tab/>
      </w:r>
      <w:r>
        <w:rPr>
          <w:snapToGrid w:val="0"/>
        </w:rPr>
        <w:t>Prescribed classes of contestants</w:t>
      </w:r>
      <w:r>
        <w:tab/>
      </w:r>
      <w:r>
        <w:fldChar w:fldCharType="begin"/>
      </w:r>
      <w:r>
        <w:instrText xml:space="preserve"> PAGEREF _Toc382313195 \h </w:instrText>
      </w:r>
      <w:r>
        <w:fldChar w:fldCharType="separate"/>
      </w:r>
      <w:r>
        <w:t>4</w:t>
      </w:r>
      <w:r>
        <w:fldChar w:fldCharType="end"/>
      </w:r>
    </w:p>
    <w:p>
      <w:pPr>
        <w:pStyle w:val="TOC8"/>
        <w:rPr>
          <w:rFonts w:asciiTheme="minorHAnsi" w:eastAsiaTheme="minorEastAsia" w:hAnsiTheme="minorHAnsi" w:cstheme="minorBidi"/>
          <w:szCs w:val="22"/>
        </w:rPr>
      </w:pPr>
      <w:r>
        <w:t>6A.</w:t>
      </w:r>
      <w:r>
        <w:tab/>
        <w:t>Persons taken to be registered as contestant</w:t>
      </w:r>
      <w:r>
        <w:tab/>
      </w:r>
      <w:r>
        <w:fldChar w:fldCharType="begin"/>
      </w:r>
      <w:r>
        <w:instrText xml:space="preserve"> PAGEREF _Toc382313196 \h </w:instrText>
      </w:r>
      <w:r>
        <w:fldChar w:fldCharType="separate"/>
      </w:r>
      <w:r>
        <w:t>4</w:t>
      </w:r>
      <w:r>
        <w:fldChar w:fldCharType="end"/>
      </w:r>
    </w:p>
    <w:p>
      <w:pPr>
        <w:pStyle w:val="TOC8"/>
        <w:rPr>
          <w:rFonts w:asciiTheme="minorHAnsi" w:eastAsiaTheme="minorEastAsia" w:hAnsiTheme="minorHAnsi" w:cstheme="minorBidi"/>
          <w:szCs w:val="22"/>
        </w:rPr>
      </w:pPr>
      <w:r>
        <w:t>6.</w:t>
      </w:r>
      <w:r>
        <w:tab/>
        <w:t>Particulars to be recorded in the register</w:t>
      </w:r>
      <w:r>
        <w:tab/>
      </w:r>
      <w:r>
        <w:fldChar w:fldCharType="begin"/>
      </w:r>
      <w:r>
        <w:instrText xml:space="preserve"> PAGEREF _Toc382313197 \h </w:instrText>
      </w:r>
      <w:r>
        <w:fldChar w:fldCharType="separate"/>
      </w:r>
      <w:r>
        <w:t>4</w:t>
      </w:r>
      <w:r>
        <w:fldChar w:fldCharType="end"/>
      </w:r>
    </w:p>
    <w:p>
      <w:pPr>
        <w:pStyle w:val="TOC8"/>
        <w:rPr>
          <w:rFonts w:asciiTheme="minorHAnsi" w:eastAsiaTheme="minorEastAsia" w:hAnsiTheme="minorHAnsi" w:cstheme="minorBidi"/>
          <w:szCs w:val="22"/>
        </w:rPr>
      </w:pPr>
      <w:r>
        <w:t>7.</w:t>
      </w:r>
      <w:r>
        <w:tab/>
        <w:t>Time for making application for registration</w:t>
      </w:r>
      <w:r>
        <w:tab/>
      </w:r>
      <w:r>
        <w:fldChar w:fldCharType="begin"/>
      </w:r>
      <w:r>
        <w:instrText xml:space="preserve"> PAGEREF _Toc382313198 \h </w:instrText>
      </w:r>
      <w:r>
        <w:fldChar w:fldCharType="separate"/>
      </w:r>
      <w:r>
        <w:t>5</w:t>
      </w:r>
      <w:r>
        <w:fldChar w:fldCharType="end"/>
      </w:r>
    </w:p>
    <w:p>
      <w:pPr>
        <w:pStyle w:val="TOC8"/>
        <w:rPr>
          <w:rFonts w:asciiTheme="minorHAnsi" w:eastAsiaTheme="minorEastAsia" w:hAnsiTheme="minorHAnsi" w:cstheme="minorBidi"/>
          <w:szCs w:val="22"/>
        </w:rPr>
      </w:pPr>
      <w:r>
        <w:t>8A.</w:t>
      </w:r>
      <w:r>
        <w:tab/>
        <w:t>Prescribed medical information</w:t>
      </w:r>
      <w:r>
        <w:tab/>
      </w:r>
      <w:r>
        <w:fldChar w:fldCharType="begin"/>
      </w:r>
      <w:r>
        <w:instrText xml:space="preserve"> PAGEREF _Toc382313199 \h </w:instrText>
      </w:r>
      <w:r>
        <w:fldChar w:fldCharType="separate"/>
      </w:r>
      <w:r>
        <w:t>5</w:t>
      </w:r>
      <w:r>
        <w:fldChar w:fldCharType="end"/>
      </w:r>
    </w:p>
    <w:p>
      <w:pPr>
        <w:pStyle w:val="TOC8"/>
        <w:rPr>
          <w:rFonts w:asciiTheme="minorHAnsi" w:eastAsiaTheme="minorEastAsia" w:hAnsiTheme="minorHAnsi" w:cstheme="minorBidi"/>
          <w:szCs w:val="22"/>
        </w:rPr>
      </w:pPr>
      <w:r>
        <w:t>8B.</w:t>
      </w:r>
      <w:r>
        <w:tab/>
        <w:t>Prescribed ages for classes of contestants</w:t>
      </w:r>
      <w:r>
        <w:tab/>
      </w:r>
      <w:r>
        <w:fldChar w:fldCharType="begin"/>
      </w:r>
      <w:r>
        <w:instrText xml:space="preserve"> PAGEREF _Toc382313200 \h </w:instrText>
      </w:r>
      <w:r>
        <w:fldChar w:fldCharType="separate"/>
      </w:r>
      <w:r>
        <w:t>6</w:t>
      </w:r>
      <w:r>
        <w:fldChar w:fldCharType="end"/>
      </w:r>
    </w:p>
    <w:p>
      <w:pPr>
        <w:pStyle w:val="TOC8"/>
        <w:rPr>
          <w:rFonts w:asciiTheme="minorHAnsi" w:eastAsiaTheme="minorEastAsia" w:hAnsiTheme="minorHAnsi" w:cstheme="minorBidi"/>
          <w:szCs w:val="22"/>
        </w:rPr>
      </w:pPr>
      <w:r>
        <w:t>8C.</w:t>
      </w:r>
      <w:r>
        <w:tab/>
        <w:t>Contestant record book</w:t>
      </w:r>
      <w:r>
        <w:tab/>
      </w:r>
      <w:r>
        <w:fldChar w:fldCharType="begin"/>
      </w:r>
      <w:r>
        <w:instrText xml:space="preserve"> PAGEREF _Toc382313201 \h </w:instrText>
      </w:r>
      <w:r>
        <w:fldChar w:fldCharType="separate"/>
      </w:r>
      <w:r>
        <w:t>7</w:t>
      </w:r>
      <w:r>
        <w:fldChar w:fldCharType="end"/>
      </w:r>
    </w:p>
    <w:p>
      <w:pPr>
        <w:pStyle w:val="TOC8"/>
        <w:rPr>
          <w:rFonts w:asciiTheme="minorHAnsi" w:eastAsiaTheme="minorEastAsia" w:hAnsiTheme="minorHAnsi" w:cstheme="minorBidi"/>
          <w:szCs w:val="22"/>
        </w:rPr>
      </w:pPr>
      <w:r>
        <w:t>8.</w:t>
      </w:r>
      <w:r>
        <w:tab/>
        <w:t>Fees</w:t>
      </w:r>
      <w:r>
        <w:tab/>
      </w:r>
      <w:r>
        <w:fldChar w:fldCharType="begin"/>
      </w:r>
      <w:r>
        <w:instrText xml:space="preserve"> PAGEREF _Toc382313202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Industry participants</w:t>
      </w:r>
    </w:p>
    <w:p>
      <w:pPr>
        <w:pStyle w:val="TOC8"/>
        <w:rPr>
          <w:rFonts w:asciiTheme="minorHAnsi" w:eastAsiaTheme="minorEastAsia" w:hAnsiTheme="minorHAnsi" w:cstheme="minorBidi"/>
          <w:szCs w:val="22"/>
        </w:rPr>
      </w:pPr>
      <w:r>
        <w:t>9.</w:t>
      </w:r>
      <w:r>
        <w:tab/>
        <w:t>Prescribed capacities of industry participants</w:t>
      </w:r>
      <w:r>
        <w:tab/>
      </w:r>
      <w:r>
        <w:fldChar w:fldCharType="begin"/>
      </w:r>
      <w:r>
        <w:instrText xml:space="preserve"> PAGEREF _Toc382313204 \h </w:instrText>
      </w:r>
      <w:r>
        <w:fldChar w:fldCharType="separate"/>
      </w:r>
      <w:r>
        <w:t>7</w:t>
      </w:r>
      <w:r>
        <w:fldChar w:fldCharType="end"/>
      </w:r>
    </w:p>
    <w:p>
      <w:pPr>
        <w:pStyle w:val="TOC8"/>
        <w:rPr>
          <w:rFonts w:asciiTheme="minorHAnsi" w:eastAsiaTheme="minorEastAsia" w:hAnsiTheme="minorHAnsi" w:cstheme="minorBidi"/>
          <w:szCs w:val="22"/>
        </w:rPr>
      </w:pPr>
      <w:r>
        <w:t>10A.</w:t>
      </w:r>
      <w:r>
        <w:tab/>
        <w:t>Persons taken to be registered as industry participants</w:t>
      </w:r>
      <w:r>
        <w:tab/>
      </w:r>
      <w:r>
        <w:fldChar w:fldCharType="begin"/>
      </w:r>
      <w:r>
        <w:instrText xml:space="preserve"> PAGEREF _Toc382313205 \h </w:instrText>
      </w:r>
      <w:r>
        <w:fldChar w:fldCharType="separate"/>
      </w:r>
      <w:r>
        <w:t>8</w:t>
      </w:r>
      <w:r>
        <w:fldChar w:fldCharType="end"/>
      </w:r>
    </w:p>
    <w:p>
      <w:pPr>
        <w:pStyle w:val="TOC8"/>
        <w:rPr>
          <w:rFonts w:asciiTheme="minorHAnsi" w:eastAsiaTheme="minorEastAsia" w:hAnsiTheme="minorHAnsi" w:cstheme="minorBidi"/>
          <w:szCs w:val="22"/>
        </w:rPr>
      </w:pPr>
      <w:r>
        <w:t>10.</w:t>
      </w:r>
      <w:r>
        <w:tab/>
        <w:t>Register of industry participants: prescribed particulars</w:t>
      </w:r>
      <w:r>
        <w:tab/>
      </w:r>
      <w:r>
        <w:fldChar w:fldCharType="begin"/>
      </w:r>
      <w:r>
        <w:instrText xml:space="preserve"> PAGEREF _Toc382313206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Registration fees</w:t>
      </w:r>
      <w:r>
        <w:tab/>
      </w:r>
      <w:r>
        <w:fldChar w:fldCharType="begin"/>
      </w:r>
      <w:r>
        <w:instrText xml:space="preserve"> PAGEREF _Toc382313207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3 — Contests</w:t>
      </w:r>
    </w:p>
    <w:p>
      <w:pPr>
        <w:pStyle w:val="TOC4"/>
        <w:tabs>
          <w:tab w:val="right" w:leader="dot" w:pos="7086"/>
        </w:tabs>
        <w:rPr>
          <w:rFonts w:asciiTheme="minorHAnsi" w:eastAsiaTheme="minorEastAsia" w:hAnsiTheme="minorHAnsi" w:cstheme="minorBidi"/>
          <w:b w:val="0"/>
          <w:szCs w:val="22"/>
        </w:rPr>
      </w:pPr>
      <w:r>
        <w:t>Division 1 — Pre</w:t>
      </w:r>
      <w:r>
        <w:noBreakHyphen/>
        <w:t>contest matters</w:t>
      </w:r>
    </w:p>
    <w:p>
      <w:pPr>
        <w:pStyle w:val="TOC8"/>
        <w:rPr>
          <w:rFonts w:asciiTheme="minorHAnsi" w:eastAsiaTheme="minorEastAsia" w:hAnsiTheme="minorHAnsi" w:cstheme="minorBidi"/>
          <w:szCs w:val="22"/>
        </w:rPr>
      </w:pPr>
      <w:r>
        <w:t>13.</w:t>
      </w:r>
      <w:r>
        <w:tab/>
        <w:t>Information to be recorded at weigh</w:t>
      </w:r>
      <w:r>
        <w:noBreakHyphen/>
        <w:t>in</w:t>
      </w:r>
      <w:r>
        <w:tab/>
      </w:r>
      <w:r>
        <w:fldChar w:fldCharType="begin"/>
      </w:r>
      <w:r>
        <w:instrText xml:space="preserve"> PAGEREF _Toc382313210 \h </w:instrText>
      </w:r>
      <w:r>
        <w:fldChar w:fldCharType="separate"/>
      </w:r>
      <w:r>
        <w:t>11</w:t>
      </w:r>
      <w:r>
        <w:fldChar w:fldCharType="end"/>
      </w:r>
    </w:p>
    <w:p>
      <w:pPr>
        <w:pStyle w:val="TOC8"/>
        <w:rPr>
          <w:rFonts w:asciiTheme="minorHAnsi" w:eastAsiaTheme="minorEastAsia" w:hAnsiTheme="minorHAnsi" w:cstheme="minorBidi"/>
          <w:szCs w:val="22"/>
        </w:rPr>
      </w:pPr>
      <w:r>
        <w:t>14.</w:t>
      </w:r>
      <w:r>
        <w:tab/>
        <w:t>Information to be certified by medical practitioner</w:t>
      </w:r>
      <w:r>
        <w:tab/>
      </w:r>
      <w:r>
        <w:fldChar w:fldCharType="begin"/>
      </w:r>
      <w:r>
        <w:instrText xml:space="preserve"> PAGEREF _Toc382313211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2 — Rest periods</w:t>
      </w:r>
    </w:p>
    <w:p>
      <w:pPr>
        <w:pStyle w:val="TOC8"/>
        <w:rPr>
          <w:rFonts w:asciiTheme="minorHAnsi" w:eastAsiaTheme="minorEastAsia" w:hAnsiTheme="minorHAnsi" w:cstheme="minorBidi"/>
          <w:szCs w:val="22"/>
        </w:rPr>
      </w:pPr>
      <w:r>
        <w:rPr>
          <w:rFonts w:ascii="Times" w:hAnsi="Times"/>
        </w:rPr>
        <w:t>15.</w:t>
      </w:r>
      <w:r>
        <w:rPr>
          <w:rFonts w:ascii="Times" w:hAnsi="Times"/>
        </w:rPr>
        <w:tab/>
      </w:r>
      <w:r>
        <w:rPr>
          <w:rFonts w:ascii="Times" w:hAnsi="Times"/>
          <w:snapToGrid w:val="0"/>
        </w:rPr>
        <w:t>Restrictions on competing following a knockout or other loss</w:t>
      </w:r>
      <w:r>
        <w:tab/>
      </w:r>
      <w:r>
        <w:fldChar w:fldCharType="begin"/>
      </w:r>
      <w:r>
        <w:instrText xml:space="preserve"> PAGEREF _Toc382313213 \h </w:instrText>
      </w:r>
      <w:r>
        <w:fldChar w:fldCharType="separate"/>
      </w:r>
      <w:r>
        <w:t>11</w:t>
      </w:r>
      <w:r>
        <w:fldChar w:fldCharType="end"/>
      </w:r>
    </w:p>
    <w:p>
      <w:pPr>
        <w:pStyle w:val="TOC8"/>
        <w:rPr>
          <w:rFonts w:asciiTheme="minorHAnsi" w:eastAsiaTheme="minorEastAsia" w:hAnsiTheme="minorHAnsi" w:cstheme="minorBidi"/>
          <w:szCs w:val="22"/>
        </w:rPr>
      </w:pPr>
      <w:r>
        <w:rPr>
          <w:rFonts w:ascii="Times" w:hAnsi="Times"/>
        </w:rPr>
        <w:t>16.</w:t>
      </w:r>
      <w:r>
        <w:rPr>
          <w:rFonts w:ascii="Times" w:hAnsi="Times"/>
        </w:rPr>
        <w:tab/>
      </w:r>
      <w:r>
        <w:rPr>
          <w:rFonts w:ascii="Times" w:hAnsi="Times"/>
          <w:snapToGrid w:val="0"/>
        </w:rPr>
        <w:t>Restrictions on competing following a contest</w:t>
      </w:r>
      <w:r>
        <w:tab/>
      </w:r>
      <w:r>
        <w:fldChar w:fldCharType="begin"/>
      </w:r>
      <w:r>
        <w:instrText xml:space="preserve"> PAGEREF _Toc382313214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rPr>
      </w:pPr>
      <w:r>
        <w:t>Division 3 — Record of contest</w:t>
      </w:r>
    </w:p>
    <w:p>
      <w:pPr>
        <w:pStyle w:val="TOC8"/>
        <w:rPr>
          <w:rFonts w:asciiTheme="minorHAnsi" w:eastAsiaTheme="minorEastAsia" w:hAnsiTheme="minorHAnsi" w:cstheme="minorBidi"/>
          <w:szCs w:val="22"/>
        </w:rPr>
      </w:pPr>
      <w:r>
        <w:t>17A.</w:t>
      </w:r>
      <w:r>
        <w:tab/>
        <w:t>Prescribed information: record of contest</w:t>
      </w:r>
      <w:r>
        <w:tab/>
      </w:r>
      <w:r>
        <w:fldChar w:fldCharType="begin"/>
      </w:r>
      <w:r>
        <w:instrText xml:space="preserve"> PAGEREF _Toc382313216 \h </w:instrText>
      </w:r>
      <w:r>
        <w:fldChar w:fldCharType="separate"/>
      </w:r>
      <w:r>
        <w:t>13</w:t>
      </w:r>
      <w:r>
        <w:fldChar w:fldCharType="end"/>
      </w:r>
    </w:p>
    <w:p>
      <w:pPr>
        <w:pStyle w:val="TOC8"/>
        <w:rPr>
          <w:rFonts w:asciiTheme="minorHAnsi" w:eastAsiaTheme="minorEastAsia" w:hAnsiTheme="minorHAnsi" w:cstheme="minorBidi"/>
          <w:szCs w:val="22"/>
        </w:rPr>
      </w:pPr>
      <w:r>
        <w:t>17B.</w:t>
      </w:r>
      <w:r>
        <w:tab/>
        <w:t>Recording participation in contests outside State</w:t>
      </w:r>
      <w:r>
        <w:tab/>
      </w:r>
      <w:r>
        <w:fldChar w:fldCharType="begin"/>
      </w:r>
      <w:r>
        <w:instrText xml:space="preserve"> PAGEREF _Toc382313217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4 — Permits for contests</w:t>
      </w:r>
    </w:p>
    <w:p>
      <w:pPr>
        <w:pStyle w:val="TOC8"/>
        <w:rPr>
          <w:rFonts w:asciiTheme="minorHAnsi" w:eastAsiaTheme="minorEastAsia" w:hAnsiTheme="minorHAnsi" w:cstheme="minorBidi"/>
          <w:szCs w:val="22"/>
        </w:rPr>
      </w:pPr>
      <w:r>
        <w:t>17C.</w:t>
      </w:r>
      <w:r>
        <w:tab/>
        <w:t>Prescribed information: permits to conduct contests</w:t>
      </w:r>
      <w:r>
        <w:tab/>
      </w:r>
      <w:r>
        <w:fldChar w:fldCharType="begin"/>
      </w:r>
      <w:r>
        <w:instrText xml:space="preserve"> PAGEREF _Toc382313219 \h </w:instrText>
      </w:r>
      <w:r>
        <w:fldChar w:fldCharType="separate"/>
      </w:r>
      <w:r>
        <w:t>14</w:t>
      </w:r>
      <w:r>
        <w:fldChar w:fldCharType="end"/>
      </w:r>
    </w:p>
    <w:p>
      <w:pPr>
        <w:pStyle w:val="TOC8"/>
        <w:rPr>
          <w:rFonts w:asciiTheme="minorHAnsi" w:eastAsiaTheme="minorEastAsia" w:hAnsiTheme="minorHAnsi" w:cstheme="minorBidi"/>
          <w:szCs w:val="22"/>
        </w:rPr>
      </w:pPr>
      <w:r>
        <w:t>17D.</w:t>
      </w:r>
      <w:r>
        <w:tab/>
        <w:t>Prescribed information: permit for contest</w:t>
      </w:r>
      <w:r>
        <w:tab/>
      </w:r>
      <w:r>
        <w:fldChar w:fldCharType="begin"/>
      </w:r>
      <w:r>
        <w:instrText xml:space="preserve"> PAGEREF _Toc382313220 \h </w:instrText>
      </w:r>
      <w:r>
        <w:fldChar w:fldCharType="separate"/>
      </w:r>
      <w:r>
        <w:t>15</w:t>
      </w:r>
      <w:r>
        <w:fldChar w:fldCharType="end"/>
      </w:r>
    </w:p>
    <w:p>
      <w:pPr>
        <w:pStyle w:val="TOC8"/>
        <w:rPr>
          <w:rFonts w:asciiTheme="minorHAnsi" w:eastAsiaTheme="minorEastAsia" w:hAnsiTheme="minorHAnsi" w:cstheme="minorBidi"/>
          <w:szCs w:val="22"/>
        </w:rPr>
      </w:pPr>
      <w:r>
        <w:t>17E.</w:t>
      </w:r>
      <w:r>
        <w:tab/>
        <w:t>Fee for permit for contest</w:t>
      </w:r>
      <w:r>
        <w:tab/>
      </w:r>
      <w:r>
        <w:fldChar w:fldCharType="begin"/>
      </w:r>
      <w:r>
        <w:instrText xml:space="preserve"> PAGEREF _Toc382313221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rPr>
      </w:pPr>
      <w:r>
        <w:t>Part 4 — Ratings and titles</w:t>
      </w:r>
    </w:p>
    <w:p>
      <w:pPr>
        <w:pStyle w:val="TOC8"/>
        <w:rPr>
          <w:rFonts w:asciiTheme="minorHAnsi" w:eastAsiaTheme="minorEastAsia" w:hAnsiTheme="minorHAnsi" w:cstheme="minorBidi"/>
          <w:szCs w:val="22"/>
        </w:rPr>
      </w:pPr>
      <w:r>
        <w:t>17.</w:t>
      </w:r>
      <w:r>
        <w:tab/>
      </w:r>
      <w:r>
        <w:rPr>
          <w:snapToGrid w:val="0"/>
        </w:rPr>
        <w:t>Ratings</w:t>
      </w:r>
      <w:r>
        <w:tab/>
      </w:r>
      <w:r>
        <w:fldChar w:fldCharType="begin"/>
      </w:r>
      <w:r>
        <w:instrText xml:space="preserve"> PAGEREF _Toc382313223 \h </w:instrText>
      </w:r>
      <w:r>
        <w:fldChar w:fldCharType="separate"/>
      </w:r>
      <w:r>
        <w:t>16</w:t>
      </w:r>
      <w:r>
        <w:fldChar w:fldCharType="end"/>
      </w:r>
    </w:p>
    <w:p>
      <w:pPr>
        <w:pStyle w:val="TOC8"/>
        <w:rPr>
          <w:rFonts w:asciiTheme="minorHAnsi" w:eastAsiaTheme="minorEastAsia" w:hAnsiTheme="minorHAnsi" w:cstheme="minorBidi"/>
          <w:szCs w:val="22"/>
        </w:rPr>
      </w:pPr>
      <w:r>
        <w:t>18.</w:t>
      </w:r>
      <w:r>
        <w:tab/>
        <w:t>Titles</w:t>
      </w:r>
      <w:r>
        <w:tab/>
      </w:r>
      <w:r>
        <w:fldChar w:fldCharType="begin"/>
      </w:r>
      <w:r>
        <w:instrText xml:space="preserve"> PAGEREF _Toc382313224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19.</w:t>
      </w:r>
      <w:r>
        <w:tab/>
        <w:t>Minimum fees for officials</w:t>
      </w:r>
      <w:r>
        <w:tab/>
      </w:r>
      <w:r>
        <w:fldChar w:fldCharType="begin"/>
      </w:r>
      <w:r>
        <w:instrText xml:space="preserve"> PAGEREF _Toc382313226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rPr>
      </w:pPr>
      <w:r>
        <w:t>Part 6 — Savings and transitional matters</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_Toc382313228 \h </w:instrText>
      </w:r>
      <w:r>
        <w:fldChar w:fldCharType="separate"/>
      </w:r>
      <w:r>
        <w:t>18</w:t>
      </w:r>
      <w:r>
        <w:fldChar w:fldCharType="end"/>
      </w:r>
    </w:p>
    <w:p>
      <w:pPr>
        <w:pStyle w:val="TOC8"/>
        <w:rPr>
          <w:rFonts w:asciiTheme="minorHAnsi" w:eastAsiaTheme="minorEastAsia" w:hAnsiTheme="minorHAnsi" w:cstheme="minorBidi"/>
          <w:szCs w:val="22"/>
        </w:rPr>
      </w:pPr>
      <w:r>
        <w:t>21.</w:t>
      </w:r>
      <w:r>
        <w:tab/>
      </w:r>
      <w:r>
        <w:rPr>
          <w:i/>
        </w:rPr>
        <w:t>Interpretation Act 1984</w:t>
      </w:r>
      <w:r>
        <w:t xml:space="preserve"> not affected</w:t>
      </w:r>
      <w:r>
        <w:tab/>
      </w:r>
      <w:r>
        <w:fldChar w:fldCharType="begin"/>
      </w:r>
      <w:r>
        <w:instrText xml:space="preserve"> PAGEREF _Toc382313229 \h </w:instrText>
      </w:r>
      <w:r>
        <w:fldChar w:fldCharType="separate"/>
      </w:r>
      <w:r>
        <w:t>18</w:t>
      </w:r>
      <w:r>
        <w:fldChar w:fldCharType="end"/>
      </w:r>
    </w:p>
    <w:p>
      <w:pPr>
        <w:pStyle w:val="TOC8"/>
        <w:rPr>
          <w:rFonts w:asciiTheme="minorHAnsi" w:eastAsiaTheme="minorEastAsia" w:hAnsiTheme="minorHAnsi" w:cstheme="minorBidi"/>
          <w:szCs w:val="22"/>
        </w:rPr>
      </w:pPr>
      <w:r>
        <w:t>22.</w:t>
      </w:r>
      <w:r>
        <w:tab/>
        <w:t>Contestants registered under PCS Act</w:t>
      </w:r>
      <w:r>
        <w:tab/>
      </w:r>
      <w:r>
        <w:fldChar w:fldCharType="begin"/>
      </w:r>
      <w:r>
        <w:instrText xml:space="preserve"> PAGEREF _Toc382313230 \h </w:instrText>
      </w:r>
      <w:r>
        <w:fldChar w:fldCharType="separate"/>
      </w:r>
      <w:r>
        <w:t>18</w:t>
      </w:r>
      <w:r>
        <w:fldChar w:fldCharType="end"/>
      </w:r>
    </w:p>
    <w:p>
      <w:pPr>
        <w:pStyle w:val="TOC8"/>
        <w:rPr>
          <w:rFonts w:asciiTheme="minorHAnsi" w:eastAsiaTheme="minorEastAsia" w:hAnsiTheme="minorHAnsi" w:cstheme="minorBidi"/>
          <w:szCs w:val="22"/>
        </w:rPr>
      </w:pPr>
      <w:r>
        <w:t>23.</w:t>
      </w:r>
      <w:r>
        <w:tab/>
        <w:t>Certificate of registration: contestants</w:t>
      </w:r>
      <w:r>
        <w:tab/>
      </w:r>
      <w:r>
        <w:fldChar w:fldCharType="begin"/>
      </w:r>
      <w:r>
        <w:instrText xml:space="preserve"> PAGEREF _Toc382313231 \h </w:instrText>
      </w:r>
      <w:r>
        <w:fldChar w:fldCharType="separate"/>
      </w:r>
      <w:r>
        <w:t>18</w:t>
      </w:r>
      <w:r>
        <w:fldChar w:fldCharType="end"/>
      </w:r>
    </w:p>
    <w:p>
      <w:pPr>
        <w:pStyle w:val="TOC8"/>
        <w:rPr>
          <w:rFonts w:asciiTheme="minorHAnsi" w:eastAsiaTheme="minorEastAsia" w:hAnsiTheme="minorHAnsi" w:cstheme="minorBidi"/>
          <w:szCs w:val="22"/>
        </w:rPr>
      </w:pPr>
      <w:r>
        <w:t>24.</w:t>
      </w:r>
      <w:r>
        <w:tab/>
        <w:t>Participants registered under PCS Act</w:t>
      </w:r>
      <w:r>
        <w:tab/>
      </w:r>
      <w:r>
        <w:fldChar w:fldCharType="begin"/>
      </w:r>
      <w:r>
        <w:instrText xml:space="preserve"> PAGEREF _Toc382313232 \h </w:instrText>
      </w:r>
      <w:r>
        <w:fldChar w:fldCharType="separate"/>
      </w:r>
      <w:r>
        <w:t>19</w:t>
      </w:r>
      <w:r>
        <w:fldChar w:fldCharType="end"/>
      </w:r>
    </w:p>
    <w:p>
      <w:pPr>
        <w:pStyle w:val="TOC8"/>
        <w:rPr>
          <w:rFonts w:asciiTheme="minorHAnsi" w:eastAsiaTheme="minorEastAsia" w:hAnsiTheme="minorHAnsi" w:cstheme="minorBidi"/>
          <w:szCs w:val="22"/>
        </w:rPr>
      </w:pPr>
      <w:r>
        <w:t>25.</w:t>
      </w:r>
      <w:r>
        <w:tab/>
        <w:t>Certificate of registration: industry participants</w:t>
      </w:r>
      <w:r>
        <w:tab/>
      </w:r>
      <w:r>
        <w:fldChar w:fldCharType="begin"/>
      </w:r>
      <w:r>
        <w:instrText xml:space="preserve"> PAGEREF _Toc382313233 \h </w:instrText>
      </w:r>
      <w:r>
        <w:fldChar w:fldCharType="separate"/>
      </w:r>
      <w:r>
        <w:t>19</w:t>
      </w:r>
      <w:r>
        <w:fldChar w:fldCharType="end"/>
      </w:r>
    </w:p>
    <w:p>
      <w:pPr>
        <w:pStyle w:val="TOC8"/>
        <w:rPr>
          <w:rFonts w:asciiTheme="minorHAnsi" w:eastAsiaTheme="minorEastAsia" w:hAnsiTheme="minorHAnsi" w:cstheme="minorBidi"/>
          <w:szCs w:val="22"/>
        </w:rPr>
      </w:pPr>
      <w:r>
        <w:t>26.</w:t>
      </w:r>
      <w:r>
        <w:tab/>
        <w:t>Register: industry participants</w:t>
      </w:r>
      <w:r>
        <w:tab/>
      </w:r>
      <w:r>
        <w:fldChar w:fldCharType="begin"/>
      </w:r>
      <w:r>
        <w:instrText xml:space="preserve"> PAGEREF _Toc382313234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Schedule 2 — Prescribed classes of contestants</w:t>
      </w:r>
    </w:p>
    <w:p>
      <w:pPr>
        <w:pStyle w:val="TOC4"/>
        <w:tabs>
          <w:tab w:val="right" w:leader="dot" w:pos="7086"/>
        </w:tabs>
        <w:rPr>
          <w:rFonts w:asciiTheme="minorHAnsi" w:eastAsiaTheme="minorEastAsia" w:hAnsiTheme="minorHAnsi" w:cstheme="minorBidi"/>
          <w:b w:val="0"/>
          <w:szCs w:val="22"/>
        </w:rPr>
      </w:pPr>
      <w:r>
        <w:t>Division 1</w:t>
      </w:r>
      <w:r>
        <w:rPr>
          <w:b w:val="0"/>
        </w:rPr>
        <w:t> — </w:t>
      </w:r>
      <w:r>
        <w:t>Boxing, kickboxing and Muay Thai</w:t>
      </w:r>
    </w:p>
    <w:p>
      <w:pPr>
        <w:pStyle w:val="TOC4"/>
        <w:tabs>
          <w:tab w:val="right" w:leader="dot" w:pos="7086"/>
        </w:tabs>
        <w:rPr>
          <w:rFonts w:asciiTheme="minorHAnsi" w:eastAsiaTheme="minorEastAsia" w:hAnsiTheme="minorHAnsi" w:cstheme="minorBidi"/>
          <w:b w:val="0"/>
          <w:szCs w:val="22"/>
        </w:rPr>
      </w:pPr>
      <w:r>
        <w:t>Division 2</w:t>
      </w:r>
      <w:r>
        <w:rPr>
          <w:b w:val="0"/>
        </w:rPr>
        <w:t> — </w:t>
      </w:r>
      <w:r>
        <w:t>Brazilian ju jitsu and full contact karate</w:t>
      </w:r>
    </w:p>
    <w:p>
      <w:pPr>
        <w:pStyle w:val="TOC4"/>
        <w:tabs>
          <w:tab w:val="right" w:leader="dot" w:pos="7086"/>
        </w:tabs>
        <w:rPr>
          <w:rFonts w:asciiTheme="minorHAnsi" w:eastAsiaTheme="minorEastAsia" w:hAnsiTheme="minorHAnsi" w:cstheme="minorBidi"/>
          <w:b w:val="0"/>
          <w:szCs w:val="22"/>
        </w:rPr>
      </w:pPr>
      <w:r>
        <w:t>Division 3 — Mixed martial arts</w:t>
      </w:r>
    </w:p>
    <w:p>
      <w:pPr>
        <w:pStyle w:val="TOC2"/>
        <w:tabs>
          <w:tab w:val="right" w:leader="dot" w:pos="7086"/>
        </w:tabs>
        <w:rPr>
          <w:rFonts w:asciiTheme="minorHAnsi" w:eastAsiaTheme="minorEastAsia" w:hAnsiTheme="minorHAnsi" w:cstheme="minorBidi"/>
          <w:b w:val="0"/>
          <w:sz w:val="22"/>
          <w:szCs w:val="22"/>
        </w:rPr>
      </w:pPr>
      <w:r>
        <w:t>Schedule 3 — Fees</w:t>
      </w:r>
    </w:p>
    <w:p>
      <w:pPr>
        <w:pStyle w:val="TOC2"/>
        <w:tabs>
          <w:tab w:val="right" w:leader="dot" w:pos="7086"/>
        </w:tabs>
        <w:rPr>
          <w:rFonts w:asciiTheme="minorHAnsi" w:eastAsiaTheme="minorEastAsia" w:hAnsiTheme="minorHAnsi" w:cstheme="minorBidi"/>
          <w:b w:val="0"/>
          <w:sz w:val="22"/>
          <w:szCs w:val="22"/>
        </w:rPr>
      </w:pPr>
      <w:r>
        <w:t>Schedule 4 — Minimum fees for officials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_Toc382313242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5</w:t>
            </w:r>
            <w:r>
              <w:rPr>
                <w:b/>
                <w:snapToGrid w:val="0"/>
                <w:sz w:val="22"/>
              </w:rPr>
              <w:t xml:space="preserve"> April 2013</w:t>
            </w:r>
            <w:r>
              <w:rPr>
                <w:b/>
                <w:sz w:val="22"/>
              </w:rPr>
              <w:fldChar w:fldCharType="end"/>
            </w:r>
          </w:p>
        </w:tc>
      </w:tr>
    </w:tbl>
    <w:p>
      <w:pPr>
        <w:pStyle w:val="WA"/>
        <w:spacing w:before="120"/>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1" w:name="_Toc382313187"/>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82313188"/>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 in Gazette 22 Feb 2013 p. 1014.]</w:t>
      </w:r>
    </w:p>
    <w:p>
      <w:pPr>
        <w:pStyle w:val="Heading5"/>
        <w:rPr>
          <w:spacing w:val="-2"/>
        </w:rPr>
      </w:pPr>
      <w:bookmarkStart w:id="4" w:name="_Toc382313189"/>
      <w:r>
        <w:rPr>
          <w:rStyle w:val="CharSectno"/>
        </w:rPr>
        <w:t>2</w:t>
      </w:r>
      <w:r>
        <w:rPr>
          <w:spacing w:val="-2"/>
        </w:rPr>
        <w:t>.</w:t>
      </w:r>
      <w:r>
        <w:rPr>
          <w:spacing w:val="-2"/>
        </w:rPr>
        <w:tab/>
        <w:t>Commencement</w:t>
      </w:r>
      <w:bookmarkEnd w:id="4"/>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5" w:name="_Toc382313190"/>
      <w:r>
        <w:rPr>
          <w:rStyle w:val="CharSectno"/>
        </w:rPr>
        <w:t>3</w:t>
      </w:r>
      <w:r>
        <w:t>.</w:t>
      </w:r>
      <w:r>
        <w:tab/>
        <w:t>Terms used</w:t>
      </w:r>
      <w:bookmarkEnd w:id="5"/>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in Gazette 22 Feb 2013 p. 1014.]</w:t>
      </w:r>
    </w:p>
    <w:p>
      <w:pPr>
        <w:pStyle w:val="Heading5"/>
      </w:pPr>
      <w:bookmarkStart w:id="6" w:name="_Toc382313191"/>
      <w:r>
        <w:rPr>
          <w:rStyle w:val="CharSectno"/>
        </w:rPr>
        <w:t>4</w:t>
      </w:r>
      <w:r>
        <w:t>.</w:t>
      </w:r>
      <w:r>
        <w:tab/>
        <w:t>Combat sports prescribed not to be combat sport</w:t>
      </w:r>
      <w:bookmarkEnd w:id="6"/>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in Gazette 22 Feb 2013 p. 1014.]</w:t>
      </w:r>
    </w:p>
    <w:p>
      <w:pPr>
        <w:pStyle w:val="Heading5"/>
      </w:pPr>
      <w:bookmarkStart w:id="7" w:name="_Toc382313192"/>
      <w:r>
        <w:rPr>
          <w:rStyle w:val="CharSectno"/>
        </w:rPr>
        <w:t>5A</w:t>
      </w:r>
      <w:r>
        <w:t>.</w:t>
      </w:r>
      <w:r>
        <w:tab/>
        <w:t>Contests prescribed not to be contest</w:t>
      </w:r>
      <w:bookmarkEnd w:id="7"/>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in Gazette 22 Feb 2013 p. 1015.]</w:t>
      </w:r>
    </w:p>
    <w:p>
      <w:pPr>
        <w:pStyle w:val="Heading2"/>
      </w:pPr>
      <w:bookmarkStart w:id="8" w:name="_Toc382313193"/>
      <w:r>
        <w:rPr>
          <w:rStyle w:val="CharPartNo"/>
        </w:rPr>
        <w:t>Part 2</w:t>
      </w:r>
      <w:r>
        <w:t> — </w:t>
      </w:r>
      <w:r>
        <w:rPr>
          <w:rStyle w:val="CharPartText"/>
        </w:rPr>
        <w:t>Registration</w:t>
      </w:r>
      <w:bookmarkEnd w:id="8"/>
    </w:p>
    <w:p>
      <w:pPr>
        <w:pStyle w:val="Heading3"/>
      </w:pPr>
      <w:bookmarkStart w:id="9" w:name="_Toc382313194"/>
      <w:r>
        <w:rPr>
          <w:rStyle w:val="CharDivNo"/>
        </w:rPr>
        <w:t>Division 1</w:t>
      </w:r>
      <w:r>
        <w:t> — </w:t>
      </w:r>
      <w:r>
        <w:rPr>
          <w:rStyle w:val="CharDivText"/>
        </w:rPr>
        <w:t>Contestants</w:t>
      </w:r>
      <w:bookmarkEnd w:id="9"/>
    </w:p>
    <w:p>
      <w:pPr>
        <w:pStyle w:val="Heading5"/>
        <w:rPr>
          <w:snapToGrid w:val="0"/>
        </w:rPr>
      </w:pPr>
      <w:bookmarkStart w:id="10" w:name="_Toc382313195"/>
      <w:r>
        <w:rPr>
          <w:rStyle w:val="CharSectno"/>
        </w:rPr>
        <w:t>5</w:t>
      </w:r>
      <w:r>
        <w:t>.</w:t>
      </w:r>
      <w:r>
        <w:tab/>
      </w:r>
      <w:r>
        <w:rPr>
          <w:snapToGrid w:val="0"/>
        </w:rPr>
        <w:t>Prescribed classes of contestants</w:t>
      </w:r>
      <w:bookmarkEnd w:id="10"/>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in Gazette 22 Feb 2013 p. 1015.]</w:t>
      </w:r>
    </w:p>
    <w:p>
      <w:pPr>
        <w:pStyle w:val="Heading5"/>
      </w:pPr>
      <w:bookmarkStart w:id="11" w:name="_Toc382313196"/>
      <w:r>
        <w:rPr>
          <w:rStyle w:val="CharSectno"/>
        </w:rPr>
        <w:t>6A</w:t>
      </w:r>
      <w:r>
        <w:t>.</w:t>
      </w:r>
      <w:r>
        <w:tab/>
        <w:t>Persons taken to be registered as contestant</w:t>
      </w:r>
      <w:bookmarkEnd w:id="11"/>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in Gazette 22 Feb 2013 p. 1015.]</w:t>
      </w:r>
    </w:p>
    <w:p>
      <w:pPr>
        <w:pStyle w:val="Heading5"/>
      </w:pPr>
      <w:bookmarkStart w:id="12" w:name="_Toc382313197"/>
      <w:r>
        <w:rPr>
          <w:rStyle w:val="CharSectno"/>
        </w:rPr>
        <w:t>6</w:t>
      </w:r>
      <w:r>
        <w:t>.</w:t>
      </w:r>
      <w:r>
        <w:tab/>
        <w:t>Particulars to be recorded in the register</w:t>
      </w:r>
      <w:bookmarkEnd w:id="12"/>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in Gazette 22 Feb 2013 p. 1016.]</w:t>
      </w:r>
    </w:p>
    <w:p>
      <w:pPr>
        <w:pStyle w:val="Heading5"/>
      </w:pPr>
      <w:bookmarkStart w:id="13" w:name="_Toc382313198"/>
      <w:r>
        <w:rPr>
          <w:rStyle w:val="CharSectno"/>
        </w:rPr>
        <w:t>7</w:t>
      </w:r>
      <w:r>
        <w:t>.</w:t>
      </w:r>
      <w:r>
        <w:tab/>
        <w:t>Time for making application for registration</w:t>
      </w:r>
      <w:bookmarkEnd w:id="13"/>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in Gazette 22 Feb 2013 p. 1016.]</w:t>
      </w:r>
    </w:p>
    <w:p>
      <w:pPr>
        <w:pStyle w:val="Heading5"/>
      </w:pPr>
      <w:bookmarkStart w:id="14" w:name="_Toc382313199"/>
      <w:r>
        <w:rPr>
          <w:rStyle w:val="CharSectno"/>
        </w:rPr>
        <w:t>8A</w:t>
      </w:r>
      <w:r>
        <w:t>.</w:t>
      </w:r>
      <w:r>
        <w:tab/>
        <w:t>Prescribed medical information</w:t>
      </w:r>
      <w:bookmarkEnd w:id="14"/>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in Gazette 22 Feb 2013 p. 1017.]</w:t>
      </w:r>
    </w:p>
    <w:p>
      <w:pPr>
        <w:pStyle w:val="Heading5"/>
      </w:pPr>
      <w:bookmarkStart w:id="15" w:name="_Toc382313200"/>
      <w:r>
        <w:rPr>
          <w:rStyle w:val="CharSectno"/>
        </w:rPr>
        <w:t>8B</w:t>
      </w:r>
      <w:r>
        <w:t>.</w:t>
      </w:r>
      <w:r>
        <w:tab/>
        <w:t>Prescribed ages for classes of contestants</w:t>
      </w:r>
      <w:bookmarkEnd w:id="15"/>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in Gazette 22 Feb 2013 p. 1017.]</w:t>
      </w:r>
    </w:p>
    <w:p>
      <w:pPr>
        <w:pStyle w:val="Heading5"/>
      </w:pPr>
      <w:bookmarkStart w:id="16" w:name="_Toc382313201"/>
      <w:r>
        <w:rPr>
          <w:rStyle w:val="CharSectno"/>
        </w:rPr>
        <w:t>8C</w:t>
      </w:r>
      <w:r>
        <w:t>.</w:t>
      </w:r>
      <w:r>
        <w:tab/>
        <w:t>Contestant record book</w:t>
      </w:r>
      <w:bookmarkEnd w:id="16"/>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in Gazette 22 Feb 2013 p. 1018.]</w:t>
      </w:r>
    </w:p>
    <w:p>
      <w:pPr>
        <w:pStyle w:val="Heading5"/>
      </w:pPr>
      <w:bookmarkStart w:id="17" w:name="_Toc382313202"/>
      <w:r>
        <w:rPr>
          <w:rStyle w:val="CharSectno"/>
        </w:rPr>
        <w:t>8</w:t>
      </w:r>
      <w:r>
        <w:t>.</w:t>
      </w:r>
      <w:r>
        <w:tab/>
        <w:t>Fees</w:t>
      </w:r>
      <w:bookmarkEnd w:id="17"/>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in Gazette 22 Feb 2013 p. 1018.]</w:t>
      </w:r>
    </w:p>
    <w:p>
      <w:pPr>
        <w:pStyle w:val="Heading3"/>
      </w:pPr>
      <w:bookmarkStart w:id="18" w:name="_Toc382313203"/>
      <w:r>
        <w:rPr>
          <w:rStyle w:val="CharDivNo"/>
        </w:rPr>
        <w:t>Division 2</w:t>
      </w:r>
      <w:r>
        <w:t> — </w:t>
      </w:r>
      <w:r>
        <w:rPr>
          <w:rStyle w:val="CharDivText"/>
        </w:rPr>
        <w:t>Industry participants</w:t>
      </w:r>
      <w:bookmarkEnd w:id="18"/>
    </w:p>
    <w:p>
      <w:pPr>
        <w:pStyle w:val="Heading5"/>
      </w:pPr>
      <w:bookmarkStart w:id="19" w:name="_Toc382313204"/>
      <w:r>
        <w:rPr>
          <w:rStyle w:val="CharSectno"/>
        </w:rPr>
        <w:t>9</w:t>
      </w:r>
      <w:r>
        <w:t>.</w:t>
      </w:r>
      <w:r>
        <w:tab/>
        <w:t>Prescribed capacities of industry participants</w:t>
      </w:r>
      <w:bookmarkEnd w:id="19"/>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keepNext/>
        <w:spacing w:before="60"/>
      </w:pPr>
      <w:r>
        <w:tab/>
        <w:t>(g)</w:t>
      </w:r>
      <w:r>
        <w:tab/>
        <w:t>timekeeper.</w:t>
      </w:r>
    </w:p>
    <w:p>
      <w:pPr>
        <w:pStyle w:val="Footnotesection"/>
        <w:keepLines w:val="0"/>
        <w:spacing w:before="100"/>
      </w:pPr>
      <w:r>
        <w:tab/>
        <w:t>[Regulation 9 inserted in Gazette 22 Feb 2013 p. 1018.]</w:t>
      </w:r>
    </w:p>
    <w:p>
      <w:pPr>
        <w:pStyle w:val="Heading5"/>
        <w:spacing w:before="200"/>
      </w:pPr>
      <w:bookmarkStart w:id="20" w:name="_Toc382313205"/>
      <w:r>
        <w:rPr>
          <w:rStyle w:val="CharSectno"/>
        </w:rPr>
        <w:t>10A</w:t>
      </w:r>
      <w:r>
        <w:t>.</w:t>
      </w:r>
      <w:r>
        <w:tab/>
        <w:t>Persons taken to be registered as industry participants</w:t>
      </w:r>
      <w:bookmarkEnd w:id="20"/>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in Gazette 22 Feb 2013 p. 1018</w:t>
      </w:r>
      <w:r>
        <w:noBreakHyphen/>
        <w:t>19.]</w:t>
      </w:r>
    </w:p>
    <w:p>
      <w:pPr>
        <w:pStyle w:val="Heading5"/>
        <w:spacing w:before="200"/>
      </w:pPr>
      <w:bookmarkStart w:id="21" w:name="_Toc382313206"/>
      <w:r>
        <w:rPr>
          <w:rStyle w:val="CharSectno"/>
        </w:rPr>
        <w:t>10</w:t>
      </w:r>
      <w:r>
        <w:t>.</w:t>
      </w:r>
      <w:r>
        <w:tab/>
        <w:t>Register of industry participants: prescribed particulars</w:t>
      </w:r>
      <w:bookmarkEnd w:id="21"/>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in Gazette 22 Feb 2013 p. 1019</w:t>
      </w:r>
      <w:r>
        <w:noBreakHyphen/>
        <w:t>20.]</w:t>
      </w:r>
    </w:p>
    <w:p>
      <w:pPr>
        <w:pStyle w:val="Heading5"/>
      </w:pPr>
      <w:bookmarkStart w:id="22" w:name="_Toc382313207"/>
      <w:r>
        <w:rPr>
          <w:rStyle w:val="CharSectno"/>
        </w:rPr>
        <w:t>11</w:t>
      </w:r>
      <w:r>
        <w:t>.</w:t>
      </w:r>
      <w:r>
        <w:tab/>
        <w:t>Registration fees</w:t>
      </w:r>
      <w:bookmarkEnd w:id="22"/>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in Gazette 22 Feb 2013 p. 1020.]</w:t>
      </w:r>
    </w:p>
    <w:p>
      <w:pPr>
        <w:pStyle w:val="Ednotesection"/>
      </w:pPr>
      <w:r>
        <w:t>[</w:t>
      </w:r>
      <w:r>
        <w:rPr>
          <w:b/>
        </w:rPr>
        <w:t>12.</w:t>
      </w:r>
      <w:r>
        <w:tab/>
        <w:t>Deleted in Gazette 22 Feb 2013 p. 1020.]</w:t>
      </w:r>
    </w:p>
    <w:p>
      <w:pPr>
        <w:pStyle w:val="Heading2"/>
      </w:pPr>
      <w:bookmarkStart w:id="23" w:name="_Toc382313208"/>
      <w:r>
        <w:rPr>
          <w:rStyle w:val="CharPartNo"/>
        </w:rPr>
        <w:t>Part 3</w:t>
      </w:r>
      <w:r>
        <w:t> — </w:t>
      </w:r>
      <w:r>
        <w:rPr>
          <w:rStyle w:val="CharPartText"/>
        </w:rPr>
        <w:t>Contests</w:t>
      </w:r>
      <w:bookmarkEnd w:id="23"/>
    </w:p>
    <w:p>
      <w:pPr>
        <w:pStyle w:val="Heading3"/>
      </w:pPr>
      <w:bookmarkStart w:id="24" w:name="_Toc382313209"/>
      <w:r>
        <w:rPr>
          <w:rStyle w:val="CharDivNo"/>
        </w:rPr>
        <w:t>Division 1</w:t>
      </w:r>
      <w:r>
        <w:t> — </w:t>
      </w:r>
      <w:r>
        <w:rPr>
          <w:rStyle w:val="CharDivText"/>
        </w:rPr>
        <w:t>Pre</w:t>
      </w:r>
      <w:r>
        <w:rPr>
          <w:rStyle w:val="CharDivText"/>
        </w:rPr>
        <w:noBreakHyphen/>
        <w:t>contest matters</w:t>
      </w:r>
      <w:bookmarkEnd w:id="24"/>
    </w:p>
    <w:p>
      <w:pPr>
        <w:pStyle w:val="Footnoteheading"/>
        <w:spacing w:before="100"/>
      </w:pPr>
      <w:r>
        <w:tab/>
        <w:t>[Heading inserted in Gazette 22 Feb 2013 p. 1021.]</w:t>
      </w:r>
    </w:p>
    <w:p>
      <w:pPr>
        <w:pStyle w:val="Heading5"/>
      </w:pPr>
      <w:bookmarkStart w:id="25" w:name="_Toc382313210"/>
      <w:r>
        <w:rPr>
          <w:rStyle w:val="CharSectno"/>
        </w:rPr>
        <w:t>13</w:t>
      </w:r>
      <w:r>
        <w:t>.</w:t>
      </w:r>
      <w:r>
        <w:tab/>
        <w:t>Information to be recorded at weigh</w:t>
      </w:r>
      <w:r>
        <w:noBreakHyphen/>
        <w:t>in</w:t>
      </w:r>
      <w:bookmarkEnd w:id="25"/>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in Gazette 22 Feb 2013 p. 1021.]</w:t>
      </w:r>
    </w:p>
    <w:p>
      <w:pPr>
        <w:pStyle w:val="Heading5"/>
      </w:pPr>
      <w:bookmarkStart w:id="26" w:name="_Toc382313211"/>
      <w:r>
        <w:rPr>
          <w:rStyle w:val="CharSectno"/>
        </w:rPr>
        <w:t>14</w:t>
      </w:r>
      <w:r>
        <w:t>.</w:t>
      </w:r>
      <w:r>
        <w:tab/>
        <w:t>Information to be certified by medical practitioner</w:t>
      </w:r>
      <w:bookmarkEnd w:id="26"/>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in Gazette 22 Feb 2013 p. 1021.]</w:t>
      </w:r>
    </w:p>
    <w:p>
      <w:pPr>
        <w:pStyle w:val="Heading3"/>
      </w:pPr>
      <w:bookmarkStart w:id="27" w:name="_Toc382313212"/>
      <w:r>
        <w:rPr>
          <w:rStyle w:val="CharDivNo"/>
        </w:rPr>
        <w:t>Division 2</w:t>
      </w:r>
      <w:r>
        <w:t> — </w:t>
      </w:r>
      <w:r>
        <w:rPr>
          <w:rStyle w:val="CharDivText"/>
        </w:rPr>
        <w:t>Rest periods</w:t>
      </w:r>
      <w:bookmarkEnd w:id="27"/>
    </w:p>
    <w:p>
      <w:pPr>
        <w:pStyle w:val="Heading5"/>
        <w:rPr>
          <w:rFonts w:ascii="Times" w:hAnsi="Times"/>
          <w:snapToGrid w:val="0"/>
        </w:rPr>
      </w:pPr>
      <w:bookmarkStart w:id="28" w:name="_Toc382313213"/>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28"/>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in Gazette 22 Feb 2013 p. 1021.]</w:t>
      </w:r>
    </w:p>
    <w:p>
      <w:pPr>
        <w:pStyle w:val="Heading5"/>
        <w:rPr>
          <w:rFonts w:ascii="Times" w:hAnsi="Times"/>
          <w:snapToGrid w:val="0"/>
        </w:rPr>
      </w:pPr>
      <w:bookmarkStart w:id="29" w:name="_Toc382313214"/>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29"/>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 in Gazette 22 Feb 2013 p. 1021-2.]</w:t>
      </w:r>
    </w:p>
    <w:p>
      <w:pPr>
        <w:pStyle w:val="Heading3"/>
      </w:pPr>
      <w:bookmarkStart w:id="30" w:name="_Toc382313215"/>
      <w:r>
        <w:rPr>
          <w:rStyle w:val="CharDivNo"/>
        </w:rPr>
        <w:t>Division 3</w:t>
      </w:r>
      <w:r>
        <w:t> — </w:t>
      </w:r>
      <w:r>
        <w:rPr>
          <w:rStyle w:val="CharDivText"/>
        </w:rPr>
        <w:t>Record of contest</w:t>
      </w:r>
      <w:bookmarkEnd w:id="30"/>
    </w:p>
    <w:p>
      <w:pPr>
        <w:pStyle w:val="Footnoteheading"/>
        <w:spacing w:before="100"/>
      </w:pPr>
      <w:r>
        <w:tab/>
        <w:t>[Heading inserted in Gazette 22 Feb 2013 p. 1022.]</w:t>
      </w:r>
    </w:p>
    <w:p>
      <w:pPr>
        <w:pStyle w:val="Heading5"/>
      </w:pPr>
      <w:bookmarkStart w:id="31" w:name="_Toc382313216"/>
      <w:r>
        <w:rPr>
          <w:rStyle w:val="CharSectno"/>
        </w:rPr>
        <w:t>17A</w:t>
      </w:r>
      <w:r>
        <w:t>.</w:t>
      </w:r>
      <w:r>
        <w:tab/>
        <w:t>Prescribed information: record of contest</w:t>
      </w:r>
      <w:bookmarkEnd w:id="31"/>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in Gazette 22 Feb 2013 p. 1022.]</w:t>
      </w:r>
    </w:p>
    <w:p>
      <w:pPr>
        <w:pStyle w:val="Heading5"/>
      </w:pPr>
      <w:bookmarkStart w:id="32" w:name="_Toc382313217"/>
      <w:r>
        <w:rPr>
          <w:rStyle w:val="CharSectno"/>
        </w:rPr>
        <w:t>17B</w:t>
      </w:r>
      <w:r>
        <w:t>.</w:t>
      </w:r>
      <w:r>
        <w:tab/>
        <w:t>Recording participation in contests outside State</w:t>
      </w:r>
      <w:bookmarkEnd w:id="32"/>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in Gazette 22 Feb 2013 p. 1022.]</w:t>
      </w:r>
    </w:p>
    <w:p>
      <w:pPr>
        <w:pStyle w:val="Heading3"/>
      </w:pPr>
      <w:bookmarkStart w:id="33" w:name="_Toc382313218"/>
      <w:r>
        <w:rPr>
          <w:rStyle w:val="CharDivNo"/>
        </w:rPr>
        <w:t>Division 4</w:t>
      </w:r>
      <w:r>
        <w:t> — </w:t>
      </w:r>
      <w:r>
        <w:rPr>
          <w:rStyle w:val="CharDivText"/>
        </w:rPr>
        <w:t>Permits for contests</w:t>
      </w:r>
      <w:bookmarkEnd w:id="33"/>
    </w:p>
    <w:p>
      <w:pPr>
        <w:pStyle w:val="Footnoteheading"/>
      </w:pPr>
      <w:r>
        <w:tab/>
        <w:t>[Heading inserted in Gazette 22 Feb 2013 p. 1022.]</w:t>
      </w:r>
    </w:p>
    <w:p>
      <w:pPr>
        <w:pStyle w:val="Heading5"/>
      </w:pPr>
      <w:bookmarkStart w:id="34" w:name="_Toc382313219"/>
      <w:r>
        <w:rPr>
          <w:rStyle w:val="CharSectno"/>
        </w:rPr>
        <w:t>17C</w:t>
      </w:r>
      <w:r>
        <w:t>.</w:t>
      </w:r>
      <w:r>
        <w:tab/>
        <w:t>Prescribed information: permits to conduct contests</w:t>
      </w:r>
      <w:bookmarkEnd w:id="34"/>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in Gazette 22 Feb 2013 p. 1022-3.]</w:t>
      </w:r>
    </w:p>
    <w:p>
      <w:pPr>
        <w:pStyle w:val="Heading5"/>
      </w:pPr>
      <w:bookmarkStart w:id="35" w:name="_Toc382313220"/>
      <w:r>
        <w:rPr>
          <w:rStyle w:val="CharSectno"/>
        </w:rPr>
        <w:t>17D</w:t>
      </w:r>
      <w:r>
        <w:t>.</w:t>
      </w:r>
      <w:r>
        <w:tab/>
        <w:t>Prescribed information: permit for contest</w:t>
      </w:r>
      <w:bookmarkEnd w:id="35"/>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in Gazette 22 Feb 2013 p. 1023.]</w:t>
      </w:r>
    </w:p>
    <w:p>
      <w:pPr>
        <w:pStyle w:val="Heading5"/>
      </w:pPr>
      <w:bookmarkStart w:id="36" w:name="_Toc382313221"/>
      <w:r>
        <w:rPr>
          <w:rStyle w:val="CharSectno"/>
        </w:rPr>
        <w:t>17E</w:t>
      </w:r>
      <w:r>
        <w:t>.</w:t>
      </w:r>
      <w:r>
        <w:tab/>
        <w:t>Fee for permit for contest</w:t>
      </w:r>
      <w:bookmarkEnd w:id="36"/>
    </w:p>
    <w:p>
      <w:pPr>
        <w:pStyle w:val="Subsection"/>
      </w:pPr>
      <w:r>
        <w:tab/>
      </w:r>
      <w:r>
        <w:tab/>
        <w:t>The fee set out in Schedule 3 item 4 is prescribed for a permit for a contest under section 44(2)(e) of the Act.</w:t>
      </w:r>
    </w:p>
    <w:p>
      <w:pPr>
        <w:pStyle w:val="Footnotesection"/>
        <w:keepLines w:val="0"/>
      </w:pPr>
      <w:r>
        <w:tab/>
        <w:t>[Regulation 17E inserted in Gazette 22 Feb 2013 p. 1023.]</w:t>
      </w:r>
    </w:p>
    <w:p>
      <w:pPr>
        <w:pStyle w:val="Heading2"/>
      </w:pPr>
      <w:bookmarkStart w:id="37" w:name="_Toc382313222"/>
      <w:r>
        <w:rPr>
          <w:rStyle w:val="CharPartNo"/>
        </w:rPr>
        <w:t>Part 4</w:t>
      </w:r>
      <w:r>
        <w:rPr>
          <w:rStyle w:val="CharDivNo"/>
        </w:rPr>
        <w:t> </w:t>
      </w:r>
      <w:r>
        <w:t>—</w:t>
      </w:r>
      <w:r>
        <w:rPr>
          <w:rStyle w:val="CharDivText"/>
        </w:rPr>
        <w:t> </w:t>
      </w:r>
      <w:r>
        <w:rPr>
          <w:rStyle w:val="CharPartText"/>
        </w:rPr>
        <w:t>Ratings and titles</w:t>
      </w:r>
      <w:bookmarkEnd w:id="37"/>
    </w:p>
    <w:p>
      <w:pPr>
        <w:pStyle w:val="Heading5"/>
        <w:rPr>
          <w:snapToGrid w:val="0"/>
        </w:rPr>
      </w:pPr>
      <w:bookmarkStart w:id="38" w:name="_Toc382313223"/>
      <w:r>
        <w:rPr>
          <w:rStyle w:val="CharSectno"/>
        </w:rPr>
        <w:t>17</w:t>
      </w:r>
      <w:r>
        <w:t>.</w:t>
      </w:r>
      <w:r>
        <w:tab/>
      </w:r>
      <w:r>
        <w:rPr>
          <w:snapToGrid w:val="0"/>
        </w:rPr>
        <w:t>Ratings</w:t>
      </w:r>
      <w:bookmarkEnd w:id="38"/>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in Gazette 22 Feb 2013 p. 1024.]</w:t>
      </w:r>
    </w:p>
    <w:p>
      <w:pPr>
        <w:pStyle w:val="Heading5"/>
      </w:pPr>
      <w:bookmarkStart w:id="39" w:name="_Toc382313224"/>
      <w:r>
        <w:rPr>
          <w:rStyle w:val="CharSectno"/>
        </w:rPr>
        <w:t>18</w:t>
      </w:r>
      <w:r>
        <w:t>.</w:t>
      </w:r>
      <w:r>
        <w:tab/>
        <w:t>Titles</w:t>
      </w:r>
      <w:bookmarkEnd w:id="39"/>
    </w:p>
    <w:p>
      <w:pPr>
        <w:pStyle w:val="Subsection"/>
      </w:pPr>
      <w:r>
        <w:tab/>
      </w:r>
      <w:r>
        <w:tab/>
        <w:t>The Commission may in writing adopt the sanctioning of a sanctioning body or a recognised body.</w:t>
      </w:r>
    </w:p>
    <w:p>
      <w:pPr>
        <w:pStyle w:val="Footnotesection"/>
        <w:keepLines w:val="0"/>
      </w:pPr>
      <w:r>
        <w:tab/>
        <w:t>[Regulation 18 inserted in Gazette 22 Feb 2013 p. 1024.]</w:t>
      </w:r>
    </w:p>
    <w:p>
      <w:pPr>
        <w:pStyle w:val="Heading2"/>
      </w:pPr>
      <w:bookmarkStart w:id="40" w:name="_Toc382313225"/>
      <w:r>
        <w:rPr>
          <w:rStyle w:val="CharPartNo"/>
        </w:rPr>
        <w:t>Part 5</w:t>
      </w:r>
      <w:r>
        <w:rPr>
          <w:rStyle w:val="CharDivNo"/>
        </w:rPr>
        <w:t> </w:t>
      </w:r>
      <w:r>
        <w:t>—</w:t>
      </w:r>
      <w:r>
        <w:rPr>
          <w:rStyle w:val="CharDivText"/>
        </w:rPr>
        <w:t> </w:t>
      </w:r>
      <w:r>
        <w:rPr>
          <w:rStyle w:val="CharPartText"/>
        </w:rPr>
        <w:t>Miscellaneous</w:t>
      </w:r>
      <w:bookmarkEnd w:id="40"/>
    </w:p>
    <w:p>
      <w:pPr>
        <w:pStyle w:val="Footnoteheading"/>
      </w:pPr>
      <w:r>
        <w:tab/>
        <w:t>[Heading inserted in Gazette 22 Feb 2013 p. 1024.]</w:t>
      </w:r>
    </w:p>
    <w:p>
      <w:pPr>
        <w:pStyle w:val="Heading5"/>
      </w:pPr>
      <w:bookmarkStart w:id="41" w:name="_Toc382313226"/>
      <w:r>
        <w:rPr>
          <w:rStyle w:val="CharSectno"/>
        </w:rPr>
        <w:t>19</w:t>
      </w:r>
      <w:r>
        <w:t>.</w:t>
      </w:r>
      <w:r>
        <w:tab/>
        <w:t>Minimum fees for officials</w:t>
      </w:r>
      <w:bookmarkEnd w:id="41"/>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in Gazette 22 Feb 2013 p. 1024.]</w:t>
      </w:r>
    </w:p>
    <w:p>
      <w:pPr>
        <w:pStyle w:val="Heading2"/>
      </w:pPr>
      <w:bookmarkStart w:id="42" w:name="_Toc382313227"/>
      <w:r>
        <w:rPr>
          <w:rStyle w:val="CharPartNo"/>
        </w:rPr>
        <w:t>Part 6</w:t>
      </w:r>
      <w:r>
        <w:rPr>
          <w:rStyle w:val="CharDivNo"/>
        </w:rPr>
        <w:t> </w:t>
      </w:r>
      <w:r>
        <w:t>—</w:t>
      </w:r>
      <w:r>
        <w:rPr>
          <w:rStyle w:val="CharDivText"/>
        </w:rPr>
        <w:t> </w:t>
      </w:r>
      <w:r>
        <w:rPr>
          <w:rStyle w:val="CharPartText"/>
        </w:rPr>
        <w:t>Savings and transitional matters</w:t>
      </w:r>
      <w:bookmarkEnd w:id="42"/>
    </w:p>
    <w:p>
      <w:pPr>
        <w:pStyle w:val="Footnoteheading"/>
      </w:pPr>
      <w:r>
        <w:tab/>
        <w:t>[Heading inserted in Gazette 22 Feb 2013 p. 1024.]</w:t>
      </w:r>
    </w:p>
    <w:p>
      <w:pPr>
        <w:pStyle w:val="Heading5"/>
      </w:pPr>
      <w:bookmarkStart w:id="43" w:name="_Toc382313228"/>
      <w:r>
        <w:rPr>
          <w:rStyle w:val="CharSectno"/>
        </w:rPr>
        <w:t>20</w:t>
      </w:r>
      <w:r>
        <w:t>.</w:t>
      </w:r>
      <w:r>
        <w:tab/>
        <w:t>Terms used</w:t>
      </w:r>
      <w:bookmarkEnd w:id="43"/>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in Gazette 22 Feb 2013 p. 1024-5.]</w:t>
      </w:r>
    </w:p>
    <w:p>
      <w:pPr>
        <w:pStyle w:val="Heading5"/>
      </w:pPr>
      <w:bookmarkStart w:id="44" w:name="_Toc382313229"/>
      <w:r>
        <w:rPr>
          <w:rStyle w:val="CharSectno"/>
        </w:rPr>
        <w:t>21</w:t>
      </w:r>
      <w:r>
        <w:t>.</w:t>
      </w:r>
      <w:r>
        <w:tab/>
      </w:r>
      <w:r>
        <w:rPr>
          <w:i/>
        </w:rPr>
        <w:t>Interpretation Act 1984</w:t>
      </w:r>
      <w:r>
        <w:t xml:space="preserve"> not affected</w:t>
      </w:r>
      <w:bookmarkEnd w:id="44"/>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in Gazette 22 Feb 2013 p. 1025.]</w:t>
      </w:r>
    </w:p>
    <w:p>
      <w:pPr>
        <w:pStyle w:val="Heading5"/>
      </w:pPr>
      <w:bookmarkStart w:id="45" w:name="_Toc382313230"/>
      <w:r>
        <w:rPr>
          <w:rStyle w:val="CharSectno"/>
        </w:rPr>
        <w:t>22</w:t>
      </w:r>
      <w:r>
        <w:t>.</w:t>
      </w:r>
      <w:r>
        <w:tab/>
        <w:t>Contestants registered under PCS Act</w:t>
      </w:r>
      <w:bookmarkEnd w:id="45"/>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in Gazette 22 Feb 2013 p. 1025.]</w:t>
      </w:r>
    </w:p>
    <w:p>
      <w:pPr>
        <w:pStyle w:val="Heading5"/>
      </w:pPr>
      <w:bookmarkStart w:id="46" w:name="_Toc382313231"/>
      <w:r>
        <w:rPr>
          <w:rStyle w:val="CharSectno"/>
        </w:rPr>
        <w:t>23</w:t>
      </w:r>
      <w:r>
        <w:t>.</w:t>
      </w:r>
      <w:r>
        <w:tab/>
        <w:t>Certificate of registration: contestants</w:t>
      </w:r>
      <w:bookmarkEnd w:id="46"/>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in Gazette 22 Feb 2013 p. 1025.]</w:t>
      </w:r>
    </w:p>
    <w:p>
      <w:pPr>
        <w:pStyle w:val="Heading5"/>
      </w:pPr>
      <w:bookmarkStart w:id="47" w:name="_Toc382313232"/>
      <w:r>
        <w:rPr>
          <w:rStyle w:val="CharSectno"/>
        </w:rPr>
        <w:t>24</w:t>
      </w:r>
      <w:r>
        <w:t>.</w:t>
      </w:r>
      <w:r>
        <w:tab/>
        <w:t>Participants registered under PCS Act</w:t>
      </w:r>
      <w:bookmarkEnd w:id="47"/>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in Gazette 22 Feb 2013 p. 1025.]</w:t>
      </w:r>
    </w:p>
    <w:p>
      <w:pPr>
        <w:pStyle w:val="Heading5"/>
      </w:pPr>
      <w:bookmarkStart w:id="48" w:name="_Toc382313233"/>
      <w:r>
        <w:rPr>
          <w:rStyle w:val="CharSectno"/>
        </w:rPr>
        <w:t>25</w:t>
      </w:r>
      <w:r>
        <w:t>.</w:t>
      </w:r>
      <w:r>
        <w:tab/>
        <w:t>Certificate of registration: industry participants</w:t>
      </w:r>
      <w:bookmarkEnd w:id="48"/>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in Gazette 22 Feb 2013 p. 1025-6.]</w:t>
      </w:r>
    </w:p>
    <w:p>
      <w:pPr>
        <w:pStyle w:val="Heading5"/>
      </w:pPr>
      <w:bookmarkStart w:id="49" w:name="_Toc382313234"/>
      <w:r>
        <w:rPr>
          <w:rStyle w:val="CharSectno"/>
        </w:rPr>
        <w:t>26</w:t>
      </w:r>
      <w:r>
        <w:t>.</w:t>
      </w:r>
      <w:r>
        <w:tab/>
        <w:t>Register: industry participants</w:t>
      </w:r>
      <w:bookmarkEnd w:id="49"/>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in Gazette 22 Feb 2013 p. 1026.]</w:t>
      </w:r>
    </w:p>
    <w:p>
      <w:pPr>
        <w:pStyle w:val="yEdnoteschedule"/>
        <w:rPr>
          <w:sz w:val="24"/>
          <w:szCs w:val="24"/>
        </w:rPr>
      </w:pPr>
      <w:r>
        <w:rPr>
          <w:sz w:val="24"/>
          <w:szCs w:val="24"/>
        </w:rPr>
        <w:t>[Schedule 1 deleted in Gazette 22 Feb 2013 p. 1026.]</w:t>
      </w:r>
    </w:p>
    <w:p>
      <w:pPr>
        <w:rPr>
          <w:szCs w:val="24"/>
        </w:r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0" w:name="_Toc382313235"/>
      <w:r>
        <w:rPr>
          <w:rStyle w:val="CharSchNo"/>
        </w:rPr>
        <w:t>Schedule 2</w:t>
      </w:r>
      <w:r>
        <w:t> — </w:t>
      </w:r>
      <w:r>
        <w:rPr>
          <w:rStyle w:val="CharSchText"/>
        </w:rPr>
        <w:t>Prescribed classes of contestants</w:t>
      </w:r>
      <w:bookmarkEnd w:id="50"/>
    </w:p>
    <w:p>
      <w:pPr>
        <w:pStyle w:val="yShoulderClause"/>
      </w:pPr>
      <w:r>
        <w:t>[r. 5]</w:t>
      </w:r>
    </w:p>
    <w:p>
      <w:pPr>
        <w:pStyle w:val="yFootnoteheading"/>
      </w:pPr>
      <w:r>
        <w:tab/>
        <w:t>[Heading amended in Gazette 22 Feb 2013 p. 1026.]</w:t>
      </w:r>
    </w:p>
    <w:p>
      <w:pPr>
        <w:pStyle w:val="yHeading3"/>
        <w:spacing w:after="160"/>
      </w:pPr>
      <w:bookmarkStart w:id="51" w:name="_Toc382313236"/>
      <w:r>
        <w:rPr>
          <w:rStyle w:val="CharSDivNo"/>
        </w:rPr>
        <w:t>Division 1</w:t>
      </w:r>
      <w:r>
        <w:rPr>
          <w:b w:val="0"/>
        </w:rPr>
        <w:t> — </w:t>
      </w:r>
      <w:r>
        <w:rPr>
          <w:rStyle w:val="CharSDivText"/>
        </w:rPr>
        <w:t>Boxing, kickboxing and Muay Thai</w:t>
      </w:r>
      <w:bookmarkEnd w:id="51"/>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spacing w:after="60"/>
              <w:rPr>
                <w:b/>
              </w:rPr>
            </w:pPr>
            <w:r>
              <w:rPr>
                <w:b/>
              </w:rPr>
              <w:t>Division (Class)</w:t>
            </w:r>
          </w:p>
        </w:tc>
        <w:tc>
          <w:tcPr>
            <w:tcW w:w="1800" w:type="dxa"/>
            <w:tcBorders>
              <w:top w:val="single" w:sz="4" w:space="0" w:color="auto"/>
              <w:bottom w:val="single" w:sz="4" w:space="0" w:color="auto"/>
            </w:tcBorders>
          </w:tcPr>
          <w:p>
            <w:pPr>
              <w:pStyle w:val="yTable"/>
              <w:spacing w:after="60"/>
              <w:rPr>
                <w:b/>
              </w:rPr>
            </w:pPr>
            <w:r>
              <w:rPr>
                <w:b/>
              </w:rPr>
              <w:t>Minimum weight</w:t>
            </w:r>
          </w:p>
        </w:tc>
        <w:tc>
          <w:tcPr>
            <w:tcW w:w="2288" w:type="dxa"/>
            <w:tcBorders>
              <w:top w:val="single" w:sz="4" w:space="0" w:color="auto"/>
              <w:bottom w:val="single" w:sz="4" w:space="0" w:color="auto"/>
            </w:tcBorders>
          </w:tcPr>
          <w:p>
            <w:pPr>
              <w:pStyle w:val="yTable"/>
              <w:spacing w:after="60"/>
              <w:rPr>
                <w:b/>
              </w:rPr>
            </w:pPr>
            <w:r>
              <w:rPr>
                <w:b/>
              </w:rPr>
              <w:t>Maximum weight</w:t>
            </w:r>
          </w:p>
        </w:tc>
      </w:tr>
      <w:tr>
        <w:tc>
          <w:tcPr>
            <w:tcW w:w="3000" w:type="dxa"/>
          </w:tcPr>
          <w:p>
            <w:pPr>
              <w:pStyle w:val="yTable"/>
              <w:spacing w:after="60"/>
            </w:pPr>
            <w:r>
              <w:t>Strawweight or Mini Flyweight</w:t>
            </w:r>
          </w:p>
        </w:tc>
        <w:tc>
          <w:tcPr>
            <w:tcW w:w="1800" w:type="dxa"/>
          </w:tcPr>
          <w:p>
            <w:pPr>
              <w:pStyle w:val="yTable"/>
              <w:spacing w:after="60"/>
            </w:pPr>
            <w:r>
              <w:rPr>
                <w:snapToGrid w:val="0"/>
              </w:rPr>
              <w:t>—</w:t>
            </w:r>
          </w:p>
        </w:tc>
        <w:tc>
          <w:tcPr>
            <w:tcW w:w="2288" w:type="dxa"/>
          </w:tcPr>
          <w:p>
            <w:pPr>
              <w:pStyle w:val="yTable"/>
              <w:spacing w:after="60"/>
            </w:pPr>
            <w:r>
              <w:t>not exceeding 47.73 kg</w:t>
            </w:r>
          </w:p>
        </w:tc>
      </w:tr>
      <w:tr>
        <w:tc>
          <w:tcPr>
            <w:tcW w:w="3000" w:type="dxa"/>
          </w:tcPr>
          <w:p>
            <w:pPr>
              <w:pStyle w:val="yTable"/>
              <w:spacing w:after="60"/>
            </w:pPr>
            <w:r>
              <w:t>Junior Flyweight</w:t>
            </w:r>
          </w:p>
        </w:tc>
        <w:tc>
          <w:tcPr>
            <w:tcW w:w="1800" w:type="dxa"/>
          </w:tcPr>
          <w:p>
            <w:pPr>
              <w:pStyle w:val="yTable"/>
              <w:spacing w:after="60"/>
            </w:pPr>
            <w:r>
              <w:t>over 47.73 kg</w:t>
            </w:r>
          </w:p>
        </w:tc>
        <w:tc>
          <w:tcPr>
            <w:tcW w:w="2288" w:type="dxa"/>
          </w:tcPr>
          <w:p>
            <w:pPr>
              <w:pStyle w:val="yTable"/>
              <w:spacing w:after="60"/>
            </w:pPr>
            <w:r>
              <w:t>not exceeding 48.99 kg</w:t>
            </w:r>
          </w:p>
        </w:tc>
      </w:tr>
      <w:tr>
        <w:tc>
          <w:tcPr>
            <w:tcW w:w="3000" w:type="dxa"/>
          </w:tcPr>
          <w:p>
            <w:pPr>
              <w:pStyle w:val="yTable"/>
              <w:spacing w:after="60"/>
            </w:pPr>
            <w:r>
              <w:t>Flyweight</w:t>
            </w:r>
          </w:p>
        </w:tc>
        <w:tc>
          <w:tcPr>
            <w:tcW w:w="1800" w:type="dxa"/>
          </w:tcPr>
          <w:p>
            <w:pPr>
              <w:pStyle w:val="yTable"/>
              <w:spacing w:after="60"/>
            </w:pPr>
            <w:r>
              <w:t>over 48.99 kg</w:t>
            </w:r>
          </w:p>
        </w:tc>
        <w:tc>
          <w:tcPr>
            <w:tcW w:w="2288" w:type="dxa"/>
          </w:tcPr>
          <w:p>
            <w:pPr>
              <w:pStyle w:val="yTable"/>
              <w:spacing w:after="60"/>
            </w:pPr>
            <w:r>
              <w:t>not exceeding 50.80 kg</w:t>
            </w:r>
          </w:p>
        </w:tc>
      </w:tr>
      <w:tr>
        <w:tc>
          <w:tcPr>
            <w:tcW w:w="3000" w:type="dxa"/>
          </w:tcPr>
          <w:p>
            <w:pPr>
              <w:pStyle w:val="yTable"/>
              <w:spacing w:after="60"/>
            </w:pPr>
            <w:r>
              <w:t>Junior Bantamweight</w:t>
            </w:r>
          </w:p>
        </w:tc>
        <w:tc>
          <w:tcPr>
            <w:tcW w:w="1800" w:type="dxa"/>
          </w:tcPr>
          <w:p>
            <w:pPr>
              <w:pStyle w:val="yTable"/>
              <w:spacing w:after="60"/>
            </w:pPr>
            <w:r>
              <w:t>over 50.80 kg</w:t>
            </w:r>
          </w:p>
        </w:tc>
        <w:tc>
          <w:tcPr>
            <w:tcW w:w="2288" w:type="dxa"/>
          </w:tcPr>
          <w:p>
            <w:pPr>
              <w:pStyle w:val="yTable"/>
              <w:spacing w:after="60"/>
            </w:pPr>
            <w:r>
              <w:t>not exceeding 52.16 kg</w:t>
            </w:r>
          </w:p>
        </w:tc>
      </w:tr>
      <w:tr>
        <w:tc>
          <w:tcPr>
            <w:tcW w:w="3000" w:type="dxa"/>
          </w:tcPr>
          <w:p>
            <w:pPr>
              <w:pStyle w:val="yTable"/>
              <w:spacing w:after="60"/>
            </w:pPr>
            <w:r>
              <w:t>Bantamweight</w:t>
            </w:r>
          </w:p>
        </w:tc>
        <w:tc>
          <w:tcPr>
            <w:tcW w:w="1800" w:type="dxa"/>
          </w:tcPr>
          <w:p>
            <w:pPr>
              <w:pStyle w:val="yTable"/>
              <w:spacing w:after="60"/>
            </w:pPr>
            <w:r>
              <w:t>over 52.16 kg</w:t>
            </w:r>
          </w:p>
        </w:tc>
        <w:tc>
          <w:tcPr>
            <w:tcW w:w="2288" w:type="dxa"/>
          </w:tcPr>
          <w:p>
            <w:pPr>
              <w:pStyle w:val="yTable"/>
              <w:spacing w:after="60"/>
            </w:pPr>
            <w:r>
              <w:t>not exceeding 53.52 kg</w:t>
            </w:r>
          </w:p>
        </w:tc>
      </w:tr>
      <w:tr>
        <w:tc>
          <w:tcPr>
            <w:tcW w:w="3000" w:type="dxa"/>
          </w:tcPr>
          <w:p>
            <w:pPr>
              <w:pStyle w:val="yTable"/>
              <w:spacing w:after="60"/>
            </w:pPr>
            <w:r>
              <w:t>Junior Featherweight</w:t>
            </w:r>
          </w:p>
        </w:tc>
        <w:tc>
          <w:tcPr>
            <w:tcW w:w="1800" w:type="dxa"/>
          </w:tcPr>
          <w:p>
            <w:pPr>
              <w:pStyle w:val="yTable"/>
              <w:spacing w:after="60"/>
            </w:pPr>
            <w:r>
              <w:t>over 53.52 kg</w:t>
            </w:r>
          </w:p>
        </w:tc>
        <w:tc>
          <w:tcPr>
            <w:tcW w:w="2288" w:type="dxa"/>
          </w:tcPr>
          <w:p>
            <w:pPr>
              <w:pStyle w:val="yTable"/>
              <w:spacing w:after="60"/>
            </w:pPr>
            <w:r>
              <w:t>not exceeding 55.34 kg</w:t>
            </w:r>
          </w:p>
        </w:tc>
      </w:tr>
      <w:tr>
        <w:tc>
          <w:tcPr>
            <w:tcW w:w="3000" w:type="dxa"/>
          </w:tcPr>
          <w:p>
            <w:pPr>
              <w:pStyle w:val="yTable"/>
              <w:spacing w:after="60"/>
            </w:pPr>
            <w:r>
              <w:t>Featherweight</w:t>
            </w:r>
          </w:p>
        </w:tc>
        <w:tc>
          <w:tcPr>
            <w:tcW w:w="1800" w:type="dxa"/>
          </w:tcPr>
          <w:p>
            <w:pPr>
              <w:pStyle w:val="yTable"/>
              <w:spacing w:after="60"/>
            </w:pPr>
            <w:r>
              <w:t>over 55.34 kg</w:t>
            </w:r>
          </w:p>
        </w:tc>
        <w:tc>
          <w:tcPr>
            <w:tcW w:w="2288" w:type="dxa"/>
          </w:tcPr>
          <w:p>
            <w:pPr>
              <w:pStyle w:val="yTable"/>
              <w:spacing w:after="60"/>
            </w:pPr>
            <w:r>
              <w:t>not exceeding 57.15 kg</w:t>
            </w:r>
          </w:p>
        </w:tc>
      </w:tr>
      <w:tr>
        <w:tc>
          <w:tcPr>
            <w:tcW w:w="3000" w:type="dxa"/>
          </w:tcPr>
          <w:p>
            <w:pPr>
              <w:pStyle w:val="yTable"/>
              <w:spacing w:after="60"/>
            </w:pPr>
            <w:r>
              <w:t>Junior Lightweight</w:t>
            </w:r>
          </w:p>
        </w:tc>
        <w:tc>
          <w:tcPr>
            <w:tcW w:w="1800" w:type="dxa"/>
          </w:tcPr>
          <w:p>
            <w:pPr>
              <w:pStyle w:val="yTable"/>
              <w:spacing w:after="60"/>
            </w:pPr>
            <w:r>
              <w:t>over 57.15 kg</w:t>
            </w:r>
          </w:p>
        </w:tc>
        <w:tc>
          <w:tcPr>
            <w:tcW w:w="2288" w:type="dxa"/>
          </w:tcPr>
          <w:p>
            <w:pPr>
              <w:pStyle w:val="yTable"/>
              <w:spacing w:after="60"/>
            </w:pPr>
            <w:r>
              <w:t>not exceeding 58.97 kg</w:t>
            </w:r>
          </w:p>
        </w:tc>
      </w:tr>
      <w:tr>
        <w:tc>
          <w:tcPr>
            <w:tcW w:w="3000" w:type="dxa"/>
          </w:tcPr>
          <w:p>
            <w:pPr>
              <w:pStyle w:val="yTable"/>
              <w:spacing w:after="60"/>
            </w:pPr>
            <w:r>
              <w:t>Lightweight</w:t>
            </w:r>
          </w:p>
        </w:tc>
        <w:tc>
          <w:tcPr>
            <w:tcW w:w="1800" w:type="dxa"/>
          </w:tcPr>
          <w:p>
            <w:pPr>
              <w:pStyle w:val="yTable"/>
              <w:spacing w:after="60"/>
            </w:pPr>
            <w:r>
              <w:t>over 58.97 kg</w:t>
            </w:r>
          </w:p>
        </w:tc>
        <w:tc>
          <w:tcPr>
            <w:tcW w:w="2288" w:type="dxa"/>
          </w:tcPr>
          <w:p>
            <w:pPr>
              <w:pStyle w:val="yTable"/>
              <w:spacing w:after="60"/>
            </w:pPr>
            <w:r>
              <w:t>not exceeding 61.23 kg</w:t>
            </w:r>
          </w:p>
        </w:tc>
      </w:tr>
      <w:tr>
        <w:tc>
          <w:tcPr>
            <w:tcW w:w="3000" w:type="dxa"/>
          </w:tcPr>
          <w:p>
            <w:pPr>
              <w:pStyle w:val="yTable"/>
              <w:spacing w:after="60"/>
            </w:pPr>
            <w:r>
              <w:t>Junior Welterweight</w:t>
            </w:r>
          </w:p>
        </w:tc>
        <w:tc>
          <w:tcPr>
            <w:tcW w:w="1800" w:type="dxa"/>
          </w:tcPr>
          <w:p>
            <w:pPr>
              <w:pStyle w:val="yTable"/>
              <w:spacing w:after="60"/>
            </w:pPr>
            <w:r>
              <w:t>over 61.23 kg</w:t>
            </w:r>
          </w:p>
        </w:tc>
        <w:tc>
          <w:tcPr>
            <w:tcW w:w="2288" w:type="dxa"/>
          </w:tcPr>
          <w:p>
            <w:pPr>
              <w:pStyle w:val="yTable"/>
              <w:spacing w:after="60"/>
            </w:pPr>
            <w:r>
              <w:t>not exceeding 63.50 kg</w:t>
            </w:r>
          </w:p>
        </w:tc>
      </w:tr>
      <w:tr>
        <w:tc>
          <w:tcPr>
            <w:tcW w:w="3000" w:type="dxa"/>
          </w:tcPr>
          <w:p>
            <w:pPr>
              <w:pStyle w:val="yTable"/>
              <w:spacing w:after="60"/>
            </w:pPr>
            <w:r>
              <w:t>Welterweight</w:t>
            </w:r>
          </w:p>
        </w:tc>
        <w:tc>
          <w:tcPr>
            <w:tcW w:w="1800" w:type="dxa"/>
          </w:tcPr>
          <w:p>
            <w:pPr>
              <w:pStyle w:val="yTable"/>
              <w:spacing w:after="60"/>
            </w:pPr>
            <w:r>
              <w:t>over 63.50 kg</w:t>
            </w:r>
          </w:p>
        </w:tc>
        <w:tc>
          <w:tcPr>
            <w:tcW w:w="2288" w:type="dxa"/>
          </w:tcPr>
          <w:p>
            <w:pPr>
              <w:pStyle w:val="yTable"/>
              <w:spacing w:after="60"/>
            </w:pPr>
            <w:r>
              <w:t>not exceeding 66.68 kg</w:t>
            </w:r>
          </w:p>
        </w:tc>
      </w:tr>
      <w:tr>
        <w:tc>
          <w:tcPr>
            <w:tcW w:w="3000" w:type="dxa"/>
          </w:tcPr>
          <w:p>
            <w:pPr>
              <w:pStyle w:val="yTable"/>
              <w:spacing w:after="60"/>
            </w:pPr>
            <w:r>
              <w:t>Junior Middleweight</w:t>
            </w:r>
          </w:p>
        </w:tc>
        <w:tc>
          <w:tcPr>
            <w:tcW w:w="1800" w:type="dxa"/>
          </w:tcPr>
          <w:p>
            <w:pPr>
              <w:pStyle w:val="yTable"/>
              <w:spacing w:after="60"/>
            </w:pPr>
            <w:r>
              <w:t>over 66.68 kg</w:t>
            </w:r>
          </w:p>
        </w:tc>
        <w:tc>
          <w:tcPr>
            <w:tcW w:w="2288" w:type="dxa"/>
          </w:tcPr>
          <w:p>
            <w:pPr>
              <w:pStyle w:val="yTable"/>
              <w:spacing w:after="60"/>
            </w:pPr>
            <w:r>
              <w:t>not exceeding 69.85 kg</w:t>
            </w:r>
          </w:p>
        </w:tc>
      </w:tr>
      <w:tr>
        <w:tc>
          <w:tcPr>
            <w:tcW w:w="3000" w:type="dxa"/>
          </w:tcPr>
          <w:p>
            <w:pPr>
              <w:pStyle w:val="yTable"/>
              <w:spacing w:after="60"/>
            </w:pPr>
            <w:r>
              <w:t>Middleweight</w:t>
            </w:r>
          </w:p>
        </w:tc>
        <w:tc>
          <w:tcPr>
            <w:tcW w:w="1800" w:type="dxa"/>
          </w:tcPr>
          <w:p>
            <w:pPr>
              <w:pStyle w:val="yTable"/>
              <w:spacing w:after="60"/>
            </w:pPr>
            <w:r>
              <w:t>over 69.85 kg</w:t>
            </w:r>
          </w:p>
        </w:tc>
        <w:tc>
          <w:tcPr>
            <w:tcW w:w="2288" w:type="dxa"/>
          </w:tcPr>
          <w:p>
            <w:pPr>
              <w:pStyle w:val="yTable"/>
              <w:spacing w:after="60"/>
            </w:pPr>
            <w:r>
              <w:t>not exceeding 72.57 kg</w:t>
            </w:r>
          </w:p>
        </w:tc>
      </w:tr>
      <w:tr>
        <w:tc>
          <w:tcPr>
            <w:tcW w:w="3000" w:type="dxa"/>
          </w:tcPr>
          <w:p>
            <w:pPr>
              <w:pStyle w:val="yTable"/>
              <w:spacing w:after="60"/>
            </w:pPr>
            <w:r>
              <w:t>Super Middleweight</w:t>
            </w:r>
          </w:p>
        </w:tc>
        <w:tc>
          <w:tcPr>
            <w:tcW w:w="1800" w:type="dxa"/>
          </w:tcPr>
          <w:p>
            <w:pPr>
              <w:pStyle w:val="yTable"/>
              <w:spacing w:after="60"/>
            </w:pPr>
            <w:r>
              <w:t>over 72.57 kg</w:t>
            </w:r>
          </w:p>
        </w:tc>
        <w:tc>
          <w:tcPr>
            <w:tcW w:w="2288" w:type="dxa"/>
          </w:tcPr>
          <w:p>
            <w:pPr>
              <w:pStyle w:val="yTable"/>
              <w:spacing w:after="60"/>
            </w:pPr>
            <w:r>
              <w:t>not exceeding 76.20 kg</w:t>
            </w:r>
          </w:p>
        </w:tc>
      </w:tr>
      <w:tr>
        <w:tc>
          <w:tcPr>
            <w:tcW w:w="3000" w:type="dxa"/>
          </w:tcPr>
          <w:p>
            <w:pPr>
              <w:pStyle w:val="yTable"/>
              <w:spacing w:after="60"/>
            </w:pPr>
            <w:r>
              <w:t>Light Heavyweight</w:t>
            </w:r>
          </w:p>
        </w:tc>
        <w:tc>
          <w:tcPr>
            <w:tcW w:w="1800" w:type="dxa"/>
          </w:tcPr>
          <w:p>
            <w:pPr>
              <w:pStyle w:val="yTable"/>
              <w:spacing w:after="60"/>
            </w:pPr>
            <w:r>
              <w:t>over 76.20 kg</w:t>
            </w:r>
          </w:p>
        </w:tc>
        <w:tc>
          <w:tcPr>
            <w:tcW w:w="2288" w:type="dxa"/>
          </w:tcPr>
          <w:p>
            <w:pPr>
              <w:pStyle w:val="yTable"/>
              <w:spacing w:after="60"/>
            </w:pPr>
            <w:r>
              <w:t>not exceeding 79.38 kg</w:t>
            </w:r>
          </w:p>
        </w:tc>
      </w:tr>
      <w:tr>
        <w:tc>
          <w:tcPr>
            <w:tcW w:w="3000" w:type="dxa"/>
          </w:tcPr>
          <w:p>
            <w:pPr>
              <w:pStyle w:val="yTable"/>
              <w:spacing w:after="60"/>
            </w:pPr>
            <w:r>
              <w:t>Cruiserweight</w:t>
            </w:r>
          </w:p>
        </w:tc>
        <w:tc>
          <w:tcPr>
            <w:tcW w:w="1800" w:type="dxa"/>
          </w:tcPr>
          <w:p>
            <w:pPr>
              <w:pStyle w:val="yTable"/>
              <w:spacing w:after="60"/>
            </w:pPr>
            <w:r>
              <w:t>over 79.38 kg</w:t>
            </w:r>
          </w:p>
        </w:tc>
        <w:tc>
          <w:tcPr>
            <w:tcW w:w="2288" w:type="dxa"/>
          </w:tcPr>
          <w:p>
            <w:pPr>
              <w:pStyle w:val="yTable"/>
              <w:spacing w:after="60"/>
            </w:pPr>
            <w:r>
              <w:t>not exceeding 86.18 kg</w:t>
            </w:r>
          </w:p>
        </w:tc>
      </w:tr>
      <w:tr>
        <w:tc>
          <w:tcPr>
            <w:tcW w:w="3000" w:type="dxa"/>
          </w:tcPr>
          <w:p>
            <w:pPr>
              <w:pStyle w:val="yTable"/>
              <w:spacing w:after="60"/>
            </w:pPr>
            <w:r>
              <w:t>Super Cruiserweight</w:t>
            </w:r>
          </w:p>
        </w:tc>
        <w:tc>
          <w:tcPr>
            <w:tcW w:w="1800" w:type="dxa"/>
          </w:tcPr>
          <w:p>
            <w:pPr>
              <w:pStyle w:val="yTable"/>
              <w:spacing w:after="60"/>
            </w:pPr>
            <w:r>
              <w:t>over 86.18 kg</w:t>
            </w:r>
          </w:p>
        </w:tc>
        <w:tc>
          <w:tcPr>
            <w:tcW w:w="2288" w:type="dxa"/>
          </w:tcPr>
          <w:p>
            <w:pPr>
              <w:pStyle w:val="yTable"/>
              <w:spacing w:after="60"/>
            </w:pPr>
            <w:r>
              <w:t>not exceeding 95.00 kg</w:t>
            </w:r>
          </w:p>
        </w:tc>
      </w:tr>
      <w:tr>
        <w:tc>
          <w:tcPr>
            <w:tcW w:w="3000" w:type="dxa"/>
            <w:tcBorders>
              <w:bottom w:val="single" w:sz="4" w:space="0" w:color="auto"/>
            </w:tcBorders>
          </w:tcPr>
          <w:p>
            <w:pPr>
              <w:pStyle w:val="yTable"/>
              <w:spacing w:after="60"/>
            </w:pPr>
            <w:r>
              <w:t>Heavy weight</w:t>
            </w:r>
          </w:p>
        </w:tc>
        <w:tc>
          <w:tcPr>
            <w:tcW w:w="1800" w:type="dxa"/>
            <w:tcBorders>
              <w:bottom w:val="single" w:sz="4" w:space="0" w:color="auto"/>
            </w:tcBorders>
          </w:tcPr>
          <w:p>
            <w:pPr>
              <w:pStyle w:val="yTable"/>
              <w:spacing w:after="60"/>
            </w:pPr>
            <w:r>
              <w:t xml:space="preserve">over 95.00 kg </w:t>
            </w:r>
          </w:p>
        </w:tc>
        <w:tc>
          <w:tcPr>
            <w:tcW w:w="2288" w:type="dxa"/>
            <w:tcBorders>
              <w:bottom w:val="single" w:sz="4" w:space="0" w:color="auto"/>
            </w:tcBorders>
          </w:tcPr>
          <w:p>
            <w:pPr>
              <w:pStyle w:val="yTable"/>
              <w:spacing w:after="60"/>
            </w:pPr>
            <w:r>
              <w:t>(no upper limit)</w:t>
            </w:r>
          </w:p>
        </w:tc>
      </w:tr>
    </w:tbl>
    <w:p>
      <w:pPr>
        <w:pStyle w:val="yHeading3"/>
        <w:spacing w:after="160"/>
      </w:pPr>
      <w:bookmarkStart w:id="52" w:name="_Toc382313237"/>
      <w:r>
        <w:rPr>
          <w:rStyle w:val="CharSDivNo"/>
        </w:rPr>
        <w:t>Division 2</w:t>
      </w:r>
      <w:r>
        <w:rPr>
          <w:b w:val="0"/>
        </w:rPr>
        <w:t> — </w:t>
      </w:r>
      <w:r>
        <w:rPr>
          <w:rStyle w:val="CharSDivText"/>
        </w:rPr>
        <w:t>Brazilian ju jitsu and full contact karate</w:t>
      </w:r>
      <w:bookmarkEnd w:id="52"/>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Heading3"/>
      </w:pPr>
      <w:bookmarkStart w:id="53" w:name="_Toc382313238"/>
      <w:r>
        <w:rPr>
          <w:rStyle w:val="CharSDivNo"/>
        </w:rPr>
        <w:t>Division 3</w:t>
      </w:r>
      <w:r>
        <w:t> — </w:t>
      </w:r>
      <w:r>
        <w:rPr>
          <w:rStyle w:val="CharSDivText"/>
        </w:rPr>
        <w:t>Mixed martial arts</w:t>
      </w:r>
      <w:bookmarkEnd w:id="53"/>
    </w:p>
    <w:p>
      <w:pPr>
        <w:pStyle w:val="yFootnoteheading"/>
        <w:spacing w:after="120"/>
      </w:pPr>
      <w:r>
        <w:tab/>
        <w:t>[Heading inserted in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pPr>
      <w:r>
        <w:tab/>
        <w:t>[Division 3 inserted in Gazette 22 Feb 2013 p. 1026.]</w:t>
      </w:r>
    </w:p>
    <w:p>
      <w:pPr>
        <w:pStyle w:val="yScheduleHeading"/>
      </w:pPr>
      <w:bookmarkStart w:id="54" w:name="_Toc382313239"/>
      <w:r>
        <w:rPr>
          <w:rStyle w:val="CharSchNo"/>
        </w:rPr>
        <w:t>Schedule 3</w:t>
      </w:r>
      <w:r>
        <w:rPr>
          <w:rStyle w:val="CharSDivNo"/>
        </w:rPr>
        <w:t> </w:t>
      </w:r>
      <w:r>
        <w:t>—</w:t>
      </w:r>
      <w:r>
        <w:rPr>
          <w:rStyle w:val="CharSDivText"/>
        </w:rPr>
        <w:t> </w:t>
      </w:r>
      <w:r>
        <w:rPr>
          <w:rStyle w:val="CharSchText"/>
        </w:rPr>
        <w:t>Fees</w:t>
      </w:r>
      <w:bookmarkEnd w:id="54"/>
    </w:p>
    <w:p>
      <w:pPr>
        <w:pStyle w:val="yShoulderClause"/>
      </w:pPr>
      <w:r>
        <w:t>[r. 8, 11(1) and 17E]</w:t>
      </w:r>
    </w:p>
    <w:p>
      <w:pPr>
        <w:pStyle w:val="yFootnoteheading"/>
      </w:pPr>
      <w:r>
        <w:tab/>
        <w:t>[Heading inserted in Gazette 22 Feb 2013 p. 1027.]</w:t>
      </w:r>
    </w:p>
    <w:tbl>
      <w:tblPr>
        <w:tblW w:w="7119" w:type="dxa"/>
        <w:tblLayout w:type="fixed"/>
        <w:tblCellMar>
          <w:left w:w="0" w:type="dxa"/>
          <w:right w:w="0" w:type="dxa"/>
        </w:tblCellMar>
        <w:tblLook w:val="0000" w:firstRow="0" w:lastRow="0" w:firstColumn="0" w:lastColumn="0" w:noHBand="0" w:noVBand="0"/>
      </w:tblPr>
      <w:tblGrid>
        <w:gridCol w:w="600"/>
        <w:gridCol w:w="4920"/>
        <w:gridCol w:w="1599"/>
      </w:tblGrid>
      <w:tr>
        <w:trPr>
          <w:cantSplit/>
          <w:tblHeader/>
        </w:trPr>
        <w:tc>
          <w:tcPr>
            <w:tcW w:w="600" w:type="dxa"/>
          </w:tcPr>
          <w:p>
            <w:pPr>
              <w:pStyle w:val="zyTableNAm"/>
              <w:jc w:val="center"/>
            </w:pPr>
          </w:p>
        </w:tc>
        <w:tc>
          <w:tcPr>
            <w:tcW w:w="4920" w:type="dxa"/>
          </w:tcPr>
          <w:p>
            <w:pPr>
              <w:pStyle w:val="zyTableNAm"/>
              <w:jc w:val="center"/>
            </w:pPr>
          </w:p>
        </w:tc>
        <w:tc>
          <w:tcPr>
            <w:tcW w:w="1599" w:type="dxa"/>
          </w:tcPr>
          <w:p>
            <w:pPr>
              <w:pStyle w:val="yTableNAm"/>
              <w:jc w:val="center"/>
            </w:pPr>
            <w:r>
              <w:rPr>
                <w:b/>
              </w:rPr>
              <w:t>$</w:t>
            </w:r>
          </w:p>
        </w:tc>
      </w:tr>
      <w:tr>
        <w:trPr>
          <w:cantSplit/>
        </w:trPr>
        <w:tc>
          <w:tcPr>
            <w:tcW w:w="600" w:type="dxa"/>
          </w:tcPr>
          <w:p>
            <w:pPr>
              <w:pStyle w:val="yTableNAm"/>
            </w:pPr>
            <w:r>
              <w:t>1.</w:t>
            </w:r>
          </w:p>
        </w:tc>
        <w:tc>
          <w:tcPr>
            <w:tcW w:w="4920" w:type="dxa"/>
          </w:tcPr>
          <w:p>
            <w:pPr>
              <w:pStyle w:val="yTableNAm"/>
              <w:tabs>
                <w:tab w:val="right" w:leader="dot" w:pos="4920"/>
              </w:tabs>
            </w:pPr>
            <w:r>
              <w:t xml:space="preserve">Registration as a contestant under section 16(2)(c) of the Act or renewal of registration as a contestant under section 19(3)(c) of the Act </w:t>
            </w:r>
            <w:r>
              <w:tab/>
            </w:r>
          </w:p>
        </w:tc>
        <w:tc>
          <w:tcPr>
            <w:tcW w:w="1599" w:type="dxa"/>
          </w:tcPr>
          <w:p>
            <w:pPr>
              <w:pStyle w:val="yTableNAm"/>
              <w:tabs>
                <w:tab w:val="clear" w:pos="567"/>
              </w:tabs>
              <w:ind w:right="399"/>
              <w:jc w:val="right"/>
            </w:pPr>
            <w:r>
              <w:br/>
            </w:r>
            <w:r>
              <w:br/>
              <w:t>100.00</w:t>
            </w:r>
          </w:p>
        </w:tc>
      </w:tr>
      <w:tr>
        <w:trPr>
          <w:cantSplit/>
        </w:trPr>
        <w:tc>
          <w:tcPr>
            <w:tcW w:w="600" w:type="dxa"/>
          </w:tcPr>
          <w:p>
            <w:pPr>
              <w:pStyle w:val="yTableNAm"/>
            </w:pPr>
            <w:r>
              <w:t>2.</w:t>
            </w:r>
          </w:p>
        </w:tc>
        <w:tc>
          <w:tcPr>
            <w:tcW w:w="4920" w:type="dxa"/>
          </w:tcPr>
          <w:p>
            <w:pPr>
              <w:pStyle w:val="yTableNAm"/>
              <w:tabs>
                <w:tab w:val="right" w:leader="dot" w:pos="4920"/>
              </w:tabs>
            </w:pPr>
            <w:r>
              <w:t>Registration as an industry participant under sections 27(3)(b) and 28(3) of the Act or renewal of registration under section 31(2)(b) of the Act as — </w:t>
            </w:r>
          </w:p>
        </w:tc>
        <w:tc>
          <w:tcPr>
            <w:tcW w:w="1599" w:type="dxa"/>
          </w:tcPr>
          <w:p>
            <w:pPr>
              <w:pStyle w:val="yTableNAm"/>
              <w:tabs>
                <w:tab w:val="clear" w:pos="567"/>
              </w:tabs>
              <w:ind w:right="399"/>
              <w:jc w:val="right"/>
            </w:pP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(a)</w:t>
            </w:r>
            <w:r>
              <w:tab/>
              <w:t xml:space="preserve">a promoter </w:t>
            </w:r>
            <w:r>
              <w:tab/>
            </w:r>
          </w:p>
        </w:tc>
        <w:tc>
          <w:tcPr>
            <w:tcW w:w="1599" w:type="dxa"/>
          </w:tcPr>
          <w:p>
            <w:pPr>
              <w:pStyle w:val="yTableNAm"/>
              <w:tabs>
                <w:tab w:val="clear" w:pos="567"/>
              </w:tabs>
              <w:ind w:right="399"/>
              <w:jc w:val="right"/>
            </w:pPr>
            <w:r>
              <w:t>330.00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(b)</w:t>
            </w:r>
            <w:r>
              <w:tab/>
              <w:t xml:space="preserve">a matchmaker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(c)</w:t>
            </w:r>
            <w:r>
              <w:tab/>
              <w:t xml:space="preserve">a manager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(d)</w:t>
            </w:r>
            <w:r>
              <w:tab/>
              <w:t xml:space="preserve">a trainer </w:t>
            </w:r>
            <w:r>
              <w:tab/>
            </w:r>
          </w:p>
        </w:tc>
        <w:tc>
          <w:tcPr>
            <w:tcW w:w="1599" w:type="dxa"/>
          </w:tcPr>
          <w:p>
            <w:pPr>
              <w:pStyle w:val="yTableNAm"/>
              <w:tabs>
                <w:tab w:val="clear" w:pos="567"/>
              </w:tabs>
              <w:ind w:right="399"/>
              <w:jc w:val="right"/>
            </w:pPr>
            <w:r>
              <w:t>82.50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(e)</w:t>
            </w:r>
            <w:r>
              <w:tab/>
              <w:t xml:space="preserve">a referee </w:t>
            </w:r>
            <w:r>
              <w:tab/>
            </w:r>
          </w:p>
        </w:tc>
        <w:tc>
          <w:tcPr>
            <w:tcW w:w="1599" w:type="dxa"/>
          </w:tcPr>
          <w:p>
            <w:pPr>
              <w:pStyle w:val="yTableNAm"/>
              <w:tabs>
                <w:tab w:val="clear" w:pos="567"/>
              </w:tabs>
              <w:ind w:right="399"/>
              <w:jc w:val="right"/>
            </w:pPr>
            <w:r>
              <w:t>100.00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(f)</w:t>
            </w:r>
            <w:r>
              <w:tab/>
              <w:t xml:space="preserve">a judge </w:t>
            </w:r>
            <w:r>
              <w:tab/>
            </w:r>
          </w:p>
        </w:tc>
        <w:tc>
          <w:tcPr>
            <w:tcW w:w="1599" w:type="dxa"/>
          </w:tcPr>
          <w:p>
            <w:pPr>
              <w:pStyle w:val="yTableNAm"/>
              <w:tabs>
                <w:tab w:val="clear" w:pos="567"/>
              </w:tabs>
              <w:ind w:right="399"/>
              <w:jc w:val="right"/>
            </w:pPr>
            <w:r>
              <w:t>80.00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(g)</w:t>
            </w:r>
            <w:r>
              <w:tab/>
              <w:t xml:space="preserve">a timekeeper </w:t>
            </w:r>
            <w:r>
              <w:tab/>
            </w:r>
          </w:p>
        </w:tc>
        <w:tc>
          <w:tcPr>
            <w:tcW w:w="1599" w:type="dxa"/>
          </w:tcPr>
          <w:p>
            <w:pPr>
              <w:pStyle w:val="yTableNAm"/>
              <w:tabs>
                <w:tab w:val="clear" w:pos="567"/>
              </w:tabs>
              <w:ind w:right="399"/>
              <w:jc w:val="right"/>
            </w:pPr>
            <w:r>
              <w:t>80.00</w:t>
            </w:r>
          </w:p>
        </w:tc>
      </w:tr>
      <w:tr>
        <w:trPr>
          <w:cantSplit/>
        </w:trPr>
        <w:tc>
          <w:tcPr>
            <w:tcW w:w="600" w:type="dxa"/>
          </w:tcPr>
          <w:p>
            <w:pPr>
              <w:pStyle w:val="yTableNAm"/>
            </w:pPr>
            <w:r>
              <w:t>3.</w:t>
            </w:r>
          </w:p>
        </w:tc>
        <w:tc>
          <w:tcPr>
            <w:tcW w:w="4920" w:type="dxa"/>
          </w:tcPr>
          <w:p>
            <w:pPr>
              <w:pStyle w:val="yTableNAm"/>
              <w:tabs>
                <w:tab w:val="right" w:leader="dot" w:pos="4920"/>
              </w:tabs>
            </w:pPr>
            <w:r>
              <w:t xml:space="preserve">Fee for issue of a duplicate contestant record book </w:t>
            </w:r>
            <w:r>
              <w:tab/>
            </w:r>
            <w:r>
              <w:tab/>
            </w:r>
          </w:p>
        </w:tc>
        <w:tc>
          <w:tcPr>
            <w:tcW w:w="1599" w:type="dxa"/>
          </w:tcPr>
          <w:p>
            <w:pPr>
              <w:pStyle w:val="yTableNAm"/>
              <w:tabs>
                <w:tab w:val="clear" w:pos="567"/>
              </w:tabs>
              <w:ind w:right="399"/>
              <w:jc w:val="right"/>
            </w:pPr>
            <w:r>
              <w:t>100.00</w:t>
            </w:r>
          </w:p>
        </w:tc>
      </w:tr>
      <w:tr>
        <w:trPr>
          <w:cantSplit/>
        </w:trPr>
        <w:tc>
          <w:tcPr>
            <w:tcW w:w="600" w:type="dxa"/>
          </w:tcPr>
          <w:p>
            <w:pPr>
              <w:pStyle w:val="yTableNAm"/>
            </w:pPr>
            <w:r>
              <w:t>4.</w:t>
            </w:r>
          </w:p>
        </w:tc>
        <w:tc>
          <w:tcPr>
            <w:tcW w:w="4920" w:type="dxa"/>
          </w:tcPr>
          <w:p>
            <w:pPr>
              <w:pStyle w:val="yTableNAm"/>
              <w:tabs>
                <w:tab w:val="right" w:leader="dot" w:pos="4920"/>
              </w:tabs>
            </w:pPr>
            <w:r>
              <w:t xml:space="preserve">Application fee for permit for contest </w:t>
            </w:r>
            <w:r>
              <w:tab/>
            </w:r>
          </w:p>
        </w:tc>
        <w:tc>
          <w:tcPr>
            <w:tcW w:w="1599" w:type="dxa"/>
          </w:tcPr>
          <w:p>
            <w:pPr>
              <w:pStyle w:val="yTableNAm"/>
              <w:jc w:val="center"/>
            </w:pPr>
            <w:r>
              <w:t>Maximum fee of 2 500</w:t>
            </w:r>
          </w:p>
        </w:tc>
      </w:tr>
    </w:tbl>
    <w:p>
      <w:pPr>
        <w:pStyle w:val="yFootnotesection"/>
      </w:pPr>
      <w:r>
        <w:tab/>
        <w:t>[Schedule 3 inserted in Gazette 22 Feb 2013 p. 1027.]</w:t>
      </w:r>
    </w:p>
    <w:p>
      <w:pPr>
        <w:pStyle w:val="yScheduleHeading"/>
      </w:pPr>
      <w:bookmarkStart w:id="55" w:name="_Toc382313240"/>
      <w:r>
        <w:rPr>
          <w:rStyle w:val="CharSchNo"/>
        </w:rPr>
        <w:t>Schedule 4</w:t>
      </w:r>
      <w:r>
        <w:rPr>
          <w:rStyle w:val="CharSDivNo"/>
        </w:rPr>
        <w:t> </w:t>
      </w:r>
      <w:r>
        <w:t>—</w:t>
      </w:r>
      <w:r>
        <w:rPr>
          <w:rStyle w:val="CharSDivText"/>
        </w:rPr>
        <w:t> </w:t>
      </w:r>
      <w:r>
        <w:rPr>
          <w:rStyle w:val="CharSchText"/>
        </w:rPr>
        <w:t>Minimum fees for officials</w:t>
      </w:r>
      <w:bookmarkEnd w:id="55"/>
    </w:p>
    <w:p>
      <w:pPr>
        <w:pStyle w:val="yShoulderClause"/>
      </w:pPr>
      <w:r>
        <w:t>[r. 19]</w:t>
      </w:r>
    </w:p>
    <w:p>
      <w:pPr>
        <w:pStyle w:val="yFootnoteheading"/>
        <w:spacing w:after="120"/>
      </w:pPr>
      <w:r>
        <w:tab/>
        <w:t>[Heading inserted in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in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pPr>
        <w:pStyle w:val="nHeading2"/>
      </w:pPr>
      <w:bookmarkStart w:id="56" w:name="_Toc382313241"/>
      <w:r>
        <w:t>Notes</w:t>
      </w:r>
      <w:bookmarkEnd w:id="56"/>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5 April 2013</w:t>
      </w:r>
      <w:r>
        <w:rPr>
          <w:snapToGrid w:val="0"/>
        </w:rPr>
        <w:fldChar w:fldCharType="end"/>
      </w:r>
      <w:r>
        <w:rPr>
          <w:snapToGrid w:val="0"/>
        </w:rPr>
        <w:t xml:space="preserve"> of the </w:t>
      </w:r>
      <w:r>
        <w:rPr>
          <w:i/>
          <w:noProof/>
          <w:snapToGrid w:val="0"/>
        </w:rPr>
        <w:t>Combat Sports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57" w:name="_Toc382313242"/>
      <w:r>
        <w:t>Compilation table</w:t>
      </w:r>
      <w:bookmarkEnd w:id="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noProof/>
                <w:snapToGrid w:val="0"/>
                <w:sz w:val="19"/>
              </w:rPr>
              <w:t>Professional Combat Sports Regulations 2004</w:t>
            </w:r>
            <w:r>
              <w:rPr>
                <w:noProof/>
                <w:snapToGrid w:val="0"/>
                <w:sz w:val="19"/>
                <w:vertAlign w:val="superscript"/>
              </w:rPr>
              <w:t> 3</w:t>
            </w:r>
          </w:p>
        </w:tc>
        <w:tc>
          <w:tcPr>
            <w:tcW w:w="1276" w:type="dxa"/>
            <w:tcBorders>
              <w:top w:val="single" w:sz="8" w:space="0" w:color="auto"/>
            </w:tcBorders>
          </w:tcPr>
          <w:p>
            <w:pPr>
              <w:pStyle w:val="nTable"/>
              <w:spacing w:after="40"/>
              <w:rPr>
                <w:sz w:val="19"/>
              </w:rPr>
            </w:pPr>
            <w:r>
              <w:rPr>
                <w:sz w:val="19"/>
              </w:rPr>
              <w:t>11 Jan 2005 p. 115-33</w:t>
            </w:r>
          </w:p>
        </w:tc>
        <w:tc>
          <w:tcPr>
            <w:tcW w:w="2693" w:type="dxa"/>
            <w:tcBorders>
              <w:top w:val="single" w:sz="8" w:space="0" w:color="auto"/>
            </w:tcBorders>
          </w:tcPr>
          <w:p>
            <w:pPr>
              <w:pStyle w:val="nTable"/>
              <w:spacing w:after="40"/>
              <w:rPr>
                <w:sz w:val="19"/>
              </w:rPr>
            </w:pPr>
            <w:r>
              <w:rPr>
                <w:sz w:val="19"/>
              </w:rPr>
              <w:t xml:space="preserve">12 Jan 2005 (see r. 2 and </w:t>
            </w:r>
            <w:r>
              <w:rPr>
                <w:i/>
                <w:sz w:val="19"/>
              </w:rPr>
              <w:t>Gazette</w:t>
            </w:r>
            <w:r>
              <w:rPr>
                <w:sz w:val="19"/>
              </w:rPr>
              <w:t xml:space="preserve"> 11 Jan 2005 p. 89)</w:t>
            </w:r>
          </w:p>
        </w:tc>
      </w:tr>
      <w:tr>
        <w:tc>
          <w:tcPr>
            <w:tcW w:w="3118" w:type="dxa"/>
            <w:shd w:val="clear" w:color="auto" w:fill="auto"/>
          </w:tcPr>
          <w:p>
            <w:pPr>
              <w:pStyle w:val="nTable"/>
              <w:spacing w:after="40"/>
              <w:rPr>
                <w:i/>
                <w:noProof/>
                <w:snapToGrid w:val="0"/>
                <w:sz w:val="19"/>
              </w:rPr>
            </w:pPr>
            <w:r>
              <w:rPr>
                <w:i/>
                <w:noProof/>
                <w:snapToGrid w:val="0"/>
                <w:sz w:val="19"/>
              </w:rPr>
              <w:t>Professional Combat Sports Amendment Regulations 2013</w:t>
            </w:r>
          </w:p>
        </w:tc>
        <w:tc>
          <w:tcPr>
            <w:tcW w:w="1276" w:type="dxa"/>
            <w:shd w:val="clear" w:color="auto" w:fill="auto"/>
          </w:tcPr>
          <w:p>
            <w:pPr>
              <w:pStyle w:val="nTable"/>
              <w:spacing w:after="40"/>
              <w:rPr>
                <w:sz w:val="19"/>
              </w:rPr>
            </w:pPr>
            <w:r>
              <w:rPr>
                <w:sz w:val="19"/>
              </w:rPr>
              <w:t>22 Feb 2013 p. 1013-27</w:t>
            </w:r>
          </w:p>
        </w:tc>
        <w:tc>
          <w:tcPr>
            <w:tcW w:w="2693" w:type="dxa"/>
            <w:shd w:val="clear" w:color="auto" w:fill="auto"/>
          </w:tcPr>
          <w:p>
            <w:pPr>
              <w:pStyle w:val="nTable"/>
              <w:spacing w:after="40"/>
              <w:rPr>
                <w:sz w:val="19"/>
              </w:rPr>
            </w:pPr>
            <w:r>
              <w:rPr>
                <w:sz w:val="19"/>
              </w:rPr>
              <w:t>r. 1 and 2: 22 Feb 2013 (see r. 2(a));</w:t>
            </w:r>
            <w:r>
              <w:rPr>
                <w:sz w:val="19"/>
              </w:rPr>
              <w:br/>
              <w:t xml:space="preserve">Regulations other than r. 1 and 2: 1 Mar 2013 (see r. 2(b) and </w:t>
            </w:r>
            <w:r>
              <w:rPr>
                <w:i/>
                <w:sz w:val="19"/>
              </w:rPr>
              <w:t>Gazette</w:t>
            </w:r>
            <w:r>
              <w:rPr>
                <w:sz w:val="19"/>
              </w:rPr>
              <w:t xml:space="preserve"> 1 Mar 2013 p. 1091)</w:t>
            </w:r>
          </w:p>
        </w:tc>
      </w:tr>
      <w:tr>
        <w:tc>
          <w:tcPr>
            <w:tcW w:w="7087" w:type="dxa"/>
            <w:gridSpan w:val="3"/>
            <w:tcBorders>
              <w:bottom w:val="single" w:sz="8" w:space="0" w:color="auto"/>
            </w:tcBorders>
            <w:shd w:val="clear" w:color="auto" w:fill="auto"/>
          </w:tcPr>
          <w:p>
            <w:pPr>
              <w:pStyle w:val="nTable"/>
              <w:spacing w:after="40"/>
              <w:rPr>
                <w:sz w:val="19"/>
                <w:szCs w:val="19"/>
              </w:rPr>
            </w:pPr>
            <w:r>
              <w:rPr>
                <w:b/>
                <w:sz w:val="19"/>
                <w:szCs w:val="19"/>
              </w:rPr>
              <w:t xml:space="preserve">Reprint 1: The </w:t>
            </w:r>
            <w:r>
              <w:rPr>
                <w:b/>
                <w:i/>
                <w:sz w:val="19"/>
                <w:szCs w:val="19"/>
              </w:rPr>
              <w:t>Combat Sports Regulations 2004</w:t>
            </w:r>
            <w:r>
              <w:rPr>
                <w:b/>
                <w:sz w:val="19"/>
                <w:szCs w:val="19"/>
              </w:rPr>
              <w:t xml:space="preserve"> as at 5 Apr 2013</w:t>
            </w:r>
            <w:r>
              <w:rPr>
                <w:sz w:val="19"/>
                <w:szCs w:val="19"/>
              </w:rPr>
              <w:t xml:space="preserve"> (includes amendments listed above)</w:t>
            </w:r>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nSubsection"/>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Pr>
        <w:pStyle w:val="nSubsection"/>
      </w:pPr>
    </w:p>
    <w:p>
      <w:pPr>
        <w:pStyle w:val="nHeading2"/>
        <w:rPr>
          <w:sz w:val="28"/>
        </w:rPr>
      </w:pPr>
      <w:bookmarkStart w:id="58" w:name="_Toc382313243"/>
      <w:r>
        <w:rPr>
          <w:sz w:val="28"/>
        </w:rPr>
        <w:t>Defined terms</w:t>
      </w:r>
      <w:bookmarkEnd w:id="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9" w:name="DefinedTerms"/>
      <w:bookmarkEnd w:id="59"/>
      <w:r>
        <w:t>amending Act</w:t>
      </w:r>
      <w:r>
        <w:tab/>
        <w:t>20</w:t>
      </w:r>
    </w:p>
    <w:p>
      <w:pPr>
        <w:pStyle w:val="DefinedTerms"/>
      </w:pPr>
      <w:r>
        <w:t>approved</w:t>
      </w:r>
      <w:r>
        <w:tab/>
        <w:t>3</w:t>
      </w:r>
    </w:p>
    <w:p>
      <w:pPr>
        <w:pStyle w:val="DefinedTerms"/>
      </w:pPr>
      <w:r>
        <w:t>commencement day</w:t>
      </w:r>
      <w:r>
        <w:tab/>
        <w:t>20</w:t>
      </w:r>
    </w:p>
    <w:p>
      <w:pPr>
        <w:pStyle w:val="DefinedTerms"/>
      </w:pPr>
      <w:r>
        <w:t>grappling</w:t>
      </w:r>
      <w:r>
        <w:tab/>
        <w:t>3</w:t>
      </w:r>
    </w:p>
    <w:p>
      <w:pPr>
        <w:pStyle w:val="DefinedTerms"/>
      </w:pPr>
      <w:r>
        <w:t>light contact</w:t>
      </w:r>
      <w:r>
        <w:tab/>
        <w:t>3</w:t>
      </w:r>
    </w:p>
    <w:p>
      <w:pPr>
        <w:pStyle w:val="DefinedTerms"/>
      </w:pPr>
      <w:r>
        <w:t>PCS Act</w:t>
      </w:r>
      <w:r>
        <w:tab/>
        <w:t>20</w:t>
      </w:r>
    </w:p>
    <w:p>
      <w:pPr>
        <w:pStyle w:val="DefinedTerms"/>
      </w:pPr>
      <w:r>
        <w:t>recognised body</w:t>
      </w:r>
      <w:r>
        <w:tab/>
        <w:t>3</w:t>
      </w:r>
    </w:p>
    <w:p>
      <w:pPr>
        <w:pStyle w:val="DefinedTerms"/>
      </w:pPr>
      <w:r>
        <w:t>sanction</w:t>
      </w:r>
      <w:r>
        <w:tab/>
        <w:t>3</w:t>
      </w:r>
    </w:p>
    <w:p>
      <w:pPr>
        <w:pStyle w:val="DefinedTerms"/>
      </w:pPr>
    </w:p>
    <w:p>
      <w:pPr>
        <w:rPr>
          <w:sz w:val="16"/>
          <w:szCs w:val="16"/>
        </w:rPr>
      </w:pPr>
    </w:p>
    <w:p>
      <w:pPr>
        <w:rPr>
          <w:sz w:val="16"/>
          <w:szCs w:val="16"/>
        </w:rPr>
      </w:pPr>
    </w:p>
    <w:p/>
    <w:p/>
    <w:p/>
    <w:p/>
    <w:p/>
    <w:p/>
    <w:p/>
    <w:p/>
    <w:p/>
    <w:p/>
    <w:p/>
    <w:p/>
    <w:p/>
    <w:p/>
    <w:p/>
    <w:p/>
    <w:p/>
    <w:p/>
    <w:p/>
    <w:p/>
    <w:p/>
    <w:p/>
    <w:p/>
    <w:p>
      <w:pPr>
        <w:sectPr>
          <w:headerReference w:type="even" r:id="rId37"/>
          <w:headerReference w:type="default" r:id="rId38"/>
          <w:footerReference w:type="even" r:id="rId39"/>
          <w:footerReference w:type="default" r:id="rId40"/>
          <w:headerReference w:type="first" r:id="rId41"/>
          <w:footerReference w:type="first" r:id="rId42"/>
          <w:endnotePr>
            <w:numFmt w:val="decimal"/>
          </w:endnotePr>
          <w:pgSz w:w="11906" w:h="16838" w:code="9"/>
          <w:pgMar w:top="2376" w:right="2404" w:bottom="3544" w:left="2404"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24</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Combat Sports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43135"/>
    <w:docVar w:name="WAFER_20140311143135" w:val="RemoveTocBookmarks,RemoveUnusedBookmarks,RemoveLanguageTags,UsedStyles,ResetPageSize"/>
    <w:docVar w:name="WAFER_20140311143135_GUID" w:val="5099c569-49ec-4fb2-b2ec-c984ff138b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oter" Target="footer1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9.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header" Target="header13.xml"/><Relationship Id="rId43"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8EDDA-8C37-4A38-A695-16C45CE0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5552</Words>
  <Characters>27654</Characters>
  <Application>Microsoft Office Word</Application>
  <DocSecurity>0</DocSecurity>
  <Lines>987</Lines>
  <Paragraphs>721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2004 - 01-00-01</dc:title>
  <dc:subject/>
  <dc:creator/>
  <cp:keywords/>
  <dc:description/>
  <cp:lastModifiedBy>svcMRProcess</cp:lastModifiedBy>
  <cp:revision>4</cp:revision>
  <cp:lastPrinted>2013-04-03T01:39:00Z</cp:lastPrinted>
  <dcterms:created xsi:type="dcterms:W3CDTF">2020-03-04T22:22:00Z</dcterms:created>
  <dcterms:modified xsi:type="dcterms:W3CDTF">2020-03-04T22:22:00Z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CommencementDate">
    <vt:lpwstr>20130405</vt:lpwstr>
  </property>
  <property fmtid="{D5CDD505-2E9C-101B-9397-08002B2CF9AE}" pid="4" name="OwlsUID">
    <vt:i4>34331</vt:i4>
  </property>
  <property fmtid="{D5CDD505-2E9C-101B-9397-08002B2CF9AE}" pid="5" name="AsAtDate">
    <vt:lpwstr>05 Apr 2013</vt:lpwstr>
  </property>
  <property fmtid="{D5CDD505-2E9C-101B-9397-08002B2CF9AE}" pid="6" name="Suffix">
    <vt:lpwstr>01-00-01</vt:lpwstr>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2013-04-04T16:00:00Z</vt:filetime>
  </property>
</Properties>
</file>