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Shipping and Pilotage Act 1967</w:t>
      </w:r>
      <w:r>
        <w:br/>
        <w:t>Western Australian Marine Act 1982</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Mooring Regulations 1998</w:t>
      </w:r>
      <w:r>
        <w:rPr>
          <w:sz w:val="48"/>
        </w:rPr>
        <w:fldChar w:fldCharType="end"/>
      </w:r>
    </w:p>
    <w:p>
      <w:pPr>
        <w:pStyle w:val="ReprintNo"/>
        <w:outlineLvl w:val="9"/>
      </w:pPr>
      <w:r>
        <w:t>Reprint 3:  The regulations as at 12 April 2013</w:t>
      </w:r>
    </w:p>
    <w:p>
      <w:pPr>
        <w:tabs>
          <w:tab w:val="left" w:pos="567"/>
          <w:tab w:val="left" w:pos="851"/>
        </w:tabs>
        <w:ind w:left="851" w:hanging="851"/>
        <w:rPr>
          <w:b/>
          <w:sz w:val="20"/>
        </w:rPr>
      </w:pPr>
      <w:r>
        <w:rPr>
          <w:b/>
          <w:sz w:val="22"/>
          <w:highlight w:val="green"/>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7896176"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April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_Toc382380199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_Toc382380200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_Toc382380201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Moorings and use of mooring control areas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_Toc382380203 \h </w:instrText>
      </w:r>
      <w:r>
        <w:fldChar w:fldCharType="separate"/>
      </w:r>
      <w:r>
        <w:t>4</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_Toc382380204 \h </w:instrText>
      </w:r>
      <w:r>
        <w:fldChar w:fldCharType="separate"/>
      </w:r>
      <w:r>
        <w:t>4</w:t>
      </w:r>
      <w:r>
        <w:fldChar w:fldCharType="end"/>
      </w:r>
    </w:p>
    <w:p>
      <w:pPr>
        <w:pStyle w:val="TOC8"/>
        <w:rPr>
          <w:rFonts w:asciiTheme="minorHAnsi" w:eastAsiaTheme="minorEastAsia" w:hAnsiTheme="minorHAnsi" w:cstheme="minorBidi"/>
          <w:szCs w:val="22"/>
        </w:rPr>
      </w:pPr>
      <w:r>
        <w:t>6.</w:t>
      </w:r>
      <w:r>
        <w:tab/>
        <w:t>Use of mooring sites</w:t>
      </w:r>
      <w:r>
        <w:tab/>
      </w:r>
      <w:r>
        <w:fldChar w:fldCharType="begin"/>
      </w:r>
      <w:r>
        <w:instrText xml:space="preserve"> PAGEREF _Toc382380205 \h </w:instrText>
      </w:r>
      <w:r>
        <w:fldChar w:fldCharType="separate"/>
      </w:r>
      <w:r>
        <w:t>5</w:t>
      </w:r>
      <w:r>
        <w:fldChar w:fldCharType="end"/>
      </w:r>
    </w:p>
    <w:p>
      <w:pPr>
        <w:pStyle w:val="TOC8"/>
        <w:rPr>
          <w:rFonts w:asciiTheme="minorHAnsi" w:eastAsiaTheme="minorEastAsia" w:hAnsiTheme="minorHAnsi" w:cstheme="minorBidi"/>
          <w:szCs w:val="22"/>
        </w:rPr>
      </w:pPr>
      <w:r>
        <w:t>6A.</w:t>
      </w:r>
      <w:r>
        <w:tab/>
        <w:t>Use of temporary anchors in mooring control area</w:t>
      </w:r>
      <w:r>
        <w:tab/>
      </w:r>
      <w:r>
        <w:fldChar w:fldCharType="begin"/>
      </w:r>
      <w:r>
        <w:instrText xml:space="preserve"> PAGEREF _Toc382380206 \h </w:instrText>
      </w:r>
      <w:r>
        <w:fldChar w:fldCharType="separate"/>
      </w:r>
      <w:r>
        <w:t>6</w:t>
      </w:r>
      <w:r>
        <w:fldChar w:fldCharType="end"/>
      </w:r>
    </w:p>
    <w:p>
      <w:pPr>
        <w:pStyle w:val="TOC8"/>
        <w:rPr>
          <w:rFonts w:asciiTheme="minorHAnsi" w:eastAsiaTheme="minorEastAsia" w:hAnsiTheme="minorHAnsi" w:cstheme="minorBidi"/>
          <w:szCs w:val="22"/>
        </w:rPr>
      </w:pPr>
      <w:r>
        <w:t>7.</w:t>
      </w:r>
      <w:r>
        <w:tab/>
        <w:t>Moving vessels</w:t>
      </w:r>
      <w:r>
        <w:tab/>
      </w:r>
      <w:r>
        <w:fldChar w:fldCharType="begin"/>
      </w:r>
      <w:r>
        <w:instrText xml:space="preserve"> PAGEREF _Toc382380207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Register</w:t>
      </w:r>
      <w:r>
        <w:tab/>
      </w:r>
      <w:r>
        <w:fldChar w:fldCharType="begin"/>
      </w:r>
      <w:r>
        <w:instrText xml:space="preserve"> PAGEREF _Toc382380209 \h </w:instrText>
      </w:r>
      <w:r>
        <w:fldChar w:fldCharType="separate"/>
      </w:r>
      <w:r>
        <w:t>8</w:t>
      </w:r>
      <w:r>
        <w:fldChar w:fldCharType="end"/>
      </w:r>
    </w:p>
    <w:p>
      <w:pPr>
        <w:pStyle w:val="TOC8"/>
        <w:rPr>
          <w:rFonts w:asciiTheme="minorHAnsi" w:eastAsiaTheme="minorEastAsia" w:hAnsiTheme="minorHAnsi" w:cstheme="minorBidi"/>
          <w:szCs w:val="22"/>
        </w:rPr>
      </w:pPr>
      <w:r>
        <w:t>9.</w:t>
      </w:r>
      <w:r>
        <w:tab/>
        <w:t>Application for mooring licence</w:t>
      </w:r>
      <w:r>
        <w:tab/>
      </w:r>
      <w:r>
        <w:fldChar w:fldCharType="begin"/>
      </w:r>
      <w:r>
        <w:instrText xml:space="preserve"> PAGEREF _Toc382380210 \h </w:instrText>
      </w:r>
      <w:r>
        <w:fldChar w:fldCharType="separate"/>
      </w:r>
      <w:r>
        <w:t>9</w:t>
      </w:r>
      <w:r>
        <w:fldChar w:fldCharType="end"/>
      </w:r>
    </w:p>
    <w:p>
      <w:pPr>
        <w:pStyle w:val="TOC8"/>
        <w:rPr>
          <w:rFonts w:asciiTheme="minorHAnsi" w:eastAsiaTheme="minorEastAsia" w:hAnsiTheme="minorHAnsi" w:cstheme="minorBidi"/>
          <w:szCs w:val="22"/>
        </w:rPr>
      </w:pPr>
      <w:r>
        <w:t>10.</w:t>
      </w:r>
      <w:r>
        <w:tab/>
        <w:t>List of applicants for mooring licences</w:t>
      </w:r>
      <w:r>
        <w:tab/>
      </w:r>
      <w:r>
        <w:fldChar w:fldCharType="begin"/>
      </w:r>
      <w:r>
        <w:instrText xml:space="preserve"> PAGEREF _Toc382380211 \h </w:instrText>
      </w:r>
      <w:r>
        <w:fldChar w:fldCharType="separate"/>
      </w:r>
      <w:r>
        <w:t>9</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_Toc382380212 \h </w:instrText>
      </w:r>
      <w:r>
        <w:fldChar w:fldCharType="separate"/>
      </w:r>
      <w:r>
        <w:t>10</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_Toc382380213 \h </w:instrText>
      </w:r>
      <w:r>
        <w:fldChar w:fldCharType="separate"/>
      </w:r>
      <w:r>
        <w:t>11</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_Toc382380214 \h </w:instrText>
      </w:r>
      <w:r>
        <w:fldChar w:fldCharType="separate"/>
      </w:r>
      <w:r>
        <w:t>13</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_Toc382380215 \h </w:instrText>
      </w:r>
      <w:r>
        <w:fldChar w:fldCharType="separate"/>
      </w:r>
      <w:r>
        <w:t>13</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_Toc382380216 \h </w:instrText>
      </w:r>
      <w:r>
        <w:fldChar w:fldCharType="separate"/>
      </w:r>
      <w:r>
        <w:t>14</w:t>
      </w:r>
      <w:r>
        <w:fldChar w:fldCharType="end"/>
      </w:r>
    </w:p>
    <w:p>
      <w:pPr>
        <w:pStyle w:val="TOC8"/>
        <w:rPr>
          <w:rFonts w:asciiTheme="minorHAnsi" w:eastAsiaTheme="minorEastAsia" w:hAnsiTheme="minorHAnsi" w:cstheme="minorBidi"/>
          <w:szCs w:val="22"/>
        </w:rPr>
      </w:pPr>
      <w:r>
        <w:t>16.</w:t>
      </w:r>
      <w:r>
        <w:tab/>
        <w:t>Transfer of mooring licence</w:t>
      </w:r>
      <w:r>
        <w:tab/>
      </w:r>
      <w:r>
        <w:fldChar w:fldCharType="begin"/>
      </w:r>
      <w:r>
        <w:instrText xml:space="preserve"> PAGEREF _Toc382380217 \h </w:instrText>
      </w:r>
      <w:r>
        <w:fldChar w:fldCharType="separate"/>
      </w:r>
      <w:r>
        <w:t>15</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_Toc382380218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4 — Registered mooring sites</w:t>
      </w:r>
    </w:p>
    <w:p>
      <w:pPr>
        <w:pStyle w:val="TOC4"/>
        <w:tabs>
          <w:tab w:val="right" w:leader="dot" w:pos="7086"/>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_Toc382380221 \h </w:instrText>
      </w:r>
      <w:r>
        <w:fldChar w:fldCharType="separate"/>
      </w:r>
      <w:r>
        <w:t>17</w:t>
      </w:r>
      <w:r>
        <w:fldChar w:fldCharType="end"/>
      </w:r>
    </w:p>
    <w:p>
      <w:pPr>
        <w:pStyle w:val="TOC8"/>
        <w:rPr>
          <w:rFonts w:asciiTheme="minorHAnsi" w:eastAsiaTheme="minorEastAsia" w:hAnsiTheme="minorHAnsi" w:cstheme="minorBidi"/>
          <w:szCs w:val="22"/>
        </w:rPr>
      </w:pPr>
      <w:r>
        <w:t>19.</w:t>
      </w:r>
      <w:r>
        <w:tab/>
        <w:t>Maintenance of mooring</w:t>
      </w:r>
      <w:r>
        <w:tab/>
      </w:r>
      <w:r>
        <w:fldChar w:fldCharType="begin"/>
      </w:r>
      <w:r>
        <w:instrText xml:space="preserve"> PAGEREF _Toc382380222 \h </w:instrText>
      </w:r>
      <w:r>
        <w:fldChar w:fldCharType="separate"/>
      </w:r>
      <w:r>
        <w:t>17</w:t>
      </w:r>
      <w:r>
        <w:fldChar w:fldCharType="end"/>
      </w:r>
    </w:p>
    <w:p>
      <w:pPr>
        <w:pStyle w:val="TOC8"/>
        <w:rPr>
          <w:rFonts w:asciiTheme="minorHAnsi" w:eastAsiaTheme="minorEastAsia" w:hAnsiTheme="minorHAnsi" w:cstheme="minorBidi"/>
          <w:szCs w:val="22"/>
        </w:rPr>
      </w:pPr>
      <w:r>
        <w:t>20.</w:t>
      </w:r>
      <w:r>
        <w:tab/>
        <w:t>Inspection of mooring</w:t>
      </w:r>
      <w:r>
        <w:tab/>
      </w:r>
      <w:r>
        <w:fldChar w:fldCharType="begin"/>
      </w:r>
      <w:r>
        <w:instrText xml:space="preserve"> PAGEREF _Toc382380223 \h </w:instrText>
      </w:r>
      <w:r>
        <w:fldChar w:fldCharType="separate"/>
      </w:r>
      <w:r>
        <w:t>17</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_Toc382380224 \h </w:instrText>
      </w:r>
      <w:r>
        <w:fldChar w:fldCharType="separate"/>
      </w:r>
      <w:r>
        <w:t>18</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_Toc382380225 \h </w:instrText>
      </w:r>
      <w:r>
        <w:fldChar w:fldCharType="separate"/>
      </w:r>
      <w:r>
        <w:t>18</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_Toc382380226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_Toc382380228 \h </w:instrText>
      </w:r>
      <w:r>
        <w:fldChar w:fldCharType="separate"/>
      </w:r>
      <w:r>
        <w:t>19</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_Toc382380229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mooring site</w:t>
      </w:r>
      <w:r>
        <w:tab/>
      </w:r>
      <w:r>
        <w:fldChar w:fldCharType="begin"/>
      </w:r>
      <w:r>
        <w:instrText xml:space="preserve"> PAGEREF _Toc382380231 \h </w:instrText>
      </w:r>
      <w:r>
        <w:fldChar w:fldCharType="separate"/>
      </w:r>
      <w:r>
        <w:t>20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_Toc382380232 \h </w:instrText>
      </w:r>
      <w:r>
        <w:fldChar w:fldCharType="separate"/>
      </w:r>
      <w:r>
        <w:t>21</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_Toc382380233 \h </w:instrText>
      </w:r>
      <w:r>
        <w:fldChar w:fldCharType="separate"/>
      </w:r>
      <w:r>
        <w:t>21</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_Toc382380234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Schedule 1 — Mooring control areas to which regulations apply</w:t>
      </w:r>
    </w:p>
    <w:p>
      <w:pPr>
        <w:pStyle w:val="TOC2"/>
        <w:tabs>
          <w:tab w:val="right" w:leader="dot" w:pos="7086"/>
        </w:tabs>
        <w:rPr>
          <w:rFonts w:asciiTheme="minorHAnsi" w:eastAsiaTheme="minorEastAsia" w:hAnsiTheme="minorHAnsi" w:cstheme="minorBidi"/>
          <w:b w:val="0"/>
          <w:sz w:val="22"/>
          <w:szCs w:val="22"/>
        </w:rPr>
      </w:pPr>
      <w:r>
        <w:t>Schedule 2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_Toc382380238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w:t>
            </w:r>
            <w:r>
              <w:rPr>
                <w:b/>
                <w:snapToGrid w:val="0"/>
                <w:sz w:val="22"/>
              </w:rPr>
              <w:t xml:space="preserve"> April 2013</w:t>
            </w:r>
          </w:p>
        </w:tc>
      </w:tr>
    </w:tbl>
    <w:p>
      <w:pPr>
        <w:pStyle w:val="WA"/>
        <w:spacing w:before="120"/>
      </w:pPr>
      <w:r>
        <w:t>Western Australia</w:t>
      </w: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382380198"/>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82380199"/>
      <w:r>
        <w:rPr>
          <w:rStyle w:val="CharSectno"/>
        </w:rPr>
        <w:t>1</w:t>
      </w:r>
      <w:r>
        <w:t>.</w:t>
      </w:r>
      <w:r>
        <w:tab/>
        <w:t>Citation</w:t>
      </w:r>
      <w:bookmarkEnd w:id="2"/>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3" w:name="_Toc382380200"/>
      <w:r>
        <w:rPr>
          <w:rStyle w:val="CharSectno"/>
        </w:rPr>
        <w:t>2</w:t>
      </w:r>
      <w:r>
        <w:t>.</w:t>
      </w:r>
      <w:r>
        <w:tab/>
        <w:t>Terms used</w:t>
      </w:r>
      <w:bookmarkEnd w:id="3"/>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4" w:name="_Toc382380201"/>
      <w:r>
        <w:rPr>
          <w:rStyle w:val="CharSectno"/>
        </w:rPr>
        <w:t>3</w:t>
      </w:r>
      <w:r>
        <w:t>.</w:t>
      </w:r>
      <w:r>
        <w:tab/>
        <w:t>Application</w:t>
      </w:r>
      <w:bookmarkEnd w:id="4"/>
    </w:p>
    <w:p>
      <w:pPr>
        <w:pStyle w:val="Subsection"/>
      </w:pPr>
      <w:r>
        <w:tab/>
      </w:r>
      <w:r>
        <w:tab/>
        <w:t>These regulations apply to each mooring control area specified in Schedule 1.</w:t>
      </w:r>
    </w:p>
    <w:p>
      <w:pPr>
        <w:pStyle w:val="Heading2"/>
      </w:pPr>
      <w:bookmarkStart w:id="5" w:name="_Toc382380202"/>
      <w:r>
        <w:rPr>
          <w:rStyle w:val="CharPartNo"/>
        </w:rPr>
        <w:t>Part 2</w:t>
      </w:r>
      <w:r>
        <w:rPr>
          <w:b w:val="0"/>
        </w:rPr>
        <w:t> </w:t>
      </w:r>
      <w:r>
        <w:t>—</w:t>
      </w:r>
      <w:r>
        <w:rPr>
          <w:b w:val="0"/>
        </w:rPr>
        <w:t> </w:t>
      </w:r>
      <w:r>
        <w:rPr>
          <w:rStyle w:val="CharPartText"/>
        </w:rPr>
        <w:t>Moorings and use of mooring control areas</w:t>
      </w:r>
      <w:bookmarkEnd w:id="5"/>
    </w:p>
    <w:p>
      <w:pPr>
        <w:pStyle w:val="Footnoteheading"/>
      </w:pPr>
      <w:r>
        <w:tab/>
        <w:t>[Heading inserted in Gazette 26 May 2006 p. 1879.]</w:t>
      </w:r>
    </w:p>
    <w:p>
      <w:pPr>
        <w:pStyle w:val="Heading5"/>
      </w:pPr>
      <w:bookmarkStart w:id="6" w:name="_Toc382380203"/>
      <w:r>
        <w:rPr>
          <w:rStyle w:val="CharSectno"/>
        </w:rPr>
        <w:t>4</w:t>
      </w:r>
      <w:r>
        <w:t>.</w:t>
      </w:r>
      <w:r>
        <w:tab/>
        <w:t>Installation of moorings</w:t>
      </w:r>
      <w:bookmarkEnd w:id="6"/>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7" w:name="_Toc382380204"/>
      <w:r>
        <w:rPr>
          <w:rStyle w:val="CharSectno"/>
        </w:rPr>
        <w:t>5</w:t>
      </w:r>
      <w:r>
        <w:t>.</w:t>
      </w:r>
      <w:r>
        <w:tab/>
        <w:t>Removal of unauthorised mooring</w:t>
      </w:r>
      <w:bookmarkEnd w:id="7"/>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8" w:name="_Toc382380205"/>
      <w:r>
        <w:rPr>
          <w:rStyle w:val="CharSectno"/>
        </w:rPr>
        <w:t>6</w:t>
      </w:r>
      <w:r>
        <w:t>.</w:t>
      </w:r>
      <w:r>
        <w:tab/>
        <w:t>Use of mooring sites</w:t>
      </w:r>
      <w:bookmarkEnd w:id="8"/>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9" w:name="_Toc382380206"/>
      <w:r>
        <w:rPr>
          <w:rStyle w:val="CharSectno"/>
        </w:rPr>
        <w:t>6A</w:t>
      </w:r>
      <w:r>
        <w:t>.</w:t>
      </w:r>
      <w:r>
        <w:tab/>
        <w:t>Use of temporary anchors in mooring control area</w:t>
      </w:r>
      <w:bookmarkEnd w:id="9"/>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10" w:name="_Toc382380207"/>
      <w:r>
        <w:rPr>
          <w:rStyle w:val="CharSectno"/>
        </w:rPr>
        <w:t>7</w:t>
      </w:r>
      <w:r>
        <w:t>.</w:t>
      </w:r>
      <w:r>
        <w:tab/>
        <w:t>Moving vessels</w:t>
      </w:r>
      <w:bookmarkEnd w:id="10"/>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in Gazette 26 May 2006 p. 1880.]</w:t>
      </w:r>
    </w:p>
    <w:p>
      <w:pPr>
        <w:pStyle w:val="Heading2"/>
      </w:pPr>
      <w:bookmarkStart w:id="11" w:name="_Toc382380208"/>
      <w:r>
        <w:rPr>
          <w:rStyle w:val="CharPartNo"/>
        </w:rPr>
        <w:t>Part 3</w:t>
      </w:r>
      <w:r>
        <w:rPr>
          <w:rStyle w:val="CharDivNo"/>
        </w:rPr>
        <w:t xml:space="preserve"> </w:t>
      </w:r>
      <w:r>
        <w:t>—</w:t>
      </w:r>
      <w:r>
        <w:rPr>
          <w:rStyle w:val="CharDivText"/>
        </w:rPr>
        <w:t xml:space="preserve"> </w:t>
      </w:r>
      <w:r>
        <w:rPr>
          <w:rStyle w:val="CharPartText"/>
        </w:rPr>
        <w:t>Mooring licences</w:t>
      </w:r>
      <w:bookmarkEnd w:id="11"/>
    </w:p>
    <w:p>
      <w:pPr>
        <w:pStyle w:val="Heading5"/>
      </w:pPr>
      <w:bookmarkStart w:id="12" w:name="_Toc382380209"/>
      <w:r>
        <w:rPr>
          <w:rStyle w:val="CharSectno"/>
        </w:rPr>
        <w:t>8</w:t>
      </w:r>
      <w:r>
        <w:t>.</w:t>
      </w:r>
      <w:r>
        <w:tab/>
        <w:t>Register</w:t>
      </w:r>
      <w:bookmarkEnd w:id="12"/>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13" w:name="_Toc382380210"/>
      <w:r>
        <w:rPr>
          <w:rStyle w:val="CharSectno"/>
        </w:rPr>
        <w:t>9</w:t>
      </w:r>
      <w:r>
        <w:t>.</w:t>
      </w:r>
      <w:r>
        <w:tab/>
        <w:t>Application for mooring licence</w:t>
      </w:r>
      <w:bookmarkEnd w:id="13"/>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4" w:name="_Toc382380211"/>
      <w:r>
        <w:rPr>
          <w:rStyle w:val="CharSectno"/>
        </w:rPr>
        <w:t>10</w:t>
      </w:r>
      <w:r>
        <w:t>.</w:t>
      </w:r>
      <w:r>
        <w:tab/>
        <w:t>List of applicants for mooring licences</w:t>
      </w:r>
      <w:bookmarkEnd w:id="14"/>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15" w:name="_Toc382380212"/>
      <w:r>
        <w:rPr>
          <w:rStyle w:val="CharSectno"/>
        </w:rPr>
        <w:t>11</w:t>
      </w:r>
      <w:r>
        <w:t>.</w:t>
      </w:r>
      <w:r>
        <w:tab/>
        <w:t>Offer of mooring licence</w:t>
      </w:r>
      <w:bookmarkEnd w:id="15"/>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16" w:name="_Toc382380213"/>
      <w:r>
        <w:rPr>
          <w:rStyle w:val="CharSectno"/>
        </w:rPr>
        <w:t>12</w:t>
      </w:r>
      <w:r>
        <w:t>.</w:t>
      </w:r>
      <w:r>
        <w:tab/>
        <w:t>Mooring licence and registration of mooring site</w:t>
      </w:r>
      <w:bookmarkEnd w:id="16"/>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in Gazette 14 Feb 2012 p. 669.]</w:t>
      </w:r>
    </w:p>
    <w:p>
      <w:pPr>
        <w:pStyle w:val="Heading5"/>
      </w:pPr>
      <w:bookmarkStart w:id="17" w:name="_Toc382380214"/>
      <w:r>
        <w:rPr>
          <w:rStyle w:val="CharSectno"/>
        </w:rPr>
        <w:t>13</w:t>
      </w:r>
      <w:r>
        <w:t>.</w:t>
      </w:r>
      <w:r>
        <w:tab/>
        <w:t>Annual fee</w:t>
      </w:r>
      <w:bookmarkEnd w:id="17"/>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18" w:name="_Toc382380215"/>
      <w:r>
        <w:rPr>
          <w:rStyle w:val="CharSectno"/>
        </w:rPr>
        <w:t>14</w:t>
      </w:r>
      <w:r>
        <w:t>.</w:t>
      </w:r>
      <w:r>
        <w:tab/>
        <w:t>Cancellation of mooring licence</w:t>
      </w:r>
      <w:bookmarkEnd w:id="18"/>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9" w:name="_Toc382380216"/>
      <w:r>
        <w:rPr>
          <w:rStyle w:val="CharSectno"/>
        </w:rPr>
        <w:t>15</w:t>
      </w:r>
      <w:r>
        <w:t>.</w:t>
      </w:r>
      <w:r>
        <w:tab/>
        <w:t>Exchange of mooring sites</w:t>
      </w:r>
      <w:bookmarkEnd w:id="19"/>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20" w:name="_Toc382380217"/>
      <w:r>
        <w:rPr>
          <w:rStyle w:val="CharSectno"/>
        </w:rPr>
        <w:t>16</w:t>
      </w:r>
      <w:r>
        <w:t>.</w:t>
      </w:r>
      <w:r>
        <w:tab/>
        <w:t>Transfer of mooring licence</w:t>
      </w:r>
      <w:bookmarkEnd w:id="20"/>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21" w:name="_Toc382380218"/>
      <w:r>
        <w:rPr>
          <w:rStyle w:val="CharSectno"/>
        </w:rPr>
        <w:t>17</w:t>
      </w:r>
      <w:r>
        <w:t>.</w:t>
      </w:r>
      <w:r>
        <w:tab/>
        <w:t>Mooring licences not otherwise transferable</w:t>
      </w:r>
      <w:bookmarkEnd w:id="21"/>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22" w:name="_Toc382380219"/>
      <w:r>
        <w:rPr>
          <w:rStyle w:val="CharPartNo"/>
        </w:rPr>
        <w:t>Part 4</w:t>
      </w:r>
      <w:r>
        <w:t xml:space="preserve"> — </w:t>
      </w:r>
      <w:r>
        <w:rPr>
          <w:rStyle w:val="CharPartText"/>
        </w:rPr>
        <w:t>Registered mooring sites</w:t>
      </w:r>
      <w:bookmarkEnd w:id="22"/>
    </w:p>
    <w:p>
      <w:pPr>
        <w:pStyle w:val="Heading3"/>
      </w:pPr>
      <w:bookmarkStart w:id="23" w:name="_Toc382380220"/>
      <w:r>
        <w:rPr>
          <w:rStyle w:val="CharDivNo"/>
        </w:rPr>
        <w:t>Division 1</w:t>
      </w:r>
      <w:r>
        <w:t xml:space="preserve"> — </w:t>
      </w:r>
      <w:r>
        <w:rPr>
          <w:rStyle w:val="CharDivText"/>
        </w:rPr>
        <w:t>Use of registered mooring sites</w:t>
      </w:r>
      <w:bookmarkEnd w:id="23"/>
    </w:p>
    <w:p>
      <w:pPr>
        <w:pStyle w:val="Heading5"/>
      </w:pPr>
      <w:bookmarkStart w:id="24" w:name="_Toc382380221"/>
      <w:r>
        <w:rPr>
          <w:rStyle w:val="CharSectno"/>
        </w:rPr>
        <w:t>18</w:t>
      </w:r>
      <w:r>
        <w:t>.</w:t>
      </w:r>
      <w:r>
        <w:tab/>
        <w:t>Installation of mooring</w:t>
      </w:r>
      <w:bookmarkEnd w:id="24"/>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25" w:name="_Toc382380222"/>
      <w:r>
        <w:rPr>
          <w:rStyle w:val="CharSectno"/>
        </w:rPr>
        <w:t>19</w:t>
      </w:r>
      <w:r>
        <w:t>.</w:t>
      </w:r>
      <w:r>
        <w:tab/>
        <w:t>Maintenance of mooring</w:t>
      </w:r>
      <w:bookmarkEnd w:id="25"/>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26" w:name="_Toc382380223"/>
      <w:r>
        <w:rPr>
          <w:rStyle w:val="CharSectno"/>
        </w:rPr>
        <w:t>20</w:t>
      </w:r>
      <w:r>
        <w:t>.</w:t>
      </w:r>
      <w:r>
        <w:tab/>
        <w:t>Inspection of mooring</w:t>
      </w:r>
      <w:bookmarkEnd w:id="26"/>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27" w:name="_Toc382380224"/>
      <w:r>
        <w:rPr>
          <w:rStyle w:val="CharSectno"/>
        </w:rPr>
        <w:t>21</w:t>
      </w:r>
      <w:r>
        <w:t>.</w:t>
      </w:r>
      <w:r>
        <w:tab/>
        <w:t>Dealing with mooring</w:t>
      </w:r>
      <w:bookmarkEnd w:id="27"/>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28" w:name="_Toc382380225"/>
      <w:r>
        <w:rPr>
          <w:rStyle w:val="CharSectno"/>
        </w:rPr>
        <w:t>22</w:t>
      </w:r>
      <w:r>
        <w:t>.</w:t>
      </w:r>
      <w:r>
        <w:tab/>
        <w:t>Relocation or removal of mooring</w:t>
      </w:r>
      <w:bookmarkEnd w:id="28"/>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29" w:name="_Toc382380226"/>
      <w:r>
        <w:rPr>
          <w:rStyle w:val="CharSectno"/>
        </w:rPr>
        <w:t>23</w:t>
      </w:r>
      <w:r>
        <w:t>.</w:t>
      </w:r>
      <w:r>
        <w:tab/>
        <w:t>Vessel to be maintained in seaworthy condition</w:t>
      </w:r>
      <w:bookmarkEnd w:id="29"/>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30" w:name="_Toc382380227"/>
      <w:r>
        <w:rPr>
          <w:rStyle w:val="CharDivNo"/>
        </w:rPr>
        <w:t>Division 2</w:t>
      </w:r>
      <w:r>
        <w:t xml:space="preserve"> — </w:t>
      </w:r>
      <w:r>
        <w:rPr>
          <w:rStyle w:val="CharDivText"/>
        </w:rPr>
        <w:t>Licensed vessels</w:t>
      </w:r>
      <w:bookmarkEnd w:id="30"/>
    </w:p>
    <w:p>
      <w:pPr>
        <w:pStyle w:val="Heading5"/>
      </w:pPr>
      <w:bookmarkStart w:id="31" w:name="_Toc382380228"/>
      <w:r>
        <w:rPr>
          <w:rStyle w:val="CharSectno"/>
        </w:rPr>
        <w:t>24</w:t>
      </w:r>
      <w:r>
        <w:t>.</w:t>
      </w:r>
      <w:r>
        <w:tab/>
        <w:t>Licensed vessels</w:t>
      </w:r>
      <w:bookmarkEnd w:id="31"/>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32" w:name="_Toc382380229"/>
      <w:r>
        <w:rPr>
          <w:rStyle w:val="CharSectno"/>
        </w:rPr>
        <w:t>25</w:t>
      </w:r>
      <w:r>
        <w:t>.</w:t>
      </w:r>
      <w:r>
        <w:tab/>
        <w:t>Substitution of licensed vessel</w:t>
      </w:r>
      <w:bookmarkEnd w:id="32"/>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33" w:name="_Toc382380230"/>
      <w:r>
        <w:rPr>
          <w:rStyle w:val="CharDivNo"/>
        </w:rPr>
        <w:t>Division 3</w:t>
      </w:r>
      <w:r>
        <w:t xml:space="preserve"> — </w:t>
      </w:r>
      <w:r>
        <w:rPr>
          <w:rStyle w:val="CharDivText"/>
        </w:rPr>
        <w:t>Additional vessels</w:t>
      </w:r>
      <w:bookmarkEnd w:id="33"/>
    </w:p>
    <w:p>
      <w:pPr>
        <w:pStyle w:val="Heading5"/>
      </w:pPr>
      <w:bookmarkStart w:id="34" w:name="_Toc382380231"/>
      <w:r>
        <w:rPr>
          <w:rStyle w:val="CharSectno"/>
        </w:rPr>
        <w:t>26</w:t>
      </w:r>
      <w:r>
        <w:t>.</w:t>
      </w:r>
      <w:r>
        <w:tab/>
        <w:t>Additional vessels authorised to use mooring site</w:t>
      </w:r>
      <w:bookmarkEnd w:id="34"/>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35" w:name="_Toc382380232"/>
      <w:r>
        <w:rPr>
          <w:rStyle w:val="CharSectno"/>
        </w:rPr>
        <w:t>27</w:t>
      </w:r>
      <w:r>
        <w:t>.</w:t>
      </w:r>
      <w:r>
        <w:tab/>
        <w:t>Application for registration of additional vessel</w:t>
      </w:r>
      <w:bookmarkEnd w:id="35"/>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36" w:name="_Toc382380233"/>
      <w:r>
        <w:rPr>
          <w:rStyle w:val="CharSectno"/>
        </w:rPr>
        <w:t>28</w:t>
      </w:r>
      <w:r>
        <w:t>.</w:t>
      </w:r>
      <w:r>
        <w:tab/>
        <w:t>Registration of additional vessel</w:t>
      </w:r>
      <w:bookmarkEnd w:id="36"/>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37" w:name="_Toc382380234"/>
      <w:r>
        <w:rPr>
          <w:rStyle w:val="CharSectno"/>
        </w:rPr>
        <w:t>29</w:t>
      </w:r>
      <w:r>
        <w:t>.</w:t>
      </w:r>
      <w:r>
        <w:tab/>
        <w:t>Duration of registration</w:t>
      </w:r>
      <w:bookmarkEnd w:id="37"/>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38" w:name="_Toc382380235"/>
      <w:r>
        <w:rPr>
          <w:rStyle w:val="CharSchNo"/>
        </w:rPr>
        <w:t>Schedule 1</w:t>
      </w:r>
      <w:r>
        <w:t xml:space="preserve"> —</w:t>
      </w:r>
      <w:r>
        <w:rPr>
          <w:rStyle w:val="CharSchNo"/>
        </w:rPr>
        <w:t xml:space="preserve"> </w:t>
      </w:r>
      <w:r>
        <w:rPr>
          <w:rStyle w:val="CharSchText"/>
        </w:rPr>
        <w:t>Mooring control areas to which regulations apply</w:t>
      </w:r>
      <w:bookmarkEnd w:id="38"/>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39" w:name="_Toc382380236"/>
      <w:r>
        <w:rPr>
          <w:rStyle w:val="CharSchNo"/>
        </w:rPr>
        <w:t>Schedule 2</w:t>
      </w:r>
      <w:r>
        <w:rPr>
          <w:rStyle w:val="CharSDivNo"/>
        </w:rPr>
        <w:t> </w:t>
      </w:r>
      <w:r>
        <w:t>—</w:t>
      </w:r>
      <w:r>
        <w:rPr>
          <w:rStyle w:val="CharSDivText"/>
        </w:rPr>
        <w:t> </w:t>
      </w:r>
      <w:r>
        <w:rPr>
          <w:rStyle w:val="CharSchText"/>
        </w:rPr>
        <w:t>Fees</w:t>
      </w:r>
      <w:bookmarkEnd w:id="39"/>
    </w:p>
    <w:p>
      <w:pPr>
        <w:pStyle w:val="yShoulderClause"/>
      </w:pPr>
      <w:r>
        <w:t>[r. 9, 12, 13, 15, 16, 25 and 27]</w:t>
      </w:r>
    </w:p>
    <w:p>
      <w:pPr>
        <w:pStyle w:val="yFootnoteheading"/>
        <w:spacing w:after="120"/>
      </w:pPr>
      <w:r>
        <w:tab/>
        <w:t>[Heading inserted in Gazette 15 Jun 2012 p. 2524.]</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zyTableNAm"/>
              <w:jc w:val="center"/>
              <w:rPr>
                <w:b/>
              </w:rPr>
            </w:pPr>
          </w:p>
        </w:tc>
        <w:tc>
          <w:tcPr>
            <w:tcW w:w="1080" w:type="dxa"/>
            <w:tcBorders>
              <w:top w:val="single" w:sz="4" w:space="0" w:color="auto"/>
              <w:bottom w:val="single" w:sz="4" w:space="0" w:color="auto"/>
            </w:tcBorders>
          </w:tcPr>
          <w:p>
            <w:pPr>
              <w:pStyle w:val="yTableNAm"/>
              <w:jc w:val="center"/>
            </w:pPr>
            <w:r>
              <w:rPr>
                <w:b/>
              </w:rP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pPr>
              <w:pStyle w:val="yTableNAm"/>
              <w:ind w:right="98"/>
              <w:jc w:val="right"/>
            </w:pPr>
            <w:r>
              <w:t>$82.20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pPr>
              <w:pStyle w:val="yTableNAm"/>
              <w:ind w:right="98"/>
              <w:jc w:val="right"/>
            </w:pPr>
            <w:r>
              <w:t>$465.80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pPr>
              <w:pStyle w:val="yTableNAm"/>
              <w:ind w:right="98"/>
              <w:jc w:val="right"/>
            </w:pPr>
            <w:r>
              <w:t>$82.20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pPr>
              <w:pStyle w:val="yTableNAm"/>
              <w:ind w:right="98"/>
              <w:jc w:val="right"/>
            </w:pPr>
            <w:r>
              <w:t>$82.20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pPr>
              <w:pStyle w:val="yTableNAm"/>
              <w:ind w:right="98"/>
              <w:jc w:val="right"/>
            </w:pPr>
            <w:r>
              <w:t>$82.20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pPr>
              <w:pStyle w:val="yTableNAm"/>
              <w:ind w:right="98"/>
              <w:jc w:val="right"/>
            </w:pPr>
            <w:r>
              <w:t>$82.20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pPr>
              <w:pStyle w:val="yTableNAm"/>
              <w:ind w:right="98"/>
              <w:jc w:val="right"/>
            </w:pPr>
            <w:r>
              <w:t>$82.20</w:t>
            </w:r>
          </w:p>
        </w:tc>
      </w:tr>
    </w:tbl>
    <w:p>
      <w:pPr>
        <w:pStyle w:val="yFootnotesection"/>
      </w:pPr>
      <w:r>
        <w:tab/>
        <w:t>[Schedule 2 inserted in Gazette 15 Jun 2012 p. 2524.]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40" w:name="_Toc382380237"/>
      <w:r>
        <w:t>Notes</w:t>
      </w:r>
      <w:bookmarkEnd w:id="40"/>
    </w:p>
    <w:p>
      <w:pPr>
        <w:pStyle w:val="nSubsection"/>
        <w:rPr>
          <w:snapToGrid w:val="0"/>
        </w:rPr>
      </w:pPr>
      <w:r>
        <w:rPr>
          <w:snapToGrid w:val="0"/>
          <w:vertAlign w:val="superscript"/>
        </w:rPr>
        <w:t>1</w:t>
      </w:r>
      <w:r>
        <w:rPr>
          <w:snapToGrid w:val="0"/>
        </w:rPr>
        <w:tab/>
        <w:t xml:space="preserve">This reprint is a compilation as at 12 April 2013 of the </w:t>
      </w:r>
      <w:r>
        <w:rPr>
          <w:i/>
          <w:noProof/>
          <w:snapToGrid w:val="0"/>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 w:name="_Toc382380238"/>
      <w:r>
        <w:rPr>
          <w:snapToGrid w:val="0"/>
        </w:rPr>
        <w:t>Compilation table</w:t>
      </w:r>
      <w:bookmarkEnd w:id="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9"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9"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2319</w:t>
            </w:r>
            <w:r>
              <w:rPr>
                <w:sz w:val="19"/>
              </w:rPr>
              <w:noBreakHyphen/>
              <w:t>20</w:t>
            </w:r>
          </w:p>
        </w:tc>
        <w:tc>
          <w:tcPr>
            <w:tcW w:w="2693" w:type="dxa"/>
          </w:tcPr>
          <w:p>
            <w:pPr>
              <w:pStyle w:val="nTable"/>
              <w:spacing w:after="40"/>
              <w:rPr>
                <w:sz w:val="19"/>
              </w:rPr>
            </w:pPr>
            <w:r>
              <w:rPr>
                <w:sz w:val="19"/>
              </w:rPr>
              <w:t>1 Jul 2002 (see r. 2)</w:t>
            </w:r>
          </w:p>
        </w:tc>
      </w:tr>
      <w:tr>
        <w:tc>
          <w:tcPr>
            <w:tcW w:w="3119"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9"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8"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9"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9"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w:t>
            </w:r>
            <w:r>
              <w:rPr>
                <w:sz w:val="19"/>
              </w:rPr>
              <w:noBreakHyphen/>
              <w:t>80</w:t>
            </w:r>
          </w:p>
        </w:tc>
        <w:tc>
          <w:tcPr>
            <w:tcW w:w="2693" w:type="dxa"/>
          </w:tcPr>
          <w:p>
            <w:pPr>
              <w:pStyle w:val="nTable"/>
              <w:spacing w:after="40"/>
              <w:rPr>
                <w:sz w:val="19"/>
              </w:rPr>
            </w:pPr>
            <w:r>
              <w:rPr>
                <w:sz w:val="19"/>
              </w:rPr>
              <w:t>1 Jul 2005 (see r. 2)</w:t>
            </w:r>
          </w:p>
        </w:tc>
      </w:tr>
      <w:tr>
        <w:tc>
          <w:tcPr>
            <w:tcW w:w="3119"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w:t>
            </w:r>
            <w:r>
              <w:rPr>
                <w:sz w:val="19"/>
              </w:rPr>
              <w:noBreakHyphen/>
              <w:t>80</w:t>
            </w:r>
          </w:p>
        </w:tc>
        <w:tc>
          <w:tcPr>
            <w:tcW w:w="2693" w:type="dxa"/>
          </w:tcPr>
          <w:p>
            <w:pPr>
              <w:pStyle w:val="nTable"/>
              <w:spacing w:after="40"/>
              <w:rPr>
                <w:sz w:val="19"/>
              </w:rPr>
            </w:pPr>
            <w:r>
              <w:rPr>
                <w:sz w:val="19"/>
              </w:rPr>
              <w:t>26 May 2006</w:t>
            </w:r>
          </w:p>
        </w:tc>
      </w:tr>
      <w:tr>
        <w:tc>
          <w:tcPr>
            <w:tcW w:w="3119" w:type="dxa"/>
          </w:tcPr>
          <w:p>
            <w:pPr>
              <w:pStyle w:val="nTable"/>
              <w:spacing w:after="40"/>
              <w:rPr>
                <w:i/>
                <w:spacing w:val="-2"/>
                <w:sz w:val="19"/>
              </w:rPr>
            </w:pPr>
            <w:r>
              <w:rPr>
                <w:i/>
                <w:spacing w:val="-2"/>
                <w:sz w:val="19"/>
              </w:rPr>
              <w:t>Mooring Amendment Regulations (No. 2) 2006</w:t>
            </w:r>
          </w:p>
        </w:tc>
        <w:tc>
          <w:tcPr>
            <w:tcW w:w="1276" w:type="dxa"/>
          </w:tcPr>
          <w:p>
            <w:pPr>
              <w:pStyle w:val="nTable"/>
              <w:spacing w:after="40"/>
              <w:rPr>
                <w:sz w:val="19"/>
              </w:rPr>
            </w:pPr>
            <w:r>
              <w:rPr>
                <w:sz w:val="19"/>
              </w:rPr>
              <w:t>23 Jun 2006 p. 2206</w:t>
            </w:r>
          </w:p>
        </w:tc>
        <w:tc>
          <w:tcPr>
            <w:tcW w:w="2693" w:type="dxa"/>
          </w:tcPr>
          <w:p>
            <w:pPr>
              <w:pStyle w:val="nTable"/>
              <w:spacing w:after="40"/>
              <w:rPr>
                <w:sz w:val="19"/>
              </w:rPr>
            </w:pPr>
            <w:r>
              <w:rPr>
                <w:sz w:val="19"/>
              </w:rPr>
              <w:t>1 Jul 2006 (see r. 2)</w:t>
            </w:r>
          </w:p>
        </w:tc>
      </w:tr>
      <w:tr>
        <w:tc>
          <w:tcPr>
            <w:tcW w:w="3119" w:type="dxa"/>
          </w:tcPr>
          <w:p>
            <w:pPr>
              <w:pStyle w:val="nTable"/>
              <w:spacing w:after="40"/>
              <w:rPr>
                <w:i/>
                <w:spacing w:val="-2"/>
                <w:sz w:val="19"/>
              </w:rPr>
            </w:pPr>
            <w:r>
              <w:rPr>
                <w:i/>
                <w:spacing w:val="-2"/>
                <w:sz w:val="19"/>
              </w:rPr>
              <w:t>Mooring Amendment Regulations 2007 </w:t>
            </w:r>
          </w:p>
        </w:tc>
        <w:tc>
          <w:tcPr>
            <w:tcW w:w="1276" w:type="dxa"/>
          </w:tcPr>
          <w:p>
            <w:pPr>
              <w:pStyle w:val="nTable"/>
              <w:spacing w:after="40"/>
              <w:rPr>
                <w:sz w:val="19"/>
              </w:rPr>
            </w:pPr>
            <w:r>
              <w:rPr>
                <w:sz w:val="19"/>
              </w:rPr>
              <w:t>12 Jun 2007 p. 2725</w:t>
            </w:r>
            <w:r>
              <w:rPr>
                <w:sz w:val="19"/>
              </w:rPr>
              <w:noBreakHyphen/>
              <w:t>6</w:t>
            </w:r>
          </w:p>
        </w:tc>
        <w:tc>
          <w:tcPr>
            <w:tcW w:w="2693" w:type="dxa"/>
          </w:tcPr>
          <w:p>
            <w:pPr>
              <w:pStyle w:val="nTable"/>
              <w:spacing w:after="40"/>
              <w:rPr>
                <w:sz w:val="19"/>
              </w:rPr>
            </w:pPr>
            <w:r>
              <w:rPr>
                <w:sz w:val="19"/>
              </w:rPr>
              <w:t>1 Jul 2007 (see r. 2)</w:t>
            </w:r>
          </w:p>
        </w:tc>
      </w:tr>
      <w:tr>
        <w:tc>
          <w:tcPr>
            <w:tcW w:w="3119" w:type="dxa"/>
          </w:tcPr>
          <w:p>
            <w:pPr>
              <w:pStyle w:val="nTable"/>
              <w:spacing w:after="40"/>
              <w:rPr>
                <w:i/>
                <w:spacing w:val="-2"/>
                <w:sz w:val="19"/>
              </w:rPr>
            </w:pPr>
            <w:r>
              <w:rPr>
                <w:i/>
                <w:spacing w:val="-2"/>
                <w:sz w:val="19"/>
              </w:rPr>
              <w:t>Mooring Amendment Regulations 2008 </w:t>
            </w:r>
          </w:p>
        </w:tc>
        <w:tc>
          <w:tcPr>
            <w:tcW w:w="1276" w:type="dxa"/>
          </w:tcPr>
          <w:p>
            <w:pPr>
              <w:pStyle w:val="nTable"/>
              <w:spacing w:after="40"/>
              <w:rPr>
                <w:sz w:val="19"/>
              </w:rPr>
            </w:pPr>
            <w:r>
              <w:rPr>
                <w:sz w:val="19"/>
              </w:rPr>
              <w:t>24 Jun 2008 p. 2893</w:t>
            </w:r>
          </w:p>
        </w:tc>
        <w:tc>
          <w:tcPr>
            <w:tcW w:w="2693" w:type="dxa"/>
          </w:tcPr>
          <w:p>
            <w:pPr>
              <w:pStyle w:val="nTable"/>
              <w:spacing w:after="40"/>
              <w:rPr>
                <w:sz w:val="19"/>
              </w:rPr>
            </w:pPr>
            <w:r>
              <w:rPr>
                <w:snapToGrid w:val="0"/>
                <w:sz w:val="19"/>
              </w:rPr>
              <w:t>r. 1 and 2: 24 Jun 2008 (see r. 2(a));</w:t>
            </w:r>
            <w:r>
              <w:rPr>
                <w:snapToGrid w:val="0"/>
                <w:sz w:val="19"/>
              </w:rPr>
              <w:br/>
              <w:t>Regulations other than r. 1 and 2: 1 Jul 2008 (see r. 2(b))</w:t>
            </w:r>
          </w:p>
        </w:tc>
      </w:tr>
      <w:tr>
        <w:trPr>
          <w:cantSplit/>
        </w:trPr>
        <w:tc>
          <w:tcPr>
            <w:tcW w:w="7088" w:type="dxa"/>
            <w:gridSpan w:val="3"/>
          </w:tcPr>
          <w:p>
            <w:pPr>
              <w:pStyle w:val="nTable"/>
              <w:spacing w:after="40"/>
              <w:rPr>
                <w:snapToGrid w:val="0"/>
                <w:sz w:val="19"/>
              </w:rPr>
            </w:pPr>
            <w:r>
              <w:rPr>
                <w:b/>
                <w:sz w:val="19"/>
              </w:rPr>
              <w:t xml:space="preserve">Reprint 2:  The </w:t>
            </w:r>
            <w:r>
              <w:rPr>
                <w:b/>
                <w:i/>
                <w:sz w:val="19"/>
              </w:rPr>
              <w:t xml:space="preserve">Mooring Regulations 1998 </w:t>
            </w:r>
            <w:r>
              <w:rPr>
                <w:b/>
                <w:sz w:val="19"/>
              </w:rPr>
              <w:t xml:space="preserve">as at 12 Sep 2008 </w:t>
            </w:r>
            <w:r>
              <w:rPr>
                <w:sz w:val="19"/>
              </w:rPr>
              <w:t>(includes amendments listed above)</w:t>
            </w:r>
          </w:p>
        </w:tc>
      </w:tr>
      <w:tr>
        <w:trPr>
          <w:cantSplit/>
        </w:trPr>
        <w:tc>
          <w:tcPr>
            <w:tcW w:w="3119" w:type="dxa"/>
          </w:tcPr>
          <w:p>
            <w:pPr>
              <w:pStyle w:val="nTable"/>
              <w:spacing w:after="40"/>
              <w:rPr>
                <w:iCs/>
                <w:sz w:val="19"/>
                <w:vertAlign w:val="superscript"/>
              </w:rPr>
            </w:pPr>
            <w:r>
              <w:rPr>
                <w:i/>
                <w:spacing w:val="-2"/>
                <w:sz w:val="19"/>
              </w:rPr>
              <w:t xml:space="preserve">Mooring Amendment Regulations 2009 </w:t>
            </w:r>
          </w:p>
        </w:tc>
        <w:tc>
          <w:tcPr>
            <w:tcW w:w="1276" w:type="dxa"/>
          </w:tcPr>
          <w:p>
            <w:pPr>
              <w:pStyle w:val="nTable"/>
              <w:spacing w:after="40"/>
              <w:rPr>
                <w:sz w:val="19"/>
              </w:rPr>
            </w:pPr>
            <w:r>
              <w:rPr>
                <w:sz w:val="19"/>
              </w:rPr>
              <w:t>12 Jun 2009 p. 2119</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c>
          <w:tcPr>
            <w:tcW w:w="3119" w:type="dxa"/>
          </w:tcPr>
          <w:p>
            <w:pPr>
              <w:pStyle w:val="nTable"/>
              <w:spacing w:after="40"/>
              <w:rPr>
                <w:iCs/>
                <w:sz w:val="19"/>
                <w:vertAlign w:val="superscript"/>
              </w:rPr>
            </w:pPr>
            <w:r>
              <w:rPr>
                <w:i/>
                <w:sz w:val="19"/>
              </w:rPr>
              <w:t>Mooring Amendment Regulations 2010</w:t>
            </w:r>
          </w:p>
        </w:tc>
        <w:tc>
          <w:tcPr>
            <w:tcW w:w="1276" w:type="dxa"/>
          </w:tcPr>
          <w:p>
            <w:pPr>
              <w:pStyle w:val="nTable"/>
              <w:spacing w:after="40"/>
              <w:rPr>
                <w:sz w:val="19"/>
              </w:rPr>
            </w:pPr>
            <w:r>
              <w:rPr>
                <w:sz w:val="19"/>
              </w:rPr>
              <w:t>4 Jun 2010 p. 2473</w:t>
            </w:r>
          </w:p>
        </w:tc>
        <w:tc>
          <w:tcPr>
            <w:tcW w:w="2693" w:type="dxa"/>
          </w:tcPr>
          <w:p>
            <w:pPr>
              <w:pStyle w:val="nTable"/>
              <w:spacing w:after="40"/>
              <w:rPr>
                <w:sz w:val="19"/>
              </w:rPr>
            </w:pPr>
            <w:r>
              <w:rPr>
                <w:sz w:val="19"/>
              </w:rPr>
              <w:t>r. 1 and 2: 4 Jun 2010 (see r. 2(a));</w:t>
            </w:r>
            <w:r>
              <w:rPr>
                <w:sz w:val="19"/>
              </w:rPr>
              <w:br/>
              <w:t>Regulations other than r. 1 and 2: 1 Jul 2010 (see r. 2(b))</w:t>
            </w:r>
          </w:p>
        </w:tc>
      </w:tr>
      <w:tr>
        <w:tc>
          <w:tcPr>
            <w:tcW w:w="3119" w:type="dxa"/>
          </w:tcPr>
          <w:p>
            <w:pPr>
              <w:pStyle w:val="nTable"/>
              <w:spacing w:after="40"/>
              <w:rPr>
                <w:i/>
                <w:sz w:val="19"/>
              </w:rPr>
            </w:pPr>
            <w:r>
              <w:rPr>
                <w:i/>
                <w:sz w:val="19"/>
              </w:rPr>
              <w:t>Mooring Amendment Regulations 2011</w:t>
            </w:r>
          </w:p>
        </w:tc>
        <w:tc>
          <w:tcPr>
            <w:tcW w:w="1276" w:type="dxa"/>
          </w:tcPr>
          <w:p>
            <w:pPr>
              <w:pStyle w:val="nTable"/>
              <w:spacing w:after="40"/>
              <w:rPr>
                <w:sz w:val="19"/>
              </w:rPr>
            </w:pPr>
            <w:r>
              <w:rPr>
                <w:sz w:val="19"/>
              </w:rPr>
              <w:t>21 Jun 2011 p. 2229-30</w:t>
            </w:r>
          </w:p>
        </w:tc>
        <w:tc>
          <w:tcPr>
            <w:tcW w:w="2693" w:type="dxa"/>
          </w:tcPr>
          <w:p>
            <w:pPr>
              <w:pStyle w:val="nTable"/>
              <w:spacing w:after="40"/>
              <w:rPr>
                <w:sz w:val="19"/>
              </w:rPr>
            </w:pPr>
            <w:r>
              <w:rPr>
                <w:sz w:val="19"/>
              </w:rPr>
              <w:t>r. 1 and 2: 21 Jun 2011 (see r. 2(a));</w:t>
            </w:r>
            <w:r>
              <w:rPr>
                <w:sz w:val="19"/>
              </w:rPr>
              <w:br/>
              <w:t>Regulations other than r. 1 and 2: 1 Jul 2011 (see r. 2(b))</w:t>
            </w:r>
          </w:p>
        </w:tc>
      </w:tr>
      <w:tr>
        <w:tc>
          <w:tcPr>
            <w:tcW w:w="3119" w:type="dxa"/>
          </w:tcPr>
          <w:p>
            <w:pPr>
              <w:pStyle w:val="nTable"/>
              <w:spacing w:after="40"/>
              <w:rPr>
                <w:i/>
                <w:sz w:val="19"/>
              </w:rPr>
            </w:pPr>
            <w:r>
              <w:rPr>
                <w:i/>
                <w:sz w:val="19"/>
              </w:rPr>
              <w:t>Mooring Amendment Regulations 2012</w:t>
            </w:r>
          </w:p>
        </w:tc>
        <w:tc>
          <w:tcPr>
            <w:tcW w:w="1276" w:type="dxa"/>
          </w:tcPr>
          <w:p>
            <w:pPr>
              <w:pStyle w:val="nTable"/>
              <w:spacing w:after="40"/>
              <w:rPr>
                <w:sz w:val="19"/>
              </w:rPr>
            </w:pPr>
            <w:r>
              <w:rPr>
                <w:sz w:val="19"/>
              </w:rPr>
              <w:t>14 Feb 2012 p. 668</w:t>
            </w:r>
            <w:r>
              <w:rPr>
                <w:sz w:val="19"/>
              </w:rPr>
              <w:noBreakHyphen/>
              <w:t>9</w:t>
            </w:r>
          </w:p>
        </w:tc>
        <w:tc>
          <w:tcPr>
            <w:tcW w:w="2693" w:type="dxa"/>
          </w:tcPr>
          <w:p>
            <w:pPr>
              <w:pStyle w:val="nTable"/>
              <w:spacing w:after="40"/>
              <w:rPr>
                <w:sz w:val="19"/>
              </w:rPr>
            </w:pPr>
            <w:r>
              <w:rPr>
                <w:snapToGrid w:val="0"/>
                <w:sz w:val="19"/>
              </w:rPr>
              <w:t>r. 1 and 2: 14 Feb 2012 (see r. 2(a));</w:t>
            </w:r>
            <w:r>
              <w:rPr>
                <w:snapToGrid w:val="0"/>
                <w:sz w:val="19"/>
              </w:rPr>
              <w:br/>
              <w:t>Regulations other than r. 1 and 2: 15 Feb 2012 (see r. 2(b))</w:t>
            </w:r>
          </w:p>
        </w:tc>
      </w:tr>
      <w:tr>
        <w:tc>
          <w:tcPr>
            <w:tcW w:w="3119" w:type="dxa"/>
          </w:tcPr>
          <w:p>
            <w:pPr>
              <w:pStyle w:val="nTable"/>
              <w:spacing w:after="40"/>
              <w:rPr>
                <w:i/>
                <w:sz w:val="19"/>
              </w:rPr>
            </w:pPr>
            <w:r>
              <w:rPr>
                <w:i/>
                <w:sz w:val="19"/>
              </w:rPr>
              <w:t>Mooring Amendment Regulations (No. 2) 2012</w:t>
            </w:r>
          </w:p>
        </w:tc>
        <w:tc>
          <w:tcPr>
            <w:tcW w:w="1276" w:type="dxa"/>
          </w:tcPr>
          <w:p>
            <w:pPr>
              <w:pStyle w:val="nTable"/>
              <w:spacing w:after="40"/>
              <w:rPr>
                <w:sz w:val="19"/>
              </w:rPr>
            </w:pPr>
            <w:r>
              <w:rPr>
                <w:sz w:val="19"/>
              </w:rPr>
              <w:t>15 Jun 2012 p. 2524</w:t>
            </w:r>
          </w:p>
        </w:tc>
        <w:tc>
          <w:tcPr>
            <w:tcW w:w="2693" w:type="dxa"/>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c>
          <w:tcPr>
            <w:tcW w:w="7088" w:type="dxa"/>
            <w:gridSpan w:val="3"/>
            <w:tcBorders>
              <w:bottom w:val="single" w:sz="8" w:space="0" w:color="auto"/>
            </w:tcBorders>
          </w:tcPr>
          <w:p>
            <w:pPr>
              <w:pStyle w:val="nTable"/>
              <w:spacing w:after="40"/>
              <w:rPr>
                <w:snapToGrid w:val="0"/>
                <w:sz w:val="19"/>
              </w:rPr>
            </w:pPr>
            <w:r>
              <w:rPr>
                <w:b/>
                <w:sz w:val="19"/>
              </w:rPr>
              <w:t xml:space="preserve">Reprint 3:  The </w:t>
            </w:r>
            <w:r>
              <w:rPr>
                <w:b/>
                <w:i/>
                <w:sz w:val="19"/>
              </w:rPr>
              <w:t xml:space="preserve">Mooring Regulations 1998 </w:t>
            </w:r>
            <w:r>
              <w:rPr>
                <w:b/>
                <w:sz w:val="19"/>
              </w:rPr>
              <w:t xml:space="preserve">as at 12 Apr 2013 </w:t>
            </w:r>
            <w:r>
              <w:rPr>
                <w:sz w:val="19"/>
              </w:rPr>
              <w:t>(includes amendments listed above)</w:t>
            </w:r>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rPr>
          <w:sz w:val="20"/>
        </w:r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rPr>
          <w:sz w:val="20"/>
        </w:rPr>
      </w:pPr>
    </w:p>
    <w:p>
      <w:pPr>
        <w:pStyle w:val="nHeading2"/>
        <w:rPr>
          <w:sz w:val="28"/>
        </w:rPr>
      </w:pPr>
      <w:bookmarkStart w:id="42" w:name="_Toc382380239"/>
      <w:r>
        <w:rPr>
          <w:sz w:val="28"/>
        </w:rPr>
        <w:t>Defined terms</w:t>
      </w:r>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 w:name="DefinedTerms"/>
      <w:bookmarkEnd w:id="43"/>
      <w:r>
        <w:t>additional vessel</w:t>
      </w:r>
      <w:r>
        <w:tab/>
        <w:t>2</w:t>
      </w:r>
    </w:p>
    <w:p>
      <w:pPr>
        <w:pStyle w:val="DefinedTerms"/>
      </w:pPr>
      <w:r>
        <w:t>approved</w:t>
      </w:r>
      <w:r>
        <w:tab/>
        <w:t>2</w:t>
      </w:r>
    </w:p>
    <w:p>
      <w:pPr>
        <w:pStyle w:val="DefinedTerms"/>
      </w:pPr>
      <w:r>
        <w:t>certificate of registration</w:t>
      </w:r>
      <w:r>
        <w:tab/>
        <w:t>2</w:t>
      </w:r>
    </w:p>
    <w:p>
      <w:pPr>
        <w:pStyle w:val="DefinedTerms"/>
      </w:pPr>
      <w:r>
        <w:t>Director General</w:t>
      </w:r>
      <w:r>
        <w:tab/>
        <w:t>2</w:t>
      </w:r>
    </w:p>
    <w:p>
      <w:pPr>
        <w:pStyle w:val="DefinedTerms"/>
      </w:pPr>
      <w:r>
        <w:t>length</w:t>
      </w:r>
      <w:r>
        <w:tab/>
        <w:t>2</w:t>
      </w:r>
    </w:p>
    <w:p>
      <w:pPr>
        <w:pStyle w:val="DefinedTerms"/>
      </w:pPr>
      <w:r>
        <w:t>licensed vessel</w:t>
      </w:r>
      <w:r>
        <w:tab/>
        <w:t>2</w:t>
      </w:r>
    </w:p>
    <w:p>
      <w:pPr>
        <w:pStyle w:val="DefinedTerms"/>
      </w:pPr>
      <w:r>
        <w:t>mooring</w:t>
      </w:r>
      <w:r>
        <w:tab/>
        <w:t>2</w:t>
      </w:r>
    </w:p>
    <w:p>
      <w:pPr>
        <w:pStyle w:val="DefinedTerms"/>
      </w:pPr>
      <w:r>
        <w:t>mooring control area</w:t>
      </w:r>
      <w:r>
        <w:tab/>
        <w:t>2</w:t>
      </w:r>
    </w:p>
    <w:p>
      <w:pPr>
        <w:pStyle w:val="DefinedTerms"/>
      </w:pPr>
      <w:r>
        <w:t>mooring licence</w:t>
      </w:r>
      <w:r>
        <w:tab/>
        <w:t>2</w:t>
      </w:r>
    </w:p>
    <w:p>
      <w:pPr>
        <w:pStyle w:val="DefinedTerms"/>
      </w:pPr>
      <w:r>
        <w:t>mooring licensee</w:t>
      </w:r>
      <w:r>
        <w:tab/>
        <w:t>2</w:t>
      </w:r>
    </w:p>
    <w:p>
      <w:pPr>
        <w:pStyle w:val="DefinedTerms"/>
      </w:pPr>
      <w:r>
        <w:t>overall length</w:t>
      </w:r>
      <w:r>
        <w:tab/>
        <w:t>2</w:t>
      </w:r>
    </w:p>
    <w:p>
      <w:pPr>
        <w:pStyle w:val="DefinedTerms"/>
      </w:pPr>
      <w:r>
        <w:t>previous licensee</w:t>
      </w:r>
      <w:r>
        <w:tab/>
        <w:t>21(1)</w:t>
      </w:r>
    </w:p>
    <w:p>
      <w:pPr>
        <w:pStyle w:val="DefinedTerms"/>
      </w:pPr>
      <w:r>
        <w:t>register</w:t>
      </w:r>
      <w:r>
        <w:tab/>
        <w:t>2</w:t>
      </w:r>
    </w:p>
    <w:p>
      <w:pPr>
        <w:pStyle w:val="DefinedTerms"/>
      </w:pPr>
      <w:r>
        <w:t>registered mooring site</w:t>
      </w:r>
      <w:r>
        <w:tab/>
        <w:t>2</w:t>
      </w:r>
    </w:p>
    <w:p>
      <w:pPr>
        <w:pStyle w:val="DefinedTerms"/>
      </w:pPr>
      <w:r>
        <w:t>tender</w:t>
      </w:r>
      <w:r>
        <w:tab/>
        <w:t>6(4)</w:t>
      </w:r>
    </w:p>
    <w:p>
      <w:pPr>
        <w:pStyle w:val="DefinedTerms"/>
      </w:pPr>
      <w:r>
        <w:t>waiting list</w:t>
      </w:r>
      <w:r>
        <w:tab/>
        <w:t>2</w:t>
      </w:r>
    </w:p>
    <w:p>
      <w:pPr>
        <w:pStyle w:val="DefinedTerms"/>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4"/>
      <w:headerReference w:type="default" r:id="rId4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26</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27</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Mooring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Mooring control areas to which regulations apply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Mooring Regulations 1998</w:t>
            </w:r>
          </w:fldSimple>
        </w:p>
      </w:tc>
    </w:tr>
    <w:tr>
      <w:tc>
        <w:tcPr>
          <w:tcW w:w="5715" w:type="dxa"/>
          <w:vAlign w:val="bottom"/>
        </w:tcPr>
        <w:p>
          <w:pPr>
            <w:pStyle w:val="HeaderTextRight"/>
          </w:pPr>
          <w:fldSimple w:instr=" styleref CharSchText ">
            <w:r>
              <w:rPr>
                <w:noProof/>
              </w:rPr>
              <w:t>Mooring control areas to which regulations apply</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Mooring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Mooring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F0A2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3826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40DB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598B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EA5DD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BB4B9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9B291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4A8E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D585624"/>
    <w:lvl w:ilvl="0">
      <w:start w:val="1"/>
      <w:numFmt w:val="decimal"/>
      <w:pStyle w:val="ListNumber"/>
      <w:lvlText w:val="%1."/>
      <w:lvlJc w:val="left"/>
      <w:pPr>
        <w:tabs>
          <w:tab w:val="num" w:pos="360"/>
        </w:tabs>
        <w:ind w:left="360" w:hanging="360"/>
      </w:pPr>
    </w:lvl>
  </w:abstractNum>
  <w:abstractNum w:abstractNumId="9">
    <w:nsid w:val="FFFFFF89"/>
    <w:multiLevelType w:val="singleLevel"/>
    <w:tmpl w:val="0024BB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1BCF7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ACCE61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092750"/>
    <w:docVar w:name="WAFER_20140312092750" w:val="RemoveTocBookmarks,RemoveUnusedBookmarks,RemoveLanguageTags,UsedStyles,ResetPageSize"/>
    <w:docVar w:name="WAFER_20140312092750_GUID" w:val="d08a713c-e3f9-4f69-8c87-ee1755dd84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0.xml"/><Relationship Id="rId45"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image" Target="media/image4.png"/><Relationship Id="rId44" Type="http://schemas.openxmlformats.org/officeDocument/2006/relationships/header" Target="header1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 Id="rId43"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EAF83B-9A15-4EDC-95CF-E95DB7E18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6559</Words>
  <Characters>31026</Characters>
  <Application>Microsoft Office Word</Application>
  <DocSecurity>0</DocSecurity>
  <Lines>940</Lines>
  <Paragraphs>596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36989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1998 - 03-00-01</dc:title>
  <dc:subject/>
  <dc:creator/>
  <cp:keywords/>
  <dc:description/>
  <cp:lastModifiedBy>svcMRProcess</cp:lastModifiedBy>
  <cp:revision>4</cp:revision>
  <cp:lastPrinted>2013-04-05T00:05:00Z</cp:lastPrinted>
  <dcterms:created xsi:type="dcterms:W3CDTF">2020-04-08T16:10:00Z</dcterms:created>
  <dcterms:modified xsi:type="dcterms:W3CDTF">2020-04-08T16:10:00Z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20130412</vt:lpwstr>
  </property>
  <property fmtid="{D5CDD505-2E9C-101B-9397-08002B2CF9AE}" pid="4" name="DocumentType">
    <vt:lpwstr>Reg</vt:lpwstr>
  </property>
  <property fmtid="{D5CDD505-2E9C-101B-9397-08002B2CF9AE}" pid="5" name="OwlsUID">
    <vt:i4>450</vt:i4>
  </property>
  <property fmtid="{D5CDD505-2E9C-101B-9397-08002B2CF9AE}" pid="6" name="AsAtDate">
    <vt:lpwstr>12 Apr 2013</vt:lpwstr>
  </property>
  <property fmtid="{D5CDD505-2E9C-101B-9397-08002B2CF9AE}" pid="7" name="Suffix">
    <vt:lpwstr>03-00-01</vt:lpwstr>
  </property>
  <property fmtid="{D5CDD505-2E9C-101B-9397-08002B2CF9AE}" pid="8" name="ReprintNo">
    <vt:lpwstr>3</vt:lpwstr>
  </property>
  <property fmtid="{D5CDD505-2E9C-101B-9397-08002B2CF9AE}" pid="9" name="ReprintedAsAt">
    <vt:filetime>2013-04-11T16:00:00Z</vt:filetime>
  </property>
</Properties>
</file>