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Agriculture and Related Resources Protection Act 1976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Agriculture and Related Resources Protection (Declared Animals) Regulations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 April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_Toc353435001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_Toc353435002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Scientific name</w:t>
      </w:r>
      <w:r>
        <w:tab/>
      </w:r>
      <w:r>
        <w:fldChar w:fldCharType="begin"/>
      </w:r>
      <w:r>
        <w:instrText xml:space="preserve"> PAGEREF _Toc353435003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II — Introduction of category A4 declared animals</w:t>
      </w:r>
    </w:p>
    <w:p>
      <w:pPr>
        <w:pStyle w:val="TOC8"/>
        <w:rPr>
          <w:rFonts w:asciiTheme="minorHAnsi" w:eastAsiaTheme="minorEastAsia" w:hAnsiTheme="minorHAnsi" w:cstheme="minorBidi"/>
          <w:szCs w:val="22"/>
        </w:rPr>
      </w:pPr>
      <w:r>
        <w:t>4</w:t>
      </w:r>
      <w:r>
        <w:rPr>
          <w:snapToGrid w:val="0"/>
        </w:rPr>
        <w:t>.</w:t>
      </w:r>
      <w:r>
        <w:rPr>
          <w:snapToGrid w:val="0"/>
        </w:rPr>
        <w:tab/>
        <w:t>Permit</w:t>
      </w:r>
      <w:r>
        <w:tab/>
      </w:r>
      <w:r>
        <w:fldChar w:fldCharType="begin"/>
      </w:r>
      <w:r>
        <w:instrText xml:space="preserve"> PAGEREF _Toc353435005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Application for permit</w:t>
      </w:r>
      <w:r>
        <w:tab/>
      </w:r>
      <w:r>
        <w:fldChar w:fldCharType="begin"/>
      </w:r>
      <w:r>
        <w:instrText xml:space="preserve"> PAGEREF _Toc353435006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Evidence of security</w:t>
      </w:r>
      <w:r>
        <w:tab/>
      </w:r>
      <w:r>
        <w:fldChar w:fldCharType="begin"/>
      </w:r>
      <w:r>
        <w:instrText xml:space="preserve"> PAGEREF _Toc353435007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Issue of permit</w:t>
      </w:r>
      <w:r>
        <w:tab/>
      </w:r>
      <w:r>
        <w:fldChar w:fldCharType="begin"/>
      </w:r>
      <w:r>
        <w:instrText xml:space="preserve"> PAGEREF _Toc353435008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Animals to be accompanied by copy of a permit</w:t>
      </w:r>
      <w:r>
        <w:tab/>
      </w:r>
      <w:r>
        <w:fldChar w:fldCharType="begin"/>
      </w:r>
      <w:r>
        <w:instrText xml:space="preserve"> PAGEREF _Toc353435009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Notice of arrival</w:t>
      </w:r>
      <w:r>
        <w:tab/>
      </w:r>
      <w:r>
        <w:fldChar w:fldCharType="begin"/>
      </w:r>
      <w:r>
        <w:instrText xml:space="preserve"> PAGEREF _Toc353435010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Clearance certificate or further conditions</w:t>
      </w:r>
      <w:r>
        <w:tab/>
      </w:r>
      <w:r>
        <w:fldChar w:fldCharType="begin"/>
      </w:r>
      <w:r>
        <w:instrText xml:space="preserve"> PAGEREF _Toc353435011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Production of permit, clearance certificate</w:t>
      </w:r>
      <w:r>
        <w:tab/>
      </w:r>
      <w:r>
        <w:fldChar w:fldCharType="begin"/>
      </w:r>
      <w:r>
        <w:instrText xml:space="preserve"> PAGEREF _Toc353435012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Escape of declared animals</w:t>
      </w:r>
      <w:r>
        <w:tab/>
      </w:r>
      <w:r>
        <w:fldChar w:fldCharType="begin"/>
      </w:r>
      <w:r>
        <w:instrText xml:space="preserve"> PAGEREF _Toc353435013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III — Keeping of category A6 declared animals</w:t>
      </w:r>
    </w:p>
    <w:p>
      <w:pPr>
        <w:pStyle w:val="TOC8"/>
        <w:rPr>
          <w:rFonts w:asciiTheme="minorHAnsi" w:eastAsiaTheme="minorEastAsia" w:hAnsiTheme="minorHAnsi" w:cstheme="minorBidi"/>
          <w:szCs w:val="22"/>
        </w:rPr>
      </w:pPr>
      <w:r>
        <w:t>13</w:t>
      </w:r>
      <w:r>
        <w:rPr>
          <w:snapToGrid w:val="0"/>
        </w:rPr>
        <w:t>.</w:t>
      </w:r>
      <w:r>
        <w:rPr>
          <w:snapToGrid w:val="0"/>
        </w:rPr>
        <w:tab/>
        <w:t>Permit</w:t>
      </w:r>
      <w:r>
        <w:tab/>
      </w:r>
      <w:r>
        <w:fldChar w:fldCharType="begin"/>
      </w:r>
      <w:r>
        <w:instrText xml:space="preserve"> PAGEREF _Toc353435015 \h </w:instrText>
      </w:r>
      <w:r>
        <w:fldChar w:fldCharType="separate"/>
      </w:r>
      <w:r>
        <w:t>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Application for permit</w:t>
      </w:r>
      <w:r>
        <w:tab/>
      </w:r>
      <w:r>
        <w:fldChar w:fldCharType="begin"/>
      </w:r>
      <w:r>
        <w:instrText xml:space="preserve"> PAGEREF _Toc353435016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Security requirements</w:t>
      </w:r>
      <w:r>
        <w:tab/>
      </w:r>
      <w:r>
        <w:fldChar w:fldCharType="begin"/>
      </w:r>
      <w:r>
        <w:instrText xml:space="preserve"> PAGEREF _Toc353435017 \h </w:instrText>
      </w:r>
      <w:r>
        <w:fldChar w:fldCharType="separate"/>
      </w:r>
      <w:r>
        <w:t>9</w:t>
      </w:r>
      <w:r>
        <w:fldChar w:fldCharType="end"/>
      </w:r>
    </w:p>
    <w:p>
      <w:pPr>
        <w:pStyle w:val="TOC8"/>
        <w:rPr>
          <w:rFonts w:asciiTheme="minorHAnsi" w:eastAsiaTheme="minorEastAsia" w:hAnsiTheme="minorHAnsi" w:cstheme="minorBidi"/>
          <w:szCs w:val="22"/>
        </w:rPr>
      </w:pPr>
      <w:r>
        <w:t>16.</w:t>
      </w:r>
      <w:r>
        <w:tab/>
        <w:t>Issue or renewal of permit</w:t>
      </w:r>
      <w:r>
        <w:tab/>
      </w:r>
      <w:r>
        <w:fldChar w:fldCharType="begin"/>
      </w:r>
      <w:r>
        <w:instrText xml:space="preserve"> PAGEREF _Toc353435018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16A.</w:t>
      </w:r>
      <w:r>
        <w:tab/>
        <w:t>Revocation of permits</w:t>
      </w:r>
      <w:r>
        <w:tab/>
      </w:r>
      <w:r>
        <w:fldChar w:fldCharType="begin"/>
      </w:r>
      <w:r>
        <w:instrText xml:space="preserve"> PAGEREF _Toc353435019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Production of permit</w:t>
      </w:r>
      <w:r>
        <w:tab/>
      </w:r>
      <w:r>
        <w:fldChar w:fldCharType="begin"/>
      </w:r>
      <w:r>
        <w:instrText xml:space="preserve"> PAGEREF _Toc353435020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Notice of death or disposal</w:t>
      </w:r>
      <w:r>
        <w:tab/>
      </w:r>
      <w:r>
        <w:fldChar w:fldCharType="begin"/>
      </w:r>
      <w:r>
        <w:instrText xml:space="preserve"> PAGEREF _Toc353435021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Variation of permit</w:t>
      </w:r>
      <w:r>
        <w:tab/>
      </w:r>
      <w:r>
        <w:fldChar w:fldCharType="begin"/>
      </w:r>
      <w:r>
        <w:instrText xml:space="preserve"> PAGEREF _Toc353435022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IV — Scientific or educational purposes</w:t>
      </w:r>
    </w:p>
    <w:p>
      <w:pPr>
        <w:pStyle w:val="TOC8"/>
        <w:rPr>
          <w:rFonts w:asciiTheme="minorHAnsi" w:eastAsiaTheme="minorEastAsia" w:hAnsiTheme="minorHAnsi" w:cstheme="minorBidi"/>
          <w:szCs w:val="22"/>
        </w:rPr>
      </w:pPr>
      <w:r>
        <w:t>20</w:t>
      </w:r>
      <w:r>
        <w:rPr>
          <w:snapToGrid w:val="0"/>
        </w:rPr>
        <w:t>.</w:t>
      </w:r>
      <w:r>
        <w:rPr>
          <w:snapToGrid w:val="0"/>
        </w:rPr>
        <w:tab/>
        <w:t>Application for permission</w:t>
      </w:r>
      <w:r>
        <w:tab/>
      </w:r>
      <w:r>
        <w:fldChar w:fldCharType="begin"/>
      </w:r>
      <w:r>
        <w:instrText xml:space="preserve"> PAGEREF _Toc353435024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Records and returns</w:t>
      </w:r>
      <w:r>
        <w:tab/>
      </w:r>
      <w:r>
        <w:fldChar w:fldCharType="begin"/>
      </w:r>
      <w:r>
        <w:instrText xml:space="preserve"> PAGEREF _Toc353435025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2"/>
        <w:tabs>
          <w:tab w:val="right" w:leader="dot" w:pos="7086"/>
        </w:tabs>
        <w:rPr>
          <w:rFonts w:asciiTheme="minorHAnsi" w:eastAsiaTheme="minorEastAsia" w:hAnsiTheme="minorHAnsi" w:cstheme="minorBidi"/>
          <w:b w:val="0"/>
          <w:sz w:val="22"/>
          <w:szCs w:val="22"/>
        </w:rPr>
      </w:pPr>
      <w:r>
        <w:t>Schedule 1A — Case where permit not required for introduction of category A4 declared animals</w:t>
      </w:r>
    </w:p>
    <w:p>
      <w:pPr>
        <w:pStyle w:val="TOC2"/>
        <w:tabs>
          <w:tab w:val="right" w:leader="dot" w:pos="7086"/>
        </w:tabs>
        <w:rPr>
          <w:rFonts w:asciiTheme="minorHAnsi" w:eastAsiaTheme="minorEastAsia" w:hAnsiTheme="minorHAnsi" w:cstheme="minorBidi"/>
          <w:b w:val="0"/>
          <w:sz w:val="22"/>
          <w:szCs w:val="22"/>
        </w:rPr>
      </w:pPr>
      <w:r>
        <w:t>Schedule 2 — Case where permit not required for keeping of category A6 declared animals</w:t>
      </w:r>
    </w:p>
    <w:p>
      <w:pPr>
        <w:pStyle w:val="TOC2"/>
        <w:tabs>
          <w:tab w:val="right" w:leader="dot" w:pos="7086"/>
        </w:tabs>
        <w:rPr>
          <w:rFonts w:asciiTheme="minorHAnsi" w:eastAsiaTheme="minorEastAsia" w:hAnsiTheme="minorHAnsi" w:cstheme="minorBidi"/>
          <w:b w:val="0"/>
          <w:sz w:val="22"/>
          <w:szCs w:val="22"/>
        </w:rPr>
      </w:pPr>
      <w:r>
        <w:t>Schedule 3 — Category A6 birds that are exempt from permit fees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_Toc353435033 \h </w:instrText>
      </w:r>
      <w:r>
        <w:fldChar w:fldCharType="separate"/>
      </w:r>
      <w:r>
        <w:t>28</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_Toc353435034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12</w:t>
            </w:r>
            <w:r>
              <w:rPr>
                <w:b/>
                <w:snapToGrid w:val="0"/>
                <w:sz w:val="22"/>
              </w:rPr>
              <w:t xml:space="preserve"> April 2013</w:t>
            </w:r>
            <w:r>
              <w:rPr>
                <w:b/>
                <w:sz w:val="22"/>
              </w:rPr>
              <w:fldChar w:fldCharType="end"/>
            </w:r>
          </w:p>
        </w:tc>
      </w:tr>
    </w:tbl>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600" w:after="400"/>
      </w:pPr>
      <w:r>
        <w:t>Agriculture and Related Resources Protection (Declared Animals) Regulations 1985</w:t>
      </w:r>
    </w:p>
    <w:p>
      <w:pPr>
        <w:pStyle w:val="Heading2"/>
        <w:pageBreakBefore w:val="0"/>
      </w:pPr>
      <w:bookmarkStart w:id="1" w:name="_Toc105405742"/>
      <w:bookmarkStart w:id="2" w:name="_Toc105405793"/>
      <w:bookmarkStart w:id="3" w:name="_Toc105406165"/>
      <w:bookmarkStart w:id="4" w:name="_Toc107633575"/>
      <w:bookmarkStart w:id="5" w:name="_Toc138563603"/>
      <w:bookmarkStart w:id="6" w:name="_Toc138563848"/>
      <w:bookmarkStart w:id="7" w:name="_Toc170183729"/>
      <w:bookmarkStart w:id="8" w:name="_Toc170716408"/>
      <w:bookmarkStart w:id="9" w:name="_Toc172599775"/>
      <w:bookmarkStart w:id="10" w:name="_Toc172603198"/>
      <w:bookmarkStart w:id="11" w:name="_Toc175372422"/>
      <w:bookmarkStart w:id="12" w:name="_Toc199043449"/>
      <w:bookmarkStart w:id="13" w:name="_Toc202519765"/>
      <w:bookmarkStart w:id="14" w:name="_Toc233778960"/>
      <w:bookmarkStart w:id="15" w:name="_Toc265659181"/>
      <w:bookmarkStart w:id="16" w:name="_Toc280615611"/>
      <w:bookmarkStart w:id="17" w:name="_Toc280615657"/>
      <w:bookmarkStart w:id="18" w:name="_Toc297273617"/>
      <w:bookmarkStart w:id="19" w:name="_Toc328483563"/>
      <w:bookmarkStart w:id="20" w:name="_Toc328483597"/>
      <w:bookmarkStart w:id="21" w:name="_Toc347827654"/>
      <w:bookmarkStart w:id="22" w:name="_Toc353259287"/>
      <w:bookmarkStart w:id="23" w:name="_Toc353261956"/>
      <w:bookmarkStart w:id="24" w:name="_Toc353261992"/>
      <w:bookmarkStart w:id="25" w:name="_Toc35343500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rPr>
          <w:snapToGrid w:val="0"/>
        </w:rPr>
      </w:pPr>
      <w:bookmarkStart w:id="26" w:name="_Toc434725425"/>
      <w:bookmarkStart w:id="27" w:name="_Toc105405794"/>
      <w:bookmarkStart w:id="28" w:name="_Toc107633576"/>
      <w:bookmarkStart w:id="29" w:name="_Toc353435001"/>
      <w:r>
        <w:rPr>
          <w:rStyle w:val="CharSectno"/>
        </w:rPr>
        <w:t>1</w:t>
      </w:r>
      <w:r>
        <w:rPr>
          <w:snapToGrid w:val="0"/>
        </w:rPr>
        <w:t>.</w:t>
      </w:r>
      <w:r>
        <w:rPr>
          <w:snapToGrid w:val="0"/>
        </w:rPr>
        <w:tab/>
        <w:t>Citation</w:t>
      </w:r>
      <w:bookmarkEnd w:id="26"/>
      <w:bookmarkEnd w:id="27"/>
      <w:bookmarkEnd w:id="28"/>
      <w:bookmarkEnd w:id="29"/>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30" w:name="_Toc434725426"/>
      <w:bookmarkStart w:id="31" w:name="_Toc105405795"/>
      <w:bookmarkStart w:id="32" w:name="_Toc107633577"/>
      <w:bookmarkStart w:id="33" w:name="_Toc353435002"/>
      <w:r>
        <w:rPr>
          <w:rStyle w:val="CharSectno"/>
        </w:rPr>
        <w:t>2</w:t>
      </w:r>
      <w:r>
        <w:rPr>
          <w:snapToGrid w:val="0"/>
        </w:rPr>
        <w:t>.</w:t>
      </w:r>
      <w:r>
        <w:rPr>
          <w:snapToGrid w:val="0"/>
        </w:rPr>
        <w:tab/>
      </w:r>
      <w:bookmarkEnd w:id="30"/>
      <w:bookmarkEnd w:id="31"/>
      <w:bookmarkEnd w:id="32"/>
      <w:r>
        <w:rPr>
          <w:snapToGrid w:val="0"/>
        </w:rPr>
        <w:t>Terms used</w:t>
      </w:r>
      <w:bookmarkEnd w:id="33"/>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34" w:name="_Toc434725427"/>
      <w:bookmarkStart w:id="35" w:name="_Toc105405796"/>
      <w:bookmarkStart w:id="36" w:name="_Toc107633578"/>
      <w:bookmarkStart w:id="37" w:name="_Toc353435003"/>
      <w:r>
        <w:rPr>
          <w:rStyle w:val="CharSectno"/>
        </w:rPr>
        <w:t>3</w:t>
      </w:r>
      <w:r>
        <w:rPr>
          <w:snapToGrid w:val="0"/>
        </w:rPr>
        <w:t>.</w:t>
      </w:r>
      <w:r>
        <w:rPr>
          <w:snapToGrid w:val="0"/>
        </w:rPr>
        <w:tab/>
        <w:t>Scientific name</w:t>
      </w:r>
      <w:bookmarkEnd w:id="34"/>
      <w:bookmarkEnd w:id="35"/>
      <w:bookmarkEnd w:id="36"/>
      <w:bookmarkEnd w:id="37"/>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8" w:name="_Toc105405746"/>
      <w:bookmarkStart w:id="39" w:name="_Toc105405797"/>
      <w:bookmarkStart w:id="40" w:name="_Toc105406169"/>
      <w:bookmarkStart w:id="41" w:name="_Toc107633579"/>
      <w:bookmarkStart w:id="42" w:name="_Toc138563607"/>
      <w:bookmarkStart w:id="43" w:name="_Toc138563852"/>
      <w:bookmarkStart w:id="44" w:name="_Toc170183733"/>
      <w:bookmarkStart w:id="45" w:name="_Toc170716412"/>
      <w:bookmarkStart w:id="46" w:name="_Toc172599779"/>
      <w:bookmarkStart w:id="47" w:name="_Toc172603202"/>
      <w:bookmarkStart w:id="48" w:name="_Toc175372426"/>
      <w:bookmarkStart w:id="49" w:name="_Toc199043453"/>
      <w:bookmarkStart w:id="50" w:name="_Toc202519769"/>
      <w:bookmarkStart w:id="51" w:name="_Toc233778964"/>
      <w:bookmarkStart w:id="52" w:name="_Toc265659185"/>
      <w:bookmarkStart w:id="53" w:name="_Toc280615615"/>
      <w:bookmarkStart w:id="54" w:name="_Toc280615661"/>
      <w:bookmarkStart w:id="55" w:name="_Toc297273621"/>
      <w:bookmarkStart w:id="56" w:name="_Toc328483567"/>
      <w:bookmarkStart w:id="57" w:name="_Toc328483601"/>
      <w:bookmarkStart w:id="58" w:name="_Toc347827658"/>
      <w:bookmarkStart w:id="59" w:name="_Toc353259291"/>
      <w:bookmarkStart w:id="60" w:name="_Toc353261960"/>
      <w:bookmarkStart w:id="61" w:name="_Toc353261996"/>
      <w:bookmarkStart w:id="62" w:name="_Toc353435004"/>
      <w:r>
        <w:rPr>
          <w:rStyle w:val="CharPartNo"/>
        </w:rPr>
        <w:t>Part II</w:t>
      </w:r>
      <w:r>
        <w:rPr>
          <w:rStyle w:val="CharDivNo"/>
        </w:rPr>
        <w:t> </w:t>
      </w:r>
      <w:r>
        <w:t>—</w:t>
      </w:r>
      <w:r>
        <w:rPr>
          <w:rStyle w:val="CharDivText"/>
        </w:rPr>
        <w:t> </w:t>
      </w:r>
      <w:r>
        <w:rPr>
          <w:rStyle w:val="CharPartText"/>
        </w:rPr>
        <w:t>Introduction of category A4 declared animals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5"/>
        <w:spacing w:before="120"/>
        <w:rPr>
          <w:snapToGrid w:val="0"/>
        </w:rPr>
      </w:pPr>
      <w:bookmarkStart w:id="63" w:name="_Toc434725428"/>
      <w:bookmarkStart w:id="64" w:name="_Toc105405798"/>
      <w:bookmarkStart w:id="65" w:name="_Toc107633580"/>
      <w:bookmarkStart w:id="66" w:name="_Toc353435005"/>
      <w:r>
        <w:rPr>
          <w:rStyle w:val="CharSectno"/>
        </w:rPr>
        <w:t>4</w:t>
      </w:r>
      <w:r>
        <w:rPr>
          <w:snapToGrid w:val="0"/>
        </w:rPr>
        <w:t>.</w:t>
      </w:r>
      <w:r>
        <w:rPr>
          <w:snapToGrid w:val="0"/>
        </w:rPr>
        <w:tab/>
        <w:t>Permit</w:t>
      </w:r>
      <w:bookmarkEnd w:id="63"/>
      <w:bookmarkEnd w:id="64"/>
      <w:bookmarkEnd w:id="65"/>
      <w:bookmarkEnd w:id="66"/>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67" w:name="_Toc434725429"/>
      <w:bookmarkStart w:id="68" w:name="_Toc105405799"/>
      <w:bookmarkStart w:id="69" w:name="_Toc107633581"/>
      <w:bookmarkStart w:id="70" w:name="_Toc353435006"/>
      <w:r>
        <w:rPr>
          <w:rStyle w:val="CharSectno"/>
        </w:rPr>
        <w:t>5</w:t>
      </w:r>
      <w:r>
        <w:rPr>
          <w:snapToGrid w:val="0"/>
        </w:rPr>
        <w:t>.</w:t>
      </w:r>
      <w:r>
        <w:rPr>
          <w:snapToGrid w:val="0"/>
        </w:rPr>
        <w:tab/>
        <w:t>Application for permit</w:t>
      </w:r>
      <w:bookmarkEnd w:id="67"/>
      <w:bookmarkEnd w:id="68"/>
      <w:bookmarkEnd w:id="69"/>
      <w:bookmarkEnd w:id="70"/>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71" w:name="_Toc434725430"/>
      <w:bookmarkStart w:id="72" w:name="_Toc105405800"/>
      <w:bookmarkStart w:id="73" w:name="_Toc107633582"/>
      <w:r>
        <w:tab/>
        <w:t>[Regulation 5 amended in Gazette 17 Dec 2010 p. 6415-16.]</w:t>
      </w:r>
    </w:p>
    <w:p>
      <w:pPr>
        <w:pStyle w:val="Heading5"/>
        <w:rPr>
          <w:snapToGrid w:val="0"/>
        </w:rPr>
      </w:pPr>
      <w:bookmarkStart w:id="74" w:name="_Toc353435007"/>
      <w:r>
        <w:rPr>
          <w:rStyle w:val="CharSectno"/>
        </w:rPr>
        <w:t>6</w:t>
      </w:r>
      <w:r>
        <w:rPr>
          <w:snapToGrid w:val="0"/>
        </w:rPr>
        <w:t>.</w:t>
      </w:r>
      <w:r>
        <w:rPr>
          <w:snapToGrid w:val="0"/>
        </w:rPr>
        <w:tab/>
        <w:t>Evidence of security</w:t>
      </w:r>
      <w:bookmarkEnd w:id="71"/>
      <w:bookmarkEnd w:id="72"/>
      <w:bookmarkEnd w:id="73"/>
      <w:bookmarkEnd w:id="74"/>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75" w:name="_Toc434725431"/>
      <w:bookmarkStart w:id="76" w:name="_Toc105405801"/>
      <w:bookmarkStart w:id="77" w:name="_Toc107633583"/>
      <w:r>
        <w:tab/>
        <w:t>[Regulation 6 amended in Gazette 17 Dec 2010 p. 6415-16.]</w:t>
      </w:r>
    </w:p>
    <w:p>
      <w:pPr>
        <w:pStyle w:val="Heading5"/>
        <w:rPr>
          <w:snapToGrid w:val="0"/>
        </w:rPr>
      </w:pPr>
      <w:bookmarkStart w:id="78" w:name="_Toc353435008"/>
      <w:r>
        <w:rPr>
          <w:rStyle w:val="CharSectno"/>
        </w:rPr>
        <w:t>7</w:t>
      </w:r>
      <w:r>
        <w:rPr>
          <w:snapToGrid w:val="0"/>
        </w:rPr>
        <w:t>.</w:t>
      </w:r>
      <w:r>
        <w:rPr>
          <w:snapToGrid w:val="0"/>
        </w:rPr>
        <w:tab/>
        <w:t>Issue of permit</w:t>
      </w:r>
      <w:bookmarkEnd w:id="75"/>
      <w:bookmarkEnd w:id="76"/>
      <w:bookmarkEnd w:id="77"/>
      <w:bookmarkEnd w:id="78"/>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79" w:name="_Toc434725432"/>
      <w:bookmarkStart w:id="80" w:name="_Toc105405802"/>
      <w:bookmarkStart w:id="81" w:name="_Toc107633584"/>
      <w:r>
        <w:tab/>
        <w:t>[Regulation 7 amended in Gazette 17 Dec 2010 p. 6415-17.]</w:t>
      </w:r>
    </w:p>
    <w:p>
      <w:pPr>
        <w:pStyle w:val="Heading5"/>
        <w:rPr>
          <w:snapToGrid w:val="0"/>
        </w:rPr>
      </w:pPr>
      <w:bookmarkStart w:id="82" w:name="_Toc353435009"/>
      <w:r>
        <w:rPr>
          <w:rStyle w:val="CharSectno"/>
        </w:rPr>
        <w:t>8</w:t>
      </w:r>
      <w:r>
        <w:rPr>
          <w:snapToGrid w:val="0"/>
        </w:rPr>
        <w:t>.</w:t>
      </w:r>
      <w:r>
        <w:rPr>
          <w:snapToGrid w:val="0"/>
        </w:rPr>
        <w:tab/>
        <w:t>Animals to be accompanied by copy of a permit</w:t>
      </w:r>
      <w:bookmarkEnd w:id="79"/>
      <w:bookmarkEnd w:id="80"/>
      <w:bookmarkEnd w:id="81"/>
      <w:bookmarkEnd w:id="82"/>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a fine of $2 000</w:t>
      </w:r>
      <w:r>
        <w:rPr>
          <w:snapToGrid w:val="0"/>
        </w:rPr>
        <w:t>.</w:t>
      </w:r>
    </w:p>
    <w:p>
      <w:pPr>
        <w:pStyle w:val="Footnotesection"/>
      </w:pPr>
      <w:bookmarkStart w:id="83" w:name="_Toc434725433"/>
      <w:bookmarkStart w:id="84" w:name="_Toc105405803"/>
      <w:bookmarkStart w:id="85" w:name="_Toc107633585"/>
      <w:r>
        <w:tab/>
        <w:t>[Regulation 8 amended in Gazette 17 Dec 2010 p. 6415.]</w:t>
      </w:r>
    </w:p>
    <w:p>
      <w:pPr>
        <w:pStyle w:val="Heading5"/>
        <w:rPr>
          <w:snapToGrid w:val="0"/>
        </w:rPr>
      </w:pPr>
      <w:bookmarkStart w:id="86" w:name="_Toc353435010"/>
      <w:r>
        <w:rPr>
          <w:rStyle w:val="CharSectno"/>
        </w:rPr>
        <w:t>9</w:t>
      </w:r>
      <w:r>
        <w:rPr>
          <w:snapToGrid w:val="0"/>
        </w:rPr>
        <w:t>.</w:t>
      </w:r>
      <w:r>
        <w:rPr>
          <w:snapToGrid w:val="0"/>
        </w:rPr>
        <w:tab/>
        <w:t>Notice of arrival</w:t>
      </w:r>
      <w:bookmarkEnd w:id="83"/>
      <w:bookmarkEnd w:id="84"/>
      <w:bookmarkEnd w:id="85"/>
      <w:bookmarkEnd w:id="86"/>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87" w:name="_Toc434725434"/>
      <w:bookmarkStart w:id="88" w:name="_Toc105405804"/>
      <w:bookmarkStart w:id="89" w:name="_Toc107633586"/>
      <w:bookmarkStart w:id="90" w:name="_Toc353435011"/>
      <w:r>
        <w:rPr>
          <w:rStyle w:val="CharSectno"/>
        </w:rPr>
        <w:t>10</w:t>
      </w:r>
      <w:r>
        <w:rPr>
          <w:snapToGrid w:val="0"/>
        </w:rPr>
        <w:t>.</w:t>
      </w:r>
      <w:r>
        <w:rPr>
          <w:snapToGrid w:val="0"/>
        </w:rPr>
        <w:tab/>
        <w:t>Clearance certificate or further conditions</w:t>
      </w:r>
      <w:bookmarkEnd w:id="87"/>
      <w:bookmarkEnd w:id="88"/>
      <w:bookmarkEnd w:id="89"/>
      <w:bookmarkEnd w:id="90"/>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spacing w:before="80"/>
      </w:pPr>
      <w:bookmarkStart w:id="91" w:name="_Toc434725435"/>
      <w:bookmarkStart w:id="92" w:name="_Toc105405805"/>
      <w:bookmarkStart w:id="93" w:name="_Toc107633587"/>
      <w:r>
        <w:tab/>
        <w:t>[Regulation 10 amended in Gazette 17 Dec 2010 p. 6415-17.]</w:t>
      </w:r>
    </w:p>
    <w:p>
      <w:pPr>
        <w:pStyle w:val="Heading5"/>
        <w:spacing w:before="200"/>
        <w:rPr>
          <w:snapToGrid w:val="0"/>
        </w:rPr>
      </w:pPr>
      <w:bookmarkStart w:id="94" w:name="_Toc353435012"/>
      <w:r>
        <w:rPr>
          <w:rStyle w:val="CharSectno"/>
        </w:rPr>
        <w:t>11</w:t>
      </w:r>
      <w:r>
        <w:rPr>
          <w:snapToGrid w:val="0"/>
        </w:rPr>
        <w:t>.</w:t>
      </w:r>
      <w:r>
        <w:rPr>
          <w:snapToGrid w:val="0"/>
        </w:rPr>
        <w:tab/>
        <w:t>Production of permit, clearance certificate</w:t>
      </w:r>
      <w:bookmarkEnd w:id="91"/>
      <w:bookmarkEnd w:id="92"/>
      <w:bookmarkEnd w:id="93"/>
      <w:bookmarkEnd w:id="94"/>
    </w:p>
    <w:p>
      <w:pPr>
        <w:pStyle w:val="Subsection"/>
        <w:spacing w:before="120"/>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spacing w:before="120"/>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spacing w:before="80"/>
      </w:pPr>
      <w:r>
        <w:tab/>
        <w:t>[Regulation 11 amended in Gazette 6 Sep 1985 p. 3497; 17 Dec 2010 p. 6414.]</w:t>
      </w:r>
    </w:p>
    <w:p>
      <w:pPr>
        <w:pStyle w:val="Heading5"/>
        <w:spacing w:before="200"/>
        <w:rPr>
          <w:snapToGrid w:val="0"/>
        </w:rPr>
      </w:pPr>
      <w:bookmarkStart w:id="95" w:name="_Toc434725436"/>
      <w:bookmarkStart w:id="96" w:name="_Toc105405806"/>
      <w:bookmarkStart w:id="97" w:name="_Toc107633588"/>
      <w:bookmarkStart w:id="98" w:name="_Toc353435013"/>
      <w:r>
        <w:rPr>
          <w:rStyle w:val="CharSectno"/>
        </w:rPr>
        <w:t>12</w:t>
      </w:r>
      <w:r>
        <w:rPr>
          <w:snapToGrid w:val="0"/>
        </w:rPr>
        <w:t>.</w:t>
      </w:r>
      <w:r>
        <w:rPr>
          <w:snapToGrid w:val="0"/>
        </w:rPr>
        <w:tab/>
        <w:t>Escape of declared animals</w:t>
      </w:r>
      <w:bookmarkEnd w:id="95"/>
      <w:bookmarkEnd w:id="96"/>
      <w:bookmarkEnd w:id="97"/>
      <w:bookmarkEnd w:id="98"/>
    </w:p>
    <w:p>
      <w:pPr>
        <w:pStyle w:val="Subsection"/>
        <w:spacing w:before="120"/>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spacing w:before="80"/>
      </w:pPr>
      <w:bookmarkStart w:id="99" w:name="_Toc105405756"/>
      <w:bookmarkStart w:id="100" w:name="_Toc105405807"/>
      <w:bookmarkStart w:id="101" w:name="_Toc105406179"/>
      <w:bookmarkStart w:id="102" w:name="_Toc107633589"/>
      <w:bookmarkStart w:id="103" w:name="_Toc138563617"/>
      <w:bookmarkStart w:id="104" w:name="_Toc138563862"/>
      <w:bookmarkStart w:id="105" w:name="_Toc170183743"/>
      <w:bookmarkStart w:id="106" w:name="_Toc170716422"/>
      <w:bookmarkStart w:id="107" w:name="_Toc172599789"/>
      <w:bookmarkStart w:id="108" w:name="_Toc172603212"/>
      <w:bookmarkStart w:id="109" w:name="_Toc175372436"/>
      <w:bookmarkStart w:id="110" w:name="_Toc199043463"/>
      <w:bookmarkStart w:id="111" w:name="_Toc202519779"/>
      <w:bookmarkStart w:id="112" w:name="_Toc233778974"/>
      <w:bookmarkStart w:id="113" w:name="_Toc265659195"/>
      <w:r>
        <w:tab/>
        <w:t>[Regulation 12 amended in Gazette 17 Dec 2010 p. 6415-16.]</w:t>
      </w:r>
    </w:p>
    <w:p>
      <w:pPr>
        <w:pStyle w:val="Heading2"/>
      </w:pPr>
      <w:bookmarkStart w:id="114" w:name="_Toc280615625"/>
      <w:bookmarkStart w:id="115" w:name="_Toc280615671"/>
      <w:bookmarkStart w:id="116" w:name="_Toc297273631"/>
      <w:bookmarkStart w:id="117" w:name="_Toc328483577"/>
      <w:bookmarkStart w:id="118" w:name="_Toc328483611"/>
      <w:bookmarkStart w:id="119" w:name="_Toc347827668"/>
      <w:bookmarkStart w:id="120" w:name="_Toc353259301"/>
      <w:bookmarkStart w:id="121" w:name="_Toc353261970"/>
      <w:bookmarkStart w:id="122" w:name="_Toc353262006"/>
      <w:bookmarkStart w:id="123" w:name="_Toc353435014"/>
      <w:r>
        <w:rPr>
          <w:rStyle w:val="CharPartNo"/>
        </w:rPr>
        <w:t>Part III</w:t>
      </w:r>
      <w:r>
        <w:rPr>
          <w:rStyle w:val="CharDivNo"/>
        </w:rPr>
        <w:t> </w:t>
      </w:r>
      <w:r>
        <w:t>—</w:t>
      </w:r>
      <w:r>
        <w:rPr>
          <w:rStyle w:val="CharDivText"/>
        </w:rPr>
        <w:t> </w:t>
      </w:r>
      <w:r>
        <w:rPr>
          <w:rStyle w:val="CharPartText"/>
        </w:rPr>
        <w:t>Keeping of category A6 declared animals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5"/>
        <w:rPr>
          <w:snapToGrid w:val="0"/>
        </w:rPr>
      </w:pPr>
      <w:bookmarkStart w:id="124" w:name="_Toc434725437"/>
      <w:bookmarkStart w:id="125" w:name="_Toc105405808"/>
      <w:bookmarkStart w:id="126" w:name="_Toc107633590"/>
      <w:bookmarkStart w:id="127" w:name="_Toc353435015"/>
      <w:r>
        <w:rPr>
          <w:rStyle w:val="CharSectno"/>
        </w:rPr>
        <w:t>13</w:t>
      </w:r>
      <w:r>
        <w:rPr>
          <w:snapToGrid w:val="0"/>
        </w:rPr>
        <w:t>.</w:t>
      </w:r>
      <w:r>
        <w:rPr>
          <w:snapToGrid w:val="0"/>
        </w:rPr>
        <w:tab/>
        <w:t>Permit</w:t>
      </w:r>
      <w:bookmarkEnd w:id="124"/>
      <w:bookmarkEnd w:id="125"/>
      <w:bookmarkEnd w:id="126"/>
      <w:bookmarkEnd w:id="127"/>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spacing w:before="70"/>
        <w:rPr>
          <w:snapToGrid w:val="0"/>
        </w:rPr>
      </w:pPr>
      <w:r>
        <w:rPr>
          <w:snapToGrid w:val="0"/>
        </w:rPr>
        <w:tab/>
        <w:t>(a)</w:t>
      </w:r>
      <w:r>
        <w:rPr>
          <w:snapToGrid w:val="0"/>
        </w:rPr>
        <w:tab/>
        <w:t>shall be in the form of Form 3;</w:t>
      </w:r>
    </w:p>
    <w:p>
      <w:pPr>
        <w:pStyle w:val="Indenta"/>
        <w:spacing w:before="70"/>
        <w:rPr>
          <w:snapToGrid w:val="0"/>
        </w:rPr>
      </w:pPr>
      <w:r>
        <w:rPr>
          <w:snapToGrid w:val="0"/>
        </w:rPr>
        <w:tab/>
        <w:t>(b)</w:t>
      </w:r>
      <w:r>
        <w:rPr>
          <w:snapToGrid w:val="0"/>
        </w:rPr>
        <w:tab/>
        <w:t>shall relate only to animals kept by the one person and at the one place;</w:t>
      </w:r>
    </w:p>
    <w:p>
      <w:pPr>
        <w:pStyle w:val="Indenta"/>
        <w:spacing w:before="70"/>
        <w:rPr>
          <w:snapToGrid w:val="0"/>
        </w:rPr>
      </w:pPr>
      <w:r>
        <w:rPr>
          <w:snapToGrid w:val="0"/>
        </w:rPr>
        <w:tab/>
        <w:t>(c)</w:t>
      </w:r>
      <w:r>
        <w:rPr>
          <w:snapToGrid w:val="0"/>
        </w:rPr>
        <w:tab/>
        <w:t>shall specify —</w:t>
      </w:r>
    </w:p>
    <w:p>
      <w:pPr>
        <w:pStyle w:val="Indenti"/>
        <w:spacing w:before="70"/>
        <w:rPr>
          <w:snapToGrid w:val="0"/>
        </w:rPr>
      </w:pPr>
      <w:r>
        <w:rPr>
          <w:snapToGrid w:val="0"/>
        </w:rPr>
        <w:tab/>
        <w:t>(i)</w:t>
      </w:r>
      <w:r>
        <w:rPr>
          <w:snapToGrid w:val="0"/>
        </w:rPr>
        <w:tab/>
        <w:t>the full name and address of the person to whom it is issued; and</w:t>
      </w:r>
    </w:p>
    <w:p>
      <w:pPr>
        <w:pStyle w:val="Indenti"/>
        <w:spacing w:before="70"/>
        <w:rPr>
          <w:snapToGrid w:val="0"/>
        </w:rPr>
      </w:pPr>
      <w:r>
        <w:rPr>
          <w:snapToGrid w:val="0"/>
        </w:rPr>
        <w:tab/>
        <w:t>(ii)</w:t>
      </w:r>
      <w:r>
        <w:rPr>
          <w:snapToGrid w:val="0"/>
        </w:rPr>
        <w:tab/>
        <w:t>the date of issue and the date of expiry; and</w:t>
      </w:r>
    </w:p>
    <w:p>
      <w:pPr>
        <w:pStyle w:val="Indenti"/>
        <w:spacing w:before="70"/>
        <w:rPr>
          <w:snapToGrid w:val="0"/>
        </w:rPr>
      </w:pPr>
      <w:r>
        <w:rPr>
          <w:snapToGrid w:val="0"/>
        </w:rPr>
        <w:tab/>
        <w:t>(iii)</w:t>
      </w:r>
      <w:r>
        <w:rPr>
          <w:snapToGrid w:val="0"/>
        </w:rPr>
        <w:tab/>
        <w:t>the full name and address of the owner of any animal to which it applies; and</w:t>
      </w:r>
    </w:p>
    <w:p>
      <w:pPr>
        <w:pStyle w:val="Indenti"/>
        <w:spacing w:before="70"/>
        <w:rPr>
          <w:snapToGrid w:val="0"/>
        </w:rPr>
      </w:pPr>
      <w:r>
        <w:rPr>
          <w:snapToGrid w:val="0"/>
        </w:rPr>
        <w:tab/>
        <w:t>(iv)</w:t>
      </w:r>
      <w:r>
        <w:rPr>
          <w:snapToGrid w:val="0"/>
        </w:rPr>
        <w:tab/>
        <w:t>the description of, and quantity of animals to which it applies; and</w:t>
      </w:r>
    </w:p>
    <w:p>
      <w:pPr>
        <w:pStyle w:val="Indenti"/>
        <w:spacing w:before="70"/>
        <w:rPr>
          <w:snapToGrid w:val="0"/>
        </w:rPr>
      </w:pPr>
      <w:r>
        <w:rPr>
          <w:snapToGrid w:val="0"/>
        </w:rPr>
        <w:tab/>
        <w:t>(v)</w:t>
      </w:r>
      <w:r>
        <w:rPr>
          <w:snapToGrid w:val="0"/>
        </w:rPr>
        <w:tab/>
        <w:t>the place at which the animals shall be kept; and</w:t>
      </w:r>
    </w:p>
    <w:p>
      <w:pPr>
        <w:pStyle w:val="Indenti"/>
        <w:spacing w:before="70"/>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spacing w:before="70"/>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widowControl w:val="0"/>
        <w:spacing w:before="800"/>
        <w:rPr>
          <w:snapToGrid w:val="0"/>
        </w:rPr>
      </w:pPr>
      <w:bookmarkStart w:id="128" w:name="_Toc434725438"/>
      <w:bookmarkStart w:id="129" w:name="_Toc105405809"/>
      <w:bookmarkStart w:id="130" w:name="_Toc107633591"/>
      <w:bookmarkStart w:id="131" w:name="_Toc353435016"/>
      <w:r>
        <w:rPr>
          <w:rStyle w:val="CharSectno"/>
        </w:rPr>
        <w:t>14</w:t>
      </w:r>
      <w:r>
        <w:rPr>
          <w:snapToGrid w:val="0"/>
        </w:rPr>
        <w:t>.</w:t>
      </w:r>
      <w:r>
        <w:rPr>
          <w:snapToGrid w:val="0"/>
        </w:rPr>
        <w:tab/>
        <w:t>Application for permit</w:t>
      </w:r>
      <w:bookmarkEnd w:id="128"/>
      <w:bookmarkEnd w:id="129"/>
      <w:bookmarkEnd w:id="130"/>
      <w:bookmarkEnd w:id="131"/>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32"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33" w:name="_Toc105405810"/>
      <w:bookmarkStart w:id="134" w:name="_Toc107633592"/>
      <w:bookmarkStart w:id="135" w:name="_Toc353435017"/>
      <w:r>
        <w:rPr>
          <w:rStyle w:val="CharSectno"/>
        </w:rPr>
        <w:t>15</w:t>
      </w:r>
      <w:r>
        <w:rPr>
          <w:snapToGrid w:val="0"/>
        </w:rPr>
        <w:t>.</w:t>
      </w:r>
      <w:r>
        <w:rPr>
          <w:snapToGrid w:val="0"/>
        </w:rPr>
        <w:tab/>
        <w:t>Security requirements</w:t>
      </w:r>
      <w:bookmarkEnd w:id="132"/>
      <w:bookmarkEnd w:id="133"/>
      <w:bookmarkEnd w:id="134"/>
      <w:bookmarkEnd w:id="135"/>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$158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 30 Jun 2011 p. 2691; 19 Jun 2012 p. 2633.]</w:t>
      </w:r>
    </w:p>
    <w:p>
      <w:pPr>
        <w:pStyle w:val="Heading5"/>
      </w:pPr>
      <w:bookmarkStart w:id="136" w:name="_Toc105405811"/>
      <w:bookmarkStart w:id="137" w:name="_Toc107633593"/>
      <w:bookmarkStart w:id="138" w:name="_Toc353435018"/>
      <w:bookmarkStart w:id="139" w:name="_Toc434725441"/>
      <w:r>
        <w:rPr>
          <w:rStyle w:val="CharSectno"/>
        </w:rPr>
        <w:t>16</w:t>
      </w:r>
      <w:r>
        <w:t>.</w:t>
      </w:r>
      <w:r>
        <w:tab/>
        <w:t>Issue or renewal of permit</w:t>
      </w:r>
      <w:bookmarkEnd w:id="136"/>
      <w:bookmarkEnd w:id="137"/>
      <w:bookmarkEnd w:id="138"/>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 and</w:t>
      </w:r>
    </w:p>
    <w:p>
      <w:pPr>
        <w:pStyle w:val="Indenta"/>
      </w:pPr>
      <w:r>
        <w:tab/>
        <w:t>(b)</w:t>
      </w:r>
      <w:r>
        <w:tab/>
        <w:t>for a permit to keep birds listed in Schedule 3 — nil; and</w:t>
      </w:r>
    </w:p>
    <w:p>
      <w:pPr>
        <w:pStyle w:val="Indenta"/>
      </w:pPr>
      <w:r>
        <w:tab/>
        <w:t>(c)</w:t>
      </w:r>
      <w:r>
        <w:tab/>
        <w:t>for a permit to keep any other birds — $30 per annum for the period for which the permit is to be issued or renewed; and</w:t>
      </w:r>
    </w:p>
    <w:p>
      <w:pPr>
        <w:pStyle w:val="Indenta"/>
      </w:pPr>
      <w:r>
        <w:tab/>
        <w:t>(d)</w:t>
      </w:r>
      <w:r>
        <w:tab/>
        <w:t>in any other case — $92.50.</w:t>
      </w:r>
    </w:p>
    <w:p>
      <w:pPr>
        <w:pStyle w:val="Footnotesection"/>
      </w:pPr>
      <w:r>
        <w:tab/>
        <w:t>[Regulation 16 inserted in Gazette 28 Jun 2002 p. 3039; amended in Gazette 31 May 2005 p. 2396; 20 May 2008 p. 1934; 26 Jun 2009 p. 2600; 30 Jun 2010 p. 3108; 17 Dec 2010 p. 6415-17; 30 Jun 2011 p. 2692; 19 Jun 2012 p. 2633.]</w:t>
      </w:r>
    </w:p>
    <w:p>
      <w:pPr>
        <w:pStyle w:val="Heading5"/>
      </w:pPr>
      <w:bookmarkStart w:id="140" w:name="_Toc105405812"/>
      <w:bookmarkStart w:id="141" w:name="_Toc107633594"/>
      <w:bookmarkStart w:id="142" w:name="_Toc353435019"/>
      <w:r>
        <w:rPr>
          <w:rStyle w:val="CharSectno"/>
        </w:rPr>
        <w:t>16A</w:t>
      </w:r>
      <w:r>
        <w:t>.</w:t>
      </w:r>
      <w:r>
        <w:tab/>
        <w:t>Revocation of permits</w:t>
      </w:r>
      <w:bookmarkEnd w:id="140"/>
      <w:bookmarkEnd w:id="141"/>
      <w:bookmarkEnd w:id="142"/>
    </w:p>
    <w:p>
      <w:pPr>
        <w:pStyle w:val="Subsection"/>
        <w:keepNext/>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43" w:name="_Toc105405813"/>
      <w:bookmarkStart w:id="144" w:name="_Toc107633595"/>
      <w:bookmarkStart w:id="145" w:name="_Toc353435020"/>
      <w:r>
        <w:rPr>
          <w:rStyle w:val="CharSectno"/>
        </w:rPr>
        <w:t>17</w:t>
      </w:r>
      <w:r>
        <w:rPr>
          <w:snapToGrid w:val="0"/>
        </w:rPr>
        <w:t>.</w:t>
      </w:r>
      <w:r>
        <w:rPr>
          <w:snapToGrid w:val="0"/>
        </w:rPr>
        <w:tab/>
        <w:t>Production of permit</w:t>
      </w:r>
      <w:bookmarkEnd w:id="139"/>
      <w:bookmarkEnd w:id="143"/>
      <w:bookmarkEnd w:id="144"/>
      <w:bookmarkEnd w:id="145"/>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146" w:name="_Toc434725442"/>
      <w:bookmarkStart w:id="147" w:name="_Toc105405814"/>
      <w:bookmarkStart w:id="148" w:name="_Toc107633596"/>
      <w:bookmarkStart w:id="149" w:name="_Toc353435021"/>
      <w:r>
        <w:rPr>
          <w:rStyle w:val="CharSectno"/>
        </w:rPr>
        <w:t>18</w:t>
      </w:r>
      <w:r>
        <w:rPr>
          <w:snapToGrid w:val="0"/>
        </w:rPr>
        <w:t>.</w:t>
      </w:r>
      <w:r>
        <w:rPr>
          <w:snapToGrid w:val="0"/>
        </w:rPr>
        <w:tab/>
        <w:t>Notice of death or disposal</w:t>
      </w:r>
      <w:bookmarkEnd w:id="146"/>
      <w:bookmarkEnd w:id="147"/>
      <w:bookmarkEnd w:id="148"/>
      <w:bookmarkEnd w:id="149"/>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150" w:name="_Toc434725443"/>
      <w:bookmarkStart w:id="151" w:name="_Toc105405815"/>
      <w:bookmarkStart w:id="152" w:name="_Toc107633597"/>
      <w:bookmarkStart w:id="153" w:name="_Toc353435022"/>
      <w:r>
        <w:rPr>
          <w:rStyle w:val="CharSectno"/>
        </w:rPr>
        <w:t>19</w:t>
      </w:r>
      <w:r>
        <w:rPr>
          <w:snapToGrid w:val="0"/>
        </w:rPr>
        <w:t>.</w:t>
      </w:r>
      <w:r>
        <w:rPr>
          <w:snapToGrid w:val="0"/>
        </w:rPr>
        <w:tab/>
        <w:t>Variation of permit</w:t>
      </w:r>
      <w:bookmarkEnd w:id="150"/>
      <w:bookmarkEnd w:id="151"/>
      <w:bookmarkEnd w:id="152"/>
      <w:bookmarkEnd w:id="153"/>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154" w:name="_Toc105405765"/>
      <w:bookmarkStart w:id="155" w:name="_Toc105405816"/>
      <w:bookmarkStart w:id="156" w:name="_Toc105406188"/>
      <w:bookmarkStart w:id="157" w:name="_Toc107633598"/>
      <w:bookmarkStart w:id="158" w:name="_Toc138563626"/>
      <w:bookmarkStart w:id="159" w:name="_Toc138563871"/>
      <w:bookmarkStart w:id="160" w:name="_Toc170183752"/>
      <w:bookmarkStart w:id="161" w:name="_Toc170716431"/>
      <w:bookmarkStart w:id="162" w:name="_Toc172599798"/>
      <w:bookmarkStart w:id="163" w:name="_Toc172603221"/>
      <w:bookmarkStart w:id="164" w:name="_Toc175372445"/>
      <w:bookmarkStart w:id="165" w:name="_Toc199043472"/>
      <w:bookmarkStart w:id="166" w:name="_Toc202519788"/>
      <w:bookmarkStart w:id="167" w:name="_Toc233778983"/>
      <w:bookmarkStart w:id="168" w:name="_Toc265659204"/>
      <w:r>
        <w:tab/>
        <w:t>[Regulation 19 amended in Gazette 17 Dec 2010 p. 6415-16.]</w:t>
      </w:r>
    </w:p>
    <w:p>
      <w:pPr>
        <w:pStyle w:val="Heading2"/>
      </w:pPr>
      <w:bookmarkStart w:id="169" w:name="_Toc280615634"/>
      <w:bookmarkStart w:id="170" w:name="_Toc280615680"/>
      <w:bookmarkStart w:id="171" w:name="_Toc297273640"/>
      <w:bookmarkStart w:id="172" w:name="_Toc328483586"/>
      <w:bookmarkStart w:id="173" w:name="_Toc328483620"/>
      <w:bookmarkStart w:id="174" w:name="_Toc347827677"/>
      <w:bookmarkStart w:id="175" w:name="_Toc353259310"/>
      <w:bookmarkStart w:id="176" w:name="_Toc353261979"/>
      <w:bookmarkStart w:id="177" w:name="_Toc353262015"/>
      <w:bookmarkStart w:id="178" w:name="_Toc353435023"/>
      <w:r>
        <w:rPr>
          <w:rStyle w:val="CharPartNo"/>
        </w:rPr>
        <w:t>Part IV</w:t>
      </w:r>
      <w:r>
        <w:rPr>
          <w:rStyle w:val="CharDivNo"/>
        </w:rPr>
        <w:t> </w:t>
      </w:r>
      <w:r>
        <w:t>—</w:t>
      </w:r>
      <w:r>
        <w:rPr>
          <w:rStyle w:val="CharDivText"/>
        </w:rPr>
        <w:t> </w:t>
      </w:r>
      <w:r>
        <w:rPr>
          <w:rStyle w:val="CharPartText"/>
        </w:rPr>
        <w:t>Scientific or educational purposes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5"/>
        <w:rPr>
          <w:snapToGrid w:val="0"/>
        </w:rPr>
      </w:pPr>
      <w:bookmarkStart w:id="179" w:name="_Toc434725444"/>
      <w:bookmarkStart w:id="180" w:name="_Toc105405817"/>
      <w:bookmarkStart w:id="181" w:name="_Toc107633599"/>
      <w:bookmarkStart w:id="182" w:name="_Toc353435024"/>
      <w:r>
        <w:rPr>
          <w:rStyle w:val="CharSectno"/>
        </w:rPr>
        <w:t>20</w:t>
      </w:r>
      <w:r>
        <w:rPr>
          <w:snapToGrid w:val="0"/>
        </w:rPr>
        <w:t>.</w:t>
      </w:r>
      <w:r>
        <w:rPr>
          <w:snapToGrid w:val="0"/>
        </w:rPr>
        <w:tab/>
        <w:t>Application for permission</w:t>
      </w:r>
      <w:bookmarkEnd w:id="179"/>
      <w:bookmarkEnd w:id="180"/>
      <w:bookmarkEnd w:id="181"/>
      <w:bookmarkEnd w:id="182"/>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183" w:name="_Toc434725445"/>
      <w:bookmarkStart w:id="184" w:name="_Toc105405818"/>
      <w:bookmarkStart w:id="185" w:name="_Toc107633600"/>
      <w:r>
        <w:tab/>
        <w:t>[Regulation 20 amended in Gazette 17 Dec 2010 p. 6415-16.]</w:t>
      </w:r>
    </w:p>
    <w:p>
      <w:pPr>
        <w:pStyle w:val="Heading5"/>
        <w:rPr>
          <w:snapToGrid w:val="0"/>
        </w:rPr>
      </w:pPr>
      <w:bookmarkStart w:id="186" w:name="_Toc353435025"/>
      <w:r>
        <w:rPr>
          <w:rStyle w:val="CharSectno"/>
        </w:rPr>
        <w:t>21</w:t>
      </w:r>
      <w:r>
        <w:rPr>
          <w:snapToGrid w:val="0"/>
        </w:rPr>
        <w:t>.</w:t>
      </w:r>
      <w:r>
        <w:rPr>
          <w:snapToGrid w:val="0"/>
        </w:rPr>
        <w:tab/>
        <w:t>Records and returns</w:t>
      </w:r>
      <w:bookmarkEnd w:id="183"/>
      <w:bookmarkEnd w:id="184"/>
      <w:bookmarkEnd w:id="185"/>
      <w:bookmarkEnd w:id="186"/>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187" w:name="_Toc105405769"/>
      <w:bookmarkStart w:id="188" w:name="_Toc105405820"/>
      <w:bookmarkStart w:id="189" w:name="_Toc107633602"/>
      <w:bookmarkStart w:id="190" w:name="_Toc138563630"/>
      <w:bookmarkStart w:id="191" w:name="_Toc138563875"/>
      <w:bookmarkStart w:id="192" w:name="_Toc170183756"/>
      <w:bookmarkStart w:id="193" w:name="_Toc170716435"/>
      <w:bookmarkStart w:id="194" w:name="_Toc172599802"/>
      <w:bookmarkStart w:id="195" w:name="_Toc172603225"/>
      <w:bookmarkStart w:id="196" w:name="_Toc175372448"/>
      <w:bookmarkStart w:id="197" w:name="_Toc199043475"/>
      <w:bookmarkStart w:id="198" w:name="_Toc202519791"/>
      <w:bookmarkStart w:id="199" w:name="_Toc233778986"/>
      <w:bookmarkStart w:id="200" w:name="_Toc265659207"/>
      <w:bookmarkStart w:id="201" w:name="_Toc280615637"/>
      <w:bookmarkStart w:id="202" w:name="_Toc280615683"/>
      <w:bookmarkStart w:id="203" w:name="_Toc297273643"/>
      <w:bookmarkStart w:id="204" w:name="_Toc328483589"/>
      <w:bookmarkStart w:id="205" w:name="_Toc328483623"/>
      <w:bookmarkStart w:id="206" w:name="_Toc347827680"/>
      <w:bookmarkStart w:id="207" w:name="_Toc353259313"/>
      <w:bookmarkStart w:id="208" w:name="_Toc353261982"/>
      <w:bookmarkStart w:id="209" w:name="_Toc353262018"/>
      <w:bookmarkStart w:id="210" w:name="_Toc353435026"/>
      <w:r>
        <w:rPr>
          <w:rStyle w:val="CharSchNo"/>
        </w:rPr>
        <w:t>Schedule 1</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yTable"/>
        <w:jc w:val="center"/>
        <w:rPr>
          <w:b/>
        </w:rPr>
      </w:pPr>
      <w:r>
        <w:rPr>
          <w:rStyle w:val="CharSClsNo"/>
          <w:b/>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pPr>
      <w:r>
        <w:rPr>
          <w:rStyle w:val="CharSClsNo"/>
          <w:b/>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rStyle w:val="CharSClsNo"/>
          <w:b/>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w:t>
      </w:r>
      <w:r>
        <w:rPr>
          <w:snapToGrid w:val="0"/>
          <w:vertAlign w:val="superscript"/>
        </w:rPr>
        <w:t> 3</w:t>
      </w:r>
      <w:r>
        <w:rPr>
          <w:snapToGrid w:val="0"/>
        </w:rPr>
        <w: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rStyle w:val="CharSClsNo"/>
          <w:b/>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rStyle w:val="CharSClsNo"/>
          <w:b/>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keepNext/>
        <w:keepLines/>
        <w:pageBreakBefore/>
        <w:jc w:val="center"/>
        <w:rPr>
          <w:b/>
          <w:snapToGrid w:val="0"/>
        </w:rPr>
      </w:pPr>
      <w:r>
        <w:rPr>
          <w:rStyle w:val="CharSClsNo"/>
          <w:b/>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211" w:name="_Toc105405770"/>
      <w:bookmarkStart w:id="212" w:name="_Toc105405821"/>
      <w:bookmarkStart w:id="213" w:name="_Toc107633603"/>
      <w:bookmarkStart w:id="214" w:name="_Toc138563631"/>
      <w:bookmarkStart w:id="215" w:name="_Toc138563876"/>
      <w:bookmarkStart w:id="216" w:name="_Toc170183757"/>
      <w:bookmarkStart w:id="217" w:name="_Toc170716436"/>
      <w:bookmarkStart w:id="218" w:name="_Toc172599803"/>
      <w:bookmarkStart w:id="219" w:name="_Toc172603226"/>
      <w:bookmarkStart w:id="220" w:name="_Toc175372449"/>
      <w:bookmarkStart w:id="221" w:name="_Toc199043476"/>
      <w:bookmarkStart w:id="222" w:name="_Toc202519792"/>
      <w:bookmarkStart w:id="223" w:name="_Toc233778987"/>
      <w:bookmarkStart w:id="224" w:name="_Toc265659208"/>
      <w:bookmarkStart w:id="225" w:name="_Toc280615638"/>
      <w:bookmarkStart w:id="226" w:name="_Toc280615684"/>
      <w:bookmarkStart w:id="227" w:name="_Toc297273644"/>
      <w:bookmarkStart w:id="228" w:name="_Toc328483590"/>
      <w:bookmarkStart w:id="229" w:name="_Toc328483624"/>
      <w:bookmarkStart w:id="230" w:name="_Toc347827681"/>
      <w:bookmarkStart w:id="231" w:name="_Toc353259314"/>
    </w:p>
    <w:p>
      <w:pPr>
        <w:pStyle w:val="yScheduleHeading"/>
      </w:pPr>
      <w:bookmarkStart w:id="232" w:name="_Toc353261983"/>
      <w:bookmarkStart w:id="233" w:name="_Toc353262019"/>
      <w:bookmarkStart w:id="234" w:name="_Toc353435027"/>
      <w:r>
        <w:rPr>
          <w:rStyle w:val="CharSchNo"/>
        </w:rPr>
        <w:t>Schedule 1A</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yShoulderClause"/>
      </w:pPr>
      <w:r>
        <w:t>[Reg. 4(1)]</w:t>
      </w:r>
    </w:p>
    <w:p>
      <w:pPr>
        <w:pStyle w:val="yHeading2"/>
      </w:pPr>
      <w:bookmarkStart w:id="235" w:name="_Toc172603227"/>
      <w:bookmarkStart w:id="236" w:name="_Toc175372450"/>
      <w:bookmarkStart w:id="237" w:name="_Toc199043477"/>
      <w:bookmarkStart w:id="238" w:name="_Toc202519793"/>
      <w:bookmarkStart w:id="239" w:name="_Toc233778988"/>
      <w:bookmarkStart w:id="240" w:name="_Toc265659209"/>
      <w:bookmarkStart w:id="241" w:name="_Toc280615639"/>
      <w:bookmarkStart w:id="242" w:name="_Toc280615685"/>
      <w:bookmarkStart w:id="243" w:name="_Toc297273645"/>
      <w:bookmarkStart w:id="244" w:name="_Toc328483591"/>
      <w:bookmarkStart w:id="245" w:name="_Toc328483625"/>
      <w:bookmarkStart w:id="246" w:name="_Toc347827682"/>
      <w:bookmarkStart w:id="247" w:name="_Toc353259315"/>
      <w:bookmarkStart w:id="248" w:name="_Toc353261984"/>
      <w:bookmarkStart w:id="249" w:name="_Toc353262020"/>
      <w:bookmarkStart w:id="250" w:name="_Toc353435028"/>
      <w:r>
        <w:rPr>
          <w:rStyle w:val="CharSchText"/>
        </w:rPr>
        <w:t>Case where permit not required for introduction of category A4 declared animals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rPr>
                <w:b/>
                <w:snapToGrid w:val="0"/>
              </w:rPr>
            </w:pPr>
            <w:r>
              <w:rPr>
                <w:b/>
                <w:snapToGrid w:val="0"/>
              </w:rPr>
              <w:t>Column 1</w:t>
            </w:r>
          </w:p>
        </w:tc>
        <w:tc>
          <w:tcPr>
            <w:tcW w:w="2888" w:type="dxa"/>
          </w:tcPr>
          <w:p>
            <w:pPr>
              <w:pStyle w:val="yTable"/>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 xml:space="preserve">), other than common grey rabbits </w:t>
            </w:r>
            <w:r>
              <w:rPr>
                <w:rFonts w:ascii="Symbol" w:hAnsi="Symbol"/>
                <w:snapToGrid w:val="0"/>
              </w:rPr>
              <w:t></w:t>
            </w:r>
          </w:p>
          <w:p>
            <w:pPr>
              <w:pStyle w:val="yTable"/>
              <w:tabs>
                <w:tab w:val="left" w:pos="492"/>
                <w:tab w:val="left" w:pos="862"/>
              </w:tabs>
              <w:ind w:left="862" w:right="63" w:hanging="796"/>
              <w:rPr>
                <w:snapToGrid w:val="0"/>
              </w:rPr>
            </w:pPr>
            <w:r>
              <w:rPr>
                <w:snapToGrid w:val="0"/>
              </w:rPr>
              <w:tab/>
              <w:t>(a)</w:t>
            </w:r>
            <w:r>
              <w:rPr>
                <w:snapToGrid w:val="0"/>
              </w:rPr>
              <w:tab/>
            </w:r>
            <w:r>
              <w:rPr>
                <w:snapToGrid w:val="0"/>
                <w:color w:val="000000"/>
              </w:rPr>
              <w:t>kept</w:t>
            </w:r>
            <w:r>
              <w:rPr>
                <w:snapToGrid w:val="0"/>
              </w:rPr>
              <w:t xml:space="preserve"> as household pets, but not more than 2 per household and their progeny, if any, born within the preceding 2 months;</w:t>
            </w:r>
          </w:p>
          <w:p>
            <w:pPr>
              <w:pStyle w:val="yTable"/>
              <w:tabs>
                <w:tab w:val="left" w:pos="492"/>
                <w:tab w:val="left" w:pos="862"/>
              </w:tabs>
              <w:ind w:left="862" w:right="63" w:hanging="796"/>
              <w:rPr>
                <w:snapToGrid w:val="0"/>
              </w:rPr>
            </w:pPr>
            <w:r>
              <w:rPr>
                <w:snapToGrid w:val="0"/>
              </w:rPr>
              <w:tab/>
              <w:t>(b)</w:t>
            </w:r>
            <w:r>
              <w:rPr>
                <w:snapToGrid w:val="0"/>
              </w:rPr>
              <w:tab/>
              <w:t>kept in a pet shop</w:t>
            </w:r>
          </w:p>
          <w:p>
            <w:pPr>
              <w:tabs>
                <w:tab w:val="right" w:pos="1332"/>
                <w:tab w:val="left" w:pos="1462"/>
              </w:tabs>
              <w:spacing w:before="60" w:line="240" w:lineRule="atLeast"/>
              <w:ind w:left="1463" w:right="63" w:hanging="1463"/>
              <w:rPr>
                <w:snapToGrid w:val="0"/>
                <w:sz w:val="22"/>
                <w:szCs w:val="22"/>
              </w:rPr>
            </w:pPr>
            <w:r>
              <w:rPr>
                <w:snapToGrid w:val="0"/>
                <w:sz w:val="22"/>
                <w:szCs w:val="22"/>
              </w:rPr>
              <w:tab/>
              <w:t>(i)</w:t>
            </w:r>
            <w:r>
              <w:rPr>
                <w:snapToGrid w:val="0"/>
                <w:sz w:val="22"/>
                <w:szCs w:val="22"/>
              </w:rPr>
              <w:tab/>
            </w:r>
            <w:r>
              <w:rPr>
                <w:snapToGrid w:val="0"/>
                <w:color w:val="000000"/>
                <w:sz w:val="22"/>
                <w:szCs w:val="22"/>
              </w:rPr>
              <w:t>but</w:t>
            </w:r>
            <w:r>
              <w:rPr>
                <w:snapToGrid w:val="0"/>
                <w:sz w:val="22"/>
                <w:szCs w:val="22"/>
              </w:rPr>
              <w:t xml:space="preserve"> not more than 2 per pet shop and their progeny, if any, born within the preceding 2 months; or</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tabs>
                <w:tab w:val="right" w:pos="1332"/>
                <w:tab w:val="left" w:pos="1462"/>
              </w:tabs>
              <w:spacing w:before="60" w:line="240" w:lineRule="atLeast"/>
              <w:ind w:left="1463" w:right="63" w:hanging="1463"/>
              <w:rPr>
                <w:snapToGrid w:val="0"/>
                <w:sz w:val="22"/>
                <w:szCs w:val="22"/>
              </w:rPr>
            </w:pPr>
            <w:r>
              <w:rPr>
                <w:snapToGrid w:val="0"/>
                <w:sz w:val="22"/>
                <w:szCs w:val="22"/>
              </w:rPr>
              <w:tab/>
              <w:t>(ii)</w:t>
            </w:r>
            <w:r>
              <w:rPr>
                <w:snapToGrid w:val="0"/>
                <w:sz w:val="22"/>
                <w:szCs w:val="22"/>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251" w:name="_Toc105405771"/>
      <w:bookmarkStart w:id="252" w:name="_Toc105405822"/>
      <w:bookmarkStart w:id="253" w:name="_Toc107633604"/>
      <w:bookmarkStart w:id="254" w:name="_Toc138563632"/>
      <w:bookmarkStart w:id="255" w:name="_Toc138563877"/>
      <w:bookmarkStart w:id="256" w:name="_Toc170183758"/>
      <w:bookmarkStart w:id="257" w:name="_Toc170716437"/>
      <w:bookmarkStart w:id="258" w:name="_Toc172599804"/>
      <w:bookmarkStart w:id="259" w:name="_Toc172603228"/>
      <w:bookmarkStart w:id="260" w:name="_Toc175372451"/>
      <w:bookmarkStart w:id="261" w:name="_Toc199043478"/>
      <w:bookmarkStart w:id="262" w:name="_Toc202519794"/>
      <w:bookmarkStart w:id="263" w:name="_Toc233778989"/>
      <w:bookmarkStart w:id="264" w:name="_Toc265659210"/>
      <w:bookmarkStart w:id="265" w:name="_Toc280615640"/>
      <w:bookmarkStart w:id="266" w:name="_Toc280615686"/>
      <w:bookmarkStart w:id="267" w:name="_Toc297273646"/>
      <w:bookmarkStart w:id="268" w:name="_Toc328483592"/>
      <w:bookmarkStart w:id="269" w:name="_Toc328483626"/>
      <w:bookmarkStart w:id="270" w:name="_Toc347827683"/>
      <w:bookmarkStart w:id="271" w:name="_Toc353259316"/>
      <w:bookmarkStart w:id="272" w:name="_Toc353261985"/>
      <w:bookmarkStart w:id="273" w:name="_Toc353262021"/>
      <w:bookmarkStart w:id="274" w:name="_Toc353435029"/>
      <w:r>
        <w:rPr>
          <w:rStyle w:val="CharSchNo"/>
        </w:rPr>
        <w:t>Schedule 2</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yShoulderClause"/>
        <w:rPr>
          <w:snapToGrid w:val="0"/>
        </w:rPr>
      </w:pPr>
      <w:r>
        <w:rPr>
          <w:snapToGrid w:val="0"/>
        </w:rPr>
        <w:t>[Reg. 13(1)]</w:t>
      </w:r>
    </w:p>
    <w:p>
      <w:pPr>
        <w:pStyle w:val="yHeading2"/>
        <w:spacing w:before="120"/>
      </w:pPr>
      <w:bookmarkStart w:id="275" w:name="_Toc172603229"/>
      <w:bookmarkStart w:id="276" w:name="_Toc175372452"/>
      <w:bookmarkStart w:id="277" w:name="_Toc199043479"/>
      <w:bookmarkStart w:id="278" w:name="_Toc202519795"/>
      <w:bookmarkStart w:id="279" w:name="_Toc233778990"/>
      <w:bookmarkStart w:id="280" w:name="_Toc265659211"/>
      <w:bookmarkStart w:id="281" w:name="_Toc280615641"/>
      <w:bookmarkStart w:id="282" w:name="_Toc280615687"/>
      <w:bookmarkStart w:id="283" w:name="_Toc297273647"/>
      <w:bookmarkStart w:id="284" w:name="_Toc328483593"/>
      <w:bookmarkStart w:id="285" w:name="_Toc328483627"/>
      <w:bookmarkStart w:id="286" w:name="_Toc347827684"/>
      <w:bookmarkStart w:id="287" w:name="_Toc353259317"/>
      <w:bookmarkStart w:id="288" w:name="_Toc353261986"/>
      <w:bookmarkStart w:id="289" w:name="_Toc353262022"/>
      <w:bookmarkStart w:id="290" w:name="_Toc353435030"/>
      <w:r>
        <w:rPr>
          <w:rStyle w:val="CharSchText"/>
        </w:rPr>
        <w:t>Case where permit not required for keeping of category A6 declared animals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rPr>
                <w:b/>
              </w:rPr>
            </w:pPr>
            <w:r>
              <w:rPr>
                <w:b/>
              </w:rPr>
              <w:t>Column 1</w:t>
            </w:r>
          </w:p>
        </w:tc>
        <w:tc>
          <w:tcPr>
            <w:tcW w:w="3240" w:type="dxa"/>
          </w:tcPr>
          <w:p>
            <w:pPr>
              <w:pStyle w:val="yTable"/>
              <w:ind w:left="57"/>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 xml:space="preserve">are domesticated to the extent that they are </w:t>
            </w:r>
            <w:r>
              <w:rPr>
                <w:snapToGrid w:val="0"/>
                <w:color w:val="000000"/>
              </w:rPr>
              <w:t>no</w:t>
            </w:r>
            <w:r>
              <w:t xml:space="preserve"> more likely to escape from an enclosure of the kind usually used for containing domestic goats than are domestic goats.</w:t>
            </w:r>
          </w:p>
        </w:tc>
        <w:tc>
          <w:tcPr>
            <w:tcW w:w="3240" w:type="dxa"/>
            <w:tcMar>
              <w:left w:w="113" w:type="dxa"/>
            </w:tcMar>
          </w:tcPr>
          <w:p>
            <w:pPr>
              <w:pStyle w:val="yTable"/>
            </w:pPr>
          </w:p>
        </w:tc>
      </w:tr>
      <w:tr>
        <w:trPr>
          <w:trHeight w:val="3276"/>
        </w:trP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right" w:pos="1332"/>
                <w:tab w:val="left" w:pos="1462"/>
              </w:tabs>
              <w:spacing w:before="60" w:line="240" w:lineRule="atLeast"/>
              <w:ind w:left="1463" w:right="63" w:hanging="1463"/>
              <w:rPr>
                <w:i/>
              </w:rPr>
            </w:pPr>
            <w:r>
              <w:rPr>
                <w:snapToGrid w:val="0"/>
                <w:color w:val="000000"/>
                <w:sz w:val="22"/>
              </w:rPr>
              <w:tab/>
              <w:t>(i)</w:t>
            </w:r>
            <w:r>
              <w:rPr>
                <w:snapToGrid w:val="0"/>
                <w:color w:val="000000"/>
                <w:sz w:val="22"/>
              </w:rPr>
              <w:tab/>
            </w:r>
            <w:r>
              <w:rPr>
                <w:snapToGrid w:val="0"/>
                <w:color w:val="000000"/>
                <w:sz w:val="22"/>
                <w:szCs w:val="22"/>
              </w:rPr>
              <w:t>but</w:t>
            </w:r>
            <w:r>
              <w:rPr>
                <w:snapToGrid w:val="0"/>
                <w:color w:val="000000"/>
                <w:sz w:val="22"/>
              </w:rPr>
              <w:t xml:space="preserve"> not more than 2 per pet shop and their progeny, if any, born within the preceding 2 months; or</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keepNext/>
              <w:tabs>
                <w:tab w:val="right" w:pos="1332"/>
                <w:tab w:val="left" w:pos="1462"/>
              </w:tabs>
              <w:spacing w:before="60" w:line="240" w:lineRule="atLeast"/>
              <w:ind w:left="1463" w:right="62" w:hanging="1463"/>
              <w:rPr>
                <w:snapToGrid w:val="0"/>
                <w:color w:val="000000"/>
                <w:sz w:val="22"/>
              </w:rPr>
            </w:pPr>
            <w:r>
              <w:rPr>
                <w:snapToGrid w:val="0"/>
                <w:color w:val="000000"/>
                <w:sz w:val="22"/>
              </w:rPr>
              <w:tab/>
              <w:t>(ii)</w:t>
            </w:r>
            <w:r>
              <w:rPr>
                <w:snapToGrid w:val="0"/>
                <w:color w:val="000000"/>
                <w:sz w:val="22"/>
              </w:rPr>
              <w:tab/>
            </w:r>
            <w:r>
              <w:rPr>
                <w:snapToGrid w:val="0"/>
                <w:color w:val="000000"/>
                <w:sz w:val="22"/>
                <w:szCs w:val="22"/>
              </w:rPr>
              <w:t>being</w:t>
            </w:r>
            <w:r>
              <w:rPr>
                <w:snapToGrid w:val="0"/>
                <w:color w:val="000000"/>
                <w:sz w:val="22"/>
              </w:rPr>
              <w:t xml:space="preserve">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291" w:name="_Toc105405772"/>
      <w:bookmarkStart w:id="292" w:name="_Toc105405823"/>
      <w:bookmarkStart w:id="293" w:name="_Toc107633605"/>
      <w:bookmarkStart w:id="294" w:name="_Toc138563633"/>
      <w:bookmarkStart w:id="295" w:name="_Toc138563878"/>
      <w:bookmarkStart w:id="296" w:name="_Toc170183759"/>
      <w:bookmarkStart w:id="297" w:name="_Toc170716438"/>
      <w:bookmarkStart w:id="298" w:name="_Toc172599805"/>
      <w:bookmarkStart w:id="299" w:name="_Toc172603230"/>
      <w:bookmarkStart w:id="300" w:name="_Toc175372453"/>
      <w:bookmarkStart w:id="301" w:name="_Toc199043480"/>
      <w:bookmarkStart w:id="302" w:name="_Toc202519796"/>
      <w:bookmarkStart w:id="303" w:name="_Toc233778991"/>
      <w:bookmarkStart w:id="304" w:name="_Toc265659212"/>
      <w:bookmarkStart w:id="305" w:name="_Toc280615642"/>
      <w:bookmarkStart w:id="306" w:name="_Toc280615688"/>
      <w:bookmarkStart w:id="307" w:name="_Toc297273648"/>
      <w:bookmarkStart w:id="308" w:name="_Toc328483594"/>
      <w:bookmarkStart w:id="309" w:name="_Toc328483628"/>
      <w:bookmarkStart w:id="310" w:name="_Toc347827685"/>
      <w:bookmarkStart w:id="311" w:name="_Toc353259318"/>
      <w:bookmarkStart w:id="312" w:name="_Toc353261987"/>
      <w:bookmarkStart w:id="313" w:name="_Toc353262023"/>
      <w:bookmarkStart w:id="314" w:name="_Toc353435031"/>
      <w:r>
        <w:rPr>
          <w:rStyle w:val="CharSchNo"/>
        </w:rPr>
        <w:t>Schedule 3</w:t>
      </w:r>
      <w:r>
        <w:t> — </w:t>
      </w:r>
      <w:r>
        <w:rPr>
          <w:rStyle w:val="CharSchText"/>
        </w:rPr>
        <w:t>Category A6 birds that are exempt from permit fees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yShoulderClause"/>
      </w:pPr>
      <w:r>
        <w:t>[r. 16]</w:t>
      </w:r>
    </w:p>
    <w:tbl>
      <w:tblPr>
        <w:tblW w:w="0" w:type="auto"/>
        <w:tblInd w:w="108" w:type="dxa"/>
        <w:tblLayout w:type="fixed"/>
        <w:tblLook w:val="0000" w:firstRow="0" w:lastRow="0" w:firstColumn="0" w:lastColumn="0" w:noHBand="0" w:noVBand="0"/>
      </w:tblPr>
      <w:tblGrid>
        <w:gridCol w:w="4536"/>
        <w:gridCol w:w="2552"/>
      </w:tblGrid>
      <w:tr>
        <w:trPr>
          <w:tblHeader/>
        </w:trPr>
        <w:tc>
          <w:tcPr>
            <w:tcW w:w="4536" w:type="dxa"/>
          </w:tcPr>
          <w:p>
            <w:pPr>
              <w:pStyle w:val="yTable"/>
              <w:rPr>
                <w:b/>
              </w:rPr>
            </w:pPr>
            <w:r>
              <w:rPr>
                <w:b/>
              </w:rPr>
              <w:t>Common name</w:t>
            </w:r>
          </w:p>
        </w:tc>
        <w:tc>
          <w:tcPr>
            <w:tcW w:w="2552" w:type="dxa"/>
          </w:tcPr>
          <w:p>
            <w:pPr>
              <w:pStyle w:val="yTable"/>
              <w:rPr>
                <w:b/>
              </w:rPr>
            </w:pPr>
            <w:r>
              <w:rPr>
                <w:b/>
              </w:rPr>
              <w:t>Scientific name</w:t>
            </w:r>
          </w:p>
        </w:tc>
      </w:tr>
      <w:tr>
        <w:tc>
          <w:tcPr>
            <w:tcW w:w="4536" w:type="dxa"/>
          </w:tcPr>
          <w:p>
            <w:pPr>
              <w:pStyle w:val="yTable"/>
            </w:pPr>
            <w:r>
              <w:t>Canary, Yellow</w:t>
            </w:r>
            <w:r>
              <w:noBreakHyphen/>
              <w:t>fronted; Green Singing Finch</w:t>
            </w:r>
          </w:p>
        </w:tc>
        <w:tc>
          <w:tcPr>
            <w:tcW w:w="2552" w:type="dxa"/>
          </w:tcPr>
          <w:p>
            <w:pPr>
              <w:pStyle w:val="yTable"/>
              <w:rPr>
                <w:i/>
              </w:rPr>
            </w:pPr>
            <w:r>
              <w:rPr>
                <w:i/>
              </w:rPr>
              <w:t>Serinus mozambicus</w:t>
            </w:r>
          </w:p>
        </w:tc>
      </w:tr>
      <w:tr>
        <w:tc>
          <w:tcPr>
            <w:tcW w:w="4536" w:type="dxa"/>
          </w:tcPr>
          <w:p>
            <w:pPr>
              <w:pStyle w:val="yTable"/>
            </w:pPr>
            <w:r>
              <w:t>Cockatoo, Sulphur</w:t>
            </w:r>
            <w:r>
              <w:noBreakHyphen/>
              <w:t>crested</w:t>
            </w:r>
          </w:p>
        </w:tc>
        <w:tc>
          <w:tcPr>
            <w:tcW w:w="2552" w:type="dxa"/>
          </w:tcPr>
          <w:p>
            <w:pPr>
              <w:pStyle w:val="yTable"/>
              <w:rPr>
                <w:i/>
              </w:rPr>
            </w:pPr>
            <w:r>
              <w:rPr>
                <w:i/>
              </w:rPr>
              <w:t>Cacatua galerita</w:t>
            </w:r>
          </w:p>
        </w:tc>
      </w:tr>
      <w:tr>
        <w:tc>
          <w:tcPr>
            <w:tcW w:w="4536" w:type="dxa"/>
          </w:tcPr>
          <w:p>
            <w:pPr>
              <w:pStyle w:val="yTable"/>
            </w:pPr>
            <w:r>
              <w:t>Conure, Jandaya</w:t>
            </w:r>
          </w:p>
        </w:tc>
        <w:tc>
          <w:tcPr>
            <w:tcW w:w="2552" w:type="dxa"/>
          </w:tcPr>
          <w:p>
            <w:pPr>
              <w:pStyle w:val="yTable"/>
              <w:rPr>
                <w:i/>
              </w:rPr>
            </w:pPr>
            <w:r>
              <w:rPr>
                <w:i/>
              </w:rPr>
              <w:t>Aratinga jandaya</w:t>
            </w:r>
          </w:p>
        </w:tc>
      </w:tr>
      <w:tr>
        <w:tc>
          <w:tcPr>
            <w:tcW w:w="4536" w:type="dxa"/>
          </w:tcPr>
          <w:p>
            <w:pPr>
              <w:pStyle w:val="yTable"/>
            </w:pPr>
            <w:r>
              <w:t>Conure, Sun</w:t>
            </w:r>
          </w:p>
        </w:tc>
        <w:tc>
          <w:tcPr>
            <w:tcW w:w="2552" w:type="dxa"/>
          </w:tcPr>
          <w:p>
            <w:pPr>
              <w:pStyle w:val="yTable"/>
            </w:pPr>
            <w:r>
              <w:rPr>
                <w:i/>
              </w:rPr>
              <w:t>Aratinga solstitialis</w:t>
            </w:r>
          </w:p>
        </w:tc>
      </w:tr>
      <w:tr>
        <w:tc>
          <w:tcPr>
            <w:tcW w:w="4536" w:type="dxa"/>
          </w:tcPr>
          <w:p>
            <w:pPr>
              <w:pStyle w:val="yTable"/>
            </w:pPr>
            <w:r>
              <w:t>Dove, Collared; Collared Turtle</w:t>
            </w:r>
            <w:r>
              <w:noBreakHyphen/>
              <w:t>dove; Indian Ring Dove; Barbary Dove (fawn or white variations)</w:t>
            </w:r>
          </w:p>
        </w:tc>
        <w:tc>
          <w:tcPr>
            <w:tcW w:w="2552" w:type="dxa"/>
          </w:tcPr>
          <w:p>
            <w:pPr>
              <w:pStyle w:val="yTable"/>
              <w:rPr>
                <w:i/>
              </w:rPr>
            </w:pPr>
            <w:r>
              <w:rPr>
                <w:i/>
              </w:rPr>
              <w:br/>
            </w:r>
            <w:r>
              <w:rPr>
                <w:i/>
              </w:rPr>
              <w:br/>
              <w:t>Streptopelia decaocto</w:t>
            </w:r>
          </w:p>
        </w:tc>
      </w:tr>
      <w:tr>
        <w:tc>
          <w:tcPr>
            <w:tcW w:w="4536"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552" w:type="dxa"/>
          </w:tcPr>
          <w:p>
            <w:pPr>
              <w:pStyle w:val="yTable"/>
              <w:rPr>
                <w:i/>
              </w:rPr>
            </w:pPr>
            <w:r>
              <w:rPr>
                <w:i/>
              </w:rPr>
              <w:t>Oena capensis</w:t>
            </w:r>
          </w:p>
        </w:tc>
      </w:tr>
      <w:tr>
        <w:tc>
          <w:tcPr>
            <w:tcW w:w="4536" w:type="dxa"/>
          </w:tcPr>
          <w:p>
            <w:pPr>
              <w:pStyle w:val="yTable"/>
            </w:pPr>
            <w:r>
              <w:t>Dove, Ruddy Ground; Talpacoti</w:t>
            </w:r>
          </w:p>
        </w:tc>
        <w:tc>
          <w:tcPr>
            <w:tcW w:w="2552" w:type="dxa"/>
          </w:tcPr>
          <w:p>
            <w:pPr>
              <w:pStyle w:val="yTable"/>
              <w:rPr>
                <w:i/>
              </w:rPr>
            </w:pPr>
            <w:r>
              <w:rPr>
                <w:i/>
              </w:rPr>
              <w:t>Columbina talpacoti</w:t>
            </w:r>
          </w:p>
        </w:tc>
      </w:tr>
      <w:tr>
        <w:tc>
          <w:tcPr>
            <w:tcW w:w="4536"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552" w:type="dxa"/>
          </w:tcPr>
          <w:p>
            <w:pPr>
              <w:pStyle w:val="yTable"/>
              <w:rPr>
                <w:i/>
              </w:rPr>
            </w:pPr>
            <w:r>
              <w:rPr>
                <w:i/>
              </w:rPr>
              <w:t>Foudia madagascariensis</w:t>
            </w:r>
          </w:p>
        </w:tc>
      </w:tr>
      <w:tr>
        <w:tc>
          <w:tcPr>
            <w:tcW w:w="4536" w:type="dxa"/>
          </w:tcPr>
          <w:p>
            <w:pPr>
              <w:pStyle w:val="yTable"/>
            </w:pPr>
            <w:r>
              <w:t>Goose, Egyptian</w:t>
            </w:r>
          </w:p>
        </w:tc>
        <w:tc>
          <w:tcPr>
            <w:tcW w:w="2552" w:type="dxa"/>
          </w:tcPr>
          <w:p>
            <w:pPr>
              <w:pStyle w:val="yTable"/>
              <w:rPr>
                <w:i/>
              </w:rPr>
            </w:pPr>
            <w:r>
              <w:rPr>
                <w:i/>
              </w:rPr>
              <w:t>Alopchen aegyptiacus</w:t>
            </w:r>
          </w:p>
        </w:tc>
      </w:tr>
      <w:tr>
        <w:tc>
          <w:tcPr>
            <w:tcW w:w="4536" w:type="dxa"/>
          </w:tcPr>
          <w:p>
            <w:pPr>
              <w:pStyle w:val="yTable"/>
            </w:pPr>
            <w:r>
              <w:t>Greenfinch; European Greenfinch</w:t>
            </w:r>
          </w:p>
        </w:tc>
        <w:tc>
          <w:tcPr>
            <w:tcW w:w="2552" w:type="dxa"/>
          </w:tcPr>
          <w:p>
            <w:pPr>
              <w:pStyle w:val="yTable"/>
              <w:rPr>
                <w:i/>
              </w:rPr>
            </w:pPr>
            <w:r>
              <w:rPr>
                <w:i/>
              </w:rPr>
              <w:t>Carduelis chloris</w:t>
            </w:r>
          </w:p>
        </w:tc>
      </w:tr>
      <w:tr>
        <w:tc>
          <w:tcPr>
            <w:tcW w:w="4536" w:type="dxa"/>
          </w:tcPr>
          <w:p>
            <w:pPr>
              <w:pStyle w:val="yTable"/>
            </w:pPr>
            <w:r>
              <w:t>Lovebird, Black</w:t>
            </w:r>
            <w:r>
              <w:noBreakHyphen/>
              <w:t>collared</w:t>
            </w:r>
          </w:p>
        </w:tc>
        <w:tc>
          <w:tcPr>
            <w:tcW w:w="2552" w:type="dxa"/>
          </w:tcPr>
          <w:p>
            <w:pPr>
              <w:pStyle w:val="yTable"/>
              <w:rPr>
                <w:i/>
              </w:rPr>
            </w:pPr>
            <w:r>
              <w:rPr>
                <w:i/>
              </w:rPr>
              <w:t>Agapornis swinderniana</w:t>
            </w:r>
          </w:p>
        </w:tc>
      </w:tr>
      <w:tr>
        <w:tc>
          <w:tcPr>
            <w:tcW w:w="4536" w:type="dxa"/>
          </w:tcPr>
          <w:p>
            <w:pPr>
              <w:pStyle w:val="yTable"/>
            </w:pPr>
            <w:r>
              <w:t>Lovebird, Black</w:t>
            </w:r>
            <w:r>
              <w:noBreakHyphen/>
              <w:t>winged; Abyssinian Lovebird</w:t>
            </w:r>
          </w:p>
        </w:tc>
        <w:tc>
          <w:tcPr>
            <w:tcW w:w="2552" w:type="dxa"/>
          </w:tcPr>
          <w:p>
            <w:pPr>
              <w:pStyle w:val="yTable"/>
              <w:rPr>
                <w:i/>
              </w:rPr>
            </w:pPr>
            <w:r>
              <w:rPr>
                <w:i/>
              </w:rPr>
              <w:t>Agapornis taranta</w:t>
            </w:r>
          </w:p>
        </w:tc>
      </w:tr>
      <w:tr>
        <w:tc>
          <w:tcPr>
            <w:tcW w:w="4536" w:type="dxa"/>
          </w:tcPr>
          <w:p>
            <w:pPr>
              <w:pStyle w:val="yTable"/>
            </w:pPr>
            <w:r>
              <w:t>Lovebird, Fischer’s</w:t>
            </w:r>
          </w:p>
        </w:tc>
        <w:tc>
          <w:tcPr>
            <w:tcW w:w="2552" w:type="dxa"/>
          </w:tcPr>
          <w:p>
            <w:pPr>
              <w:pStyle w:val="yTable"/>
              <w:rPr>
                <w:i/>
              </w:rPr>
            </w:pPr>
            <w:r>
              <w:rPr>
                <w:i/>
              </w:rPr>
              <w:t>Agapornis fischeri</w:t>
            </w:r>
          </w:p>
        </w:tc>
      </w:tr>
      <w:tr>
        <w:tc>
          <w:tcPr>
            <w:tcW w:w="4536"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552" w:type="dxa"/>
          </w:tcPr>
          <w:p>
            <w:pPr>
              <w:pStyle w:val="yTable"/>
              <w:rPr>
                <w:i/>
              </w:rPr>
            </w:pPr>
            <w:r>
              <w:rPr>
                <w:i/>
              </w:rPr>
              <w:t>Agapornis cana</w:t>
            </w:r>
          </w:p>
        </w:tc>
      </w:tr>
      <w:tr>
        <w:tc>
          <w:tcPr>
            <w:tcW w:w="4536" w:type="dxa"/>
          </w:tcPr>
          <w:p>
            <w:pPr>
              <w:pStyle w:val="yTable"/>
            </w:pPr>
            <w:r>
              <w:t>Lovebird, Masked</w:t>
            </w:r>
          </w:p>
        </w:tc>
        <w:tc>
          <w:tcPr>
            <w:tcW w:w="2552" w:type="dxa"/>
          </w:tcPr>
          <w:p>
            <w:pPr>
              <w:pStyle w:val="yTable"/>
              <w:rPr>
                <w:i/>
              </w:rPr>
            </w:pPr>
            <w:r>
              <w:rPr>
                <w:i/>
              </w:rPr>
              <w:t>Agapornis personata</w:t>
            </w:r>
          </w:p>
        </w:tc>
      </w:tr>
      <w:tr>
        <w:tc>
          <w:tcPr>
            <w:tcW w:w="4536" w:type="dxa"/>
          </w:tcPr>
          <w:p>
            <w:pPr>
              <w:pStyle w:val="yTable"/>
            </w:pPr>
            <w:r>
              <w:t>Lovebird, Nyasa</w:t>
            </w:r>
          </w:p>
        </w:tc>
        <w:tc>
          <w:tcPr>
            <w:tcW w:w="2552" w:type="dxa"/>
          </w:tcPr>
          <w:p>
            <w:pPr>
              <w:pStyle w:val="yTable"/>
              <w:rPr>
                <w:i/>
              </w:rPr>
            </w:pPr>
            <w:r>
              <w:rPr>
                <w:i/>
              </w:rPr>
              <w:t>Agapornis lilianae</w:t>
            </w:r>
          </w:p>
        </w:tc>
      </w:tr>
      <w:tr>
        <w:tc>
          <w:tcPr>
            <w:tcW w:w="4536" w:type="dxa"/>
          </w:tcPr>
          <w:p>
            <w:pPr>
              <w:pStyle w:val="yTable"/>
            </w:pPr>
            <w:r>
              <w:t>Lovebird, Peach</w:t>
            </w:r>
            <w:r>
              <w:noBreakHyphen/>
              <w:t>faced</w:t>
            </w:r>
          </w:p>
        </w:tc>
        <w:tc>
          <w:tcPr>
            <w:tcW w:w="2552" w:type="dxa"/>
          </w:tcPr>
          <w:p>
            <w:pPr>
              <w:pStyle w:val="yTable"/>
              <w:rPr>
                <w:i/>
              </w:rPr>
            </w:pPr>
            <w:r>
              <w:rPr>
                <w:i/>
              </w:rPr>
              <w:t>Agapornis roseicollis</w:t>
            </w:r>
          </w:p>
        </w:tc>
      </w:tr>
      <w:tr>
        <w:tc>
          <w:tcPr>
            <w:tcW w:w="4536" w:type="dxa"/>
          </w:tcPr>
          <w:p>
            <w:pPr>
              <w:pStyle w:val="yTable"/>
            </w:pPr>
            <w:r>
              <w:t>Lovebird, Red</w:t>
            </w:r>
            <w:r>
              <w:noBreakHyphen/>
              <w:t>faced</w:t>
            </w:r>
          </w:p>
        </w:tc>
        <w:tc>
          <w:tcPr>
            <w:tcW w:w="2552" w:type="dxa"/>
          </w:tcPr>
          <w:p>
            <w:pPr>
              <w:pStyle w:val="yTable"/>
              <w:rPr>
                <w:i/>
              </w:rPr>
            </w:pPr>
            <w:r>
              <w:rPr>
                <w:i/>
              </w:rPr>
              <w:t>Agapornis pullaria</w:t>
            </w:r>
          </w:p>
        </w:tc>
      </w:tr>
      <w:tr>
        <w:tc>
          <w:tcPr>
            <w:tcW w:w="4536" w:type="dxa"/>
          </w:tcPr>
          <w:p>
            <w:pPr>
              <w:pStyle w:val="yTable"/>
            </w:pPr>
            <w:r>
              <w:t>Mannikin, Bronze</w:t>
            </w:r>
            <w:r>
              <w:noBreakHyphen/>
              <w:t>winged; Bronze Mannikin; Hooded Weaver</w:t>
            </w:r>
          </w:p>
        </w:tc>
        <w:tc>
          <w:tcPr>
            <w:tcW w:w="2552" w:type="dxa"/>
          </w:tcPr>
          <w:p>
            <w:pPr>
              <w:pStyle w:val="yTable"/>
              <w:rPr>
                <w:i/>
              </w:rPr>
            </w:pPr>
            <w:r>
              <w:rPr>
                <w:i/>
              </w:rPr>
              <w:br/>
              <w:t>Lonchura cucullata</w:t>
            </w:r>
          </w:p>
        </w:tc>
      </w:tr>
      <w:tr>
        <w:tc>
          <w:tcPr>
            <w:tcW w:w="4536" w:type="dxa"/>
          </w:tcPr>
          <w:p>
            <w:pPr>
              <w:pStyle w:val="yTable"/>
            </w:pPr>
            <w:r>
              <w:t>Mannikin, Chestnut; Tri</w:t>
            </w:r>
            <w:r>
              <w:noBreakHyphen/>
              <w:t>coloured Mannikin; Black</w:t>
            </w:r>
            <w:r>
              <w:noBreakHyphen/>
              <w:t>headed Munia; Black</w:t>
            </w:r>
            <w:r>
              <w:noBreakHyphen/>
              <w:t>headed Nun</w:t>
            </w:r>
          </w:p>
        </w:tc>
        <w:tc>
          <w:tcPr>
            <w:tcW w:w="2552" w:type="dxa"/>
          </w:tcPr>
          <w:p>
            <w:pPr>
              <w:pStyle w:val="yTable"/>
              <w:rPr>
                <w:i/>
              </w:rPr>
            </w:pPr>
            <w:r>
              <w:rPr>
                <w:i/>
              </w:rPr>
              <w:br/>
              <w:t>Lonchura malacca</w:t>
            </w:r>
          </w:p>
        </w:tc>
      </w:tr>
      <w:tr>
        <w:tc>
          <w:tcPr>
            <w:tcW w:w="4536" w:type="dxa"/>
          </w:tcPr>
          <w:p>
            <w:pPr>
              <w:pStyle w:val="yTable"/>
            </w:pPr>
            <w:r>
              <w:t>Mannikin, Nutmeg; Spice Finch; Spotted Munia; Scaly</w:t>
            </w:r>
            <w:r>
              <w:noBreakHyphen/>
              <w:t>breasted Munia</w:t>
            </w:r>
          </w:p>
        </w:tc>
        <w:tc>
          <w:tcPr>
            <w:tcW w:w="2552" w:type="dxa"/>
          </w:tcPr>
          <w:p>
            <w:pPr>
              <w:pStyle w:val="yTable"/>
              <w:rPr>
                <w:i/>
              </w:rPr>
            </w:pPr>
            <w:r>
              <w:rPr>
                <w:i/>
              </w:rPr>
              <w:br/>
              <w:t>Lonchura punctulata</w:t>
            </w:r>
          </w:p>
        </w:tc>
      </w:tr>
      <w:tr>
        <w:tc>
          <w:tcPr>
            <w:tcW w:w="4536" w:type="dxa"/>
          </w:tcPr>
          <w:p>
            <w:pPr>
              <w:pStyle w:val="yTable"/>
            </w:pPr>
            <w:r>
              <w:t>Munia, White</w:t>
            </w:r>
            <w:r>
              <w:noBreakHyphen/>
              <w:t>headed</w:t>
            </w:r>
          </w:p>
        </w:tc>
        <w:tc>
          <w:tcPr>
            <w:tcW w:w="2552" w:type="dxa"/>
          </w:tcPr>
          <w:p>
            <w:pPr>
              <w:pStyle w:val="yTable"/>
              <w:rPr>
                <w:i/>
              </w:rPr>
            </w:pPr>
            <w:r>
              <w:rPr>
                <w:i/>
              </w:rPr>
              <w:t>Lonchura maja</w:t>
            </w:r>
          </w:p>
        </w:tc>
      </w:tr>
      <w:tr>
        <w:tc>
          <w:tcPr>
            <w:tcW w:w="4536" w:type="dxa"/>
          </w:tcPr>
          <w:p>
            <w:pPr>
              <w:pStyle w:val="yTable"/>
            </w:pPr>
            <w:r>
              <w:t>Munia, White</w:t>
            </w:r>
            <w:r>
              <w:noBreakHyphen/>
              <w:t>rumped; Bengalese Mannikin</w:t>
            </w:r>
          </w:p>
        </w:tc>
        <w:tc>
          <w:tcPr>
            <w:tcW w:w="2552" w:type="dxa"/>
          </w:tcPr>
          <w:p>
            <w:pPr>
              <w:pStyle w:val="yTable"/>
              <w:rPr>
                <w:i/>
              </w:rPr>
            </w:pPr>
            <w:r>
              <w:rPr>
                <w:i/>
              </w:rPr>
              <w:t>Lonchura striata</w:t>
            </w:r>
          </w:p>
        </w:tc>
      </w:tr>
      <w:tr>
        <w:tc>
          <w:tcPr>
            <w:tcW w:w="4536" w:type="dxa"/>
          </w:tcPr>
          <w:p>
            <w:pPr>
              <w:pStyle w:val="yTable"/>
            </w:pPr>
            <w:r>
              <w:t>Parakeet, Alexandrine</w:t>
            </w:r>
          </w:p>
        </w:tc>
        <w:tc>
          <w:tcPr>
            <w:tcW w:w="2552" w:type="dxa"/>
          </w:tcPr>
          <w:p>
            <w:pPr>
              <w:pStyle w:val="yTable"/>
              <w:rPr>
                <w:i/>
              </w:rPr>
            </w:pPr>
            <w:r>
              <w:rPr>
                <w:i/>
              </w:rPr>
              <w:t>Psittacula eupatria</w:t>
            </w:r>
          </w:p>
        </w:tc>
      </w:tr>
      <w:tr>
        <w:tc>
          <w:tcPr>
            <w:tcW w:w="4536" w:type="dxa"/>
          </w:tcPr>
          <w:p>
            <w:pPr>
              <w:pStyle w:val="yTable"/>
            </w:pPr>
            <w:r>
              <w:t>Parakeet, Plum</w:t>
            </w:r>
            <w:r>
              <w:noBreakHyphen/>
              <w:t>headed</w:t>
            </w:r>
          </w:p>
        </w:tc>
        <w:tc>
          <w:tcPr>
            <w:tcW w:w="2552" w:type="dxa"/>
          </w:tcPr>
          <w:p>
            <w:pPr>
              <w:pStyle w:val="yTable"/>
              <w:rPr>
                <w:i/>
              </w:rPr>
            </w:pPr>
            <w:r>
              <w:rPr>
                <w:i/>
              </w:rPr>
              <w:t>Psittacula cyanocephala</w:t>
            </w:r>
          </w:p>
        </w:tc>
      </w:tr>
      <w:tr>
        <w:tc>
          <w:tcPr>
            <w:tcW w:w="4536" w:type="dxa"/>
          </w:tcPr>
          <w:p>
            <w:pPr>
              <w:pStyle w:val="yTable"/>
            </w:pPr>
            <w:r>
              <w:t>Parakeet, Red</w:t>
            </w:r>
            <w:r>
              <w:noBreakHyphen/>
              <w:t>fronted; Red</w:t>
            </w:r>
            <w:r>
              <w:noBreakHyphen/>
              <w:t>fronted Kakariki</w:t>
            </w:r>
          </w:p>
        </w:tc>
        <w:tc>
          <w:tcPr>
            <w:tcW w:w="2552" w:type="dxa"/>
          </w:tcPr>
          <w:p>
            <w:pPr>
              <w:pStyle w:val="yTable"/>
              <w:rPr>
                <w:i/>
              </w:rPr>
            </w:pPr>
            <w:r>
              <w:rPr>
                <w:i/>
              </w:rPr>
              <w:t>Cyanoramphus novaezelandiae</w:t>
            </w:r>
          </w:p>
        </w:tc>
      </w:tr>
      <w:tr>
        <w:tc>
          <w:tcPr>
            <w:tcW w:w="4536" w:type="dxa"/>
          </w:tcPr>
          <w:p>
            <w:pPr>
              <w:pStyle w:val="yTable"/>
            </w:pPr>
            <w:r>
              <w:t>Parakeet, Rose</w:t>
            </w:r>
            <w:r>
              <w:noBreakHyphen/>
              <w:t>ringed; Indian or African Ringneck Parrot or Parakeet</w:t>
            </w:r>
          </w:p>
        </w:tc>
        <w:tc>
          <w:tcPr>
            <w:tcW w:w="2552" w:type="dxa"/>
          </w:tcPr>
          <w:p>
            <w:pPr>
              <w:pStyle w:val="yTable"/>
              <w:rPr>
                <w:i/>
              </w:rPr>
            </w:pPr>
            <w:r>
              <w:rPr>
                <w:i/>
              </w:rPr>
              <w:br/>
              <w:t>Psittacula krameri</w:t>
            </w:r>
          </w:p>
        </w:tc>
      </w:tr>
      <w:tr>
        <w:tc>
          <w:tcPr>
            <w:tcW w:w="4536" w:type="dxa"/>
          </w:tcPr>
          <w:p>
            <w:pPr>
              <w:pStyle w:val="yTable"/>
            </w:pPr>
            <w:r>
              <w:t>Parakeet, Yellow</w:t>
            </w:r>
            <w:r>
              <w:noBreakHyphen/>
              <w:t>fronted; Yellow</w:t>
            </w:r>
            <w:r>
              <w:noBreakHyphen/>
              <w:t>fronted Kakariki</w:t>
            </w:r>
          </w:p>
        </w:tc>
        <w:tc>
          <w:tcPr>
            <w:tcW w:w="2552" w:type="dxa"/>
          </w:tcPr>
          <w:p>
            <w:pPr>
              <w:pStyle w:val="yTable"/>
              <w:rPr>
                <w:i/>
              </w:rPr>
            </w:pPr>
            <w:r>
              <w:rPr>
                <w:i/>
              </w:rPr>
              <w:br/>
              <w:t>Cyanoramphus auriceps</w:t>
            </w:r>
          </w:p>
        </w:tc>
      </w:tr>
      <w:tr>
        <w:tc>
          <w:tcPr>
            <w:tcW w:w="4536" w:type="dxa"/>
          </w:tcPr>
          <w:p>
            <w:pPr>
              <w:pStyle w:val="yTable"/>
            </w:pPr>
            <w:r>
              <w:t>Parrot, Meyer’s; Brown Parrot</w:t>
            </w:r>
          </w:p>
        </w:tc>
        <w:tc>
          <w:tcPr>
            <w:tcW w:w="2552" w:type="dxa"/>
          </w:tcPr>
          <w:p>
            <w:pPr>
              <w:pStyle w:val="yTable"/>
              <w:rPr>
                <w:i/>
              </w:rPr>
            </w:pPr>
            <w:r>
              <w:rPr>
                <w:i/>
              </w:rPr>
              <w:t>Poicephalus meyeri</w:t>
            </w:r>
          </w:p>
        </w:tc>
      </w:tr>
      <w:tr>
        <w:tc>
          <w:tcPr>
            <w:tcW w:w="4536" w:type="dxa"/>
          </w:tcPr>
          <w:p>
            <w:pPr>
              <w:pStyle w:val="yTable"/>
            </w:pPr>
            <w:r>
              <w:t>Partridge, Chukar; Chukor or Chukka Partridge</w:t>
            </w:r>
          </w:p>
        </w:tc>
        <w:tc>
          <w:tcPr>
            <w:tcW w:w="2552" w:type="dxa"/>
          </w:tcPr>
          <w:p>
            <w:pPr>
              <w:pStyle w:val="yTable"/>
              <w:rPr>
                <w:i/>
              </w:rPr>
            </w:pPr>
            <w:r>
              <w:rPr>
                <w:i/>
              </w:rPr>
              <w:t>Alectoris chukar</w:t>
            </w:r>
          </w:p>
        </w:tc>
      </w:tr>
      <w:tr>
        <w:tc>
          <w:tcPr>
            <w:tcW w:w="4536" w:type="dxa"/>
          </w:tcPr>
          <w:p>
            <w:pPr>
              <w:pStyle w:val="yTable"/>
            </w:pPr>
            <w:r>
              <w:t>Pheasant, Ring</w:t>
            </w:r>
            <w:r>
              <w:noBreakHyphen/>
              <w:t>necked</w:t>
            </w:r>
          </w:p>
        </w:tc>
        <w:tc>
          <w:tcPr>
            <w:tcW w:w="2552" w:type="dxa"/>
          </w:tcPr>
          <w:p>
            <w:pPr>
              <w:pStyle w:val="yTable"/>
              <w:rPr>
                <w:i/>
              </w:rPr>
            </w:pPr>
            <w:r>
              <w:rPr>
                <w:i/>
              </w:rPr>
              <w:t>Phasianus colchicus</w:t>
            </w:r>
          </w:p>
        </w:tc>
      </w:tr>
      <w:tr>
        <w:tc>
          <w:tcPr>
            <w:tcW w:w="4536" w:type="dxa"/>
          </w:tcPr>
          <w:p>
            <w:pPr>
              <w:pStyle w:val="yTable"/>
            </w:pPr>
            <w:r>
              <w:t>Pheasant, Silver</w:t>
            </w:r>
          </w:p>
        </w:tc>
        <w:tc>
          <w:tcPr>
            <w:tcW w:w="2552" w:type="dxa"/>
          </w:tcPr>
          <w:p>
            <w:pPr>
              <w:pStyle w:val="yTable"/>
              <w:rPr>
                <w:i/>
              </w:rPr>
            </w:pPr>
            <w:r>
              <w:rPr>
                <w:i/>
              </w:rPr>
              <w:t>Lophura nycthemera</w:t>
            </w:r>
          </w:p>
        </w:tc>
      </w:tr>
      <w:tr>
        <w:tc>
          <w:tcPr>
            <w:tcW w:w="4536" w:type="dxa"/>
          </w:tcPr>
          <w:p>
            <w:pPr>
              <w:pStyle w:val="yTable"/>
            </w:pPr>
            <w:r>
              <w:t>Quail, Japanese</w:t>
            </w:r>
          </w:p>
        </w:tc>
        <w:tc>
          <w:tcPr>
            <w:tcW w:w="2552" w:type="dxa"/>
          </w:tcPr>
          <w:p>
            <w:pPr>
              <w:pStyle w:val="yTable"/>
              <w:rPr>
                <w:i/>
              </w:rPr>
            </w:pPr>
            <w:r>
              <w:rPr>
                <w:i/>
              </w:rPr>
              <w:t>Coturnix japonica</w:t>
            </w:r>
          </w:p>
        </w:tc>
      </w:tr>
      <w:tr>
        <w:tc>
          <w:tcPr>
            <w:tcW w:w="4536"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552" w:type="dxa"/>
          </w:tcPr>
          <w:p>
            <w:pPr>
              <w:pStyle w:val="yTable"/>
              <w:rPr>
                <w:i/>
              </w:rPr>
            </w:pPr>
            <w:r>
              <w:rPr>
                <w:i/>
              </w:rPr>
              <w:t>Aythya novaeseelandiae</w:t>
            </w:r>
          </w:p>
        </w:tc>
      </w:tr>
      <w:tr>
        <w:tc>
          <w:tcPr>
            <w:tcW w:w="4536" w:type="dxa"/>
          </w:tcPr>
          <w:p>
            <w:pPr>
              <w:pStyle w:val="yTable"/>
            </w:pPr>
            <w:r>
              <w:t xml:space="preserve">Shelduck, </w:t>
            </w:r>
            <w:smartTag w:uri="urn:schemas-microsoft-com:office:smarttags" w:element="place">
              <w:r>
                <w:t>Paradise</w:t>
              </w:r>
            </w:smartTag>
          </w:p>
        </w:tc>
        <w:tc>
          <w:tcPr>
            <w:tcW w:w="2552" w:type="dxa"/>
          </w:tcPr>
          <w:p>
            <w:pPr>
              <w:pStyle w:val="yTable"/>
              <w:rPr>
                <w:i/>
              </w:rPr>
            </w:pPr>
            <w:r>
              <w:rPr>
                <w:i/>
              </w:rPr>
              <w:t>Tadorna variegata</w:t>
            </w:r>
          </w:p>
        </w:tc>
      </w:tr>
      <w:tr>
        <w:tc>
          <w:tcPr>
            <w:tcW w:w="4536" w:type="dxa"/>
          </w:tcPr>
          <w:p>
            <w:pPr>
              <w:pStyle w:val="yTable"/>
            </w:pPr>
            <w:r>
              <w:t>Silverbill, Indian; White</w:t>
            </w:r>
            <w:r>
              <w:noBreakHyphen/>
              <w:t>throated Munia; Common Silverbill</w:t>
            </w:r>
          </w:p>
        </w:tc>
        <w:tc>
          <w:tcPr>
            <w:tcW w:w="2552" w:type="dxa"/>
          </w:tcPr>
          <w:p>
            <w:pPr>
              <w:pStyle w:val="yTable"/>
              <w:rPr>
                <w:i/>
              </w:rPr>
            </w:pPr>
            <w:r>
              <w:rPr>
                <w:i/>
              </w:rPr>
              <w:br/>
              <w:t>Lonchura malabarica</w:t>
            </w:r>
          </w:p>
        </w:tc>
      </w:tr>
      <w:tr>
        <w:tc>
          <w:tcPr>
            <w:tcW w:w="4536" w:type="dxa"/>
          </w:tcPr>
          <w:p>
            <w:pPr>
              <w:pStyle w:val="yTable"/>
            </w:pPr>
            <w:r>
              <w:t>Sparrow, Java; Paddy Finch</w:t>
            </w:r>
          </w:p>
        </w:tc>
        <w:tc>
          <w:tcPr>
            <w:tcW w:w="2552" w:type="dxa"/>
          </w:tcPr>
          <w:p>
            <w:pPr>
              <w:pStyle w:val="yTable"/>
              <w:rPr>
                <w:i/>
              </w:rPr>
            </w:pPr>
            <w:r>
              <w:rPr>
                <w:i/>
              </w:rPr>
              <w:t>Padda oryzivora</w:t>
            </w:r>
          </w:p>
        </w:tc>
      </w:tr>
      <w:tr>
        <w:tc>
          <w:tcPr>
            <w:tcW w:w="4536"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552" w:type="dxa"/>
          </w:tcPr>
          <w:p>
            <w:pPr>
              <w:pStyle w:val="yTable"/>
              <w:rPr>
                <w:i/>
              </w:rPr>
            </w:pPr>
            <w:r>
              <w:rPr>
                <w:i/>
              </w:rPr>
              <w:br/>
              <w:t>Amadina erythrocephala</w:t>
            </w:r>
          </w:p>
        </w:tc>
      </w:tr>
      <w:tr>
        <w:tc>
          <w:tcPr>
            <w:tcW w:w="4536" w:type="dxa"/>
          </w:tcPr>
          <w:p>
            <w:pPr>
              <w:pStyle w:val="yTable"/>
            </w:pPr>
            <w:r>
              <w:t>Strawberry Finch, Red; Red Munia; Red or Indian Avadavat; Tiger Finch; Red Waxbill</w:t>
            </w:r>
          </w:p>
        </w:tc>
        <w:tc>
          <w:tcPr>
            <w:tcW w:w="2552" w:type="dxa"/>
          </w:tcPr>
          <w:p>
            <w:pPr>
              <w:pStyle w:val="yTable"/>
              <w:rPr>
                <w:i/>
              </w:rPr>
            </w:pPr>
            <w:r>
              <w:rPr>
                <w:i/>
              </w:rPr>
              <w:br/>
              <w:t>Amandava amandava</w:t>
            </w:r>
          </w:p>
        </w:tc>
      </w:tr>
      <w:tr>
        <w:tc>
          <w:tcPr>
            <w:tcW w:w="4536" w:type="dxa"/>
          </w:tcPr>
          <w:p>
            <w:pPr>
              <w:pStyle w:val="yTable"/>
            </w:pPr>
            <w:r>
              <w:t xml:space="preserve">Waxbill, Common; </w:t>
            </w:r>
            <w:smartTag w:uri="urn:schemas-microsoft-com:office:smarttags" w:element="place">
              <w:r>
                <w:t>St Helena</w:t>
              </w:r>
            </w:smartTag>
            <w:r>
              <w:t xml:space="preserve"> Waxbill</w:t>
            </w:r>
          </w:p>
        </w:tc>
        <w:tc>
          <w:tcPr>
            <w:tcW w:w="2552" w:type="dxa"/>
          </w:tcPr>
          <w:p>
            <w:pPr>
              <w:pStyle w:val="yTable"/>
              <w:rPr>
                <w:i/>
              </w:rPr>
            </w:pPr>
            <w:r>
              <w:rPr>
                <w:i/>
              </w:rPr>
              <w:t>Estrilda astrild</w:t>
            </w:r>
          </w:p>
        </w:tc>
      </w:tr>
      <w:tr>
        <w:tc>
          <w:tcPr>
            <w:tcW w:w="4536" w:type="dxa"/>
          </w:tcPr>
          <w:p>
            <w:pPr>
              <w:pStyle w:val="yTable"/>
            </w:pPr>
            <w:r>
              <w:t>Weaver, Cut</w:t>
            </w:r>
            <w:r>
              <w:noBreakHyphen/>
              <w:t>throat; Cut</w:t>
            </w:r>
            <w:r>
              <w:noBreakHyphen/>
              <w:t>throat Finch; Ribbon Finch</w:t>
            </w:r>
          </w:p>
        </w:tc>
        <w:tc>
          <w:tcPr>
            <w:tcW w:w="2552" w:type="dxa"/>
          </w:tcPr>
          <w:p>
            <w:pPr>
              <w:pStyle w:val="yTable"/>
              <w:rPr>
                <w:i/>
              </w:rPr>
            </w:pPr>
            <w:r>
              <w:rPr>
                <w:i/>
              </w:rPr>
              <w:br/>
              <w:t>Amadina fasciata</w:t>
            </w:r>
          </w:p>
        </w:tc>
      </w:tr>
      <w:tr>
        <w:tc>
          <w:tcPr>
            <w:tcW w:w="4536"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552" w:type="dxa"/>
          </w:tcPr>
          <w:p>
            <w:pPr>
              <w:pStyle w:val="yTable"/>
              <w:rPr>
                <w:i/>
              </w:rPr>
            </w:pPr>
            <w:r>
              <w:rPr>
                <w:i/>
              </w:rPr>
              <w:br/>
              <w:t>Euplectes orix</w:t>
            </w:r>
          </w:p>
        </w:tc>
      </w:tr>
      <w:tr>
        <w:tc>
          <w:tcPr>
            <w:tcW w:w="4536" w:type="dxa"/>
          </w:tcPr>
          <w:p>
            <w:pPr>
              <w:pStyle w:val="yTable"/>
            </w:pPr>
            <w:r>
              <w:t>Whydah, White</w:t>
            </w:r>
            <w:r>
              <w:noBreakHyphen/>
              <w:t>winged</w:t>
            </w:r>
          </w:p>
        </w:tc>
        <w:tc>
          <w:tcPr>
            <w:tcW w:w="2552" w:type="dxa"/>
          </w:tcPr>
          <w:p>
            <w:pPr>
              <w:pStyle w:val="yTable"/>
              <w:rPr>
                <w:i/>
              </w:rPr>
            </w:pPr>
            <w:r>
              <w:rPr>
                <w:i/>
              </w:rPr>
              <w:t>Euplectes albonotatus</w:t>
            </w:r>
          </w:p>
        </w:tc>
      </w:tr>
    </w:tbl>
    <w:p>
      <w:pPr>
        <w:pStyle w:val="yFootnotesection"/>
      </w:pPr>
      <w:r>
        <w:tab/>
        <w:t>[Schedule 3 inserted in Gazette 28 Jun 2002 p. 3040</w:t>
      </w:r>
      <w:r>
        <w:noBreakHyphen/>
        <w:t>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pPr>
      <w:bookmarkStart w:id="315" w:name="_Toc105405773"/>
      <w:bookmarkStart w:id="316" w:name="_Toc105405824"/>
      <w:bookmarkStart w:id="317" w:name="_Toc105406196"/>
      <w:bookmarkStart w:id="318" w:name="_Toc107633606"/>
      <w:bookmarkStart w:id="319" w:name="_Toc138563634"/>
      <w:bookmarkStart w:id="320" w:name="_Toc138563879"/>
      <w:bookmarkStart w:id="321" w:name="_Toc170183760"/>
      <w:bookmarkStart w:id="322" w:name="_Toc170716439"/>
      <w:bookmarkStart w:id="323" w:name="_Toc172599806"/>
      <w:bookmarkStart w:id="324" w:name="_Toc172603231"/>
      <w:bookmarkStart w:id="325" w:name="_Toc175372454"/>
      <w:bookmarkStart w:id="326" w:name="_Toc199043481"/>
      <w:bookmarkStart w:id="327" w:name="_Toc202519797"/>
      <w:bookmarkStart w:id="328" w:name="_Toc233778992"/>
      <w:bookmarkStart w:id="329" w:name="_Toc265659213"/>
      <w:bookmarkStart w:id="330" w:name="_Toc280615643"/>
      <w:bookmarkStart w:id="331" w:name="_Toc280615689"/>
      <w:bookmarkStart w:id="332" w:name="_Toc297273649"/>
      <w:bookmarkStart w:id="333" w:name="_Toc328483595"/>
      <w:bookmarkStart w:id="334" w:name="_Toc328483629"/>
      <w:bookmarkStart w:id="335" w:name="_Toc347827686"/>
      <w:bookmarkStart w:id="336" w:name="_Toc353259319"/>
      <w:bookmarkStart w:id="337" w:name="_Toc353261988"/>
      <w:bookmarkStart w:id="338" w:name="_Toc353262024"/>
      <w:bookmarkStart w:id="339" w:name="_Toc353435032"/>
      <w:r>
        <w:t>Notes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12 April 2013</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Agriculture and Related Resources Protection (Declared Animals) Regulations 1985</w:t>
      </w:r>
      <w:r>
        <w:rPr>
          <w:i/>
          <w:snapToGrid w:val="0"/>
        </w:rPr>
        <w:fldChar w:fldCharType="end"/>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40" w:name="_Toc353435033"/>
      <w:r>
        <w:rPr>
          <w:snapToGrid w:val="0"/>
        </w:rPr>
        <w:t>Compilation table</w:t>
      </w:r>
      <w:bookmarkEnd w:id="34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z w:val="19"/>
              </w:rPr>
              <w:t>r. 1 and 2: 30 Jun 2010 (see r. 2(a));</w:t>
            </w:r>
            <w:r>
              <w:rPr>
                <w:snapToGrid w:val="0"/>
                <w:sz w:val="19"/>
              </w:rPr>
              <w:br/>
              <w:t>Regulations other than r. 1 and 2: 1 Jul 2010 (see r. 2(b))</w:t>
            </w:r>
          </w:p>
        </w:tc>
      </w:tr>
      <w:tr>
        <w:trPr>
          <w:cantSplit/>
        </w:trPr>
        <w:tc>
          <w:tcPr>
            <w:tcW w:w="3118" w:type="dxa"/>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Pr>
          <w:p>
            <w:pPr>
              <w:pStyle w:val="nTable"/>
              <w:spacing w:after="40"/>
              <w:rPr>
                <w:sz w:val="19"/>
              </w:rPr>
            </w:pPr>
            <w:r>
              <w:rPr>
                <w:sz w:val="19"/>
              </w:rPr>
              <w:t>17 Dec 2010 p. 6403-32</w:t>
            </w:r>
          </w:p>
        </w:tc>
        <w:tc>
          <w:tcPr>
            <w:tcW w:w="2693" w:type="dxa"/>
          </w:tcPr>
          <w:p>
            <w:pPr>
              <w:pStyle w:val="nTable"/>
              <w:spacing w:after="40"/>
              <w:rPr>
                <w:snapToGrid w:val="0"/>
                <w:sz w:val="19"/>
              </w:rPr>
            </w:pPr>
            <w:r>
              <w:rPr>
                <w:snapToGrid w:val="0"/>
                <w:sz w:val="19"/>
              </w:rPr>
              <w:t xml:space="preserve">18 Dec 2010 (see r. 2(b) and </w:t>
            </w:r>
            <w:r>
              <w:rPr>
                <w:i/>
                <w:iCs/>
                <w:snapToGrid w:val="0"/>
                <w:sz w:val="19"/>
              </w:rPr>
              <w:t>Gazette</w:t>
            </w:r>
            <w:r>
              <w:rPr>
                <w:snapToGrid w:val="0"/>
                <w:sz w:val="19"/>
              </w:rPr>
              <w:t xml:space="preserve"> 17 Dec 2010 p. 6349)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2011</w:t>
            </w:r>
          </w:p>
        </w:tc>
        <w:tc>
          <w:tcPr>
            <w:tcW w:w="1276" w:type="dxa"/>
          </w:tcPr>
          <w:p>
            <w:pPr>
              <w:pStyle w:val="nTable"/>
              <w:spacing w:after="40"/>
              <w:rPr>
                <w:sz w:val="19"/>
              </w:rPr>
            </w:pPr>
            <w:r>
              <w:rPr>
                <w:sz w:val="19"/>
              </w:rPr>
              <w:t>30 Jun 2011 p. 2691</w:t>
            </w:r>
            <w:r>
              <w:rPr>
                <w:sz w:val="19"/>
              </w:rPr>
              <w:noBreakHyphen/>
              <w:t>2</w:t>
            </w:r>
          </w:p>
        </w:tc>
        <w:tc>
          <w:tcPr>
            <w:tcW w:w="2693" w:type="dxa"/>
          </w:tcPr>
          <w:p>
            <w:pPr>
              <w:pStyle w:val="nTable"/>
              <w:spacing w:after="40"/>
              <w:rPr>
                <w:snapToGrid w:val="0"/>
                <w:sz w:val="19"/>
              </w:rPr>
            </w:pPr>
            <w:r>
              <w:rPr>
                <w:snapToGrid w:val="0"/>
                <w:sz w:val="19"/>
              </w:rPr>
              <w:t>r. 1 and 2: 30 Jun 2011 (see r. 2(a));</w:t>
            </w:r>
            <w:r>
              <w:rPr>
                <w:snapToGrid w:val="0"/>
                <w:sz w:val="19"/>
              </w:rPr>
              <w:br/>
              <w:t>Regulations other than r. 1 and 2: 1 Jul 2011 (see r. 2(b))</w:t>
            </w:r>
          </w:p>
        </w:tc>
      </w:tr>
      <w:tr>
        <w:trPr>
          <w:cantSplit/>
        </w:trPr>
        <w:tc>
          <w:tcPr>
            <w:tcW w:w="3118" w:type="dxa"/>
            <w:shd w:val="clear" w:color="auto" w:fill="auto"/>
          </w:tcPr>
          <w:p>
            <w:pPr>
              <w:pStyle w:val="nTable"/>
              <w:spacing w:after="40"/>
              <w:ind w:right="170"/>
              <w:rPr>
                <w:i/>
                <w:sz w:val="19"/>
              </w:rPr>
            </w:pPr>
            <w:r>
              <w:rPr>
                <w:i/>
                <w:sz w:val="19"/>
              </w:rPr>
              <w:t>Agriculture and Related Resources Protection (Declared Animals) Amendment Regulations 2012</w:t>
            </w:r>
          </w:p>
        </w:tc>
        <w:tc>
          <w:tcPr>
            <w:tcW w:w="1276" w:type="dxa"/>
            <w:shd w:val="clear" w:color="auto" w:fill="auto"/>
          </w:tcPr>
          <w:p>
            <w:pPr>
              <w:pStyle w:val="nTable"/>
              <w:spacing w:after="40"/>
              <w:rPr>
                <w:sz w:val="19"/>
              </w:rPr>
            </w:pPr>
            <w:r>
              <w:rPr>
                <w:sz w:val="19"/>
              </w:rPr>
              <w:t>19 Jun 2012 p. 2633</w:t>
            </w:r>
          </w:p>
        </w:tc>
        <w:tc>
          <w:tcPr>
            <w:tcW w:w="2693" w:type="dxa"/>
            <w:shd w:val="clear" w:color="auto" w:fill="auto"/>
          </w:tcPr>
          <w:p>
            <w:pPr>
              <w:pStyle w:val="nTable"/>
              <w:spacing w:after="40"/>
              <w:rPr>
                <w:snapToGrid w:val="0"/>
                <w:sz w:val="19"/>
              </w:rPr>
            </w:pPr>
            <w:r>
              <w:rPr>
                <w:snapToGrid w:val="0"/>
                <w:sz w:val="19"/>
              </w:rPr>
              <w:t>r. 1 and 2: 19 Jun 2012 (see r. 2(a));</w:t>
            </w:r>
            <w:r>
              <w:rPr>
                <w:snapToGrid w:val="0"/>
                <w:sz w:val="19"/>
              </w:rPr>
              <w:br/>
              <w:t>Regulations other than r. 1 and 2: 1 Jul 2012 (see r. 2(b))</w:t>
            </w:r>
          </w:p>
        </w:tc>
      </w:tr>
      <w:tr>
        <w:trPr>
          <w:cantSplit/>
        </w:trPr>
        <w:tc>
          <w:tcPr>
            <w:tcW w:w="7087" w:type="dxa"/>
            <w:gridSpan w:val="3"/>
            <w:tcBorders>
              <w:bottom w:val="single" w:sz="8" w:space="0" w:color="auto"/>
            </w:tcBorders>
            <w:shd w:val="clear" w:color="auto" w:fill="auto"/>
          </w:tcPr>
          <w:p>
            <w:pPr>
              <w:pStyle w:val="nTable"/>
              <w:spacing w:after="40"/>
              <w:rPr>
                <w:snapToGrid w:val="0"/>
                <w:spacing w:val="-2"/>
                <w:sz w:val="19"/>
              </w:rPr>
            </w:pPr>
            <w:r>
              <w:rPr>
                <w:b/>
                <w:bCs/>
                <w:sz w:val="19"/>
              </w:rPr>
              <w:t xml:space="preserve">Reprint 3: The </w:t>
            </w:r>
            <w:r>
              <w:rPr>
                <w:b/>
                <w:bCs/>
                <w:i/>
                <w:sz w:val="19"/>
              </w:rPr>
              <w:t>Agriculture and Related Resources Protection (Declared Animals) Regulations 1985</w:t>
            </w:r>
            <w:r>
              <w:rPr>
                <w:b/>
                <w:bCs/>
                <w:sz w:val="19"/>
              </w:rPr>
              <w:t xml:space="preserve"> as at 12 Apr 2013</w:t>
            </w:r>
            <w:r>
              <w:rPr>
                <w:sz w:val="19"/>
              </w:rPr>
              <w:t xml:space="preserve"> (includes amendments listed above)</w:t>
            </w:r>
          </w:p>
        </w:tc>
      </w:tr>
    </w:tbl>
    <w:p>
      <w:pPr>
        <w:pStyle w:val="nSubsection"/>
        <w:spacing w:before="360"/>
        <w:rPr>
          <w:snapToGrid w:val="0"/>
        </w:rPr>
      </w:pPr>
      <w:r>
        <w:rPr>
          <w:snapToGrid w:val="0"/>
          <w:vertAlign w:val="superscript"/>
        </w:rPr>
        <w:t>1a</w:t>
      </w:r>
      <w:r>
        <w:rPr>
          <w:snapToGrid w:val="0"/>
        </w:rPr>
        <w:tab/>
        <w:t>On the date as at which thi</w:t>
      </w:r>
      <w:bookmarkStart w:id="341" w:name="_Hlt507390729"/>
      <w:bookmarkEnd w:id="341"/>
      <w:r>
        <w:rPr>
          <w:snapToGrid w:val="0"/>
        </w:rP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42" w:name="_Toc353435034"/>
      <w:r>
        <w:rPr>
          <w:snapToGrid w:val="0"/>
        </w:rPr>
        <w:t>Provisions that have not come into operation</w:t>
      </w:r>
      <w:bookmarkEnd w:id="34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keepNext/>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keepNext/>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keepNext/>
              <w:spacing w:after="40"/>
              <w:rPr>
                <w:b/>
                <w:sz w:val="19"/>
              </w:rPr>
            </w:pPr>
            <w:r>
              <w:rPr>
                <w:b/>
                <w:sz w:val="19"/>
              </w:rPr>
              <w:t>Commencement</w:t>
            </w:r>
          </w:p>
        </w:tc>
      </w:tr>
      <w:tr>
        <w:tblPrEx>
          <w:tblBorders>
            <w:top w:val="single" w:sz="8" w:space="0" w:color="auto"/>
            <w:bottom w:val="single" w:sz="4" w:space="0" w:color="auto"/>
            <w:insideH w:val="single" w:sz="8" w:space="0" w:color="auto"/>
          </w:tblBorders>
        </w:tblPrEx>
        <w:tc>
          <w:tcPr>
            <w:tcW w:w="3118" w:type="dxa"/>
            <w:tcBorders>
              <w:bottom w:val="single" w:sz="8" w:space="0" w:color="auto"/>
            </w:tcBorders>
            <w:shd w:val="clear" w:color="auto" w:fill="auto"/>
          </w:tcPr>
          <w:p>
            <w:pPr>
              <w:pStyle w:val="nTable"/>
              <w:spacing w:after="40"/>
              <w:rPr>
                <w:sz w:val="19"/>
                <w:szCs w:val="19"/>
                <w:vertAlign w:val="superscript"/>
              </w:rPr>
            </w:pPr>
            <w:r>
              <w:rPr>
                <w:i/>
                <w:noProof/>
                <w:snapToGrid w:val="0"/>
                <w:sz w:val="19"/>
                <w:szCs w:val="19"/>
              </w:rPr>
              <w:t>Biosecurity and Agriculture Management Regulations 2013</w:t>
            </w:r>
            <w:r>
              <w:rPr>
                <w:noProof/>
                <w:snapToGrid w:val="0"/>
                <w:sz w:val="19"/>
                <w:szCs w:val="19"/>
              </w:rPr>
              <w:t xml:space="preserve"> r. 137(c), 138 and 140 </w:t>
            </w:r>
            <w:r>
              <w:rPr>
                <w:noProof/>
                <w:snapToGrid w:val="0"/>
                <w:sz w:val="19"/>
                <w:szCs w:val="19"/>
                <w:vertAlign w:val="superscript"/>
              </w:rPr>
              <w:t>4</w:t>
            </w:r>
          </w:p>
        </w:tc>
        <w:tc>
          <w:tcPr>
            <w:tcW w:w="1276" w:type="dxa"/>
            <w:tcBorders>
              <w:bottom w:val="single" w:sz="8" w:space="0" w:color="auto"/>
            </w:tcBorders>
            <w:shd w:val="clear" w:color="auto" w:fill="auto"/>
          </w:tcPr>
          <w:p>
            <w:pPr>
              <w:pStyle w:val="nTable"/>
              <w:spacing w:after="40"/>
              <w:rPr>
                <w:sz w:val="19"/>
              </w:rPr>
            </w:pPr>
            <w:r>
              <w:rPr>
                <w:sz w:val="19"/>
              </w:rPr>
              <w:t>5 Feb 2013 p. 465</w:t>
            </w:r>
            <w:r>
              <w:rPr>
                <w:sz w:val="19"/>
              </w:rPr>
              <w:noBreakHyphen/>
              <w:t>591</w:t>
            </w:r>
          </w:p>
        </w:tc>
        <w:tc>
          <w:tcPr>
            <w:tcW w:w="2693" w:type="dxa"/>
            <w:tcBorders>
              <w:bottom w:val="single" w:sz="8" w:space="0" w:color="auto"/>
            </w:tcBorders>
            <w:shd w:val="clear" w:color="auto" w:fill="auto"/>
          </w:tcPr>
          <w:p>
            <w:pPr>
              <w:pStyle w:val="nTable"/>
              <w:spacing w:after="40"/>
              <w:rPr>
                <w:sz w:val="19"/>
              </w:rPr>
            </w:pPr>
            <w:r>
              <w:rPr>
                <w:sz w:val="19"/>
              </w:rPr>
              <w:t xml:space="preserve">1 May 2013 (see r. 2(b) and </w:t>
            </w:r>
            <w:r>
              <w:rPr>
                <w:i/>
                <w:sz w:val="19"/>
              </w:rPr>
              <w:t>Gazette</w:t>
            </w:r>
            <w:r>
              <w:rPr>
                <w:sz w:val="19"/>
              </w:rPr>
              <w:t xml:space="preserve"> 5 Feb 2013 p. 823)</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pPr>
      <w:r>
        <w:rPr>
          <w:snapToGrid w:val="0"/>
          <w:vertAlign w:val="superscript"/>
        </w:rPr>
        <w:t>3</w:t>
      </w:r>
      <w:r>
        <w:tab/>
        <w:t xml:space="preserve">Under the </w:t>
      </w:r>
      <w:r>
        <w:rPr>
          <w:i/>
          <w:iCs/>
        </w:rPr>
        <w:t>Public Sector Management Act 1994</w:t>
      </w:r>
      <w:r>
        <w:t xml:space="preserve"> the names of departments may be changed. At the time of this reprint the former Department of Conservation and Land Management is called the Department of Environment and Conservation.</w:t>
      </w:r>
    </w:p>
    <w:p>
      <w:pPr>
        <w:pStyle w:val="nSubsection"/>
        <w:keepNext/>
        <w:ind w:left="480" w:hanging="480"/>
        <w:rPr>
          <w:snapToGrid w:val="0"/>
        </w:rPr>
      </w:pPr>
      <w:r>
        <w:rPr>
          <w:snapToGrid w:val="0"/>
          <w:vertAlign w:val="superscript"/>
        </w:rPr>
        <w:t>4</w:t>
      </w:r>
      <w:r>
        <w:rPr>
          <w:snapToGrid w:val="0"/>
        </w:rPr>
        <w:tab/>
      </w:r>
      <w:r>
        <w:t xml:space="preserve">On the date as at which this reprint was prepared, </w:t>
      </w:r>
      <w:r>
        <w:rPr>
          <w:snapToGrid w:val="0"/>
        </w:rPr>
        <w:t xml:space="preserve">the </w:t>
      </w:r>
      <w:r>
        <w:rPr>
          <w:i/>
          <w:snapToGrid w:val="0"/>
        </w:rPr>
        <w:t xml:space="preserve">Biosecurity and Agriculture Management Regulations 2013 </w:t>
      </w:r>
      <w:r>
        <w:rPr>
          <w:noProof/>
          <w:snapToGrid w:val="0"/>
        </w:rPr>
        <w:t xml:space="preserve">r. 137(c), 138 and 140 </w:t>
      </w:r>
      <w:r>
        <w:rPr>
          <w:snapToGrid w:val="0"/>
        </w:rPr>
        <w:t>had not come into operation.  They read as follows:</w:t>
      </w:r>
    </w:p>
    <w:p>
      <w:pPr>
        <w:pStyle w:val="BlankOpen"/>
      </w:pPr>
    </w:p>
    <w:p>
      <w:pPr>
        <w:pStyle w:val="nzHeading5"/>
      </w:pPr>
      <w:bookmarkStart w:id="343" w:name="_Toc346111048"/>
      <w:r>
        <w:rPr>
          <w:rStyle w:val="CharSectno"/>
        </w:rPr>
        <w:t>137</w:t>
      </w:r>
      <w:r>
        <w:t>.</w:t>
      </w:r>
      <w:r>
        <w:tab/>
        <w:t>Regulations repealed</w:t>
      </w:r>
      <w:bookmarkEnd w:id="343"/>
    </w:p>
    <w:p>
      <w:pPr>
        <w:pStyle w:val="nzSubsection"/>
      </w:pPr>
      <w:r>
        <w:tab/>
      </w:r>
      <w:r>
        <w:tab/>
        <w:t>These regulations are repealed:</w:t>
      </w:r>
    </w:p>
    <w:p>
      <w:pPr>
        <w:pStyle w:val="nzIndenta"/>
      </w:pPr>
      <w:r>
        <w:tab/>
        <w:t>(c)</w:t>
      </w:r>
      <w:r>
        <w:tab/>
      </w:r>
      <w:r>
        <w:rPr>
          <w:i/>
        </w:rPr>
        <w:t>Agriculture and Related Resources Protection (Declared Animals) Regulations 1985</w:t>
      </w:r>
      <w:r>
        <w:t>;</w:t>
      </w:r>
    </w:p>
    <w:p>
      <w:pPr>
        <w:pStyle w:val="nzHeading5"/>
      </w:pPr>
      <w:bookmarkStart w:id="344" w:name="_Toc346111049"/>
      <w:r>
        <w:rPr>
          <w:rStyle w:val="CharSectno"/>
        </w:rPr>
        <w:t>138</w:t>
      </w:r>
      <w:r>
        <w:t>.</w:t>
      </w:r>
      <w:r>
        <w:tab/>
        <w:t>Fees and expenses</w:t>
      </w:r>
      <w:bookmarkEnd w:id="344"/>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nzHeading5"/>
      </w:pPr>
      <w:bookmarkStart w:id="345" w:name="_Toc346111051"/>
      <w:r>
        <w:rPr>
          <w:rStyle w:val="CharSectno"/>
        </w:rPr>
        <w:t>140</w:t>
      </w:r>
      <w:r>
        <w:t>.</w:t>
      </w:r>
      <w:r>
        <w:tab/>
      </w:r>
      <w:r>
        <w:rPr>
          <w:i/>
        </w:rPr>
        <w:t>Agriculture and Related Resources Protection (Declared Animals) Regulations 1985</w:t>
      </w:r>
      <w:bookmarkEnd w:id="345"/>
    </w:p>
    <w:p>
      <w:pPr>
        <w:pStyle w:val="nzSubsection"/>
      </w:pPr>
      <w:r>
        <w:tab/>
        <w:t>(1)</w:t>
      </w:r>
      <w:r>
        <w:tab/>
        <w:t xml:space="preserve">In this regulation — </w:t>
      </w:r>
    </w:p>
    <w:p>
      <w:pPr>
        <w:pStyle w:val="nzDefstart"/>
      </w:pPr>
      <w:r>
        <w:tab/>
      </w:r>
      <w:r>
        <w:rPr>
          <w:rStyle w:val="CharDefText"/>
        </w:rPr>
        <w:t>repealed regulations</w:t>
      </w:r>
      <w:r>
        <w:t xml:space="preserve"> means the </w:t>
      </w:r>
      <w:r>
        <w:rPr>
          <w:i/>
        </w:rPr>
        <w:t>Agriculture and Related Resources Protection (Declared Animals) Regulations 1985</w:t>
      </w:r>
      <w:r>
        <w:t xml:space="preserve"> repealed under regulation 137(c).</w:t>
      </w:r>
    </w:p>
    <w:p>
      <w:pPr>
        <w:pStyle w:val="nzSubsection"/>
      </w:pPr>
      <w:r>
        <w:tab/>
        <w:t>(2)</w:t>
      </w:r>
      <w:r>
        <w:tab/>
        <w:t xml:space="preserve">On and from the commencement day — </w:t>
      </w:r>
    </w:p>
    <w:p>
      <w:pPr>
        <w:pStyle w:val="nzIndenta"/>
      </w:pPr>
      <w:r>
        <w:tab/>
        <w:t>(a)</w:t>
      </w:r>
      <w:r>
        <w:tab/>
        <w:t>any permit issued under regulation 4 or 13 of the repealed regulations and of effect immediately before the commencement day has effect as if it were a permit under these regulations;</w:t>
      </w:r>
    </w:p>
    <w:p>
      <w:pPr>
        <w:pStyle w:val="nzIndenta"/>
      </w:pPr>
      <w:r>
        <w:tab/>
        <w:t>(b)</w:t>
      </w:r>
      <w:r>
        <w:tab/>
        <w:t>any application for the issue, renewal or variation of a permit under the repealed regulations that was lodged but not finally dealt with before the commencement day has effect as if it were an application for the issue, renewal or variation of a permit under these regulations;</w:t>
      </w:r>
    </w:p>
    <w:p>
      <w:pPr>
        <w:pStyle w:val="nzIndenta"/>
      </w:pPr>
      <w:r>
        <w:tab/>
        <w:t>(c)</w:t>
      </w:r>
      <w:r>
        <w:tab/>
        <w:t>any application for permission under regulation 20 of the repealed regulations that was made but not finally dealt with before the commencement day has effect as if it were an application for the issue of a permit under these regulations.</w:t>
      </w:r>
    </w:p>
    <w:p>
      <w:pPr>
        <w:pStyle w:val="BlankClose"/>
      </w:pP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pStyle w:val="nHeading2"/>
        <w:rPr>
          <w:sz w:val="28"/>
        </w:rPr>
      </w:pPr>
      <w:bookmarkStart w:id="346" w:name="_Toc353261991"/>
      <w:bookmarkStart w:id="347" w:name="_Toc353262027"/>
      <w:bookmarkStart w:id="348" w:name="_Toc353435035"/>
      <w:r>
        <w:rPr>
          <w:sz w:val="28"/>
        </w:rPr>
        <w:t>Defined terms</w:t>
      </w:r>
      <w:bookmarkEnd w:id="346"/>
      <w:bookmarkEnd w:id="347"/>
      <w:bookmarkEnd w:id="34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49" w:name="DefinedTerms"/>
      <w:bookmarkEnd w:id="349"/>
      <w:r>
        <w:t>metropolitan area</w:t>
      </w:r>
      <w:r>
        <w:tab/>
        <w:t>2</w:t>
      </w:r>
    </w:p>
    <w:p>
      <w:pPr>
        <w:pStyle w:val="DefinedTerms"/>
      </w:pPr>
      <w:r>
        <w:t>permit</w:t>
      </w:r>
      <w:r>
        <w:tab/>
        <w:t>2</w:t>
      </w:r>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8"/>
              <w:szCs w:val="18"/>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5909"/>
    <w:docVar w:name="WAFER_20151204115909" w:val="RemoveTrackChanges"/>
    <w:docVar w:name="WAFER_20151204115909_GUID" w:val="4bbbd4c0-a7d8-4e66-8d93-f88b7dec80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6579</Words>
  <Characters>42703</Characters>
  <Application>Microsoft Office Word</Application>
  <DocSecurity>0</DocSecurity>
  <Lines>1220</Lines>
  <Paragraphs>746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1985 - 03-a0-01</dc:title>
  <dc:subject/>
  <dc:creator/>
  <cp:keywords/>
  <dc:description/>
  <cp:lastModifiedBy>svcMRProcess</cp:lastModifiedBy>
  <cp:revision>4</cp:revision>
  <cp:lastPrinted>2013-04-23T02:06:00Z</cp:lastPrinted>
  <dcterms:created xsi:type="dcterms:W3CDTF">2015-12-04T16:00:00Z</dcterms:created>
  <dcterms:modified xsi:type="dcterms:W3CDTF">2015-12-04T16:00:00Z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20130412</vt:lpwstr>
  </property>
  <property fmtid="{D5CDD505-2E9C-101B-9397-08002B2CF9AE}" pid="4" name="DocumentType">
    <vt:lpwstr>Reg</vt:lpwstr>
  </property>
  <property fmtid="{D5CDD505-2E9C-101B-9397-08002B2CF9AE}" pid="5" name="OwlsUID">
    <vt:i4>4266</vt:i4>
  </property>
  <property fmtid="{D5CDD505-2E9C-101B-9397-08002B2CF9AE}" pid="6" name="AsAtDate">
    <vt:lpwstr>12 Apr 2013</vt:lpwstr>
  </property>
  <property fmtid="{D5CDD505-2E9C-101B-9397-08002B2CF9AE}" pid="7" name="Suffix">
    <vt:lpwstr>03-a0-01</vt:lpwstr>
  </property>
  <property fmtid="{D5CDD505-2E9C-101B-9397-08002B2CF9AE}" pid="8" name="ThisVersion">
    <vt:lpwstr>02-e0-00</vt:lpwstr>
  </property>
  <property fmtid="{D5CDD505-2E9C-101B-9397-08002B2CF9AE}" pid="9" name="ReprintedAsAt">
    <vt:filetime>2013-04-11T16:00:00Z</vt:filetime>
  </property>
  <property fmtid="{D5CDD505-2E9C-101B-9397-08002B2CF9AE}" pid="10" name="ReprintNo">
    <vt:lpwstr>3</vt:lpwstr>
  </property>
</Properties>
</file>