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Agriculture and Related Resources Protection Act 1976</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Agriculture and Related Resources Protection (Declared Animals) Regulations 1985</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3</w:t>
      </w:r>
      <w:r>
        <w:fldChar w:fldCharType="end"/>
      </w:r>
      <w:r>
        <w:t xml:space="preserve">:  The regulations as at </w:t>
      </w:r>
      <w:r>
        <w:fldChar w:fldCharType="begin"/>
      </w:r>
      <w:r>
        <w:instrText xml:space="preserve"> DOCPROPERTY "ReprintedAsAt" \@ "d MMMM yyyy" </w:instrText>
      </w:r>
      <w:r>
        <w:fldChar w:fldCharType="separate"/>
      </w:r>
      <w:r>
        <w:t>12 April 2013</w:t>
      </w:r>
      <w:r>
        <w:fldChar w:fldCharType="end"/>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9" o:title=""/>
          </v:shape>
          <o:OLEObject Type="Embed" ProgID="Word.Picture.8" ShapeID="_x0000_i1025" DrawAspect="Content" ObjectID="_1644821085"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 April 2013</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_Toc34208342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_Toc34208343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Scientific name</w:t>
      </w:r>
      <w:r>
        <w:tab/>
      </w:r>
      <w:r>
        <w:fldChar w:fldCharType="begin"/>
      </w:r>
      <w:r>
        <w:instrText xml:space="preserve"> PAGEREF _Toc34208344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II — Introduction of category A4 declared animals</w:t>
      </w:r>
    </w:p>
    <w:p>
      <w:pPr>
        <w:pStyle w:val="TOC8"/>
        <w:rPr>
          <w:rFonts w:asciiTheme="minorHAnsi" w:eastAsiaTheme="minorEastAsia" w:hAnsiTheme="minorHAnsi" w:cstheme="minorBidi"/>
          <w:szCs w:val="22"/>
        </w:rPr>
      </w:pPr>
      <w:r>
        <w:t>4</w:t>
      </w:r>
      <w:r>
        <w:rPr>
          <w:snapToGrid w:val="0"/>
        </w:rPr>
        <w:t>.</w:t>
      </w:r>
      <w:r>
        <w:rPr>
          <w:snapToGrid w:val="0"/>
        </w:rPr>
        <w:tab/>
        <w:t>Permit</w:t>
      </w:r>
      <w:r>
        <w:tab/>
      </w:r>
      <w:r>
        <w:fldChar w:fldCharType="begin"/>
      </w:r>
      <w:r>
        <w:instrText xml:space="preserve"> PAGEREF _Toc34208346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Application for permit</w:t>
      </w:r>
      <w:r>
        <w:tab/>
      </w:r>
      <w:r>
        <w:fldChar w:fldCharType="begin"/>
      </w:r>
      <w:r>
        <w:instrText xml:space="preserve"> PAGEREF _Toc34208347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Evidence of security</w:t>
      </w:r>
      <w:r>
        <w:tab/>
      </w:r>
      <w:r>
        <w:fldChar w:fldCharType="begin"/>
      </w:r>
      <w:r>
        <w:instrText xml:space="preserve"> PAGEREF _Toc34208348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Issue of permit</w:t>
      </w:r>
      <w:r>
        <w:tab/>
      </w:r>
      <w:r>
        <w:fldChar w:fldCharType="begin"/>
      </w:r>
      <w:r>
        <w:instrText xml:space="preserve"> PAGEREF _Toc34208349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Animals to be accompanied by copy of a permit</w:t>
      </w:r>
      <w:r>
        <w:tab/>
      </w:r>
      <w:r>
        <w:fldChar w:fldCharType="begin"/>
      </w:r>
      <w:r>
        <w:instrText xml:space="preserve"> PAGEREF _Toc34208350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Notice of arrival</w:t>
      </w:r>
      <w:r>
        <w:tab/>
      </w:r>
      <w:r>
        <w:fldChar w:fldCharType="begin"/>
      </w:r>
      <w:r>
        <w:instrText xml:space="preserve"> PAGEREF _Toc34208351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Clearance certificate or further conditions</w:t>
      </w:r>
      <w:r>
        <w:tab/>
      </w:r>
      <w:r>
        <w:fldChar w:fldCharType="begin"/>
      </w:r>
      <w:r>
        <w:instrText xml:space="preserve"> PAGEREF _Toc34208352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Production of permit, clearance certificate</w:t>
      </w:r>
      <w:r>
        <w:tab/>
      </w:r>
      <w:r>
        <w:fldChar w:fldCharType="begin"/>
      </w:r>
      <w:r>
        <w:instrText xml:space="preserve"> PAGEREF _Toc34208353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Escape of declared animals</w:t>
      </w:r>
      <w:r>
        <w:tab/>
      </w:r>
      <w:r>
        <w:fldChar w:fldCharType="begin"/>
      </w:r>
      <w:r>
        <w:instrText xml:space="preserve"> PAGEREF _Toc34208354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III — Keeping of category A6 declared animals</w:t>
      </w:r>
    </w:p>
    <w:p>
      <w:pPr>
        <w:pStyle w:val="TOC8"/>
        <w:rPr>
          <w:rFonts w:asciiTheme="minorHAnsi" w:eastAsiaTheme="minorEastAsia" w:hAnsiTheme="minorHAnsi" w:cstheme="minorBidi"/>
          <w:szCs w:val="22"/>
        </w:rPr>
      </w:pPr>
      <w:r>
        <w:t>13</w:t>
      </w:r>
      <w:r>
        <w:rPr>
          <w:snapToGrid w:val="0"/>
        </w:rPr>
        <w:t>.</w:t>
      </w:r>
      <w:r>
        <w:rPr>
          <w:snapToGrid w:val="0"/>
        </w:rPr>
        <w:tab/>
        <w:t>Permit</w:t>
      </w:r>
      <w:r>
        <w:tab/>
      </w:r>
      <w:r>
        <w:fldChar w:fldCharType="begin"/>
      </w:r>
      <w:r>
        <w:instrText xml:space="preserve"> PAGEREF _Toc34208356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Application for permit</w:t>
      </w:r>
      <w:r>
        <w:tab/>
      </w:r>
      <w:r>
        <w:fldChar w:fldCharType="begin"/>
      </w:r>
      <w:r>
        <w:instrText xml:space="preserve"> PAGEREF _Toc34208357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Security requirements</w:t>
      </w:r>
      <w:r>
        <w:tab/>
      </w:r>
      <w:r>
        <w:fldChar w:fldCharType="begin"/>
      </w:r>
      <w:r>
        <w:instrText xml:space="preserve"> PAGEREF _Toc34208358 \h </w:instrText>
      </w:r>
      <w:r>
        <w:fldChar w:fldCharType="separate"/>
      </w:r>
      <w:r>
        <w:t>9</w:t>
      </w:r>
      <w:r>
        <w:fldChar w:fldCharType="end"/>
      </w:r>
    </w:p>
    <w:p>
      <w:pPr>
        <w:pStyle w:val="TOC8"/>
        <w:rPr>
          <w:rFonts w:asciiTheme="minorHAnsi" w:eastAsiaTheme="minorEastAsia" w:hAnsiTheme="minorHAnsi" w:cstheme="minorBidi"/>
          <w:szCs w:val="22"/>
        </w:rPr>
      </w:pPr>
      <w:r>
        <w:t>16.</w:t>
      </w:r>
      <w:r>
        <w:tab/>
        <w:t>Issue or renewal of permit</w:t>
      </w:r>
      <w:r>
        <w:tab/>
      </w:r>
      <w:r>
        <w:fldChar w:fldCharType="begin"/>
      </w:r>
      <w:r>
        <w:instrText xml:space="preserve"> PAGEREF _Toc34208359 \h </w:instrText>
      </w:r>
      <w:r>
        <w:fldChar w:fldCharType="separate"/>
      </w:r>
      <w:r>
        <w:t>10</w:t>
      </w:r>
      <w:r>
        <w:fldChar w:fldCharType="end"/>
      </w:r>
    </w:p>
    <w:p>
      <w:pPr>
        <w:pStyle w:val="TOC8"/>
        <w:rPr>
          <w:rFonts w:asciiTheme="minorHAnsi" w:eastAsiaTheme="minorEastAsia" w:hAnsiTheme="minorHAnsi" w:cstheme="minorBidi"/>
          <w:szCs w:val="22"/>
        </w:rPr>
      </w:pPr>
      <w:r>
        <w:t>16A.</w:t>
      </w:r>
      <w:r>
        <w:tab/>
        <w:t>Revocation of permits</w:t>
      </w:r>
      <w:r>
        <w:tab/>
      </w:r>
      <w:r>
        <w:fldChar w:fldCharType="begin"/>
      </w:r>
      <w:r>
        <w:instrText xml:space="preserve"> PAGEREF _Toc34208360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Production of permit</w:t>
      </w:r>
      <w:r>
        <w:tab/>
      </w:r>
      <w:r>
        <w:fldChar w:fldCharType="begin"/>
      </w:r>
      <w:r>
        <w:instrText xml:space="preserve"> PAGEREF _Toc34208361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Notice of death or disposal</w:t>
      </w:r>
      <w:r>
        <w:tab/>
      </w:r>
      <w:r>
        <w:fldChar w:fldCharType="begin"/>
      </w:r>
      <w:r>
        <w:instrText xml:space="preserve"> PAGEREF _Toc34208362 \h </w:instrText>
      </w:r>
      <w:r>
        <w:fldChar w:fldCharType="separate"/>
      </w:r>
      <w:r>
        <w:t>11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Variation of permit</w:t>
      </w:r>
      <w:r>
        <w:tab/>
      </w:r>
      <w:r>
        <w:fldChar w:fldCharType="begin"/>
      </w:r>
      <w:r>
        <w:instrText xml:space="preserve"> PAGEREF _Toc34208363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IV — Scientific or educational purposes</w:t>
      </w:r>
    </w:p>
    <w:p>
      <w:pPr>
        <w:pStyle w:val="TOC8"/>
        <w:rPr>
          <w:rFonts w:asciiTheme="minorHAnsi" w:eastAsiaTheme="minorEastAsia" w:hAnsiTheme="minorHAnsi" w:cstheme="minorBidi"/>
          <w:szCs w:val="22"/>
        </w:rPr>
      </w:pPr>
      <w:r>
        <w:t>20</w:t>
      </w:r>
      <w:r>
        <w:rPr>
          <w:snapToGrid w:val="0"/>
        </w:rPr>
        <w:t>.</w:t>
      </w:r>
      <w:r>
        <w:rPr>
          <w:snapToGrid w:val="0"/>
        </w:rPr>
        <w:tab/>
        <w:t>Application for permission</w:t>
      </w:r>
      <w:r>
        <w:tab/>
      </w:r>
      <w:r>
        <w:fldChar w:fldCharType="begin"/>
      </w:r>
      <w:r>
        <w:instrText xml:space="preserve"> PAGEREF _Toc34208365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Records and returns</w:t>
      </w:r>
      <w:r>
        <w:tab/>
      </w:r>
      <w:r>
        <w:fldChar w:fldCharType="begin"/>
      </w:r>
      <w:r>
        <w:instrText xml:space="preserve"> PAGEREF _Toc34208366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Schedule 1</w:t>
      </w:r>
    </w:p>
    <w:p>
      <w:pPr>
        <w:pStyle w:val="TOC2"/>
        <w:tabs>
          <w:tab w:val="right" w:leader="dot" w:pos="7086"/>
        </w:tabs>
        <w:rPr>
          <w:rFonts w:asciiTheme="minorHAnsi" w:eastAsiaTheme="minorEastAsia" w:hAnsiTheme="minorHAnsi" w:cstheme="minorBidi"/>
          <w:b w:val="0"/>
          <w:sz w:val="22"/>
          <w:szCs w:val="22"/>
        </w:rPr>
      </w:pPr>
      <w:r>
        <w:t>Schedule 1A</w:t>
      </w:r>
    </w:p>
    <w:p>
      <w:pPr>
        <w:pStyle w:val="TOC2"/>
        <w:tabs>
          <w:tab w:val="right" w:leader="dot" w:pos="7086"/>
        </w:tabs>
        <w:rPr>
          <w:rFonts w:asciiTheme="minorHAnsi" w:eastAsiaTheme="minorEastAsia" w:hAnsiTheme="minorHAnsi" w:cstheme="minorBidi"/>
          <w:b w:val="0"/>
          <w:sz w:val="22"/>
          <w:szCs w:val="22"/>
        </w:rPr>
      </w:pPr>
      <w:r>
        <w:t>Case where permit not required for introduction of category A4 declared animals</w:t>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Case where permit not required for keeping of category A6 declared animals</w:t>
      </w:r>
    </w:p>
    <w:p>
      <w:pPr>
        <w:pStyle w:val="TOC2"/>
        <w:tabs>
          <w:tab w:val="right" w:leader="dot" w:pos="7086"/>
        </w:tabs>
        <w:rPr>
          <w:rFonts w:asciiTheme="minorHAnsi" w:eastAsiaTheme="minorEastAsia" w:hAnsiTheme="minorHAnsi" w:cstheme="minorBidi"/>
          <w:b w:val="0"/>
          <w:sz w:val="22"/>
          <w:szCs w:val="22"/>
        </w:rPr>
      </w:pPr>
      <w:r>
        <w:t>Schedule 3 — Category A6 birds that are exempt from permit fees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_Toc34208374 \h </w:instrText>
      </w:r>
      <w:r>
        <w:fldChar w:fldCharType="separate"/>
      </w:r>
      <w:r>
        <w:t>28</w:t>
      </w:r>
      <w:r>
        <w:fldChar w:fldCharType="end"/>
      </w:r>
    </w:p>
    <w:p>
      <w:pPr>
        <w:pStyle w:val="TOC8"/>
        <w:rPr>
          <w:rFonts w:asciiTheme="minorHAnsi" w:eastAsiaTheme="minorEastAsia" w:hAnsiTheme="minorHAnsi" w:cstheme="minorBidi"/>
          <w:szCs w:val="22"/>
        </w:rPr>
      </w:pPr>
      <w:r>
        <w:rPr>
          <w:snapToGrid w:val="0"/>
        </w:rPr>
        <w:t>Provisions that have not come into operation</w:t>
      </w:r>
      <w:r>
        <w:tab/>
      </w:r>
      <w:r>
        <w:fldChar w:fldCharType="begin"/>
      </w:r>
      <w:r>
        <w:instrText xml:space="preserve"> PAGEREF _Toc34208375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7"/>
          <w:headerReference w:type="default" r:id="rId18"/>
          <w:footerReference w:type="even" r:id="rId19"/>
          <w:footerReference w:type="default" r:id="rId20"/>
          <w:footerReference w:type="first" r:id="rId21"/>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w:t>
            </w:r>
            <w:r>
              <w:rPr>
                <w:b/>
                <w:snapToGrid w:val="0"/>
                <w:sz w:val="22"/>
              </w:rPr>
              <w:t xml:space="preserve"> April 2013</w:t>
            </w:r>
            <w:r>
              <w:rPr>
                <w:b/>
                <w:sz w:val="22"/>
              </w:rPr>
              <w:fldChar w:fldCharType="end"/>
            </w:r>
          </w:p>
        </w:tc>
      </w:tr>
    </w:tbl>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600" w:after="400"/>
      </w:pPr>
      <w:r>
        <w:t>Agriculture and Related Resources Protection (Declared Animals) Regulations 1985</w:t>
      </w:r>
    </w:p>
    <w:p>
      <w:pPr>
        <w:pStyle w:val="Heading2"/>
        <w:pageBreakBefore w:val="0"/>
      </w:pPr>
      <w:bookmarkStart w:id="1" w:name="_Toc34208341"/>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34208342"/>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3" w:name="_Toc34208343"/>
      <w:r>
        <w:rPr>
          <w:rStyle w:val="CharSectno"/>
        </w:rPr>
        <w:t>2</w:t>
      </w:r>
      <w:r>
        <w:rPr>
          <w:snapToGrid w:val="0"/>
        </w:rPr>
        <w:t>.</w:t>
      </w:r>
      <w:r>
        <w:rPr>
          <w:snapToGrid w:val="0"/>
        </w:rPr>
        <w:tab/>
        <w:t>Terms used</w:t>
      </w:r>
      <w:bookmarkEnd w:id="3"/>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4" w:name="_Toc34208344"/>
      <w:r>
        <w:rPr>
          <w:rStyle w:val="CharSectno"/>
        </w:rPr>
        <w:t>3</w:t>
      </w:r>
      <w:r>
        <w:rPr>
          <w:snapToGrid w:val="0"/>
        </w:rPr>
        <w:t>.</w:t>
      </w:r>
      <w:r>
        <w:rPr>
          <w:snapToGrid w:val="0"/>
        </w:rPr>
        <w:tab/>
        <w:t>Scientific name</w:t>
      </w:r>
      <w:bookmarkEnd w:id="4"/>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5" w:name="_Toc34208345"/>
      <w:r>
        <w:rPr>
          <w:rStyle w:val="CharPartNo"/>
        </w:rPr>
        <w:t>Part II</w:t>
      </w:r>
      <w:r>
        <w:rPr>
          <w:rStyle w:val="CharDivNo"/>
        </w:rPr>
        <w:t> </w:t>
      </w:r>
      <w:r>
        <w:t>—</w:t>
      </w:r>
      <w:r>
        <w:rPr>
          <w:rStyle w:val="CharDivText"/>
        </w:rPr>
        <w:t> </w:t>
      </w:r>
      <w:r>
        <w:rPr>
          <w:rStyle w:val="CharPartText"/>
        </w:rPr>
        <w:t>Introduction of category A4 declared animals</w:t>
      </w:r>
      <w:bookmarkEnd w:id="5"/>
    </w:p>
    <w:p>
      <w:pPr>
        <w:pStyle w:val="Heading5"/>
        <w:spacing w:before="120"/>
        <w:rPr>
          <w:snapToGrid w:val="0"/>
        </w:rPr>
      </w:pPr>
      <w:bookmarkStart w:id="6" w:name="_Toc34208346"/>
      <w:r>
        <w:rPr>
          <w:rStyle w:val="CharSectno"/>
        </w:rPr>
        <w:t>4</w:t>
      </w:r>
      <w:r>
        <w:rPr>
          <w:snapToGrid w:val="0"/>
        </w:rPr>
        <w:t>.</w:t>
      </w:r>
      <w:r>
        <w:rPr>
          <w:snapToGrid w:val="0"/>
        </w:rPr>
        <w:tab/>
        <w:t>Permit</w:t>
      </w:r>
      <w:bookmarkEnd w:id="6"/>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r>
        <w:t>Director General</w:t>
      </w:r>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r>
        <w:t>Director General</w:t>
      </w:r>
      <w:r>
        <w:rPr>
          <w:snapToGrid w:val="0"/>
        </w:rPr>
        <w:t xml:space="preserve">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r>
        <w:t>Director General</w:t>
      </w:r>
      <w:r>
        <w:rPr>
          <w:snapToGrid w:val="0"/>
        </w:rPr>
        <w:t xml:space="preserve"> and that person shall, not more than 1 month after so bringing those birds into the State or part of the State, as the case may be, submit to the </w:t>
      </w:r>
      <w:r>
        <w:t>Director General</w:t>
      </w:r>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a fine of $2 000</w:t>
      </w:r>
      <w:r>
        <w:rPr>
          <w:snapToGrid w:val="0"/>
        </w:rPr>
        <w:t>.</w:t>
      </w:r>
    </w:p>
    <w:p>
      <w:pPr>
        <w:pStyle w:val="Footnotesection"/>
      </w:pPr>
      <w:r>
        <w:tab/>
        <w:t>[Regulation 4 amended in Gazette 6 Sep 1985 p. 3497; 6 Jun 1986 p. 1929; 4 Mar 1988 p. 703; 7 Dec 2001 p. 6181 (disallowed in Gazette 14 May 2002 p. 2530); 17 Dec 2010 p. 6415-16.]</w:t>
      </w:r>
    </w:p>
    <w:p>
      <w:pPr>
        <w:pStyle w:val="Heading5"/>
        <w:rPr>
          <w:snapToGrid w:val="0"/>
        </w:rPr>
      </w:pPr>
      <w:bookmarkStart w:id="7" w:name="_Toc34208347"/>
      <w:r>
        <w:rPr>
          <w:rStyle w:val="CharSectno"/>
        </w:rPr>
        <w:t>5</w:t>
      </w:r>
      <w:r>
        <w:rPr>
          <w:snapToGrid w:val="0"/>
        </w:rPr>
        <w:t>.</w:t>
      </w:r>
      <w:r>
        <w:rPr>
          <w:snapToGrid w:val="0"/>
        </w:rPr>
        <w:tab/>
        <w:t>Application for permit</w:t>
      </w:r>
      <w:bookmarkEnd w:id="7"/>
    </w:p>
    <w:p>
      <w:pPr>
        <w:pStyle w:val="Subsection"/>
        <w:rPr>
          <w:snapToGrid w:val="0"/>
        </w:rPr>
      </w:pPr>
      <w:r>
        <w:rPr>
          <w:snapToGrid w:val="0"/>
        </w:rPr>
        <w:tab/>
      </w:r>
      <w:r>
        <w:rPr>
          <w:snapToGrid w:val="0"/>
        </w:rPr>
        <w:tab/>
        <w:t xml:space="preserve">An application for the issue of a permit may be made in the form of Form 2 duly competed and lodged with the </w:t>
      </w:r>
      <w:r>
        <w:t>Director General</w:t>
      </w:r>
      <w:r>
        <w:rPr>
          <w:snapToGrid w:val="0"/>
        </w:rPr>
        <w:t xml:space="preserve"> at least 7 days before it is proposed to bring in animals under that permit.</w:t>
      </w:r>
    </w:p>
    <w:p>
      <w:pPr>
        <w:pStyle w:val="Footnotesection"/>
      </w:pPr>
      <w:r>
        <w:tab/>
        <w:t>[Regulation 5 amended in Gazette 17 Dec 2010 p. 6415-16.]</w:t>
      </w:r>
    </w:p>
    <w:p>
      <w:pPr>
        <w:pStyle w:val="Heading5"/>
        <w:rPr>
          <w:snapToGrid w:val="0"/>
        </w:rPr>
      </w:pPr>
      <w:bookmarkStart w:id="8" w:name="_Toc34208348"/>
      <w:r>
        <w:rPr>
          <w:rStyle w:val="CharSectno"/>
        </w:rPr>
        <w:t>6</w:t>
      </w:r>
      <w:r>
        <w:rPr>
          <w:snapToGrid w:val="0"/>
        </w:rPr>
        <w:t>.</w:t>
      </w:r>
      <w:r>
        <w:rPr>
          <w:snapToGrid w:val="0"/>
        </w:rPr>
        <w:tab/>
        <w:t>Evidence of security</w:t>
      </w:r>
      <w:bookmarkEnd w:id="8"/>
    </w:p>
    <w:p>
      <w:pPr>
        <w:pStyle w:val="Subsection"/>
        <w:rPr>
          <w:snapToGrid w:val="0"/>
        </w:rPr>
      </w:pPr>
      <w:r>
        <w:rPr>
          <w:snapToGrid w:val="0"/>
        </w:rPr>
        <w:tab/>
      </w:r>
      <w:r>
        <w:rPr>
          <w:snapToGrid w:val="0"/>
        </w:rPr>
        <w:tab/>
        <w:t xml:space="preserve">The </w:t>
      </w:r>
      <w:r>
        <w:t>Director General</w:t>
      </w:r>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pPr>
      <w:r>
        <w:tab/>
        <w:t>[Regulation 6 amended in Gazette 17 Dec 2010 p. 6415-16.]</w:t>
      </w:r>
    </w:p>
    <w:p>
      <w:pPr>
        <w:pStyle w:val="Heading5"/>
        <w:rPr>
          <w:snapToGrid w:val="0"/>
        </w:rPr>
      </w:pPr>
      <w:bookmarkStart w:id="9" w:name="_Toc34208349"/>
      <w:r>
        <w:rPr>
          <w:rStyle w:val="CharSectno"/>
        </w:rPr>
        <w:t>7</w:t>
      </w:r>
      <w:r>
        <w:rPr>
          <w:snapToGrid w:val="0"/>
        </w:rPr>
        <w:t>.</w:t>
      </w:r>
      <w:r>
        <w:rPr>
          <w:snapToGrid w:val="0"/>
        </w:rPr>
        <w:tab/>
        <w:t>Issue of permit</w:t>
      </w:r>
      <w:bookmarkEnd w:id="9"/>
    </w:p>
    <w:p>
      <w:pPr>
        <w:pStyle w:val="Subsection"/>
        <w:rPr>
          <w:snapToGrid w:val="0"/>
        </w:rPr>
      </w:pPr>
      <w:r>
        <w:rPr>
          <w:snapToGrid w:val="0"/>
        </w:rPr>
        <w:tab/>
      </w:r>
      <w:r>
        <w:rPr>
          <w:snapToGrid w:val="0"/>
        </w:rPr>
        <w:tab/>
        <w:t xml:space="preserve">The </w:t>
      </w:r>
      <w:r>
        <w:t>Director General</w:t>
      </w:r>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to the Director General</w:t>
      </w:r>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pPr>
      <w:r>
        <w:tab/>
        <w:t>[Regulation 7 amended in Gazette 17 Dec 2010 p. 6415-17.]</w:t>
      </w:r>
    </w:p>
    <w:p>
      <w:pPr>
        <w:pStyle w:val="Heading5"/>
        <w:rPr>
          <w:snapToGrid w:val="0"/>
        </w:rPr>
      </w:pPr>
      <w:bookmarkStart w:id="10" w:name="_Toc34208350"/>
      <w:r>
        <w:rPr>
          <w:rStyle w:val="CharSectno"/>
        </w:rPr>
        <w:t>8</w:t>
      </w:r>
      <w:r>
        <w:rPr>
          <w:snapToGrid w:val="0"/>
        </w:rPr>
        <w:t>.</w:t>
      </w:r>
      <w:r>
        <w:rPr>
          <w:snapToGrid w:val="0"/>
        </w:rPr>
        <w:tab/>
        <w:t>Animals to be accompanied by copy of a permit</w:t>
      </w:r>
      <w:bookmarkEnd w:id="10"/>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 xml:space="preserve">Penalty: </w:t>
      </w:r>
      <w:r>
        <w:t>a fine of $2 000</w:t>
      </w:r>
      <w:r>
        <w:rPr>
          <w:snapToGrid w:val="0"/>
        </w:rPr>
        <w:t>.</w:t>
      </w:r>
    </w:p>
    <w:p>
      <w:pPr>
        <w:pStyle w:val="Footnotesection"/>
      </w:pPr>
      <w:r>
        <w:tab/>
        <w:t>[Regulation 8 amended in Gazette 17 Dec 2010 p. 6415.]</w:t>
      </w:r>
    </w:p>
    <w:p>
      <w:pPr>
        <w:pStyle w:val="Heading5"/>
        <w:rPr>
          <w:snapToGrid w:val="0"/>
        </w:rPr>
      </w:pPr>
      <w:bookmarkStart w:id="11" w:name="_Toc34208351"/>
      <w:r>
        <w:rPr>
          <w:rStyle w:val="CharSectno"/>
        </w:rPr>
        <w:t>9</w:t>
      </w:r>
      <w:r>
        <w:rPr>
          <w:snapToGrid w:val="0"/>
        </w:rPr>
        <w:t>.</w:t>
      </w:r>
      <w:r>
        <w:rPr>
          <w:snapToGrid w:val="0"/>
        </w:rPr>
        <w:tab/>
        <w:t>Notice of arrival</w:t>
      </w:r>
      <w:bookmarkEnd w:id="11"/>
    </w:p>
    <w:p>
      <w:pPr>
        <w:pStyle w:val="Subsection"/>
        <w:rPr>
          <w:snapToGrid w:val="0"/>
        </w:rPr>
      </w:pPr>
      <w:r>
        <w:rPr>
          <w:snapToGrid w:val="0"/>
        </w:rPr>
        <w:tab/>
        <w:t>(1)</w:t>
      </w:r>
      <w:r>
        <w:rPr>
          <w:snapToGrid w:val="0"/>
        </w:rPr>
        <w:tab/>
        <w:t xml:space="preserve">Where a person proposes to bring in any animals pursuant to a permit he shall first give the </w:t>
      </w:r>
      <w:r>
        <w:t>Director General</w:t>
      </w:r>
      <w:r>
        <w:rPr>
          <w:snapToGrid w:val="0"/>
        </w:rPr>
        <w:t xml:space="preserve">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r>
        <w:t>Director General</w:t>
      </w:r>
      <w:r>
        <w:rPr>
          <w:snapToGrid w:val="0"/>
        </w:rPr>
        <w:t xml:space="preserve"> to the proposed time of arrival of those animals at the place at which they are to be inspected.</w:t>
      </w:r>
    </w:p>
    <w:p>
      <w:pPr>
        <w:pStyle w:val="Penstart"/>
        <w:rPr>
          <w:snapToGrid w:val="0"/>
        </w:rPr>
      </w:pPr>
      <w:r>
        <w:rPr>
          <w:snapToGrid w:val="0"/>
        </w:rPr>
        <w:tab/>
        <w:t xml:space="preserve">Penalty: </w:t>
      </w:r>
      <w:r>
        <w:t>a fine of $1 000</w:t>
      </w:r>
      <w:r>
        <w:rPr>
          <w:snapToGrid w:val="0"/>
        </w:rPr>
        <w:t>.</w:t>
      </w:r>
    </w:p>
    <w:p>
      <w:pPr>
        <w:pStyle w:val="Subsection"/>
        <w:rPr>
          <w:snapToGrid w:val="0"/>
        </w:rPr>
      </w:pPr>
      <w:r>
        <w:rPr>
          <w:snapToGrid w:val="0"/>
        </w:rPr>
        <w:tab/>
        <w:t>(3)</w:t>
      </w:r>
      <w:r>
        <w:rPr>
          <w:snapToGrid w:val="0"/>
        </w:rPr>
        <w:tab/>
        <w:t xml:space="preserve">The </w:t>
      </w:r>
      <w:r>
        <w:t>Director General</w:t>
      </w:r>
      <w:r>
        <w:rPr>
          <w:snapToGrid w:val="0"/>
        </w:rPr>
        <w:t xml:space="preserve"> shall, when giving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r>
        <w:t>Director General</w:t>
      </w:r>
      <w:r>
        <w:rPr>
          <w:snapToGrid w:val="0"/>
        </w:rPr>
        <w:t xml:space="preserve"> and —</w:t>
      </w:r>
    </w:p>
    <w:p>
      <w:pPr>
        <w:pStyle w:val="Indenta"/>
        <w:rPr>
          <w:snapToGrid w:val="0"/>
        </w:rPr>
      </w:pPr>
      <w:r>
        <w:rPr>
          <w:snapToGrid w:val="0"/>
        </w:rPr>
        <w:tab/>
        <w:t>(a)</w:t>
      </w:r>
      <w:r>
        <w:rPr>
          <w:snapToGrid w:val="0"/>
        </w:rPr>
        <w:tab/>
        <w:t xml:space="preserve">a clearance certificate is issued by the </w:t>
      </w:r>
      <w:r>
        <w:t>Director General</w:t>
      </w:r>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r>
        <w:t>Director General</w:t>
      </w:r>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a fine of $1 000</w:t>
      </w:r>
      <w:r>
        <w:rPr>
          <w:snapToGrid w:val="0"/>
        </w:rPr>
        <w:t>.</w:t>
      </w:r>
    </w:p>
    <w:p>
      <w:pPr>
        <w:pStyle w:val="Footnotesection"/>
      </w:pPr>
      <w:r>
        <w:tab/>
        <w:t>[Regulation 9 amended in Gazette 6 Sep 1985 p. 3497; 17 Dec 2010 p. 6415-16.]</w:t>
      </w:r>
    </w:p>
    <w:p>
      <w:pPr>
        <w:pStyle w:val="Heading5"/>
        <w:rPr>
          <w:snapToGrid w:val="0"/>
        </w:rPr>
      </w:pPr>
      <w:bookmarkStart w:id="12" w:name="_Toc34208352"/>
      <w:r>
        <w:rPr>
          <w:rStyle w:val="CharSectno"/>
        </w:rPr>
        <w:t>10</w:t>
      </w:r>
      <w:r>
        <w:rPr>
          <w:snapToGrid w:val="0"/>
        </w:rPr>
        <w:t>.</w:t>
      </w:r>
      <w:r>
        <w:rPr>
          <w:snapToGrid w:val="0"/>
        </w:rPr>
        <w:tab/>
        <w:t>Clearance certificate or further conditions</w:t>
      </w:r>
      <w:bookmarkEnd w:id="12"/>
    </w:p>
    <w:p>
      <w:pPr>
        <w:pStyle w:val="Subsection"/>
        <w:rPr>
          <w:snapToGrid w:val="0"/>
        </w:rPr>
      </w:pPr>
      <w:r>
        <w:rPr>
          <w:snapToGrid w:val="0"/>
        </w:rPr>
        <w:tab/>
        <w:t>(1)</w:t>
      </w:r>
      <w:r>
        <w:rPr>
          <w:snapToGrid w:val="0"/>
        </w:rPr>
        <w:tab/>
        <w:t xml:space="preserve">Where, upon inspection, the </w:t>
      </w:r>
      <w:r>
        <w:t>Director General</w:t>
      </w:r>
      <w:r>
        <w:rPr>
          <w:snapToGrid w:val="0"/>
        </w:rPr>
        <w:t xml:space="preserve"> finds that declared animals are brought in in accordance with these regulations and a permit, </w:t>
      </w:r>
      <w:r>
        <w:t>the Director General must</w:t>
      </w:r>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r>
        <w:t>Director General</w:t>
      </w:r>
      <w:r>
        <w:rPr>
          <w:snapToGrid w:val="0"/>
        </w:rPr>
        <w:t xml:space="preserve"> finds that declared animals are brought in in some respect contrary to or not in accordance with these regulations or a permit, and </w:t>
      </w:r>
      <w:r>
        <w:t>the Director General considers</w:t>
      </w:r>
      <w:r>
        <w:rPr>
          <w:snapToGrid w:val="0"/>
        </w:rPr>
        <w:t xml:space="preserve"> that the irregularity is such as may be conveniently rectified by the imposition of further conditions, </w:t>
      </w:r>
      <w:r>
        <w:t>the Director General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spacing w:before="80"/>
      </w:pPr>
      <w:r>
        <w:tab/>
        <w:t>[Regulation 10 amended in Gazette 17 Dec 2010 p. 6415-17.]</w:t>
      </w:r>
    </w:p>
    <w:p>
      <w:pPr>
        <w:pStyle w:val="Heading5"/>
        <w:spacing w:before="200"/>
        <w:rPr>
          <w:snapToGrid w:val="0"/>
        </w:rPr>
      </w:pPr>
      <w:bookmarkStart w:id="13" w:name="_Toc34208353"/>
      <w:r>
        <w:rPr>
          <w:rStyle w:val="CharSectno"/>
        </w:rPr>
        <w:t>11</w:t>
      </w:r>
      <w:r>
        <w:rPr>
          <w:snapToGrid w:val="0"/>
        </w:rPr>
        <w:t>.</w:t>
      </w:r>
      <w:r>
        <w:rPr>
          <w:snapToGrid w:val="0"/>
        </w:rPr>
        <w:tab/>
        <w:t>Production of permit, clearance certificate</w:t>
      </w:r>
      <w:bookmarkEnd w:id="13"/>
    </w:p>
    <w:p>
      <w:pPr>
        <w:pStyle w:val="Subsection"/>
        <w:spacing w:before="120"/>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pPr>
      <w:r>
        <w:tab/>
        <w:t>Penalty: a fine of $1 000.</w:t>
      </w:r>
    </w:p>
    <w:p>
      <w:pPr>
        <w:pStyle w:val="Subsection"/>
        <w:spacing w:before="120"/>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Penalty: a fine of $1 000.</w:t>
      </w:r>
    </w:p>
    <w:p>
      <w:pPr>
        <w:pStyle w:val="Footnotesection"/>
        <w:spacing w:before="80"/>
      </w:pPr>
      <w:r>
        <w:tab/>
        <w:t>[Regulation 11 amended in Gazette 6 Sep 1985 p. 3497; 17 Dec 2010 p. 6414.]</w:t>
      </w:r>
    </w:p>
    <w:p>
      <w:pPr>
        <w:pStyle w:val="Heading5"/>
        <w:spacing w:before="200"/>
        <w:rPr>
          <w:snapToGrid w:val="0"/>
        </w:rPr>
      </w:pPr>
      <w:bookmarkStart w:id="14" w:name="_Toc34208354"/>
      <w:r>
        <w:rPr>
          <w:rStyle w:val="CharSectno"/>
        </w:rPr>
        <w:t>12</w:t>
      </w:r>
      <w:r>
        <w:rPr>
          <w:snapToGrid w:val="0"/>
        </w:rPr>
        <w:t>.</w:t>
      </w:r>
      <w:r>
        <w:rPr>
          <w:snapToGrid w:val="0"/>
        </w:rPr>
        <w:tab/>
        <w:t>Escape of declared animals</w:t>
      </w:r>
      <w:bookmarkEnd w:id="14"/>
    </w:p>
    <w:p>
      <w:pPr>
        <w:pStyle w:val="Subsection"/>
        <w:spacing w:before="120"/>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Director General</w:t>
      </w:r>
      <w:r>
        <w:rPr>
          <w:snapToGrid w:val="0"/>
        </w:rPr>
        <w:t xml:space="preserve">, immediately take all reasonable steps to recapture or destroy the animal, and he and the person to whom the permit was issued shall each notify the </w:t>
      </w:r>
      <w:r>
        <w:t>Director General</w:t>
      </w:r>
      <w:r>
        <w:rPr>
          <w:snapToGrid w:val="0"/>
        </w:rPr>
        <w:t xml:space="preserve"> forthwith.</w:t>
      </w:r>
    </w:p>
    <w:p>
      <w:pPr>
        <w:pStyle w:val="Penstart"/>
        <w:rPr>
          <w:snapToGrid w:val="0"/>
        </w:rPr>
      </w:pPr>
      <w:r>
        <w:rPr>
          <w:snapToGrid w:val="0"/>
        </w:rPr>
        <w:tab/>
        <w:t>Penalty:</w:t>
      </w:r>
      <w:r>
        <w:t xml:space="preserve"> a fine of $2 000</w:t>
      </w:r>
      <w:r>
        <w:rPr>
          <w:snapToGrid w:val="0"/>
        </w:rPr>
        <w:t>.</w:t>
      </w:r>
    </w:p>
    <w:p>
      <w:pPr>
        <w:pStyle w:val="Footnotesection"/>
        <w:spacing w:before="80"/>
      </w:pPr>
      <w:r>
        <w:tab/>
        <w:t>[Regulation 12 amended in Gazette 17 Dec 2010 p. 6415-16.]</w:t>
      </w:r>
    </w:p>
    <w:p>
      <w:pPr>
        <w:pStyle w:val="Heading2"/>
      </w:pPr>
      <w:bookmarkStart w:id="15" w:name="_Toc34208355"/>
      <w:r>
        <w:rPr>
          <w:rStyle w:val="CharPartNo"/>
        </w:rPr>
        <w:t>Part III</w:t>
      </w:r>
      <w:r>
        <w:rPr>
          <w:rStyle w:val="CharDivNo"/>
        </w:rPr>
        <w:t> </w:t>
      </w:r>
      <w:r>
        <w:t>—</w:t>
      </w:r>
      <w:r>
        <w:rPr>
          <w:rStyle w:val="CharDivText"/>
        </w:rPr>
        <w:t> </w:t>
      </w:r>
      <w:r>
        <w:rPr>
          <w:rStyle w:val="CharPartText"/>
        </w:rPr>
        <w:t>Keeping of category A6 declared animals</w:t>
      </w:r>
      <w:bookmarkEnd w:id="15"/>
    </w:p>
    <w:p>
      <w:pPr>
        <w:pStyle w:val="Heading5"/>
        <w:rPr>
          <w:snapToGrid w:val="0"/>
        </w:rPr>
      </w:pPr>
      <w:bookmarkStart w:id="16" w:name="_Toc34208356"/>
      <w:r>
        <w:rPr>
          <w:rStyle w:val="CharSectno"/>
        </w:rPr>
        <w:t>13</w:t>
      </w:r>
      <w:r>
        <w:rPr>
          <w:snapToGrid w:val="0"/>
        </w:rPr>
        <w:t>.</w:t>
      </w:r>
      <w:r>
        <w:rPr>
          <w:snapToGrid w:val="0"/>
        </w:rPr>
        <w:tab/>
        <w:t>Permit</w:t>
      </w:r>
      <w:bookmarkEnd w:id="16"/>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Director General</w:t>
      </w:r>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spacing w:before="70"/>
        <w:rPr>
          <w:snapToGrid w:val="0"/>
        </w:rPr>
      </w:pPr>
      <w:r>
        <w:rPr>
          <w:snapToGrid w:val="0"/>
        </w:rPr>
        <w:tab/>
        <w:t>(a)</w:t>
      </w:r>
      <w:r>
        <w:rPr>
          <w:snapToGrid w:val="0"/>
        </w:rPr>
        <w:tab/>
        <w:t>shall be in the form of Form 3;</w:t>
      </w:r>
    </w:p>
    <w:p>
      <w:pPr>
        <w:pStyle w:val="Indenta"/>
        <w:spacing w:before="70"/>
        <w:rPr>
          <w:snapToGrid w:val="0"/>
        </w:rPr>
      </w:pPr>
      <w:r>
        <w:rPr>
          <w:snapToGrid w:val="0"/>
        </w:rPr>
        <w:tab/>
        <w:t>(b)</w:t>
      </w:r>
      <w:r>
        <w:rPr>
          <w:snapToGrid w:val="0"/>
        </w:rPr>
        <w:tab/>
        <w:t>shall relate only to animals kept by the one person and at the one place;</w:t>
      </w:r>
    </w:p>
    <w:p>
      <w:pPr>
        <w:pStyle w:val="Indenta"/>
        <w:spacing w:before="70"/>
        <w:rPr>
          <w:snapToGrid w:val="0"/>
        </w:rPr>
      </w:pPr>
      <w:r>
        <w:rPr>
          <w:snapToGrid w:val="0"/>
        </w:rPr>
        <w:tab/>
        <w:t>(c)</w:t>
      </w:r>
      <w:r>
        <w:rPr>
          <w:snapToGrid w:val="0"/>
        </w:rPr>
        <w:tab/>
        <w:t>shall specify —</w:t>
      </w:r>
    </w:p>
    <w:p>
      <w:pPr>
        <w:pStyle w:val="Indenti"/>
        <w:spacing w:before="70"/>
        <w:rPr>
          <w:snapToGrid w:val="0"/>
        </w:rPr>
      </w:pPr>
      <w:r>
        <w:rPr>
          <w:snapToGrid w:val="0"/>
        </w:rPr>
        <w:tab/>
        <w:t>(i)</w:t>
      </w:r>
      <w:r>
        <w:rPr>
          <w:snapToGrid w:val="0"/>
        </w:rPr>
        <w:tab/>
        <w:t>the full name and address of the person to whom it is issued; and</w:t>
      </w:r>
    </w:p>
    <w:p>
      <w:pPr>
        <w:pStyle w:val="Indenti"/>
        <w:spacing w:before="70"/>
        <w:rPr>
          <w:snapToGrid w:val="0"/>
        </w:rPr>
      </w:pPr>
      <w:r>
        <w:rPr>
          <w:snapToGrid w:val="0"/>
        </w:rPr>
        <w:tab/>
        <w:t>(ii)</w:t>
      </w:r>
      <w:r>
        <w:rPr>
          <w:snapToGrid w:val="0"/>
        </w:rPr>
        <w:tab/>
        <w:t>the date of issue and the date of expiry; and</w:t>
      </w:r>
    </w:p>
    <w:p>
      <w:pPr>
        <w:pStyle w:val="Indenti"/>
        <w:spacing w:before="70"/>
        <w:rPr>
          <w:snapToGrid w:val="0"/>
        </w:rPr>
      </w:pPr>
      <w:r>
        <w:rPr>
          <w:snapToGrid w:val="0"/>
        </w:rPr>
        <w:tab/>
        <w:t>(iii)</w:t>
      </w:r>
      <w:r>
        <w:rPr>
          <w:snapToGrid w:val="0"/>
        </w:rPr>
        <w:tab/>
        <w:t>the full name and address of the owner of any animal to which it applies; and</w:t>
      </w:r>
    </w:p>
    <w:p>
      <w:pPr>
        <w:pStyle w:val="Indenti"/>
        <w:spacing w:before="70"/>
        <w:rPr>
          <w:snapToGrid w:val="0"/>
        </w:rPr>
      </w:pPr>
      <w:r>
        <w:rPr>
          <w:snapToGrid w:val="0"/>
        </w:rPr>
        <w:tab/>
        <w:t>(iv)</w:t>
      </w:r>
      <w:r>
        <w:rPr>
          <w:snapToGrid w:val="0"/>
        </w:rPr>
        <w:tab/>
        <w:t>the description of, and quantity of animals to which it applies; and</w:t>
      </w:r>
    </w:p>
    <w:p>
      <w:pPr>
        <w:pStyle w:val="Indenti"/>
        <w:spacing w:before="70"/>
        <w:rPr>
          <w:snapToGrid w:val="0"/>
        </w:rPr>
      </w:pPr>
      <w:r>
        <w:rPr>
          <w:snapToGrid w:val="0"/>
        </w:rPr>
        <w:tab/>
        <w:t>(v)</w:t>
      </w:r>
      <w:r>
        <w:rPr>
          <w:snapToGrid w:val="0"/>
        </w:rPr>
        <w:tab/>
        <w:t>the place at which the animals shall be kept; and</w:t>
      </w:r>
    </w:p>
    <w:p>
      <w:pPr>
        <w:pStyle w:val="Indenti"/>
        <w:spacing w:before="70"/>
        <w:rPr>
          <w:snapToGrid w:val="0"/>
        </w:rPr>
      </w:pPr>
      <w:r>
        <w:rPr>
          <w:snapToGrid w:val="0"/>
        </w:rPr>
        <w:tab/>
        <w:t>(vi)</w:t>
      </w:r>
      <w:r>
        <w:rPr>
          <w:snapToGrid w:val="0"/>
        </w:rPr>
        <w:tab/>
        <w:t xml:space="preserve">such precautions for the purposes of the Act, as the </w:t>
      </w:r>
      <w:r>
        <w:t>Director General</w:t>
      </w:r>
      <w:r>
        <w:rPr>
          <w:snapToGrid w:val="0"/>
        </w:rPr>
        <w:t xml:space="preserve"> sees fit to require in relation to the animals while they are being kept under the Authority of the permit; and</w:t>
      </w:r>
    </w:p>
    <w:p>
      <w:pPr>
        <w:pStyle w:val="Indenti"/>
        <w:spacing w:before="70"/>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r>
        <w:t>Director General</w:t>
      </w:r>
      <w:r>
        <w:rPr>
          <w:snapToGrid w:val="0"/>
        </w:rPr>
        <w:t xml:space="preserve"> and that person shall, at least once in each month during which such birds are so kept by that person, submit to the </w:t>
      </w:r>
      <w:r>
        <w:t>Director General</w:t>
      </w:r>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a fine of $2 000</w:t>
      </w:r>
      <w:r>
        <w:rPr>
          <w:snapToGrid w:val="0"/>
        </w:rPr>
        <w:t>.</w:t>
      </w:r>
    </w:p>
    <w:p>
      <w:pPr>
        <w:pStyle w:val="Footnotesection"/>
      </w:pPr>
      <w:r>
        <w:tab/>
        <w:t>[Regulation 13 amended in Gazette 6 Sep 1985 p. 3497; 6 Jun 1986 p. 1920; 4 Mar 1988 p. 703; 7 Dec 2001 p. 6181 (disallowed in Gazette 14 May 2002 p. 2530); 28 Jun 2002 p. 3038; 17 Dec 2010 p. 6415-16.]</w:t>
      </w:r>
    </w:p>
    <w:p>
      <w:pPr>
        <w:pStyle w:val="Heading5"/>
        <w:widowControl w:val="0"/>
        <w:spacing w:before="800"/>
        <w:rPr>
          <w:snapToGrid w:val="0"/>
        </w:rPr>
      </w:pPr>
      <w:bookmarkStart w:id="17" w:name="_Toc34208357"/>
      <w:r>
        <w:rPr>
          <w:rStyle w:val="CharSectno"/>
        </w:rPr>
        <w:t>14</w:t>
      </w:r>
      <w:r>
        <w:rPr>
          <w:snapToGrid w:val="0"/>
        </w:rPr>
        <w:t>.</w:t>
      </w:r>
      <w:r>
        <w:rPr>
          <w:snapToGrid w:val="0"/>
        </w:rPr>
        <w:tab/>
        <w:t>Application for permit</w:t>
      </w:r>
      <w:bookmarkEnd w:id="17"/>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r>
        <w:t>Director General</w:t>
      </w:r>
      <w:r>
        <w:rPr>
          <w:snapToGrid w:val="0"/>
        </w:rPr>
        <w:t xml:space="preserve"> at least 7 days before it is proposed to acquire those animals.</w:t>
      </w:r>
    </w:p>
    <w:p>
      <w:pPr>
        <w:pStyle w:val="Subsection"/>
      </w:pPr>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 17 Dec 2010 p. 6415-16.]</w:t>
      </w:r>
    </w:p>
    <w:p>
      <w:pPr>
        <w:pStyle w:val="Heading5"/>
        <w:rPr>
          <w:snapToGrid w:val="0"/>
        </w:rPr>
      </w:pPr>
      <w:bookmarkStart w:id="18" w:name="_Toc34208358"/>
      <w:r>
        <w:rPr>
          <w:rStyle w:val="CharSectno"/>
        </w:rPr>
        <w:t>15</w:t>
      </w:r>
      <w:r>
        <w:rPr>
          <w:snapToGrid w:val="0"/>
        </w:rPr>
        <w:t>.</w:t>
      </w:r>
      <w:r>
        <w:rPr>
          <w:snapToGrid w:val="0"/>
        </w:rPr>
        <w:tab/>
        <w:t>Security requirements</w:t>
      </w:r>
      <w:bookmarkEnd w:id="18"/>
    </w:p>
    <w:p>
      <w:pPr>
        <w:pStyle w:val="Subsection"/>
        <w:rPr>
          <w:snapToGrid w:val="0"/>
        </w:rPr>
      </w:pPr>
      <w:r>
        <w:rPr>
          <w:snapToGrid w:val="0"/>
        </w:rPr>
        <w:tab/>
        <w:t>(1)</w:t>
      </w:r>
      <w:r>
        <w:rPr>
          <w:snapToGrid w:val="0"/>
        </w:rPr>
        <w:tab/>
        <w:t xml:space="preserve">The </w:t>
      </w:r>
      <w:r>
        <w:t>Director General</w:t>
      </w:r>
      <w:r>
        <w:rPr>
          <w:snapToGrid w:val="0"/>
        </w:rPr>
        <w:t xml:space="preserve"> may, before granting a permit under this Part, require the production of evidence to </w:t>
      </w:r>
      <w:r>
        <w:t>the Director General’s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r>
        <w:t>Director General</w:t>
      </w:r>
      <w:r>
        <w:rPr>
          <w:snapToGrid w:val="0"/>
        </w:rPr>
        <w:t xml:space="preserve"> causes the place where an applicant proposes to keep animals under a permit to be inspected, the applicant is liable to pay to the </w:t>
      </w:r>
      <w:r>
        <w:t>Director General</w:t>
      </w:r>
      <w:r>
        <w:rPr>
          <w:snapToGrid w:val="0"/>
        </w:rPr>
        <w:t xml:space="preserve"> in respect of each such inspection a fee of $158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 17 Dec 2010 p. 6415-17; 30 Jun 2011 p. 2691; 19 Jun 2012 p. 2633.]</w:t>
      </w:r>
    </w:p>
    <w:p>
      <w:pPr>
        <w:pStyle w:val="Heading5"/>
      </w:pPr>
      <w:bookmarkStart w:id="19" w:name="_Toc34208359"/>
      <w:r>
        <w:rPr>
          <w:rStyle w:val="CharSectno"/>
        </w:rPr>
        <w:t>16</w:t>
      </w:r>
      <w:r>
        <w:t>.</w:t>
      </w:r>
      <w:r>
        <w:tab/>
        <w:t>Issue or renewal of permit</w:t>
      </w:r>
      <w:bookmarkEnd w:id="19"/>
    </w:p>
    <w:p>
      <w:pPr>
        <w:pStyle w:val="Subsection"/>
      </w:pPr>
      <w:r>
        <w:tab/>
        <w:t>(1)</w:t>
      </w:r>
      <w:r>
        <w:tab/>
        <w:t>The Director General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the Director General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 and</w:t>
      </w:r>
    </w:p>
    <w:p>
      <w:pPr>
        <w:pStyle w:val="Indenta"/>
      </w:pPr>
      <w:r>
        <w:tab/>
        <w:t>(b)</w:t>
      </w:r>
      <w:r>
        <w:tab/>
        <w:t>for a permit to keep birds listed in Schedule 3 — nil; and</w:t>
      </w:r>
    </w:p>
    <w:p>
      <w:pPr>
        <w:pStyle w:val="Indenta"/>
      </w:pPr>
      <w:r>
        <w:tab/>
        <w:t>(c)</w:t>
      </w:r>
      <w:r>
        <w:tab/>
        <w:t>for a permit to keep any other birds — $30 per annum for the period for which the permit is to be issued or renewed; and</w:t>
      </w:r>
    </w:p>
    <w:p>
      <w:pPr>
        <w:pStyle w:val="Indenta"/>
      </w:pPr>
      <w:r>
        <w:tab/>
        <w:t>(d)</w:t>
      </w:r>
      <w:r>
        <w:tab/>
        <w:t>in any other case — $92.50.</w:t>
      </w:r>
    </w:p>
    <w:p>
      <w:pPr>
        <w:pStyle w:val="Footnotesection"/>
      </w:pPr>
      <w:r>
        <w:tab/>
        <w:t>[Regulation 16 inserted in Gazette 28 Jun 2002 p. 3039; amended in Gazette 31 May 2005 p. 2396; 20 May 2008 p. 1934; 26 Jun 2009 p. 2600; 30 Jun 2010 p. 3108; 17 Dec 2010 p. 6415-17; 30 Jun 2011 p. 2692; 19 Jun 2012 p. 2633.]</w:t>
      </w:r>
    </w:p>
    <w:p>
      <w:pPr>
        <w:pStyle w:val="Heading5"/>
      </w:pPr>
      <w:bookmarkStart w:id="20" w:name="_Toc34208360"/>
      <w:r>
        <w:rPr>
          <w:rStyle w:val="CharSectno"/>
        </w:rPr>
        <w:t>16A</w:t>
      </w:r>
      <w:r>
        <w:t>.</w:t>
      </w:r>
      <w:r>
        <w:tab/>
        <w:t>Revocation of permits</w:t>
      </w:r>
      <w:bookmarkEnd w:id="20"/>
    </w:p>
    <w:p>
      <w:pPr>
        <w:pStyle w:val="Subsection"/>
        <w:keepNext/>
      </w:pPr>
      <w:r>
        <w:tab/>
      </w:r>
      <w:r>
        <w:tab/>
        <w:t>The Director General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 amended in Gazette 17 Dec 2010 p. 6415-16.]</w:t>
      </w:r>
    </w:p>
    <w:p>
      <w:pPr>
        <w:pStyle w:val="Heading5"/>
        <w:rPr>
          <w:snapToGrid w:val="0"/>
        </w:rPr>
      </w:pPr>
      <w:bookmarkStart w:id="21" w:name="_Toc34208361"/>
      <w:r>
        <w:rPr>
          <w:rStyle w:val="CharSectno"/>
        </w:rPr>
        <w:t>17</w:t>
      </w:r>
      <w:r>
        <w:rPr>
          <w:snapToGrid w:val="0"/>
        </w:rPr>
        <w:t>.</w:t>
      </w:r>
      <w:r>
        <w:rPr>
          <w:snapToGrid w:val="0"/>
        </w:rPr>
        <w:tab/>
        <w:t>Production of permit</w:t>
      </w:r>
      <w:bookmarkEnd w:id="21"/>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pPr>
      <w:r>
        <w:tab/>
        <w:t>Penalty: a fine of $1 000.</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pPr>
      <w:r>
        <w:tab/>
        <w:t>Penalty: a fine of $1 000.</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Penalty: a fine of $1 000.</w:t>
      </w:r>
    </w:p>
    <w:p>
      <w:pPr>
        <w:pStyle w:val="Footnotesection"/>
      </w:pPr>
      <w:r>
        <w:tab/>
        <w:t>[Regulation 17 amended in Gazette 6 Sep 1985 p. 3497; 17 Dec 2010 p. 6414-15.]</w:t>
      </w:r>
    </w:p>
    <w:p>
      <w:pPr>
        <w:pStyle w:val="Heading5"/>
        <w:rPr>
          <w:snapToGrid w:val="0"/>
        </w:rPr>
      </w:pPr>
      <w:bookmarkStart w:id="22" w:name="_Toc34208362"/>
      <w:r>
        <w:rPr>
          <w:rStyle w:val="CharSectno"/>
        </w:rPr>
        <w:t>18</w:t>
      </w:r>
      <w:r>
        <w:rPr>
          <w:snapToGrid w:val="0"/>
        </w:rPr>
        <w:t>.</w:t>
      </w:r>
      <w:r>
        <w:rPr>
          <w:snapToGrid w:val="0"/>
        </w:rPr>
        <w:tab/>
        <w:t>Notice of death or disposal</w:t>
      </w:r>
      <w:bookmarkEnd w:id="22"/>
    </w:p>
    <w:p>
      <w:pPr>
        <w:pStyle w:val="Subsection"/>
        <w:rPr>
          <w:snapToGrid w:val="0"/>
        </w:rPr>
      </w:pPr>
      <w:r>
        <w:rPr>
          <w:snapToGrid w:val="0"/>
        </w:rPr>
        <w:tab/>
      </w:r>
      <w:r>
        <w:rPr>
          <w:snapToGrid w:val="0"/>
        </w:rPr>
        <w:tab/>
        <w:t xml:space="preserve">A person to whom a permit is issued shall forthwith notify the </w:t>
      </w:r>
      <w:r>
        <w:t>Director General</w:t>
      </w:r>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r>
        <w:t>Director General</w:t>
      </w:r>
      <w:r>
        <w:rPr>
          <w:snapToGrid w:val="0"/>
        </w:rPr>
        <w:t xml:space="preserve"> may reasonably require.</w:t>
      </w:r>
    </w:p>
    <w:p>
      <w:pPr>
        <w:pStyle w:val="Penstart"/>
        <w:rPr>
          <w:snapToGrid w:val="0"/>
        </w:rPr>
      </w:pPr>
      <w:r>
        <w:rPr>
          <w:snapToGrid w:val="0"/>
        </w:rPr>
        <w:tab/>
        <w:t>Penalty:</w:t>
      </w:r>
      <w:r>
        <w:t xml:space="preserve"> a fine of $1 000</w:t>
      </w:r>
      <w:r>
        <w:rPr>
          <w:snapToGrid w:val="0"/>
        </w:rPr>
        <w:t>.</w:t>
      </w:r>
    </w:p>
    <w:p>
      <w:pPr>
        <w:pStyle w:val="Footnotesection"/>
      </w:pPr>
      <w:r>
        <w:tab/>
        <w:t>[Regulation 18 inserted in Gazette 4 Mar 1988 p. 704; amended in Gazette 17 Dec 2010 p. 6415-16.]</w:t>
      </w:r>
    </w:p>
    <w:p>
      <w:pPr>
        <w:pStyle w:val="Heading5"/>
        <w:rPr>
          <w:snapToGrid w:val="0"/>
        </w:rPr>
      </w:pPr>
      <w:bookmarkStart w:id="23" w:name="_Toc34208363"/>
      <w:r>
        <w:rPr>
          <w:rStyle w:val="CharSectno"/>
        </w:rPr>
        <w:t>19</w:t>
      </w:r>
      <w:r>
        <w:rPr>
          <w:snapToGrid w:val="0"/>
        </w:rPr>
        <w:t>.</w:t>
      </w:r>
      <w:r>
        <w:rPr>
          <w:snapToGrid w:val="0"/>
        </w:rPr>
        <w:tab/>
        <w:t>Variation of permit</w:t>
      </w:r>
      <w:bookmarkEnd w:id="23"/>
    </w:p>
    <w:p>
      <w:pPr>
        <w:pStyle w:val="Subsection"/>
        <w:rPr>
          <w:snapToGrid w:val="0"/>
        </w:rPr>
      </w:pPr>
      <w:r>
        <w:rPr>
          <w:snapToGrid w:val="0"/>
        </w:rPr>
        <w:tab/>
        <w:t>(1)</w:t>
      </w:r>
      <w:r>
        <w:rPr>
          <w:snapToGrid w:val="0"/>
        </w:rPr>
        <w:tab/>
        <w:t xml:space="preserve">A person to whom a current permit is issued under regulation 16 may apply to the </w:t>
      </w:r>
      <w:r>
        <w:t>Director General</w:t>
      </w:r>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r>
        <w:t>Director General</w:t>
      </w:r>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pPr>
      <w:r>
        <w:tab/>
        <w:t>[Regulation 19 amended in Gazette 17 Dec 2010 p. 6415-16.]</w:t>
      </w:r>
    </w:p>
    <w:p>
      <w:pPr>
        <w:pStyle w:val="Heading2"/>
      </w:pPr>
      <w:bookmarkStart w:id="24" w:name="_Toc34208364"/>
      <w:r>
        <w:rPr>
          <w:rStyle w:val="CharPartNo"/>
        </w:rPr>
        <w:t>Part IV</w:t>
      </w:r>
      <w:r>
        <w:rPr>
          <w:rStyle w:val="CharDivNo"/>
        </w:rPr>
        <w:t> </w:t>
      </w:r>
      <w:r>
        <w:t>—</w:t>
      </w:r>
      <w:r>
        <w:rPr>
          <w:rStyle w:val="CharDivText"/>
        </w:rPr>
        <w:t> </w:t>
      </w:r>
      <w:r>
        <w:rPr>
          <w:rStyle w:val="CharPartText"/>
        </w:rPr>
        <w:t>Scientific or educational purposes</w:t>
      </w:r>
      <w:bookmarkEnd w:id="24"/>
    </w:p>
    <w:p>
      <w:pPr>
        <w:pStyle w:val="Heading5"/>
        <w:rPr>
          <w:snapToGrid w:val="0"/>
        </w:rPr>
      </w:pPr>
      <w:bookmarkStart w:id="25" w:name="_Toc34208365"/>
      <w:r>
        <w:rPr>
          <w:rStyle w:val="CharSectno"/>
        </w:rPr>
        <w:t>20</w:t>
      </w:r>
      <w:r>
        <w:rPr>
          <w:snapToGrid w:val="0"/>
        </w:rPr>
        <w:t>.</w:t>
      </w:r>
      <w:r>
        <w:rPr>
          <w:snapToGrid w:val="0"/>
        </w:rPr>
        <w:tab/>
        <w:t>Application for permission</w:t>
      </w:r>
      <w:bookmarkEnd w:id="25"/>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r>
        <w:t>Director General</w:t>
      </w:r>
      <w:r>
        <w:rPr>
          <w:snapToGrid w:val="0"/>
        </w:rPr>
        <w:t xml:space="preserve"> may request the applicant to provide such further information as the </w:t>
      </w:r>
      <w:r>
        <w:t>Director General</w:t>
      </w:r>
      <w:r>
        <w:rPr>
          <w:snapToGrid w:val="0"/>
        </w:rPr>
        <w:t xml:space="preserve"> considers relevant to the application.</w:t>
      </w:r>
    </w:p>
    <w:p>
      <w:pPr>
        <w:pStyle w:val="Footnotesection"/>
      </w:pPr>
      <w:r>
        <w:tab/>
        <w:t>[Regulation 20 amended in Gazette 17 Dec 2010 p. 6415-16.]</w:t>
      </w:r>
    </w:p>
    <w:p>
      <w:pPr>
        <w:pStyle w:val="Heading5"/>
        <w:rPr>
          <w:snapToGrid w:val="0"/>
        </w:rPr>
      </w:pPr>
      <w:bookmarkStart w:id="26" w:name="_Toc34208366"/>
      <w:r>
        <w:rPr>
          <w:rStyle w:val="CharSectno"/>
        </w:rPr>
        <w:t>21</w:t>
      </w:r>
      <w:r>
        <w:rPr>
          <w:snapToGrid w:val="0"/>
        </w:rPr>
        <w:t>.</w:t>
      </w:r>
      <w:r>
        <w:rPr>
          <w:snapToGrid w:val="0"/>
        </w:rPr>
        <w:tab/>
        <w:t>Records and returns</w:t>
      </w:r>
      <w:bookmarkEnd w:id="26"/>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r>
        <w:t>Director General</w:t>
      </w:r>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a fine of $2 000</w:t>
      </w:r>
      <w:r>
        <w:rPr>
          <w:snapToGrid w:val="0"/>
        </w:rPr>
        <w:t>.</w:t>
      </w:r>
    </w:p>
    <w:p>
      <w:pPr>
        <w:pStyle w:val="Footnotesection"/>
      </w:pPr>
      <w:r>
        <w:tab/>
        <w:t>[Regulation 21 amended in Gazette 7 Nov 1986 p. 4173; 17 Dec 2010 p. 6415-16.]</w:t>
      </w:r>
    </w:p>
    <w:p>
      <w:pPr>
        <w:pStyle w:val="Ednotesection"/>
      </w:pPr>
      <w:r>
        <w:t>[</w:t>
      </w:r>
      <w:r>
        <w:rPr>
          <w:b/>
          <w:bCs/>
        </w:rPr>
        <w:t>22.</w:t>
      </w:r>
      <w:r>
        <w:tab/>
        <w:t>Omitted under the Reprints Act 1984 s. 7(4)(f).]</w:t>
      </w:r>
    </w:p>
    <w:p>
      <w:pPr>
        <w:sectPr>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pPr>
        <w:pStyle w:val="yScheduleHeading"/>
      </w:pPr>
      <w:bookmarkStart w:id="27" w:name="_Toc34208367"/>
      <w:r>
        <w:rPr>
          <w:rStyle w:val="CharSchNo"/>
        </w:rPr>
        <w:t>Schedule 1</w:t>
      </w:r>
      <w:bookmarkEnd w:id="27"/>
    </w:p>
    <w:p>
      <w:pPr>
        <w:pStyle w:val="yTable"/>
        <w:jc w:val="center"/>
        <w:rPr>
          <w:b/>
        </w:rPr>
      </w:pPr>
      <w:r>
        <w:rPr>
          <w:rStyle w:val="CharSClsNo"/>
          <w:b/>
        </w:rPr>
        <w:t>Form 1</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pPr>
      <w:r>
        <w:rPr>
          <w:rStyle w:val="CharSClsNo"/>
          <w:b/>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rStyle w:val="CharSClsNo"/>
          <w:b/>
        </w:rPr>
        <w:t>Form 3</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w:t>
      </w:r>
      <w:r>
        <w:rPr>
          <w:snapToGrid w:val="0"/>
          <w:vertAlign w:val="superscript"/>
        </w:rPr>
        <w:t> 3</w:t>
      </w:r>
      <w:r>
        <w:rPr>
          <w:snapToGrid w:val="0"/>
        </w:rPr>
        <w:t>. Other declared animals — notify</w:t>
      </w:r>
      <w:r>
        <w:t xml:space="preserve"> Department of Agriculture and Food</w:t>
      </w:r>
      <w:r>
        <w:rPr>
          <w:snapToGrid w:val="0"/>
        </w:rPr>
        <w:t>.</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Footnotesection"/>
      </w:pPr>
      <w:r>
        <w:tab/>
        <w:t>[Form 3 amended in Gazette 17 Dec 2010 p. 6416-17.]</w:t>
      </w:r>
    </w:p>
    <w:p>
      <w:pPr>
        <w:pStyle w:val="yTable"/>
        <w:keepNext/>
        <w:keepLines/>
        <w:pageBreakBefore/>
        <w:jc w:val="center"/>
        <w:rPr>
          <w:b/>
          <w:snapToGrid w:val="0"/>
        </w:rPr>
      </w:pPr>
      <w:r>
        <w:rPr>
          <w:rStyle w:val="CharSClsNo"/>
          <w:b/>
        </w:rPr>
        <w:t>Form 4</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rStyle w:val="CharSClsNo"/>
          <w:b/>
        </w:rPr>
        <w:t>Form 5</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keepNext/>
        <w:keepLines/>
        <w:pageBreakBefore/>
        <w:jc w:val="center"/>
        <w:rPr>
          <w:b/>
          <w:snapToGrid w:val="0"/>
        </w:rPr>
      </w:pPr>
      <w:r>
        <w:rPr>
          <w:rStyle w:val="CharSClsNo"/>
          <w:b/>
        </w:rPr>
        <w:t>Form 6</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yScheduleHeading"/>
      </w:pPr>
      <w:bookmarkStart w:id="28" w:name="_Toc34208368"/>
      <w:r>
        <w:rPr>
          <w:rStyle w:val="CharSchNo"/>
        </w:rPr>
        <w:t>Schedule 1A</w:t>
      </w:r>
      <w:bookmarkEnd w:id="28"/>
    </w:p>
    <w:p>
      <w:pPr>
        <w:pStyle w:val="yShoulderClause"/>
      </w:pPr>
      <w:r>
        <w:t>[Reg. 4(1)]</w:t>
      </w:r>
    </w:p>
    <w:p>
      <w:pPr>
        <w:pStyle w:val="yHeading2"/>
      </w:pPr>
      <w:bookmarkStart w:id="29" w:name="_Toc34208369"/>
      <w:r>
        <w:rPr>
          <w:rStyle w:val="CharSchText"/>
        </w:rPr>
        <w:t>Case where permit not required for introduction of category A4 declared animals</w:t>
      </w:r>
      <w:bookmarkEnd w:id="29"/>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rPr>
                <w:b/>
                <w:snapToGrid w:val="0"/>
              </w:rPr>
            </w:pPr>
            <w:r>
              <w:rPr>
                <w:b/>
                <w:snapToGrid w:val="0"/>
              </w:rPr>
              <w:t>Column 1</w:t>
            </w:r>
          </w:p>
        </w:tc>
        <w:tc>
          <w:tcPr>
            <w:tcW w:w="2888" w:type="dxa"/>
          </w:tcPr>
          <w:p>
            <w:pPr>
              <w:pStyle w:val="yTable"/>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 xml:space="preserve">), other than common grey rabbits </w:t>
            </w:r>
            <w:r>
              <w:rPr>
                <w:rFonts w:ascii="Symbol" w:hAnsi="Symbol"/>
                <w:snapToGrid w:val="0"/>
              </w:rPr>
              <w:t></w:t>
            </w:r>
          </w:p>
          <w:p>
            <w:pPr>
              <w:pStyle w:val="yTable"/>
              <w:tabs>
                <w:tab w:val="left" w:pos="492"/>
                <w:tab w:val="left" w:pos="862"/>
              </w:tabs>
              <w:ind w:left="862" w:right="63" w:hanging="796"/>
              <w:rPr>
                <w:snapToGrid w:val="0"/>
              </w:rPr>
            </w:pPr>
            <w:r>
              <w:rPr>
                <w:snapToGrid w:val="0"/>
              </w:rPr>
              <w:tab/>
              <w:t>(a)</w:t>
            </w:r>
            <w:r>
              <w:rPr>
                <w:snapToGrid w:val="0"/>
              </w:rPr>
              <w:tab/>
            </w:r>
            <w:r>
              <w:rPr>
                <w:snapToGrid w:val="0"/>
                <w:color w:val="000000"/>
              </w:rPr>
              <w:t>kept</w:t>
            </w:r>
            <w:r>
              <w:rPr>
                <w:snapToGrid w:val="0"/>
              </w:rPr>
              <w:t xml:space="preserve"> as household pets, but not more than 2 per household and their progeny, if any, born within the preceding 2 months;</w:t>
            </w:r>
          </w:p>
          <w:p>
            <w:pPr>
              <w:pStyle w:val="yTable"/>
              <w:tabs>
                <w:tab w:val="left" w:pos="492"/>
                <w:tab w:val="left" w:pos="862"/>
              </w:tabs>
              <w:ind w:left="862" w:right="63" w:hanging="796"/>
              <w:rPr>
                <w:snapToGrid w:val="0"/>
              </w:rPr>
            </w:pPr>
            <w:r>
              <w:rPr>
                <w:snapToGrid w:val="0"/>
              </w:rPr>
              <w:tab/>
              <w:t>(b)</w:t>
            </w:r>
            <w:r>
              <w:rPr>
                <w:snapToGrid w:val="0"/>
              </w:rPr>
              <w:tab/>
              <w:t>kept in a pet shop</w:t>
            </w:r>
          </w:p>
          <w:p>
            <w:pPr>
              <w:tabs>
                <w:tab w:val="right" w:pos="1332"/>
                <w:tab w:val="left" w:pos="1462"/>
              </w:tabs>
              <w:spacing w:before="60" w:line="240" w:lineRule="atLeast"/>
              <w:ind w:left="1463" w:right="63" w:hanging="1463"/>
              <w:rPr>
                <w:snapToGrid w:val="0"/>
                <w:sz w:val="22"/>
                <w:szCs w:val="22"/>
              </w:rPr>
            </w:pPr>
            <w:r>
              <w:rPr>
                <w:snapToGrid w:val="0"/>
                <w:sz w:val="22"/>
                <w:szCs w:val="22"/>
              </w:rPr>
              <w:tab/>
              <w:t>(i)</w:t>
            </w:r>
            <w:r>
              <w:rPr>
                <w:snapToGrid w:val="0"/>
                <w:sz w:val="22"/>
                <w:szCs w:val="22"/>
              </w:rPr>
              <w:tab/>
            </w:r>
            <w:r>
              <w:rPr>
                <w:snapToGrid w:val="0"/>
                <w:color w:val="000000"/>
                <w:sz w:val="22"/>
                <w:szCs w:val="22"/>
              </w:rPr>
              <w:t>but</w:t>
            </w:r>
            <w:r>
              <w:rPr>
                <w:snapToGrid w:val="0"/>
                <w:sz w:val="22"/>
                <w:szCs w:val="22"/>
              </w:rPr>
              <w:t xml:space="preserve"> not more than 2 per pet shop and their progeny, if any, born within the preceding 2 months; or</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tabs>
                <w:tab w:val="right" w:pos="1332"/>
                <w:tab w:val="left" w:pos="1462"/>
              </w:tabs>
              <w:spacing w:before="60" w:line="240" w:lineRule="atLeast"/>
              <w:ind w:left="1463" w:right="63" w:hanging="1463"/>
              <w:rPr>
                <w:snapToGrid w:val="0"/>
                <w:sz w:val="22"/>
                <w:szCs w:val="22"/>
              </w:rPr>
            </w:pPr>
            <w:r>
              <w:rPr>
                <w:snapToGrid w:val="0"/>
                <w:sz w:val="22"/>
                <w:szCs w:val="22"/>
              </w:rPr>
              <w:tab/>
              <w:t>(ii)</w:t>
            </w:r>
            <w:r>
              <w:rPr>
                <w:snapToGrid w:val="0"/>
                <w:sz w:val="22"/>
                <w:szCs w:val="22"/>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30" w:name="_Toc34208370"/>
      <w:r>
        <w:rPr>
          <w:rStyle w:val="CharSchNo"/>
        </w:rPr>
        <w:t>Schedule 2</w:t>
      </w:r>
      <w:bookmarkEnd w:id="30"/>
    </w:p>
    <w:p>
      <w:pPr>
        <w:pStyle w:val="yShoulderClause"/>
        <w:rPr>
          <w:snapToGrid w:val="0"/>
        </w:rPr>
      </w:pPr>
      <w:r>
        <w:rPr>
          <w:snapToGrid w:val="0"/>
        </w:rPr>
        <w:t>[Reg. 13(1)]</w:t>
      </w:r>
    </w:p>
    <w:p>
      <w:pPr>
        <w:pStyle w:val="yHeading2"/>
        <w:spacing w:before="120"/>
      </w:pPr>
      <w:bookmarkStart w:id="31" w:name="_Toc34208371"/>
      <w:r>
        <w:rPr>
          <w:rStyle w:val="CharSchText"/>
        </w:rPr>
        <w:t>Case where permit not required for keeping of category A6 declared animals</w:t>
      </w:r>
      <w:bookmarkEnd w:id="31"/>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rPr>
                <w:b/>
              </w:rPr>
            </w:pPr>
            <w:r>
              <w:rPr>
                <w:b/>
              </w:rPr>
              <w:t>Column 1</w:t>
            </w:r>
          </w:p>
        </w:tc>
        <w:tc>
          <w:tcPr>
            <w:tcW w:w="3240" w:type="dxa"/>
          </w:tcPr>
          <w:p>
            <w:pPr>
              <w:pStyle w:val="yTable"/>
              <w:ind w:left="57"/>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Director General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 xml:space="preserve">are domesticated to the extent that they are </w:t>
            </w:r>
            <w:r>
              <w:rPr>
                <w:snapToGrid w:val="0"/>
                <w:color w:val="000000"/>
              </w:rPr>
              <w:t>no</w:t>
            </w:r>
            <w:r>
              <w:t xml:space="preserve"> more likely to escape from an enclosure of the kind usually used for containing domestic goats than are domestic goats.</w:t>
            </w:r>
          </w:p>
        </w:tc>
        <w:tc>
          <w:tcPr>
            <w:tcW w:w="3240" w:type="dxa"/>
            <w:tcMar>
              <w:left w:w="113" w:type="dxa"/>
            </w:tcMar>
          </w:tcPr>
          <w:p>
            <w:pPr>
              <w:pStyle w:val="yTable"/>
            </w:pPr>
          </w:p>
        </w:tc>
      </w:tr>
      <w:tr>
        <w:trPr>
          <w:trHeight w:val="3276"/>
        </w:trP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right" w:pos="1332"/>
                <w:tab w:val="left" w:pos="1462"/>
              </w:tabs>
              <w:spacing w:before="60" w:line="240" w:lineRule="atLeast"/>
              <w:ind w:left="1463" w:right="63" w:hanging="1463"/>
              <w:rPr>
                <w:i/>
              </w:rPr>
            </w:pPr>
            <w:r>
              <w:rPr>
                <w:snapToGrid w:val="0"/>
                <w:color w:val="000000"/>
                <w:sz w:val="22"/>
              </w:rPr>
              <w:tab/>
              <w:t>(i)</w:t>
            </w:r>
            <w:r>
              <w:rPr>
                <w:snapToGrid w:val="0"/>
                <w:color w:val="000000"/>
                <w:sz w:val="22"/>
              </w:rPr>
              <w:tab/>
            </w:r>
            <w:r>
              <w:rPr>
                <w:snapToGrid w:val="0"/>
                <w:color w:val="000000"/>
                <w:sz w:val="22"/>
                <w:szCs w:val="22"/>
              </w:rPr>
              <w:t>but</w:t>
            </w:r>
            <w:r>
              <w:rPr>
                <w:snapToGrid w:val="0"/>
                <w:color w:val="000000"/>
                <w:sz w:val="22"/>
              </w:rPr>
              <w:t xml:space="preserve"> not more than 2 per pet shop and their progeny, if any, born within the preceding 2 months; or</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keepNext/>
              <w:tabs>
                <w:tab w:val="right" w:pos="1332"/>
                <w:tab w:val="left" w:pos="1462"/>
              </w:tabs>
              <w:spacing w:before="60" w:line="240" w:lineRule="atLeast"/>
              <w:ind w:left="1463" w:right="62" w:hanging="1463"/>
              <w:rPr>
                <w:snapToGrid w:val="0"/>
                <w:color w:val="000000"/>
                <w:sz w:val="22"/>
              </w:rPr>
            </w:pPr>
            <w:r>
              <w:rPr>
                <w:snapToGrid w:val="0"/>
                <w:color w:val="000000"/>
                <w:sz w:val="22"/>
              </w:rPr>
              <w:tab/>
              <w:t>(ii)</w:t>
            </w:r>
            <w:r>
              <w:rPr>
                <w:snapToGrid w:val="0"/>
                <w:color w:val="000000"/>
                <w:sz w:val="22"/>
              </w:rPr>
              <w:tab/>
            </w:r>
            <w:r>
              <w:rPr>
                <w:snapToGrid w:val="0"/>
                <w:color w:val="000000"/>
                <w:sz w:val="22"/>
                <w:szCs w:val="22"/>
              </w:rPr>
              <w:t>being</w:t>
            </w:r>
            <w:r>
              <w:rPr>
                <w:snapToGrid w:val="0"/>
                <w:color w:val="000000"/>
                <w:sz w:val="22"/>
              </w:rPr>
              <w:t xml:space="preserve">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 17 Dec 2010 p. 6415</w:t>
      </w:r>
      <w:r>
        <w:noBreakHyphen/>
        <w:t>16.]</w:t>
      </w:r>
    </w:p>
    <w:p>
      <w:pPr>
        <w:pStyle w:val="yScheduleHeading"/>
      </w:pPr>
      <w:bookmarkStart w:id="32" w:name="_Toc34208372"/>
      <w:r>
        <w:rPr>
          <w:rStyle w:val="CharSchNo"/>
        </w:rPr>
        <w:t>Schedule 3</w:t>
      </w:r>
      <w:r>
        <w:t> — </w:t>
      </w:r>
      <w:r>
        <w:rPr>
          <w:rStyle w:val="CharSchText"/>
        </w:rPr>
        <w:t>Category A6 birds that are exempt from permit fees</w:t>
      </w:r>
      <w:bookmarkEnd w:id="32"/>
    </w:p>
    <w:p>
      <w:pPr>
        <w:pStyle w:val="yShoulderClause"/>
      </w:pPr>
      <w:r>
        <w:t>[r. 16]</w:t>
      </w:r>
    </w:p>
    <w:tbl>
      <w:tblPr>
        <w:tblW w:w="0" w:type="auto"/>
        <w:tblInd w:w="108" w:type="dxa"/>
        <w:tblLayout w:type="fixed"/>
        <w:tblLook w:val="0000" w:firstRow="0" w:lastRow="0" w:firstColumn="0" w:lastColumn="0" w:noHBand="0" w:noVBand="0"/>
      </w:tblPr>
      <w:tblGrid>
        <w:gridCol w:w="4536"/>
        <w:gridCol w:w="2552"/>
      </w:tblGrid>
      <w:tr>
        <w:trPr>
          <w:tblHeader/>
        </w:trPr>
        <w:tc>
          <w:tcPr>
            <w:tcW w:w="4536" w:type="dxa"/>
          </w:tcPr>
          <w:p>
            <w:pPr>
              <w:pStyle w:val="yTable"/>
              <w:rPr>
                <w:b/>
              </w:rPr>
            </w:pPr>
            <w:r>
              <w:rPr>
                <w:b/>
              </w:rPr>
              <w:t>Common name</w:t>
            </w:r>
          </w:p>
        </w:tc>
        <w:tc>
          <w:tcPr>
            <w:tcW w:w="2552" w:type="dxa"/>
          </w:tcPr>
          <w:p>
            <w:pPr>
              <w:pStyle w:val="yTable"/>
              <w:rPr>
                <w:b/>
              </w:rPr>
            </w:pPr>
            <w:r>
              <w:rPr>
                <w:b/>
              </w:rPr>
              <w:t>Scientific name</w:t>
            </w:r>
          </w:p>
        </w:tc>
      </w:tr>
      <w:tr>
        <w:tc>
          <w:tcPr>
            <w:tcW w:w="4536" w:type="dxa"/>
          </w:tcPr>
          <w:p>
            <w:pPr>
              <w:pStyle w:val="yTable"/>
            </w:pPr>
            <w:r>
              <w:t>Canary, Yellow</w:t>
            </w:r>
            <w:r>
              <w:noBreakHyphen/>
              <w:t>fronted; Green Singing Finch</w:t>
            </w:r>
          </w:p>
        </w:tc>
        <w:tc>
          <w:tcPr>
            <w:tcW w:w="2552" w:type="dxa"/>
          </w:tcPr>
          <w:p>
            <w:pPr>
              <w:pStyle w:val="yTable"/>
              <w:rPr>
                <w:i/>
              </w:rPr>
            </w:pPr>
            <w:r>
              <w:rPr>
                <w:i/>
              </w:rPr>
              <w:t>Serinus mozambicus</w:t>
            </w:r>
          </w:p>
        </w:tc>
      </w:tr>
      <w:tr>
        <w:tc>
          <w:tcPr>
            <w:tcW w:w="4536" w:type="dxa"/>
          </w:tcPr>
          <w:p>
            <w:pPr>
              <w:pStyle w:val="yTable"/>
            </w:pPr>
            <w:r>
              <w:t>Cockatoo, Sulphur</w:t>
            </w:r>
            <w:r>
              <w:noBreakHyphen/>
              <w:t>crested</w:t>
            </w:r>
          </w:p>
        </w:tc>
        <w:tc>
          <w:tcPr>
            <w:tcW w:w="2552" w:type="dxa"/>
          </w:tcPr>
          <w:p>
            <w:pPr>
              <w:pStyle w:val="yTable"/>
              <w:rPr>
                <w:i/>
              </w:rPr>
            </w:pPr>
            <w:r>
              <w:rPr>
                <w:i/>
              </w:rPr>
              <w:t>Cacatua galerita</w:t>
            </w:r>
          </w:p>
        </w:tc>
      </w:tr>
      <w:tr>
        <w:tc>
          <w:tcPr>
            <w:tcW w:w="4536" w:type="dxa"/>
          </w:tcPr>
          <w:p>
            <w:pPr>
              <w:pStyle w:val="yTable"/>
            </w:pPr>
            <w:r>
              <w:t>Conure, Jandaya</w:t>
            </w:r>
          </w:p>
        </w:tc>
        <w:tc>
          <w:tcPr>
            <w:tcW w:w="2552" w:type="dxa"/>
          </w:tcPr>
          <w:p>
            <w:pPr>
              <w:pStyle w:val="yTable"/>
              <w:rPr>
                <w:i/>
              </w:rPr>
            </w:pPr>
            <w:r>
              <w:rPr>
                <w:i/>
              </w:rPr>
              <w:t>Aratinga jandaya</w:t>
            </w:r>
          </w:p>
        </w:tc>
      </w:tr>
      <w:tr>
        <w:tc>
          <w:tcPr>
            <w:tcW w:w="4536" w:type="dxa"/>
          </w:tcPr>
          <w:p>
            <w:pPr>
              <w:pStyle w:val="yTable"/>
            </w:pPr>
            <w:r>
              <w:t>Conure, Sun</w:t>
            </w:r>
          </w:p>
        </w:tc>
        <w:tc>
          <w:tcPr>
            <w:tcW w:w="2552" w:type="dxa"/>
          </w:tcPr>
          <w:p>
            <w:pPr>
              <w:pStyle w:val="yTable"/>
            </w:pPr>
            <w:r>
              <w:rPr>
                <w:i/>
              </w:rPr>
              <w:t>Aratinga solstitialis</w:t>
            </w:r>
          </w:p>
        </w:tc>
      </w:tr>
      <w:tr>
        <w:tc>
          <w:tcPr>
            <w:tcW w:w="4536" w:type="dxa"/>
          </w:tcPr>
          <w:p>
            <w:pPr>
              <w:pStyle w:val="yTable"/>
            </w:pPr>
            <w:r>
              <w:t>Dove, Collared; Collared Turtle</w:t>
            </w:r>
            <w:r>
              <w:noBreakHyphen/>
              <w:t>dove; Indian Ring Dove; Barbary Dove (fawn or white variations)</w:t>
            </w:r>
          </w:p>
        </w:tc>
        <w:tc>
          <w:tcPr>
            <w:tcW w:w="2552" w:type="dxa"/>
          </w:tcPr>
          <w:p>
            <w:pPr>
              <w:pStyle w:val="yTable"/>
              <w:rPr>
                <w:i/>
              </w:rPr>
            </w:pPr>
            <w:r>
              <w:rPr>
                <w:i/>
              </w:rPr>
              <w:br/>
            </w:r>
            <w:r>
              <w:rPr>
                <w:i/>
              </w:rPr>
              <w:br/>
              <w:t>Streptopelia decaocto</w:t>
            </w:r>
          </w:p>
        </w:tc>
      </w:tr>
      <w:tr>
        <w:tc>
          <w:tcPr>
            <w:tcW w:w="4536" w:type="dxa"/>
          </w:tcPr>
          <w:p>
            <w:pPr>
              <w:pStyle w:val="yTable"/>
            </w:pPr>
            <w:r>
              <w:t xml:space="preserve">Dove, Namaqua; </w:t>
            </w:r>
            <w:smartTag w:uri="urn:schemas-microsoft-com:office:smarttags" w:element="place">
              <w:smartTag w:uri="urn:schemas-microsoft-com:office:smarttags" w:element="PlaceType">
                <w:r>
                  <w:t>Cape</w:t>
                </w:r>
              </w:smartTag>
              <w:r>
                <w:t xml:space="preserve"> </w:t>
              </w:r>
              <w:smartTag w:uri="urn:schemas-microsoft-com:office:smarttags" w:element="PlaceName">
                <w:r>
                  <w:t>Dove</w:t>
                </w:r>
              </w:smartTag>
            </w:smartTag>
          </w:p>
        </w:tc>
        <w:tc>
          <w:tcPr>
            <w:tcW w:w="2552" w:type="dxa"/>
          </w:tcPr>
          <w:p>
            <w:pPr>
              <w:pStyle w:val="yTable"/>
              <w:rPr>
                <w:i/>
              </w:rPr>
            </w:pPr>
            <w:r>
              <w:rPr>
                <w:i/>
              </w:rPr>
              <w:t>Oena capensis</w:t>
            </w:r>
          </w:p>
        </w:tc>
      </w:tr>
      <w:tr>
        <w:tc>
          <w:tcPr>
            <w:tcW w:w="4536" w:type="dxa"/>
          </w:tcPr>
          <w:p>
            <w:pPr>
              <w:pStyle w:val="yTable"/>
            </w:pPr>
            <w:r>
              <w:t>Dove, Ruddy Ground; Talpacoti</w:t>
            </w:r>
          </w:p>
        </w:tc>
        <w:tc>
          <w:tcPr>
            <w:tcW w:w="2552" w:type="dxa"/>
          </w:tcPr>
          <w:p>
            <w:pPr>
              <w:pStyle w:val="yTable"/>
              <w:rPr>
                <w:i/>
              </w:rPr>
            </w:pPr>
            <w:r>
              <w:rPr>
                <w:i/>
              </w:rPr>
              <w:t>Columbina talpacoti</w:t>
            </w:r>
          </w:p>
        </w:tc>
      </w:tr>
      <w:tr>
        <w:tc>
          <w:tcPr>
            <w:tcW w:w="4536" w:type="dxa"/>
          </w:tcPr>
          <w:p>
            <w:pPr>
              <w:pStyle w:val="yTable"/>
            </w:pPr>
            <w:r>
              <w:t xml:space="preserve">Fody, Madagascan Red; </w:t>
            </w:r>
            <w:smartTag w:uri="urn:schemas-microsoft-com:office:smarttags" w:element="country-region">
              <w:smartTag w:uri="urn:schemas-microsoft-com:office:smarttags" w:element="place">
                <w:r>
                  <w:t>Madagascar</w:t>
                </w:r>
              </w:smartTag>
            </w:smartTag>
            <w:r>
              <w:t xml:space="preserve"> Weaver</w:t>
            </w:r>
          </w:p>
        </w:tc>
        <w:tc>
          <w:tcPr>
            <w:tcW w:w="2552" w:type="dxa"/>
          </w:tcPr>
          <w:p>
            <w:pPr>
              <w:pStyle w:val="yTable"/>
              <w:rPr>
                <w:i/>
              </w:rPr>
            </w:pPr>
            <w:r>
              <w:rPr>
                <w:i/>
              </w:rPr>
              <w:t>Foudia madagascariensis</w:t>
            </w:r>
          </w:p>
        </w:tc>
      </w:tr>
      <w:tr>
        <w:tc>
          <w:tcPr>
            <w:tcW w:w="4536" w:type="dxa"/>
          </w:tcPr>
          <w:p>
            <w:pPr>
              <w:pStyle w:val="yTable"/>
            </w:pPr>
            <w:r>
              <w:t>Goose, Egyptian</w:t>
            </w:r>
          </w:p>
        </w:tc>
        <w:tc>
          <w:tcPr>
            <w:tcW w:w="2552" w:type="dxa"/>
          </w:tcPr>
          <w:p>
            <w:pPr>
              <w:pStyle w:val="yTable"/>
              <w:rPr>
                <w:i/>
              </w:rPr>
            </w:pPr>
            <w:r>
              <w:rPr>
                <w:i/>
              </w:rPr>
              <w:t>Alopchen aegyptiacus</w:t>
            </w:r>
          </w:p>
        </w:tc>
      </w:tr>
      <w:tr>
        <w:tc>
          <w:tcPr>
            <w:tcW w:w="4536" w:type="dxa"/>
          </w:tcPr>
          <w:p>
            <w:pPr>
              <w:pStyle w:val="yTable"/>
            </w:pPr>
            <w:r>
              <w:t>Greenfinch; European Greenfinch</w:t>
            </w:r>
          </w:p>
        </w:tc>
        <w:tc>
          <w:tcPr>
            <w:tcW w:w="2552" w:type="dxa"/>
          </w:tcPr>
          <w:p>
            <w:pPr>
              <w:pStyle w:val="yTable"/>
              <w:rPr>
                <w:i/>
              </w:rPr>
            </w:pPr>
            <w:r>
              <w:rPr>
                <w:i/>
              </w:rPr>
              <w:t>Carduelis chloris</w:t>
            </w:r>
          </w:p>
        </w:tc>
      </w:tr>
      <w:tr>
        <w:tc>
          <w:tcPr>
            <w:tcW w:w="4536" w:type="dxa"/>
          </w:tcPr>
          <w:p>
            <w:pPr>
              <w:pStyle w:val="yTable"/>
            </w:pPr>
            <w:r>
              <w:t>Lovebird, Black</w:t>
            </w:r>
            <w:r>
              <w:noBreakHyphen/>
              <w:t>collared</w:t>
            </w:r>
          </w:p>
        </w:tc>
        <w:tc>
          <w:tcPr>
            <w:tcW w:w="2552" w:type="dxa"/>
          </w:tcPr>
          <w:p>
            <w:pPr>
              <w:pStyle w:val="yTable"/>
              <w:rPr>
                <w:i/>
              </w:rPr>
            </w:pPr>
            <w:r>
              <w:rPr>
                <w:i/>
              </w:rPr>
              <w:t>Agapornis swinderniana</w:t>
            </w:r>
          </w:p>
        </w:tc>
      </w:tr>
      <w:tr>
        <w:tc>
          <w:tcPr>
            <w:tcW w:w="4536" w:type="dxa"/>
          </w:tcPr>
          <w:p>
            <w:pPr>
              <w:pStyle w:val="yTable"/>
            </w:pPr>
            <w:r>
              <w:t>Lovebird, Black</w:t>
            </w:r>
            <w:r>
              <w:noBreakHyphen/>
              <w:t>winged; Abyssinian Lovebird</w:t>
            </w:r>
          </w:p>
        </w:tc>
        <w:tc>
          <w:tcPr>
            <w:tcW w:w="2552" w:type="dxa"/>
          </w:tcPr>
          <w:p>
            <w:pPr>
              <w:pStyle w:val="yTable"/>
              <w:rPr>
                <w:i/>
              </w:rPr>
            </w:pPr>
            <w:r>
              <w:rPr>
                <w:i/>
              </w:rPr>
              <w:t>Agapornis taranta</w:t>
            </w:r>
          </w:p>
        </w:tc>
      </w:tr>
      <w:tr>
        <w:tc>
          <w:tcPr>
            <w:tcW w:w="4536" w:type="dxa"/>
          </w:tcPr>
          <w:p>
            <w:pPr>
              <w:pStyle w:val="yTable"/>
            </w:pPr>
            <w:r>
              <w:t>Lovebird, Fischer’s</w:t>
            </w:r>
          </w:p>
        </w:tc>
        <w:tc>
          <w:tcPr>
            <w:tcW w:w="2552" w:type="dxa"/>
          </w:tcPr>
          <w:p>
            <w:pPr>
              <w:pStyle w:val="yTable"/>
              <w:rPr>
                <w:i/>
              </w:rPr>
            </w:pPr>
            <w:r>
              <w:rPr>
                <w:i/>
              </w:rPr>
              <w:t>Agapornis fischeri</w:t>
            </w:r>
          </w:p>
        </w:tc>
      </w:tr>
      <w:tr>
        <w:tc>
          <w:tcPr>
            <w:tcW w:w="4536" w:type="dxa"/>
          </w:tcPr>
          <w:p>
            <w:pPr>
              <w:pStyle w:val="yTable"/>
            </w:pPr>
            <w:r>
              <w:t>Lovebird, Grey</w:t>
            </w:r>
            <w:r>
              <w:noBreakHyphen/>
              <w:t xml:space="preserve">headed; </w:t>
            </w:r>
            <w:smartTag w:uri="urn:schemas-microsoft-com:office:smarttags" w:element="country-region">
              <w:smartTag w:uri="urn:schemas-microsoft-com:office:smarttags" w:element="place">
                <w:r>
                  <w:t>Madagascar</w:t>
                </w:r>
              </w:smartTag>
            </w:smartTag>
            <w:r>
              <w:t xml:space="preserve"> Lovebird</w:t>
            </w:r>
          </w:p>
        </w:tc>
        <w:tc>
          <w:tcPr>
            <w:tcW w:w="2552" w:type="dxa"/>
          </w:tcPr>
          <w:p>
            <w:pPr>
              <w:pStyle w:val="yTable"/>
              <w:rPr>
                <w:i/>
              </w:rPr>
            </w:pPr>
            <w:r>
              <w:rPr>
                <w:i/>
              </w:rPr>
              <w:t>Agapornis cana</w:t>
            </w:r>
          </w:p>
        </w:tc>
      </w:tr>
      <w:tr>
        <w:tc>
          <w:tcPr>
            <w:tcW w:w="4536" w:type="dxa"/>
          </w:tcPr>
          <w:p>
            <w:pPr>
              <w:pStyle w:val="yTable"/>
            </w:pPr>
            <w:r>
              <w:t>Lovebird, Masked</w:t>
            </w:r>
          </w:p>
        </w:tc>
        <w:tc>
          <w:tcPr>
            <w:tcW w:w="2552" w:type="dxa"/>
          </w:tcPr>
          <w:p>
            <w:pPr>
              <w:pStyle w:val="yTable"/>
              <w:rPr>
                <w:i/>
              </w:rPr>
            </w:pPr>
            <w:r>
              <w:rPr>
                <w:i/>
              </w:rPr>
              <w:t>Agapornis personata</w:t>
            </w:r>
          </w:p>
        </w:tc>
      </w:tr>
      <w:tr>
        <w:tc>
          <w:tcPr>
            <w:tcW w:w="4536" w:type="dxa"/>
          </w:tcPr>
          <w:p>
            <w:pPr>
              <w:pStyle w:val="yTable"/>
            </w:pPr>
            <w:r>
              <w:t>Lovebird, Nyasa</w:t>
            </w:r>
          </w:p>
        </w:tc>
        <w:tc>
          <w:tcPr>
            <w:tcW w:w="2552" w:type="dxa"/>
          </w:tcPr>
          <w:p>
            <w:pPr>
              <w:pStyle w:val="yTable"/>
              <w:rPr>
                <w:i/>
              </w:rPr>
            </w:pPr>
            <w:r>
              <w:rPr>
                <w:i/>
              </w:rPr>
              <w:t>Agapornis lilianae</w:t>
            </w:r>
          </w:p>
        </w:tc>
      </w:tr>
      <w:tr>
        <w:tc>
          <w:tcPr>
            <w:tcW w:w="4536" w:type="dxa"/>
          </w:tcPr>
          <w:p>
            <w:pPr>
              <w:pStyle w:val="yTable"/>
            </w:pPr>
            <w:r>
              <w:t>Lovebird, Peach</w:t>
            </w:r>
            <w:r>
              <w:noBreakHyphen/>
              <w:t>faced</w:t>
            </w:r>
          </w:p>
        </w:tc>
        <w:tc>
          <w:tcPr>
            <w:tcW w:w="2552" w:type="dxa"/>
          </w:tcPr>
          <w:p>
            <w:pPr>
              <w:pStyle w:val="yTable"/>
              <w:rPr>
                <w:i/>
              </w:rPr>
            </w:pPr>
            <w:r>
              <w:rPr>
                <w:i/>
              </w:rPr>
              <w:t>Agapornis roseicollis</w:t>
            </w:r>
          </w:p>
        </w:tc>
      </w:tr>
      <w:tr>
        <w:tc>
          <w:tcPr>
            <w:tcW w:w="4536" w:type="dxa"/>
          </w:tcPr>
          <w:p>
            <w:pPr>
              <w:pStyle w:val="yTable"/>
            </w:pPr>
            <w:r>
              <w:t>Lovebird, Red</w:t>
            </w:r>
            <w:r>
              <w:noBreakHyphen/>
              <w:t>faced</w:t>
            </w:r>
          </w:p>
        </w:tc>
        <w:tc>
          <w:tcPr>
            <w:tcW w:w="2552" w:type="dxa"/>
          </w:tcPr>
          <w:p>
            <w:pPr>
              <w:pStyle w:val="yTable"/>
              <w:rPr>
                <w:i/>
              </w:rPr>
            </w:pPr>
            <w:r>
              <w:rPr>
                <w:i/>
              </w:rPr>
              <w:t>Agapornis pullaria</w:t>
            </w:r>
          </w:p>
        </w:tc>
      </w:tr>
      <w:tr>
        <w:tc>
          <w:tcPr>
            <w:tcW w:w="4536" w:type="dxa"/>
          </w:tcPr>
          <w:p>
            <w:pPr>
              <w:pStyle w:val="yTable"/>
            </w:pPr>
            <w:r>
              <w:t>Mannikin, Bronze</w:t>
            </w:r>
            <w:r>
              <w:noBreakHyphen/>
              <w:t>winged; Bronze Mannikin; Hooded Weaver</w:t>
            </w:r>
          </w:p>
        </w:tc>
        <w:tc>
          <w:tcPr>
            <w:tcW w:w="2552" w:type="dxa"/>
          </w:tcPr>
          <w:p>
            <w:pPr>
              <w:pStyle w:val="yTable"/>
              <w:rPr>
                <w:i/>
              </w:rPr>
            </w:pPr>
            <w:r>
              <w:rPr>
                <w:i/>
              </w:rPr>
              <w:br/>
              <w:t>Lonchura cucullata</w:t>
            </w:r>
          </w:p>
        </w:tc>
      </w:tr>
      <w:tr>
        <w:tc>
          <w:tcPr>
            <w:tcW w:w="4536" w:type="dxa"/>
          </w:tcPr>
          <w:p>
            <w:pPr>
              <w:pStyle w:val="yTable"/>
            </w:pPr>
            <w:r>
              <w:t>Mannikin, Chestnut; Tri</w:t>
            </w:r>
            <w:r>
              <w:noBreakHyphen/>
              <w:t>coloured Mannikin; Black</w:t>
            </w:r>
            <w:r>
              <w:noBreakHyphen/>
              <w:t>headed Munia; Black</w:t>
            </w:r>
            <w:r>
              <w:noBreakHyphen/>
              <w:t>headed Nun</w:t>
            </w:r>
          </w:p>
        </w:tc>
        <w:tc>
          <w:tcPr>
            <w:tcW w:w="2552" w:type="dxa"/>
          </w:tcPr>
          <w:p>
            <w:pPr>
              <w:pStyle w:val="yTable"/>
              <w:rPr>
                <w:i/>
              </w:rPr>
            </w:pPr>
            <w:r>
              <w:rPr>
                <w:i/>
              </w:rPr>
              <w:br/>
              <w:t>Lonchura malacca</w:t>
            </w:r>
          </w:p>
        </w:tc>
      </w:tr>
      <w:tr>
        <w:tc>
          <w:tcPr>
            <w:tcW w:w="4536" w:type="dxa"/>
          </w:tcPr>
          <w:p>
            <w:pPr>
              <w:pStyle w:val="yTable"/>
            </w:pPr>
            <w:r>
              <w:t>Mannikin, Nutmeg; Spice Finch; Spotted Munia; Scaly</w:t>
            </w:r>
            <w:r>
              <w:noBreakHyphen/>
              <w:t>breasted Munia</w:t>
            </w:r>
          </w:p>
        </w:tc>
        <w:tc>
          <w:tcPr>
            <w:tcW w:w="2552" w:type="dxa"/>
          </w:tcPr>
          <w:p>
            <w:pPr>
              <w:pStyle w:val="yTable"/>
              <w:rPr>
                <w:i/>
              </w:rPr>
            </w:pPr>
            <w:r>
              <w:rPr>
                <w:i/>
              </w:rPr>
              <w:br/>
              <w:t>Lonchura punctulata</w:t>
            </w:r>
          </w:p>
        </w:tc>
      </w:tr>
      <w:tr>
        <w:tc>
          <w:tcPr>
            <w:tcW w:w="4536" w:type="dxa"/>
          </w:tcPr>
          <w:p>
            <w:pPr>
              <w:pStyle w:val="yTable"/>
            </w:pPr>
            <w:r>
              <w:t>Munia, White</w:t>
            </w:r>
            <w:r>
              <w:noBreakHyphen/>
              <w:t>headed</w:t>
            </w:r>
          </w:p>
        </w:tc>
        <w:tc>
          <w:tcPr>
            <w:tcW w:w="2552" w:type="dxa"/>
          </w:tcPr>
          <w:p>
            <w:pPr>
              <w:pStyle w:val="yTable"/>
              <w:rPr>
                <w:i/>
              </w:rPr>
            </w:pPr>
            <w:r>
              <w:rPr>
                <w:i/>
              </w:rPr>
              <w:t>Lonchura maja</w:t>
            </w:r>
          </w:p>
        </w:tc>
      </w:tr>
      <w:tr>
        <w:tc>
          <w:tcPr>
            <w:tcW w:w="4536" w:type="dxa"/>
          </w:tcPr>
          <w:p>
            <w:pPr>
              <w:pStyle w:val="yTable"/>
            </w:pPr>
            <w:r>
              <w:t>Munia, White</w:t>
            </w:r>
            <w:r>
              <w:noBreakHyphen/>
              <w:t>rumped; Bengalese Mannikin</w:t>
            </w:r>
          </w:p>
        </w:tc>
        <w:tc>
          <w:tcPr>
            <w:tcW w:w="2552" w:type="dxa"/>
          </w:tcPr>
          <w:p>
            <w:pPr>
              <w:pStyle w:val="yTable"/>
              <w:rPr>
                <w:i/>
              </w:rPr>
            </w:pPr>
            <w:r>
              <w:rPr>
                <w:i/>
              </w:rPr>
              <w:t>Lonchura striata</w:t>
            </w:r>
          </w:p>
        </w:tc>
      </w:tr>
      <w:tr>
        <w:tc>
          <w:tcPr>
            <w:tcW w:w="4536" w:type="dxa"/>
          </w:tcPr>
          <w:p>
            <w:pPr>
              <w:pStyle w:val="yTable"/>
            </w:pPr>
            <w:r>
              <w:t>Parakeet, Alexandrine</w:t>
            </w:r>
          </w:p>
        </w:tc>
        <w:tc>
          <w:tcPr>
            <w:tcW w:w="2552" w:type="dxa"/>
          </w:tcPr>
          <w:p>
            <w:pPr>
              <w:pStyle w:val="yTable"/>
              <w:rPr>
                <w:i/>
              </w:rPr>
            </w:pPr>
            <w:r>
              <w:rPr>
                <w:i/>
              </w:rPr>
              <w:t>Psittacula eupatria</w:t>
            </w:r>
          </w:p>
        </w:tc>
      </w:tr>
      <w:tr>
        <w:tc>
          <w:tcPr>
            <w:tcW w:w="4536" w:type="dxa"/>
          </w:tcPr>
          <w:p>
            <w:pPr>
              <w:pStyle w:val="yTable"/>
            </w:pPr>
            <w:r>
              <w:t>Parakeet, Plum</w:t>
            </w:r>
            <w:r>
              <w:noBreakHyphen/>
              <w:t>headed</w:t>
            </w:r>
          </w:p>
        </w:tc>
        <w:tc>
          <w:tcPr>
            <w:tcW w:w="2552" w:type="dxa"/>
          </w:tcPr>
          <w:p>
            <w:pPr>
              <w:pStyle w:val="yTable"/>
              <w:rPr>
                <w:i/>
              </w:rPr>
            </w:pPr>
            <w:r>
              <w:rPr>
                <w:i/>
              </w:rPr>
              <w:t>Psittacula cyanocephala</w:t>
            </w:r>
          </w:p>
        </w:tc>
      </w:tr>
      <w:tr>
        <w:tc>
          <w:tcPr>
            <w:tcW w:w="4536" w:type="dxa"/>
          </w:tcPr>
          <w:p>
            <w:pPr>
              <w:pStyle w:val="yTable"/>
            </w:pPr>
            <w:r>
              <w:t>Parakeet, Red</w:t>
            </w:r>
            <w:r>
              <w:noBreakHyphen/>
              <w:t>fronted; Red</w:t>
            </w:r>
            <w:r>
              <w:noBreakHyphen/>
              <w:t>fronted Kakariki</w:t>
            </w:r>
          </w:p>
        </w:tc>
        <w:tc>
          <w:tcPr>
            <w:tcW w:w="2552" w:type="dxa"/>
          </w:tcPr>
          <w:p>
            <w:pPr>
              <w:pStyle w:val="yTable"/>
              <w:rPr>
                <w:i/>
              </w:rPr>
            </w:pPr>
            <w:r>
              <w:rPr>
                <w:i/>
              </w:rPr>
              <w:t>Cyanoramphus novaezelandiae</w:t>
            </w:r>
          </w:p>
        </w:tc>
      </w:tr>
      <w:tr>
        <w:tc>
          <w:tcPr>
            <w:tcW w:w="4536" w:type="dxa"/>
          </w:tcPr>
          <w:p>
            <w:pPr>
              <w:pStyle w:val="yTable"/>
            </w:pPr>
            <w:r>
              <w:t>Parakeet, Rose</w:t>
            </w:r>
            <w:r>
              <w:noBreakHyphen/>
              <w:t>ringed; Indian or African Ringneck Parrot or Parakeet</w:t>
            </w:r>
          </w:p>
        </w:tc>
        <w:tc>
          <w:tcPr>
            <w:tcW w:w="2552" w:type="dxa"/>
          </w:tcPr>
          <w:p>
            <w:pPr>
              <w:pStyle w:val="yTable"/>
              <w:rPr>
                <w:i/>
              </w:rPr>
            </w:pPr>
            <w:r>
              <w:rPr>
                <w:i/>
              </w:rPr>
              <w:br/>
              <w:t>Psittacula krameri</w:t>
            </w:r>
          </w:p>
        </w:tc>
      </w:tr>
      <w:tr>
        <w:tc>
          <w:tcPr>
            <w:tcW w:w="4536" w:type="dxa"/>
          </w:tcPr>
          <w:p>
            <w:pPr>
              <w:pStyle w:val="yTable"/>
            </w:pPr>
            <w:r>
              <w:t>Parakeet, Yellow</w:t>
            </w:r>
            <w:r>
              <w:noBreakHyphen/>
              <w:t>fronted; Yellow</w:t>
            </w:r>
            <w:r>
              <w:noBreakHyphen/>
              <w:t>fronted Kakariki</w:t>
            </w:r>
          </w:p>
        </w:tc>
        <w:tc>
          <w:tcPr>
            <w:tcW w:w="2552" w:type="dxa"/>
          </w:tcPr>
          <w:p>
            <w:pPr>
              <w:pStyle w:val="yTable"/>
              <w:rPr>
                <w:i/>
              </w:rPr>
            </w:pPr>
            <w:r>
              <w:rPr>
                <w:i/>
              </w:rPr>
              <w:br/>
              <w:t>Cyanoramphus auriceps</w:t>
            </w:r>
          </w:p>
        </w:tc>
      </w:tr>
      <w:tr>
        <w:tc>
          <w:tcPr>
            <w:tcW w:w="4536" w:type="dxa"/>
          </w:tcPr>
          <w:p>
            <w:pPr>
              <w:pStyle w:val="yTable"/>
            </w:pPr>
            <w:r>
              <w:t>Parrot, Meyer’s; Brown Parrot</w:t>
            </w:r>
          </w:p>
        </w:tc>
        <w:tc>
          <w:tcPr>
            <w:tcW w:w="2552" w:type="dxa"/>
          </w:tcPr>
          <w:p>
            <w:pPr>
              <w:pStyle w:val="yTable"/>
              <w:rPr>
                <w:i/>
              </w:rPr>
            </w:pPr>
            <w:r>
              <w:rPr>
                <w:i/>
              </w:rPr>
              <w:t>Poicephalus meyeri</w:t>
            </w:r>
          </w:p>
        </w:tc>
      </w:tr>
      <w:tr>
        <w:tc>
          <w:tcPr>
            <w:tcW w:w="4536" w:type="dxa"/>
          </w:tcPr>
          <w:p>
            <w:pPr>
              <w:pStyle w:val="yTable"/>
            </w:pPr>
            <w:r>
              <w:t>Partridge, Chukar; Chukor or Chukka Partridge</w:t>
            </w:r>
          </w:p>
        </w:tc>
        <w:tc>
          <w:tcPr>
            <w:tcW w:w="2552" w:type="dxa"/>
          </w:tcPr>
          <w:p>
            <w:pPr>
              <w:pStyle w:val="yTable"/>
              <w:rPr>
                <w:i/>
              </w:rPr>
            </w:pPr>
            <w:r>
              <w:rPr>
                <w:i/>
              </w:rPr>
              <w:t>Alectoris chukar</w:t>
            </w:r>
          </w:p>
        </w:tc>
      </w:tr>
      <w:tr>
        <w:tc>
          <w:tcPr>
            <w:tcW w:w="4536" w:type="dxa"/>
          </w:tcPr>
          <w:p>
            <w:pPr>
              <w:pStyle w:val="yTable"/>
            </w:pPr>
            <w:r>
              <w:t>Pheasant, Ring</w:t>
            </w:r>
            <w:r>
              <w:noBreakHyphen/>
              <w:t>necked</w:t>
            </w:r>
          </w:p>
        </w:tc>
        <w:tc>
          <w:tcPr>
            <w:tcW w:w="2552" w:type="dxa"/>
          </w:tcPr>
          <w:p>
            <w:pPr>
              <w:pStyle w:val="yTable"/>
              <w:rPr>
                <w:i/>
              </w:rPr>
            </w:pPr>
            <w:r>
              <w:rPr>
                <w:i/>
              </w:rPr>
              <w:t>Phasianus colchicus</w:t>
            </w:r>
          </w:p>
        </w:tc>
      </w:tr>
      <w:tr>
        <w:tc>
          <w:tcPr>
            <w:tcW w:w="4536" w:type="dxa"/>
          </w:tcPr>
          <w:p>
            <w:pPr>
              <w:pStyle w:val="yTable"/>
            </w:pPr>
            <w:r>
              <w:t>Pheasant, Silver</w:t>
            </w:r>
          </w:p>
        </w:tc>
        <w:tc>
          <w:tcPr>
            <w:tcW w:w="2552" w:type="dxa"/>
          </w:tcPr>
          <w:p>
            <w:pPr>
              <w:pStyle w:val="yTable"/>
              <w:rPr>
                <w:i/>
              </w:rPr>
            </w:pPr>
            <w:r>
              <w:rPr>
                <w:i/>
              </w:rPr>
              <w:t>Lophura nycthemera</w:t>
            </w:r>
          </w:p>
        </w:tc>
      </w:tr>
      <w:tr>
        <w:tc>
          <w:tcPr>
            <w:tcW w:w="4536" w:type="dxa"/>
          </w:tcPr>
          <w:p>
            <w:pPr>
              <w:pStyle w:val="yTable"/>
            </w:pPr>
            <w:r>
              <w:t>Quail, Japanese</w:t>
            </w:r>
          </w:p>
        </w:tc>
        <w:tc>
          <w:tcPr>
            <w:tcW w:w="2552" w:type="dxa"/>
          </w:tcPr>
          <w:p>
            <w:pPr>
              <w:pStyle w:val="yTable"/>
              <w:rPr>
                <w:i/>
              </w:rPr>
            </w:pPr>
            <w:r>
              <w:rPr>
                <w:i/>
              </w:rPr>
              <w:t>Coturnix japonica</w:t>
            </w:r>
          </w:p>
        </w:tc>
      </w:tr>
      <w:tr>
        <w:tc>
          <w:tcPr>
            <w:tcW w:w="4536" w:type="dxa"/>
          </w:tcPr>
          <w:p>
            <w:pPr>
              <w:pStyle w:val="yTable"/>
            </w:pPr>
            <w:smartTag w:uri="urn:schemas-microsoft-com:office:smarttags" w:element="place">
              <w:smartTag w:uri="urn:schemas-microsoft-com:office:smarttags" w:element="City">
                <w:r>
                  <w:t>Scaup</w:t>
                </w:r>
              </w:smartTag>
              <w:r>
                <w:t xml:space="preserve">, </w:t>
              </w:r>
              <w:smartTag w:uri="urn:schemas-microsoft-com:office:smarttags" w:element="country-region">
                <w:r>
                  <w:t>New Zealand</w:t>
                </w:r>
              </w:smartTag>
            </w:smartTag>
          </w:p>
        </w:tc>
        <w:tc>
          <w:tcPr>
            <w:tcW w:w="2552" w:type="dxa"/>
          </w:tcPr>
          <w:p>
            <w:pPr>
              <w:pStyle w:val="yTable"/>
              <w:rPr>
                <w:i/>
              </w:rPr>
            </w:pPr>
            <w:r>
              <w:rPr>
                <w:i/>
              </w:rPr>
              <w:t>Aythya novaeseelandiae</w:t>
            </w:r>
          </w:p>
        </w:tc>
      </w:tr>
      <w:tr>
        <w:tc>
          <w:tcPr>
            <w:tcW w:w="4536" w:type="dxa"/>
          </w:tcPr>
          <w:p>
            <w:pPr>
              <w:pStyle w:val="yTable"/>
            </w:pPr>
            <w:r>
              <w:t xml:space="preserve">Shelduck, </w:t>
            </w:r>
            <w:smartTag w:uri="urn:schemas-microsoft-com:office:smarttags" w:element="place">
              <w:r>
                <w:t>Paradise</w:t>
              </w:r>
            </w:smartTag>
          </w:p>
        </w:tc>
        <w:tc>
          <w:tcPr>
            <w:tcW w:w="2552" w:type="dxa"/>
          </w:tcPr>
          <w:p>
            <w:pPr>
              <w:pStyle w:val="yTable"/>
              <w:rPr>
                <w:i/>
              </w:rPr>
            </w:pPr>
            <w:r>
              <w:rPr>
                <w:i/>
              </w:rPr>
              <w:t>Tadorna variegata</w:t>
            </w:r>
          </w:p>
        </w:tc>
      </w:tr>
      <w:tr>
        <w:tc>
          <w:tcPr>
            <w:tcW w:w="4536" w:type="dxa"/>
          </w:tcPr>
          <w:p>
            <w:pPr>
              <w:pStyle w:val="yTable"/>
            </w:pPr>
            <w:r>
              <w:t>Silverbill, Indian; White</w:t>
            </w:r>
            <w:r>
              <w:noBreakHyphen/>
              <w:t>throated Munia; Common Silverbill</w:t>
            </w:r>
          </w:p>
        </w:tc>
        <w:tc>
          <w:tcPr>
            <w:tcW w:w="2552" w:type="dxa"/>
          </w:tcPr>
          <w:p>
            <w:pPr>
              <w:pStyle w:val="yTable"/>
              <w:rPr>
                <w:i/>
              </w:rPr>
            </w:pPr>
            <w:r>
              <w:rPr>
                <w:i/>
              </w:rPr>
              <w:br/>
              <w:t>Lonchura malabarica</w:t>
            </w:r>
          </w:p>
        </w:tc>
      </w:tr>
      <w:tr>
        <w:tc>
          <w:tcPr>
            <w:tcW w:w="4536" w:type="dxa"/>
          </w:tcPr>
          <w:p>
            <w:pPr>
              <w:pStyle w:val="yTable"/>
            </w:pPr>
            <w:r>
              <w:t>Sparrow, Java; Paddy Finch</w:t>
            </w:r>
          </w:p>
        </w:tc>
        <w:tc>
          <w:tcPr>
            <w:tcW w:w="2552" w:type="dxa"/>
          </w:tcPr>
          <w:p>
            <w:pPr>
              <w:pStyle w:val="yTable"/>
              <w:rPr>
                <w:i/>
              </w:rPr>
            </w:pPr>
            <w:r>
              <w:rPr>
                <w:i/>
              </w:rPr>
              <w:t>Padda oryzivora</w:t>
            </w:r>
          </w:p>
        </w:tc>
      </w:tr>
      <w:tr>
        <w:tc>
          <w:tcPr>
            <w:tcW w:w="4536" w:type="dxa"/>
          </w:tcPr>
          <w:p>
            <w:pPr>
              <w:pStyle w:val="yTable"/>
            </w:pPr>
            <w:r>
              <w:t xml:space="preserve">Sparrow, Paradise; </w:t>
            </w:r>
            <w:smartTag w:uri="urn:schemas-microsoft-com:office:smarttags" w:element="City">
              <w:smartTag w:uri="urn:schemas-microsoft-com:office:smarttags" w:element="place">
                <w:r>
                  <w:t>Aberdeen</w:t>
                </w:r>
              </w:smartTag>
            </w:smartTag>
            <w:r>
              <w:t xml:space="preserve"> Finch; Red</w:t>
            </w:r>
            <w:r>
              <w:noBreakHyphen/>
              <w:t>headed Amadina</w:t>
            </w:r>
          </w:p>
        </w:tc>
        <w:tc>
          <w:tcPr>
            <w:tcW w:w="2552" w:type="dxa"/>
          </w:tcPr>
          <w:p>
            <w:pPr>
              <w:pStyle w:val="yTable"/>
              <w:rPr>
                <w:i/>
              </w:rPr>
            </w:pPr>
            <w:r>
              <w:rPr>
                <w:i/>
              </w:rPr>
              <w:br/>
              <w:t>Amadina erythrocephala</w:t>
            </w:r>
          </w:p>
        </w:tc>
      </w:tr>
      <w:tr>
        <w:tc>
          <w:tcPr>
            <w:tcW w:w="4536" w:type="dxa"/>
          </w:tcPr>
          <w:p>
            <w:pPr>
              <w:pStyle w:val="yTable"/>
            </w:pPr>
            <w:r>
              <w:t>Strawberry Finch, Red; Red Munia; Red or Indian Avadavat; Tiger Finch; Red Waxbill</w:t>
            </w:r>
          </w:p>
        </w:tc>
        <w:tc>
          <w:tcPr>
            <w:tcW w:w="2552" w:type="dxa"/>
          </w:tcPr>
          <w:p>
            <w:pPr>
              <w:pStyle w:val="yTable"/>
              <w:rPr>
                <w:i/>
              </w:rPr>
            </w:pPr>
            <w:r>
              <w:rPr>
                <w:i/>
              </w:rPr>
              <w:br/>
              <w:t>Amandava amandava</w:t>
            </w:r>
          </w:p>
        </w:tc>
      </w:tr>
      <w:tr>
        <w:tc>
          <w:tcPr>
            <w:tcW w:w="4536" w:type="dxa"/>
          </w:tcPr>
          <w:p>
            <w:pPr>
              <w:pStyle w:val="yTable"/>
            </w:pPr>
            <w:r>
              <w:t xml:space="preserve">Waxbill, Common; </w:t>
            </w:r>
            <w:smartTag w:uri="urn:schemas-microsoft-com:office:smarttags" w:element="place">
              <w:r>
                <w:t>St Helena</w:t>
              </w:r>
            </w:smartTag>
            <w:r>
              <w:t xml:space="preserve"> Waxbill</w:t>
            </w:r>
          </w:p>
        </w:tc>
        <w:tc>
          <w:tcPr>
            <w:tcW w:w="2552" w:type="dxa"/>
          </w:tcPr>
          <w:p>
            <w:pPr>
              <w:pStyle w:val="yTable"/>
              <w:rPr>
                <w:i/>
              </w:rPr>
            </w:pPr>
            <w:r>
              <w:rPr>
                <w:i/>
              </w:rPr>
              <w:t>Estrilda astrild</w:t>
            </w:r>
          </w:p>
        </w:tc>
      </w:tr>
      <w:tr>
        <w:tc>
          <w:tcPr>
            <w:tcW w:w="4536" w:type="dxa"/>
          </w:tcPr>
          <w:p>
            <w:pPr>
              <w:pStyle w:val="yTable"/>
            </w:pPr>
            <w:r>
              <w:t>Weaver, Cut</w:t>
            </w:r>
            <w:r>
              <w:noBreakHyphen/>
              <w:t>throat; Cut</w:t>
            </w:r>
            <w:r>
              <w:noBreakHyphen/>
              <w:t>throat Finch; Ribbon Finch</w:t>
            </w:r>
          </w:p>
        </w:tc>
        <w:tc>
          <w:tcPr>
            <w:tcW w:w="2552" w:type="dxa"/>
          </w:tcPr>
          <w:p>
            <w:pPr>
              <w:pStyle w:val="yTable"/>
              <w:rPr>
                <w:i/>
              </w:rPr>
            </w:pPr>
            <w:r>
              <w:rPr>
                <w:i/>
              </w:rPr>
              <w:br/>
              <w:t>Amadina fasciata</w:t>
            </w:r>
          </w:p>
        </w:tc>
      </w:tr>
      <w:tr>
        <w:tc>
          <w:tcPr>
            <w:tcW w:w="4536" w:type="dxa"/>
          </w:tcPr>
          <w:p>
            <w:pPr>
              <w:pStyle w:val="yTable"/>
            </w:pPr>
            <w:r>
              <w:br w:type="page"/>
              <w:t xml:space="preserve">Weaver, Grenadier; Red Bishop; </w:t>
            </w:r>
            <w:smartTag w:uri="urn:schemas-microsoft-com:office:smarttags" w:element="place">
              <w:r>
                <w:t>Orange</w:t>
              </w:r>
            </w:smartTag>
            <w:r>
              <w:t xml:space="preserve"> Bishop Weaver; Northern Red Bishop Weaver</w:t>
            </w:r>
          </w:p>
        </w:tc>
        <w:tc>
          <w:tcPr>
            <w:tcW w:w="2552" w:type="dxa"/>
          </w:tcPr>
          <w:p>
            <w:pPr>
              <w:pStyle w:val="yTable"/>
              <w:rPr>
                <w:i/>
              </w:rPr>
            </w:pPr>
            <w:r>
              <w:rPr>
                <w:i/>
              </w:rPr>
              <w:br/>
              <w:t>Euplectes orix</w:t>
            </w:r>
          </w:p>
        </w:tc>
      </w:tr>
      <w:tr>
        <w:tc>
          <w:tcPr>
            <w:tcW w:w="4536" w:type="dxa"/>
          </w:tcPr>
          <w:p>
            <w:pPr>
              <w:pStyle w:val="yTable"/>
            </w:pPr>
            <w:r>
              <w:t>Whydah, White</w:t>
            </w:r>
            <w:r>
              <w:noBreakHyphen/>
              <w:t>winged</w:t>
            </w:r>
          </w:p>
        </w:tc>
        <w:tc>
          <w:tcPr>
            <w:tcW w:w="2552" w:type="dxa"/>
          </w:tcPr>
          <w:p>
            <w:pPr>
              <w:pStyle w:val="yTable"/>
              <w:rPr>
                <w:i/>
              </w:rPr>
            </w:pPr>
            <w:r>
              <w:rPr>
                <w:i/>
              </w:rPr>
              <w:t>Euplectes albonotatus</w:t>
            </w:r>
          </w:p>
        </w:tc>
      </w:tr>
    </w:tbl>
    <w:p>
      <w:pPr>
        <w:pStyle w:val="yFootnotesection"/>
      </w:pPr>
      <w:r>
        <w:tab/>
        <w:t>[Schedule 3 inserted in Gazette 28 Jun 2002 p. 3040</w:t>
      </w:r>
      <w:r>
        <w:noBreakHyphen/>
        <w:t>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6" w:h="16838" w:code="9"/>
          <w:pgMar w:top="2376" w:right="2405" w:bottom="3542" w:left="2405" w:header="706" w:footer="3380" w:gutter="0"/>
          <w:cols w:space="720"/>
          <w:noEndnote/>
          <w:docGrid w:linePitch="326"/>
        </w:sectPr>
      </w:pPr>
    </w:p>
    <w:p>
      <w:pPr>
        <w:pStyle w:val="nHeading2"/>
      </w:pPr>
      <w:bookmarkStart w:id="33" w:name="_Toc34208373"/>
      <w:r>
        <w:t>Notes</w:t>
      </w:r>
      <w:bookmarkEnd w:id="33"/>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12 April 2013</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Agriculture and Related Resources Protection (Declared Animals) Regulations 1985</w:t>
      </w:r>
      <w:r>
        <w:rPr>
          <w:i/>
          <w:snapToGrid w:val="0"/>
        </w:rPr>
        <w:fldChar w:fldCharType="end"/>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34" w:name="_Toc34208374"/>
      <w:r>
        <w:rPr>
          <w:snapToGrid w:val="0"/>
        </w:rPr>
        <w:t>Compilation table</w:t>
      </w:r>
      <w:bookmarkEnd w:id="3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2010</w:t>
            </w:r>
          </w:p>
        </w:tc>
        <w:tc>
          <w:tcPr>
            <w:tcW w:w="1276" w:type="dxa"/>
          </w:tcPr>
          <w:p>
            <w:pPr>
              <w:pStyle w:val="nTable"/>
              <w:spacing w:after="40"/>
              <w:rPr>
                <w:sz w:val="19"/>
              </w:rPr>
            </w:pPr>
            <w:r>
              <w:rPr>
                <w:sz w:val="19"/>
              </w:rPr>
              <w:t>30 Jun 2010 p. 3107-8</w:t>
            </w:r>
          </w:p>
        </w:tc>
        <w:tc>
          <w:tcPr>
            <w:tcW w:w="2693" w:type="dxa"/>
          </w:tcPr>
          <w:p>
            <w:pPr>
              <w:pStyle w:val="nTable"/>
              <w:spacing w:after="40"/>
              <w:rPr>
                <w:sz w:val="19"/>
              </w:rPr>
            </w:pPr>
            <w:r>
              <w:rPr>
                <w:snapToGrid w:val="0"/>
                <w:sz w:val="19"/>
              </w:rPr>
              <w:t>r. 1 and 2: 30 Jun 2010 (see r. 2(a));</w:t>
            </w:r>
            <w:r>
              <w:rPr>
                <w:snapToGrid w:val="0"/>
                <w:sz w:val="19"/>
              </w:rPr>
              <w:br/>
              <w:t>Regulations other than r. 1 and 2: 1 Jul 2010 (see r. 2(b))</w:t>
            </w:r>
          </w:p>
        </w:tc>
      </w:tr>
      <w:tr>
        <w:trPr>
          <w:cantSplit/>
        </w:trPr>
        <w:tc>
          <w:tcPr>
            <w:tcW w:w="3118" w:type="dxa"/>
          </w:tcPr>
          <w:p>
            <w:pPr>
              <w:pStyle w:val="nTable"/>
              <w:spacing w:after="40"/>
              <w:ind w:right="170"/>
              <w:rPr>
                <w:iCs/>
                <w:sz w:val="19"/>
              </w:rPr>
            </w:pPr>
            <w:r>
              <w:rPr>
                <w:i/>
                <w:sz w:val="19"/>
              </w:rPr>
              <w:t>Agriculture and Related Resources Protection (Repeals and Amendments) Regulations 2010</w:t>
            </w:r>
            <w:r>
              <w:rPr>
                <w:iCs/>
                <w:sz w:val="19"/>
              </w:rPr>
              <w:t xml:space="preserve"> Pt. 5</w:t>
            </w:r>
          </w:p>
        </w:tc>
        <w:tc>
          <w:tcPr>
            <w:tcW w:w="1276" w:type="dxa"/>
          </w:tcPr>
          <w:p>
            <w:pPr>
              <w:pStyle w:val="nTable"/>
              <w:spacing w:after="40"/>
              <w:rPr>
                <w:sz w:val="19"/>
              </w:rPr>
            </w:pPr>
            <w:r>
              <w:rPr>
                <w:sz w:val="19"/>
              </w:rPr>
              <w:t>17 Dec 2010 p. 6403-32</w:t>
            </w:r>
          </w:p>
        </w:tc>
        <w:tc>
          <w:tcPr>
            <w:tcW w:w="2693" w:type="dxa"/>
          </w:tcPr>
          <w:p>
            <w:pPr>
              <w:pStyle w:val="nTable"/>
              <w:spacing w:after="40"/>
              <w:rPr>
                <w:snapToGrid w:val="0"/>
                <w:sz w:val="19"/>
              </w:rPr>
            </w:pPr>
            <w:r>
              <w:rPr>
                <w:snapToGrid w:val="0"/>
                <w:sz w:val="19"/>
              </w:rPr>
              <w:t xml:space="preserve">18 Dec 2010 (see r. 2(b) and </w:t>
            </w:r>
            <w:r>
              <w:rPr>
                <w:i/>
                <w:iCs/>
                <w:snapToGrid w:val="0"/>
                <w:sz w:val="19"/>
              </w:rPr>
              <w:t>Gazette</w:t>
            </w:r>
            <w:r>
              <w:rPr>
                <w:snapToGrid w:val="0"/>
                <w:sz w:val="19"/>
              </w:rPr>
              <w:t xml:space="preserve"> 17 Dec 2010 p. 6349)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2011</w:t>
            </w:r>
          </w:p>
        </w:tc>
        <w:tc>
          <w:tcPr>
            <w:tcW w:w="1276" w:type="dxa"/>
          </w:tcPr>
          <w:p>
            <w:pPr>
              <w:pStyle w:val="nTable"/>
              <w:spacing w:after="40"/>
              <w:rPr>
                <w:sz w:val="19"/>
              </w:rPr>
            </w:pPr>
            <w:r>
              <w:rPr>
                <w:sz w:val="19"/>
              </w:rPr>
              <w:t>30 Jun 2011 p. 2691</w:t>
            </w:r>
            <w:r>
              <w:rPr>
                <w:sz w:val="19"/>
              </w:rPr>
              <w:noBreakHyphen/>
              <w:t>2</w:t>
            </w:r>
          </w:p>
        </w:tc>
        <w:tc>
          <w:tcPr>
            <w:tcW w:w="2693" w:type="dxa"/>
          </w:tcPr>
          <w:p>
            <w:pPr>
              <w:pStyle w:val="nTable"/>
              <w:spacing w:after="40"/>
              <w:rPr>
                <w:snapToGrid w:val="0"/>
                <w:sz w:val="19"/>
              </w:rPr>
            </w:pPr>
            <w:r>
              <w:rPr>
                <w:snapToGrid w:val="0"/>
                <w:sz w:val="19"/>
              </w:rPr>
              <w:t>r. 1 and 2: 30 Jun 2011 (see r. 2(a));</w:t>
            </w:r>
            <w:r>
              <w:rPr>
                <w:snapToGrid w:val="0"/>
                <w:sz w:val="19"/>
              </w:rPr>
              <w:br/>
              <w:t>Regulations other than r. 1 and 2: 1 Jul 2011 (see r. 2(b))</w:t>
            </w:r>
          </w:p>
        </w:tc>
      </w:tr>
      <w:tr>
        <w:trPr>
          <w:cantSplit/>
        </w:trPr>
        <w:tc>
          <w:tcPr>
            <w:tcW w:w="3118" w:type="dxa"/>
            <w:shd w:val="clear" w:color="auto" w:fill="auto"/>
          </w:tcPr>
          <w:p>
            <w:pPr>
              <w:pStyle w:val="nTable"/>
              <w:spacing w:after="40"/>
              <w:ind w:right="170"/>
              <w:rPr>
                <w:i/>
                <w:sz w:val="19"/>
              </w:rPr>
            </w:pPr>
            <w:r>
              <w:rPr>
                <w:i/>
                <w:sz w:val="19"/>
              </w:rPr>
              <w:t>Agriculture and Related Resources Protection (Declared Animals) Amendment Regulations 2012</w:t>
            </w:r>
          </w:p>
        </w:tc>
        <w:tc>
          <w:tcPr>
            <w:tcW w:w="1276" w:type="dxa"/>
            <w:shd w:val="clear" w:color="auto" w:fill="auto"/>
          </w:tcPr>
          <w:p>
            <w:pPr>
              <w:pStyle w:val="nTable"/>
              <w:spacing w:after="40"/>
              <w:rPr>
                <w:sz w:val="19"/>
              </w:rPr>
            </w:pPr>
            <w:r>
              <w:rPr>
                <w:sz w:val="19"/>
              </w:rPr>
              <w:t>19 Jun 2012 p. 2633</w:t>
            </w:r>
          </w:p>
        </w:tc>
        <w:tc>
          <w:tcPr>
            <w:tcW w:w="2693" w:type="dxa"/>
            <w:shd w:val="clear" w:color="auto" w:fill="auto"/>
          </w:tcPr>
          <w:p>
            <w:pPr>
              <w:pStyle w:val="nTable"/>
              <w:spacing w:after="40"/>
              <w:rPr>
                <w:snapToGrid w:val="0"/>
                <w:sz w:val="19"/>
              </w:rPr>
            </w:pPr>
            <w:r>
              <w:rPr>
                <w:snapToGrid w:val="0"/>
                <w:sz w:val="19"/>
              </w:rPr>
              <w:t>r. 1 and 2: 19 Jun 2012 (see r. 2(a));</w:t>
            </w:r>
            <w:r>
              <w:rPr>
                <w:snapToGrid w:val="0"/>
                <w:sz w:val="19"/>
              </w:rPr>
              <w:br/>
              <w:t>Regulations other than r. 1 and 2: 1 Jul 2012 (see r. 2(b))</w:t>
            </w:r>
          </w:p>
        </w:tc>
      </w:tr>
      <w:tr>
        <w:trPr>
          <w:cantSplit/>
        </w:trPr>
        <w:tc>
          <w:tcPr>
            <w:tcW w:w="7087" w:type="dxa"/>
            <w:gridSpan w:val="3"/>
            <w:tcBorders>
              <w:bottom w:val="single" w:sz="8" w:space="0" w:color="auto"/>
            </w:tcBorders>
            <w:shd w:val="clear" w:color="auto" w:fill="auto"/>
          </w:tcPr>
          <w:p>
            <w:pPr>
              <w:pStyle w:val="nTable"/>
              <w:spacing w:after="40"/>
              <w:rPr>
                <w:snapToGrid w:val="0"/>
                <w:spacing w:val="-2"/>
                <w:sz w:val="19"/>
              </w:rPr>
            </w:pPr>
            <w:r>
              <w:rPr>
                <w:b/>
                <w:bCs/>
                <w:sz w:val="19"/>
              </w:rPr>
              <w:t xml:space="preserve">Reprint 3: The </w:t>
            </w:r>
            <w:r>
              <w:rPr>
                <w:b/>
                <w:bCs/>
                <w:i/>
                <w:sz w:val="19"/>
              </w:rPr>
              <w:t>Agriculture and Related Resources Protection (Declared Animals) Regulations 1985</w:t>
            </w:r>
            <w:r>
              <w:rPr>
                <w:b/>
                <w:bCs/>
                <w:sz w:val="19"/>
              </w:rPr>
              <w:t xml:space="preserve"> as at 12 Apr 2013</w:t>
            </w:r>
            <w:r>
              <w:rPr>
                <w:sz w:val="19"/>
              </w:rPr>
              <w:t xml:space="preserve"> (includes amendments listed above)</w:t>
            </w:r>
          </w:p>
        </w:tc>
      </w:tr>
    </w:tbl>
    <w:p>
      <w:pPr>
        <w:pStyle w:val="nSubsection"/>
        <w:spacing w:before="360"/>
        <w:rPr>
          <w:snapToGrid w:val="0"/>
        </w:rPr>
      </w:pPr>
      <w:r>
        <w:rPr>
          <w:snapToGrid w:val="0"/>
          <w:vertAlign w:val="superscript"/>
        </w:rPr>
        <w:t>1a</w:t>
      </w:r>
      <w:r>
        <w:rPr>
          <w:snapToGrid w:val="0"/>
        </w:rP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35" w:name="_Toc34208375"/>
      <w:r>
        <w:rPr>
          <w:snapToGrid w:val="0"/>
        </w:rPr>
        <w:t>Provisions that have not come into operation</w:t>
      </w:r>
      <w:bookmarkEnd w:id="3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keepNext/>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keepNext/>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keepNext/>
              <w:spacing w:after="40"/>
              <w:rPr>
                <w:b/>
                <w:sz w:val="19"/>
              </w:rPr>
            </w:pPr>
            <w:r>
              <w:rPr>
                <w:b/>
                <w:sz w:val="19"/>
              </w:rPr>
              <w:t>Commencement</w:t>
            </w:r>
          </w:p>
        </w:tc>
      </w:tr>
      <w:tr>
        <w:tblPrEx>
          <w:tblBorders>
            <w:top w:val="single" w:sz="8" w:space="0" w:color="auto"/>
            <w:bottom w:val="single" w:sz="4" w:space="0" w:color="auto"/>
            <w:insideH w:val="single" w:sz="8" w:space="0" w:color="auto"/>
          </w:tblBorders>
        </w:tblPrEx>
        <w:tc>
          <w:tcPr>
            <w:tcW w:w="3118" w:type="dxa"/>
            <w:tcBorders>
              <w:bottom w:val="single" w:sz="8" w:space="0" w:color="auto"/>
            </w:tcBorders>
            <w:shd w:val="clear" w:color="auto" w:fill="auto"/>
          </w:tcPr>
          <w:p>
            <w:pPr>
              <w:pStyle w:val="nTable"/>
              <w:spacing w:after="40"/>
              <w:rPr>
                <w:sz w:val="19"/>
                <w:szCs w:val="19"/>
                <w:vertAlign w:val="superscript"/>
              </w:rPr>
            </w:pPr>
            <w:r>
              <w:rPr>
                <w:i/>
                <w:noProof/>
                <w:snapToGrid w:val="0"/>
                <w:sz w:val="19"/>
                <w:szCs w:val="19"/>
              </w:rPr>
              <w:t>Biosecurity and Agriculture Management Regulations 2013</w:t>
            </w:r>
            <w:r>
              <w:rPr>
                <w:noProof/>
                <w:snapToGrid w:val="0"/>
                <w:sz w:val="19"/>
                <w:szCs w:val="19"/>
              </w:rPr>
              <w:t xml:space="preserve"> r. 137(c), 138 and 140 </w:t>
            </w:r>
            <w:r>
              <w:rPr>
                <w:noProof/>
                <w:snapToGrid w:val="0"/>
                <w:sz w:val="19"/>
                <w:szCs w:val="19"/>
                <w:vertAlign w:val="superscript"/>
              </w:rPr>
              <w:t>4</w:t>
            </w:r>
          </w:p>
        </w:tc>
        <w:tc>
          <w:tcPr>
            <w:tcW w:w="1276" w:type="dxa"/>
            <w:tcBorders>
              <w:bottom w:val="single" w:sz="8" w:space="0" w:color="auto"/>
            </w:tcBorders>
            <w:shd w:val="clear" w:color="auto" w:fill="auto"/>
          </w:tcPr>
          <w:p>
            <w:pPr>
              <w:pStyle w:val="nTable"/>
              <w:spacing w:after="40"/>
              <w:rPr>
                <w:sz w:val="19"/>
              </w:rPr>
            </w:pPr>
            <w:r>
              <w:rPr>
                <w:sz w:val="19"/>
              </w:rPr>
              <w:t>5 Feb 2013 p. 465</w:t>
            </w:r>
            <w:r>
              <w:rPr>
                <w:sz w:val="19"/>
              </w:rPr>
              <w:noBreakHyphen/>
              <w:t>591</w:t>
            </w:r>
          </w:p>
        </w:tc>
        <w:tc>
          <w:tcPr>
            <w:tcW w:w="2693" w:type="dxa"/>
            <w:tcBorders>
              <w:bottom w:val="single" w:sz="8" w:space="0" w:color="auto"/>
            </w:tcBorders>
            <w:shd w:val="clear" w:color="auto" w:fill="auto"/>
          </w:tcPr>
          <w:p>
            <w:pPr>
              <w:pStyle w:val="nTable"/>
              <w:spacing w:after="40"/>
              <w:rPr>
                <w:sz w:val="19"/>
              </w:rPr>
            </w:pPr>
            <w:r>
              <w:rPr>
                <w:sz w:val="19"/>
              </w:rPr>
              <w:t xml:space="preserve">1 May 2013 (see r. 2(b) and </w:t>
            </w:r>
            <w:r>
              <w:rPr>
                <w:i/>
                <w:sz w:val="19"/>
              </w:rPr>
              <w:t>Gazette</w:t>
            </w:r>
            <w:r>
              <w:rPr>
                <w:sz w:val="19"/>
              </w:rPr>
              <w:t xml:space="preserve"> 5 Feb 2013 p. 823)</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w:t>
      </w:r>
      <w:smartTag w:uri="urn:schemas-microsoft-com:office:smarttags" w:element="place">
        <w:smartTag w:uri="urn:schemas-microsoft-com:office:smarttags" w:element="PlaceName">
          <w:r>
            <w:rPr>
              <w:i/>
              <w:snapToGrid w:val="0"/>
            </w:rPr>
            <w:t>Metropolitan</w:t>
          </w:r>
        </w:smartTag>
        <w:r>
          <w:rPr>
            <w:i/>
            <w:snapToGrid w:val="0"/>
          </w:rPr>
          <w:t xml:space="preserve"> </w:t>
        </w:r>
        <w:smartTag w:uri="urn:schemas-microsoft-com:office:smarttags" w:element="PlaceName">
          <w:r>
            <w:rPr>
              <w:i/>
              <w:snapToGrid w:val="0"/>
            </w:rPr>
            <w:t>Region</w:t>
          </w:r>
        </w:smartTag>
        <w:r>
          <w:rPr>
            <w:i/>
            <w:snapToGrid w:val="0"/>
          </w:rPr>
          <w:t xml:space="preserve"> </w:t>
        </w:r>
        <w:smartTag w:uri="urn:schemas-microsoft-com:office:smarttags" w:element="PlaceType">
          <w:r>
            <w:rPr>
              <w:i/>
              <w:snapToGrid w:val="0"/>
            </w:rPr>
            <w:t>Town</w:t>
          </w:r>
        </w:smartTag>
      </w:smartTag>
      <w:r>
        <w:rPr>
          <w:i/>
          <w:snapToGrid w:val="0"/>
        </w:rPr>
        <w:t xml:space="preserve">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pPr>
      <w:r>
        <w:rPr>
          <w:snapToGrid w:val="0"/>
          <w:vertAlign w:val="superscript"/>
        </w:rPr>
        <w:t>3</w:t>
      </w:r>
      <w:r>
        <w:tab/>
        <w:t xml:space="preserve">Under the </w:t>
      </w:r>
      <w:r>
        <w:rPr>
          <w:i/>
          <w:iCs/>
        </w:rPr>
        <w:t>Public Sector Management Act 1994</w:t>
      </w:r>
      <w:r>
        <w:t xml:space="preserve"> the names of departments may be changed. At the time of this reprint the former Department of Conservation and Land Management is called the Department of Environment and Conservation.</w:t>
      </w:r>
    </w:p>
    <w:p>
      <w:pPr>
        <w:pStyle w:val="nSubsection"/>
        <w:keepNext/>
        <w:ind w:left="480" w:hanging="480"/>
        <w:rPr>
          <w:snapToGrid w:val="0"/>
        </w:rPr>
      </w:pPr>
      <w:r>
        <w:rPr>
          <w:snapToGrid w:val="0"/>
          <w:vertAlign w:val="superscript"/>
        </w:rPr>
        <w:t>4</w:t>
      </w:r>
      <w:r>
        <w:rPr>
          <w:snapToGrid w:val="0"/>
        </w:rPr>
        <w:tab/>
      </w:r>
      <w:r>
        <w:t xml:space="preserve">On the date as at which this reprint was prepared, </w:t>
      </w:r>
      <w:r>
        <w:rPr>
          <w:snapToGrid w:val="0"/>
        </w:rPr>
        <w:t xml:space="preserve">the </w:t>
      </w:r>
      <w:r>
        <w:rPr>
          <w:i/>
          <w:snapToGrid w:val="0"/>
        </w:rPr>
        <w:t xml:space="preserve">Biosecurity and Agriculture Management Regulations 2013 </w:t>
      </w:r>
      <w:r>
        <w:rPr>
          <w:noProof/>
          <w:snapToGrid w:val="0"/>
        </w:rPr>
        <w:t xml:space="preserve">r. 137(c), 138 and 140 </w:t>
      </w:r>
      <w:r>
        <w:rPr>
          <w:snapToGrid w:val="0"/>
        </w:rPr>
        <w:t>had not come into operation.  They read as follows:</w:t>
      </w:r>
    </w:p>
    <w:p>
      <w:pPr>
        <w:pStyle w:val="BlankOpen"/>
      </w:pPr>
    </w:p>
    <w:p>
      <w:pPr>
        <w:pStyle w:val="nzHeading5"/>
      </w:pPr>
      <w:r>
        <w:rPr>
          <w:rStyle w:val="CharSectno"/>
        </w:rPr>
        <w:t>137</w:t>
      </w:r>
      <w:r>
        <w:t>.</w:t>
      </w:r>
      <w:r>
        <w:tab/>
        <w:t>Regulations repealed</w:t>
      </w:r>
    </w:p>
    <w:p>
      <w:pPr>
        <w:pStyle w:val="nzSubsection"/>
      </w:pPr>
      <w:r>
        <w:tab/>
      </w:r>
      <w:r>
        <w:tab/>
        <w:t>These regulations are repealed:</w:t>
      </w:r>
    </w:p>
    <w:p>
      <w:pPr>
        <w:pStyle w:val="nzIndenta"/>
      </w:pPr>
      <w:r>
        <w:tab/>
        <w:t>(c)</w:t>
      </w:r>
      <w:r>
        <w:tab/>
      </w:r>
      <w:r>
        <w:rPr>
          <w:i/>
        </w:rPr>
        <w:t>Agriculture and Related Resources Protection (Declared Animals) Regulations 1985</w:t>
      </w:r>
      <w:r>
        <w:t>;</w:t>
      </w:r>
    </w:p>
    <w:p>
      <w:pPr>
        <w:pStyle w:val="nzHeading5"/>
      </w:pPr>
      <w:r>
        <w:rPr>
          <w:rStyle w:val="CharSectno"/>
        </w:rPr>
        <w:t>138</w:t>
      </w:r>
      <w:r>
        <w:t>.</w:t>
      </w:r>
      <w:r>
        <w:tab/>
        <w:t>Fees and expenses</w:t>
      </w:r>
    </w:p>
    <w:p>
      <w:pPr>
        <w:pStyle w:val="nzSubsection"/>
      </w:pPr>
      <w:r>
        <w:tab/>
      </w:r>
      <w:r>
        <w:tab/>
        <w:t xml:space="preserve">On and from the commencement day — </w:t>
      </w:r>
    </w:p>
    <w:p>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pPr>
        <w:pStyle w:val="nzIndenta"/>
      </w:pPr>
      <w:r>
        <w:tab/>
        <w:t>(b)</w:t>
      </w:r>
      <w:r>
        <w:tab/>
        <w:t>any expenses recoverable under a regulation repealed under regulation 137 and outstanding on the commencement day may be recovered under regulation 128.</w:t>
      </w:r>
    </w:p>
    <w:p>
      <w:pPr>
        <w:pStyle w:val="nzPenstart"/>
      </w:pPr>
      <w:r>
        <w:tab/>
        <w:t>Penalty: a fine of $10 000.</w:t>
      </w:r>
    </w:p>
    <w:p>
      <w:pPr>
        <w:pStyle w:val="nzHeading5"/>
      </w:pPr>
      <w:r>
        <w:rPr>
          <w:rStyle w:val="CharSectno"/>
        </w:rPr>
        <w:t>140</w:t>
      </w:r>
      <w:r>
        <w:t>.</w:t>
      </w:r>
      <w:r>
        <w:tab/>
      </w:r>
      <w:r>
        <w:rPr>
          <w:i/>
        </w:rPr>
        <w:t>Agriculture and Related Resources Protection (Declared Animals) Regulations 1985</w:t>
      </w:r>
    </w:p>
    <w:p>
      <w:pPr>
        <w:pStyle w:val="nzSubsection"/>
      </w:pPr>
      <w:r>
        <w:tab/>
        <w:t>(1)</w:t>
      </w:r>
      <w:r>
        <w:tab/>
        <w:t xml:space="preserve">In this regulation — </w:t>
      </w:r>
    </w:p>
    <w:p>
      <w:pPr>
        <w:pStyle w:val="nzDefstart"/>
      </w:pPr>
      <w:r>
        <w:tab/>
      </w:r>
      <w:r>
        <w:rPr>
          <w:rStyle w:val="CharDefText"/>
        </w:rPr>
        <w:t>repealed regulations</w:t>
      </w:r>
      <w:r>
        <w:t xml:space="preserve"> means the </w:t>
      </w:r>
      <w:r>
        <w:rPr>
          <w:i/>
        </w:rPr>
        <w:t>Agriculture and Related Resources Protection (Declared Animals) Regulations 1985</w:t>
      </w:r>
      <w:r>
        <w:t xml:space="preserve"> repealed under regulation 137(c).</w:t>
      </w:r>
    </w:p>
    <w:p>
      <w:pPr>
        <w:pStyle w:val="nzSubsection"/>
      </w:pPr>
      <w:r>
        <w:tab/>
        <w:t>(2)</w:t>
      </w:r>
      <w:r>
        <w:tab/>
        <w:t xml:space="preserve">On and from the commencement day — </w:t>
      </w:r>
    </w:p>
    <w:p>
      <w:pPr>
        <w:pStyle w:val="nzIndenta"/>
      </w:pPr>
      <w:r>
        <w:tab/>
        <w:t>(a)</w:t>
      </w:r>
      <w:r>
        <w:tab/>
        <w:t>any permit issued under regulation 4 or 13 of the repealed regulations and of effect immediately before the commencement day has effect as if it were a permit under these regulations;</w:t>
      </w:r>
    </w:p>
    <w:p>
      <w:pPr>
        <w:pStyle w:val="nzIndenta"/>
      </w:pPr>
      <w:r>
        <w:tab/>
        <w:t>(b)</w:t>
      </w:r>
      <w:r>
        <w:tab/>
        <w:t>any application for the issue, renewal or variation of a permit under the repealed regulations that was lodged but not finally dealt with before the commencement day has effect as if it were an application for the issue, renewal or variation of a permit under these regulations;</w:t>
      </w:r>
    </w:p>
    <w:p>
      <w:pPr>
        <w:pStyle w:val="nzIndenta"/>
      </w:pPr>
      <w:r>
        <w:tab/>
        <w:t>(c)</w:t>
      </w:r>
      <w:r>
        <w:tab/>
        <w:t>any application for permission under regulation 20 of the repealed regulations that was made but not finally dealt with before the commencement day has effect as if it were an application for the issue of a permit under these regulations.</w:t>
      </w:r>
    </w:p>
    <w:p>
      <w:pPr>
        <w:pStyle w:val="BlankClose"/>
      </w:pPr>
    </w:p>
    <w:p>
      <w:pPr>
        <w:sectPr>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p>
      <w:pPr>
        <w:pStyle w:val="nHeading2"/>
        <w:rPr>
          <w:sz w:val="28"/>
        </w:rPr>
      </w:pPr>
      <w:bookmarkStart w:id="36" w:name="_Toc34208376"/>
      <w:r>
        <w:rPr>
          <w:sz w:val="28"/>
        </w:rPr>
        <w:t>Defined terms</w:t>
      </w:r>
      <w:bookmarkEnd w:id="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7" w:name="DefinedTerms"/>
      <w:bookmarkEnd w:id="37"/>
      <w:r>
        <w:t>metropolitan area</w:t>
      </w:r>
      <w:r>
        <w:tab/>
        <w:t>2</w:t>
      </w:r>
    </w:p>
    <w:p>
      <w:pPr>
        <w:pStyle w:val="DefinedTerms"/>
      </w:pPr>
      <w:r>
        <w:t>permit</w:t>
      </w:r>
      <w:r>
        <w:tab/>
        <w:t>2</w:t>
      </w:r>
    </w:p>
    <w:p>
      <w:pPr>
        <w:pStyle w:val="DefinedTerms"/>
        <w:rPr>
          <w:sz w:val="16"/>
          <w:szCs w:val="16"/>
        </w:rPr>
      </w:pPr>
    </w:p>
    <w:p>
      <w:pPr>
        <w:rPr>
          <w:sz w:val="16"/>
          <w:szCs w:val="16"/>
        </w:rPr>
      </w:pPr>
    </w:p>
    <w:p/>
    <w:p/>
    <w:p/>
    <w:p/>
    <w:p/>
    <w:p/>
    <w:p/>
    <w:p/>
    <w:p/>
    <w:p/>
    <w:p/>
    <w:p/>
    <w:p/>
    <w:p/>
    <w:p/>
    <w:p/>
    <w:p/>
    <w:p/>
    <w:p/>
    <w:p/>
    <w:p/>
    <w:p/>
    <w:p/>
    <w:p/>
    <w:p/>
    <w:p/>
    <w:p/>
    <w:p/>
    <w:p/>
    <w:p>
      <w:pPr>
        <w:sectPr>
          <w:headerReference w:type="even" r:id="rId38"/>
          <w:headerReference w:type="default" r:id="rId39"/>
          <w:footerReference w:type="even" r:id="rId40"/>
          <w:footerReference w:type="default" r:id="rId41"/>
          <w:headerReference w:type="first" r:id="rId42"/>
          <w:footerReference w:type="first" r:id="rId43"/>
          <w:pgSz w:w="11906" w:h="16838" w:code="9"/>
          <w:pgMar w:top="2376" w:right="2404" w:bottom="3544" w:left="2404" w:header="720" w:footer="3380"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4"/>
      <w:headerReference w:type="default" r:id="rId4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30</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8"/>
              <w:szCs w:val="18"/>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3095331"/>
    <w:docVar w:name="WAFER_20140311135938" w:val="RemoveTocBookmarks,RemoveUnusedBookmarks,RemoveLanguageTags,UsedStyles,ResetPageSize"/>
    <w:docVar w:name="WAFER_20140311135938_GUID" w:val="5fec0568-aed7-4d0b-ab5e-7b3af55b1bb7"/>
    <w:docVar w:name="WAFER_20151203095331" w:val="RemoveTrackChanges"/>
    <w:docVar w:name="WAFER_20151203095331_GUID" w:val="b85773e7-fe22-4c1c-a682-b8c202f68c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9.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image" Target="media/image4.png"/><Relationship Id="rId37" Type="http://schemas.openxmlformats.org/officeDocument/2006/relationships/header" Target="header16.xml"/><Relationship Id="rId40" Type="http://schemas.openxmlformats.org/officeDocument/2006/relationships/footer" Target="footer10.xml"/><Relationship Id="rId45"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5.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1.xml"/><Relationship Id="rId44"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7036</Words>
  <Characters>44897</Characters>
  <Application>Microsoft Office Word</Application>
  <DocSecurity>0</DocSecurity>
  <Lines>1282</Lines>
  <Paragraphs>763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1985 - 03-00-02</dc:title>
  <dc:subject/>
  <dc:creator/>
  <cp:keywords/>
  <dc:description/>
  <cp:lastModifiedBy>svcMRProcess</cp:lastModifiedBy>
  <cp:revision>4</cp:revision>
  <cp:lastPrinted>2013-04-23T02:06:00Z</cp:lastPrinted>
  <dcterms:created xsi:type="dcterms:W3CDTF">2020-03-04T01:58:00Z</dcterms:created>
  <dcterms:modified xsi:type="dcterms:W3CDTF">2020-03-04T01:58:00Z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20130412</vt:lpwstr>
  </property>
  <property fmtid="{D5CDD505-2E9C-101B-9397-08002B2CF9AE}" pid="4" name="DocumentType">
    <vt:lpwstr>Reg</vt:lpwstr>
  </property>
  <property fmtid="{D5CDD505-2E9C-101B-9397-08002B2CF9AE}" pid="5" name="OwlsUID">
    <vt:i4>4266</vt:i4>
  </property>
  <property fmtid="{D5CDD505-2E9C-101B-9397-08002B2CF9AE}" pid="6" name="AsAtDate">
    <vt:lpwstr>12 Apr 2013</vt:lpwstr>
  </property>
  <property fmtid="{D5CDD505-2E9C-101B-9397-08002B2CF9AE}" pid="7" name="Suffix">
    <vt:lpwstr>03-00-02</vt:lpwstr>
  </property>
  <property fmtid="{D5CDD505-2E9C-101B-9397-08002B2CF9AE}" pid="8" name="ThisVersion">
    <vt:lpwstr>02-e0-00</vt:lpwstr>
  </property>
  <property fmtid="{D5CDD505-2E9C-101B-9397-08002B2CF9AE}" pid="9" name="ReprintedAsAt">
    <vt:filetime>2013-04-11T16:00:00Z</vt:filetime>
  </property>
  <property fmtid="{D5CDD505-2E9C-101B-9397-08002B2CF9AE}" pid="10" name="ReprintNo">
    <vt:lpwstr>3</vt:lpwstr>
  </property>
</Properties>
</file>