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_Toc415054128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_Toc415054129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_Toc415054130 \h </w:instrText>
      </w:r>
      <w:r>
        <w:fldChar w:fldCharType="separate"/>
      </w:r>
      <w:r>
        <w:t>1</w:t>
      </w:r>
      <w:r>
        <w:fldChar w:fldCharType="end"/>
      </w:r>
    </w:p>
    <w:p>
      <w:pPr>
        <w:pStyle w:val="TOC8"/>
        <w:rPr>
          <w:rFonts w:asciiTheme="minorHAnsi" w:eastAsiaTheme="minorEastAsia" w:hAnsiTheme="minorHAnsi" w:cstheme="minorBidi"/>
          <w:szCs w:val="22"/>
        </w:rPr>
      </w:pPr>
      <w:r>
        <w:t>4.</w:t>
      </w:r>
      <w:r>
        <w:tab/>
        <w:t>Animals to which these regulations apply</w:t>
      </w:r>
      <w:r>
        <w:tab/>
      </w:r>
      <w:r>
        <w:fldChar w:fldCharType="begin"/>
      </w:r>
      <w:r>
        <w:instrText xml:space="preserve"> PAGEREF _Toc415054131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_Toc415054132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_Toc415054133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_Toc415054136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_Toc415054137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_Toc415054138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_Toc415054140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_Toc415054141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_Toc415054142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_Toc415054144 \h </w:instrText>
      </w:r>
      <w:r>
        <w:fldChar w:fldCharType="separate"/>
      </w:r>
      <w:r>
        <w:t>11</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_Toc415054145 \h </w:instrText>
      </w:r>
      <w:r>
        <w:fldChar w:fldCharType="separate"/>
      </w:r>
      <w:r>
        <w:t>12</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_Toc415054146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_Toc415054148 \h </w:instrText>
      </w:r>
      <w:r>
        <w:fldChar w:fldCharType="separate"/>
      </w:r>
      <w:r>
        <w:t>13</w:t>
      </w:r>
      <w:r>
        <w:fldChar w:fldCharType="end"/>
      </w:r>
    </w:p>
    <w:p>
      <w:pPr>
        <w:pStyle w:val="TOC8"/>
        <w:rPr>
          <w:rFonts w:asciiTheme="minorHAnsi" w:eastAsiaTheme="minorEastAsia" w:hAnsiTheme="minorHAnsi" w:cstheme="minorBidi"/>
          <w:szCs w:val="22"/>
        </w:rPr>
      </w:pPr>
      <w:r>
        <w:t>17.</w:t>
      </w:r>
      <w:r>
        <w:tab/>
        <w:t>Access to register</w:t>
      </w:r>
      <w:r>
        <w:tab/>
      </w:r>
      <w:r>
        <w:fldChar w:fldCharType="begin"/>
      </w:r>
      <w:r>
        <w:instrText xml:space="preserve"> PAGEREF _Toc415054149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_Toc415054150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_Toc415054151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_Toc415054153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_Toc415054155 \h </w:instrText>
      </w:r>
      <w:r>
        <w:fldChar w:fldCharType="separate"/>
      </w:r>
      <w:r>
        <w:t>17</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_Toc415054156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_Toc415054157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_Toc415054158 \h </w:instrText>
      </w:r>
      <w:r>
        <w:fldChar w:fldCharType="separate"/>
      </w:r>
      <w:r>
        <w:t>18</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_Toc415054159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_Toc415054160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_Toc415054162 \h </w:instrText>
      </w:r>
      <w:r>
        <w:fldChar w:fldCharType="separate"/>
      </w:r>
      <w:r>
        <w:t>19</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_Toc415054163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_Toc415054166 \h </w:instrText>
      </w:r>
      <w:r>
        <w:fldChar w:fldCharType="separate"/>
      </w:r>
      <w:r>
        <w:t>23</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_Toc415054167 \h </w:instrText>
      </w:r>
      <w:r>
        <w:fldChar w:fldCharType="separate"/>
      </w:r>
      <w:r>
        <w:t>23</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_Toc415054168 \h </w:instrText>
      </w:r>
      <w:r>
        <w:fldChar w:fldCharType="separate"/>
      </w:r>
      <w:r>
        <w:t>23</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_Toc415054169 \h </w:instrText>
      </w:r>
      <w:r>
        <w:fldChar w:fldCharType="separate"/>
      </w:r>
      <w:r>
        <w:t>23</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_Toc415054170 \h </w:instrText>
      </w:r>
      <w:r>
        <w:fldChar w:fldCharType="separate"/>
      </w:r>
      <w:r>
        <w:t>24</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_Toc415054171 \h </w:instrText>
      </w:r>
      <w:r>
        <w:fldChar w:fldCharType="separate"/>
      </w:r>
      <w:r>
        <w:t>24</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_Toc415054172 \h </w:instrText>
      </w:r>
      <w:r>
        <w:fldChar w:fldCharType="separate"/>
      </w:r>
      <w:r>
        <w:t>25</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_Toc415054173 \h </w:instrText>
      </w:r>
      <w:r>
        <w:fldChar w:fldCharType="separate"/>
      </w:r>
      <w:r>
        <w:t>25</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_Toc415054174 \h </w:instrText>
      </w:r>
      <w:r>
        <w:fldChar w:fldCharType="separate"/>
      </w:r>
      <w:r>
        <w:t>26</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_Toc415054175 \h </w:instrText>
      </w:r>
      <w:r>
        <w:fldChar w:fldCharType="separate"/>
      </w:r>
      <w:r>
        <w:t>26</w:t>
      </w:r>
      <w:r>
        <w:fldChar w:fldCharType="end"/>
      </w:r>
    </w:p>
    <w:p>
      <w:pPr>
        <w:pStyle w:val="TOC8"/>
        <w:rPr>
          <w:rFonts w:asciiTheme="minorHAnsi" w:eastAsiaTheme="minorEastAsia" w:hAnsiTheme="minorHAnsi" w:cstheme="minorBidi"/>
          <w:szCs w:val="22"/>
        </w:rPr>
      </w:pPr>
      <w:r>
        <w:t>39.</w:t>
      </w:r>
      <w:r>
        <w:tab/>
        <w:t>When unused devices and identification equipment to be given to inspector</w:t>
      </w:r>
      <w:r>
        <w:tab/>
      </w:r>
      <w:r>
        <w:fldChar w:fldCharType="begin"/>
      </w:r>
      <w:r>
        <w:instrText xml:space="preserve"> PAGEREF _Toc415054176 \h </w:instrText>
      </w:r>
      <w:r>
        <w:fldChar w:fldCharType="separate"/>
      </w:r>
      <w:r>
        <w:t>27</w:t>
      </w:r>
      <w:r>
        <w:fldChar w:fldCharType="end"/>
      </w:r>
    </w:p>
    <w:p>
      <w:pPr>
        <w:pStyle w:val="TOC8"/>
        <w:rPr>
          <w:rFonts w:asciiTheme="minorHAnsi" w:eastAsiaTheme="minorEastAsia" w:hAnsiTheme="minorHAnsi" w:cstheme="minorBidi"/>
          <w:szCs w:val="22"/>
        </w:rPr>
      </w:pPr>
      <w:r>
        <w:t>40.</w:t>
      </w:r>
      <w:r>
        <w:tab/>
        <w:t>Possession of identification devices and equipment</w:t>
      </w:r>
      <w:r>
        <w:tab/>
      </w:r>
      <w:r>
        <w:fldChar w:fldCharType="begin"/>
      </w:r>
      <w:r>
        <w:instrText xml:space="preserve"> PAGEREF _Toc415054177 \h </w:instrText>
      </w:r>
      <w:r>
        <w:fldChar w:fldCharType="separate"/>
      </w:r>
      <w:r>
        <w:t>28</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_Toc415054178 \h </w:instrText>
      </w:r>
      <w:r>
        <w:fldChar w:fldCharType="separate"/>
      </w:r>
      <w:r>
        <w:t>29</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_Toc415054179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_Toc415054181 \h </w:instrText>
      </w:r>
      <w:r>
        <w:fldChar w:fldCharType="separate"/>
      </w:r>
      <w:r>
        <w:t>29</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_Toc415054182 \h </w:instrText>
      </w:r>
      <w:r>
        <w:fldChar w:fldCharType="separate"/>
      </w:r>
      <w:r>
        <w:t>30</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_Toc415054183 \h </w:instrText>
      </w:r>
      <w:r>
        <w:fldChar w:fldCharType="separate"/>
      </w:r>
      <w:r>
        <w:t>30</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_Toc415054184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_Toc415054187 \h </w:instrText>
      </w:r>
      <w:r>
        <w:fldChar w:fldCharType="separate"/>
      </w:r>
      <w:r>
        <w:t>31</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_Toc415054188 \h </w:instrText>
      </w:r>
      <w:r>
        <w:fldChar w:fldCharType="separate"/>
      </w:r>
      <w:r>
        <w:t>32</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_Toc415054189 \h </w:instrText>
      </w:r>
      <w:r>
        <w:fldChar w:fldCharType="separate"/>
      </w:r>
      <w:r>
        <w:t>33</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_Toc415054190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_Toc415054192 \h </w:instrText>
      </w:r>
      <w:r>
        <w:fldChar w:fldCharType="separate"/>
      </w:r>
      <w:r>
        <w:t>34</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_Toc415054193 \h </w:instrText>
      </w:r>
      <w:r>
        <w:fldChar w:fldCharType="separate"/>
      </w:r>
      <w:r>
        <w:t>34</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_Toc415054194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_Toc415054196 \h </w:instrText>
      </w:r>
      <w:r>
        <w:fldChar w:fldCharType="separate"/>
      </w:r>
      <w:r>
        <w:t>35</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_Toc415054197 \h </w:instrText>
      </w:r>
      <w:r>
        <w:fldChar w:fldCharType="separate"/>
      </w:r>
      <w:r>
        <w:t>36</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_Toc415054198 \h </w:instrText>
      </w:r>
      <w:r>
        <w:fldChar w:fldCharType="separate"/>
      </w:r>
      <w:r>
        <w:t>37</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_Toc415054199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_Toc415054201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_Toc415054204 \h </w:instrText>
      </w:r>
      <w:r>
        <w:fldChar w:fldCharType="separate"/>
      </w:r>
      <w:r>
        <w:t>39</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_Toc415054205 \h </w:instrText>
      </w:r>
      <w:r>
        <w:fldChar w:fldCharType="separate"/>
      </w:r>
      <w:r>
        <w:t>39</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_Toc415054206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devices and identification equipment for registered identifiers</w:t>
      </w:r>
      <w:r>
        <w:tab/>
      </w:r>
      <w:r>
        <w:fldChar w:fldCharType="begin"/>
      </w:r>
      <w:r>
        <w:instrText xml:space="preserve"> PAGEREF _Toc415054208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_Toc415054210 \h </w:instrText>
      </w:r>
      <w:r>
        <w:fldChar w:fldCharType="separate"/>
      </w:r>
      <w:r>
        <w:t>42</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_Toc415054211 \h </w:instrText>
      </w:r>
      <w:r>
        <w:fldChar w:fldCharType="separate"/>
      </w:r>
      <w:r>
        <w:t>42</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_Toc415054212 \h </w:instrText>
      </w:r>
      <w:r>
        <w:fldChar w:fldCharType="separate"/>
      </w:r>
      <w:r>
        <w:t>42</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_Toc415054213 \h </w:instrText>
      </w:r>
      <w:r>
        <w:fldChar w:fldCharType="separate"/>
      </w:r>
      <w:r>
        <w:t>44</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_Toc415054214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_Toc415054216 \h </w:instrText>
      </w:r>
      <w:r>
        <w:fldChar w:fldCharType="separate"/>
      </w:r>
      <w:r>
        <w:t>47</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_Toc415054217 \h </w:instrText>
      </w:r>
      <w:r>
        <w:fldChar w:fldCharType="separate"/>
      </w:r>
      <w:r>
        <w:t>47</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_Toc415054218 \h </w:instrText>
      </w:r>
      <w:r>
        <w:fldChar w:fldCharType="separate"/>
      </w:r>
      <w:r>
        <w:t>47</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_Toc415054219 \h </w:instrText>
      </w:r>
      <w:r>
        <w:fldChar w:fldCharType="separate"/>
      </w:r>
      <w:r>
        <w:t>49</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_Toc415054220 \h </w:instrText>
      </w:r>
      <w:r>
        <w:fldChar w:fldCharType="separate"/>
      </w:r>
      <w:r>
        <w:t>49</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_Toc415054221 \h </w:instrText>
      </w:r>
      <w:r>
        <w:fldChar w:fldCharType="separate"/>
      </w:r>
      <w:r>
        <w:t>49</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_Toc415054222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_Toc415054225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to identify cattle and buffalo</w:t>
      </w:r>
      <w:r>
        <w:tab/>
      </w:r>
      <w:r>
        <w:fldChar w:fldCharType="begin"/>
      </w:r>
      <w:r>
        <w:instrText xml:space="preserve"> PAGEREF _Toc415054228 \h </w:instrText>
      </w:r>
      <w:r>
        <w:fldChar w:fldCharType="separate"/>
      </w:r>
      <w:r>
        <w:t>50</w:t>
      </w:r>
      <w:r>
        <w:fldChar w:fldCharType="end"/>
      </w:r>
    </w:p>
    <w:p>
      <w:pPr>
        <w:pStyle w:val="TOC8"/>
        <w:rPr>
          <w:rFonts w:asciiTheme="minorHAnsi" w:eastAsiaTheme="minorEastAsia" w:hAnsiTheme="minorHAnsi" w:cstheme="minorBidi"/>
          <w:szCs w:val="22"/>
        </w:rPr>
      </w:pPr>
      <w:r>
        <w:t>77.</w:t>
      </w:r>
      <w:r>
        <w:tab/>
        <w:t>Exemption for calves</w:t>
      </w:r>
      <w:r>
        <w:tab/>
      </w:r>
      <w:r>
        <w:fldChar w:fldCharType="begin"/>
      </w:r>
      <w:r>
        <w:instrText xml:space="preserve"> PAGEREF _Toc415054229 \h </w:instrText>
      </w:r>
      <w:r>
        <w:fldChar w:fldCharType="separate"/>
      </w:r>
      <w:r>
        <w:t>52</w:t>
      </w:r>
      <w:r>
        <w:fldChar w:fldCharType="end"/>
      </w:r>
    </w:p>
    <w:p>
      <w:pPr>
        <w:pStyle w:val="TOC8"/>
        <w:rPr>
          <w:rFonts w:asciiTheme="minorHAnsi" w:eastAsiaTheme="minorEastAsia" w:hAnsiTheme="minorHAnsi" w:cstheme="minorBidi"/>
          <w:szCs w:val="22"/>
        </w:rPr>
      </w:pPr>
      <w:r>
        <w:t>78.</w:t>
      </w:r>
      <w:r>
        <w:tab/>
        <w:t>Registered identifier applied as brand</w:t>
      </w:r>
      <w:r>
        <w:tab/>
      </w:r>
      <w:r>
        <w:fldChar w:fldCharType="begin"/>
      </w:r>
      <w:r>
        <w:instrText xml:space="preserve"> PAGEREF _Toc415054230 \h </w:instrText>
      </w:r>
      <w:r>
        <w:fldChar w:fldCharType="separate"/>
      </w:r>
      <w:r>
        <w:t>52</w:t>
      </w:r>
      <w:r>
        <w:fldChar w:fldCharType="end"/>
      </w:r>
    </w:p>
    <w:p>
      <w:pPr>
        <w:pStyle w:val="TOC8"/>
        <w:rPr>
          <w:rFonts w:asciiTheme="minorHAnsi" w:eastAsiaTheme="minorEastAsia" w:hAnsiTheme="minorHAnsi" w:cstheme="minorBidi"/>
          <w:szCs w:val="22"/>
        </w:rPr>
      </w:pPr>
      <w:r>
        <w:t>79.</w:t>
      </w:r>
      <w:r>
        <w:tab/>
        <w:t>Registered identifier applied as earmark</w:t>
      </w:r>
      <w:r>
        <w:tab/>
      </w:r>
      <w:r>
        <w:fldChar w:fldCharType="begin"/>
      </w:r>
      <w:r>
        <w:instrText xml:space="preserve"> PAGEREF _Toc415054231 \h </w:instrText>
      </w:r>
      <w:r>
        <w:fldChar w:fldCharType="separate"/>
      </w:r>
      <w:r>
        <w:t>53</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_Toc415054232 \h </w:instrText>
      </w:r>
      <w:r>
        <w:fldChar w:fldCharType="separate"/>
      </w:r>
      <w:r>
        <w:t>53</w:t>
      </w:r>
      <w:r>
        <w:fldChar w:fldCharType="end"/>
      </w:r>
    </w:p>
    <w:p>
      <w:pPr>
        <w:pStyle w:val="TOC8"/>
        <w:rPr>
          <w:rFonts w:asciiTheme="minorHAnsi" w:eastAsiaTheme="minorEastAsia" w:hAnsiTheme="minorHAnsi" w:cstheme="minorBidi"/>
          <w:szCs w:val="22"/>
        </w:rPr>
      </w:pPr>
      <w:r>
        <w:t>81.</w:t>
      </w:r>
      <w:r>
        <w:tab/>
        <w:t>Spayed bovine females must be marked</w:t>
      </w:r>
      <w:r>
        <w:tab/>
      </w:r>
      <w:r>
        <w:fldChar w:fldCharType="begin"/>
      </w:r>
      <w:r>
        <w:instrText xml:space="preserve"> PAGEREF _Toc415054233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identification</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_Toc415054235 \h </w:instrText>
      </w:r>
      <w:r>
        <w:fldChar w:fldCharType="separate"/>
      </w:r>
      <w:r>
        <w:t>54</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_Toc415054236 \h </w:instrText>
      </w:r>
      <w:r>
        <w:fldChar w:fldCharType="separate"/>
      </w:r>
      <w:r>
        <w:t>54</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_Toc415054237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_Toc415054240 \h </w:instrText>
      </w:r>
      <w:r>
        <w:fldChar w:fldCharType="separate"/>
      </w:r>
      <w:r>
        <w:t>56</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_Toc415054241 \h </w:instrText>
      </w:r>
      <w:r>
        <w:fldChar w:fldCharType="separate"/>
      </w:r>
      <w:r>
        <w:t>57</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_Toc415054242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_Toc415054244 \h </w:instrText>
      </w:r>
      <w:r>
        <w:fldChar w:fldCharType="separate"/>
      </w:r>
      <w:r>
        <w:t>57</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_Toc415054245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_Toc415054247 \h </w:instrText>
      </w:r>
      <w:r>
        <w:fldChar w:fldCharType="separate"/>
      </w:r>
      <w:r>
        <w:t>59</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a pound</w:t>
      </w:r>
      <w:r>
        <w:tab/>
      </w:r>
      <w:r>
        <w:fldChar w:fldCharType="begin"/>
      </w:r>
      <w:r>
        <w:instrText xml:space="preserve"> PAGEREF _Toc415054248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_Toc415054250 \h </w:instrText>
      </w:r>
      <w:r>
        <w:fldChar w:fldCharType="separate"/>
      </w:r>
      <w:r>
        <w:t>60</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_Toc415054251 \h </w:instrText>
      </w:r>
      <w:r>
        <w:fldChar w:fldCharType="separate"/>
      </w:r>
      <w:r>
        <w:t>60</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_Toc415054252 \h </w:instrText>
      </w:r>
      <w:r>
        <w:fldChar w:fldCharType="separate"/>
      </w:r>
      <w:r>
        <w:t>61</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_Toc415054253 \h </w:instrText>
      </w:r>
      <w:r>
        <w:fldChar w:fldCharType="separate"/>
      </w:r>
      <w:r>
        <w:t>61</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_Toc415054254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_Toc415054256 \h </w:instrText>
      </w:r>
      <w:r>
        <w:fldChar w:fldCharType="separate"/>
      </w:r>
      <w:r>
        <w:t>62</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_Toc415054257 \h </w:instrText>
      </w:r>
      <w:r>
        <w:fldChar w:fldCharType="separate"/>
      </w:r>
      <w:r>
        <w:t>63</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_Toc415054258 \h </w:instrText>
      </w:r>
      <w:r>
        <w:fldChar w:fldCharType="separate"/>
      </w:r>
      <w:r>
        <w:t>64</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_Toc415054259 \h </w:instrText>
      </w:r>
      <w:r>
        <w:fldChar w:fldCharType="separate"/>
      </w:r>
      <w:r>
        <w:t>64</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_Toc415054260 \h </w:instrText>
      </w:r>
      <w:r>
        <w:fldChar w:fldCharType="separate"/>
      </w:r>
      <w:r>
        <w:t>65</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_Toc415054261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_Toc415054263 \h </w:instrText>
      </w:r>
      <w:r>
        <w:fldChar w:fldCharType="separate"/>
      </w:r>
      <w:r>
        <w:t>66</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_Toc415054264 \h </w:instrText>
      </w:r>
      <w:r>
        <w:fldChar w:fldCharType="separate"/>
      </w:r>
      <w:r>
        <w:t>66</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_Toc415054265 \h </w:instrText>
      </w:r>
      <w:r>
        <w:fldChar w:fldCharType="separate"/>
      </w:r>
      <w:r>
        <w:t>67</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_Toc415054266 \h </w:instrText>
      </w:r>
      <w:r>
        <w:fldChar w:fldCharType="separate"/>
      </w:r>
      <w:r>
        <w:t>68</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_Toc415054267 \h </w:instrText>
      </w:r>
      <w:r>
        <w:fldChar w:fldCharType="separate"/>
      </w:r>
      <w:r>
        <w:t>68</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_Toc415054268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_Toc415054270 \h </w:instrText>
      </w:r>
      <w:r>
        <w:fldChar w:fldCharType="separate"/>
      </w:r>
      <w:r>
        <w:t>70</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_Toc415054271 \h </w:instrText>
      </w:r>
      <w:r>
        <w:fldChar w:fldCharType="separate"/>
      </w:r>
      <w:r>
        <w:t>72</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_Toc415054272 \h </w:instrText>
      </w:r>
      <w:r>
        <w:fldChar w:fldCharType="separate"/>
      </w:r>
      <w:r>
        <w:t>72</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_Toc415054273 \h </w:instrText>
      </w:r>
      <w:r>
        <w:fldChar w:fldCharType="separate"/>
      </w:r>
      <w:r>
        <w:t>73</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_Toc415054274 \h </w:instrText>
      </w:r>
      <w:r>
        <w:fldChar w:fldCharType="separate"/>
      </w:r>
      <w:r>
        <w:t>74</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_Toc415054275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_Toc415054277 \h </w:instrText>
      </w:r>
      <w:r>
        <w:fldChar w:fldCharType="separate"/>
      </w:r>
      <w:r>
        <w:t>77</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_Toc415054278 \h </w:instrText>
      </w:r>
      <w:r>
        <w:fldChar w:fldCharType="separate"/>
      </w:r>
      <w:r>
        <w:t>78</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_Toc415054279 \h </w:instrText>
      </w:r>
      <w:r>
        <w:fldChar w:fldCharType="separate"/>
      </w:r>
      <w:r>
        <w:t>78</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_Toc415054280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and goats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_Toc415054283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or goats</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 for sheep</w:t>
      </w:r>
    </w:p>
    <w:p>
      <w:pPr>
        <w:pStyle w:val="TOC8"/>
        <w:rPr>
          <w:rFonts w:asciiTheme="minorHAnsi" w:eastAsiaTheme="minorEastAsia" w:hAnsiTheme="minorHAnsi" w:cstheme="minorBidi"/>
          <w:szCs w:val="22"/>
        </w:rPr>
      </w:pPr>
      <w:r>
        <w:t>120.</w:t>
      </w:r>
      <w:r>
        <w:tab/>
        <w:t>Owners to identify sheep</w:t>
      </w:r>
      <w:r>
        <w:tab/>
      </w:r>
      <w:r>
        <w:fldChar w:fldCharType="begin"/>
      </w:r>
      <w:r>
        <w:instrText xml:space="preserve"> PAGEREF _Toc415054286 \h </w:instrText>
      </w:r>
      <w:r>
        <w:fldChar w:fldCharType="separate"/>
      </w:r>
      <w:r>
        <w:t>82</w:t>
      </w:r>
      <w:r>
        <w:fldChar w:fldCharType="end"/>
      </w:r>
    </w:p>
    <w:p>
      <w:pPr>
        <w:pStyle w:val="TOC8"/>
        <w:rPr>
          <w:rFonts w:asciiTheme="minorHAnsi" w:eastAsiaTheme="minorEastAsia" w:hAnsiTheme="minorHAnsi" w:cstheme="minorBidi"/>
          <w:szCs w:val="22"/>
        </w:rPr>
      </w:pPr>
      <w:r>
        <w:t>121.</w:t>
      </w:r>
      <w:r>
        <w:tab/>
        <w:t>Exemption for lambs</w:t>
      </w:r>
      <w:r>
        <w:tab/>
      </w:r>
      <w:r>
        <w:fldChar w:fldCharType="begin"/>
      </w:r>
      <w:r>
        <w:instrText xml:space="preserve"> PAGEREF _Toc415054287 \h </w:instrText>
      </w:r>
      <w:r>
        <w:fldChar w:fldCharType="separate"/>
      </w:r>
      <w:r>
        <w:t>84</w:t>
      </w:r>
      <w:r>
        <w:fldChar w:fldCharType="end"/>
      </w:r>
    </w:p>
    <w:p>
      <w:pPr>
        <w:pStyle w:val="TOC8"/>
        <w:rPr>
          <w:rFonts w:asciiTheme="minorHAnsi" w:eastAsiaTheme="minorEastAsia" w:hAnsiTheme="minorHAnsi" w:cstheme="minorBidi"/>
          <w:szCs w:val="22"/>
        </w:rPr>
      </w:pPr>
      <w:r>
        <w:t>122.</w:t>
      </w:r>
      <w:r>
        <w:tab/>
        <w:t>Registered identifier applied as earmark</w:t>
      </w:r>
      <w:r>
        <w:tab/>
      </w:r>
      <w:r>
        <w:fldChar w:fldCharType="begin"/>
      </w:r>
      <w:r>
        <w:instrText xml:space="preserve"> PAGEREF _Toc415054288 \h </w:instrText>
      </w:r>
      <w:r>
        <w:fldChar w:fldCharType="separate"/>
      </w:r>
      <w:r>
        <w:t>84</w:t>
      </w:r>
      <w:r>
        <w:fldChar w:fldCharType="end"/>
      </w:r>
    </w:p>
    <w:p>
      <w:pPr>
        <w:pStyle w:val="TOC8"/>
        <w:rPr>
          <w:rFonts w:asciiTheme="minorHAnsi" w:eastAsiaTheme="minorEastAsia" w:hAnsiTheme="minorHAnsi" w:cstheme="minorBidi"/>
          <w:szCs w:val="22"/>
        </w:rPr>
      </w:pPr>
      <w:r>
        <w:t>123.</w:t>
      </w:r>
      <w:r>
        <w:tab/>
        <w:t>Age marks, cullmarks and other markings</w:t>
      </w:r>
      <w:r>
        <w:tab/>
      </w:r>
      <w:r>
        <w:fldChar w:fldCharType="begin"/>
      </w:r>
      <w:r>
        <w:instrText xml:space="preserve"> PAGEREF _Toc415054289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 and approved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_Toc415054291 \h </w:instrText>
      </w:r>
      <w:r>
        <w:fldChar w:fldCharType="separate"/>
      </w:r>
      <w:r>
        <w:t>85</w:t>
      </w:r>
      <w:r>
        <w:fldChar w:fldCharType="end"/>
      </w:r>
    </w:p>
    <w:p>
      <w:pPr>
        <w:pStyle w:val="TOC8"/>
        <w:rPr>
          <w:rFonts w:asciiTheme="minorHAnsi" w:eastAsiaTheme="minorEastAsia" w:hAnsiTheme="minorHAnsi" w:cstheme="minorBidi"/>
          <w:szCs w:val="22"/>
        </w:rPr>
      </w:pPr>
      <w:r>
        <w:t>125.</w:t>
      </w:r>
      <w:r>
        <w:tab/>
        <w:t>Exemption for kids</w:t>
      </w:r>
      <w:r>
        <w:tab/>
      </w:r>
      <w:r>
        <w:fldChar w:fldCharType="begin"/>
      </w:r>
      <w:r>
        <w:instrText xml:space="preserve"> PAGEREF _Toc415054292 \h </w:instrText>
      </w:r>
      <w:r>
        <w:fldChar w:fldCharType="separate"/>
      </w:r>
      <w:r>
        <w:t>86</w:t>
      </w:r>
      <w:r>
        <w:fldChar w:fldCharType="end"/>
      </w:r>
    </w:p>
    <w:p>
      <w:pPr>
        <w:pStyle w:val="TOC8"/>
        <w:rPr>
          <w:rFonts w:asciiTheme="minorHAnsi" w:eastAsiaTheme="minorEastAsia" w:hAnsiTheme="minorHAnsi" w:cstheme="minorBidi"/>
          <w:szCs w:val="22"/>
        </w:rPr>
      </w:pPr>
      <w:r>
        <w:t>126.</w:t>
      </w:r>
      <w:r>
        <w:tab/>
        <w:t>Registered identifier applied as earmark</w:t>
      </w:r>
      <w:r>
        <w:tab/>
      </w:r>
      <w:r>
        <w:fldChar w:fldCharType="begin"/>
      </w:r>
      <w:r>
        <w:instrText xml:space="preserve"> PAGEREF _Toc415054293 \h </w:instrText>
      </w:r>
      <w:r>
        <w:fldChar w:fldCharType="separate"/>
      </w:r>
      <w:r>
        <w:t>86</w:t>
      </w:r>
      <w:r>
        <w:fldChar w:fldCharType="end"/>
      </w:r>
    </w:p>
    <w:p>
      <w:pPr>
        <w:pStyle w:val="TOC8"/>
        <w:rPr>
          <w:rFonts w:asciiTheme="minorHAnsi" w:eastAsiaTheme="minorEastAsia" w:hAnsiTheme="minorHAnsi" w:cstheme="minorBidi"/>
          <w:szCs w:val="22"/>
        </w:rPr>
      </w:pPr>
      <w:r>
        <w:t>127.</w:t>
      </w:r>
      <w:r>
        <w:tab/>
        <w:t>Age marks, cullmarks and other markings</w:t>
      </w:r>
      <w:r>
        <w:tab/>
      </w:r>
      <w:r>
        <w:fldChar w:fldCharType="begin"/>
      </w:r>
      <w:r>
        <w:instrText xml:space="preserve"> PAGEREF _Toc415054294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identification for sheep and goats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_Toc415054296 \h </w:instrText>
      </w:r>
      <w:r>
        <w:fldChar w:fldCharType="separate"/>
      </w:r>
      <w:r>
        <w:t>87</w:t>
      </w:r>
      <w:r>
        <w:fldChar w:fldCharType="end"/>
      </w:r>
    </w:p>
    <w:p>
      <w:pPr>
        <w:pStyle w:val="TOC8"/>
        <w:rPr>
          <w:rFonts w:asciiTheme="minorHAnsi" w:eastAsiaTheme="minorEastAsia" w:hAnsiTheme="minorHAnsi" w:cstheme="minorBidi"/>
          <w:szCs w:val="22"/>
        </w:rPr>
      </w:pPr>
      <w:r>
        <w:t>129.</w:t>
      </w:r>
      <w:r>
        <w:tab/>
        <w:t>Exemptions from NLIS identification</w:t>
      </w:r>
      <w:r>
        <w:tab/>
      </w:r>
      <w:r>
        <w:fldChar w:fldCharType="begin"/>
      </w:r>
      <w:r>
        <w:instrText xml:space="preserve"> PAGEREF _Toc415054297 \h </w:instrText>
      </w:r>
      <w:r>
        <w:fldChar w:fldCharType="separate"/>
      </w:r>
      <w:r>
        <w:t>88</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_Toc415054298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Other requirements for sheep and goats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and goats</w:t>
      </w:r>
      <w:r>
        <w:tab/>
      </w:r>
      <w:r>
        <w:fldChar w:fldCharType="begin"/>
      </w:r>
      <w:r>
        <w:instrText xml:space="preserve"> PAGEREF _Toc415054301 \h </w:instrText>
      </w:r>
      <w:r>
        <w:fldChar w:fldCharType="separate"/>
      </w:r>
      <w:r>
        <w:t>90</w:t>
      </w:r>
      <w:r>
        <w:fldChar w:fldCharType="end"/>
      </w:r>
    </w:p>
    <w:p>
      <w:pPr>
        <w:pStyle w:val="TOC8"/>
        <w:rPr>
          <w:rFonts w:asciiTheme="minorHAnsi" w:eastAsiaTheme="minorEastAsia" w:hAnsiTheme="minorHAnsi" w:cstheme="minorBidi"/>
          <w:szCs w:val="22"/>
        </w:rPr>
      </w:pPr>
      <w:r>
        <w:t>132.</w:t>
      </w:r>
      <w:r>
        <w:tab/>
        <w:t>Sheep and goats from a pound</w:t>
      </w:r>
      <w:r>
        <w:tab/>
      </w:r>
      <w:r>
        <w:fldChar w:fldCharType="begin"/>
      </w:r>
      <w:r>
        <w:instrText xml:space="preserve"> PAGEREF _Toc415054302 \h </w:instrText>
      </w:r>
      <w:r>
        <w:fldChar w:fldCharType="separate"/>
      </w:r>
      <w:r>
        <w:t>90</w:t>
      </w:r>
      <w:r>
        <w:fldChar w:fldCharType="end"/>
      </w:r>
    </w:p>
    <w:p>
      <w:pPr>
        <w:pStyle w:val="TOC8"/>
        <w:rPr>
          <w:rFonts w:asciiTheme="minorHAnsi" w:eastAsiaTheme="minorEastAsia" w:hAnsiTheme="minorHAnsi" w:cstheme="minorBidi"/>
          <w:szCs w:val="22"/>
        </w:rPr>
      </w:pPr>
      <w:r>
        <w:t>133.</w:t>
      </w:r>
      <w:r>
        <w:tab/>
        <w:t>Dead stray sheep and goats</w:t>
      </w:r>
      <w:r>
        <w:tab/>
      </w:r>
      <w:r>
        <w:fldChar w:fldCharType="begin"/>
      </w:r>
      <w:r>
        <w:instrText xml:space="preserve"> PAGEREF _Toc415054303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_Toc415054305 \h </w:instrText>
      </w:r>
      <w:r>
        <w:fldChar w:fldCharType="separate"/>
      </w:r>
      <w:r>
        <w:t>91</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_Toc415054306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or goats not to be delivered to property without relevant PIC</w:t>
      </w:r>
      <w:r>
        <w:tab/>
      </w:r>
      <w:r>
        <w:fldChar w:fldCharType="begin"/>
      </w:r>
      <w:r>
        <w:instrText xml:space="preserve"> PAGEREF _Toc415054308 \h </w:instrText>
      </w:r>
      <w:r>
        <w:fldChar w:fldCharType="separate"/>
      </w:r>
      <w:r>
        <w:t>94</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_Toc415054309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_Toc415054311 \h </w:instrText>
      </w:r>
      <w:r>
        <w:fldChar w:fldCharType="separate"/>
      </w:r>
      <w:r>
        <w:t>95</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_Toc415054312 \h </w:instrText>
      </w:r>
      <w:r>
        <w:fldChar w:fldCharType="separate"/>
      </w:r>
      <w:r>
        <w:t>96</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_Toc415054313 \h </w:instrText>
      </w:r>
      <w:r>
        <w:fldChar w:fldCharType="separate"/>
      </w:r>
      <w:r>
        <w:t>96</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_Toc415054314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_Toc415054316 \h </w:instrText>
      </w:r>
      <w:r>
        <w:fldChar w:fldCharType="separate"/>
      </w:r>
      <w:r>
        <w:t>98</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_Toc415054317 \h </w:instrText>
      </w:r>
      <w:r>
        <w:fldChar w:fldCharType="separate"/>
      </w:r>
      <w:r>
        <w:t>99</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_Toc415054318 \h </w:instrText>
      </w:r>
      <w:r>
        <w:fldChar w:fldCharType="separate"/>
      </w:r>
      <w:r>
        <w:t>99</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_Toc415054319 \h </w:instrText>
      </w:r>
      <w:r>
        <w:fldChar w:fldCharType="separate"/>
      </w:r>
      <w:r>
        <w:t>99</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_Toc415054320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_Toc415054322 \h </w:instrText>
      </w:r>
      <w:r>
        <w:fldChar w:fldCharType="separate"/>
      </w:r>
      <w:r>
        <w:t>101</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_Toc415054323 \h </w:instrText>
      </w:r>
      <w:r>
        <w:fldChar w:fldCharType="separate"/>
      </w:r>
      <w:r>
        <w:t>101</w:t>
      </w:r>
      <w:r>
        <w:fldChar w:fldCharType="end"/>
      </w:r>
    </w:p>
    <w:p>
      <w:pPr>
        <w:pStyle w:val="TOC8"/>
        <w:rPr>
          <w:rFonts w:asciiTheme="minorHAnsi" w:eastAsiaTheme="minorEastAsia" w:hAnsiTheme="minorHAnsi" w:cstheme="minorBidi"/>
          <w:szCs w:val="22"/>
        </w:rPr>
      </w:pPr>
      <w:r>
        <w:t>149.</w:t>
      </w:r>
      <w:r>
        <w:tab/>
        <w:t>Directions by inspectors</w:t>
      </w:r>
      <w:r>
        <w:tab/>
      </w:r>
      <w:r>
        <w:fldChar w:fldCharType="begin"/>
      </w:r>
      <w:r>
        <w:instrText xml:space="preserve"> PAGEREF _Toc415054324 \h </w:instrText>
      </w:r>
      <w:r>
        <w:fldChar w:fldCharType="separate"/>
      </w:r>
      <w:r>
        <w:t>103</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_Toc415054325 \h </w:instrText>
      </w:r>
      <w:r>
        <w:fldChar w:fldCharType="separate"/>
      </w:r>
      <w:r>
        <w:t>103</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_Toc415054326 \h </w:instrText>
      </w:r>
      <w:r>
        <w:fldChar w:fldCharType="separate"/>
      </w:r>
      <w:r>
        <w:t>103</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_Toc415054327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_Toc415054329 \h </w:instrText>
      </w:r>
      <w:r>
        <w:fldChar w:fldCharType="separate"/>
      </w:r>
      <w:r>
        <w:t>105</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_Toc415054330 \h </w:instrText>
      </w:r>
      <w:r>
        <w:fldChar w:fldCharType="separate"/>
      </w:r>
      <w:r>
        <w:t>107</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_Toc415054331 \h </w:instrText>
      </w:r>
      <w:r>
        <w:fldChar w:fldCharType="separate"/>
      </w:r>
      <w:r>
        <w:t>107</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_Toc415054332 \h </w:instrText>
      </w:r>
      <w:r>
        <w:fldChar w:fldCharType="separate"/>
      </w:r>
      <w:r>
        <w:t>107</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_Toc415054333 \h </w:instrText>
      </w:r>
      <w:r>
        <w:fldChar w:fldCharType="separate"/>
      </w:r>
      <w:r>
        <w:t>108</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_Toc415054334 \h </w:instrText>
      </w:r>
      <w:r>
        <w:fldChar w:fldCharType="separate"/>
      </w:r>
      <w:r>
        <w:t>109</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_Toc415054335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_Toc415054337 \h </w:instrText>
      </w:r>
      <w:r>
        <w:fldChar w:fldCharType="separate"/>
      </w:r>
      <w:r>
        <w:t>112</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_Toc415054338 \h </w:instrText>
      </w:r>
      <w:r>
        <w:fldChar w:fldCharType="separate"/>
      </w:r>
      <w:r>
        <w:t>113</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_Toc415054339 \h </w:instrText>
      </w:r>
      <w:r>
        <w:fldChar w:fldCharType="separate"/>
      </w:r>
      <w:r>
        <w:t>113</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_Toc415054340 \h </w:instrText>
      </w:r>
      <w:r>
        <w:fldChar w:fldCharType="separate"/>
      </w:r>
      <w:r>
        <w:t>114</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_Toc415054341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_Toc415054344 \h </w:instrText>
      </w:r>
      <w:r>
        <w:fldChar w:fldCharType="separate"/>
      </w:r>
      <w:r>
        <w:t>118</w:t>
      </w:r>
      <w:r>
        <w:fldChar w:fldCharType="end"/>
      </w:r>
    </w:p>
    <w:p>
      <w:pPr>
        <w:pStyle w:val="TOC8"/>
        <w:rPr>
          <w:rFonts w:asciiTheme="minorHAnsi" w:eastAsiaTheme="minorEastAsia" w:hAnsiTheme="minorHAnsi" w:cstheme="minorBidi"/>
          <w:szCs w:val="22"/>
        </w:rPr>
      </w:pPr>
      <w:r>
        <w:t>166.</w:t>
      </w:r>
      <w:r>
        <w:tab/>
        <w:t>Exemption for deer under 12 months</w:t>
      </w:r>
      <w:r>
        <w:tab/>
      </w:r>
      <w:r>
        <w:fldChar w:fldCharType="begin"/>
      </w:r>
      <w:r>
        <w:instrText xml:space="preserve"> PAGEREF _Toc415054345 \h </w:instrText>
      </w:r>
      <w:r>
        <w:fldChar w:fldCharType="separate"/>
      </w:r>
      <w:r>
        <w:t>119</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_Toc415054346 \h </w:instrText>
      </w:r>
      <w:r>
        <w:fldChar w:fldCharType="separate"/>
      </w:r>
      <w:r>
        <w:t>119</w:t>
      </w:r>
      <w:r>
        <w:fldChar w:fldCharType="end"/>
      </w:r>
    </w:p>
    <w:p>
      <w:pPr>
        <w:pStyle w:val="TOC8"/>
        <w:rPr>
          <w:rFonts w:asciiTheme="minorHAnsi" w:eastAsiaTheme="minorEastAsia" w:hAnsiTheme="minorHAnsi" w:cstheme="minorBidi"/>
          <w:szCs w:val="22"/>
        </w:rPr>
      </w:pPr>
      <w:r>
        <w:t>168.</w:t>
      </w:r>
      <w:r>
        <w:tab/>
        <w:t>Registered identifier applied as brand</w:t>
      </w:r>
      <w:r>
        <w:tab/>
      </w:r>
      <w:r>
        <w:fldChar w:fldCharType="begin"/>
      </w:r>
      <w:r>
        <w:instrText xml:space="preserve"> PAGEREF _Toc415054347 \h </w:instrText>
      </w:r>
      <w:r>
        <w:fldChar w:fldCharType="separate"/>
      </w:r>
      <w:r>
        <w:t>120</w:t>
      </w:r>
      <w:r>
        <w:fldChar w:fldCharType="end"/>
      </w:r>
    </w:p>
    <w:p>
      <w:pPr>
        <w:pStyle w:val="TOC8"/>
        <w:rPr>
          <w:rFonts w:asciiTheme="minorHAnsi" w:eastAsiaTheme="minorEastAsia" w:hAnsiTheme="minorHAnsi" w:cstheme="minorBidi"/>
          <w:szCs w:val="22"/>
        </w:rPr>
      </w:pPr>
      <w:r>
        <w:t>169.</w:t>
      </w:r>
      <w:r>
        <w:tab/>
        <w:t>Registered identifier applied as an earmark</w:t>
      </w:r>
      <w:r>
        <w:tab/>
      </w:r>
      <w:r>
        <w:fldChar w:fldCharType="begin"/>
      </w:r>
      <w:r>
        <w:instrText xml:space="preserve"> PAGEREF _Toc415054348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Horses</w:t>
      </w:r>
    </w:p>
    <w:p>
      <w:pPr>
        <w:pStyle w:val="TOC8"/>
        <w:rPr>
          <w:rFonts w:asciiTheme="minorHAnsi" w:eastAsiaTheme="minorEastAsia" w:hAnsiTheme="minorHAnsi" w:cstheme="minorBidi"/>
          <w:szCs w:val="22"/>
        </w:rPr>
      </w:pPr>
      <w:r>
        <w:t>170.</w:t>
      </w:r>
      <w:r>
        <w:tab/>
        <w:t>Owners to identify horses</w:t>
      </w:r>
      <w:r>
        <w:tab/>
      </w:r>
      <w:r>
        <w:fldChar w:fldCharType="begin"/>
      </w:r>
      <w:r>
        <w:instrText xml:space="preserve"> PAGEREF _Toc415054350 \h </w:instrText>
      </w:r>
      <w:r>
        <w:fldChar w:fldCharType="separate"/>
      </w:r>
      <w:r>
        <w:t>120</w:t>
      </w:r>
      <w:r>
        <w:fldChar w:fldCharType="end"/>
      </w:r>
    </w:p>
    <w:p>
      <w:pPr>
        <w:pStyle w:val="TOC8"/>
        <w:rPr>
          <w:rFonts w:asciiTheme="minorHAnsi" w:eastAsiaTheme="minorEastAsia" w:hAnsiTheme="minorHAnsi" w:cstheme="minorBidi"/>
          <w:szCs w:val="22"/>
        </w:rPr>
      </w:pPr>
      <w:r>
        <w:t>171.</w:t>
      </w:r>
      <w:r>
        <w:tab/>
        <w:t>Exemption for foals</w:t>
      </w:r>
      <w:r>
        <w:tab/>
      </w:r>
      <w:r>
        <w:fldChar w:fldCharType="begin"/>
      </w:r>
      <w:r>
        <w:instrText xml:space="preserve"> PAGEREF _Toc415054351 \h </w:instrText>
      </w:r>
      <w:r>
        <w:fldChar w:fldCharType="separate"/>
      </w:r>
      <w:r>
        <w:t>122</w:t>
      </w:r>
      <w:r>
        <w:fldChar w:fldCharType="end"/>
      </w:r>
    </w:p>
    <w:p>
      <w:pPr>
        <w:pStyle w:val="TOC8"/>
        <w:rPr>
          <w:rFonts w:asciiTheme="minorHAnsi" w:eastAsiaTheme="minorEastAsia" w:hAnsiTheme="minorHAnsi" w:cstheme="minorBidi"/>
          <w:szCs w:val="22"/>
        </w:rPr>
      </w:pPr>
      <w:r>
        <w:t>172.</w:t>
      </w:r>
      <w:r>
        <w:tab/>
        <w:t>Horses identified by previous owner</w:t>
      </w:r>
      <w:r>
        <w:tab/>
      </w:r>
      <w:r>
        <w:fldChar w:fldCharType="begin"/>
      </w:r>
      <w:r>
        <w:instrText xml:space="preserve"> PAGEREF _Toc415054352 \h </w:instrText>
      </w:r>
      <w:r>
        <w:fldChar w:fldCharType="separate"/>
      </w:r>
      <w:r>
        <w:t>122</w:t>
      </w:r>
      <w:r>
        <w:fldChar w:fldCharType="end"/>
      </w:r>
    </w:p>
    <w:p>
      <w:pPr>
        <w:pStyle w:val="TOC8"/>
        <w:rPr>
          <w:rFonts w:asciiTheme="minorHAnsi" w:eastAsiaTheme="minorEastAsia" w:hAnsiTheme="minorHAnsi" w:cstheme="minorBidi"/>
          <w:szCs w:val="22"/>
        </w:rPr>
      </w:pPr>
      <w:r>
        <w:t>173.</w:t>
      </w:r>
      <w:r>
        <w:tab/>
        <w:t>Registered identifier applied as brand</w:t>
      </w:r>
      <w:r>
        <w:tab/>
      </w:r>
      <w:r>
        <w:fldChar w:fldCharType="begin"/>
      </w:r>
      <w:r>
        <w:instrText xml:space="preserve"> PAGEREF _Toc415054353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3 — Ostriches</w:t>
      </w:r>
    </w:p>
    <w:p>
      <w:pPr>
        <w:pStyle w:val="TOC8"/>
        <w:rPr>
          <w:rFonts w:asciiTheme="minorHAnsi" w:eastAsiaTheme="minorEastAsia" w:hAnsiTheme="minorHAnsi" w:cstheme="minorBidi"/>
          <w:szCs w:val="22"/>
        </w:rPr>
      </w:pPr>
      <w:r>
        <w:t>174.</w:t>
      </w:r>
      <w:r>
        <w:tab/>
        <w:t>Identification of ostriches not required</w:t>
      </w:r>
      <w:r>
        <w:tab/>
      </w:r>
      <w:r>
        <w:fldChar w:fldCharType="begin"/>
      </w:r>
      <w:r>
        <w:instrText xml:space="preserve"> PAGEREF _Toc415054355 \h </w:instrText>
      </w:r>
      <w:r>
        <w:fldChar w:fldCharType="separate"/>
      </w:r>
      <w:r>
        <w:t>123</w:t>
      </w:r>
      <w:r>
        <w:fldChar w:fldCharType="end"/>
      </w:r>
    </w:p>
    <w:p>
      <w:pPr>
        <w:pStyle w:val="TOC8"/>
        <w:rPr>
          <w:rFonts w:asciiTheme="minorHAnsi" w:eastAsiaTheme="minorEastAsia" w:hAnsiTheme="minorHAnsi" w:cstheme="minorBidi"/>
          <w:szCs w:val="22"/>
        </w:rPr>
      </w:pPr>
      <w:r>
        <w:t>175.</w:t>
      </w:r>
      <w:r>
        <w:tab/>
        <w:t>How ostriches may be identified</w:t>
      </w:r>
      <w:r>
        <w:tab/>
      </w:r>
      <w:r>
        <w:fldChar w:fldCharType="begin"/>
      </w:r>
      <w:r>
        <w:instrText xml:space="preserve"> PAGEREF _Toc415054356 \h </w:instrText>
      </w:r>
      <w:r>
        <w:fldChar w:fldCharType="separate"/>
      </w:r>
      <w:r>
        <w:t>123</w:t>
      </w:r>
      <w:r>
        <w:fldChar w:fldCharType="end"/>
      </w:r>
    </w:p>
    <w:p>
      <w:pPr>
        <w:pStyle w:val="TOC8"/>
        <w:rPr>
          <w:rFonts w:asciiTheme="minorHAnsi" w:eastAsiaTheme="minorEastAsia" w:hAnsiTheme="minorHAnsi" w:cstheme="minorBidi"/>
          <w:szCs w:val="22"/>
        </w:rPr>
      </w:pPr>
      <w:r>
        <w:t>176.</w:t>
      </w:r>
      <w:r>
        <w:tab/>
        <w:t>Registered identifier applied as brand</w:t>
      </w:r>
      <w:r>
        <w:tab/>
      </w:r>
      <w:r>
        <w:fldChar w:fldCharType="begin"/>
      </w:r>
      <w:r>
        <w:instrText xml:space="preserve"> PAGEREF _Toc415054357 \h </w:instrText>
      </w:r>
      <w:r>
        <w:fldChar w:fldCharType="separate"/>
      </w:r>
      <w:r>
        <w:t>123</w:t>
      </w:r>
      <w:r>
        <w:fldChar w:fldCharType="end"/>
      </w:r>
    </w:p>
    <w:p>
      <w:pPr>
        <w:pStyle w:val="TOC8"/>
        <w:rPr>
          <w:rFonts w:asciiTheme="minorHAnsi" w:eastAsiaTheme="minorEastAsia" w:hAnsiTheme="minorHAnsi" w:cstheme="minorBidi"/>
          <w:szCs w:val="22"/>
        </w:rPr>
      </w:pPr>
      <w:r>
        <w:t>177.</w:t>
      </w:r>
      <w:r>
        <w:tab/>
        <w:t>Other markings on neck tags and leg bands</w:t>
      </w:r>
      <w:r>
        <w:tab/>
      </w:r>
      <w:r>
        <w:fldChar w:fldCharType="begin"/>
      </w:r>
      <w:r>
        <w:instrText xml:space="preserve"> PAGEREF _Toc415054358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Pigs</w:t>
      </w:r>
    </w:p>
    <w:p>
      <w:pPr>
        <w:pStyle w:val="TOC8"/>
        <w:rPr>
          <w:rFonts w:asciiTheme="minorHAnsi" w:eastAsiaTheme="minorEastAsia" w:hAnsiTheme="minorHAnsi" w:cstheme="minorBidi"/>
          <w:szCs w:val="22"/>
        </w:rPr>
      </w:pPr>
      <w:r>
        <w:t>178.</w:t>
      </w:r>
      <w:r>
        <w:tab/>
        <w:t>Owners to identify pigs</w:t>
      </w:r>
      <w:r>
        <w:tab/>
      </w:r>
      <w:r>
        <w:fldChar w:fldCharType="begin"/>
      </w:r>
      <w:r>
        <w:instrText xml:space="preserve"> PAGEREF _Toc415054360 \h </w:instrText>
      </w:r>
      <w:r>
        <w:fldChar w:fldCharType="separate"/>
      </w:r>
      <w:r>
        <w:t>124</w:t>
      </w:r>
      <w:r>
        <w:fldChar w:fldCharType="end"/>
      </w:r>
    </w:p>
    <w:p>
      <w:pPr>
        <w:pStyle w:val="TOC8"/>
        <w:rPr>
          <w:rFonts w:asciiTheme="minorHAnsi" w:eastAsiaTheme="minorEastAsia" w:hAnsiTheme="minorHAnsi" w:cstheme="minorBidi"/>
          <w:szCs w:val="22"/>
        </w:rPr>
      </w:pPr>
      <w:r>
        <w:t>179.</w:t>
      </w:r>
      <w:r>
        <w:tab/>
        <w:t>Exemptions for piglets and stud animals</w:t>
      </w:r>
      <w:r>
        <w:tab/>
      </w:r>
      <w:r>
        <w:fldChar w:fldCharType="begin"/>
      </w:r>
      <w:r>
        <w:instrText xml:space="preserve"> PAGEREF _Toc415054361 \h </w:instrText>
      </w:r>
      <w:r>
        <w:fldChar w:fldCharType="separate"/>
      </w:r>
      <w:r>
        <w:t>124</w:t>
      </w:r>
      <w:r>
        <w:fldChar w:fldCharType="end"/>
      </w:r>
    </w:p>
    <w:p>
      <w:pPr>
        <w:pStyle w:val="TOC8"/>
        <w:rPr>
          <w:rFonts w:asciiTheme="minorHAnsi" w:eastAsiaTheme="minorEastAsia" w:hAnsiTheme="minorHAnsi" w:cstheme="minorBidi"/>
          <w:szCs w:val="22"/>
        </w:rPr>
      </w:pPr>
      <w:r>
        <w:t>180.</w:t>
      </w:r>
      <w:r>
        <w:tab/>
        <w:t>Registered identifier applied as brand</w:t>
      </w:r>
      <w:r>
        <w:tab/>
      </w:r>
      <w:r>
        <w:fldChar w:fldCharType="begin"/>
      </w:r>
      <w:r>
        <w:instrText xml:space="preserve"> PAGEREF _Toc415054362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_Toc415054364 \h </w:instrText>
      </w:r>
      <w:r>
        <w:fldChar w:fldCharType="separate"/>
      </w:r>
      <w:r>
        <w:t>125</w:t>
      </w:r>
      <w:r>
        <w:fldChar w:fldCharType="end"/>
      </w:r>
    </w:p>
    <w:p>
      <w:pPr>
        <w:pStyle w:val="TOC8"/>
        <w:rPr>
          <w:rFonts w:asciiTheme="minorHAnsi" w:eastAsiaTheme="minorEastAsia" w:hAnsiTheme="minorHAnsi" w:cstheme="minorBidi"/>
          <w:szCs w:val="22"/>
        </w:rPr>
      </w:pPr>
      <w:r>
        <w:t>182.</w:t>
      </w:r>
      <w:r>
        <w:tab/>
        <w:t>Exemption for South American camelids under 6 months</w:t>
      </w:r>
      <w:r>
        <w:tab/>
      </w:r>
      <w:r>
        <w:fldChar w:fldCharType="begin"/>
      </w:r>
      <w:r>
        <w:instrText xml:space="preserve"> PAGEREF _Toc415054365 \h </w:instrText>
      </w:r>
      <w:r>
        <w:fldChar w:fldCharType="separate"/>
      </w:r>
      <w:r>
        <w:t>126</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_Toc415054366 \h </w:instrText>
      </w:r>
      <w:r>
        <w:fldChar w:fldCharType="separate"/>
      </w:r>
      <w:r>
        <w:t>127</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_Toc415054367 \h </w:instrText>
      </w:r>
      <w:r>
        <w:fldChar w:fldCharType="separate"/>
      </w:r>
      <w:r>
        <w:t>127</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_Toc415054368 \h </w:instrText>
      </w:r>
      <w:r>
        <w:fldChar w:fldCharType="separate"/>
      </w:r>
      <w:r>
        <w:t>127</w:t>
      </w:r>
      <w:r>
        <w:fldChar w:fldCharType="end"/>
      </w:r>
    </w:p>
    <w:p>
      <w:pPr>
        <w:pStyle w:val="TOC8"/>
        <w:rPr>
          <w:rFonts w:asciiTheme="minorHAnsi" w:eastAsiaTheme="minorEastAsia" w:hAnsiTheme="minorHAnsi" w:cstheme="minorBidi"/>
          <w:szCs w:val="22"/>
        </w:rPr>
      </w:pPr>
      <w:r>
        <w:t>186.</w:t>
      </w:r>
      <w:r>
        <w:tab/>
        <w:t>Other earmarks</w:t>
      </w:r>
      <w:r>
        <w:tab/>
      </w:r>
      <w:r>
        <w:fldChar w:fldCharType="begin"/>
      </w:r>
      <w:r>
        <w:instrText xml:space="preserve"> PAGEREF _Toc415054369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_Toc415054371 \h </w:instrText>
      </w:r>
      <w:r>
        <w:fldChar w:fldCharType="separate"/>
      </w:r>
      <w:r>
        <w:t>129</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_Toc415054372 \h </w:instrText>
      </w:r>
      <w:r>
        <w:fldChar w:fldCharType="separate"/>
      </w:r>
      <w:r>
        <w:t>129</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_Toc415054373 \h </w:instrText>
      </w:r>
      <w:r>
        <w:fldChar w:fldCharType="separate"/>
      </w:r>
      <w:r>
        <w:t>129</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_Toc415054374 \h </w:instrText>
      </w:r>
      <w:r>
        <w:fldChar w:fldCharType="separate"/>
      </w:r>
      <w:r>
        <w:t>130</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_Toc415054375 \h </w:instrText>
      </w:r>
      <w:r>
        <w:fldChar w:fldCharType="separate"/>
      </w:r>
      <w:r>
        <w:t>132</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_Toc415054376 \h </w:instrText>
      </w:r>
      <w:r>
        <w:fldChar w:fldCharType="separate"/>
      </w:r>
      <w:r>
        <w:t>133</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_Toc415054377 \h </w:instrText>
      </w:r>
      <w:r>
        <w:fldChar w:fldCharType="separate"/>
      </w:r>
      <w:r>
        <w:t>134</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_Toc415054378 \h </w:instrText>
      </w:r>
      <w:r>
        <w:fldChar w:fldCharType="separate"/>
      </w:r>
      <w:r>
        <w:t>135</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_Toc415054379 \h </w:instrText>
      </w:r>
      <w:r>
        <w:fldChar w:fldCharType="separate"/>
      </w:r>
      <w:r>
        <w:t>135</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_Toc415054380 \h </w:instrText>
      </w:r>
      <w:r>
        <w:fldChar w:fldCharType="separate"/>
      </w:r>
      <w:r>
        <w:t>136</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_Toc415054381 \h </w:instrText>
      </w:r>
      <w:r>
        <w:fldChar w:fldCharType="separate"/>
      </w:r>
      <w:r>
        <w:t>138</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_Toc415054382 \h </w:instrText>
      </w:r>
      <w:r>
        <w:fldChar w:fldCharType="separate"/>
      </w:r>
      <w:r>
        <w:t>139</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_Toc415054383 \h </w:instrText>
      </w:r>
      <w:r>
        <w:fldChar w:fldCharType="separate"/>
      </w:r>
      <w:r>
        <w:t>139</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_Toc415054384 \h </w:instrText>
      </w:r>
      <w:r>
        <w:fldChar w:fldCharType="separate"/>
      </w:r>
      <w:r>
        <w:t>140</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_Toc415054385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_Toc415054387 \h </w:instrText>
      </w:r>
      <w:r>
        <w:fldChar w:fldCharType="separate"/>
      </w:r>
      <w:r>
        <w:t>142</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_Toc415054388 \h </w:instrText>
      </w:r>
      <w:r>
        <w:fldChar w:fldCharType="separate"/>
      </w:r>
      <w:r>
        <w:t>142</w:t>
      </w:r>
      <w:r>
        <w:fldChar w:fldCharType="end"/>
      </w:r>
    </w:p>
    <w:p>
      <w:pPr>
        <w:pStyle w:val="TOC8"/>
        <w:rPr>
          <w:rFonts w:asciiTheme="minorHAnsi" w:eastAsiaTheme="minorEastAsia" w:hAnsiTheme="minorHAnsi" w:cstheme="minorBidi"/>
          <w:szCs w:val="22"/>
        </w:rPr>
      </w:pPr>
      <w:r>
        <w:t>204.</w:t>
      </w:r>
      <w:r>
        <w:tab/>
        <w:t>Exclusive use of registered identifiers</w:t>
      </w:r>
      <w:r>
        <w:tab/>
      </w:r>
      <w:r>
        <w:fldChar w:fldCharType="begin"/>
      </w:r>
      <w:r>
        <w:instrText xml:space="preserve"> PAGEREF _Toc415054389 \h </w:instrText>
      </w:r>
      <w:r>
        <w:fldChar w:fldCharType="separate"/>
      </w:r>
      <w:r>
        <w:t>142</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_Toc415054390 \h </w:instrText>
      </w:r>
      <w:r>
        <w:fldChar w:fldCharType="separate"/>
      </w:r>
      <w:r>
        <w:t>143</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_Toc415054391 \h </w:instrText>
      </w:r>
      <w:r>
        <w:fldChar w:fldCharType="separate"/>
      </w:r>
      <w:r>
        <w:t>143</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_Toc415054392 \h </w:instrText>
      </w:r>
      <w:r>
        <w:fldChar w:fldCharType="separate"/>
      </w:r>
      <w:r>
        <w:t>143</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_Toc415054393 \h </w:instrText>
      </w:r>
      <w:r>
        <w:fldChar w:fldCharType="separate"/>
      </w:r>
      <w:r>
        <w:t>144</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_Toc415054394 \h </w:instrText>
      </w:r>
      <w:r>
        <w:fldChar w:fldCharType="separate"/>
      </w:r>
      <w:r>
        <w:t>144</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_Toc415054395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_Toc415054397 \h </w:instrText>
      </w:r>
      <w:r>
        <w:fldChar w:fldCharType="separate"/>
      </w:r>
      <w:r>
        <w:t>146</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_Toc415054398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_Toc415054401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_Toc415054403 \h </w:instrText>
      </w:r>
      <w:r>
        <w:fldChar w:fldCharType="separate"/>
      </w:r>
      <w:r>
        <w:t>148</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_Toc415054404 \h </w:instrText>
      </w:r>
      <w:r>
        <w:fldChar w:fldCharType="separate"/>
      </w:r>
      <w:r>
        <w:t>148</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_Toc415054405 \h </w:instrText>
      </w:r>
      <w:r>
        <w:fldChar w:fldCharType="separate"/>
      </w:r>
      <w:r>
        <w:t>149</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_Toc415054406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_Toc415054409 \h </w:instrText>
      </w:r>
      <w:r>
        <w:fldChar w:fldCharType="separate"/>
      </w:r>
      <w:r>
        <w:t>151</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_Toc415054410 \h </w:instrText>
      </w:r>
      <w:r>
        <w:fldChar w:fldCharType="separate"/>
      </w:r>
      <w:r>
        <w:t>151</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_Toc415054411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_Toc415054413 \h </w:instrText>
      </w:r>
      <w:r>
        <w:fldChar w:fldCharType="separate"/>
      </w:r>
      <w:r>
        <w:t>152</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_Toc415054414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_Toc415054416 \h </w:instrText>
      </w:r>
      <w:r>
        <w:fldChar w:fldCharType="separate"/>
      </w:r>
      <w:r>
        <w:t>154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375042010"/>
      <w:bookmarkStart w:id="4" w:name="_Toc41505412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5042011"/>
      <w:bookmarkStart w:id="6" w:name="_Toc415054128"/>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7" w:name="_Toc375042012"/>
      <w:bookmarkStart w:id="8" w:name="_Toc415054129"/>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9" w:name="_Toc375042013"/>
      <w:bookmarkStart w:id="10" w:name="_Toc415054130"/>
      <w:r>
        <w:rPr>
          <w:rStyle w:val="CharSectno"/>
        </w:rPr>
        <w:t>3</w:t>
      </w:r>
      <w:r>
        <w:rPr>
          <w:snapToGrid w:val="0"/>
        </w:rPr>
        <w:t>.</w:t>
      </w:r>
      <w:r>
        <w:rPr>
          <w:snapToGrid w:val="0"/>
        </w:rPr>
        <w:tab/>
        <w:t>Terms used</w:t>
      </w:r>
      <w:bookmarkEnd w:id="9"/>
      <w:bookmarkEnd w:id="10"/>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NLIS Ltd for use as an NLIS device;</w:t>
      </w:r>
    </w:p>
    <w:p>
      <w:pPr>
        <w:pStyle w:val="Defstart"/>
      </w:pPr>
      <w:r>
        <w:tab/>
      </w:r>
      <w:r>
        <w:rPr>
          <w:rStyle w:val="CharDefText"/>
        </w:rPr>
        <w:t>accredited tag</w:t>
      </w:r>
      <w:r>
        <w:t xml:space="preserve"> means a tag that is accredited by NLIS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tab/>
      </w:r>
      <w:r>
        <w:rPr>
          <w:rStyle w:val="CharDefText"/>
        </w:rPr>
        <w:t>NLIS Ltd</w:t>
      </w:r>
      <w:r>
        <w:t xml:space="preserve"> means National Livestock Identification System Limited ACN 134 745 038;</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r>
      <w:smartTag w:uri="urn:schemas-microsoft-com:office:smarttags" w:element="place">
        <w:smartTag w:uri="urn:schemas-microsoft-com:office:smarttags" w:element="City">
          <w:r>
            <w:t>Dundas</w:t>
          </w:r>
        </w:smartTag>
      </w:smartTag>
      <w:r>
        <w:t>;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Heading5"/>
      </w:pPr>
      <w:bookmarkStart w:id="11" w:name="_Toc375042014"/>
      <w:bookmarkStart w:id="12" w:name="_Toc415054131"/>
      <w:r>
        <w:rPr>
          <w:rStyle w:val="CharSectno"/>
        </w:rPr>
        <w:t>4</w:t>
      </w:r>
      <w:r>
        <w:t>.</w:t>
      </w:r>
      <w:r>
        <w:tab/>
        <w:t>Animals to which these regulations apply</w:t>
      </w:r>
      <w:bookmarkEnd w:id="11"/>
      <w:bookmarkEnd w:id="12"/>
    </w:p>
    <w:p>
      <w:pPr>
        <w:pStyle w:val="Subsection"/>
        <w:rPr>
          <w:snapToGrid w:val="0"/>
        </w:rPr>
      </w:pPr>
      <w:r>
        <w:rPr>
          <w:snapToGrid w:val="0"/>
        </w:rPr>
        <w:tab/>
      </w:r>
      <w:r>
        <w:rPr>
          <w:snapToGrid w:val="0"/>
        </w:rPr>
        <w:tab/>
        <w:t xml:space="preserve">Unless these regulations provide otherwise, a reference in these regulations to an animal, or stock, is a reference to each of the following — </w:t>
      </w:r>
    </w:p>
    <w:p>
      <w:pPr>
        <w:pStyle w:val="Indenta"/>
      </w:pPr>
      <w:r>
        <w:tab/>
        <w:t>(a)</w:t>
      </w:r>
      <w:r>
        <w:tab/>
        <w:t>a buffalo;</w:t>
      </w:r>
    </w:p>
    <w:p>
      <w:pPr>
        <w:pStyle w:val="Indenta"/>
      </w:pPr>
      <w:r>
        <w:tab/>
        <w:t>(b)</w:t>
      </w:r>
      <w:r>
        <w:tab/>
        <w:t>cattle;</w:t>
      </w:r>
    </w:p>
    <w:p>
      <w:pPr>
        <w:pStyle w:val="Indenta"/>
      </w:pPr>
      <w:r>
        <w:tab/>
        <w:t>(c)</w:t>
      </w:r>
      <w:r>
        <w:tab/>
        <w:t>a deer;</w:t>
      </w:r>
    </w:p>
    <w:p>
      <w:pPr>
        <w:pStyle w:val="Indenta"/>
      </w:pPr>
      <w:r>
        <w:tab/>
        <w:t>(d)</w:t>
      </w:r>
      <w:r>
        <w:tab/>
        <w:t>a goat;</w:t>
      </w:r>
    </w:p>
    <w:p>
      <w:pPr>
        <w:pStyle w:val="Indenta"/>
      </w:pPr>
      <w:r>
        <w:tab/>
        <w:t>(e)</w:t>
      </w:r>
      <w:r>
        <w:tab/>
        <w:t>a horse;</w:t>
      </w:r>
    </w:p>
    <w:p>
      <w:pPr>
        <w:pStyle w:val="Indenta"/>
      </w:pPr>
      <w:r>
        <w:tab/>
        <w:t>(f)</w:t>
      </w:r>
      <w:r>
        <w:tab/>
        <w:t>an ostrich;</w:t>
      </w:r>
    </w:p>
    <w:p>
      <w:pPr>
        <w:pStyle w:val="Indenta"/>
      </w:pPr>
      <w:r>
        <w:tab/>
        <w:t>(g)</w:t>
      </w:r>
      <w:r>
        <w:tab/>
        <w:t>a pig;</w:t>
      </w:r>
    </w:p>
    <w:p>
      <w:pPr>
        <w:pStyle w:val="Indenta"/>
      </w:pPr>
      <w:r>
        <w:tab/>
        <w:t>(h)</w:t>
      </w:r>
      <w:r>
        <w:tab/>
        <w:t>a sheep;</w:t>
      </w:r>
    </w:p>
    <w:p>
      <w:pPr>
        <w:pStyle w:val="Indenta"/>
      </w:pPr>
      <w:r>
        <w:tab/>
        <w:t>(i)</w:t>
      </w:r>
      <w:r>
        <w:tab/>
        <w:t>a South American camelid.</w:t>
      </w:r>
    </w:p>
    <w:p>
      <w:pPr>
        <w:pStyle w:val="Heading5"/>
      </w:pPr>
      <w:bookmarkStart w:id="13" w:name="_Toc375042015"/>
      <w:bookmarkStart w:id="14" w:name="_Toc415054132"/>
      <w:r>
        <w:rPr>
          <w:rStyle w:val="CharSectno"/>
        </w:rPr>
        <w:t>5</w:t>
      </w:r>
      <w:r>
        <w:t>.</w:t>
      </w:r>
      <w:r>
        <w:tab/>
        <w:t>Meaning of consignment</w:t>
      </w:r>
      <w:bookmarkEnd w:id="13"/>
      <w:bookmarkEnd w:id="14"/>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5" w:name="_Toc375042016"/>
      <w:bookmarkStart w:id="16" w:name="_Toc415054133"/>
      <w:r>
        <w:rPr>
          <w:rStyle w:val="CharSectno"/>
        </w:rPr>
        <w:t>6</w:t>
      </w:r>
      <w:r>
        <w:t>.</w:t>
      </w:r>
      <w:r>
        <w:tab/>
        <w:t>Meaning of owner of stock</w:t>
      </w:r>
      <w:bookmarkEnd w:id="15"/>
      <w:bookmarkEnd w:id="16"/>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7" w:name="_Toc375042017"/>
      <w:bookmarkStart w:id="18" w:name="_Toc415054134"/>
      <w:r>
        <w:rPr>
          <w:rStyle w:val="CharPartNo"/>
        </w:rPr>
        <w:t>Part 2</w:t>
      </w:r>
      <w:r>
        <w:t> — </w:t>
      </w:r>
      <w:r>
        <w:rPr>
          <w:rStyle w:val="CharPartText"/>
        </w:rPr>
        <w:t>Registration</w:t>
      </w:r>
      <w:bookmarkEnd w:id="17"/>
      <w:bookmarkEnd w:id="18"/>
    </w:p>
    <w:p>
      <w:pPr>
        <w:pStyle w:val="Heading3"/>
      </w:pPr>
      <w:bookmarkStart w:id="19" w:name="_Toc375042018"/>
      <w:bookmarkStart w:id="20" w:name="_Toc415054135"/>
      <w:r>
        <w:rPr>
          <w:rStyle w:val="CharDivNo"/>
        </w:rPr>
        <w:t>Division 1</w:t>
      </w:r>
      <w:r>
        <w:t> — </w:t>
      </w:r>
      <w:r>
        <w:rPr>
          <w:rStyle w:val="CharDivText"/>
        </w:rPr>
        <w:t>Owners and purchasers of stock</w:t>
      </w:r>
      <w:bookmarkEnd w:id="19"/>
      <w:bookmarkEnd w:id="20"/>
    </w:p>
    <w:p>
      <w:pPr>
        <w:pStyle w:val="Heading5"/>
      </w:pPr>
      <w:bookmarkStart w:id="21" w:name="_Toc375042019"/>
      <w:bookmarkStart w:id="22" w:name="_Toc415054136"/>
      <w:r>
        <w:rPr>
          <w:rStyle w:val="CharSectno"/>
        </w:rPr>
        <w:t>7</w:t>
      </w:r>
      <w:r>
        <w:t>.</w:t>
      </w:r>
      <w:r>
        <w:tab/>
        <w:t>Owners and purchasers of stock to be registered</w:t>
      </w:r>
      <w:bookmarkEnd w:id="21"/>
      <w:bookmarkEnd w:id="22"/>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23" w:name="_Toc375042020"/>
      <w:bookmarkStart w:id="24" w:name="_Toc415054137"/>
      <w:r>
        <w:rPr>
          <w:rStyle w:val="CharSectno"/>
        </w:rPr>
        <w:t>8</w:t>
      </w:r>
      <w:r>
        <w:t>.</w:t>
      </w:r>
      <w:r>
        <w:tab/>
        <w:t>Director General may allot identifiers, PICs and BICs as required</w:t>
      </w:r>
      <w:bookmarkEnd w:id="23"/>
      <w:bookmarkEnd w:id="24"/>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5" w:name="_Toc375042021"/>
      <w:bookmarkStart w:id="26" w:name="_Toc415054138"/>
      <w:r>
        <w:rPr>
          <w:rStyle w:val="CharSectno"/>
        </w:rPr>
        <w:t>9</w:t>
      </w:r>
      <w:r>
        <w:t>.</w:t>
      </w:r>
      <w:r>
        <w:tab/>
        <w:t>Review</w:t>
      </w:r>
      <w:bookmarkEnd w:id="25"/>
      <w:bookmarkEnd w:id="26"/>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7" w:name="_Toc375042022"/>
      <w:bookmarkStart w:id="28" w:name="_Toc415054139"/>
      <w:r>
        <w:rPr>
          <w:rStyle w:val="CharDivNo"/>
        </w:rPr>
        <w:t>Division 2</w:t>
      </w:r>
      <w:r>
        <w:t> — </w:t>
      </w:r>
      <w:r>
        <w:rPr>
          <w:rStyle w:val="CharDivText"/>
        </w:rPr>
        <w:t>Non</w:t>
      </w:r>
      <w:r>
        <w:rPr>
          <w:rStyle w:val="CharDivText"/>
        </w:rPr>
        <w:noBreakHyphen/>
        <w:t>farming property operators</w:t>
      </w:r>
      <w:bookmarkEnd w:id="27"/>
      <w:bookmarkEnd w:id="28"/>
    </w:p>
    <w:p>
      <w:pPr>
        <w:pStyle w:val="Heading5"/>
      </w:pPr>
      <w:bookmarkStart w:id="29" w:name="_Toc375042023"/>
      <w:bookmarkStart w:id="30" w:name="_Toc415054140"/>
      <w:r>
        <w:rPr>
          <w:rStyle w:val="CharSectno"/>
        </w:rPr>
        <w:t>10</w:t>
      </w:r>
      <w:r>
        <w:t>.</w:t>
      </w:r>
      <w:r>
        <w:tab/>
        <w:t>Non</w:t>
      </w:r>
      <w:r>
        <w:noBreakHyphen/>
        <w:t>farming property operators to be registered</w:t>
      </w:r>
      <w:bookmarkEnd w:id="29"/>
      <w:bookmarkEnd w:id="30"/>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31" w:name="_Toc375042024"/>
      <w:bookmarkStart w:id="32" w:name="_Toc415054141"/>
      <w:r>
        <w:rPr>
          <w:rStyle w:val="CharSectno"/>
        </w:rPr>
        <w:t>11</w:t>
      </w:r>
      <w:r>
        <w:t>.</w:t>
      </w:r>
      <w:r>
        <w:tab/>
        <w:t>Director General may allot PICs as required</w:t>
      </w:r>
      <w:bookmarkEnd w:id="31"/>
      <w:bookmarkEnd w:id="32"/>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33" w:name="_Toc375042025"/>
      <w:bookmarkStart w:id="34" w:name="_Toc415054142"/>
      <w:r>
        <w:rPr>
          <w:rStyle w:val="CharSectno"/>
        </w:rPr>
        <w:t>12</w:t>
      </w:r>
      <w:r>
        <w:t>.</w:t>
      </w:r>
      <w:r>
        <w:tab/>
        <w:t>Review</w:t>
      </w:r>
      <w:bookmarkEnd w:id="33"/>
      <w:bookmarkEnd w:id="34"/>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35" w:name="_Toc375042026"/>
      <w:bookmarkStart w:id="36" w:name="_Toc415054143"/>
      <w:r>
        <w:rPr>
          <w:rStyle w:val="CharDivNo"/>
        </w:rPr>
        <w:t>Division 3</w:t>
      </w:r>
      <w:r>
        <w:t> — </w:t>
      </w:r>
      <w:r>
        <w:rPr>
          <w:rStyle w:val="CharDivText"/>
        </w:rPr>
        <w:t>Beekeepers</w:t>
      </w:r>
      <w:bookmarkEnd w:id="35"/>
      <w:bookmarkEnd w:id="36"/>
    </w:p>
    <w:p>
      <w:pPr>
        <w:pStyle w:val="Heading5"/>
      </w:pPr>
      <w:bookmarkStart w:id="37" w:name="_Toc375042027"/>
      <w:bookmarkStart w:id="38" w:name="_Toc415054144"/>
      <w:r>
        <w:rPr>
          <w:rStyle w:val="CharSectno"/>
        </w:rPr>
        <w:t>13</w:t>
      </w:r>
      <w:r>
        <w:t>.</w:t>
      </w:r>
      <w:r>
        <w:tab/>
        <w:t>Beekeepers to be registered</w:t>
      </w:r>
      <w:bookmarkEnd w:id="37"/>
      <w:bookmarkEnd w:id="38"/>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39" w:name="_Toc375042028"/>
      <w:bookmarkStart w:id="40" w:name="_Toc415054145"/>
      <w:r>
        <w:rPr>
          <w:rStyle w:val="CharSectno"/>
        </w:rPr>
        <w:t>14</w:t>
      </w:r>
      <w:r>
        <w:t>.</w:t>
      </w:r>
      <w:r>
        <w:tab/>
        <w:t>Director General may allot identifiers as required</w:t>
      </w:r>
      <w:bookmarkEnd w:id="39"/>
      <w:bookmarkEnd w:id="40"/>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41" w:name="_Toc375042029"/>
      <w:bookmarkStart w:id="42" w:name="_Toc415054146"/>
      <w:r>
        <w:rPr>
          <w:rStyle w:val="CharSectno"/>
        </w:rPr>
        <w:t>15</w:t>
      </w:r>
      <w:r>
        <w:t>.</w:t>
      </w:r>
      <w:r>
        <w:tab/>
        <w:t>Review</w:t>
      </w:r>
      <w:bookmarkEnd w:id="41"/>
      <w:bookmarkEnd w:id="42"/>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43" w:name="_Toc375042030"/>
      <w:bookmarkStart w:id="44" w:name="_Toc415054147"/>
      <w:r>
        <w:rPr>
          <w:rStyle w:val="CharDivNo"/>
        </w:rPr>
        <w:t>Division 4</w:t>
      </w:r>
      <w:r>
        <w:t> — </w:t>
      </w:r>
      <w:r>
        <w:rPr>
          <w:rStyle w:val="CharDivText"/>
        </w:rPr>
        <w:t>The register</w:t>
      </w:r>
      <w:bookmarkEnd w:id="43"/>
      <w:bookmarkEnd w:id="44"/>
    </w:p>
    <w:p>
      <w:pPr>
        <w:pStyle w:val="Heading5"/>
      </w:pPr>
      <w:bookmarkStart w:id="45" w:name="_Toc375042031"/>
      <w:bookmarkStart w:id="46" w:name="_Toc415054148"/>
      <w:r>
        <w:rPr>
          <w:rStyle w:val="CharSectno"/>
        </w:rPr>
        <w:t>16</w:t>
      </w:r>
      <w:r>
        <w:t>.</w:t>
      </w:r>
      <w:r>
        <w:tab/>
        <w:t>Register to be kept</w:t>
      </w:r>
      <w:bookmarkEnd w:id="45"/>
      <w:bookmarkEnd w:id="46"/>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47" w:name="_Toc375042032"/>
      <w:bookmarkStart w:id="48" w:name="_Toc415054149"/>
      <w:r>
        <w:rPr>
          <w:rStyle w:val="CharSectno"/>
        </w:rPr>
        <w:t>17</w:t>
      </w:r>
      <w:r>
        <w:t>.</w:t>
      </w:r>
      <w:r>
        <w:tab/>
        <w:t>Access to register</w:t>
      </w:r>
      <w:bookmarkEnd w:id="47"/>
      <w:bookmarkEnd w:id="48"/>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49" w:name="_Toc375042033"/>
      <w:bookmarkStart w:id="50" w:name="_Toc415054150"/>
      <w:r>
        <w:rPr>
          <w:rStyle w:val="CharSectno"/>
        </w:rPr>
        <w:t>18</w:t>
      </w:r>
      <w:r>
        <w:t>.</w:t>
      </w:r>
      <w:r>
        <w:tab/>
        <w:t>Director General to be notified if owner moves stock to a farming property without relevant PIC</w:t>
      </w:r>
      <w:bookmarkEnd w:id="49"/>
      <w:bookmarkEnd w:id="50"/>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51" w:name="_Toc375042034"/>
      <w:bookmarkStart w:id="52" w:name="_Toc415054151"/>
      <w:r>
        <w:rPr>
          <w:rStyle w:val="CharSectno"/>
        </w:rPr>
        <w:t>19</w:t>
      </w:r>
      <w:r>
        <w:t>.</w:t>
      </w:r>
      <w:r>
        <w:tab/>
        <w:t>Director General to be notified of change of address</w:t>
      </w:r>
      <w:bookmarkEnd w:id="51"/>
      <w:bookmarkEnd w:id="52"/>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53" w:name="_Toc375042035"/>
      <w:bookmarkStart w:id="54" w:name="_Toc415054152"/>
      <w:r>
        <w:rPr>
          <w:rStyle w:val="CharDivNo"/>
        </w:rPr>
        <w:t>Division 5</w:t>
      </w:r>
      <w:r>
        <w:t> — </w:t>
      </w:r>
      <w:r>
        <w:rPr>
          <w:rStyle w:val="CharDivText"/>
        </w:rPr>
        <w:t>Certificates of registration</w:t>
      </w:r>
      <w:bookmarkEnd w:id="53"/>
      <w:bookmarkEnd w:id="54"/>
    </w:p>
    <w:p>
      <w:pPr>
        <w:pStyle w:val="Heading5"/>
      </w:pPr>
      <w:bookmarkStart w:id="55" w:name="_Toc375042036"/>
      <w:bookmarkStart w:id="56" w:name="_Toc415054153"/>
      <w:r>
        <w:rPr>
          <w:rStyle w:val="CharSectno"/>
        </w:rPr>
        <w:t>20</w:t>
      </w:r>
      <w:r>
        <w:t>.</w:t>
      </w:r>
      <w:r>
        <w:tab/>
        <w:t>Certificates of registration</w:t>
      </w:r>
      <w:bookmarkEnd w:id="55"/>
      <w:bookmarkEnd w:id="56"/>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57" w:name="_Toc375042037"/>
      <w:bookmarkStart w:id="58" w:name="_Toc415054154"/>
      <w:r>
        <w:rPr>
          <w:rStyle w:val="CharDivNo"/>
        </w:rPr>
        <w:t>Division 6</w:t>
      </w:r>
      <w:r>
        <w:t> — </w:t>
      </w:r>
      <w:r>
        <w:rPr>
          <w:rStyle w:val="CharDivText"/>
        </w:rPr>
        <w:t>Term of registration, renewals and cancellations</w:t>
      </w:r>
      <w:bookmarkEnd w:id="57"/>
      <w:bookmarkEnd w:id="58"/>
    </w:p>
    <w:p>
      <w:pPr>
        <w:pStyle w:val="Heading5"/>
      </w:pPr>
      <w:bookmarkStart w:id="59" w:name="_Toc375042038"/>
      <w:bookmarkStart w:id="60" w:name="_Toc415054155"/>
      <w:r>
        <w:rPr>
          <w:rStyle w:val="CharSectno"/>
        </w:rPr>
        <w:t>21</w:t>
      </w:r>
      <w:r>
        <w:t>.</w:t>
      </w:r>
      <w:r>
        <w:tab/>
        <w:t>Term used: registration</w:t>
      </w:r>
      <w:bookmarkEnd w:id="59"/>
      <w:bookmarkEnd w:id="60"/>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61" w:name="_Toc375042039"/>
      <w:bookmarkStart w:id="62" w:name="_Toc415054156"/>
      <w:r>
        <w:rPr>
          <w:rStyle w:val="CharSectno"/>
        </w:rPr>
        <w:t>22</w:t>
      </w:r>
      <w:r>
        <w:t>.</w:t>
      </w:r>
      <w:r>
        <w:tab/>
        <w:t>Term of registration</w:t>
      </w:r>
      <w:bookmarkEnd w:id="61"/>
      <w:bookmarkEnd w:id="62"/>
    </w:p>
    <w:p>
      <w:pPr>
        <w:pStyle w:val="Subsection"/>
      </w:pPr>
      <w:r>
        <w:tab/>
      </w:r>
      <w:r>
        <w:tab/>
        <w:t>Unless cancelled under regulation 24, a registration expires 3 years after the day on which it is granted or renewed under these regulations.</w:t>
      </w:r>
    </w:p>
    <w:p>
      <w:pPr>
        <w:pStyle w:val="Heading5"/>
      </w:pPr>
      <w:bookmarkStart w:id="63" w:name="_Toc375042040"/>
      <w:bookmarkStart w:id="64" w:name="_Toc415054157"/>
      <w:r>
        <w:rPr>
          <w:rStyle w:val="CharSectno"/>
        </w:rPr>
        <w:t>23</w:t>
      </w:r>
      <w:r>
        <w:t>.</w:t>
      </w:r>
      <w:r>
        <w:tab/>
        <w:t>Renewal of registration</w:t>
      </w:r>
      <w:bookmarkEnd w:id="63"/>
      <w:bookmarkEnd w:id="64"/>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65" w:name="_Toc375042041"/>
      <w:bookmarkStart w:id="66" w:name="_Toc415054158"/>
      <w:r>
        <w:rPr>
          <w:rStyle w:val="CharSectno"/>
        </w:rPr>
        <w:t>24</w:t>
      </w:r>
      <w:r>
        <w:t>.</w:t>
      </w:r>
      <w:r>
        <w:tab/>
        <w:t>Cancellation of registration</w:t>
      </w:r>
      <w:bookmarkEnd w:id="65"/>
      <w:bookmarkEnd w:id="66"/>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67" w:name="_Toc375042042"/>
      <w:bookmarkStart w:id="68" w:name="_Toc415054159"/>
      <w:r>
        <w:rPr>
          <w:rStyle w:val="CharSectno"/>
        </w:rPr>
        <w:t>25</w:t>
      </w:r>
      <w:r>
        <w:t>.</w:t>
      </w:r>
      <w:r>
        <w:tab/>
        <w:t>Effect of expiry or cancellation of registration</w:t>
      </w:r>
      <w:bookmarkEnd w:id="67"/>
      <w:bookmarkEnd w:id="68"/>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69" w:name="_Toc375042043"/>
      <w:bookmarkStart w:id="70" w:name="_Toc415054160"/>
      <w:r>
        <w:rPr>
          <w:rStyle w:val="CharSectno"/>
        </w:rPr>
        <w:t>26</w:t>
      </w:r>
      <w:r>
        <w:t>.</w:t>
      </w:r>
      <w:r>
        <w:tab/>
        <w:t>Review</w:t>
      </w:r>
      <w:bookmarkEnd w:id="69"/>
      <w:bookmarkEnd w:id="70"/>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71" w:name="_Toc375042044"/>
      <w:bookmarkStart w:id="72" w:name="_Toc415054161"/>
      <w:r>
        <w:rPr>
          <w:rStyle w:val="CharDivNo"/>
        </w:rPr>
        <w:t>Division 7</w:t>
      </w:r>
      <w:r>
        <w:t> — </w:t>
      </w:r>
      <w:r>
        <w:rPr>
          <w:rStyle w:val="CharDivText"/>
        </w:rPr>
        <w:t>Transfer of registered identifiers and PICs</w:t>
      </w:r>
      <w:bookmarkEnd w:id="71"/>
      <w:bookmarkEnd w:id="72"/>
    </w:p>
    <w:p>
      <w:pPr>
        <w:pStyle w:val="Heading5"/>
      </w:pPr>
      <w:bookmarkStart w:id="73" w:name="_Toc375042045"/>
      <w:bookmarkStart w:id="74" w:name="_Toc415054162"/>
      <w:r>
        <w:rPr>
          <w:rStyle w:val="CharSectno"/>
        </w:rPr>
        <w:t>27</w:t>
      </w:r>
      <w:r>
        <w:t>.</w:t>
      </w:r>
      <w:r>
        <w:tab/>
        <w:t>Transfer of registered identifiers and PICs</w:t>
      </w:r>
      <w:bookmarkEnd w:id="73"/>
      <w:bookmarkEnd w:id="74"/>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75" w:name="_Toc375042046"/>
      <w:bookmarkStart w:id="76" w:name="_Toc415054163"/>
      <w:r>
        <w:rPr>
          <w:rStyle w:val="CharSectno"/>
        </w:rPr>
        <w:t>28</w:t>
      </w:r>
      <w:r>
        <w:t>.</w:t>
      </w:r>
      <w:r>
        <w:tab/>
        <w:t>Mortgagee’s right to use and transfer registered identifiers</w:t>
      </w:r>
      <w:bookmarkEnd w:id="75"/>
      <w:bookmarkEnd w:id="76"/>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77" w:name="_Toc375042047"/>
      <w:bookmarkStart w:id="78" w:name="_Toc415054164"/>
      <w:r>
        <w:rPr>
          <w:rStyle w:val="CharPartNo"/>
        </w:rPr>
        <w:t>Part 3</w:t>
      </w:r>
      <w:r>
        <w:t> — </w:t>
      </w:r>
      <w:r>
        <w:rPr>
          <w:rStyle w:val="CharPartText"/>
        </w:rPr>
        <w:t>Identifiers for stock</w:t>
      </w:r>
      <w:bookmarkEnd w:id="77"/>
      <w:bookmarkEnd w:id="78"/>
    </w:p>
    <w:p>
      <w:pPr>
        <w:pStyle w:val="Heading3"/>
      </w:pPr>
      <w:bookmarkStart w:id="79" w:name="_Toc375042048"/>
      <w:bookmarkStart w:id="80" w:name="_Toc415054165"/>
      <w:r>
        <w:rPr>
          <w:rStyle w:val="CharDivNo"/>
        </w:rPr>
        <w:t>Division 1</w:t>
      </w:r>
      <w:r>
        <w:t> — </w:t>
      </w:r>
      <w:r>
        <w:rPr>
          <w:rStyle w:val="CharDivText"/>
        </w:rPr>
        <w:t>Registered identifiers for stock</w:t>
      </w:r>
      <w:bookmarkEnd w:id="79"/>
      <w:bookmarkEnd w:id="80"/>
    </w:p>
    <w:p>
      <w:pPr>
        <w:pStyle w:val="Heading5"/>
      </w:pPr>
      <w:bookmarkStart w:id="81" w:name="_Toc375042049"/>
      <w:bookmarkStart w:id="82" w:name="_Toc415054166"/>
      <w:r>
        <w:rPr>
          <w:rStyle w:val="CharSectno"/>
        </w:rPr>
        <w:t>29</w:t>
      </w:r>
      <w:r>
        <w:t>.</w:t>
      </w:r>
      <w:r>
        <w:tab/>
        <w:t>Term used: certificate of registration</w:t>
      </w:r>
      <w:bookmarkEnd w:id="81"/>
      <w:bookmarkEnd w:id="82"/>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83" w:name="_Toc375042050"/>
      <w:bookmarkStart w:id="84" w:name="_Toc415054167"/>
      <w:r>
        <w:rPr>
          <w:rStyle w:val="CharSectno"/>
        </w:rPr>
        <w:t>30</w:t>
      </w:r>
      <w:r>
        <w:t>.</w:t>
      </w:r>
      <w:r>
        <w:tab/>
        <w:t>Registered identifiers for application as brand</w:t>
      </w:r>
      <w:bookmarkEnd w:id="83"/>
      <w:bookmarkEnd w:id="84"/>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85" w:name="_Toc375042051"/>
      <w:bookmarkStart w:id="86" w:name="_Toc415054168"/>
      <w:r>
        <w:rPr>
          <w:rStyle w:val="CharSectno"/>
        </w:rPr>
        <w:t>31</w:t>
      </w:r>
      <w:r>
        <w:t>.</w:t>
      </w:r>
      <w:r>
        <w:tab/>
        <w:t>Registered identifiers for application as earmark</w:t>
      </w:r>
      <w:bookmarkEnd w:id="85"/>
      <w:bookmarkEnd w:id="86"/>
    </w:p>
    <w:p>
      <w:pPr>
        <w:pStyle w:val="Subsection"/>
      </w:pPr>
      <w:r>
        <w:tab/>
      </w:r>
      <w:r>
        <w:tab/>
        <w:t>A registered identifier for application as an earmark to stock must consist of 2 symbols as allotted.</w:t>
      </w:r>
    </w:p>
    <w:p>
      <w:pPr>
        <w:pStyle w:val="Heading5"/>
      </w:pPr>
      <w:bookmarkStart w:id="87" w:name="_Toc375042052"/>
      <w:bookmarkStart w:id="88" w:name="_Toc415054169"/>
      <w:r>
        <w:rPr>
          <w:rStyle w:val="CharSectno"/>
        </w:rPr>
        <w:t>32</w:t>
      </w:r>
      <w:r>
        <w:t>.</w:t>
      </w:r>
      <w:r>
        <w:tab/>
        <w:t>Limit of one brand and one earmark for each relevant PIC</w:t>
      </w:r>
      <w:bookmarkEnd w:id="87"/>
      <w:bookmarkEnd w:id="88"/>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89" w:name="_Toc375042053"/>
      <w:bookmarkStart w:id="90" w:name="_Toc415054170"/>
      <w:r>
        <w:rPr>
          <w:rStyle w:val="CharSectno"/>
        </w:rPr>
        <w:t>33</w:t>
      </w:r>
      <w:r>
        <w:t>.</w:t>
      </w:r>
      <w:r>
        <w:tab/>
        <w:t>Confusing or misleading identifiers</w:t>
      </w:r>
      <w:bookmarkEnd w:id="89"/>
      <w:bookmarkEnd w:id="90"/>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91" w:name="_Toc375042054"/>
      <w:bookmarkStart w:id="92" w:name="_Toc415054171"/>
      <w:r>
        <w:rPr>
          <w:rStyle w:val="CharSectno"/>
        </w:rPr>
        <w:t>34</w:t>
      </w:r>
      <w:r>
        <w:t>.</w:t>
      </w:r>
      <w:r>
        <w:tab/>
        <w:t>Cross</w:t>
      </w:r>
      <w:r>
        <w:noBreakHyphen/>
        <w:t>border farming properties</w:t>
      </w:r>
      <w:bookmarkEnd w:id="91"/>
      <w:bookmarkEnd w:id="92"/>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93" w:name="_Toc375042055"/>
      <w:bookmarkStart w:id="94" w:name="_Toc415054172"/>
      <w:r>
        <w:rPr>
          <w:rStyle w:val="CharSectno"/>
        </w:rPr>
        <w:t>35</w:t>
      </w:r>
      <w:r>
        <w:t>.</w:t>
      </w:r>
      <w:r>
        <w:tab/>
        <w:t>Special identifiers</w:t>
      </w:r>
      <w:bookmarkEnd w:id="93"/>
      <w:bookmarkEnd w:id="94"/>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95" w:name="_Toc375042056"/>
      <w:bookmarkStart w:id="96" w:name="_Toc415054173"/>
      <w:r>
        <w:rPr>
          <w:rStyle w:val="CharSectno"/>
        </w:rPr>
        <w:t>36</w:t>
      </w:r>
      <w:r>
        <w:t>.</w:t>
      </w:r>
      <w:r>
        <w:tab/>
        <w:t>Exclusive use of registered identifiers</w:t>
      </w:r>
      <w:bookmarkEnd w:id="95"/>
      <w:bookmarkEnd w:id="96"/>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97" w:name="_Toc375042057"/>
      <w:bookmarkStart w:id="98" w:name="_Toc415054174"/>
      <w:r>
        <w:rPr>
          <w:rStyle w:val="CharSectno"/>
        </w:rPr>
        <w:t>37</w:t>
      </w:r>
      <w:r>
        <w:t>.</w:t>
      </w:r>
      <w:r>
        <w:tab/>
        <w:t>Registered identifiers to be used to identify stock on property with corresponding PIC</w:t>
      </w:r>
      <w:bookmarkEnd w:id="97"/>
      <w:bookmarkEnd w:id="98"/>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99" w:name="_Toc375042058"/>
      <w:bookmarkStart w:id="100" w:name="_Toc415054175"/>
      <w:r>
        <w:rPr>
          <w:rStyle w:val="CharSectno"/>
        </w:rPr>
        <w:t>38</w:t>
      </w:r>
      <w:r>
        <w:t>.</w:t>
      </w:r>
      <w:r>
        <w:tab/>
      </w:r>
      <w:r>
        <w:rPr>
          <w:snapToGrid w:val="0"/>
        </w:rPr>
        <w:t>Permit to use registered identifier to identify stock on property without corresponding PIC</w:t>
      </w:r>
      <w:bookmarkEnd w:id="99"/>
      <w:bookmarkEnd w:id="100"/>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device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Heading5"/>
      </w:pPr>
      <w:bookmarkStart w:id="101" w:name="_Toc375042059"/>
      <w:bookmarkStart w:id="102" w:name="_Toc415054176"/>
      <w:r>
        <w:rPr>
          <w:rStyle w:val="CharSectno"/>
        </w:rPr>
        <w:t>39</w:t>
      </w:r>
      <w:r>
        <w:t>.</w:t>
      </w:r>
      <w:r>
        <w:tab/>
        <w:t>When unused devices and identification equipment to be given to inspector</w:t>
      </w:r>
      <w:bookmarkEnd w:id="101"/>
      <w:bookmarkEnd w:id="102"/>
    </w:p>
    <w:p>
      <w:pPr>
        <w:pStyle w:val="Subsection"/>
      </w:pPr>
      <w:r>
        <w:tab/>
      </w:r>
      <w:r>
        <w:tab/>
        <w:t>If, under these regulations, a registered identifier ceases to be allotted to a person, the person must, as soon as it is practicable to do so, give to an inspector any unused device or identification equipment in the person’s possession or control that is capable of identifying stock with the identifier.</w:t>
      </w:r>
    </w:p>
    <w:p>
      <w:pPr>
        <w:pStyle w:val="Penstart"/>
      </w:pPr>
      <w:r>
        <w:tab/>
        <w:t>Penalty: a fine of $5 000.</w:t>
      </w:r>
    </w:p>
    <w:p>
      <w:pPr>
        <w:pStyle w:val="Heading5"/>
      </w:pPr>
      <w:bookmarkStart w:id="103" w:name="_Toc375042060"/>
      <w:bookmarkStart w:id="104" w:name="_Toc415054177"/>
      <w:r>
        <w:rPr>
          <w:rStyle w:val="CharSectno"/>
        </w:rPr>
        <w:t>40</w:t>
      </w:r>
      <w:r>
        <w:t>.</w:t>
      </w:r>
      <w:r>
        <w:tab/>
        <w:t>Possession of identification devices and equipment</w:t>
      </w:r>
      <w:bookmarkEnd w:id="103"/>
      <w:bookmarkEnd w:id="104"/>
    </w:p>
    <w:p>
      <w:pPr>
        <w:pStyle w:val="Subsection"/>
      </w:pPr>
      <w:r>
        <w:tab/>
        <w:t>(1)</w:t>
      </w:r>
      <w:r>
        <w:tab/>
        <w:t>A person must not have in his or her possession a device or identification equipment capable of identifying stock with a registered identifier unless the person is, or is acting on behalf of, the registered owner of the identifier.</w:t>
      </w:r>
    </w:p>
    <w:p>
      <w:pPr>
        <w:pStyle w:val="Penstart"/>
      </w:pPr>
      <w:r>
        <w:tab/>
        <w:t>Penalty: a fine of $5 000.</w:t>
      </w:r>
    </w:p>
    <w:p>
      <w:pPr>
        <w:pStyle w:val="Subsection"/>
      </w:pPr>
      <w:r>
        <w:tab/>
        <w:t>(2)</w:t>
      </w:r>
      <w:r>
        <w:tab/>
        <w:t xml:space="preserve">A person must not have on any property a device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device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registered owner of the identifier.</w:t>
      </w:r>
    </w:p>
    <w:p>
      <w:pPr>
        <w:pStyle w:val="Subsection"/>
      </w:pPr>
      <w:r>
        <w:tab/>
        <w:t>(4)</w:t>
      </w:r>
      <w:r>
        <w:tab/>
        <w:t xml:space="preserve">A person must not remove any device or identification equipment capable of identifying stock with a registered identifier from a property with the registered identifier’s corresponding PIC unless the device or identification equipment — </w:t>
      </w:r>
    </w:p>
    <w:p>
      <w:pPr>
        <w:pStyle w:val="Indenta"/>
      </w:pPr>
      <w:r>
        <w:tab/>
        <w:t>(a)</w:t>
      </w:r>
      <w:r>
        <w:tab/>
        <w:t>is being moved directly to another property with the corresponding PIC and the person is in possession of a certificate of registration of the registered owner of the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Heading5"/>
      </w:pPr>
      <w:bookmarkStart w:id="105" w:name="_Toc375042061"/>
      <w:bookmarkStart w:id="106" w:name="_Toc415054178"/>
      <w:r>
        <w:rPr>
          <w:rStyle w:val="CharSectno"/>
        </w:rPr>
        <w:t>41</w:t>
      </w:r>
      <w:r>
        <w:t>.</w:t>
      </w:r>
      <w:r>
        <w:tab/>
        <w:t>False representations relating to registered identifiers</w:t>
      </w:r>
      <w:bookmarkEnd w:id="105"/>
      <w:bookmarkEnd w:id="106"/>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07" w:name="_Toc375042062"/>
      <w:bookmarkStart w:id="108" w:name="_Toc415054179"/>
      <w:r>
        <w:rPr>
          <w:rStyle w:val="CharSectno"/>
        </w:rPr>
        <w:t>42</w:t>
      </w:r>
      <w:r>
        <w:t>.</w:t>
      </w:r>
      <w:r>
        <w:tab/>
        <w:t>Unauthorised removal of registered identifier from live animal</w:t>
      </w:r>
      <w:bookmarkEnd w:id="107"/>
      <w:bookmarkEnd w:id="108"/>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09" w:name="_Toc375042063"/>
      <w:bookmarkStart w:id="110" w:name="_Toc415054180"/>
      <w:r>
        <w:rPr>
          <w:rStyle w:val="CharDivNo"/>
        </w:rPr>
        <w:t>Division 2</w:t>
      </w:r>
      <w:r>
        <w:t> — </w:t>
      </w:r>
      <w:r>
        <w:rPr>
          <w:rStyle w:val="CharDivText"/>
        </w:rPr>
        <w:t>Approved identification systems</w:t>
      </w:r>
      <w:bookmarkEnd w:id="109"/>
      <w:bookmarkEnd w:id="110"/>
    </w:p>
    <w:p>
      <w:pPr>
        <w:pStyle w:val="Heading5"/>
      </w:pPr>
      <w:bookmarkStart w:id="111" w:name="_Toc375042064"/>
      <w:bookmarkStart w:id="112" w:name="_Toc415054181"/>
      <w:r>
        <w:rPr>
          <w:rStyle w:val="CharSectno"/>
        </w:rPr>
        <w:t>43</w:t>
      </w:r>
      <w:r>
        <w:t>.</w:t>
      </w:r>
      <w:r>
        <w:tab/>
        <w:t>Approved identifiers and databases</w:t>
      </w:r>
      <w:bookmarkEnd w:id="111"/>
      <w:bookmarkEnd w:id="11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13" w:name="_Toc375042065"/>
      <w:bookmarkStart w:id="114" w:name="_Toc415054182"/>
      <w:r>
        <w:rPr>
          <w:rStyle w:val="CharSectno"/>
        </w:rPr>
        <w:t>44</w:t>
      </w:r>
      <w:r>
        <w:t>.</w:t>
      </w:r>
      <w:r>
        <w:tab/>
        <w:t>Use of approved identifiers</w:t>
      </w:r>
      <w:bookmarkEnd w:id="113"/>
      <w:bookmarkEnd w:id="114"/>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115" w:name="_Toc375042066"/>
      <w:bookmarkStart w:id="116" w:name="_Toc415054183"/>
      <w:r>
        <w:rPr>
          <w:rStyle w:val="CharSectno"/>
        </w:rPr>
        <w:t>45</w:t>
      </w:r>
      <w:r>
        <w:t>.</w:t>
      </w:r>
      <w:r>
        <w:tab/>
        <w:t>False representations relating to approved identifiers</w:t>
      </w:r>
      <w:bookmarkEnd w:id="115"/>
      <w:bookmarkEnd w:id="116"/>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117" w:name="_Toc375042067"/>
      <w:bookmarkStart w:id="118" w:name="_Toc415054184"/>
      <w:r>
        <w:rPr>
          <w:rStyle w:val="CharSectno"/>
        </w:rPr>
        <w:t>46</w:t>
      </w:r>
      <w:r>
        <w:t>.</w:t>
      </w:r>
      <w:r>
        <w:tab/>
        <w:t>Unauthorised removal of approved identifier from live animal</w:t>
      </w:r>
      <w:bookmarkEnd w:id="117"/>
      <w:bookmarkEnd w:id="118"/>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119" w:name="_Toc375042068"/>
      <w:bookmarkStart w:id="120" w:name="_Toc415054185"/>
      <w:r>
        <w:rPr>
          <w:rStyle w:val="CharDivNo"/>
        </w:rPr>
        <w:t>Division 3</w:t>
      </w:r>
      <w:r>
        <w:t> — </w:t>
      </w:r>
      <w:r>
        <w:rPr>
          <w:rStyle w:val="CharDivText"/>
        </w:rPr>
        <w:t>NLIS identifiers</w:t>
      </w:r>
      <w:bookmarkEnd w:id="119"/>
      <w:bookmarkEnd w:id="120"/>
    </w:p>
    <w:p>
      <w:pPr>
        <w:pStyle w:val="Heading4"/>
      </w:pPr>
      <w:bookmarkStart w:id="121" w:name="_Toc375042069"/>
      <w:bookmarkStart w:id="122" w:name="_Toc415054186"/>
      <w:r>
        <w:t>Subdivision 1 — NLIS devices</w:t>
      </w:r>
      <w:bookmarkEnd w:id="121"/>
      <w:bookmarkEnd w:id="122"/>
    </w:p>
    <w:p>
      <w:pPr>
        <w:pStyle w:val="Heading5"/>
      </w:pPr>
      <w:bookmarkStart w:id="123" w:name="_Toc375042070"/>
      <w:bookmarkStart w:id="124" w:name="_Toc415054187"/>
      <w:r>
        <w:rPr>
          <w:rStyle w:val="CharSectno"/>
        </w:rPr>
        <w:t>47</w:t>
      </w:r>
      <w:r>
        <w:t>.</w:t>
      </w:r>
      <w:r>
        <w:tab/>
        <w:t>Meaning of NLIS device</w:t>
      </w:r>
      <w:bookmarkEnd w:id="123"/>
      <w:bookmarkEnd w:id="124"/>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Heading5"/>
      </w:pPr>
      <w:bookmarkStart w:id="125" w:name="_Toc375042071"/>
      <w:bookmarkStart w:id="126" w:name="_Toc415054188"/>
      <w:r>
        <w:rPr>
          <w:rStyle w:val="CharSectno"/>
        </w:rPr>
        <w:t>48</w:t>
      </w:r>
      <w:r>
        <w:t>.</w:t>
      </w:r>
      <w:r>
        <w:tab/>
        <w:t>Applying NLIS devices to stock</w:t>
      </w:r>
      <w:bookmarkEnd w:id="125"/>
      <w:bookmarkEnd w:id="126"/>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a fine of $20 000.</w:t>
      </w:r>
    </w:p>
    <w:p>
      <w:pPr>
        <w:pStyle w:val="Subsection"/>
      </w:pPr>
      <w:r>
        <w:tab/>
        <w:t>(2)</w:t>
      </w:r>
      <w:r>
        <w:tab/>
        <w:t>A person must not apply an NLIS device to cattle or buffalo other than in the right ear of the animal.</w:t>
      </w:r>
    </w:p>
    <w:p>
      <w:pPr>
        <w:pStyle w:val="Penstart"/>
      </w:pPr>
      <w:r>
        <w:tab/>
        <w:t>Penalty: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a fine of $2 000.</w:t>
      </w:r>
    </w:p>
    <w:p>
      <w:pPr>
        <w:pStyle w:val="Heading5"/>
      </w:pPr>
      <w:bookmarkStart w:id="127" w:name="_Toc375042072"/>
      <w:bookmarkStart w:id="128" w:name="_Toc415054189"/>
      <w:r>
        <w:rPr>
          <w:rStyle w:val="CharSectno"/>
        </w:rPr>
        <w:t>49</w:t>
      </w:r>
      <w:r>
        <w:t>.</w:t>
      </w:r>
      <w:r>
        <w:tab/>
        <w:t>When unused NLIS devices to be given to inspector</w:t>
      </w:r>
      <w:bookmarkEnd w:id="127"/>
      <w:bookmarkEnd w:id="128"/>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129" w:name="_Toc375042073"/>
      <w:bookmarkStart w:id="130" w:name="_Toc415054190"/>
      <w:r>
        <w:rPr>
          <w:rStyle w:val="CharSectno"/>
        </w:rPr>
        <w:t>50</w:t>
      </w:r>
      <w:r>
        <w:t>.</w:t>
      </w:r>
      <w:r>
        <w:tab/>
        <w:t>False representations relating to NLIS devices</w:t>
      </w:r>
      <w:bookmarkEnd w:id="129"/>
      <w:bookmarkEnd w:id="130"/>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31" w:name="_Toc375042074"/>
      <w:bookmarkStart w:id="132" w:name="_Toc415054191"/>
      <w:r>
        <w:t>Subdivision 2 — NLIS tags</w:t>
      </w:r>
      <w:bookmarkEnd w:id="131"/>
      <w:bookmarkEnd w:id="132"/>
    </w:p>
    <w:p>
      <w:pPr>
        <w:pStyle w:val="Heading5"/>
      </w:pPr>
      <w:bookmarkStart w:id="133" w:name="_Toc375042075"/>
      <w:bookmarkStart w:id="134" w:name="_Toc415054192"/>
      <w:r>
        <w:rPr>
          <w:rStyle w:val="CharSectno"/>
        </w:rPr>
        <w:t>51</w:t>
      </w:r>
      <w:r>
        <w:t>.</w:t>
      </w:r>
      <w:r>
        <w:tab/>
        <w:t>Meaning of NLIS tag</w:t>
      </w:r>
      <w:bookmarkEnd w:id="133"/>
      <w:bookmarkEnd w:id="134"/>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Heading5"/>
      </w:pPr>
      <w:bookmarkStart w:id="135" w:name="_Toc375042076"/>
      <w:bookmarkStart w:id="136" w:name="_Toc415054193"/>
      <w:r>
        <w:rPr>
          <w:rStyle w:val="CharSectno"/>
        </w:rPr>
        <w:t>52</w:t>
      </w:r>
      <w:r>
        <w:t>.</w:t>
      </w:r>
      <w:r>
        <w:tab/>
        <w:t>Applying NLIS tags to stock</w:t>
      </w:r>
      <w:bookmarkEnd w:id="135"/>
      <w:bookmarkEnd w:id="136"/>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a fine of $20 000.</w:t>
      </w:r>
    </w:p>
    <w:p>
      <w:pPr>
        <w:pStyle w:val="Subsection"/>
      </w:pPr>
      <w:r>
        <w:tab/>
        <w:t>(2)</w:t>
      </w:r>
      <w:r>
        <w:tab/>
        <w:t xml:space="preserve">A person must not apply an NLIS tag (except an NLIS post breeder tag) to an animal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a fine of $2 000.</w:t>
      </w:r>
    </w:p>
    <w:p>
      <w:pPr>
        <w:pStyle w:val="Subsection"/>
      </w:pPr>
      <w:r>
        <w:tab/>
        <w:t>(3)</w:t>
      </w:r>
      <w:r>
        <w:tab/>
        <w:t xml:space="preserve">A person must not apply an NLIS post breeder tag to an animal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a fine of $2 000.</w:t>
      </w:r>
    </w:p>
    <w:p>
      <w:pPr>
        <w:pStyle w:val="Heading5"/>
      </w:pPr>
      <w:bookmarkStart w:id="137" w:name="_Toc375042077"/>
      <w:bookmarkStart w:id="138" w:name="_Toc415054194"/>
      <w:r>
        <w:rPr>
          <w:rStyle w:val="CharSectno"/>
        </w:rPr>
        <w:t>53</w:t>
      </w:r>
      <w:r>
        <w:t>.</w:t>
      </w:r>
      <w:r>
        <w:tab/>
        <w:t>False representations relating to NLIS tags</w:t>
      </w:r>
      <w:bookmarkEnd w:id="137"/>
      <w:bookmarkEnd w:id="138"/>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39" w:name="_Toc375042078"/>
      <w:bookmarkStart w:id="140" w:name="_Toc415054195"/>
      <w:r>
        <w:t>Subdivision 3 — Removal and disposal of NLIS identifiers</w:t>
      </w:r>
      <w:bookmarkEnd w:id="139"/>
      <w:bookmarkEnd w:id="140"/>
    </w:p>
    <w:p>
      <w:pPr>
        <w:pStyle w:val="Heading5"/>
      </w:pPr>
      <w:bookmarkStart w:id="141" w:name="_Toc375042079"/>
      <w:bookmarkStart w:id="142" w:name="_Toc415054196"/>
      <w:r>
        <w:rPr>
          <w:rStyle w:val="CharSectno"/>
        </w:rPr>
        <w:t>54</w:t>
      </w:r>
      <w:r>
        <w:t>.</w:t>
      </w:r>
      <w:r>
        <w:tab/>
        <w:t>Removal of NLIS identifiers</w:t>
      </w:r>
      <w:bookmarkEnd w:id="141"/>
      <w:bookmarkEnd w:id="142"/>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143" w:name="_Toc375042080"/>
      <w:bookmarkStart w:id="144" w:name="_Toc415054197"/>
      <w:r>
        <w:rPr>
          <w:rStyle w:val="CharSectno"/>
        </w:rPr>
        <w:t>55</w:t>
      </w:r>
      <w:r>
        <w:t>.</w:t>
      </w:r>
      <w:r>
        <w:tab/>
        <w:t>Replacing NLIS identifiers</w:t>
      </w:r>
      <w:bookmarkEnd w:id="143"/>
      <w:bookmarkEnd w:id="144"/>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145" w:name="_Toc375042081"/>
      <w:bookmarkStart w:id="146" w:name="_Toc415054198"/>
      <w:r>
        <w:rPr>
          <w:rStyle w:val="CharSectno"/>
        </w:rPr>
        <w:t>56</w:t>
      </w:r>
      <w:r>
        <w:t>.</w:t>
      </w:r>
      <w:r>
        <w:tab/>
        <w:t>Disposal of NLIS identifiers</w:t>
      </w:r>
      <w:bookmarkEnd w:id="145"/>
      <w:bookmarkEnd w:id="146"/>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47" w:name="_Toc375042082"/>
      <w:bookmarkStart w:id="148" w:name="_Toc415054199"/>
      <w:r>
        <w:rPr>
          <w:rStyle w:val="CharSectno"/>
        </w:rPr>
        <w:t>57</w:t>
      </w:r>
      <w:r>
        <w:t>.</w:t>
      </w:r>
      <w:r>
        <w:tab/>
        <w:t>NLIS identifiers not to be damaged or defaced</w:t>
      </w:r>
      <w:bookmarkEnd w:id="147"/>
      <w:bookmarkEnd w:id="148"/>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49" w:name="_Toc375042083"/>
      <w:bookmarkStart w:id="150" w:name="_Toc415054200"/>
      <w:r>
        <w:t>Subdivision 4 — The NLIS database</w:t>
      </w:r>
      <w:bookmarkEnd w:id="149"/>
      <w:bookmarkEnd w:id="150"/>
    </w:p>
    <w:p>
      <w:pPr>
        <w:pStyle w:val="Heading5"/>
      </w:pPr>
      <w:bookmarkStart w:id="151" w:name="_Toc375042084"/>
      <w:bookmarkStart w:id="152" w:name="_Toc415054201"/>
      <w:r>
        <w:rPr>
          <w:rStyle w:val="CharSectno"/>
        </w:rPr>
        <w:t>58</w:t>
      </w:r>
      <w:r>
        <w:t>.</w:t>
      </w:r>
      <w:r>
        <w:tab/>
        <w:t>The NLIS database</w:t>
      </w:r>
      <w:bookmarkEnd w:id="151"/>
      <w:bookmarkEnd w:id="152"/>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53" w:name="_Toc375042085"/>
      <w:bookmarkStart w:id="154" w:name="_Toc415054202"/>
      <w:r>
        <w:rPr>
          <w:rStyle w:val="CharDivNo"/>
        </w:rPr>
        <w:t>Division 4</w:t>
      </w:r>
      <w:r>
        <w:t> — </w:t>
      </w:r>
      <w:r>
        <w:rPr>
          <w:rStyle w:val="CharDivText"/>
        </w:rPr>
        <w:t>Manufacture and supply of identifiers</w:t>
      </w:r>
      <w:bookmarkEnd w:id="153"/>
      <w:bookmarkEnd w:id="154"/>
    </w:p>
    <w:p>
      <w:pPr>
        <w:pStyle w:val="Heading4"/>
      </w:pPr>
      <w:bookmarkStart w:id="155" w:name="_Toc375042086"/>
      <w:bookmarkStart w:id="156" w:name="_Toc415054203"/>
      <w:r>
        <w:t>Subdivision 1 — Approved devices, approved identification equipment and approved manufacturers</w:t>
      </w:r>
      <w:bookmarkEnd w:id="155"/>
      <w:bookmarkEnd w:id="156"/>
    </w:p>
    <w:p>
      <w:pPr>
        <w:pStyle w:val="Heading5"/>
      </w:pPr>
      <w:bookmarkStart w:id="157" w:name="_Toc375042087"/>
      <w:bookmarkStart w:id="158" w:name="_Toc415054204"/>
      <w:r>
        <w:rPr>
          <w:rStyle w:val="CharSectno"/>
        </w:rPr>
        <w:t>59</w:t>
      </w:r>
      <w:r>
        <w:t>.</w:t>
      </w:r>
      <w:r>
        <w:tab/>
        <w:t>Approved devices and approved identification equipment</w:t>
      </w:r>
      <w:bookmarkEnd w:id="157"/>
      <w:bookmarkEnd w:id="158"/>
    </w:p>
    <w:p>
      <w:pPr>
        <w:pStyle w:val="Subsection"/>
      </w:pPr>
      <w:r>
        <w:tab/>
        <w:t>(1)</w:t>
      </w:r>
      <w:r>
        <w:tab/>
        <w:t xml:space="preserve">The Director General may approve for use in identifying stock under these regulations — </w:t>
      </w:r>
    </w:p>
    <w:p>
      <w:pPr>
        <w:pStyle w:val="Indenta"/>
      </w:pPr>
      <w:r>
        <w:tab/>
        <w:t>(a)</w:t>
      </w:r>
      <w:r>
        <w:tab/>
        <w:t xml:space="preserve">a particular device (an </w:t>
      </w:r>
      <w:r>
        <w:rPr>
          <w:rStyle w:val="CharDefText"/>
        </w:rPr>
        <w:t>approved device</w:t>
      </w:r>
      <w:r>
        <w:t>), including a device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devices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 device or identification equipment given under subregulation (1).</w:t>
      </w:r>
    </w:p>
    <w:p>
      <w:pPr>
        <w:pStyle w:val="Heading5"/>
      </w:pPr>
      <w:bookmarkStart w:id="159" w:name="_Toc375042088"/>
      <w:bookmarkStart w:id="160" w:name="_Toc415054205"/>
      <w:r>
        <w:rPr>
          <w:rStyle w:val="CharSectno"/>
        </w:rPr>
        <w:t>60</w:t>
      </w:r>
      <w:r>
        <w:t>.</w:t>
      </w:r>
      <w:r>
        <w:tab/>
        <w:t>Approved manufacturers</w:t>
      </w:r>
      <w:bookmarkEnd w:id="159"/>
      <w:bookmarkEnd w:id="160"/>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61" w:name="_Toc375042089"/>
      <w:bookmarkStart w:id="162" w:name="_Toc415054206"/>
      <w:r>
        <w:rPr>
          <w:rStyle w:val="CharSectno"/>
        </w:rPr>
        <w:t>61</w:t>
      </w:r>
      <w:r>
        <w:t>.</w:t>
      </w:r>
      <w:r>
        <w:tab/>
        <w:t>Review</w:t>
      </w:r>
      <w:bookmarkEnd w:id="161"/>
      <w:bookmarkEnd w:id="162"/>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63" w:name="_Toc375042090"/>
      <w:bookmarkStart w:id="164" w:name="_Toc415054207"/>
      <w:r>
        <w:t>Subdivision 2 — Registered identifiers</w:t>
      </w:r>
      <w:bookmarkEnd w:id="163"/>
      <w:bookmarkEnd w:id="164"/>
    </w:p>
    <w:p>
      <w:pPr>
        <w:pStyle w:val="Heading5"/>
      </w:pPr>
      <w:bookmarkStart w:id="165" w:name="_Toc375042091"/>
      <w:bookmarkStart w:id="166" w:name="_Toc415054208"/>
      <w:r>
        <w:rPr>
          <w:rStyle w:val="CharSectno"/>
        </w:rPr>
        <w:t>62</w:t>
      </w:r>
      <w:r>
        <w:t>.</w:t>
      </w:r>
      <w:r>
        <w:tab/>
        <w:t>Manufacture and supply of devices and identification equipment for registered identifiers</w:t>
      </w:r>
      <w:bookmarkEnd w:id="165"/>
      <w:bookmarkEnd w:id="166"/>
    </w:p>
    <w:p>
      <w:pPr>
        <w:pStyle w:val="Subsection"/>
      </w:pPr>
      <w:r>
        <w:tab/>
        <w:t>(1)</w:t>
      </w:r>
      <w:r>
        <w:tab/>
        <w:t xml:space="preserve">A person must not manufacture — </w:t>
      </w:r>
    </w:p>
    <w:p>
      <w:pPr>
        <w:pStyle w:val="Indenta"/>
      </w:pPr>
      <w:r>
        <w:tab/>
        <w:t>(a)</w:t>
      </w:r>
      <w:r>
        <w:tab/>
        <w:t>a device;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t>a device;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t>a device;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 device — 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t>a device;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registered owner of the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a fine of $5 000.</w:t>
      </w:r>
    </w:p>
    <w:p>
      <w:pPr>
        <w:pStyle w:val="Heading4"/>
      </w:pPr>
      <w:bookmarkStart w:id="167" w:name="_Toc375042092"/>
      <w:bookmarkStart w:id="168" w:name="_Toc415054209"/>
      <w:r>
        <w:t>Subdivision 3 — NLIS identifiers</w:t>
      </w:r>
      <w:bookmarkEnd w:id="167"/>
      <w:bookmarkEnd w:id="168"/>
    </w:p>
    <w:p>
      <w:pPr>
        <w:pStyle w:val="Heading5"/>
      </w:pPr>
      <w:bookmarkStart w:id="169" w:name="_Toc375042093"/>
      <w:bookmarkStart w:id="170" w:name="_Toc415054210"/>
      <w:r>
        <w:rPr>
          <w:rStyle w:val="CharSectno"/>
        </w:rPr>
        <w:t>63</w:t>
      </w:r>
      <w:r>
        <w:t>.</w:t>
      </w:r>
      <w:r>
        <w:tab/>
        <w:t>Term used: manufacture</w:t>
      </w:r>
      <w:bookmarkEnd w:id="169"/>
      <w:bookmarkEnd w:id="170"/>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71" w:name="_Toc375042094"/>
      <w:bookmarkStart w:id="172" w:name="_Toc415054211"/>
      <w:r>
        <w:rPr>
          <w:rStyle w:val="CharSectno"/>
        </w:rPr>
        <w:t>64</w:t>
      </w:r>
      <w:r>
        <w:t>.</w:t>
      </w:r>
      <w:r>
        <w:tab/>
        <w:t>Manufacture of NLIS devices</w:t>
      </w:r>
      <w:bookmarkEnd w:id="171"/>
      <w:bookmarkEnd w:id="172"/>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A person must not manufacture an accredited device unless the person is recognised by NLIS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NLIS Ltd as a manufacturer of the accredited device.</w:t>
      </w:r>
    </w:p>
    <w:p>
      <w:pPr>
        <w:pStyle w:val="Penstart"/>
      </w:pPr>
      <w:r>
        <w:tab/>
        <w:t>Penalty: a fine of $5 000.</w:t>
      </w:r>
    </w:p>
    <w:p>
      <w:pPr>
        <w:pStyle w:val="Heading5"/>
      </w:pPr>
      <w:bookmarkStart w:id="173" w:name="_Toc375042095"/>
      <w:bookmarkStart w:id="174" w:name="_Toc415054212"/>
      <w:r>
        <w:rPr>
          <w:rStyle w:val="CharSectno"/>
        </w:rPr>
        <w:t>65</w:t>
      </w:r>
      <w:r>
        <w:t>.</w:t>
      </w:r>
      <w:r>
        <w:tab/>
        <w:t>Supply of NLIS devices by manufacturers</w:t>
      </w:r>
      <w:bookmarkEnd w:id="173"/>
      <w:bookmarkEnd w:id="174"/>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175" w:name="_Toc375042096"/>
      <w:bookmarkStart w:id="176" w:name="_Toc415054213"/>
      <w:r>
        <w:rPr>
          <w:rStyle w:val="CharSectno"/>
        </w:rPr>
        <w:t>66</w:t>
      </w:r>
      <w:r>
        <w:t>.</w:t>
      </w:r>
      <w:r>
        <w:tab/>
        <w:t>Supply of NLIS devices by persons other than manufacturers</w:t>
      </w:r>
      <w:bookmarkEnd w:id="175"/>
      <w:bookmarkEnd w:id="176"/>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NLIS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Heading5"/>
      </w:pPr>
      <w:bookmarkStart w:id="177" w:name="_Toc375042097"/>
      <w:bookmarkStart w:id="178" w:name="_Toc415054214"/>
      <w:r>
        <w:rPr>
          <w:rStyle w:val="CharSectno"/>
        </w:rPr>
        <w:t>67</w:t>
      </w:r>
      <w:r>
        <w:t>.</w:t>
      </w:r>
      <w:r>
        <w:tab/>
        <w:t>Manufacture of NLIS tags</w:t>
      </w:r>
      <w:bookmarkEnd w:id="177"/>
      <w:bookmarkEnd w:id="178"/>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A person must not manufacture an accredited tag unless the person is recognised by NLIS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NLIS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Next/>
      </w:pPr>
      <w:r>
        <w:tab/>
        <w:t>(7)</w:t>
      </w:r>
      <w:r>
        <w:tab/>
        <w:t>A person must comply with a direction given under subregulation (6) as soon as practicable after the direction is given.</w:t>
      </w:r>
    </w:p>
    <w:p>
      <w:pPr>
        <w:pStyle w:val="Penstart"/>
        <w:keepNext/>
      </w:pPr>
      <w:r>
        <w:tab/>
        <w:t>Penalty: a fine of $5 000.</w:t>
      </w:r>
    </w:p>
    <w:p>
      <w:pPr>
        <w:pStyle w:val="Heading2"/>
      </w:pPr>
      <w:bookmarkStart w:id="179" w:name="_Toc375042098"/>
      <w:bookmarkStart w:id="180" w:name="_Toc415054215"/>
      <w:r>
        <w:rPr>
          <w:rStyle w:val="CharPartNo"/>
        </w:rPr>
        <w:t>Part 4</w:t>
      </w:r>
      <w:r>
        <w:rPr>
          <w:rStyle w:val="CharDivNo"/>
        </w:rPr>
        <w:t> </w:t>
      </w:r>
      <w:r>
        <w:t>—</w:t>
      </w:r>
      <w:r>
        <w:rPr>
          <w:rStyle w:val="CharDivText"/>
        </w:rPr>
        <w:t> </w:t>
      </w:r>
      <w:r>
        <w:rPr>
          <w:rStyle w:val="CharPartText"/>
        </w:rPr>
        <w:t>General provisions for identifying stock</w:t>
      </w:r>
      <w:bookmarkEnd w:id="179"/>
      <w:bookmarkEnd w:id="180"/>
    </w:p>
    <w:p>
      <w:pPr>
        <w:pStyle w:val="Heading5"/>
      </w:pPr>
      <w:bookmarkStart w:id="181" w:name="_Toc375042099"/>
      <w:bookmarkStart w:id="182" w:name="_Toc415054216"/>
      <w:r>
        <w:rPr>
          <w:rStyle w:val="CharSectno"/>
        </w:rPr>
        <w:t>68</w:t>
      </w:r>
      <w:r>
        <w:t>.</w:t>
      </w:r>
      <w:r>
        <w:tab/>
        <w:t>Term used: identifier</w:t>
      </w:r>
      <w:bookmarkEnd w:id="181"/>
      <w:bookmarkEnd w:id="182"/>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83" w:name="_Toc375042100"/>
      <w:bookmarkStart w:id="184" w:name="_Toc415054217"/>
      <w:r>
        <w:rPr>
          <w:rStyle w:val="CharSectno"/>
        </w:rPr>
        <w:t>69</w:t>
      </w:r>
      <w:r>
        <w:t>.</w:t>
      </w:r>
      <w:r>
        <w:tab/>
        <w:t>Director General may exempt stock from identification requirements</w:t>
      </w:r>
      <w:bookmarkEnd w:id="183"/>
      <w:bookmarkEnd w:id="184"/>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85" w:name="_Toc375042101"/>
      <w:bookmarkStart w:id="186" w:name="_Toc415054218"/>
      <w:r>
        <w:rPr>
          <w:rStyle w:val="CharSectno"/>
        </w:rPr>
        <w:t>70</w:t>
      </w:r>
      <w:r>
        <w:t>.</w:t>
      </w:r>
      <w:r>
        <w:tab/>
        <w:t>Identification exemption certificates</w:t>
      </w:r>
      <w:bookmarkEnd w:id="185"/>
      <w:bookmarkEnd w:id="186"/>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187" w:name="_Toc375042102"/>
      <w:bookmarkStart w:id="188" w:name="_Toc415054219"/>
      <w:r>
        <w:rPr>
          <w:rStyle w:val="CharSectno"/>
        </w:rPr>
        <w:t>71</w:t>
      </w:r>
      <w:r>
        <w:t>.</w:t>
      </w:r>
      <w:r>
        <w:tab/>
        <w:t>When stock not properly identified</w:t>
      </w:r>
      <w:bookmarkEnd w:id="187"/>
      <w:bookmarkEnd w:id="188"/>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89" w:name="_Toc375042103"/>
      <w:bookmarkStart w:id="190" w:name="_Toc415054220"/>
      <w:r>
        <w:rPr>
          <w:rStyle w:val="CharSectno"/>
        </w:rPr>
        <w:t>72</w:t>
      </w:r>
      <w:r>
        <w:t>.</w:t>
      </w:r>
      <w:r>
        <w:tab/>
        <w:t>Altered or damaged identifiers</w:t>
      </w:r>
      <w:bookmarkEnd w:id="189"/>
      <w:bookmarkEnd w:id="190"/>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191" w:name="_Toc375042104"/>
      <w:bookmarkStart w:id="192" w:name="_Toc415054221"/>
      <w:r>
        <w:rPr>
          <w:rStyle w:val="CharSectno"/>
        </w:rPr>
        <w:t>73</w:t>
      </w:r>
      <w:r>
        <w:t>.</w:t>
      </w:r>
      <w:r>
        <w:tab/>
        <w:t>Possession of unidentified stock</w:t>
      </w:r>
      <w:bookmarkEnd w:id="191"/>
      <w:bookmarkEnd w:id="192"/>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193" w:name="_Toc375042105"/>
      <w:bookmarkStart w:id="194" w:name="_Toc415054222"/>
      <w:r>
        <w:rPr>
          <w:rStyle w:val="CharSectno"/>
        </w:rPr>
        <w:t>74</w:t>
      </w:r>
      <w:r>
        <w:t>.</w:t>
      </w:r>
      <w:r>
        <w:tab/>
        <w:t>Things that may be confused with identifiers</w:t>
      </w:r>
      <w:bookmarkEnd w:id="193"/>
      <w:bookmarkEnd w:id="194"/>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95" w:name="_Toc375042106"/>
      <w:bookmarkStart w:id="196" w:name="_Toc415054223"/>
      <w:r>
        <w:rPr>
          <w:rStyle w:val="CharPartNo"/>
        </w:rPr>
        <w:t>Part 5</w:t>
      </w:r>
      <w:r>
        <w:t> — </w:t>
      </w:r>
      <w:r>
        <w:rPr>
          <w:rStyle w:val="CharPartText"/>
        </w:rPr>
        <w:t>Identifying cattle and buffalo</w:t>
      </w:r>
      <w:bookmarkEnd w:id="195"/>
      <w:bookmarkEnd w:id="196"/>
    </w:p>
    <w:p>
      <w:pPr>
        <w:pStyle w:val="Heading3"/>
      </w:pPr>
      <w:bookmarkStart w:id="197" w:name="_Toc375042107"/>
      <w:bookmarkStart w:id="198" w:name="_Toc415054224"/>
      <w:r>
        <w:rPr>
          <w:rStyle w:val="CharDivNo"/>
        </w:rPr>
        <w:t>Division 1</w:t>
      </w:r>
      <w:r>
        <w:t> — </w:t>
      </w:r>
      <w:r>
        <w:rPr>
          <w:rStyle w:val="CharDivText"/>
        </w:rPr>
        <w:t>Terms used</w:t>
      </w:r>
      <w:bookmarkEnd w:id="197"/>
      <w:bookmarkEnd w:id="198"/>
    </w:p>
    <w:p>
      <w:pPr>
        <w:pStyle w:val="Heading5"/>
      </w:pPr>
      <w:bookmarkStart w:id="199" w:name="_Toc375042108"/>
      <w:bookmarkStart w:id="200" w:name="_Toc415054225"/>
      <w:r>
        <w:rPr>
          <w:rStyle w:val="CharSectno"/>
        </w:rPr>
        <w:t>75</w:t>
      </w:r>
      <w:r>
        <w:t>.</w:t>
      </w:r>
      <w:r>
        <w:tab/>
        <w:t>Terms used</w:t>
      </w:r>
      <w:bookmarkEnd w:id="199"/>
      <w:bookmarkEnd w:id="200"/>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201" w:name="_Toc375042109"/>
      <w:bookmarkStart w:id="202" w:name="_Toc415054226"/>
      <w:r>
        <w:rPr>
          <w:rStyle w:val="CharDivNo"/>
        </w:rPr>
        <w:t>Division 2</w:t>
      </w:r>
      <w:r>
        <w:t> — </w:t>
      </w:r>
      <w:r>
        <w:rPr>
          <w:rStyle w:val="CharDivText"/>
        </w:rPr>
        <w:t>Owners of cattle or buffalo</w:t>
      </w:r>
      <w:bookmarkEnd w:id="201"/>
      <w:bookmarkEnd w:id="202"/>
    </w:p>
    <w:p>
      <w:pPr>
        <w:pStyle w:val="Heading4"/>
      </w:pPr>
      <w:bookmarkStart w:id="203" w:name="_Toc375042110"/>
      <w:bookmarkStart w:id="204" w:name="_Toc415054227"/>
      <w:r>
        <w:t>Subdivision 1 — Registered identifiers and approved identifiers</w:t>
      </w:r>
      <w:bookmarkEnd w:id="203"/>
      <w:bookmarkEnd w:id="204"/>
    </w:p>
    <w:p>
      <w:pPr>
        <w:pStyle w:val="Heading5"/>
      </w:pPr>
      <w:bookmarkStart w:id="205" w:name="_Toc375042111"/>
      <w:bookmarkStart w:id="206" w:name="_Toc415054228"/>
      <w:r>
        <w:rPr>
          <w:rStyle w:val="CharSectno"/>
        </w:rPr>
        <w:t>76</w:t>
      </w:r>
      <w:r>
        <w:t>.</w:t>
      </w:r>
      <w:r>
        <w:tab/>
        <w:t>Owners to identify cattle and buffalo</w:t>
      </w:r>
      <w:bookmarkEnd w:id="205"/>
      <w:bookmarkEnd w:id="206"/>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if the animal is moved from the property on which it is kept before it reaches 6 months of age and before it is identified in accordance with this regulation — when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 when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if the animal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if the animal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 xml:space="preserve">For the purposes of this regulation, an owner of cattle or buffalo may identify the cattle or buffalo, or cause them to be identified, with all or any of the following identifiers — </w:t>
      </w:r>
    </w:p>
    <w:p>
      <w:pPr>
        <w:pStyle w:val="Indenta"/>
      </w:pPr>
      <w:r>
        <w:tab/>
        <w:t>(a)</w:t>
      </w:r>
      <w:r>
        <w:tab/>
        <w:t xml:space="preserve">a registered identifier applied as a brand in accordance with regulation 78; </w:t>
      </w:r>
    </w:p>
    <w:p>
      <w:pPr>
        <w:pStyle w:val="Indenta"/>
      </w:pPr>
      <w:r>
        <w:tab/>
        <w:t>(b)</w:t>
      </w:r>
      <w:r>
        <w:tab/>
        <w:t xml:space="preserve">a registered identifier applied as an earmark in accordance with regulation 79; </w:t>
      </w:r>
    </w:p>
    <w:p>
      <w:pPr>
        <w:pStyle w:val="Indenta"/>
      </w:pPr>
      <w:r>
        <w:tab/>
        <w:t>(c)</w:t>
      </w:r>
      <w:r>
        <w:tab/>
        <w:t>an approved identifier for cattle or buffalo.</w:t>
      </w:r>
    </w:p>
    <w:p>
      <w:pPr>
        <w:pStyle w:val="Heading5"/>
      </w:pPr>
      <w:bookmarkStart w:id="207" w:name="_Toc375042112"/>
      <w:bookmarkStart w:id="208" w:name="_Toc415054229"/>
      <w:r>
        <w:rPr>
          <w:rStyle w:val="CharSectno"/>
        </w:rPr>
        <w:t>77</w:t>
      </w:r>
      <w:r>
        <w:t>.</w:t>
      </w:r>
      <w:r>
        <w:tab/>
        <w:t>Exemption for calves</w:t>
      </w:r>
      <w:bookmarkEnd w:id="207"/>
      <w:bookmarkEnd w:id="208"/>
      <w:r>
        <w:t xml:space="preserve"> </w:t>
      </w:r>
    </w:p>
    <w:p>
      <w:pPr>
        <w:pStyle w:val="Subsection"/>
      </w:pPr>
      <w:r>
        <w:tab/>
      </w:r>
      <w:r>
        <w:tab/>
        <w:t>It is not necessary for cattle or buffalo to be identified in accordance with regulation 76(1)(c), (2)(d), (3)(a) or (4)(a) if the animal is being moved with its mother from the property on which it is kept to another property with the same relevant PIC.</w:t>
      </w:r>
    </w:p>
    <w:p>
      <w:pPr>
        <w:pStyle w:val="Heading5"/>
      </w:pPr>
      <w:bookmarkStart w:id="209" w:name="_Toc375042113"/>
      <w:bookmarkStart w:id="210" w:name="_Toc415054230"/>
      <w:r>
        <w:rPr>
          <w:rStyle w:val="CharSectno"/>
        </w:rPr>
        <w:t>78</w:t>
      </w:r>
      <w:r>
        <w:t>.</w:t>
      </w:r>
      <w:r>
        <w:tab/>
        <w:t>Registered identifier applied as brand</w:t>
      </w:r>
      <w:bookmarkEnd w:id="209"/>
      <w:bookmarkEnd w:id="210"/>
    </w:p>
    <w:p>
      <w:pPr>
        <w:pStyle w:val="Subsection"/>
        <w:rPr>
          <w:snapToGrid w:val="0"/>
        </w:rPr>
      </w:pPr>
      <w:r>
        <w:tab/>
        <w:t>(1)</w:t>
      </w:r>
      <w:r>
        <w:tab/>
        <w:t xml:space="preserve">A </w:t>
      </w:r>
      <w:r>
        <w:rPr>
          <w:snapToGrid w:val="0"/>
        </w:rPr>
        <w:t>registered identifier applied as a brand to cattle or buffalo must be applied as a firebrand or a freezeband in accordance with this regulation.</w:t>
      </w:r>
    </w:p>
    <w:p>
      <w:pPr>
        <w:pStyle w:val="Subsection"/>
        <w:rPr>
          <w:snapToGrid w:val="0"/>
        </w:rPr>
      </w:pPr>
      <w:r>
        <w:tab/>
        <w:t>(2)</w:t>
      </w:r>
      <w:r>
        <w:tab/>
        <w:t>A</w:t>
      </w:r>
      <w:r>
        <w:rPr>
          <w:snapToGrid w:val="0"/>
        </w:rPr>
        <w:t xml:space="preserve"> firebrand must not be applied to the horn of cattle.</w:t>
      </w:r>
    </w:p>
    <w:p>
      <w:pPr>
        <w:pStyle w:val="Subsection"/>
        <w:rPr>
          <w:snapToGrid w:val="0"/>
        </w:rPr>
      </w:pPr>
      <w:r>
        <w:tab/>
        <w:t>(3)</w:t>
      </w:r>
      <w:r>
        <w:tab/>
      </w:r>
      <w:r>
        <w:rPr>
          <w:snapToGrid w:val="0"/>
        </w:rPr>
        <w:t>A firebrand or freezeband must —</w:t>
      </w:r>
    </w:p>
    <w:p>
      <w:pPr>
        <w:pStyle w:val="Indenta"/>
        <w:rPr>
          <w:snapToGrid w:val="0"/>
        </w:rPr>
      </w:pPr>
      <w:r>
        <w:tab/>
        <w:t>(a)</w:t>
      </w:r>
      <w:r>
        <w:tab/>
      </w:r>
      <w:r>
        <w:rPr>
          <w:snapToGrid w:val="0"/>
        </w:rPr>
        <w:t>if applied to cattle — be applied to the near or left rump or shoulder; or</w:t>
      </w:r>
    </w:p>
    <w:p>
      <w:pPr>
        <w:pStyle w:val="Indenta"/>
        <w:rPr>
          <w:snapToGrid w:val="0"/>
        </w:rPr>
      </w:pPr>
      <w:r>
        <w:tab/>
        <w:t>(b)</w:t>
      </w:r>
      <w:r>
        <w:tab/>
      </w:r>
      <w:r>
        <w:rPr>
          <w:snapToGrid w:val="0"/>
        </w:rPr>
        <w:t xml:space="preserve">if applied to buffalo — </w:t>
      </w:r>
    </w:p>
    <w:p>
      <w:pPr>
        <w:pStyle w:val="Indenti"/>
        <w:rPr>
          <w:snapToGrid w:val="0"/>
        </w:rPr>
      </w:pPr>
      <w:r>
        <w:rPr>
          <w:snapToGrid w:val="0"/>
        </w:rPr>
        <w:tab/>
        <w:t>(i)</w:t>
      </w:r>
      <w:r>
        <w:rPr>
          <w:snapToGrid w:val="0"/>
        </w:rPr>
        <w:tab/>
        <w:t>be applied to the near or left rump or shoulder; or</w:t>
      </w:r>
    </w:p>
    <w:p>
      <w:pPr>
        <w:pStyle w:val="Indenti"/>
        <w:rPr>
          <w:snapToGrid w:val="0"/>
        </w:rPr>
      </w:pPr>
      <w:r>
        <w:rPr>
          <w:snapToGrid w:val="0"/>
        </w:rPr>
        <w:tab/>
        <w:t>(ii)</w:t>
      </w:r>
      <w:r>
        <w:rPr>
          <w:snapToGrid w:val="0"/>
        </w:rPr>
        <w:tab/>
        <w:t>be applied to the horn.</w:t>
      </w:r>
    </w:p>
    <w:p>
      <w:pPr>
        <w:pStyle w:val="Subsection"/>
        <w:rPr>
          <w:snapToGrid w:val="0"/>
        </w:rPr>
      </w:pPr>
      <w:r>
        <w:tab/>
        <w:t>(4)</w:t>
      </w:r>
      <w:r>
        <w:tab/>
      </w:r>
      <w:r>
        <w:rPr>
          <w:snapToGrid w:val="0"/>
        </w:rPr>
        <w:t>A firebrand or freezeband must</w:t>
      </w:r>
      <w:r>
        <w:t xml:space="preserve"> be applied in the approved manner.</w:t>
      </w:r>
    </w:p>
    <w:p>
      <w:pPr>
        <w:pStyle w:val="Subsection"/>
      </w:pPr>
      <w:r>
        <w:tab/>
        <w:t>(5)</w:t>
      </w:r>
      <w:r>
        <w:tab/>
        <w:t xml:space="preserve">If — </w:t>
      </w:r>
    </w:p>
    <w:p>
      <w:pPr>
        <w:pStyle w:val="Indenta"/>
        <w:rPr>
          <w:snapToGrid w:val="0"/>
        </w:rPr>
      </w:pPr>
      <w:r>
        <w:rPr>
          <w:snapToGrid w:val="0"/>
        </w:rPr>
        <w:tab/>
        <w:t>(a)</w:t>
      </w:r>
      <w:r>
        <w:rPr>
          <w:snapToGrid w:val="0"/>
        </w:rPr>
        <w:tab/>
      </w:r>
      <w:r>
        <w:t>an animal</w:t>
      </w:r>
      <w:r>
        <w:rPr>
          <w:snapToGrid w:val="0"/>
        </w:rPr>
        <w:t xml:space="preserve"> is to be branded on the near or left rump or shoulder; and</w:t>
      </w:r>
    </w:p>
    <w:p>
      <w:pPr>
        <w:pStyle w:val="Indenta"/>
        <w:rPr>
          <w:snapToGrid w:val="0"/>
        </w:rPr>
      </w:pPr>
      <w:r>
        <w:rPr>
          <w:snapToGrid w:val="0"/>
        </w:rPr>
        <w:tab/>
        <w:t>(b)</w:t>
      </w:r>
      <w:r>
        <w:rPr>
          <w:snapToGrid w:val="0"/>
        </w:rPr>
        <w:tab/>
        <w:t>the animal has been previously branded, or has an age mark, on that rump or shoulder,</w:t>
      </w:r>
    </w:p>
    <w:p>
      <w:pPr>
        <w:pStyle w:val="Subsection"/>
        <w:rPr>
          <w:snapToGrid w:val="0"/>
        </w:rPr>
      </w:pPr>
      <w:r>
        <w:rPr>
          <w:snapToGrid w:val="0"/>
        </w:rPr>
        <w:tab/>
      </w:r>
      <w:r>
        <w:rPr>
          <w:snapToGrid w:val="0"/>
        </w:rPr>
        <w:tab/>
        <w:t>the brand must be applied immediately below the existing brand or age mark.</w:t>
      </w:r>
    </w:p>
    <w:p>
      <w:pPr>
        <w:pStyle w:val="Subsection"/>
        <w:keepNext/>
        <w:rPr>
          <w:snapToGrid w:val="0"/>
        </w:rPr>
      </w:pPr>
      <w:r>
        <w:tab/>
        <w:t>(6)</w:t>
      </w:r>
      <w:r>
        <w:tab/>
      </w:r>
      <w:r>
        <w:rPr>
          <w:snapToGrid w:val="0"/>
        </w:rPr>
        <w:t xml:space="preserve">A firebrand or freezeband must be — </w:t>
      </w:r>
    </w:p>
    <w:p>
      <w:pPr>
        <w:pStyle w:val="Indenta"/>
        <w:rPr>
          <w:snapToGrid w:val="0"/>
        </w:rPr>
      </w:pPr>
      <w:r>
        <w:rPr>
          <w:snapToGrid w:val="0"/>
        </w:rPr>
        <w:tab/>
        <w:t>(a)</w:t>
      </w:r>
      <w:r>
        <w:rPr>
          <w:snapToGrid w:val="0"/>
        </w:rPr>
        <w:tab/>
        <w:t>not less than 150 mm long and 50 mm in height at the time when it is applied; and</w:t>
      </w:r>
    </w:p>
    <w:p>
      <w:pPr>
        <w:pStyle w:val="Indenta"/>
      </w:pPr>
      <w:r>
        <w:tab/>
        <w:t>(b)</w:t>
      </w:r>
      <w:r>
        <w:tab/>
      </w:r>
      <w:r>
        <w:rPr>
          <w:snapToGrid w:val="0"/>
        </w:rPr>
        <w:t>clearly legible.</w:t>
      </w:r>
    </w:p>
    <w:p>
      <w:pPr>
        <w:pStyle w:val="Heading5"/>
      </w:pPr>
      <w:bookmarkStart w:id="211" w:name="_Toc375042114"/>
      <w:bookmarkStart w:id="212" w:name="_Toc415054231"/>
      <w:r>
        <w:rPr>
          <w:rStyle w:val="CharSectno"/>
        </w:rPr>
        <w:t>79</w:t>
      </w:r>
      <w:r>
        <w:t>.</w:t>
      </w:r>
      <w:r>
        <w:tab/>
        <w:t>Registered identifier applied as earmark</w:t>
      </w:r>
      <w:bookmarkEnd w:id="211"/>
      <w:bookmarkEnd w:id="212"/>
    </w:p>
    <w:p>
      <w:pPr>
        <w:pStyle w:val="Subsection"/>
        <w:rPr>
          <w:snapToGrid w:val="0"/>
        </w:rPr>
      </w:pPr>
      <w:r>
        <w:tab/>
        <w:t>(1)</w:t>
      </w:r>
      <w:r>
        <w:tab/>
      </w:r>
      <w:r>
        <w:rPr>
          <w:snapToGrid w:val="0"/>
        </w:rPr>
        <w:t xml:space="preserve">A registered identifier applied as an earmark to cattle or buffalo must — </w:t>
      </w:r>
    </w:p>
    <w:p>
      <w:pPr>
        <w:pStyle w:val="Indenta"/>
        <w:rPr>
          <w:snapToGrid w:val="0"/>
        </w:rPr>
      </w:pPr>
      <w:r>
        <w:rPr>
          <w:snapToGrid w:val="0"/>
        </w:rPr>
        <w:tab/>
        <w:t>(a)</w:t>
      </w:r>
      <w:r>
        <w:rPr>
          <w:snapToGrid w:val="0"/>
        </w:rPr>
        <w:tab/>
        <w:t>be applied to the ear of the animal specified for that purpose in the owner’s certificate of registration; and</w:t>
      </w:r>
    </w:p>
    <w:p>
      <w:pPr>
        <w:pStyle w:val="Indenta"/>
      </w:pPr>
      <w:r>
        <w:tab/>
        <w:t>(b)</w:t>
      </w:r>
      <w:r>
        <w:tab/>
        <w:t>meet the requirements of subregulation (2).</w:t>
      </w:r>
    </w:p>
    <w:p>
      <w:pPr>
        <w:pStyle w:val="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213" w:name="_Toc375042115"/>
      <w:bookmarkStart w:id="214" w:name="_Toc415054232"/>
      <w:r>
        <w:rPr>
          <w:rStyle w:val="CharSectno"/>
        </w:rPr>
        <w:t>80</w:t>
      </w:r>
      <w:r>
        <w:t>.</w:t>
      </w:r>
      <w:r>
        <w:tab/>
        <w:t>Age marks, cullmarks and other markings</w:t>
      </w:r>
      <w:bookmarkEnd w:id="213"/>
      <w:bookmarkEnd w:id="214"/>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215" w:name="_Toc375042116"/>
      <w:bookmarkStart w:id="216" w:name="_Toc415054233"/>
      <w:r>
        <w:rPr>
          <w:rStyle w:val="CharSectno"/>
        </w:rPr>
        <w:t>81</w:t>
      </w:r>
      <w:r>
        <w:t>.</w:t>
      </w:r>
      <w:r>
        <w:tab/>
        <w:t>Spayed bovine females must be marked</w:t>
      </w:r>
      <w:bookmarkEnd w:id="215"/>
      <w:bookmarkEnd w:id="216"/>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217" w:name="_Toc375042117"/>
      <w:bookmarkStart w:id="218" w:name="_Toc415054234"/>
      <w:r>
        <w:t>Subdivision 2 — NLIS identification</w:t>
      </w:r>
      <w:bookmarkEnd w:id="217"/>
      <w:bookmarkEnd w:id="218"/>
    </w:p>
    <w:p>
      <w:pPr>
        <w:pStyle w:val="Heading5"/>
        <w:spacing w:before="180"/>
      </w:pPr>
      <w:bookmarkStart w:id="219" w:name="_Toc375042118"/>
      <w:bookmarkStart w:id="220" w:name="_Toc415054235"/>
      <w:r>
        <w:rPr>
          <w:rStyle w:val="CharSectno"/>
        </w:rPr>
        <w:t>82</w:t>
      </w:r>
      <w:r>
        <w:t>.</w:t>
      </w:r>
      <w:r>
        <w:tab/>
        <w:t>Responsibilities of owner before moving cattle or buffalo</w:t>
      </w:r>
      <w:bookmarkEnd w:id="219"/>
      <w:bookmarkEnd w:id="220"/>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221" w:name="_Toc375042119"/>
      <w:bookmarkStart w:id="222" w:name="_Toc415054236"/>
      <w:r>
        <w:rPr>
          <w:rStyle w:val="CharSectno"/>
        </w:rPr>
        <w:t>83</w:t>
      </w:r>
      <w:r>
        <w:t>.</w:t>
      </w:r>
      <w:r>
        <w:tab/>
        <w:t>Exemptions from NLIS identification</w:t>
      </w:r>
      <w:bookmarkEnd w:id="221"/>
      <w:bookmarkEnd w:id="222"/>
    </w:p>
    <w:p>
      <w:pPr>
        <w:pStyle w:val="Subsection"/>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223" w:name="_Toc375042120"/>
      <w:bookmarkStart w:id="224" w:name="_Toc415054237"/>
      <w:r>
        <w:rPr>
          <w:rStyle w:val="CharSectno"/>
        </w:rPr>
        <w:t>84</w:t>
      </w:r>
      <w:r>
        <w:t>.</w:t>
      </w:r>
      <w:r>
        <w:tab/>
        <w:t>Responsibilities of owner after moving animal</w:t>
      </w:r>
      <w:bookmarkEnd w:id="223"/>
      <w:bookmarkEnd w:id="224"/>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pPr>
      <w:r>
        <w:tab/>
        <w:t>(d)</w:t>
      </w:r>
      <w:r>
        <w:tab/>
      </w:r>
      <w:r>
        <w:rPr>
          <w:snapToGrid w:val="0"/>
        </w:rPr>
        <w:t>the owner moves the animal directly to an abattoir for slaughter;</w:t>
      </w:r>
      <w:r>
        <w:t xml:space="preserve"> or</w:t>
      </w:r>
    </w:p>
    <w:p>
      <w:pPr>
        <w:pStyle w:val="Indenta"/>
        <w:rPr>
          <w:snapToGrid w:val="0"/>
        </w:rPr>
      </w:pPr>
      <w:r>
        <w:tab/>
        <w:t>(e)</w:t>
      </w:r>
      <w:r>
        <w:tab/>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NLIS database.</w:t>
      </w:r>
    </w:p>
    <w:p>
      <w:pPr>
        <w:pStyle w:val="Heading3"/>
      </w:pPr>
      <w:bookmarkStart w:id="225" w:name="_Toc375042121"/>
      <w:bookmarkStart w:id="226" w:name="_Toc415054238"/>
      <w:r>
        <w:rPr>
          <w:rStyle w:val="CharDivNo"/>
        </w:rPr>
        <w:t>Division 3</w:t>
      </w:r>
      <w:r>
        <w:t> — </w:t>
      </w:r>
      <w:r>
        <w:rPr>
          <w:rStyle w:val="CharDivText"/>
        </w:rPr>
        <w:t>Other requirements for cattle and buffalo</w:t>
      </w:r>
      <w:bookmarkEnd w:id="225"/>
      <w:bookmarkEnd w:id="226"/>
    </w:p>
    <w:p>
      <w:pPr>
        <w:pStyle w:val="Heading4"/>
      </w:pPr>
      <w:bookmarkStart w:id="227" w:name="_Toc375042122"/>
      <w:bookmarkStart w:id="228" w:name="_Toc415054239"/>
      <w:r>
        <w:t>Subdivision 1 — Imported animals, animals from a pound and dead stray animals</w:t>
      </w:r>
      <w:bookmarkEnd w:id="227"/>
      <w:bookmarkEnd w:id="228"/>
    </w:p>
    <w:p>
      <w:pPr>
        <w:pStyle w:val="Heading5"/>
      </w:pPr>
      <w:bookmarkStart w:id="229" w:name="_Toc375042123"/>
      <w:bookmarkStart w:id="230" w:name="_Toc415054240"/>
      <w:r>
        <w:rPr>
          <w:rStyle w:val="CharSectno"/>
        </w:rPr>
        <w:t>85</w:t>
      </w:r>
      <w:r>
        <w:t>.</w:t>
      </w:r>
      <w:r>
        <w:tab/>
        <w:t>Imported cattle and buffalo</w:t>
      </w:r>
      <w:bookmarkEnd w:id="229"/>
      <w:bookmarkEnd w:id="230"/>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31" w:name="_Toc375042124"/>
      <w:bookmarkStart w:id="232" w:name="_Toc415054241"/>
      <w:r>
        <w:rPr>
          <w:rStyle w:val="CharSectno"/>
        </w:rPr>
        <w:t>86</w:t>
      </w:r>
      <w:r>
        <w:t>.</w:t>
      </w:r>
      <w:r>
        <w:tab/>
        <w:t>Cattle and buffalo from a pound</w:t>
      </w:r>
      <w:bookmarkEnd w:id="231"/>
      <w:bookmarkEnd w:id="232"/>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33" w:name="_Toc375042125"/>
      <w:bookmarkStart w:id="234" w:name="_Toc415054242"/>
      <w:r>
        <w:rPr>
          <w:rStyle w:val="CharSectno"/>
        </w:rPr>
        <w:t>87</w:t>
      </w:r>
      <w:r>
        <w:t>.</w:t>
      </w:r>
      <w:r>
        <w:tab/>
        <w:t>Dead stray cattle and buffalo</w:t>
      </w:r>
      <w:bookmarkEnd w:id="233"/>
      <w:bookmarkEnd w:id="23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235" w:name="_Toc375042126"/>
      <w:bookmarkStart w:id="236" w:name="_Toc415054243"/>
      <w:r>
        <w:t>Subdivision 2 — Carriers and purchasers</w:t>
      </w:r>
      <w:bookmarkEnd w:id="235"/>
      <w:bookmarkEnd w:id="236"/>
    </w:p>
    <w:p>
      <w:pPr>
        <w:pStyle w:val="Heading5"/>
      </w:pPr>
      <w:bookmarkStart w:id="237" w:name="_Toc375042127"/>
      <w:bookmarkStart w:id="238" w:name="_Toc415054244"/>
      <w:r>
        <w:rPr>
          <w:rStyle w:val="CharSectno"/>
        </w:rPr>
        <w:t>88</w:t>
      </w:r>
      <w:r>
        <w:t>.</w:t>
      </w:r>
      <w:r>
        <w:tab/>
        <w:t>Responsibilities of carriers</w:t>
      </w:r>
      <w:bookmarkEnd w:id="237"/>
      <w:bookmarkEnd w:id="238"/>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239" w:name="_Toc375042128"/>
      <w:bookmarkStart w:id="240" w:name="_Toc415054245"/>
      <w:r>
        <w:rPr>
          <w:rStyle w:val="CharSectno"/>
        </w:rPr>
        <w:t>89</w:t>
      </w:r>
      <w:r>
        <w:t>.</w:t>
      </w:r>
      <w:r>
        <w:tab/>
        <w:t>Responsibilities of purchasers</w:t>
      </w:r>
      <w:bookmarkEnd w:id="239"/>
      <w:bookmarkEnd w:id="240"/>
    </w:p>
    <w:p>
      <w:pPr>
        <w:pStyle w:val="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Penstart"/>
      </w:pPr>
      <w:r>
        <w:tab/>
        <w:t>Penalty: a fine of $5 000.</w:t>
      </w:r>
    </w:p>
    <w:p>
      <w:pPr>
        <w:pStyle w:val="Subsection"/>
      </w:pPr>
      <w:r>
        <w:tab/>
        <w:t>(2)</w:t>
      </w:r>
      <w:r>
        <w:tab/>
        <w:t xml:space="preserve">A purchaser of an animal at a saleyard must, when requested by the saleyard operator, give — </w:t>
      </w:r>
    </w:p>
    <w:p>
      <w:pPr>
        <w:pStyle w:val="Indenta"/>
      </w:pPr>
      <w:r>
        <w:tab/>
        <w:t>(a)</w:t>
      </w:r>
      <w:r>
        <w:tab/>
        <w:t>the</w:t>
      </w:r>
      <w:r>
        <w:rPr>
          <w:snapToGrid w:val="0"/>
        </w:rPr>
        <w:t xml:space="preserve"> relevant PIC of the property on which the animal is to be kept or slaughtered, or from which the animal is to be exported, by the purchaser</w:t>
      </w:r>
      <w:r>
        <w:t>; or</w:t>
      </w:r>
    </w:p>
    <w:p>
      <w:pPr>
        <w:pStyle w:val="Indenta"/>
      </w:pPr>
      <w:r>
        <w:tab/>
        <w:t>(b)</w:t>
      </w:r>
      <w:r>
        <w:tab/>
        <w:t>the purchaser’s BIC.</w:t>
      </w:r>
    </w:p>
    <w:p>
      <w:pPr>
        <w:pStyle w:val="Penstart"/>
      </w:pPr>
      <w:r>
        <w:tab/>
        <w:t>Penalty: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the relevant PIC of the property on which the animal is to be kept or slaughtered, or from which the animal is to be exported, by the purchaser;</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Heading4"/>
      </w:pPr>
      <w:bookmarkStart w:id="241" w:name="_Toc375042129"/>
      <w:bookmarkStart w:id="242" w:name="_Toc415054246"/>
      <w:r>
        <w:t>Subdivision 3 — General provisions relating to property operators</w:t>
      </w:r>
      <w:bookmarkEnd w:id="241"/>
      <w:bookmarkEnd w:id="242"/>
    </w:p>
    <w:p>
      <w:pPr>
        <w:pStyle w:val="Heading5"/>
      </w:pPr>
      <w:bookmarkStart w:id="243" w:name="_Toc375042130"/>
      <w:bookmarkStart w:id="244" w:name="_Toc415054247"/>
      <w:r>
        <w:rPr>
          <w:rStyle w:val="CharSectno"/>
        </w:rPr>
        <w:t>90</w:t>
      </w:r>
      <w:r>
        <w:t>.</w:t>
      </w:r>
      <w:r>
        <w:tab/>
        <w:t>Cattle or buffalo not to be delivered to property without relevant PIC</w:t>
      </w:r>
      <w:bookmarkEnd w:id="243"/>
      <w:bookmarkEnd w:id="244"/>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45" w:name="_Toc375042131"/>
      <w:bookmarkStart w:id="246" w:name="_Toc415054248"/>
      <w:r>
        <w:rPr>
          <w:rStyle w:val="CharSectno"/>
        </w:rPr>
        <w:t>91</w:t>
      </w:r>
      <w:r>
        <w:t>.</w:t>
      </w:r>
      <w:r>
        <w:tab/>
        <w:t>Responsibilities of property operator if animal dies on or while being moved to property other than a pound</w:t>
      </w:r>
      <w:bookmarkEnd w:id="245"/>
      <w:bookmarkEnd w:id="246"/>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previous property;</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Heading4"/>
      </w:pPr>
      <w:bookmarkStart w:id="247" w:name="_Toc375042132"/>
      <w:bookmarkStart w:id="248" w:name="_Toc415054249"/>
      <w:r>
        <w:t>Subdivision 4 — Pounds</w:t>
      </w:r>
      <w:bookmarkEnd w:id="247"/>
      <w:bookmarkEnd w:id="248"/>
    </w:p>
    <w:p>
      <w:pPr>
        <w:pStyle w:val="Heading5"/>
      </w:pPr>
      <w:bookmarkStart w:id="249" w:name="_Toc375042133"/>
      <w:bookmarkStart w:id="250" w:name="_Toc415054250"/>
      <w:r>
        <w:rPr>
          <w:rStyle w:val="CharSectno"/>
        </w:rPr>
        <w:t>92</w:t>
      </w:r>
      <w:r>
        <w:t>.</w:t>
      </w:r>
      <w:r>
        <w:tab/>
        <w:t>Responsibilities of pound operator if no NLIS device applied to animal</w:t>
      </w:r>
      <w:bookmarkEnd w:id="249"/>
      <w:bookmarkEnd w:id="250"/>
    </w:p>
    <w:p>
      <w:pPr>
        <w:pStyle w:val="Subsection"/>
        <w:spacing w:before="120"/>
      </w:pPr>
      <w:r>
        <w:tab/>
        <w:t>(1)</w:t>
      </w:r>
      <w:r>
        <w:tab/>
        <w:t>The operator of a pound may, before an animal is moved there,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Heading5"/>
      </w:pPr>
      <w:bookmarkStart w:id="251" w:name="_Toc375042134"/>
      <w:bookmarkStart w:id="252" w:name="_Toc415054251"/>
      <w:r>
        <w:rPr>
          <w:rStyle w:val="CharSectno"/>
        </w:rPr>
        <w:t>93</w:t>
      </w:r>
      <w:r>
        <w:t>.</w:t>
      </w:r>
      <w:r>
        <w:tab/>
        <w:t>Responsibilities of pound operator if animal born at or while being moved to pound</w:t>
      </w:r>
      <w:bookmarkEnd w:id="251"/>
      <w:bookmarkEnd w:id="25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253" w:name="_Toc375042135"/>
      <w:bookmarkStart w:id="254" w:name="_Toc415054252"/>
      <w:r>
        <w:rPr>
          <w:rStyle w:val="CharSectno"/>
        </w:rPr>
        <w:t>94</w:t>
      </w:r>
      <w:r>
        <w:t>.</w:t>
      </w:r>
      <w:r>
        <w:tab/>
        <w:t>Responsibilities of pound operator if NLIS device applied to animal</w:t>
      </w:r>
      <w:bookmarkEnd w:id="253"/>
      <w:bookmarkEnd w:id="254"/>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255" w:name="_Toc375042136"/>
      <w:bookmarkStart w:id="256" w:name="_Toc415054253"/>
      <w:r>
        <w:rPr>
          <w:rStyle w:val="CharSectno"/>
        </w:rPr>
        <w:t>95</w:t>
      </w:r>
      <w:r>
        <w:t>.</w:t>
      </w:r>
      <w:r>
        <w:tab/>
        <w:t>Responsibilities of pound operator if animal moved from pound</w:t>
      </w:r>
      <w:bookmarkEnd w:id="255"/>
      <w:bookmarkEnd w:id="256"/>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Heading5"/>
      </w:pPr>
      <w:bookmarkStart w:id="257" w:name="_Toc375042137"/>
      <w:bookmarkStart w:id="258" w:name="_Toc415054254"/>
      <w:r>
        <w:rPr>
          <w:rStyle w:val="CharSectno"/>
        </w:rPr>
        <w:t>96</w:t>
      </w:r>
      <w:r>
        <w:t>.</w:t>
      </w:r>
      <w:r>
        <w:tab/>
        <w:t>Responsibilities of pound operator if animal dies on or while being moved to pound</w:t>
      </w:r>
      <w:bookmarkEnd w:id="257"/>
      <w:bookmarkEnd w:id="258"/>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259" w:name="_Toc375042138"/>
      <w:bookmarkStart w:id="260" w:name="_Toc415054255"/>
      <w:r>
        <w:t>Subdivision 5 — Holding yards</w:t>
      </w:r>
      <w:bookmarkEnd w:id="259"/>
      <w:bookmarkEnd w:id="260"/>
    </w:p>
    <w:p>
      <w:pPr>
        <w:pStyle w:val="Heading5"/>
      </w:pPr>
      <w:bookmarkStart w:id="261" w:name="_Toc375042139"/>
      <w:bookmarkStart w:id="262" w:name="_Toc415054256"/>
      <w:r>
        <w:rPr>
          <w:rStyle w:val="CharSectno"/>
        </w:rPr>
        <w:t>97</w:t>
      </w:r>
      <w:r>
        <w:t>.</w:t>
      </w:r>
      <w:r>
        <w:tab/>
        <w:t>Responsibilities of holding yard operator if no NLIS device applied to animal</w:t>
      </w:r>
      <w:bookmarkEnd w:id="261"/>
      <w:bookmarkEnd w:id="262"/>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inform an inspector accordingly, and comply with any directions given to the operator by the inspector under regulation 98.</w:t>
      </w:r>
    </w:p>
    <w:p>
      <w:pPr>
        <w:pStyle w:val="Penstart"/>
      </w:pPr>
      <w:r>
        <w:tab/>
        <w:t>Penalty: a fine of $2 000.</w:t>
      </w:r>
    </w:p>
    <w:p>
      <w:pPr>
        <w:pStyle w:val="Heading5"/>
      </w:pPr>
      <w:bookmarkStart w:id="263" w:name="_Toc375042140"/>
      <w:bookmarkStart w:id="264" w:name="_Toc415054257"/>
      <w:r>
        <w:rPr>
          <w:rStyle w:val="CharSectno"/>
        </w:rPr>
        <w:t>98</w:t>
      </w:r>
      <w:r>
        <w:t>.</w:t>
      </w:r>
      <w:r>
        <w:tab/>
        <w:t>Directions by inspectors</w:t>
      </w:r>
      <w:bookmarkEnd w:id="263"/>
      <w:bookmarkEnd w:id="264"/>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265" w:name="_Toc375042141"/>
      <w:bookmarkStart w:id="266" w:name="_Toc415054258"/>
      <w:r>
        <w:rPr>
          <w:rStyle w:val="CharSectno"/>
        </w:rPr>
        <w:t>99</w:t>
      </w:r>
      <w:r>
        <w:t>.</w:t>
      </w:r>
      <w:r>
        <w:tab/>
        <w:t>Responsibilities of holding yard operator if animal born at or while being moved to holding yard</w:t>
      </w:r>
      <w:bookmarkEnd w:id="265"/>
      <w:bookmarkEnd w:id="266"/>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67" w:name="_Toc375042142"/>
      <w:bookmarkStart w:id="268" w:name="_Toc415054259"/>
      <w:r>
        <w:rPr>
          <w:rStyle w:val="CharSectno"/>
        </w:rPr>
        <w:t>100</w:t>
      </w:r>
      <w:r>
        <w:t>.</w:t>
      </w:r>
      <w:r>
        <w:tab/>
        <w:t>Responsibilities of holding yard operator if consignment held for less than 48 hours and moved from holding yard in a single consignment</w:t>
      </w:r>
      <w:bookmarkEnd w:id="267"/>
      <w:bookmarkEnd w:id="268"/>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keepNext/>
      </w:pPr>
      <w:r>
        <w:tab/>
        <w:t>Penalty: a fine of $2 000.</w:t>
      </w:r>
    </w:p>
    <w:p>
      <w:pPr>
        <w:pStyle w:val="Heading5"/>
      </w:pPr>
      <w:bookmarkStart w:id="269" w:name="_Toc375042143"/>
      <w:bookmarkStart w:id="270" w:name="_Toc415054260"/>
      <w:r>
        <w:rPr>
          <w:rStyle w:val="CharSectno"/>
        </w:rPr>
        <w:t>101</w:t>
      </w:r>
      <w:r>
        <w:t>.</w:t>
      </w:r>
      <w:r>
        <w:tab/>
        <w:t>Responsibilities of holding yard operator if animal held for less than 48 hours and moved from holding yard in different consignment</w:t>
      </w:r>
      <w:bookmarkEnd w:id="269"/>
      <w:bookmarkEnd w:id="270"/>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271" w:name="_Toc375042144"/>
      <w:bookmarkStart w:id="272" w:name="_Toc415054261"/>
      <w:r>
        <w:rPr>
          <w:rStyle w:val="CharSectno"/>
        </w:rPr>
        <w:t>102</w:t>
      </w:r>
      <w:r>
        <w:t>.</w:t>
      </w:r>
      <w:r>
        <w:tab/>
        <w:t>Responsibilities of holding yard operator if animal held for more than 48 hours</w:t>
      </w:r>
      <w:bookmarkEnd w:id="271"/>
      <w:bookmarkEnd w:id="272"/>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73" w:name="_Toc375042145"/>
      <w:bookmarkStart w:id="274" w:name="_Toc415054262"/>
      <w:r>
        <w:t>Subdivision 6 — Saleyards</w:t>
      </w:r>
      <w:bookmarkEnd w:id="273"/>
      <w:bookmarkEnd w:id="274"/>
    </w:p>
    <w:p>
      <w:pPr>
        <w:pStyle w:val="Heading5"/>
      </w:pPr>
      <w:bookmarkStart w:id="275" w:name="_Toc375042146"/>
      <w:bookmarkStart w:id="276" w:name="_Toc415054263"/>
      <w:r>
        <w:rPr>
          <w:rStyle w:val="CharSectno"/>
        </w:rPr>
        <w:t>103</w:t>
      </w:r>
      <w:r>
        <w:t>.</w:t>
      </w:r>
      <w:r>
        <w:tab/>
        <w:t>When saleyard to be treated as holding yard</w:t>
      </w:r>
      <w:bookmarkEnd w:id="275"/>
      <w:bookmarkEnd w:id="276"/>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277" w:name="_Toc375042147"/>
      <w:bookmarkStart w:id="278" w:name="_Toc415054264"/>
      <w:r>
        <w:rPr>
          <w:rStyle w:val="CharSectno"/>
        </w:rPr>
        <w:t>104</w:t>
      </w:r>
      <w:r>
        <w:t>.</w:t>
      </w:r>
      <w:r>
        <w:tab/>
        <w:t>Responsibilities of saleyard operator if no NLIS device applied to animal</w:t>
      </w:r>
      <w:bookmarkEnd w:id="277"/>
      <w:bookmarkEnd w:id="278"/>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 and comply with any directions given to the operator by the inspector under regulation 105.</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Heading5"/>
      </w:pPr>
      <w:bookmarkStart w:id="279" w:name="_Toc375042148"/>
      <w:bookmarkStart w:id="280" w:name="_Toc415054265"/>
      <w:r>
        <w:rPr>
          <w:rStyle w:val="CharSectno"/>
        </w:rPr>
        <w:t>105</w:t>
      </w:r>
      <w:r>
        <w:t>.</w:t>
      </w:r>
      <w:r>
        <w:tab/>
        <w:t>Directions by inspectors</w:t>
      </w:r>
      <w:bookmarkEnd w:id="279"/>
      <w:bookmarkEnd w:id="280"/>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281" w:name="_Toc375042149"/>
      <w:bookmarkStart w:id="282" w:name="_Toc415054266"/>
      <w:r>
        <w:rPr>
          <w:rStyle w:val="CharSectno"/>
        </w:rPr>
        <w:t>106</w:t>
      </w:r>
      <w:r>
        <w:t>.</w:t>
      </w:r>
      <w:r>
        <w:tab/>
        <w:t>Responsibilities of saleyard operator if animal born at or while being moved to saleyard</w:t>
      </w:r>
      <w:bookmarkEnd w:id="281"/>
      <w:bookmarkEnd w:id="282"/>
    </w:p>
    <w:p>
      <w:pPr>
        <w:pStyle w:val="Subsection"/>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83" w:name="_Toc375042150"/>
      <w:bookmarkStart w:id="284" w:name="_Toc415054267"/>
      <w:r>
        <w:rPr>
          <w:rStyle w:val="CharSectno"/>
        </w:rPr>
        <w:t>107</w:t>
      </w:r>
      <w:r>
        <w:t>.</w:t>
      </w:r>
      <w:r>
        <w:tab/>
        <w:t>Responsibilities of saleyard operator if NLIS device applied to animal</w:t>
      </w:r>
      <w:bookmarkEnd w:id="283"/>
      <w:bookmarkEnd w:id="284"/>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85" w:name="_Toc375042151"/>
      <w:bookmarkStart w:id="286" w:name="_Toc415054268"/>
      <w:r>
        <w:rPr>
          <w:rStyle w:val="CharSectno"/>
        </w:rPr>
        <w:t>108</w:t>
      </w:r>
      <w:r>
        <w:t>.</w:t>
      </w:r>
      <w:r>
        <w:tab/>
        <w:t>Responsibilities of saleyard operator if animal moved from saleyard</w:t>
      </w:r>
      <w:bookmarkEnd w:id="285"/>
      <w:bookmarkEnd w:id="286"/>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saleyard operator has obtained from the person to whom the animal is sold or otherwise supplied —</w:t>
      </w:r>
    </w:p>
    <w:p>
      <w:pPr>
        <w:pStyle w:val="Indenti"/>
      </w:pPr>
      <w:r>
        <w:tab/>
        <w:t>(i)</w:t>
      </w:r>
      <w:r>
        <w:tab/>
        <w:t>the relevant PIC of the property on which the animal is to be kept or slaughtered, or from which the animal is to be exported, by the person; or</w:t>
      </w:r>
    </w:p>
    <w:p>
      <w:pPr>
        <w:pStyle w:val="Indenti"/>
      </w:pPr>
      <w:r>
        <w:tab/>
        <w:t>(ii)</w:t>
      </w:r>
      <w:r>
        <w:tab/>
        <w:t>the person’s BIC.</w:t>
      </w:r>
    </w:p>
    <w:p>
      <w:pPr>
        <w:pStyle w:val="Penstart"/>
      </w:pPr>
      <w:r>
        <w:tab/>
        <w:t>Penalty: a fine of $5 000.</w:t>
      </w:r>
    </w:p>
    <w:p>
      <w:pPr>
        <w:pStyle w:val="Subsection"/>
      </w:pPr>
      <w:r>
        <w:tab/>
        <w:t>(2)</w:t>
      </w:r>
      <w:r>
        <w:tab/>
        <w:t xml:space="preserve">If an animal to which an NLIS device is applied is moved from a saleyard after being sold there,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the date the animal was sold.</w:t>
      </w:r>
    </w:p>
    <w:p>
      <w:pPr>
        <w:pStyle w:val="Penstart"/>
      </w:pPr>
      <w:r>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Heading4"/>
      </w:pPr>
      <w:bookmarkStart w:id="287" w:name="_Toc375042152"/>
      <w:bookmarkStart w:id="288" w:name="_Toc415054269"/>
      <w:r>
        <w:t>Subdivision 7 — Abattoirs</w:t>
      </w:r>
      <w:bookmarkEnd w:id="287"/>
      <w:bookmarkEnd w:id="288"/>
    </w:p>
    <w:p>
      <w:pPr>
        <w:pStyle w:val="Heading5"/>
      </w:pPr>
      <w:bookmarkStart w:id="289" w:name="_Toc375042153"/>
      <w:bookmarkStart w:id="290" w:name="_Toc415054270"/>
      <w:r>
        <w:rPr>
          <w:rStyle w:val="CharSectno"/>
        </w:rPr>
        <w:t>109</w:t>
      </w:r>
      <w:r>
        <w:t>.</w:t>
      </w:r>
      <w:r>
        <w:tab/>
        <w:t>Responsibilities of abattoir operator if no NLIS device is applied to animal</w:t>
      </w:r>
      <w:bookmarkEnd w:id="289"/>
      <w:bookmarkEnd w:id="290"/>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w:t>
      </w:r>
      <w:r>
        <w:rPr>
          <w:snapToGrid w:val="0"/>
        </w:rPr>
        <w:t>110</w:t>
      </w:r>
      <w:r>
        <w:t>.</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7 days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Heading5"/>
      </w:pPr>
      <w:bookmarkStart w:id="291" w:name="_Toc375042154"/>
      <w:bookmarkStart w:id="292" w:name="_Toc415054271"/>
      <w:r>
        <w:rPr>
          <w:rStyle w:val="CharSectno"/>
        </w:rPr>
        <w:t>110</w:t>
      </w:r>
      <w:r>
        <w:t>.</w:t>
      </w:r>
      <w:r>
        <w:tab/>
        <w:t>Directions by inspectors</w:t>
      </w:r>
      <w:bookmarkEnd w:id="291"/>
      <w:bookmarkEnd w:id="292"/>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293" w:name="_Toc375042155"/>
      <w:bookmarkStart w:id="294" w:name="_Toc415054272"/>
      <w:r>
        <w:rPr>
          <w:rStyle w:val="CharSectno"/>
        </w:rPr>
        <w:t>111</w:t>
      </w:r>
      <w:r>
        <w:t>.</w:t>
      </w:r>
      <w:r>
        <w:tab/>
        <w:t>Responsibilities of abattoir operator if animal born at or while being moved to abattoir</w:t>
      </w:r>
      <w:bookmarkEnd w:id="293"/>
      <w:bookmarkEnd w:id="294"/>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95" w:name="_Toc375042156"/>
      <w:bookmarkStart w:id="296" w:name="_Toc415054273"/>
      <w:r>
        <w:rPr>
          <w:rStyle w:val="CharSectno"/>
        </w:rPr>
        <w:t>112</w:t>
      </w:r>
      <w:r>
        <w:t>.</w:t>
      </w:r>
      <w:r>
        <w:tab/>
      </w:r>
      <w:r>
        <w:rPr>
          <w:snapToGrid w:val="0"/>
        </w:rPr>
        <w:t>Responsibilities of abattoir operator if NLIS device applied to animal</w:t>
      </w:r>
      <w:bookmarkEnd w:id="295"/>
      <w:bookmarkEnd w:id="296"/>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7 days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Heading5"/>
      </w:pPr>
      <w:bookmarkStart w:id="297" w:name="_Toc375042157"/>
      <w:bookmarkStart w:id="298" w:name="_Toc415054274"/>
      <w:r>
        <w:rPr>
          <w:rStyle w:val="CharSectno"/>
        </w:rPr>
        <w:t>113</w:t>
      </w:r>
      <w:r>
        <w:t>.</w:t>
      </w:r>
      <w:r>
        <w:tab/>
        <w:t>Responsibilities of abattoir operator if animal exempt from NLIS identification</w:t>
      </w:r>
      <w:bookmarkEnd w:id="297"/>
      <w:bookmarkEnd w:id="298"/>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7 days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rPr>
          <w:snapToGrid w:val="0"/>
        </w:rPr>
      </w:pPr>
      <w:r>
        <w:tab/>
        <w:t>(iii)</w:t>
      </w:r>
      <w:r>
        <w:tab/>
      </w:r>
      <w:r>
        <w:rPr>
          <w:snapToGrid w:val="0"/>
        </w:rPr>
        <w:t>the date the animal was moved from the abattoir.</w:t>
      </w:r>
    </w:p>
    <w:p>
      <w:pPr>
        <w:pStyle w:val="Penstart"/>
      </w:pPr>
      <w:r>
        <w:tab/>
        <w:t>Penalty: a fine of $5 000.</w:t>
      </w:r>
    </w:p>
    <w:p>
      <w:pPr>
        <w:pStyle w:val="Heading5"/>
        <w:rPr>
          <w:snapToGrid w:val="0"/>
        </w:rPr>
      </w:pPr>
      <w:bookmarkStart w:id="299" w:name="_Toc375042158"/>
      <w:bookmarkStart w:id="300" w:name="_Toc415054275"/>
      <w:r>
        <w:rPr>
          <w:rStyle w:val="CharSectno"/>
        </w:rPr>
        <w:t>114</w:t>
      </w:r>
      <w:r>
        <w:t>.</w:t>
      </w:r>
      <w:r>
        <w:tab/>
      </w:r>
      <w:r>
        <w:rPr>
          <w:snapToGrid w:val="0"/>
        </w:rPr>
        <w:t>Slaughtered animals moved to pet food processing plants</w:t>
      </w:r>
      <w:bookmarkEnd w:id="299"/>
      <w:bookmarkEnd w:id="300"/>
    </w:p>
    <w:p>
      <w:pPr>
        <w:pStyle w:val="Subsection"/>
      </w:pPr>
      <w:r>
        <w:tab/>
        <w:t>(1)</w:t>
      </w:r>
      <w:r>
        <w:tab/>
        <w:t>If a slaughtered animal to which an NLIS device is applied is moved to a pet food processing plant, the operator of the pet food processing plant must, within 7 days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If a consignment of one or more slaughtered animals to which an NLIS device is not applied is moved to a pet food processing plant, the operator of the pet food processing plant must, within 7 days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Heading4"/>
      </w:pPr>
      <w:bookmarkStart w:id="301" w:name="_Toc375042159"/>
      <w:bookmarkStart w:id="302" w:name="_Toc415054276"/>
      <w:r>
        <w:t>Subdivision 8 — Export depots</w:t>
      </w:r>
      <w:bookmarkEnd w:id="301"/>
      <w:bookmarkEnd w:id="302"/>
    </w:p>
    <w:p>
      <w:pPr>
        <w:pStyle w:val="Heading5"/>
      </w:pPr>
      <w:bookmarkStart w:id="303" w:name="_Toc375042160"/>
      <w:bookmarkStart w:id="304" w:name="_Toc415054277"/>
      <w:r>
        <w:rPr>
          <w:rStyle w:val="CharSectno"/>
        </w:rPr>
        <w:t>115</w:t>
      </w:r>
      <w:r>
        <w:t>.</w:t>
      </w:r>
      <w:r>
        <w:tab/>
        <w:t>Responsibilities of export depot operator if no NLIS device applied to animal</w:t>
      </w:r>
      <w:bookmarkEnd w:id="303"/>
      <w:bookmarkEnd w:id="304"/>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116.</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Heading5"/>
      </w:pPr>
      <w:bookmarkStart w:id="305" w:name="_Toc375042161"/>
      <w:bookmarkStart w:id="306" w:name="_Toc415054278"/>
      <w:r>
        <w:rPr>
          <w:rStyle w:val="CharSectno"/>
        </w:rPr>
        <w:t>116</w:t>
      </w:r>
      <w:r>
        <w:t>.</w:t>
      </w:r>
      <w:r>
        <w:tab/>
        <w:t>Directions by inspectors</w:t>
      </w:r>
      <w:bookmarkEnd w:id="305"/>
      <w:bookmarkEnd w:id="306"/>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307" w:name="_Toc375042162"/>
      <w:bookmarkStart w:id="308" w:name="_Toc415054279"/>
      <w:r>
        <w:rPr>
          <w:rStyle w:val="CharSectno"/>
        </w:rPr>
        <w:t>117</w:t>
      </w:r>
      <w:r>
        <w:t>.</w:t>
      </w:r>
      <w:r>
        <w:tab/>
        <w:t>Responsibilities of export depot operator if animal born at or while being moved to export depot</w:t>
      </w:r>
      <w:bookmarkEnd w:id="307"/>
      <w:bookmarkEnd w:id="308"/>
    </w:p>
    <w:p>
      <w:pPr>
        <w:pStyle w:val="Subsection"/>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309" w:name="_Toc375042163"/>
      <w:bookmarkStart w:id="310" w:name="_Toc415054280"/>
      <w:r>
        <w:rPr>
          <w:rStyle w:val="CharSectno"/>
        </w:rPr>
        <w:t>118</w:t>
      </w:r>
      <w:r>
        <w:t>.</w:t>
      </w:r>
      <w:r>
        <w:tab/>
        <w:t>Other responsibilities of export depot operators</w:t>
      </w:r>
      <w:bookmarkEnd w:id="309"/>
      <w:bookmarkEnd w:id="310"/>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exported or otherwise moved from the export depot within that period — as soon as practicable after the animal has been exported or otherwise moved from the export depot.</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Heading2"/>
      </w:pPr>
      <w:bookmarkStart w:id="311" w:name="_Toc375042164"/>
      <w:bookmarkStart w:id="312" w:name="_Toc415054281"/>
      <w:r>
        <w:rPr>
          <w:rStyle w:val="CharPartNo"/>
        </w:rPr>
        <w:t>Part 6</w:t>
      </w:r>
      <w:r>
        <w:t> — </w:t>
      </w:r>
      <w:r>
        <w:rPr>
          <w:rStyle w:val="CharPartText"/>
        </w:rPr>
        <w:t>Identifying sheep and goats</w:t>
      </w:r>
      <w:bookmarkEnd w:id="311"/>
      <w:bookmarkEnd w:id="312"/>
    </w:p>
    <w:p>
      <w:pPr>
        <w:pStyle w:val="Heading3"/>
      </w:pPr>
      <w:bookmarkStart w:id="313" w:name="_Toc375042165"/>
      <w:bookmarkStart w:id="314" w:name="_Toc415054282"/>
      <w:r>
        <w:rPr>
          <w:rStyle w:val="CharDivNo"/>
        </w:rPr>
        <w:t>Division 1</w:t>
      </w:r>
      <w:r>
        <w:t> — </w:t>
      </w:r>
      <w:r>
        <w:rPr>
          <w:rStyle w:val="CharDivText"/>
        </w:rPr>
        <w:t>Term used: animal</w:t>
      </w:r>
      <w:bookmarkEnd w:id="313"/>
      <w:bookmarkEnd w:id="314"/>
    </w:p>
    <w:p>
      <w:pPr>
        <w:pStyle w:val="Heading5"/>
      </w:pPr>
      <w:bookmarkStart w:id="315" w:name="_Toc375042166"/>
      <w:bookmarkStart w:id="316" w:name="_Toc415054283"/>
      <w:r>
        <w:rPr>
          <w:rStyle w:val="CharSectno"/>
        </w:rPr>
        <w:t>119</w:t>
      </w:r>
      <w:r>
        <w:t>.</w:t>
      </w:r>
      <w:r>
        <w:tab/>
        <w:t>Term used: animal</w:t>
      </w:r>
      <w:bookmarkEnd w:id="315"/>
      <w:bookmarkEnd w:id="316"/>
    </w:p>
    <w:p>
      <w:pPr>
        <w:pStyle w:val="Subsection"/>
      </w:pPr>
      <w:r>
        <w:tab/>
      </w:r>
      <w:r>
        <w:tab/>
        <w:t xml:space="preserve">In this Part, unless the contrary intention appears — </w:t>
      </w:r>
    </w:p>
    <w:p>
      <w:pPr>
        <w:pStyle w:val="Defstart"/>
      </w:pPr>
      <w:r>
        <w:tab/>
      </w:r>
      <w:r>
        <w:rPr>
          <w:rStyle w:val="CharDefText"/>
        </w:rPr>
        <w:t>animal</w:t>
      </w:r>
      <w:r>
        <w:t xml:space="preserve"> means a sheep or a goat.</w:t>
      </w:r>
    </w:p>
    <w:p>
      <w:pPr>
        <w:pStyle w:val="Heading3"/>
      </w:pPr>
      <w:bookmarkStart w:id="317" w:name="_Toc375042167"/>
      <w:bookmarkStart w:id="318" w:name="_Toc415054284"/>
      <w:r>
        <w:rPr>
          <w:rStyle w:val="CharDivNo"/>
        </w:rPr>
        <w:t>Division 2</w:t>
      </w:r>
      <w:r>
        <w:t> — </w:t>
      </w:r>
      <w:r>
        <w:rPr>
          <w:rStyle w:val="CharDivText"/>
        </w:rPr>
        <w:t>Owners of sheep or goats</w:t>
      </w:r>
      <w:bookmarkEnd w:id="317"/>
      <w:bookmarkEnd w:id="318"/>
    </w:p>
    <w:p>
      <w:pPr>
        <w:pStyle w:val="Heading4"/>
      </w:pPr>
      <w:bookmarkStart w:id="319" w:name="_Toc375042168"/>
      <w:bookmarkStart w:id="320" w:name="_Toc415054285"/>
      <w:r>
        <w:t>Subdivision 1 — Registered identifiers and approved identifiers for sheep</w:t>
      </w:r>
      <w:bookmarkEnd w:id="319"/>
      <w:bookmarkEnd w:id="320"/>
    </w:p>
    <w:p>
      <w:pPr>
        <w:pStyle w:val="Heading5"/>
      </w:pPr>
      <w:bookmarkStart w:id="321" w:name="_Toc375042169"/>
      <w:bookmarkStart w:id="322" w:name="_Toc415054286"/>
      <w:r>
        <w:rPr>
          <w:rStyle w:val="CharSectno"/>
        </w:rPr>
        <w:t>120</w:t>
      </w:r>
      <w:r>
        <w:t>.</w:t>
      </w:r>
      <w:r>
        <w:tab/>
        <w:t>Owners to identify sheep</w:t>
      </w:r>
      <w:bookmarkEnd w:id="321"/>
      <w:bookmarkEnd w:id="322"/>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if it is moved from the property on which it is kept before it reaches 6 months of age and before it is identified in accordance with this regulation — when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if it is moved from the property on which it is kept before it is first shorn and before it is identified in accordance with this regulation — when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if the sheep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if the sheep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For the purposes of this regulation, an owner of a sheep may identify the sheep, or cause it be identified, with either or both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Heading5"/>
        <w:keepNext w:val="0"/>
        <w:keepLines w:val="0"/>
        <w:spacing w:before="180"/>
      </w:pPr>
      <w:bookmarkStart w:id="323" w:name="_Toc375042170"/>
      <w:bookmarkStart w:id="324" w:name="_Toc415054287"/>
      <w:r>
        <w:rPr>
          <w:rStyle w:val="CharSectno"/>
        </w:rPr>
        <w:t>121</w:t>
      </w:r>
      <w:r>
        <w:t>.</w:t>
      </w:r>
      <w:r>
        <w:tab/>
        <w:t>Exemption for lambs</w:t>
      </w:r>
      <w:bookmarkEnd w:id="323"/>
      <w:bookmarkEnd w:id="324"/>
    </w:p>
    <w:p>
      <w:pPr>
        <w:pStyle w:val="Subsection"/>
      </w:pPr>
      <w:r>
        <w:tab/>
      </w:r>
      <w:r>
        <w:tab/>
        <w:t>It is not necessary for a sheep to be identified in accordance with regulation 120(1)(b), (2)(d), (3)(a) or (4)(a) if it is being moved with its mother from the property on which it is kept to another property with the same relevant PIC.</w:t>
      </w:r>
    </w:p>
    <w:p>
      <w:pPr>
        <w:pStyle w:val="Heading5"/>
        <w:spacing w:before="180"/>
      </w:pPr>
      <w:bookmarkStart w:id="325" w:name="_Toc375042171"/>
      <w:bookmarkStart w:id="326" w:name="_Toc415054288"/>
      <w:r>
        <w:rPr>
          <w:rStyle w:val="CharSectno"/>
        </w:rPr>
        <w:t>122</w:t>
      </w:r>
      <w:r>
        <w:t>.</w:t>
      </w:r>
      <w:r>
        <w:tab/>
        <w:t>Registered identifier applied as earmark</w:t>
      </w:r>
      <w:bookmarkEnd w:id="325"/>
      <w:bookmarkEnd w:id="326"/>
    </w:p>
    <w:p>
      <w:pPr>
        <w:pStyle w:val="Subsection"/>
        <w:spacing w:before="120"/>
        <w:rPr>
          <w:snapToGrid w:val="0"/>
        </w:rPr>
      </w:pPr>
      <w:r>
        <w:tab/>
        <w:t>(1)</w:t>
      </w:r>
      <w:r>
        <w:tab/>
      </w:r>
      <w:r>
        <w:rPr>
          <w:snapToGrid w:val="0"/>
        </w:rPr>
        <w:t>A registered identifier applied as an earmark to a sheep must —</w:t>
      </w:r>
    </w:p>
    <w:p>
      <w:pPr>
        <w:pStyle w:val="Indenta"/>
      </w:pPr>
      <w:r>
        <w:tab/>
        <w:t>(a)</w:t>
      </w:r>
      <w:r>
        <w:tab/>
        <w:t xml:space="preserve">be applied — </w:t>
      </w:r>
    </w:p>
    <w:p>
      <w:pPr>
        <w:pStyle w:val="Indenti"/>
      </w:pPr>
      <w:r>
        <w:tab/>
        <w:t>(i)</w:t>
      </w:r>
      <w:r>
        <w:tab/>
        <w:t>in the right ear of a male animal; or</w:t>
      </w:r>
    </w:p>
    <w:p>
      <w:pPr>
        <w:pStyle w:val="Indenti"/>
      </w:pPr>
      <w:r>
        <w:tab/>
        <w:t>(ii)</w:t>
      </w:r>
      <w:r>
        <w:tab/>
        <w:t>in the left ear of a female animal;</w:t>
      </w:r>
    </w:p>
    <w:p>
      <w:pPr>
        <w:pStyle w:val="Indenta"/>
      </w:pPr>
      <w:r>
        <w:tab/>
      </w:r>
      <w:r>
        <w:tab/>
        <w:t>and</w:t>
      </w:r>
    </w:p>
    <w:p>
      <w:pPr>
        <w:pStyle w:val="Indenta"/>
      </w:pPr>
      <w:r>
        <w:tab/>
        <w:t>(b)</w:t>
      </w:r>
      <w:r>
        <w:tab/>
        <w:t xml:space="preserve">meet the requirements of subregulation (2). </w:t>
      </w:r>
    </w:p>
    <w:p>
      <w:pPr>
        <w:pStyle w:val="Subsection"/>
        <w:spacing w:before="120"/>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spacing w:before="180"/>
      </w:pPr>
      <w:bookmarkStart w:id="327" w:name="_Toc375042172"/>
      <w:bookmarkStart w:id="328" w:name="_Toc415054289"/>
      <w:r>
        <w:rPr>
          <w:rStyle w:val="CharSectno"/>
        </w:rPr>
        <w:t>123</w:t>
      </w:r>
      <w:r>
        <w:t>.</w:t>
      </w:r>
      <w:r>
        <w:tab/>
        <w:t>Age marks, cullmarks and other markings</w:t>
      </w:r>
      <w:bookmarkEnd w:id="327"/>
      <w:bookmarkEnd w:id="328"/>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329" w:name="_Toc375042173"/>
      <w:bookmarkStart w:id="330" w:name="_Toc415054290"/>
      <w:r>
        <w:t>Subdivision 2 — Registered identifiers and approved identifiers for goats</w:t>
      </w:r>
      <w:bookmarkEnd w:id="329"/>
      <w:bookmarkEnd w:id="330"/>
    </w:p>
    <w:p>
      <w:pPr>
        <w:pStyle w:val="Heading5"/>
      </w:pPr>
      <w:bookmarkStart w:id="331" w:name="_Toc375042174"/>
      <w:bookmarkStart w:id="332" w:name="_Toc415054291"/>
      <w:r>
        <w:rPr>
          <w:rStyle w:val="CharSectno"/>
        </w:rPr>
        <w:t>124</w:t>
      </w:r>
      <w:r>
        <w:t>.</w:t>
      </w:r>
      <w:r>
        <w:tab/>
        <w:t>Owners must identify goats in south</w:t>
      </w:r>
      <w:r>
        <w:noBreakHyphen/>
        <w:t>west of State</w:t>
      </w:r>
      <w:bookmarkEnd w:id="331"/>
      <w:bookmarkEnd w:id="332"/>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before it reaches 6 months of age and before it is identified in accordance with this regulation — when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For the purposes of this regulation, an owner of a goat may identify the goat, or cause it be identified, with all or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Heading5"/>
      </w:pPr>
      <w:bookmarkStart w:id="333" w:name="_Toc375042175"/>
      <w:bookmarkStart w:id="334" w:name="_Toc415054292"/>
      <w:r>
        <w:rPr>
          <w:rStyle w:val="CharSectno"/>
        </w:rPr>
        <w:t>125</w:t>
      </w:r>
      <w:r>
        <w:t>.</w:t>
      </w:r>
      <w:r>
        <w:tab/>
        <w:t>Exemption for kids</w:t>
      </w:r>
      <w:bookmarkEnd w:id="333"/>
      <w:bookmarkEnd w:id="334"/>
    </w:p>
    <w:p>
      <w:pPr>
        <w:pStyle w:val="Subsection"/>
      </w:pPr>
      <w:r>
        <w:tab/>
      </w:r>
      <w:r>
        <w:tab/>
        <w:t>It is not necessary for a goat to be identified in accordance with regulation 124(1)(a), (2)(a) or (3)(a) if it is being moved with its mother from the property on which it is kept to another property with the same relevant PIC.</w:t>
      </w:r>
    </w:p>
    <w:p>
      <w:pPr>
        <w:pStyle w:val="Heading5"/>
      </w:pPr>
      <w:bookmarkStart w:id="335" w:name="_Toc375042176"/>
      <w:bookmarkStart w:id="336" w:name="_Toc415054293"/>
      <w:r>
        <w:rPr>
          <w:rStyle w:val="CharSectno"/>
        </w:rPr>
        <w:t>126</w:t>
      </w:r>
      <w:r>
        <w:t>.</w:t>
      </w:r>
      <w:r>
        <w:tab/>
        <w:t>Registered identifier applied as earmark</w:t>
      </w:r>
      <w:bookmarkEnd w:id="335"/>
      <w:bookmarkEnd w:id="336"/>
    </w:p>
    <w:p>
      <w:pPr>
        <w:pStyle w:val="Subsection"/>
        <w:rPr>
          <w:snapToGrid w:val="0"/>
        </w:rPr>
      </w:pPr>
      <w:r>
        <w:tab/>
        <w:t>(1)</w:t>
      </w:r>
      <w:r>
        <w:tab/>
      </w:r>
      <w:r>
        <w:rPr>
          <w:snapToGrid w:val="0"/>
        </w:rPr>
        <w:t>A registered identifier applied as an earmark to a goat must —</w:t>
      </w:r>
    </w:p>
    <w:p>
      <w:pPr>
        <w:pStyle w:val="Indenta"/>
      </w:pPr>
      <w:r>
        <w:tab/>
        <w:t>(a)</w:t>
      </w:r>
      <w:r>
        <w:tab/>
        <w:t xml:space="preserve">be applied — </w:t>
      </w:r>
    </w:p>
    <w:p>
      <w:pPr>
        <w:pStyle w:val="Indenti"/>
      </w:pPr>
      <w:r>
        <w:tab/>
        <w:t>(i)</w:t>
      </w:r>
      <w:r>
        <w:tab/>
        <w:t>in the right ear of a male animal; or</w:t>
      </w:r>
    </w:p>
    <w:p>
      <w:pPr>
        <w:pStyle w:val="Indenti"/>
      </w:pPr>
      <w:r>
        <w:tab/>
        <w:t>(ii)</w:t>
      </w:r>
      <w:r>
        <w:tab/>
        <w:t>in the left ear of a female animal;</w:t>
      </w:r>
    </w:p>
    <w:p>
      <w:pPr>
        <w:pStyle w:val="Indenta"/>
      </w:pPr>
      <w:r>
        <w:tab/>
      </w:r>
      <w:r>
        <w:tab/>
        <w:t>and</w:t>
      </w:r>
    </w:p>
    <w:p>
      <w:pPr>
        <w:pStyle w:val="Indenta"/>
      </w:pPr>
      <w:r>
        <w:tab/>
        <w:t>(b)</w:t>
      </w:r>
      <w:r>
        <w:tab/>
        <w:t xml:space="preserve">meet the requirements of subregulation (2). </w:t>
      </w:r>
    </w:p>
    <w:p>
      <w:pPr>
        <w:pStyle w:val="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337" w:name="_Toc375042177"/>
      <w:bookmarkStart w:id="338" w:name="_Toc415054294"/>
      <w:r>
        <w:rPr>
          <w:rStyle w:val="CharSectno"/>
        </w:rPr>
        <w:t>127</w:t>
      </w:r>
      <w:r>
        <w:t>.</w:t>
      </w:r>
      <w:r>
        <w:tab/>
        <w:t>Age marks, cullmarks and other markings</w:t>
      </w:r>
      <w:bookmarkEnd w:id="337"/>
      <w:bookmarkEnd w:id="338"/>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339" w:name="_Toc375042178"/>
      <w:bookmarkStart w:id="340" w:name="_Toc415054295"/>
      <w:r>
        <w:t>Subdivision 3 — NLIS identification for sheep and goats</w:t>
      </w:r>
      <w:bookmarkEnd w:id="339"/>
      <w:bookmarkEnd w:id="340"/>
    </w:p>
    <w:p>
      <w:pPr>
        <w:pStyle w:val="Heading5"/>
      </w:pPr>
      <w:bookmarkStart w:id="341" w:name="_Toc375042179"/>
      <w:bookmarkStart w:id="342" w:name="_Toc415054296"/>
      <w:r>
        <w:rPr>
          <w:rStyle w:val="CharSectno"/>
        </w:rPr>
        <w:t>128</w:t>
      </w:r>
      <w:r>
        <w:t>.</w:t>
      </w:r>
      <w:r>
        <w:tab/>
        <w:t>Responsibilities of owner before moving sheep or goat</w:t>
      </w:r>
      <w:bookmarkEnd w:id="341"/>
      <w:bookmarkEnd w:id="342"/>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343" w:name="_Toc375042180"/>
      <w:bookmarkStart w:id="344" w:name="_Toc415054297"/>
      <w:r>
        <w:rPr>
          <w:rStyle w:val="CharSectno"/>
        </w:rPr>
        <w:t>129</w:t>
      </w:r>
      <w:r>
        <w:t>.</w:t>
      </w:r>
      <w:r>
        <w:tab/>
        <w:t>Exemptions from NLIS identification</w:t>
      </w:r>
      <w:bookmarkEnd w:id="343"/>
      <w:bookmarkEnd w:id="344"/>
    </w:p>
    <w:p>
      <w:pPr>
        <w:pStyle w:val="Subsection"/>
        <w:keepNext/>
      </w:pPr>
      <w:r>
        <w:tab/>
        <w:t>(1)</w:t>
      </w:r>
      <w:r>
        <w:tab/>
        <w:t>Regulation 128 does not apply —</w:t>
      </w:r>
    </w:p>
    <w:p>
      <w:pPr>
        <w:pStyle w:val="Indenta"/>
      </w:pPr>
      <w:r>
        <w:tab/>
        <w:t>(a)</w:t>
      </w:r>
      <w:r>
        <w:tab/>
        <w:t>to a sheep or a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Heading5"/>
      </w:pPr>
      <w:bookmarkStart w:id="345" w:name="_Toc375042181"/>
      <w:bookmarkStart w:id="346" w:name="_Toc415054298"/>
      <w:r>
        <w:rPr>
          <w:rStyle w:val="CharSectno"/>
        </w:rPr>
        <w:t>130</w:t>
      </w:r>
      <w:r>
        <w:t>.</w:t>
      </w:r>
      <w:r>
        <w:tab/>
        <w:t>Responsibilities of owner after moving animal</w:t>
      </w:r>
      <w:bookmarkEnd w:id="345"/>
      <w:bookmarkEnd w:id="346"/>
    </w:p>
    <w:p>
      <w:pPr>
        <w:pStyle w:val="Subsection"/>
        <w:rPr>
          <w:snapToGrid w:val="0"/>
        </w:rPr>
      </w:pPr>
      <w:r>
        <w:tab/>
        <w:t>(1)</w:t>
      </w:r>
      <w:r>
        <w:tab/>
        <w:t xml:space="preserve">Except as provided in subregulation (3), if an owner of a sheep or a goat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following</w:t>
      </w:r>
      <w:r>
        <w:t xml:space="preserve">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Subsection"/>
      </w:pPr>
      <w:r>
        <w:tab/>
        <w:t>(3)</w:t>
      </w:r>
      <w:r>
        <w:tab/>
        <w:t>Subregulation (1) does not apply if —</w:t>
      </w:r>
    </w:p>
    <w:p>
      <w:pPr>
        <w:pStyle w:val="Indenta"/>
      </w:pPr>
      <w:r>
        <w:tab/>
        <w:t>(a)</w:t>
      </w:r>
      <w:r>
        <w:tab/>
        <w:t>the owner moves the consignment to a holding yard; or</w:t>
      </w:r>
    </w:p>
    <w:p>
      <w:pPr>
        <w:pStyle w:val="Indenta"/>
      </w:pPr>
      <w:r>
        <w:tab/>
        <w:t>(b)</w:t>
      </w:r>
      <w:r>
        <w:tab/>
        <w:t>the owner moves the consignment to a saleyard; or</w:t>
      </w:r>
    </w:p>
    <w:p>
      <w:pPr>
        <w:pStyle w:val="Indenta"/>
      </w:pPr>
      <w:r>
        <w:tab/>
        <w:t>(c)</w:t>
      </w:r>
      <w:r>
        <w:tab/>
        <w:t>the owner moves the consignment from a saleyard after purchasing the animal or animals there; or</w:t>
      </w:r>
    </w:p>
    <w:p>
      <w:pPr>
        <w:pStyle w:val="Indenta"/>
      </w:pPr>
      <w:r>
        <w:tab/>
        <w:t>(d)</w:t>
      </w:r>
      <w:r>
        <w:tab/>
      </w:r>
      <w:r>
        <w:rPr>
          <w:snapToGrid w:val="0"/>
        </w:rPr>
        <w:t>the owner moves the consignment directly to an abattoir for slaughter;</w:t>
      </w:r>
      <w:r>
        <w:t xml:space="preserve"> or</w:t>
      </w:r>
    </w:p>
    <w:p>
      <w:pPr>
        <w:pStyle w:val="Indenta"/>
        <w:rPr>
          <w:snapToGrid w:val="0"/>
        </w:rPr>
      </w:pPr>
      <w:r>
        <w:tab/>
        <w:t>(e)</w:t>
      </w:r>
      <w:r>
        <w:tab/>
        <w:t xml:space="preserve">the owner moves the consignment directly to </w:t>
      </w:r>
      <w:r>
        <w:rPr>
          <w:snapToGrid w:val="0"/>
        </w:rPr>
        <w:t>an export depot for export; or</w:t>
      </w:r>
    </w:p>
    <w:p>
      <w:pPr>
        <w:pStyle w:val="Indenta"/>
      </w:pPr>
      <w:r>
        <w:tab/>
        <w:t>(f)</w:t>
      </w:r>
      <w:r>
        <w:tab/>
        <w:t>an inspector has, in a particular case, given written approval for the owner to move the consignment to another property without updating the NLIS database.</w:t>
      </w:r>
    </w:p>
    <w:p>
      <w:pPr>
        <w:pStyle w:val="Heading3"/>
      </w:pPr>
      <w:bookmarkStart w:id="347" w:name="_Toc375042182"/>
      <w:bookmarkStart w:id="348" w:name="_Toc415054299"/>
      <w:r>
        <w:rPr>
          <w:rStyle w:val="CharDivNo"/>
        </w:rPr>
        <w:t>Division 3</w:t>
      </w:r>
      <w:r>
        <w:t> — </w:t>
      </w:r>
      <w:r>
        <w:rPr>
          <w:rStyle w:val="CharDivText"/>
        </w:rPr>
        <w:t>Other requirements for sheep and goats</w:t>
      </w:r>
      <w:bookmarkEnd w:id="347"/>
      <w:bookmarkEnd w:id="348"/>
    </w:p>
    <w:p>
      <w:pPr>
        <w:pStyle w:val="Heading4"/>
      </w:pPr>
      <w:bookmarkStart w:id="349" w:name="_Toc375042183"/>
      <w:bookmarkStart w:id="350" w:name="_Toc415054300"/>
      <w:r>
        <w:t>Subdivision 1 — Imported animals, animals from a pound and dead stray animals</w:t>
      </w:r>
      <w:bookmarkEnd w:id="349"/>
      <w:bookmarkEnd w:id="350"/>
    </w:p>
    <w:p>
      <w:pPr>
        <w:pStyle w:val="Heading5"/>
      </w:pPr>
      <w:bookmarkStart w:id="351" w:name="_Toc375042184"/>
      <w:bookmarkStart w:id="352" w:name="_Toc415054301"/>
      <w:r>
        <w:rPr>
          <w:rStyle w:val="CharSectno"/>
        </w:rPr>
        <w:t>131</w:t>
      </w:r>
      <w:r>
        <w:t>.</w:t>
      </w:r>
      <w:r>
        <w:tab/>
        <w:t>Imported sheep and goats</w:t>
      </w:r>
      <w:bookmarkEnd w:id="351"/>
      <w:bookmarkEnd w:id="352"/>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353" w:name="_Toc375042185"/>
      <w:bookmarkStart w:id="354" w:name="_Toc415054302"/>
      <w:r>
        <w:rPr>
          <w:rStyle w:val="CharSectno"/>
        </w:rPr>
        <w:t>132</w:t>
      </w:r>
      <w:r>
        <w:t>.</w:t>
      </w:r>
      <w:r>
        <w:tab/>
        <w:t>Sheep and goats from a pound</w:t>
      </w:r>
      <w:bookmarkEnd w:id="353"/>
      <w:bookmarkEnd w:id="354"/>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355" w:name="_Toc375042186"/>
      <w:bookmarkStart w:id="356" w:name="_Toc415054303"/>
      <w:r>
        <w:rPr>
          <w:rStyle w:val="CharSectno"/>
        </w:rPr>
        <w:t>133</w:t>
      </w:r>
      <w:r>
        <w:t>.</w:t>
      </w:r>
      <w:r>
        <w:tab/>
        <w:t>Dead stray sheep and goats</w:t>
      </w:r>
      <w:bookmarkEnd w:id="355"/>
      <w:bookmarkEnd w:id="356"/>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357" w:name="_Toc375042187"/>
      <w:bookmarkStart w:id="358" w:name="_Toc415054304"/>
      <w:r>
        <w:t>Subdivision 2 — Carriers and purchasers</w:t>
      </w:r>
      <w:bookmarkEnd w:id="357"/>
      <w:bookmarkEnd w:id="358"/>
    </w:p>
    <w:p>
      <w:pPr>
        <w:pStyle w:val="Heading5"/>
      </w:pPr>
      <w:bookmarkStart w:id="359" w:name="_Toc375042188"/>
      <w:bookmarkStart w:id="360" w:name="_Toc415054305"/>
      <w:r>
        <w:rPr>
          <w:rStyle w:val="CharSectno"/>
        </w:rPr>
        <w:t>134</w:t>
      </w:r>
      <w:r>
        <w:t>.</w:t>
      </w:r>
      <w:r>
        <w:tab/>
        <w:t>Responsibilities of carriers</w:t>
      </w:r>
      <w:bookmarkEnd w:id="359"/>
      <w:bookmarkEnd w:id="360"/>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361" w:name="_Toc375042189"/>
      <w:bookmarkStart w:id="362" w:name="_Toc415054306"/>
      <w:r>
        <w:rPr>
          <w:rStyle w:val="CharSectno"/>
        </w:rPr>
        <w:t>135</w:t>
      </w:r>
      <w:r>
        <w:t>.</w:t>
      </w:r>
      <w:r>
        <w:tab/>
        <w:t>Responsibilities of purchasers</w:t>
      </w:r>
      <w:bookmarkEnd w:id="361"/>
      <w:bookmarkEnd w:id="362"/>
    </w:p>
    <w:p>
      <w:pPr>
        <w:pStyle w:val="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Penstart"/>
      </w:pPr>
      <w:r>
        <w:tab/>
        <w:t>Penalty: a fine of $5 000.</w:t>
      </w:r>
    </w:p>
    <w:p>
      <w:pPr>
        <w:pStyle w:val="Subsection"/>
      </w:pPr>
      <w:r>
        <w:tab/>
        <w:t>(2)</w:t>
      </w:r>
      <w:r>
        <w:tab/>
        <w:t xml:space="preserve">A purchaser of an animal at a saleyard must, when requested by the saleyard operator, give — </w:t>
      </w:r>
    </w:p>
    <w:p>
      <w:pPr>
        <w:pStyle w:val="Indenta"/>
      </w:pPr>
      <w:r>
        <w:tab/>
        <w:t>(a)</w:t>
      </w:r>
      <w:r>
        <w:tab/>
        <w:t>the relevant</w:t>
      </w:r>
      <w:r>
        <w:rPr>
          <w:snapToGrid w:val="0"/>
        </w:rPr>
        <w:t xml:space="preserve"> PIC of the property on which the animal is to be kept or slaughtered, or from which the animal is to be exported, by the purchaser</w:t>
      </w:r>
      <w:r>
        <w:t>; or</w:t>
      </w:r>
    </w:p>
    <w:p>
      <w:pPr>
        <w:pStyle w:val="Indenta"/>
      </w:pPr>
      <w:r>
        <w:tab/>
        <w:t>(b)</w:t>
      </w:r>
      <w:r>
        <w:tab/>
        <w:t>the purchaser’s BIC.</w:t>
      </w:r>
    </w:p>
    <w:p>
      <w:pPr>
        <w:pStyle w:val="Penstart"/>
      </w:pPr>
      <w:r>
        <w:tab/>
        <w:t>Penalty: a fine of $5 000.</w:t>
      </w:r>
    </w:p>
    <w:p>
      <w:pPr>
        <w:pStyle w:val="Subsection"/>
      </w:pPr>
      <w:r>
        <w:tab/>
        <w:t>(3)</w:t>
      </w:r>
      <w:r>
        <w:tab/>
        <w:t>A purchaser of a consignment of one or more animals at a property, other than a saleyard, must, within 24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on which the consignment is to be kept or slaughtered, or from which the consignment is to be exported, by the purchaser;</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 xml:space="preserve">It is sufficient compliance with subregulation (3), in relation to any animal in a consignment to which an NLIS device is applied, if, within 24 hours after the animal is moved from the property, the purchaser updates the NLIS database in relation to the device by recording the following — </w:t>
      </w:r>
    </w:p>
    <w:p>
      <w:pPr>
        <w:pStyle w:val="Indenta"/>
      </w:pPr>
      <w:r>
        <w:tab/>
        <w:t>(a)</w:t>
      </w:r>
      <w:r>
        <w:tab/>
        <w:t>the relevant PIC of the property from which the animal was moved;</w:t>
      </w:r>
    </w:p>
    <w:p>
      <w:pPr>
        <w:pStyle w:val="Indenta"/>
        <w:rPr>
          <w:snapToGrid w:val="0"/>
        </w:rPr>
      </w:pPr>
      <w:r>
        <w:tab/>
        <w:t>(b)</w:t>
      </w:r>
      <w:r>
        <w:tab/>
      </w:r>
      <w:r>
        <w:rPr>
          <w:snapToGrid w:val="0"/>
        </w:rPr>
        <w:t>the PIC of the property on which the animal is to be kept or slaughtered, or from which the animal is to be exported, by the purchaser;</w:t>
      </w:r>
    </w:p>
    <w:p>
      <w:pPr>
        <w:pStyle w:val="Indenta"/>
      </w:pPr>
      <w:r>
        <w:tab/>
        <w:t>(c)</w:t>
      </w:r>
      <w:r>
        <w:tab/>
        <w:t>the serial number of the transport document relating to the movement of the animal from the property;</w:t>
      </w:r>
    </w:p>
    <w:p>
      <w:pPr>
        <w:pStyle w:val="Indenta"/>
      </w:pPr>
      <w:r>
        <w:tab/>
        <w:t>(d)</w:t>
      </w:r>
      <w:r>
        <w:tab/>
        <w:t>the date the animal was moved from the property.</w:t>
      </w:r>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on which the consignment is to be kept or slaughtered, or from which the consignment is to be exported, by the purchaser;</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within 24 hours after the animal is moved from the saleyard, the purchaser updates the NLIS database in relation to the device by recording the following — </w:t>
      </w:r>
    </w:p>
    <w:p>
      <w:pPr>
        <w:pStyle w:val="Indenta"/>
      </w:pPr>
      <w:r>
        <w:tab/>
        <w:t>(a)</w:t>
      </w:r>
      <w:r>
        <w:tab/>
        <w:t>the purchaser’s BIC;</w:t>
      </w:r>
    </w:p>
    <w:p>
      <w:pPr>
        <w:pStyle w:val="Indenta"/>
      </w:pPr>
      <w:r>
        <w:tab/>
        <w:t>(b)</w:t>
      </w:r>
      <w:r>
        <w:tab/>
        <w:t>the relevant PIC of the saleyard;</w:t>
      </w:r>
    </w:p>
    <w:p>
      <w:pPr>
        <w:pStyle w:val="Indenta"/>
        <w:rPr>
          <w:snapToGrid w:val="0"/>
        </w:rPr>
      </w:pPr>
      <w:r>
        <w:tab/>
        <w:t>(c)</w:t>
      </w:r>
      <w:r>
        <w:tab/>
      </w:r>
      <w:r>
        <w:rPr>
          <w:snapToGrid w:val="0"/>
        </w:rPr>
        <w:t>the PIC of the property on which the animal is to be kept or slaughtered, or from which the animal is to be exported, by the purchaser;</w:t>
      </w:r>
    </w:p>
    <w:p>
      <w:pPr>
        <w:pStyle w:val="Indenta"/>
      </w:pPr>
      <w:r>
        <w:tab/>
        <w:t>(d)</w:t>
      </w:r>
      <w:r>
        <w:tab/>
        <w:t>the serial number of the transport document relating to the movement of the animal from the saleyard;</w:t>
      </w:r>
    </w:p>
    <w:p>
      <w:pPr>
        <w:pStyle w:val="Indenta"/>
      </w:pPr>
      <w:r>
        <w:tab/>
        <w:t>(e)</w:t>
      </w:r>
      <w:r>
        <w:tab/>
        <w:t>the date the animal was moved from the saleyard.</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Heading4"/>
      </w:pPr>
      <w:bookmarkStart w:id="363" w:name="_Toc375042190"/>
      <w:bookmarkStart w:id="364" w:name="_Toc415054307"/>
      <w:r>
        <w:t>Subdivision 3 — General provisions relating to property operators</w:t>
      </w:r>
      <w:bookmarkEnd w:id="363"/>
      <w:bookmarkEnd w:id="364"/>
    </w:p>
    <w:p>
      <w:pPr>
        <w:pStyle w:val="Heading5"/>
      </w:pPr>
      <w:bookmarkStart w:id="365" w:name="_Toc375042191"/>
      <w:bookmarkStart w:id="366" w:name="_Toc415054308"/>
      <w:r>
        <w:rPr>
          <w:rStyle w:val="CharSectno"/>
        </w:rPr>
        <w:t>136</w:t>
      </w:r>
      <w:r>
        <w:t>.</w:t>
      </w:r>
      <w:r>
        <w:tab/>
        <w:t>Sheep or goats not to be delivered to property without relevant PIC</w:t>
      </w:r>
      <w:bookmarkEnd w:id="365"/>
      <w:bookmarkEnd w:id="366"/>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67" w:name="_Toc375042192"/>
      <w:bookmarkStart w:id="368" w:name="_Toc415054309"/>
      <w:r>
        <w:rPr>
          <w:rStyle w:val="CharSectno"/>
        </w:rPr>
        <w:t>137</w:t>
      </w:r>
      <w:r>
        <w:t>.</w:t>
      </w:r>
      <w:r>
        <w:tab/>
        <w:t>Responsibilities of property operator if animal dies on or while being moved to property</w:t>
      </w:r>
      <w:bookmarkEnd w:id="367"/>
      <w:bookmarkEnd w:id="368"/>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previous property;</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w:t>
      </w:r>
    </w:p>
    <w:p>
      <w:pPr>
        <w:pStyle w:val="Indenta"/>
      </w:pPr>
      <w:r>
        <w:tab/>
        <w:t>(d)</w:t>
      </w:r>
      <w:r>
        <w:tab/>
        <w:t>the date of death.</w:t>
      </w:r>
    </w:p>
    <w:p>
      <w:pPr>
        <w:pStyle w:val="Heading4"/>
      </w:pPr>
      <w:bookmarkStart w:id="369" w:name="_Toc375042193"/>
      <w:bookmarkStart w:id="370" w:name="_Toc415054310"/>
      <w:r>
        <w:t>Subdivision 4 — Pounds</w:t>
      </w:r>
      <w:bookmarkEnd w:id="369"/>
      <w:bookmarkEnd w:id="370"/>
    </w:p>
    <w:p>
      <w:pPr>
        <w:pStyle w:val="Heading5"/>
      </w:pPr>
      <w:bookmarkStart w:id="371" w:name="_Toc375042194"/>
      <w:bookmarkStart w:id="372" w:name="_Toc415054311"/>
      <w:r>
        <w:rPr>
          <w:rStyle w:val="CharSectno"/>
        </w:rPr>
        <w:t>138</w:t>
      </w:r>
      <w:r>
        <w:t>.</w:t>
      </w:r>
      <w:r>
        <w:tab/>
        <w:t>Responsibilities of pound operator if no NLIS device applied to animal</w:t>
      </w:r>
      <w:bookmarkEnd w:id="371"/>
      <w:bookmarkEnd w:id="372"/>
    </w:p>
    <w:p>
      <w:pPr>
        <w:pStyle w:val="Subsection"/>
      </w:pPr>
      <w:r>
        <w:tab/>
        <w:t>(1)</w:t>
      </w:r>
      <w:r>
        <w:tab/>
        <w:t>This regulation does not apply to an animal to which an NLIS device is applied.</w:t>
      </w:r>
    </w:p>
    <w:p>
      <w:pPr>
        <w:pStyle w:val="Subsection"/>
      </w:pPr>
      <w:r>
        <w:tab/>
        <w:t>(2)</w:t>
      </w:r>
      <w:r>
        <w:tab/>
        <w:t>The operator of a pound may, before an animal is moved there, apply, or cause to be applied, to the animal an NLIS post breeder tag.</w:t>
      </w:r>
    </w:p>
    <w:p>
      <w:pPr>
        <w:pStyle w:val="Subsection"/>
      </w:pPr>
      <w:r>
        <w:tab/>
        <w:t>(3)</w:t>
      </w:r>
      <w:r>
        <w:tab/>
        <w:t xml:space="preserve">Unless an inspector in a particular case approves otherwise, if an animal is moved to a pound,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Heading5"/>
      </w:pPr>
      <w:bookmarkStart w:id="373" w:name="_Toc375042195"/>
      <w:bookmarkStart w:id="374" w:name="_Toc415054312"/>
      <w:r>
        <w:rPr>
          <w:rStyle w:val="CharSectno"/>
        </w:rPr>
        <w:t>139</w:t>
      </w:r>
      <w:r>
        <w:t>.</w:t>
      </w:r>
      <w:r>
        <w:tab/>
        <w:t>Responsibilities of pound operator if animal born at or while being moved to pound</w:t>
      </w:r>
      <w:bookmarkEnd w:id="373"/>
      <w:bookmarkEnd w:id="374"/>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375" w:name="_Toc375042196"/>
      <w:bookmarkStart w:id="376" w:name="_Toc415054313"/>
      <w:r>
        <w:rPr>
          <w:rStyle w:val="CharSectno"/>
        </w:rPr>
        <w:t>140</w:t>
      </w:r>
      <w:r>
        <w:t>.</w:t>
      </w:r>
      <w:r>
        <w:tab/>
        <w:t>Responsibilities of pound operator if NLIS device applied to animal</w:t>
      </w:r>
      <w:bookmarkEnd w:id="375"/>
      <w:bookmarkEnd w:id="376"/>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377" w:name="_Toc375042197"/>
      <w:bookmarkStart w:id="378" w:name="_Toc415054314"/>
      <w:r>
        <w:rPr>
          <w:rStyle w:val="CharSectno"/>
        </w:rPr>
        <w:t>141</w:t>
      </w:r>
      <w:r>
        <w:t>.</w:t>
      </w:r>
      <w:r>
        <w:tab/>
        <w:t>Responsibilities of pound operator if animal moved from pound</w:t>
      </w:r>
      <w:bookmarkEnd w:id="377"/>
      <w:bookmarkEnd w:id="378"/>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Heading4"/>
        <w:keepLines/>
        <w:pageBreakBefore/>
      </w:pPr>
      <w:bookmarkStart w:id="379" w:name="_Toc375042198"/>
      <w:bookmarkStart w:id="380" w:name="_Toc415054315"/>
      <w:r>
        <w:t>Subdivision 5 — Holding yards</w:t>
      </w:r>
      <w:bookmarkEnd w:id="379"/>
      <w:bookmarkEnd w:id="380"/>
    </w:p>
    <w:p>
      <w:pPr>
        <w:pStyle w:val="Heading5"/>
      </w:pPr>
      <w:bookmarkStart w:id="381" w:name="_Toc375042199"/>
      <w:bookmarkStart w:id="382" w:name="_Toc415054316"/>
      <w:r>
        <w:rPr>
          <w:rStyle w:val="CharSectno"/>
        </w:rPr>
        <w:t>142</w:t>
      </w:r>
      <w:r>
        <w:t>.</w:t>
      </w:r>
      <w:r>
        <w:tab/>
        <w:t>Responsibility of holding yard operator if no NLIS identifier applied to animal</w:t>
      </w:r>
      <w:bookmarkEnd w:id="381"/>
      <w:bookmarkEnd w:id="382"/>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 and comply with any directions given to the operator by the inspector under regulation 143.</w:t>
      </w:r>
    </w:p>
    <w:p>
      <w:pPr>
        <w:pStyle w:val="Penstart"/>
      </w:pPr>
      <w:r>
        <w:tab/>
        <w:t>Penalty: a fine of $2 000.</w:t>
      </w:r>
    </w:p>
    <w:p>
      <w:pPr>
        <w:pStyle w:val="Heading5"/>
      </w:pPr>
      <w:bookmarkStart w:id="383" w:name="_Toc375042200"/>
      <w:bookmarkStart w:id="384" w:name="_Toc415054317"/>
      <w:r>
        <w:rPr>
          <w:rStyle w:val="CharSectno"/>
        </w:rPr>
        <w:t>143</w:t>
      </w:r>
      <w:r>
        <w:t>.</w:t>
      </w:r>
      <w:r>
        <w:tab/>
        <w:t>Directions by inspectors</w:t>
      </w:r>
      <w:bookmarkEnd w:id="383"/>
      <w:bookmarkEnd w:id="384"/>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385" w:name="_Toc375042201"/>
      <w:bookmarkStart w:id="386" w:name="_Toc415054318"/>
      <w:r>
        <w:rPr>
          <w:rStyle w:val="CharSectno"/>
        </w:rPr>
        <w:t>144</w:t>
      </w:r>
      <w:r>
        <w:t>.</w:t>
      </w:r>
      <w:r>
        <w:tab/>
        <w:t>Responsibilities of holding yard operator if animal born at or while being moved to holding yard</w:t>
      </w:r>
      <w:bookmarkEnd w:id="385"/>
      <w:bookmarkEnd w:id="386"/>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387" w:name="_Toc375042202"/>
      <w:bookmarkStart w:id="388" w:name="_Toc415054319"/>
      <w:r>
        <w:rPr>
          <w:rStyle w:val="CharSectno"/>
        </w:rPr>
        <w:t>145</w:t>
      </w:r>
      <w:r>
        <w:t>.</w:t>
      </w:r>
      <w:r>
        <w:tab/>
        <w:t>Responsibilities of holding yard operator if animal held at holding yard for more than 48 hours or moved from holding yard in different consignment</w:t>
      </w:r>
      <w:bookmarkEnd w:id="387"/>
      <w:bookmarkEnd w:id="388"/>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Heading5"/>
      </w:pPr>
      <w:bookmarkStart w:id="389" w:name="_Toc375042203"/>
      <w:bookmarkStart w:id="390" w:name="_Toc415054320"/>
      <w:r>
        <w:rPr>
          <w:rStyle w:val="CharSectno"/>
        </w:rPr>
        <w:t>146</w:t>
      </w:r>
      <w:r>
        <w:t>.</w:t>
      </w:r>
      <w:r>
        <w:tab/>
        <w:t>Other responsibilities of holding yard operators</w:t>
      </w:r>
      <w:bookmarkEnd w:id="389"/>
      <w:bookmarkEnd w:id="390"/>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PIC and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the device by recording the following — </w:t>
      </w:r>
    </w:p>
    <w:p>
      <w:pPr>
        <w:pStyle w:val="Indenta"/>
      </w:pPr>
      <w:r>
        <w:tab/>
        <w:t>(a)</w:t>
      </w:r>
      <w:r>
        <w:tab/>
        <w:t>the relevant PIC of the previous property or, if applicable, the BIC of the owner of the animal;</w:t>
      </w:r>
    </w:p>
    <w:p>
      <w:pPr>
        <w:pStyle w:val="Indenta"/>
      </w:pPr>
      <w:r>
        <w:tab/>
        <w:t>(b)</w:t>
      </w:r>
      <w:r>
        <w:tab/>
        <w:t>the relevant PIC of the holding yard;</w:t>
      </w:r>
    </w:p>
    <w:p>
      <w:pPr>
        <w:pStyle w:val="Indenta"/>
        <w:rPr>
          <w:snapToGrid w:val="0"/>
        </w:rPr>
      </w:pPr>
      <w:r>
        <w:tab/>
        <w:t>(c)</w:t>
      </w:r>
      <w:r>
        <w:tab/>
        <w:t xml:space="preserve">the serial number of the transport document </w:t>
      </w:r>
      <w:r>
        <w:rPr>
          <w:snapToGrid w:val="0"/>
        </w:rPr>
        <w:t>relating to the movement of the animal to the holding yard;</w:t>
      </w:r>
    </w:p>
    <w:p>
      <w:pPr>
        <w:pStyle w:val="Indenta"/>
      </w:pPr>
      <w:r>
        <w:tab/>
        <w:t>(d)</w:t>
      </w:r>
      <w:r>
        <w:tab/>
        <w:t>the date the animal arrived at the holding yard.</w:t>
      </w:r>
    </w:p>
    <w:p>
      <w:pPr>
        <w:pStyle w:val="Heading4"/>
      </w:pPr>
      <w:bookmarkStart w:id="391" w:name="_Toc375042204"/>
      <w:bookmarkStart w:id="392" w:name="_Toc415054321"/>
      <w:r>
        <w:t>Subdivision 6 — Saleyards</w:t>
      </w:r>
      <w:bookmarkEnd w:id="391"/>
      <w:bookmarkEnd w:id="392"/>
    </w:p>
    <w:p>
      <w:pPr>
        <w:pStyle w:val="Heading5"/>
      </w:pPr>
      <w:bookmarkStart w:id="393" w:name="_Toc375042205"/>
      <w:bookmarkStart w:id="394" w:name="_Toc415054322"/>
      <w:r>
        <w:rPr>
          <w:rStyle w:val="CharSectno"/>
        </w:rPr>
        <w:t>147</w:t>
      </w:r>
      <w:r>
        <w:t>.</w:t>
      </w:r>
      <w:r>
        <w:tab/>
        <w:t>When saleyard to be treated as holding yard</w:t>
      </w:r>
      <w:bookmarkEnd w:id="393"/>
      <w:bookmarkEnd w:id="394"/>
    </w:p>
    <w:p>
      <w:pPr>
        <w:pStyle w:val="Subsection"/>
      </w:pPr>
      <w:r>
        <w:tab/>
      </w:r>
      <w:r>
        <w:tab/>
        <w:t>If a sheep or a goat is moved to a saleyard for purposes other than for sale, and while the sheep or goat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or goat as if the saleyard were a holding yard.</w:t>
      </w:r>
    </w:p>
    <w:p>
      <w:pPr>
        <w:pStyle w:val="Heading5"/>
      </w:pPr>
      <w:bookmarkStart w:id="395" w:name="_Toc375042206"/>
      <w:bookmarkStart w:id="396" w:name="_Toc415054323"/>
      <w:r>
        <w:rPr>
          <w:rStyle w:val="CharSectno"/>
        </w:rPr>
        <w:t>148</w:t>
      </w:r>
      <w:r>
        <w:t>.</w:t>
      </w:r>
      <w:r>
        <w:tab/>
        <w:t>Responsibilities of saleyard operator if no NLIS identifier applied to animal</w:t>
      </w:r>
      <w:bookmarkEnd w:id="395"/>
      <w:bookmarkEnd w:id="396"/>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149.</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w:t>
      </w:r>
    </w:p>
    <w:p>
      <w:pPr>
        <w:pStyle w:val="Heading5"/>
      </w:pPr>
      <w:bookmarkStart w:id="397" w:name="_Toc375042207"/>
      <w:bookmarkStart w:id="398" w:name="_Toc415054324"/>
      <w:r>
        <w:rPr>
          <w:rStyle w:val="CharSectno"/>
        </w:rPr>
        <w:t>149</w:t>
      </w:r>
      <w:r>
        <w:t>.</w:t>
      </w:r>
      <w:r>
        <w:tab/>
        <w:t>Directions by inspectors</w:t>
      </w:r>
      <w:bookmarkEnd w:id="397"/>
      <w:bookmarkEnd w:id="398"/>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399" w:name="_Toc375042208"/>
      <w:bookmarkStart w:id="400" w:name="_Toc415054325"/>
      <w:r>
        <w:rPr>
          <w:rStyle w:val="CharSectno"/>
        </w:rPr>
        <w:t>150</w:t>
      </w:r>
      <w:r>
        <w:t>.</w:t>
      </w:r>
      <w:r>
        <w:tab/>
        <w:t>Responsibilities of saleyard operator if animal born at or while being moved to saleyard</w:t>
      </w:r>
      <w:bookmarkEnd w:id="399"/>
      <w:bookmarkEnd w:id="400"/>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401" w:name="_Toc375042209"/>
      <w:bookmarkStart w:id="402" w:name="_Toc415054326"/>
      <w:r>
        <w:rPr>
          <w:rStyle w:val="CharSectno"/>
        </w:rPr>
        <w:t>151</w:t>
      </w:r>
      <w:r>
        <w:t>.</w:t>
      </w:r>
      <w:r>
        <w:tab/>
        <w:t>Responsibilities of saleyard operator if animal moved from saleyard</w:t>
      </w:r>
      <w:bookmarkEnd w:id="401"/>
      <w:bookmarkEnd w:id="402"/>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 xml:space="preserve">the saleyard operator has obtained from the person to whom the animal is sold or otherwise supplied — </w:t>
      </w:r>
    </w:p>
    <w:p>
      <w:pPr>
        <w:pStyle w:val="Indenti"/>
      </w:pPr>
      <w:r>
        <w:tab/>
        <w:t>(i)</w:t>
      </w:r>
      <w:r>
        <w:tab/>
        <w:t>the relevant PIC of the property on which the animal is to be kept or slaughtered, or from which the animal is to be exported, by the person; or</w:t>
      </w:r>
    </w:p>
    <w:p>
      <w:pPr>
        <w:pStyle w:val="Indenti"/>
      </w:pPr>
      <w:r>
        <w:tab/>
        <w:t>(ii)</w:t>
      </w:r>
      <w:r>
        <w:tab/>
        <w:t>the person’s BIC.</w:t>
      </w:r>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Heading5"/>
      </w:pPr>
      <w:bookmarkStart w:id="403" w:name="_Toc375042210"/>
      <w:bookmarkStart w:id="404" w:name="_Toc415054327"/>
      <w:r>
        <w:rPr>
          <w:rStyle w:val="CharSectno"/>
        </w:rPr>
        <w:t>152</w:t>
      </w:r>
      <w:r>
        <w:t>.</w:t>
      </w:r>
      <w:r>
        <w:tab/>
        <w:t>Other responsibilities of saleyard operators</w:t>
      </w:r>
      <w:bookmarkEnd w:id="403"/>
      <w:bookmarkEnd w:id="404"/>
    </w:p>
    <w:p>
      <w:pPr>
        <w:pStyle w:val="Subsection"/>
      </w:pPr>
      <w:r>
        <w:tab/>
        <w:t>(1)</w:t>
      </w:r>
      <w:r>
        <w:tab/>
        <w:t>The operator of a saleyard must, within the period specified in subregulation (3), record in the NLIS database the movement of a consignment of sheep or goats to the saleyard, and any subsequent sale or other movement of a consignment of sheep or goats from the saleyard, including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relevant PIC and serial number displayed of any NLIS post breeder tag applied to the animal or animals at the saleyard;</w:t>
      </w:r>
    </w:p>
    <w:p>
      <w:pPr>
        <w:pStyle w:val="Indenta"/>
      </w:pPr>
      <w:r>
        <w:tab/>
        <w:t>(i)</w:t>
      </w:r>
      <w:r>
        <w:tab/>
        <w:t>the date the consignment was sold at the saleyard.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saleyard operator, within the period specified in subregulation (3),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saleyard;</w:t>
      </w:r>
    </w:p>
    <w:p>
      <w:pPr>
        <w:pStyle w:val="Indenta"/>
      </w:pPr>
      <w:r>
        <w:tab/>
        <w:t>(c)</w:t>
      </w:r>
      <w:r>
        <w:tab/>
        <w:t>the serial number of the transport document relating to the movement of the animal to the saleyard;</w:t>
      </w:r>
    </w:p>
    <w:p>
      <w:pPr>
        <w:pStyle w:val="Indenta"/>
      </w:pPr>
      <w:r>
        <w:tab/>
        <w:t>(d)</w:t>
      </w:r>
      <w:r>
        <w:tab/>
        <w:t>the date the animal arrived at the saleyard;</w:t>
      </w:r>
    </w:p>
    <w:p>
      <w:pPr>
        <w:pStyle w:val="Indenta"/>
      </w:pPr>
      <w:r>
        <w:tab/>
        <w:t>(e)</w:t>
      </w:r>
      <w:r>
        <w:tab/>
        <w:t>the PIC of the property to which the animal has been moved from the saleyard or, if applicable, the BIC of the purchaser;</w:t>
      </w:r>
    </w:p>
    <w:p>
      <w:pPr>
        <w:pStyle w:val="Indenta"/>
      </w:pPr>
      <w:r>
        <w:tab/>
        <w:t>(f)</w:t>
      </w:r>
      <w:r>
        <w:tab/>
        <w:t>the date the animal was sold at the saleyard.</w:t>
      </w:r>
    </w:p>
    <w:p>
      <w:pPr>
        <w:pStyle w:val="Subsection"/>
      </w:pPr>
      <w:r>
        <w:tab/>
        <w:t>(3)</w:t>
      </w:r>
      <w:r>
        <w:tab/>
        <w:t>The saleyard operator must comply with the requirements of subregulation (1) or (2) within 48 hours after the consignment is moved from the saleyard.</w:t>
      </w:r>
    </w:p>
    <w:p>
      <w:pPr>
        <w:pStyle w:val="Heading4"/>
      </w:pPr>
      <w:bookmarkStart w:id="405" w:name="_Toc375042211"/>
      <w:bookmarkStart w:id="406" w:name="_Toc415054328"/>
      <w:r>
        <w:t>Subdivision 7 — Abattoirs</w:t>
      </w:r>
      <w:bookmarkEnd w:id="405"/>
      <w:bookmarkEnd w:id="406"/>
    </w:p>
    <w:p>
      <w:pPr>
        <w:pStyle w:val="Heading5"/>
      </w:pPr>
      <w:bookmarkStart w:id="407" w:name="_Toc375042212"/>
      <w:bookmarkStart w:id="408" w:name="_Toc415054329"/>
      <w:r>
        <w:rPr>
          <w:rStyle w:val="CharSectno"/>
        </w:rPr>
        <w:t>153</w:t>
      </w:r>
      <w:r>
        <w:t>.</w:t>
      </w:r>
      <w:r>
        <w:tab/>
        <w:t>Responsibilities of abattoir operator if no NLIS identifier applied to animal</w:t>
      </w:r>
      <w:bookmarkEnd w:id="407"/>
      <w:bookmarkEnd w:id="408"/>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154.</w:t>
      </w:r>
    </w:p>
    <w:p>
      <w:pPr>
        <w:pStyle w:val="Penstart"/>
      </w:pPr>
      <w:r>
        <w:tab/>
        <w:t>Penalty: a fine of $2 000.</w:t>
      </w:r>
    </w:p>
    <w:p>
      <w:pPr>
        <w:pStyle w:val="Heading5"/>
      </w:pPr>
      <w:bookmarkStart w:id="409" w:name="_Toc375042213"/>
      <w:bookmarkStart w:id="410" w:name="_Toc415054330"/>
      <w:r>
        <w:rPr>
          <w:rStyle w:val="CharSectno"/>
        </w:rPr>
        <w:t>154</w:t>
      </w:r>
      <w:r>
        <w:t>.</w:t>
      </w:r>
      <w:r>
        <w:tab/>
        <w:t>Directions by inspectors</w:t>
      </w:r>
      <w:bookmarkEnd w:id="409"/>
      <w:bookmarkEnd w:id="410"/>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411" w:name="_Toc375042214"/>
      <w:bookmarkStart w:id="412" w:name="_Toc415054331"/>
      <w:r>
        <w:rPr>
          <w:rStyle w:val="CharSectno"/>
        </w:rPr>
        <w:t>155</w:t>
      </w:r>
      <w:r>
        <w:t>.</w:t>
      </w:r>
      <w:r>
        <w:tab/>
        <w:t>Responsibilities of abattoir operator if animal born at or while being moved to abattoir</w:t>
      </w:r>
      <w:bookmarkEnd w:id="411"/>
      <w:bookmarkEnd w:id="412"/>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413" w:name="_Toc375042215"/>
      <w:bookmarkStart w:id="414" w:name="_Toc415054332"/>
      <w:r>
        <w:rPr>
          <w:rStyle w:val="CharSectno"/>
        </w:rPr>
        <w:t>156</w:t>
      </w:r>
      <w:r>
        <w:t>.</w:t>
      </w:r>
      <w:r>
        <w:tab/>
        <w:t>Responsibilities of abattoir operator if animal moved to abattoir</w:t>
      </w:r>
      <w:bookmarkEnd w:id="413"/>
      <w:bookmarkEnd w:id="414"/>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PIC and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48 hours after the animal arrives at the abattoir,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serial number of the transport document relating to the movement of the animal to the abattoir;</w:t>
      </w:r>
    </w:p>
    <w:p>
      <w:pPr>
        <w:pStyle w:val="Indenta"/>
      </w:pPr>
      <w:r>
        <w:tab/>
        <w:t>(d)</w:t>
      </w:r>
      <w:r>
        <w:tab/>
        <w:t>the date the animal arrived at the abattoir.</w:t>
      </w:r>
    </w:p>
    <w:p>
      <w:pPr>
        <w:pStyle w:val="Heading5"/>
      </w:pPr>
      <w:bookmarkStart w:id="415" w:name="_Toc375042216"/>
      <w:bookmarkStart w:id="416" w:name="_Toc415054333"/>
      <w:r>
        <w:rPr>
          <w:rStyle w:val="CharSectno"/>
        </w:rPr>
        <w:t>157</w:t>
      </w:r>
      <w:r>
        <w:t>.</w:t>
      </w:r>
      <w:r>
        <w:tab/>
        <w:t>Responsibilities of abattoir operator after animal slaughtered</w:t>
      </w:r>
      <w:bookmarkEnd w:id="415"/>
      <w:bookmarkEnd w:id="416"/>
    </w:p>
    <w:p>
      <w:pPr>
        <w:pStyle w:val="Subsection"/>
      </w:pPr>
      <w:r>
        <w:tab/>
        <w:t>(1)</w:t>
      </w:r>
      <w:r>
        <w:tab/>
        <w:t xml:space="preserve">If a consignment of one or more animals is moved to an abattoir and is slaughtered there, the abattoir operator must, within 7 days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7 days after the animal is slaughtered, updates the NLIS database in relation to the NLIS device by recording the following — </w:t>
      </w:r>
    </w:p>
    <w:p>
      <w:pPr>
        <w:pStyle w:val="Indenta"/>
      </w:pPr>
      <w:r>
        <w:tab/>
        <w:t>(a)</w:t>
      </w:r>
      <w:r>
        <w:tab/>
        <w:t xml:space="preserve">the relevant PIC of the previous property; </w:t>
      </w:r>
    </w:p>
    <w:p>
      <w:pPr>
        <w:pStyle w:val="Indenta"/>
      </w:pPr>
      <w:r>
        <w:tab/>
        <w:t>(b)</w:t>
      </w:r>
      <w:r>
        <w:tab/>
        <w:t>the relevant PIC of the abattoir;</w:t>
      </w:r>
    </w:p>
    <w:p>
      <w:pPr>
        <w:pStyle w:val="Indenta"/>
      </w:pPr>
      <w:r>
        <w:tab/>
        <w:t>(c)</w:t>
      </w:r>
      <w:r>
        <w:tab/>
        <w:t>the date of slaughter.</w:t>
      </w:r>
    </w:p>
    <w:p>
      <w:pPr>
        <w:pStyle w:val="Heading5"/>
      </w:pPr>
      <w:bookmarkStart w:id="417" w:name="_Toc375042217"/>
      <w:bookmarkStart w:id="418" w:name="_Toc415054334"/>
      <w:r>
        <w:rPr>
          <w:rStyle w:val="CharSectno"/>
        </w:rPr>
        <w:t>158</w:t>
      </w:r>
      <w:r>
        <w:t>.</w:t>
      </w:r>
      <w:r>
        <w:tab/>
        <w:t>Responsibilities of abattoir operator if live animal moved from abattoir</w:t>
      </w:r>
      <w:bookmarkEnd w:id="417"/>
      <w:bookmarkEnd w:id="418"/>
    </w:p>
    <w:p>
      <w:pPr>
        <w:pStyle w:val="Subsection"/>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on which the animal is to be kept or slaughtered, or from which the animal is to be exported, by the person;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PIC and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spacing w:before="100"/>
      </w:pPr>
      <w:r>
        <w:tab/>
        <w:t>(g)</w:t>
      </w:r>
      <w:r>
        <w:tab/>
        <w:t>the date the consignment was moved from the abattoir.</w:t>
      </w:r>
    </w:p>
    <w:p>
      <w:pPr>
        <w:pStyle w:val="Penstart"/>
      </w:pPr>
      <w:r>
        <w:tab/>
        <w:t>Penalty: a fine of $5 000.</w:t>
      </w:r>
    </w:p>
    <w:p>
      <w:pPr>
        <w:pStyle w:val="Subsection"/>
        <w:spacing w:before="200"/>
      </w:pPr>
      <w:r>
        <w:tab/>
        <w:t>(3)</w:t>
      </w:r>
      <w:r>
        <w:tab/>
        <w:t xml:space="preserve">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following — </w:t>
      </w:r>
    </w:p>
    <w:p>
      <w:pPr>
        <w:pStyle w:val="Indenta"/>
        <w:spacing w:before="100"/>
      </w:pPr>
      <w:r>
        <w:tab/>
        <w:t>(a)</w:t>
      </w:r>
      <w:r>
        <w:tab/>
        <w:t>the relevant PIC of the abattoir;</w:t>
      </w:r>
    </w:p>
    <w:p>
      <w:pPr>
        <w:pStyle w:val="Indenta"/>
        <w:spacing w:before="100"/>
      </w:pPr>
      <w:r>
        <w:tab/>
        <w:t>(b)</w:t>
      </w:r>
      <w:r>
        <w:tab/>
        <w:t>the relevant PIC of the property to which the animal has been moved;</w:t>
      </w:r>
    </w:p>
    <w:p>
      <w:pPr>
        <w:pStyle w:val="Indenta"/>
        <w:spacing w:before="100"/>
      </w:pPr>
      <w:r>
        <w:tab/>
        <w:t>(c)</w:t>
      </w:r>
      <w:r>
        <w:tab/>
        <w:t>the serial number of the transport document relating to the movement of the animal from the abattoir;</w:t>
      </w:r>
    </w:p>
    <w:p>
      <w:pPr>
        <w:pStyle w:val="Indenta"/>
        <w:spacing w:before="100"/>
      </w:pPr>
      <w:r>
        <w:tab/>
        <w:t>(d)</w:t>
      </w:r>
      <w:r>
        <w:tab/>
        <w:t>the date the animal was moved from the abattoir.</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Heading5"/>
        <w:rPr>
          <w:snapToGrid w:val="0"/>
        </w:rPr>
      </w:pPr>
      <w:bookmarkStart w:id="419" w:name="_Toc375042218"/>
      <w:bookmarkStart w:id="420" w:name="_Toc415054335"/>
      <w:r>
        <w:rPr>
          <w:rStyle w:val="CharSectno"/>
        </w:rPr>
        <w:t>159</w:t>
      </w:r>
      <w:r>
        <w:t>.</w:t>
      </w:r>
      <w:r>
        <w:tab/>
      </w:r>
      <w:r>
        <w:rPr>
          <w:snapToGrid w:val="0"/>
        </w:rPr>
        <w:t>Slaughtered animals moved to pet food processing plants</w:t>
      </w:r>
      <w:bookmarkEnd w:id="419"/>
      <w:bookmarkEnd w:id="420"/>
    </w:p>
    <w:p>
      <w:pPr>
        <w:pStyle w:val="Subsection"/>
      </w:pPr>
      <w:r>
        <w:tab/>
        <w:t>(1)</w:t>
      </w:r>
      <w:r>
        <w:tab/>
        <w:t>If a consignment of one or more slaughtered animals to which an NLIS identifier is applied is moved to a pet food processing plant, the operator of the pet food processing plant must, within 7 days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operator of the pet food processing plant, within 7 days after the animal arrives there, updates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 xml:space="preserve">the serial number of the transport document relating to the movement of the animal to the </w:t>
      </w:r>
      <w:r>
        <w:rPr>
          <w:snapToGrid w:val="0"/>
        </w:rPr>
        <w:t>pet food processing plant</w:t>
      </w:r>
      <w:r>
        <w:t>;</w:t>
      </w:r>
    </w:p>
    <w:p>
      <w:pPr>
        <w:pStyle w:val="Indenta"/>
        <w:rPr>
          <w:snapToGrid w:val="0"/>
        </w:rPr>
      </w:pPr>
      <w:r>
        <w:tab/>
        <w:t>(d)</w:t>
      </w:r>
      <w:r>
        <w:tab/>
      </w:r>
      <w:r>
        <w:rPr>
          <w:snapToGrid w:val="0"/>
        </w:rPr>
        <w:t>the date the animal arrived at the pet food processing plant.</w:t>
      </w:r>
    </w:p>
    <w:p>
      <w:pPr>
        <w:pStyle w:val="Heading4"/>
      </w:pPr>
      <w:bookmarkStart w:id="421" w:name="_Toc375042219"/>
      <w:bookmarkStart w:id="422" w:name="_Toc415054336"/>
      <w:r>
        <w:t>Subdivision 8 — Export depots</w:t>
      </w:r>
      <w:bookmarkEnd w:id="421"/>
      <w:bookmarkEnd w:id="422"/>
    </w:p>
    <w:p>
      <w:pPr>
        <w:pStyle w:val="Heading5"/>
      </w:pPr>
      <w:bookmarkStart w:id="423" w:name="_Toc375042220"/>
      <w:bookmarkStart w:id="424" w:name="_Toc415054337"/>
      <w:r>
        <w:rPr>
          <w:rStyle w:val="CharSectno"/>
        </w:rPr>
        <w:t>160</w:t>
      </w:r>
      <w:r>
        <w:t>.</w:t>
      </w:r>
      <w:r>
        <w:tab/>
        <w:t>Responsibilities of export depot operator if no NLIS identifier applied to animal</w:t>
      </w:r>
      <w:bookmarkEnd w:id="423"/>
      <w:bookmarkEnd w:id="424"/>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 and comply with any directions given to the export depot operator by the inspector under regulation </w:t>
      </w:r>
      <w:r>
        <w:rPr>
          <w:snapToGrid w:val="0"/>
        </w:rPr>
        <w:t>161</w:t>
      </w:r>
      <w:r>
        <w:t>.</w:t>
      </w:r>
    </w:p>
    <w:p>
      <w:pPr>
        <w:pStyle w:val="Penstart"/>
      </w:pPr>
      <w:r>
        <w:tab/>
        <w:t>Penalty: a fine of $2 000.</w:t>
      </w:r>
    </w:p>
    <w:p>
      <w:pPr>
        <w:pStyle w:val="Heading5"/>
      </w:pPr>
      <w:bookmarkStart w:id="425" w:name="_Toc375042221"/>
      <w:bookmarkStart w:id="426" w:name="_Toc415054338"/>
      <w:r>
        <w:rPr>
          <w:rStyle w:val="CharSectno"/>
        </w:rPr>
        <w:t>161</w:t>
      </w:r>
      <w:r>
        <w:t>.</w:t>
      </w:r>
      <w:r>
        <w:tab/>
        <w:t>Directions by inspectors</w:t>
      </w:r>
      <w:bookmarkEnd w:id="425"/>
      <w:bookmarkEnd w:id="426"/>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427" w:name="_Toc375042222"/>
      <w:bookmarkStart w:id="428" w:name="_Toc415054339"/>
      <w:r>
        <w:rPr>
          <w:rStyle w:val="CharSectno"/>
        </w:rPr>
        <w:t>162</w:t>
      </w:r>
      <w:r>
        <w:t>.</w:t>
      </w:r>
      <w:r>
        <w:tab/>
        <w:t>Responsibilities of export depot operator if animal born at or while being moved to export depot</w:t>
      </w:r>
      <w:bookmarkEnd w:id="427"/>
      <w:bookmarkEnd w:id="428"/>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429" w:name="_Toc375042223"/>
      <w:bookmarkStart w:id="430" w:name="_Toc415054340"/>
      <w:r>
        <w:rPr>
          <w:rStyle w:val="CharSectno"/>
        </w:rPr>
        <w:t>163</w:t>
      </w:r>
      <w:r>
        <w:t>.</w:t>
      </w:r>
      <w:r>
        <w:tab/>
        <w:t>Responsibilities of export depot operator if animal moved to export depot</w:t>
      </w:r>
      <w:bookmarkEnd w:id="429"/>
      <w:bookmarkEnd w:id="430"/>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PIC and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Heading5"/>
        <w:spacing w:before="260"/>
      </w:pPr>
      <w:bookmarkStart w:id="431" w:name="_Toc375042224"/>
      <w:bookmarkStart w:id="432" w:name="_Toc415054341"/>
      <w:r>
        <w:rPr>
          <w:rStyle w:val="CharSectno"/>
        </w:rPr>
        <w:t>164</w:t>
      </w:r>
      <w:r>
        <w:t>.</w:t>
      </w:r>
      <w:r>
        <w:tab/>
        <w:t>Responsibilities of export depot operator if animal exported or otherwise moved from export depot</w:t>
      </w:r>
      <w:bookmarkEnd w:id="431"/>
      <w:bookmarkEnd w:id="432"/>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 xml:space="preserve">It is sufficient compliance with subregulation (1), in relation to any animal in a consignment to which an NLIS device is applied, if the export depot operator, within 48 hours after the animal is moved, updates the NLIS database in relation to the device by recording the following — </w:t>
      </w:r>
    </w:p>
    <w:p>
      <w:pPr>
        <w:pStyle w:val="Indenta"/>
        <w:spacing w:before="120"/>
      </w:pPr>
      <w:r>
        <w:tab/>
        <w:t>(a)</w:t>
      </w:r>
      <w:r>
        <w:tab/>
        <w:t>the relevant PIC of the export depot;</w:t>
      </w:r>
    </w:p>
    <w:p>
      <w:pPr>
        <w:pStyle w:val="Indenta"/>
        <w:spacing w:before="120"/>
      </w:pPr>
      <w:r>
        <w:tab/>
        <w:t>(b)</w:t>
      </w:r>
      <w:r>
        <w:tab/>
        <w:t>the relevant PIC of the port to which the animal has been moved;</w:t>
      </w:r>
    </w:p>
    <w:p>
      <w:pPr>
        <w:pStyle w:val="Indenta"/>
        <w:spacing w:before="120"/>
        <w:rPr>
          <w:snapToGrid w:val="0"/>
        </w:rPr>
      </w:pPr>
      <w:r>
        <w:tab/>
        <w:t>(c)</w:t>
      </w:r>
      <w:r>
        <w:tab/>
        <w:t xml:space="preserve">the serial number of the transport document </w:t>
      </w:r>
      <w:r>
        <w:rPr>
          <w:snapToGrid w:val="0"/>
        </w:rPr>
        <w:t>relating to the movement of the animal from the export depot;</w:t>
      </w:r>
    </w:p>
    <w:p>
      <w:pPr>
        <w:pStyle w:val="Indenta"/>
        <w:spacing w:before="120"/>
      </w:pPr>
      <w:r>
        <w:tab/>
        <w:t>(d)</w:t>
      </w:r>
      <w:r>
        <w:tab/>
        <w:t>the date the animal was moved from the export depot.</w:t>
      </w:r>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PIC and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the export depot operator, within 48 hours after the animal is moved, updates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property to which the animal has been moved;</w:t>
      </w:r>
    </w:p>
    <w:p>
      <w:pPr>
        <w:pStyle w:val="Indenta"/>
        <w:rPr>
          <w:snapToGrid w:val="0"/>
        </w:rPr>
      </w:pPr>
      <w:r>
        <w:tab/>
        <w:t>(c)</w:t>
      </w:r>
      <w:r>
        <w:tab/>
        <w:t xml:space="preserve">the serial number of the waybill </w:t>
      </w:r>
      <w:r>
        <w:rPr>
          <w:snapToGrid w:val="0"/>
        </w:rPr>
        <w:t>relating to the movement of the animal from the export depot;</w:t>
      </w:r>
    </w:p>
    <w:p>
      <w:pPr>
        <w:pStyle w:val="Indenta"/>
      </w:pPr>
      <w:r>
        <w:tab/>
        <w:t>(d)</w:t>
      </w:r>
      <w:r>
        <w:tab/>
        <w:t>the date the animal was moved from the export depot.</w:t>
      </w:r>
    </w:p>
    <w:p>
      <w:pPr>
        <w:pStyle w:val="Heading2"/>
      </w:pPr>
      <w:bookmarkStart w:id="433" w:name="_Toc375042225"/>
      <w:bookmarkStart w:id="434" w:name="_Toc415054342"/>
      <w:r>
        <w:rPr>
          <w:rStyle w:val="CharPartNo"/>
        </w:rPr>
        <w:t>Part 7</w:t>
      </w:r>
      <w:r>
        <w:t> — </w:t>
      </w:r>
      <w:r>
        <w:rPr>
          <w:rStyle w:val="CharPartText"/>
        </w:rPr>
        <w:t>Identifying other species of stock</w:t>
      </w:r>
      <w:bookmarkEnd w:id="433"/>
      <w:bookmarkEnd w:id="434"/>
    </w:p>
    <w:p>
      <w:pPr>
        <w:pStyle w:val="Heading3"/>
      </w:pPr>
      <w:bookmarkStart w:id="435" w:name="_Toc375042226"/>
      <w:bookmarkStart w:id="436" w:name="_Toc415054343"/>
      <w:r>
        <w:rPr>
          <w:rStyle w:val="CharDivNo"/>
        </w:rPr>
        <w:t>Division 1</w:t>
      </w:r>
      <w:r>
        <w:t> — </w:t>
      </w:r>
      <w:r>
        <w:rPr>
          <w:rStyle w:val="CharDivText"/>
        </w:rPr>
        <w:t>Deer</w:t>
      </w:r>
      <w:bookmarkEnd w:id="435"/>
      <w:bookmarkEnd w:id="436"/>
    </w:p>
    <w:p>
      <w:pPr>
        <w:pStyle w:val="Heading5"/>
      </w:pPr>
      <w:bookmarkStart w:id="437" w:name="_Toc375042227"/>
      <w:bookmarkStart w:id="438" w:name="_Toc415054344"/>
      <w:r>
        <w:rPr>
          <w:rStyle w:val="CharSectno"/>
        </w:rPr>
        <w:t>165</w:t>
      </w:r>
      <w:r>
        <w:t>.</w:t>
      </w:r>
      <w:r>
        <w:tab/>
        <w:t>Owners to identify deer</w:t>
      </w:r>
      <w:bookmarkEnd w:id="437"/>
      <w:bookmarkEnd w:id="438"/>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if it is moved from the property on which it is kept before it reaches 12 months of age and before it is identified in accordance with this regulation — when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 xml:space="preserve">For the purposes of this regulation, an owner of a deer may identify the deer, or cause it to be identified, with all or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Heading5"/>
      </w:pPr>
      <w:bookmarkStart w:id="439" w:name="_Toc375042228"/>
      <w:bookmarkStart w:id="440" w:name="_Toc415054345"/>
      <w:r>
        <w:rPr>
          <w:rStyle w:val="CharSectno"/>
        </w:rPr>
        <w:t>166</w:t>
      </w:r>
      <w:r>
        <w:t>.</w:t>
      </w:r>
      <w:r>
        <w:tab/>
        <w:t>Exemption for deer under 12 months</w:t>
      </w:r>
      <w:bookmarkEnd w:id="439"/>
      <w:bookmarkEnd w:id="440"/>
    </w:p>
    <w:p>
      <w:pPr>
        <w:pStyle w:val="Subsection"/>
        <w:rPr>
          <w:snapToGrid w:val="0"/>
        </w:rPr>
      </w:pPr>
      <w:r>
        <w:tab/>
        <w:t>(1)</w:t>
      </w:r>
      <w:r>
        <w:tab/>
        <w:t xml:space="preserve">It is not necessary for a deer to be identified in accordance with </w:t>
      </w:r>
      <w:r>
        <w:rPr>
          <w:snapToGrid w:val="0"/>
        </w:rPr>
        <w:t>regulation 165(1)(b) if</w:t>
      </w:r>
      <w:r>
        <w:t xml:space="preserve"> it is being moved with its mother from the property on which it is kept to another property with the same relevant PIC</w:t>
      </w:r>
      <w:r>
        <w:rPr>
          <w:snapToGrid w:val="0"/>
        </w:rPr>
        <w:t>.</w:t>
      </w:r>
    </w:p>
    <w:p>
      <w:pPr>
        <w:pStyle w:val="Subsection"/>
      </w:pPr>
      <w:r>
        <w:tab/>
        <w:t>(2)</w:t>
      </w:r>
      <w:r>
        <w:tab/>
        <w:t xml:space="preserve">It is not necessary for a deer to be identified in accordance with </w:t>
      </w:r>
      <w:r>
        <w:rPr>
          <w:snapToGrid w:val="0"/>
        </w:rPr>
        <w:t>regulation 165(2)(a) or (3)(a) if</w:t>
      </w:r>
      <w:r>
        <w:t xml:space="preserve"> it — </w:t>
      </w:r>
    </w:p>
    <w:p>
      <w:pPr>
        <w:pStyle w:val="Indenta"/>
      </w:pPr>
      <w:r>
        <w:tab/>
        <w:t>(a)</w:t>
      </w:r>
      <w:r>
        <w:tab/>
        <w:t>has not reached 12 months of age; and</w:t>
      </w:r>
    </w:p>
    <w:p>
      <w:pPr>
        <w:pStyle w:val="Indenta"/>
      </w:pPr>
      <w:r>
        <w:tab/>
        <w:t>(b)</w:t>
      </w:r>
      <w:r>
        <w:tab/>
        <w:t>is being moved with its mother from the property on which it is kept to another property with the same relevant PIC</w:t>
      </w:r>
      <w:r>
        <w:rPr>
          <w:snapToGrid w:val="0"/>
        </w:rPr>
        <w:t>.</w:t>
      </w:r>
    </w:p>
    <w:p>
      <w:pPr>
        <w:pStyle w:val="Heading5"/>
      </w:pPr>
      <w:bookmarkStart w:id="441" w:name="_Toc375042229"/>
      <w:bookmarkStart w:id="442" w:name="_Toc415054346"/>
      <w:r>
        <w:rPr>
          <w:rStyle w:val="CharSectno"/>
        </w:rPr>
        <w:t>167</w:t>
      </w:r>
      <w:r>
        <w:t>.</w:t>
      </w:r>
      <w:r>
        <w:tab/>
        <w:t>Deer identified by previous owner</w:t>
      </w:r>
      <w:bookmarkEnd w:id="441"/>
      <w:bookmarkEnd w:id="442"/>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443" w:name="_Toc375042230"/>
      <w:bookmarkStart w:id="444" w:name="_Toc415054347"/>
      <w:r>
        <w:rPr>
          <w:rStyle w:val="CharSectno"/>
        </w:rPr>
        <w:t>168</w:t>
      </w:r>
      <w:r>
        <w:t>.</w:t>
      </w:r>
      <w:r>
        <w:tab/>
        <w:t>Registered identifier applied as brand</w:t>
      </w:r>
      <w:bookmarkEnd w:id="443"/>
      <w:bookmarkEnd w:id="444"/>
    </w:p>
    <w:p>
      <w:pPr>
        <w:pStyle w:val="Subsection"/>
        <w:rPr>
          <w:snapToGrid w:val="0"/>
        </w:rPr>
      </w:pPr>
      <w:r>
        <w:tab/>
      </w:r>
      <w:r>
        <w:tab/>
      </w:r>
      <w:r>
        <w:rPr>
          <w:snapToGrid w:val="0"/>
        </w:rPr>
        <w:t xml:space="preserve">A registered identifier applied as a brand </w:t>
      </w:r>
      <w:r>
        <w:t>to a deer must be legibly displayed on an eartag</w:t>
      </w:r>
      <w:r>
        <w:rPr>
          <w:snapToGrid w:val="0"/>
        </w:rPr>
        <w:t xml:space="preserve"> that is —</w:t>
      </w:r>
    </w:p>
    <w:p>
      <w:pPr>
        <w:pStyle w:val="Indenta"/>
      </w:pPr>
      <w:r>
        <w:tab/>
        <w:t>(a)</w:t>
      </w:r>
      <w:r>
        <w:tab/>
        <w:t>an approved device; and</w:t>
      </w:r>
    </w:p>
    <w:p>
      <w:pPr>
        <w:pStyle w:val="Indenta"/>
      </w:pPr>
      <w:r>
        <w:tab/>
        <w:t>(b)</w:t>
      </w:r>
      <w:r>
        <w:tab/>
        <w:t>applied to the ear of the animal specified for that purpose in the owner’s certificate of registration as an owner of stock.</w:t>
      </w:r>
    </w:p>
    <w:p>
      <w:pPr>
        <w:pStyle w:val="Heading5"/>
      </w:pPr>
      <w:bookmarkStart w:id="445" w:name="_Toc375042231"/>
      <w:bookmarkStart w:id="446" w:name="_Toc415054348"/>
      <w:r>
        <w:rPr>
          <w:rStyle w:val="CharSectno"/>
        </w:rPr>
        <w:t>169</w:t>
      </w:r>
      <w:r>
        <w:t>.</w:t>
      </w:r>
      <w:r>
        <w:tab/>
        <w:t>Registered identifier applied as an earmark</w:t>
      </w:r>
      <w:bookmarkEnd w:id="445"/>
      <w:bookmarkEnd w:id="446"/>
    </w:p>
    <w:p>
      <w:pPr>
        <w:pStyle w:val="Subsection"/>
      </w:pPr>
      <w:r>
        <w:tab/>
        <w:t>(1)</w:t>
      </w:r>
      <w:r>
        <w:tab/>
      </w:r>
      <w:r>
        <w:rPr>
          <w:snapToGrid w:val="0"/>
        </w:rPr>
        <w:t xml:space="preserve">A registered identifier applied as an earmark </w:t>
      </w:r>
      <w:r>
        <w:t>to a deer must —</w:t>
      </w:r>
    </w:p>
    <w:p>
      <w:pPr>
        <w:pStyle w:val="Indenta"/>
      </w:pPr>
      <w:r>
        <w:tab/>
        <w:t>(a)</w:t>
      </w:r>
      <w:r>
        <w:tab/>
        <w:t>be applied to the ear of the animal specified for that purpose in the owner’s certificate of registration as an owner of stock; and</w:t>
      </w:r>
    </w:p>
    <w:p>
      <w:pPr>
        <w:pStyle w:val="Indenta"/>
      </w:pPr>
      <w:r>
        <w:tab/>
        <w:t>(b)</w:t>
      </w:r>
      <w:r>
        <w:tab/>
        <w:t>meet the requirements of subregulation (2).</w:t>
      </w:r>
    </w:p>
    <w:p>
      <w:pPr>
        <w:pStyle w:val="Subsection"/>
      </w:pPr>
      <w:r>
        <w:tab/>
        <w:t>(2)</w:t>
      </w:r>
      <w:r>
        <w:tab/>
        <w:t>Each</w:t>
      </w:r>
      <w:r>
        <w:rPr>
          <w:snapToGrid w:val="0"/>
        </w:rPr>
        <w:t xml:space="preserve"> symbol forming part of an earmark must be not less than 12 mm across its maximum dimension at the time when the earmark is applied.</w:t>
      </w:r>
    </w:p>
    <w:p>
      <w:pPr>
        <w:pStyle w:val="Heading3"/>
      </w:pPr>
      <w:bookmarkStart w:id="447" w:name="_Toc375042232"/>
      <w:bookmarkStart w:id="448" w:name="_Toc415054349"/>
      <w:r>
        <w:rPr>
          <w:rStyle w:val="CharDivNo"/>
        </w:rPr>
        <w:t>Division 2</w:t>
      </w:r>
      <w:r>
        <w:t> — </w:t>
      </w:r>
      <w:r>
        <w:rPr>
          <w:rStyle w:val="CharDivText"/>
        </w:rPr>
        <w:t>Horses</w:t>
      </w:r>
      <w:bookmarkEnd w:id="447"/>
      <w:bookmarkEnd w:id="448"/>
    </w:p>
    <w:p>
      <w:pPr>
        <w:pStyle w:val="Heading5"/>
      </w:pPr>
      <w:bookmarkStart w:id="449" w:name="_Toc375042233"/>
      <w:bookmarkStart w:id="450" w:name="_Toc415054350"/>
      <w:r>
        <w:rPr>
          <w:rStyle w:val="CharSectno"/>
        </w:rPr>
        <w:t>170</w:t>
      </w:r>
      <w:r>
        <w:t>.</w:t>
      </w:r>
      <w:r>
        <w:tab/>
        <w:t>Owners to identify horses</w:t>
      </w:r>
      <w:bookmarkEnd w:id="449"/>
      <w:bookmarkEnd w:id="450"/>
    </w:p>
    <w:p>
      <w:pPr>
        <w:pStyle w:val="Subsection"/>
        <w:rPr>
          <w:snapToGrid w:val="0"/>
        </w:rPr>
      </w:pPr>
      <w:r>
        <w:tab/>
        <w:t>(1)</w:t>
      </w:r>
      <w:r>
        <w:tab/>
        <w:t>An</w:t>
      </w:r>
      <w:r>
        <w:rPr>
          <w:snapToGrid w:val="0"/>
        </w:rPr>
        <w:t xml:space="preserve"> owner of a horse, other than an imported horse or a horse from a pound, that is kept on a property in the south</w:t>
      </w:r>
      <w:r>
        <w:rPr>
          <w:snapToGrid w:val="0"/>
        </w:rPr>
        <w:noBreakHyphen/>
        <w:t xml:space="preserve">west of the State must identify the horse, or cause it to be identified, in accordance with this regulation — </w:t>
      </w:r>
    </w:p>
    <w:p>
      <w:pPr>
        <w:pStyle w:val="Indenta"/>
        <w:rPr>
          <w:snapToGrid w:val="0"/>
        </w:rPr>
      </w:pPr>
      <w:r>
        <w:tab/>
        <w:t>(a)</w:t>
      </w:r>
      <w:r>
        <w:tab/>
      </w:r>
      <w:r>
        <w:rPr>
          <w:snapToGrid w:val="0"/>
        </w:rPr>
        <w:t>if it is moved from the property on which it is kept before it reaches 6 months of age and before it is identified in accordance with this regulation — when it is moved; or</w:t>
      </w:r>
    </w:p>
    <w:p>
      <w:pPr>
        <w:pStyle w:val="Indenta"/>
      </w:pPr>
      <w:r>
        <w:tab/>
        <w:t>(b)</w:t>
      </w:r>
      <w:r>
        <w:tab/>
        <w:t>otherwise — before it reaches 6 months of age.</w:t>
      </w:r>
    </w:p>
    <w:p>
      <w:pPr>
        <w:pStyle w:val="Penstart"/>
      </w:pPr>
      <w:r>
        <w:tab/>
        <w:t>Penalty: a fine of $2 000.</w:t>
      </w:r>
    </w:p>
    <w:p>
      <w:pPr>
        <w:pStyle w:val="Subsection"/>
        <w:rPr>
          <w:snapToGrid w:val="0"/>
        </w:rPr>
      </w:pPr>
      <w:r>
        <w:tab/>
        <w:t>(2)</w:t>
      </w:r>
      <w:r>
        <w:tab/>
        <w:t>An</w:t>
      </w:r>
      <w:r>
        <w:rPr>
          <w:snapToGrid w:val="0"/>
        </w:rPr>
        <w:t xml:space="preserve"> owner of a horse other than — </w:t>
      </w:r>
    </w:p>
    <w:p>
      <w:pPr>
        <w:pStyle w:val="Indenta"/>
        <w:rPr>
          <w:snapToGrid w:val="0"/>
        </w:rPr>
      </w:pPr>
      <w:r>
        <w:rPr>
          <w:snapToGrid w:val="0"/>
        </w:rPr>
        <w:tab/>
        <w:t>(a)</w:t>
      </w:r>
      <w:r>
        <w:rPr>
          <w:snapToGrid w:val="0"/>
        </w:rPr>
        <w:tab/>
        <w:t>an imported horse; or</w:t>
      </w:r>
    </w:p>
    <w:p>
      <w:pPr>
        <w:pStyle w:val="Indenta"/>
        <w:rPr>
          <w:snapToGrid w:val="0"/>
        </w:rPr>
      </w:pPr>
      <w:r>
        <w:rPr>
          <w:snapToGrid w:val="0"/>
        </w:rPr>
        <w:tab/>
        <w:t>(b)</w:t>
      </w:r>
      <w:r>
        <w:rPr>
          <w:snapToGrid w:val="0"/>
        </w:rPr>
        <w:tab/>
        <w:t>a horse from a pound; or</w:t>
      </w:r>
    </w:p>
    <w:p>
      <w:pPr>
        <w:pStyle w:val="Indenta"/>
        <w:rPr>
          <w:snapToGrid w:val="0"/>
        </w:rPr>
      </w:pPr>
      <w:r>
        <w:rPr>
          <w:snapToGrid w:val="0"/>
        </w:rPr>
        <w:tab/>
        <w:t>(c)</w:t>
      </w:r>
      <w:r>
        <w:rPr>
          <w:snapToGrid w:val="0"/>
        </w:rPr>
        <w:tab/>
        <w:t>a horse that is kept on a property in the south</w:t>
      </w:r>
      <w:r>
        <w:rPr>
          <w:snapToGrid w:val="0"/>
        </w:rPr>
        <w:noBreakHyphen/>
        <w:t>west of the State,</w:t>
      </w:r>
    </w:p>
    <w:p>
      <w:pPr>
        <w:pStyle w:val="Subsection"/>
        <w:rPr>
          <w:snapToGrid w:val="0"/>
        </w:rPr>
      </w:pPr>
      <w:r>
        <w:rPr>
          <w:snapToGrid w:val="0"/>
        </w:rPr>
        <w:tab/>
      </w:r>
      <w:r>
        <w:rPr>
          <w:snapToGrid w:val="0"/>
        </w:rPr>
        <w:tab/>
        <w:t xml:space="preserve">must identify the horse, or cause it to be identified, in accordance with this regulation — </w:t>
      </w:r>
    </w:p>
    <w:p>
      <w:pPr>
        <w:pStyle w:val="Indenta"/>
        <w:rPr>
          <w:snapToGrid w:val="0"/>
        </w:rPr>
      </w:pPr>
      <w:r>
        <w:tab/>
        <w:t>(d)</w:t>
      </w:r>
      <w:r>
        <w:tab/>
      </w:r>
      <w:r>
        <w:rPr>
          <w:snapToGrid w:val="0"/>
        </w:rPr>
        <w:t>if it is moved from the property on which it is kept before it reaches 18 months of age and before it is identified in accordance with this regulation — when it is moved; or</w:t>
      </w:r>
    </w:p>
    <w:p>
      <w:pPr>
        <w:pStyle w:val="Indenta"/>
      </w:pPr>
      <w:r>
        <w:tab/>
        <w:t>(e)</w:t>
      </w:r>
      <w:r>
        <w:tab/>
        <w:t>otherwise — before it reaches 18 months of age.</w:t>
      </w:r>
    </w:p>
    <w:p>
      <w:pPr>
        <w:pStyle w:val="Penstart"/>
      </w:pPr>
      <w:r>
        <w:tab/>
        <w:t>Penalty: a fine of $2 000.</w:t>
      </w:r>
    </w:p>
    <w:p>
      <w:pPr>
        <w:pStyle w:val="Subsection"/>
      </w:pPr>
      <w:r>
        <w:tab/>
        <w:t>(3)</w:t>
      </w:r>
      <w:r>
        <w:tab/>
        <w:t xml:space="preserve">An owner of an imported horse must identify the horse, or cause it to be identified, in accordance with this regulation — </w:t>
      </w:r>
    </w:p>
    <w:p>
      <w:pPr>
        <w:pStyle w:val="Indenta"/>
      </w:pPr>
      <w:r>
        <w:tab/>
        <w:t>(a)</w:t>
      </w:r>
      <w:r>
        <w:tab/>
        <w:t>if the horse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horse from a pound must identify the horse, or cause it to be identified, in accordance with this regulation — </w:t>
      </w:r>
    </w:p>
    <w:p>
      <w:pPr>
        <w:pStyle w:val="Indenta"/>
      </w:pPr>
      <w:r>
        <w:tab/>
        <w:t>(a)</w:t>
      </w:r>
      <w:r>
        <w:tab/>
        <w:t>if the horse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t>For the purposes of this regulation, an owner of a horse may identify the horse, or cause it to be identified, with either or both of the following identifiers —</w:t>
      </w:r>
    </w:p>
    <w:p>
      <w:pPr>
        <w:pStyle w:val="Indenta"/>
      </w:pPr>
      <w:r>
        <w:tab/>
        <w:t>(a)</w:t>
      </w:r>
      <w:r>
        <w:tab/>
        <w:t>a registered identifier applied as a brand in accordance with regulation 173;</w:t>
      </w:r>
    </w:p>
    <w:p>
      <w:pPr>
        <w:pStyle w:val="Indenta"/>
      </w:pPr>
      <w:r>
        <w:tab/>
        <w:t>(b)</w:t>
      </w:r>
      <w:r>
        <w:tab/>
        <w:t>an approved identifier for horses.</w:t>
      </w:r>
    </w:p>
    <w:p>
      <w:pPr>
        <w:pStyle w:val="Heading5"/>
      </w:pPr>
      <w:bookmarkStart w:id="451" w:name="_Toc375042234"/>
      <w:bookmarkStart w:id="452" w:name="_Toc415054351"/>
      <w:r>
        <w:rPr>
          <w:rStyle w:val="CharSectno"/>
        </w:rPr>
        <w:t>171</w:t>
      </w:r>
      <w:r>
        <w:t>.</w:t>
      </w:r>
      <w:r>
        <w:tab/>
        <w:t>Exemption for foals</w:t>
      </w:r>
      <w:bookmarkEnd w:id="451"/>
      <w:bookmarkEnd w:id="452"/>
    </w:p>
    <w:p>
      <w:pPr>
        <w:pStyle w:val="Subsection"/>
      </w:pPr>
      <w:r>
        <w:tab/>
        <w:t>(1)</w:t>
      </w:r>
      <w:r>
        <w:tab/>
        <w:t>It is not necessary for a horse to be identified in accordance with regulation 170(1)(a) if the horse is being moved with its mother from the property on which it is kept.</w:t>
      </w:r>
    </w:p>
    <w:p>
      <w:pPr>
        <w:pStyle w:val="Subsection"/>
      </w:pPr>
      <w:r>
        <w:tab/>
        <w:t>(2)</w:t>
      </w:r>
      <w:r>
        <w:tab/>
        <w:t xml:space="preserve">It is not necessary for a horse to be identified in accordance with regulation 170(2)(d), (3)(a) or (4)(a) if it — </w:t>
      </w:r>
    </w:p>
    <w:p>
      <w:pPr>
        <w:pStyle w:val="Indenta"/>
      </w:pPr>
      <w:r>
        <w:tab/>
        <w:t>(a)</w:t>
      </w:r>
      <w:r>
        <w:tab/>
        <w:t>has not reached 6 months of age; and</w:t>
      </w:r>
    </w:p>
    <w:p>
      <w:pPr>
        <w:pStyle w:val="Indenta"/>
      </w:pPr>
      <w:r>
        <w:tab/>
        <w:t>(b)</w:t>
      </w:r>
      <w:r>
        <w:tab/>
        <w:t>is being moved with its mother from the property on which it is kept.</w:t>
      </w:r>
    </w:p>
    <w:p>
      <w:pPr>
        <w:pStyle w:val="Heading5"/>
      </w:pPr>
      <w:bookmarkStart w:id="453" w:name="_Toc375042235"/>
      <w:bookmarkStart w:id="454" w:name="_Toc415054352"/>
      <w:r>
        <w:rPr>
          <w:rStyle w:val="CharSectno"/>
        </w:rPr>
        <w:t>172</w:t>
      </w:r>
      <w:r>
        <w:t>.</w:t>
      </w:r>
      <w:r>
        <w:tab/>
        <w:t>Horses identified by previous owner</w:t>
      </w:r>
      <w:bookmarkEnd w:id="453"/>
      <w:bookmarkEnd w:id="454"/>
    </w:p>
    <w:p>
      <w:pPr>
        <w:pStyle w:val="Subsection"/>
        <w:rPr>
          <w:snapToGrid w:val="0"/>
        </w:rPr>
      </w:pPr>
      <w:r>
        <w:tab/>
      </w:r>
      <w:r>
        <w:tab/>
        <w:t xml:space="preserve">It is not necessary for the current owner of a horse to identify the horse, or cause it to be identified, in accordance with </w:t>
      </w:r>
      <w:r>
        <w:rPr>
          <w:snapToGrid w:val="0"/>
        </w:rPr>
        <w:t>regulation </w:t>
      </w:r>
      <w:r>
        <w:t>170</w:t>
      </w:r>
      <w:r>
        <w:rPr>
          <w:snapToGrid w:val="0"/>
        </w:rPr>
        <w:t xml:space="preserve"> if —</w:t>
      </w:r>
    </w:p>
    <w:p>
      <w:pPr>
        <w:pStyle w:val="Indenta"/>
        <w:rPr>
          <w:snapToGrid w:val="0"/>
        </w:rPr>
      </w:pPr>
      <w:r>
        <w:tab/>
        <w:t>(a)</w:t>
      </w:r>
      <w:r>
        <w:tab/>
      </w:r>
      <w:r>
        <w:rPr>
          <w:snapToGrid w:val="0"/>
        </w:rPr>
        <w:t>the horse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horse.</w:t>
      </w:r>
    </w:p>
    <w:p>
      <w:pPr>
        <w:pStyle w:val="Heading5"/>
      </w:pPr>
      <w:bookmarkStart w:id="455" w:name="_Toc375042236"/>
      <w:bookmarkStart w:id="456" w:name="_Toc415054353"/>
      <w:r>
        <w:rPr>
          <w:rStyle w:val="CharSectno"/>
        </w:rPr>
        <w:t>173</w:t>
      </w:r>
      <w:r>
        <w:t>.</w:t>
      </w:r>
      <w:r>
        <w:tab/>
        <w:t>Registered identifier applied as brand</w:t>
      </w:r>
      <w:bookmarkEnd w:id="455"/>
      <w:bookmarkEnd w:id="456"/>
    </w:p>
    <w:p>
      <w:pPr>
        <w:pStyle w:val="Subsection"/>
        <w:rPr>
          <w:snapToGrid w:val="0"/>
        </w:rPr>
      </w:pPr>
      <w:r>
        <w:tab/>
        <w:t>(1)</w:t>
      </w:r>
      <w:r>
        <w:tab/>
      </w:r>
      <w:r>
        <w:rPr>
          <w:snapToGrid w:val="0"/>
        </w:rPr>
        <w:t>A registered identifier applied as a brand to a horse must be applied as a firebrand or freezebrand in accordance with this regulation.</w:t>
      </w:r>
    </w:p>
    <w:p>
      <w:pPr>
        <w:pStyle w:val="Subsection"/>
        <w:rPr>
          <w:snapToGrid w:val="0"/>
        </w:rPr>
      </w:pPr>
      <w:r>
        <w:rPr>
          <w:snapToGrid w:val="0"/>
        </w:rPr>
        <w:tab/>
      </w:r>
      <w:r>
        <w:t>(2)</w:t>
      </w:r>
      <w:r>
        <w:rPr>
          <w:snapToGrid w:val="0"/>
        </w:rPr>
        <w:tab/>
        <w:t>A firebrand or freezebrand must —</w:t>
      </w:r>
    </w:p>
    <w:p>
      <w:pPr>
        <w:pStyle w:val="Indenta"/>
        <w:rPr>
          <w:snapToGrid w:val="0"/>
        </w:rPr>
      </w:pPr>
      <w:r>
        <w:tab/>
        <w:t>(a)</w:t>
      </w:r>
      <w:r>
        <w:tab/>
      </w:r>
      <w:r>
        <w:rPr>
          <w:snapToGrid w:val="0"/>
        </w:rPr>
        <w:t xml:space="preserve">if the horse has previously been branded — </w:t>
      </w:r>
    </w:p>
    <w:p>
      <w:pPr>
        <w:pStyle w:val="Indenti"/>
        <w:rPr>
          <w:snapToGrid w:val="0"/>
        </w:rPr>
      </w:pPr>
      <w:r>
        <w:rPr>
          <w:snapToGrid w:val="0"/>
        </w:rPr>
        <w:tab/>
        <w:t>(i)</w:t>
      </w:r>
      <w:r>
        <w:rPr>
          <w:snapToGrid w:val="0"/>
        </w:rPr>
        <w:tab/>
        <w:t>be applied to the left shoulder, if there is sufficient room; or</w:t>
      </w:r>
    </w:p>
    <w:p>
      <w:pPr>
        <w:pStyle w:val="Indenti"/>
        <w:rPr>
          <w:snapToGrid w:val="0"/>
        </w:rPr>
      </w:pPr>
      <w:r>
        <w:rPr>
          <w:snapToGrid w:val="0"/>
        </w:rPr>
        <w:tab/>
        <w:t>(ii)</w:t>
      </w:r>
      <w:r>
        <w:rPr>
          <w:snapToGrid w:val="0"/>
        </w:rPr>
        <w:tab/>
        <w:t>be applied on the right shoulder;</w:t>
      </w:r>
    </w:p>
    <w:p>
      <w:pPr>
        <w:pStyle w:val="Indenta"/>
        <w:rPr>
          <w:snapToGrid w:val="0"/>
        </w:rPr>
      </w:pPr>
      <w:r>
        <w:rPr>
          <w:snapToGrid w:val="0"/>
        </w:rPr>
        <w:tab/>
      </w:r>
      <w:r>
        <w:rPr>
          <w:snapToGrid w:val="0"/>
        </w:rPr>
        <w:tab/>
        <w:t>and</w:t>
      </w:r>
    </w:p>
    <w:p>
      <w:pPr>
        <w:pStyle w:val="Indenta"/>
        <w:rPr>
          <w:snapToGrid w:val="0"/>
        </w:rPr>
      </w:pPr>
      <w:r>
        <w:tab/>
        <w:t>(b)</w:t>
      </w:r>
      <w:r>
        <w:tab/>
      </w:r>
      <w:r>
        <w:rPr>
          <w:snapToGrid w:val="0"/>
        </w:rPr>
        <w:t>if the horse has not previously been branded — be applied to the left shoulder.</w:t>
      </w:r>
    </w:p>
    <w:p>
      <w:pPr>
        <w:pStyle w:val="Subsection"/>
        <w:rPr>
          <w:snapToGrid w:val="0"/>
        </w:rPr>
      </w:pPr>
      <w:r>
        <w:tab/>
        <w:t>(3)</w:t>
      </w:r>
      <w:r>
        <w:tab/>
      </w:r>
      <w:r>
        <w:rPr>
          <w:snapToGrid w:val="0"/>
        </w:rPr>
        <w:t xml:space="preserve">A firebrand or freezebrand must be — </w:t>
      </w:r>
    </w:p>
    <w:p>
      <w:pPr>
        <w:pStyle w:val="Indenta"/>
        <w:rPr>
          <w:snapToGrid w:val="0"/>
        </w:rPr>
      </w:pPr>
      <w:r>
        <w:rPr>
          <w:snapToGrid w:val="0"/>
        </w:rPr>
        <w:tab/>
        <w:t>(a)</w:t>
      </w:r>
      <w:r>
        <w:rPr>
          <w:snapToGrid w:val="0"/>
        </w:rPr>
        <w:tab/>
        <w:t>not less than 100 mm long and 30 mm in height at the time when the brand is applied; and</w:t>
      </w:r>
    </w:p>
    <w:p>
      <w:pPr>
        <w:pStyle w:val="Indenta"/>
      </w:pPr>
      <w:r>
        <w:tab/>
        <w:t>(b)</w:t>
      </w:r>
      <w:r>
        <w:tab/>
        <w:t>applied in the approved manner.</w:t>
      </w:r>
    </w:p>
    <w:p>
      <w:pPr>
        <w:pStyle w:val="Heading3"/>
      </w:pPr>
      <w:bookmarkStart w:id="457" w:name="_Toc375042237"/>
      <w:bookmarkStart w:id="458" w:name="_Toc415054354"/>
      <w:r>
        <w:rPr>
          <w:rStyle w:val="CharDivNo"/>
        </w:rPr>
        <w:t>Division 3</w:t>
      </w:r>
      <w:r>
        <w:t> — </w:t>
      </w:r>
      <w:r>
        <w:rPr>
          <w:rStyle w:val="CharDivText"/>
        </w:rPr>
        <w:t>Ostriches</w:t>
      </w:r>
      <w:bookmarkEnd w:id="457"/>
      <w:bookmarkEnd w:id="458"/>
    </w:p>
    <w:p>
      <w:pPr>
        <w:pStyle w:val="Heading5"/>
      </w:pPr>
      <w:bookmarkStart w:id="459" w:name="_Toc375042238"/>
      <w:bookmarkStart w:id="460" w:name="_Toc415054355"/>
      <w:r>
        <w:rPr>
          <w:rStyle w:val="CharSectno"/>
        </w:rPr>
        <w:t>174</w:t>
      </w:r>
      <w:r>
        <w:t>.</w:t>
      </w:r>
      <w:r>
        <w:tab/>
        <w:t>Identification of ostriches not required</w:t>
      </w:r>
      <w:bookmarkEnd w:id="459"/>
      <w:bookmarkEnd w:id="460"/>
    </w:p>
    <w:p>
      <w:pPr>
        <w:pStyle w:val="Subsection"/>
      </w:pPr>
      <w:r>
        <w:tab/>
      </w:r>
      <w:r>
        <w:tab/>
        <w:t>Nothing in these regulations requires a person to identify an ostrich or cause it to be identified.</w:t>
      </w:r>
    </w:p>
    <w:p>
      <w:pPr>
        <w:pStyle w:val="Heading5"/>
      </w:pPr>
      <w:bookmarkStart w:id="461" w:name="_Toc375042239"/>
      <w:bookmarkStart w:id="462" w:name="_Toc415054356"/>
      <w:r>
        <w:rPr>
          <w:rStyle w:val="CharSectno"/>
        </w:rPr>
        <w:t>175</w:t>
      </w:r>
      <w:r>
        <w:t>.</w:t>
      </w:r>
      <w:r>
        <w:tab/>
        <w:t>How ostriches may be identified</w:t>
      </w:r>
      <w:bookmarkEnd w:id="461"/>
      <w:bookmarkEnd w:id="462"/>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463" w:name="_Toc375042240"/>
      <w:bookmarkStart w:id="464" w:name="_Toc415054357"/>
      <w:r>
        <w:rPr>
          <w:rStyle w:val="CharSectno"/>
        </w:rPr>
        <w:t>176</w:t>
      </w:r>
      <w:r>
        <w:t>.</w:t>
      </w:r>
      <w:r>
        <w:tab/>
        <w:t>Registered identifier applied as brand</w:t>
      </w:r>
      <w:bookmarkEnd w:id="463"/>
      <w:bookmarkEnd w:id="464"/>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465" w:name="_Toc375042241"/>
      <w:bookmarkStart w:id="466" w:name="_Toc415054358"/>
      <w:r>
        <w:rPr>
          <w:rStyle w:val="CharSectno"/>
        </w:rPr>
        <w:t>177</w:t>
      </w:r>
      <w:r>
        <w:t>.</w:t>
      </w:r>
      <w:r>
        <w:tab/>
        <w:t>Other markings on neck tags and leg bands</w:t>
      </w:r>
      <w:bookmarkEnd w:id="465"/>
      <w:bookmarkEnd w:id="466"/>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Heading3"/>
      </w:pPr>
      <w:bookmarkStart w:id="467" w:name="_Toc375042242"/>
      <w:bookmarkStart w:id="468" w:name="_Toc415054359"/>
      <w:r>
        <w:rPr>
          <w:rStyle w:val="CharDivNo"/>
        </w:rPr>
        <w:t>Division 4</w:t>
      </w:r>
      <w:r>
        <w:t> — </w:t>
      </w:r>
      <w:r>
        <w:rPr>
          <w:rStyle w:val="CharDivText"/>
        </w:rPr>
        <w:t>Pigs</w:t>
      </w:r>
      <w:bookmarkEnd w:id="467"/>
      <w:bookmarkEnd w:id="468"/>
    </w:p>
    <w:p>
      <w:pPr>
        <w:pStyle w:val="Heading5"/>
      </w:pPr>
      <w:bookmarkStart w:id="469" w:name="_Toc375042243"/>
      <w:bookmarkStart w:id="470" w:name="_Toc415054360"/>
      <w:r>
        <w:rPr>
          <w:rStyle w:val="CharSectno"/>
        </w:rPr>
        <w:t>178</w:t>
      </w:r>
      <w:r>
        <w:t>.</w:t>
      </w:r>
      <w:r>
        <w:tab/>
        <w:t>Owners to identify pigs</w:t>
      </w:r>
      <w:bookmarkEnd w:id="469"/>
      <w:bookmarkEnd w:id="470"/>
    </w:p>
    <w:p>
      <w:pPr>
        <w:pStyle w:val="Subsection"/>
      </w:pPr>
      <w:r>
        <w:tab/>
        <w:t>(1)</w:t>
      </w:r>
      <w:r>
        <w:tab/>
        <w:t>An owner of a pig must identify the pig, or cause it to be identified, in accordance with this regulation not more than 7 days before it is moved from the property on which it is kept.</w:t>
      </w:r>
    </w:p>
    <w:p>
      <w:pPr>
        <w:pStyle w:val="Penstart"/>
      </w:pPr>
      <w:r>
        <w:tab/>
        <w:t>Penalty: a fine of $5 000.</w:t>
      </w:r>
    </w:p>
    <w:p>
      <w:pPr>
        <w:pStyle w:val="Subsection"/>
      </w:pPr>
      <w:r>
        <w:tab/>
        <w:t>(2)</w:t>
      </w:r>
      <w:r>
        <w:tab/>
        <w:t xml:space="preserve">For the purposes of subregulation (1), an owner of a pig may identify the pig, or cause it to be identified, with either or both of the following identifiers — </w:t>
      </w:r>
    </w:p>
    <w:p>
      <w:pPr>
        <w:pStyle w:val="Indenta"/>
      </w:pPr>
      <w:r>
        <w:tab/>
        <w:t>(a)</w:t>
      </w:r>
      <w:r>
        <w:tab/>
        <w:t>a registered identifier applied as a brand in accordance with regulation 180;</w:t>
      </w:r>
    </w:p>
    <w:p>
      <w:pPr>
        <w:pStyle w:val="Indenta"/>
      </w:pPr>
      <w:r>
        <w:tab/>
        <w:t>(b)</w:t>
      </w:r>
      <w:r>
        <w:tab/>
        <w:t>an approved identifier for pigs.</w:t>
      </w:r>
    </w:p>
    <w:p>
      <w:pPr>
        <w:pStyle w:val="Heading5"/>
      </w:pPr>
      <w:bookmarkStart w:id="471" w:name="_Toc375042244"/>
      <w:bookmarkStart w:id="472" w:name="_Toc415054361"/>
      <w:r>
        <w:rPr>
          <w:rStyle w:val="CharSectno"/>
        </w:rPr>
        <w:t>179</w:t>
      </w:r>
      <w:r>
        <w:t>.</w:t>
      </w:r>
      <w:r>
        <w:tab/>
        <w:t>Exemptions for piglets and stud animals</w:t>
      </w:r>
      <w:bookmarkEnd w:id="471"/>
      <w:bookmarkEnd w:id="472"/>
    </w:p>
    <w:p>
      <w:pPr>
        <w:pStyle w:val="Subsection"/>
      </w:pPr>
      <w:r>
        <w:tab/>
        <w:t>(1)</w:t>
      </w:r>
      <w:r>
        <w:tab/>
        <w:t xml:space="preserve">In this regulation — </w:t>
      </w:r>
    </w:p>
    <w:p>
      <w:pPr>
        <w:pStyle w:val="Defstart"/>
      </w:pPr>
      <w:r>
        <w:tab/>
      </w:r>
      <w:r>
        <w:rPr>
          <w:rStyle w:val="CharDefText"/>
        </w:rPr>
        <w:t>stud prefix</w:t>
      </w:r>
      <w:r>
        <w:t xml:space="preserve"> means a stud prefix recognised by the Australian Pig Breeders Association Ltd ABN 26 905 086 209.</w:t>
      </w:r>
    </w:p>
    <w:p>
      <w:pPr>
        <w:pStyle w:val="Subsection"/>
      </w:pPr>
      <w:r>
        <w:tab/>
        <w:t>(2)</w:t>
      </w:r>
      <w:r>
        <w:tab/>
        <w:t xml:space="preserve">It is not necessary for a pig to be identified in accordance with regulation 178 if — </w:t>
      </w:r>
    </w:p>
    <w:p>
      <w:pPr>
        <w:pStyle w:val="Indenta"/>
      </w:pPr>
      <w:r>
        <w:tab/>
        <w:t>(a)</w:t>
      </w:r>
      <w:r>
        <w:tab/>
        <w:t>the pig has not reached 10 weeks of age; or</w:t>
      </w:r>
    </w:p>
    <w:p>
      <w:pPr>
        <w:pStyle w:val="Indenta"/>
      </w:pPr>
      <w:r>
        <w:tab/>
        <w:t>(b)</w:t>
      </w:r>
      <w:r>
        <w:tab/>
        <w:t xml:space="preserve">it is a stud animal that — </w:t>
      </w:r>
    </w:p>
    <w:p>
      <w:pPr>
        <w:pStyle w:val="Indenti"/>
      </w:pPr>
      <w:r>
        <w:tab/>
        <w:t>(i)</w:t>
      </w:r>
      <w:r>
        <w:tab/>
        <w:t>is marked with the current owner’s, or a previous owner’s, stud prefix; and</w:t>
      </w:r>
    </w:p>
    <w:p>
      <w:pPr>
        <w:pStyle w:val="Indenti"/>
      </w:pPr>
      <w:r>
        <w:tab/>
        <w:t>(ii)</w:t>
      </w:r>
      <w:r>
        <w:tab/>
        <w:t>is being moved to a property other than a saleyard or abattoir.</w:t>
      </w:r>
    </w:p>
    <w:p>
      <w:pPr>
        <w:pStyle w:val="Heading5"/>
      </w:pPr>
      <w:bookmarkStart w:id="473" w:name="_Toc375042245"/>
      <w:bookmarkStart w:id="474" w:name="_Toc415054362"/>
      <w:r>
        <w:rPr>
          <w:rStyle w:val="CharSectno"/>
        </w:rPr>
        <w:t>180</w:t>
      </w:r>
      <w:r>
        <w:t>.</w:t>
      </w:r>
      <w:r>
        <w:tab/>
        <w:t>Registered identifier applied as brand</w:t>
      </w:r>
      <w:bookmarkEnd w:id="473"/>
      <w:bookmarkEnd w:id="474"/>
    </w:p>
    <w:p>
      <w:pPr>
        <w:pStyle w:val="Subsection"/>
        <w:rPr>
          <w:snapToGrid w:val="0"/>
        </w:rPr>
      </w:pPr>
      <w:r>
        <w:tab/>
        <w:t>(1)</w:t>
      </w:r>
      <w:r>
        <w:tab/>
        <w:t>A</w:t>
      </w:r>
      <w:r>
        <w:rPr>
          <w:snapToGrid w:val="0"/>
        </w:rPr>
        <w:t xml:space="preserve"> registered identifier applied as a brand to a pig must be applied — </w:t>
      </w:r>
    </w:p>
    <w:p>
      <w:pPr>
        <w:pStyle w:val="Indenta"/>
        <w:rPr>
          <w:snapToGrid w:val="0"/>
        </w:rPr>
      </w:pPr>
      <w:r>
        <w:rPr>
          <w:snapToGrid w:val="0"/>
        </w:rPr>
        <w:tab/>
        <w:t>(a)</w:t>
      </w:r>
      <w:r>
        <w:rPr>
          <w:snapToGrid w:val="0"/>
        </w:rPr>
        <w:tab/>
        <w:t xml:space="preserve">using equipment that is </w:t>
      </w:r>
      <w:r>
        <w:t>approved identification equipment for that purpose</w:t>
      </w:r>
      <w:r>
        <w:rPr>
          <w:snapToGrid w:val="0"/>
        </w:rPr>
        <w:t>; and</w:t>
      </w:r>
    </w:p>
    <w:p>
      <w:pPr>
        <w:pStyle w:val="Indenta"/>
        <w:rPr>
          <w:snapToGrid w:val="0"/>
        </w:rPr>
      </w:pPr>
      <w:r>
        <w:tab/>
        <w:t>(b)</w:t>
      </w:r>
      <w:r>
        <w:tab/>
      </w:r>
      <w:r>
        <w:rPr>
          <w:snapToGrid w:val="0"/>
        </w:rPr>
        <w:t>in accordance with this regulation.</w:t>
      </w:r>
    </w:p>
    <w:p>
      <w:pPr>
        <w:pStyle w:val="Subsection"/>
      </w:pPr>
      <w:r>
        <w:tab/>
        <w:t>(2)</w:t>
      </w:r>
      <w:r>
        <w:tab/>
      </w:r>
      <w:r>
        <w:rPr>
          <w:snapToGrid w:val="0"/>
        </w:rPr>
        <w:t>A brand must be applied</w:t>
      </w:r>
      <w:r>
        <w:t xml:space="preserve"> using carbon black paste or such tattooing ink or dye of such colour as approved for that purpose.</w:t>
      </w:r>
    </w:p>
    <w:p>
      <w:pPr>
        <w:pStyle w:val="Subsection"/>
        <w:rPr>
          <w:snapToGrid w:val="0"/>
        </w:rPr>
      </w:pPr>
      <w:r>
        <w:tab/>
        <w:t>(3)</w:t>
      </w:r>
      <w:r>
        <w:tab/>
      </w:r>
      <w:r>
        <w:rPr>
          <w:snapToGrid w:val="0"/>
        </w:rPr>
        <w:t>A brand must be applied</w:t>
      </w:r>
      <w:r>
        <w:t xml:space="preserve"> — </w:t>
      </w:r>
    </w:p>
    <w:p>
      <w:pPr>
        <w:pStyle w:val="Indenta"/>
        <w:rPr>
          <w:snapToGrid w:val="0"/>
        </w:rPr>
      </w:pPr>
      <w:r>
        <w:rPr>
          <w:snapToGrid w:val="0"/>
        </w:rPr>
        <w:tab/>
        <w:t>(a)</w:t>
      </w:r>
      <w:r>
        <w:rPr>
          <w:snapToGrid w:val="0"/>
        </w:rPr>
        <w:tab/>
      </w:r>
      <w:r>
        <w:t xml:space="preserve">if it is applied by, or on behalf of, the breeder of the pig — </w:t>
      </w:r>
      <w:r>
        <w:rPr>
          <w:snapToGrid w:val="0"/>
        </w:rPr>
        <w:t>to the left shoulder of the pig; or</w:t>
      </w:r>
    </w:p>
    <w:p>
      <w:pPr>
        <w:pStyle w:val="Indenta"/>
      </w:pPr>
      <w:r>
        <w:tab/>
        <w:t>(b)</w:t>
      </w:r>
      <w:r>
        <w:tab/>
        <w:t>in each other case — to the right shoulder of the pig.</w:t>
      </w:r>
    </w:p>
    <w:p>
      <w:pPr>
        <w:pStyle w:val="Heading3"/>
      </w:pPr>
      <w:bookmarkStart w:id="475" w:name="_Toc375042246"/>
      <w:bookmarkStart w:id="476" w:name="_Toc415054363"/>
      <w:r>
        <w:rPr>
          <w:rStyle w:val="CharDivNo"/>
        </w:rPr>
        <w:t>Division 5</w:t>
      </w:r>
      <w:r>
        <w:t> — </w:t>
      </w:r>
      <w:r>
        <w:rPr>
          <w:rStyle w:val="CharDivText"/>
        </w:rPr>
        <w:t>South American camelids</w:t>
      </w:r>
      <w:bookmarkEnd w:id="475"/>
      <w:bookmarkEnd w:id="476"/>
    </w:p>
    <w:p>
      <w:pPr>
        <w:pStyle w:val="Heading5"/>
      </w:pPr>
      <w:bookmarkStart w:id="477" w:name="_Toc375042247"/>
      <w:bookmarkStart w:id="478" w:name="_Toc415054364"/>
      <w:r>
        <w:rPr>
          <w:rStyle w:val="CharSectno"/>
        </w:rPr>
        <w:t>181</w:t>
      </w:r>
      <w:r>
        <w:t>.</w:t>
      </w:r>
      <w:r>
        <w:tab/>
        <w:t>Owners to identify South American camelids</w:t>
      </w:r>
      <w:bookmarkEnd w:id="477"/>
      <w:bookmarkEnd w:id="478"/>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before it reaches 6 months of age and before it is identified in accordance with this regulation — when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when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when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t>For the purposes of this regulation, an owner of a South American camelid may identify the South American camelid, or cause it be identified, with all or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Heading5"/>
      </w:pPr>
      <w:bookmarkStart w:id="479" w:name="_Toc375042248"/>
      <w:bookmarkStart w:id="480" w:name="_Toc415054365"/>
      <w:r>
        <w:rPr>
          <w:rStyle w:val="CharSectno"/>
        </w:rPr>
        <w:t>182</w:t>
      </w:r>
      <w:r>
        <w:t>.</w:t>
      </w:r>
      <w:r>
        <w:tab/>
        <w:t>Exemption for South American camelids under 6 months</w:t>
      </w:r>
      <w:bookmarkEnd w:id="479"/>
      <w:bookmarkEnd w:id="480"/>
    </w:p>
    <w:p>
      <w:pPr>
        <w:pStyle w:val="Subsection"/>
      </w:pPr>
      <w:r>
        <w:tab/>
        <w:t>(1)</w:t>
      </w:r>
      <w:r>
        <w:tab/>
        <w:t>It is not necessary for a South American camelid to be identified in accordance with regulation 181(1)(a) if it is being moved with its mother from the property on which it is kept to another property with the same relevant PIC.</w:t>
      </w:r>
    </w:p>
    <w:p>
      <w:pPr>
        <w:pStyle w:val="Subsection"/>
      </w:pPr>
      <w:r>
        <w:tab/>
        <w:t>(2)</w:t>
      </w:r>
      <w:r>
        <w:tab/>
        <w:t xml:space="preserve">It is not necessary for a South American camelid to be identified in accordance with regulation 181(2)(a) or (3)(a) if it — </w:t>
      </w:r>
    </w:p>
    <w:p>
      <w:pPr>
        <w:pStyle w:val="Indenta"/>
      </w:pPr>
      <w:r>
        <w:tab/>
        <w:t>(a)</w:t>
      </w:r>
      <w:r>
        <w:tab/>
        <w:t>has not reached 6 months of age; and</w:t>
      </w:r>
    </w:p>
    <w:p>
      <w:pPr>
        <w:pStyle w:val="Indenta"/>
      </w:pPr>
      <w:r>
        <w:tab/>
        <w:t>(b)</w:t>
      </w:r>
      <w:r>
        <w:tab/>
        <w:t>is being moved with its mother from the property on which it is kept to another property with the same relevant PIC.</w:t>
      </w:r>
    </w:p>
    <w:p>
      <w:pPr>
        <w:pStyle w:val="Heading5"/>
      </w:pPr>
      <w:bookmarkStart w:id="481" w:name="_Toc375042249"/>
      <w:bookmarkStart w:id="482" w:name="_Toc415054366"/>
      <w:r>
        <w:rPr>
          <w:rStyle w:val="CharSectno"/>
        </w:rPr>
        <w:t>183</w:t>
      </w:r>
      <w:r>
        <w:t>.</w:t>
      </w:r>
      <w:r>
        <w:tab/>
        <w:t>South American camelids identified by previous owner</w:t>
      </w:r>
      <w:bookmarkEnd w:id="481"/>
      <w:bookmarkEnd w:id="482"/>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483" w:name="_Toc375042250"/>
      <w:bookmarkStart w:id="484" w:name="_Toc415054367"/>
      <w:r>
        <w:rPr>
          <w:rStyle w:val="CharSectno"/>
        </w:rPr>
        <w:t>184</w:t>
      </w:r>
      <w:r>
        <w:t>.</w:t>
      </w:r>
      <w:r>
        <w:tab/>
        <w:t>Registered identifier applied as brand</w:t>
      </w:r>
      <w:bookmarkEnd w:id="483"/>
      <w:bookmarkEnd w:id="484"/>
    </w:p>
    <w:p>
      <w:pPr>
        <w:pStyle w:val="Subsection"/>
        <w:rPr>
          <w:snapToGrid w:val="0"/>
        </w:rPr>
      </w:pPr>
      <w:r>
        <w:tab/>
      </w:r>
      <w:r>
        <w:tab/>
      </w:r>
      <w:r>
        <w:rPr>
          <w:snapToGrid w:val="0"/>
        </w:rPr>
        <w:t xml:space="preserve">A registered identifier applied as a brand </w:t>
      </w:r>
      <w:r>
        <w:t>to a South American camelid must be legibly displayed on an eartag</w:t>
      </w:r>
      <w:r>
        <w:rPr>
          <w:snapToGrid w:val="0"/>
        </w:rPr>
        <w:t xml:space="preserve"> that is —</w:t>
      </w:r>
    </w:p>
    <w:p>
      <w:pPr>
        <w:pStyle w:val="Indenta"/>
      </w:pPr>
      <w:r>
        <w:tab/>
        <w:t>(a)</w:t>
      </w:r>
      <w:r>
        <w:tab/>
        <w:t>an approved device; and</w:t>
      </w:r>
    </w:p>
    <w:p>
      <w:pPr>
        <w:pStyle w:val="Indenta"/>
      </w:pPr>
      <w:r>
        <w:tab/>
        <w:t>(b)</w:t>
      </w:r>
      <w:r>
        <w:tab/>
        <w:t xml:space="preserve">applied — </w:t>
      </w:r>
    </w:p>
    <w:p>
      <w:pPr>
        <w:pStyle w:val="Indenti"/>
      </w:pPr>
      <w:r>
        <w:tab/>
        <w:t>(i)</w:t>
      </w:r>
      <w:r>
        <w:tab/>
        <w:t>to the left ear of a male animal; or</w:t>
      </w:r>
    </w:p>
    <w:p>
      <w:pPr>
        <w:pStyle w:val="Indenti"/>
      </w:pPr>
      <w:r>
        <w:tab/>
        <w:t>(ii)</w:t>
      </w:r>
      <w:r>
        <w:tab/>
        <w:t>to the right ear of a female animal.</w:t>
      </w:r>
    </w:p>
    <w:p>
      <w:pPr>
        <w:pStyle w:val="Heading5"/>
      </w:pPr>
      <w:bookmarkStart w:id="485" w:name="_Toc375042251"/>
      <w:bookmarkStart w:id="486" w:name="_Toc415054368"/>
      <w:r>
        <w:rPr>
          <w:rStyle w:val="CharSectno"/>
        </w:rPr>
        <w:t>185</w:t>
      </w:r>
      <w:r>
        <w:t>.</w:t>
      </w:r>
      <w:r>
        <w:tab/>
        <w:t>Registered identifier applied as earmark</w:t>
      </w:r>
      <w:bookmarkEnd w:id="485"/>
      <w:bookmarkEnd w:id="486"/>
    </w:p>
    <w:p>
      <w:pPr>
        <w:pStyle w:val="Subsection"/>
      </w:pPr>
      <w:r>
        <w:tab/>
        <w:t>(1)</w:t>
      </w:r>
      <w:r>
        <w:tab/>
      </w:r>
      <w:r>
        <w:rPr>
          <w:snapToGrid w:val="0"/>
        </w:rPr>
        <w:t xml:space="preserve">A registered identifier applied as an earmark </w:t>
      </w:r>
      <w:r>
        <w:t>to a South American camelid must —</w:t>
      </w:r>
    </w:p>
    <w:p>
      <w:pPr>
        <w:pStyle w:val="Indenta"/>
      </w:pPr>
      <w:r>
        <w:tab/>
        <w:t>(a)</w:t>
      </w:r>
      <w:r>
        <w:tab/>
        <w:t xml:space="preserve">be applied — </w:t>
      </w:r>
    </w:p>
    <w:p>
      <w:pPr>
        <w:pStyle w:val="Indenti"/>
      </w:pPr>
      <w:r>
        <w:tab/>
        <w:t>(i)</w:t>
      </w:r>
      <w:r>
        <w:tab/>
      </w:r>
      <w:r>
        <w:rPr>
          <w:snapToGrid w:val="0"/>
        </w:rPr>
        <w:t>to the right ear of a male animal; or</w:t>
      </w:r>
    </w:p>
    <w:p>
      <w:pPr>
        <w:pStyle w:val="Indenti"/>
      </w:pPr>
      <w:r>
        <w:tab/>
        <w:t>(ii)</w:t>
      </w:r>
      <w:r>
        <w:tab/>
      </w:r>
      <w:r>
        <w:rPr>
          <w:snapToGrid w:val="0"/>
        </w:rPr>
        <w:t>to the left ear of a female animal;</w:t>
      </w:r>
    </w:p>
    <w:p>
      <w:pPr>
        <w:pStyle w:val="Indenta"/>
      </w:pPr>
      <w:r>
        <w:tab/>
      </w:r>
      <w:r>
        <w:tab/>
        <w:t>and</w:t>
      </w:r>
    </w:p>
    <w:p>
      <w:pPr>
        <w:pStyle w:val="Indenta"/>
      </w:pPr>
      <w:r>
        <w:tab/>
        <w:t>(b)</w:t>
      </w:r>
      <w:r>
        <w:tab/>
        <w:t>meet the requirements of subregulation (2).</w:t>
      </w:r>
    </w:p>
    <w:p>
      <w:pPr>
        <w:pStyle w:val="Subsection"/>
      </w:pPr>
      <w:r>
        <w:tab/>
        <w:t>(2)</w:t>
      </w:r>
      <w:r>
        <w:tab/>
        <w:t>Each</w:t>
      </w:r>
      <w:r>
        <w:rPr>
          <w:snapToGrid w:val="0"/>
        </w:rPr>
        <w:t xml:space="preserve"> symbol forming part of an earmark must be not less than 12 mm across its maximum dimension at the time when the earmark is applied.</w:t>
      </w:r>
    </w:p>
    <w:p>
      <w:pPr>
        <w:pStyle w:val="Heading5"/>
      </w:pPr>
      <w:bookmarkStart w:id="487" w:name="_Toc375042252"/>
      <w:bookmarkStart w:id="488" w:name="_Toc415054369"/>
      <w:r>
        <w:rPr>
          <w:rStyle w:val="CharSectno"/>
        </w:rPr>
        <w:t>186</w:t>
      </w:r>
      <w:r>
        <w:t>.</w:t>
      </w:r>
      <w:r>
        <w:tab/>
        <w:t>Other earmarks</w:t>
      </w:r>
      <w:bookmarkEnd w:id="487"/>
      <w:bookmarkEnd w:id="488"/>
    </w:p>
    <w:p>
      <w:pPr>
        <w:pStyle w:val="Subsection"/>
        <w:rPr>
          <w:snapToGrid w:val="0"/>
        </w:rPr>
      </w:pPr>
      <w:r>
        <w:tab/>
      </w:r>
      <w:r>
        <w:tab/>
      </w:r>
      <w:r>
        <w:rPr>
          <w:snapToGrid w:val="0"/>
        </w:rPr>
        <w:t xml:space="preserve">A person must not apply an earmark to a </w:t>
      </w:r>
      <w:r>
        <w:t>South American camelid</w:t>
      </w:r>
      <w:r>
        <w:rPr>
          <w:snapToGrid w:val="0"/>
        </w:rPr>
        <w:t>, other than an identifier applied under regulation 181, unless it is applied —</w:t>
      </w:r>
    </w:p>
    <w:p>
      <w:pPr>
        <w:pStyle w:val="Indenta"/>
      </w:pPr>
      <w:r>
        <w:tab/>
        <w:t>(a)</w:t>
      </w:r>
      <w:r>
        <w:tab/>
        <w:t>to the left ear of a male animal; or</w:t>
      </w:r>
    </w:p>
    <w:p>
      <w:pPr>
        <w:pStyle w:val="Indenta"/>
      </w:pPr>
      <w:r>
        <w:tab/>
        <w:t>(b)</w:t>
      </w:r>
      <w:r>
        <w:tab/>
        <w:t>to the right ear of a female animal,</w:t>
      </w:r>
    </w:p>
    <w:p>
      <w:pPr>
        <w:pStyle w:val="Subsection"/>
      </w:pPr>
      <w:r>
        <w:tab/>
      </w:r>
      <w:r>
        <w:tab/>
        <w:t>in such a manner, and in such a position, as to render it clearly distinguishable from an identifier applied to the animal under regulation </w:t>
      </w:r>
      <w:r>
        <w:rPr>
          <w:snapToGrid w:val="0"/>
        </w:rPr>
        <w:t>181</w:t>
      </w:r>
      <w:r>
        <w:t>.</w:t>
      </w:r>
    </w:p>
    <w:p>
      <w:pPr>
        <w:pStyle w:val="Penstart"/>
      </w:pPr>
      <w:r>
        <w:tab/>
        <w:t>Penalty: a fine of $2 000.</w:t>
      </w:r>
    </w:p>
    <w:p>
      <w:pPr>
        <w:pStyle w:val="Heading2"/>
      </w:pPr>
      <w:bookmarkStart w:id="489" w:name="_Toc375042253"/>
      <w:bookmarkStart w:id="490" w:name="_Toc415054370"/>
      <w:r>
        <w:rPr>
          <w:rStyle w:val="CharPartNo"/>
        </w:rPr>
        <w:t>Part 8</w:t>
      </w:r>
      <w:r>
        <w:rPr>
          <w:rStyle w:val="CharDivNo"/>
        </w:rPr>
        <w:t> </w:t>
      </w:r>
      <w:r>
        <w:t>—</w:t>
      </w:r>
      <w:r>
        <w:rPr>
          <w:rStyle w:val="CharDivText"/>
        </w:rPr>
        <w:t> </w:t>
      </w:r>
      <w:r>
        <w:rPr>
          <w:rStyle w:val="CharPartText"/>
        </w:rPr>
        <w:t>Movement of animals</w:t>
      </w:r>
      <w:bookmarkEnd w:id="489"/>
      <w:bookmarkEnd w:id="490"/>
    </w:p>
    <w:p>
      <w:pPr>
        <w:pStyle w:val="Heading5"/>
      </w:pPr>
      <w:bookmarkStart w:id="491" w:name="_Toc375042254"/>
      <w:bookmarkStart w:id="492" w:name="_Toc415054371"/>
      <w:r>
        <w:rPr>
          <w:rStyle w:val="CharSectno"/>
        </w:rPr>
        <w:t>187</w:t>
      </w:r>
      <w:r>
        <w:t>.</w:t>
      </w:r>
      <w:r>
        <w:tab/>
        <w:t>Terms used</w:t>
      </w:r>
      <w:bookmarkEnd w:id="491"/>
      <w:bookmarkEnd w:id="492"/>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493" w:name="_Toc375042255"/>
      <w:bookmarkStart w:id="494" w:name="_Toc415054372"/>
      <w:r>
        <w:rPr>
          <w:rStyle w:val="CharSectno"/>
        </w:rPr>
        <w:t>188</w:t>
      </w:r>
      <w:r>
        <w:t>.</w:t>
      </w:r>
      <w:r>
        <w:tab/>
        <w:t>Application of Part</w:t>
      </w:r>
      <w:bookmarkEnd w:id="493"/>
      <w:bookmarkEnd w:id="494"/>
    </w:p>
    <w:p>
      <w:pPr>
        <w:pStyle w:val="Subsection"/>
      </w:pPr>
      <w:r>
        <w:tab/>
      </w:r>
      <w:r>
        <w:tab/>
        <w:t xml:space="preserve">This Part does not apply to the movement of — </w:t>
      </w:r>
    </w:p>
    <w:p>
      <w:pPr>
        <w:pStyle w:val="Indenta"/>
      </w:pPr>
      <w:r>
        <w:tab/>
        <w:t>(a)</w:t>
      </w:r>
      <w:r>
        <w:tab/>
        <w:t>a horse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Heading5"/>
      </w:pPr>
      <w:bookmarkStart w:id="495" w:name="_Toc375042256"/>
      <w:bookmarkStart w:id="496" w:name="_Toc415054373"/>
      <w:r>
        <w:rPr>
          <w:rStyle w:val="CharSectno"/>
        </w:rPr>
        <w:t>189</w:t>
      </w:r>
      <w:r>
        <w:t>.</w:t>
      </w:r>
      <w:r>
        <w:tab/>
        <w:t>When waybill is required</w:t>
      </w:r>
      <w:bookmarkEnd w:id="495"/>
      <w:bookmarkEnd w:id="496"/>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497" w:name="_Toc375042257"/>
      <w:bookmarkStart w:id="498" w:name="_Toc415054374"/>
      <w:r>
        <w:rPr>
          <w:rStyle w:val="CharSectno"/>
        </w:rPr>
        <w:t>190</w:t>
      </w:r>
      <w:r>
        <w:t>.</w:t>
      </w:r>
      <w:r>
        <w:tab/>
        <w:t>General requirements for waybills</w:t>
      </w:r>
      <w:bookmarkEnd w:id="497"/>
      <w:bookmarkEnd w:id="498"/>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499" w:name="_Toc375042258"/>
      <w:bookmarkStart w:id="500" w:name="_Toc415054375"/>
      <w:r>
        <w:rPr>
          <w:rStyle w:val="CharSectno"/>
        </w:rPr>
        <w:t>191</w:t>
      </w:r>
      <w:r>
        <w:t>.</w:t>
      </w:r>
      <w:r>
        <w:tab/>
        <w:t>Movements from saleyards</w:t>
      </w:r>
      <w:bookmarkEnd w:id="499"/>
      <w:bookmarkEnd w:id="500"/>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on which the consignment is to be kept or slaughtered, or from which the consignment is to be exported, by the purchaser — that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Heading5"/>
      </w:pPr>
      <w:bookmarkStart w:id="501" w:name="_Toc375042259"/>
      <w:bookmarkStart w:id="502" w:name="_Toc415054376"/>
      <w:r>
        <w:rPr>
          <w:rStyle w:val="CharSectno"/>
        </w:rPr>
        <w:t>192</w:t>
      </w:r>
      <w:r>
        <w:t>.</w:t>
      </w:r>
      <w:r>
        <w:tab/>
        <w:t>When purchaser must provide waybill</w:t>
      </w:r>
      <w:bookmarkEnd w:id="501"/>
      <w:bookmarkEnd w:id="502"/>
    </w:p>
    <w:p>
      <w:pPr>
        <w:pStyle w:val="Subsection"/>
      </w:pPr>
      <w:r>
        <w:tab/>
        <w:t>(1)</w:t>
      </w:r>
      <w:r>
        <w:tab/>
        <w:t xml:space="preserve">If a purchaser of an animal at a saleyard does not give the saleyard operator the relevant PIC of the property on which the animal is to be kept or slaughtered, or from which the animal is to be exported, by the purchaser,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on which the animal is to be kept or slaughtered, or from which the animal is to be exported, by the purchaser;</w:t>
      </w:r>
    </w:p>
    <w:p>
      <w:pPr>
        <w:pStyle w:val="Indenta"/>
      </w:pPr>
      <w:r>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Heading5"/>
      </w:pPr>
      <w:bookmarkStart w:id="503" w:name="_Toc375042260"/>
      <w:bookmarkStart w:id="504" w:name="_Toc415054377"/>
      <w:r>
        <w:rPr>
          <w:rStyle w:val="CharSectno"/>
        </w:rPr>
        <w:t>193</w:t>
      </w:r>
      <w:r>
        <w:t>.</w:t>
      </w:r>
      <w:r>
        <w:tab/>
        <w:t>Movements from export depots</w:t>
      </w:r>
      <w:bookmarkEnd w:id="503"/>
      <w:bookmarkEnd w:id="504"/>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505" w:name="_Toc375042261"/>
      <w:bookmarkStart w:id="506" w:name="_Toc415054378"/>
      <w:r>
        <w:rPr>
          <w:rStyle w:val="CharSectno"/>
        </w:rPr>
        <w:t>194</w:t>
      </w:r>
      <w:r>
        <w:t>.</w:t>
      </w:r>
      <w:r>
        <w:tab/>
        <w:t>Recording identifiers on waybills</w:t>
      </w:r>
      <w:bookmarkEnd w:id="505"/>
      <w:bookmarkEnd w:id="506"/>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or approved identifier applied to the animal or animals;</w:t>
      </w:r>
    </w:p>
    <w:p>
      <w:pPr>
        <w:pStyle w:val="Indenta"/>
      </w:pPr>
      <w:r>
        <w:tab/>
        <w:t>(d)</w:t>
      </w:r>
      <w:r>
        <w:tab/>
        <w:t>the details of any identifier, approved by an inspector under regulation 83(2)(a), applied to the animal or animals;</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Heading5"/>
      </w:pPr>
      <w:bookmarkStart w:id="507" w:name="_Toc375042262"/>
      <w:bookmarkStart w:id="508" w:name="_Toc415054379"/>
      <w:r>
        <w:rPr>
          <w:rStyle w:val="CharSectno"/>
        </w:rPr>
        <w:t>195</w:t>
      </w:r>
      <w:r>
        <w:t>.</w:t>
      </w:r>
      <w:r>
        <w:tab/>
        <w:t>When waybill is not required</w:t>
      </w:r>
      <w:bookmarkEnd w:id="507"/>
      <w:bookmarkEnd w:id="508"/>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509" w:name="_Toc375042263"/>
      <w:bookmarkStart w:id="510" w:name="_Toc415054380"/>
      <w:r>
        <w:rPr>
          <w:rStyle w:val="CharSectno"/>
        </w:rPr>
        <w:t>196</w:t>
      </w:r>
      <w:r>
        <w:t>.</w:t>
      </w:r>
      <w:r>
        <w:tab/>
        <w:t>Movement permits</w:t>
      </w:r>
      <w:bookmarkEnd w:id="509"/>
      <w:bookmarkEnd w:id="510"/>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511" w:name="_Toc375042264"/>
      <w:bookmarkStart w:id="512" w:name="_Toc415054381"/>
      <w:r>
        <w:rPr>
          <w:rStyle w:val="CharSectno"/>
        </w:rPr>
        <w:t>197</w:t>
      </w:r>
      <w:r>
        <w:t>.</w:t>
      </w:r>
      <w:r>
        <w:tab/>
        <w:t>When carrier may make out waybill</w:t>
      </w:r>
      <w:bookmarkEnd w:id="511"/>
      <w:bookmarkEnd w:id="512"/>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513" w:name="_Toc375042265"/>
      <w:bookmarkStart w:id="514" w:name="_Toc415054382"/>
      <w:r>
        <w:rPr>
          <w:rStyle w:val="CharSectno"/>
        </w:rPr>
        <w:t>198</w:t>
      </w:r>
      <w:r>
        <w:t>.</w:t>
      </w:r>
      <w:r>
        <w:tab/>
        <w:t>Movement of animals if transport documents retained by inspector</w:t>
      </w:r>
      <w:bookmarkEnd w:id="513"/>
      <w:bookmarkEnd w:id="514"/>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an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Heading5"/>
      </w:pPr>
      <w:bookmarkStart w:id="515" w:name="_Toc375042266"/>
      <w:bookmarkStart w:id="516" w:name="_Toc415054383"/>
      <w:r>
        <w:rPr>
          <w:rStyle w:val="CharSectno"/>
        </w:rPr>
        <w:t>199</w:t>
      </w:r>
      <w:r>
        <w:t>.</w:t>
      </w:r>
      <w:r>
        <w:tab/>
        <w:t>Transport document must accompany animal being moved</w:t>
      </w:r>
      <w:bookmarkEnd w:id="515"/>
      <w:bookmarkEnd w:id="516"/>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517" w:name="_Toc375042267"/>
      <w:bookmarkStart w:id="518" w:name="_Toc415054384"/>
      <w:r>
        <w:rPr>
          <w:rStyle w:val="CharSectno"/>
        </w:rPr>
        <w:t>200</w:t>
      </w:r>
      <w:r>
        <w:t>.</w:t>
      </w:r>
      <w:r>
        <w:tab/>
        <w:t>Carrier to deliver transport document to operator of destination property</w:t>
      </w:r>
      <w:bookmarkEnd w:id="517"/>
      <w:bookmarkEnd w:id="518"/>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519" w:name="_Toc375042268"/>
      <w:bookmarkStart w:id="520" w:name="_Toc415054385"/>
      <w:r>
        <w:rPr>
          <w:rStyle w:val="CharSectno"/>
        </w:rPr>
        <w:t>201</w:t>
      </w:r>
      <w:r>
        <w:t>.</w:t>
      </w:r>
      <w:r>
        <w:tab/>
        <w:t>Property operator to obtain transport document</w:t>
      </w:r>
      <w:bookmarkEnd w:id="519"/>
      <w:bookmarkEnd w:id="520"/>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521" w:name="_Toc375042269"/>
      <w:bookmarkStart w:id="522" w:name="_Toc415054386"/>
      <w:r>
        <w:rPr>
          <w:rStyle w:val="CharPartNo"/>
        </w:rPr>
        <w:t>Part 9</w:t>
      </w:r>
      <w:r>
        <w:rPr>
          <w:rStyle w:val="CharDivNo"/>
        </w:rPr>
        <w:t> </w:t>
      </w:r>
      <w:r>
        <w:t>—</w:t>
      </w:r>
      <w:r>
        <w:rPr>
          <w:rStyle w:val="CharDivText"/>
        </w:rPr>
        <w:t> </w:t>
      </w:r>
      <w:r>
        <w:rPr>
          <w:rStyle w:val="CharPartText"/>
        </w:rPr>
        <w:t>Identification and movement of apiaries</w:t>
      </w:r>
      <w:bookmarkEnd w:id="521"/>
      <w:bookmarkEnd w:id="522"/>
    </w:p>
    <w:p>
      <w:pPr>
        <w:pStyle w:val="Heading5"/>
      </w:pPr>
      <w:bookmarkStart w:id="523" w:name="_Toc375042270"/>
      <w:bookmarkStart w:id="524" w:name="_Toc415054387"/>
      <w:r>
        <w:rPr>
          <w:rStyle w:val="CharSectno"/>
        </w:rPr>
        <w:t>202</w:t>
      </w:r>
      <w:r>
        <w:t>.</w:t>
      </w:r>
      <w:r>
        <w:tab/>
        <w:t>Beekeepers to identify hives</w:t>
      </w:r>
      <w:bookmarkEnd w:id="523"/>
      <w:bookmarkEnd w:id="524"/>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525" w:name="_Toc375042271"/>
      <w:bookmarkStart w:id="526" w:name="_Toc415054388"/>
      <w:r>
        <w:rPr>
          <w:rStyle w:val="CharSectno"/>
        </w:rPr>
        <w:t>203</w:t>
      </w:r>
      <w:r>
        <w:t>.</w:t>
      </w:r>
      <w:r>
        <w:tab/>
        <w:t>Identifying hives</w:t>
      </w:r>
      <w:bookmarkEnd w:id="525"/>
      <w:bookmarkEnd w:id="526"/>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527" w:name="_Toc375042272"/>
      <w:bookmarkStart w:id="528" w:name="_Toc415054389"/>
      <w:r>
        <w:rPr>
          <w:rStyle w:val="CharSectno"/>
        </w:rPr>
        <w:t>204</w:t>
      </w:r>
      <w:r>
        <w:t>.</w:t>
      </w:r>
      <w:r>
        <w:tab/>
        <w:t>Exclusive use of registered identifiers</w:t>
      </w:r>
      <w:bookmarkEnd w:id="527"/>
      <w:bookmarkEnd w:id="528"/>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529" w:name="_Toc375042273"/>
      <w:bookmarkStart w:id="530" w:name="_Toc415054390"/>
      <w:r>
        <w:rPr>
          <w:rStyle w:val="CharSectno"/>
        </w:rPr>
        <w:t>205</w:t>
      </w:r>
      <w:r>
        <w:t>.</w:t>
      </w:r>
      <w:r>
        <w:tab/>
        <w:t>Successive owners of hives</w:t>
      </w:r>
      <w:bookmarkEnd w:id="529"/>
      <w:bookmarkEnd w:id="530"/>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531" w:name="_Toc375042274"/>
      <w:bookmarkStart w:id="532" w:name="_Toc415054391"/>
      <w:r>
        <w:rPr>
          <w:rStyle w:val="CharSectno"/>
        </w:rPr>
        <w:t>206</w:t>
      </w:r>
      <w:r>
        <w:t>.</w:t>
      </w:r>
      <w:r>
        <w:tab/>
        <w:t>Altered or defaced identifiers</w:t>
      </w:r>
      <w:bookmarkEnd w:id="531"/>
      <w:bookmarkEnd w:id="532"/>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533" w:name="_Toc375042275"/>
      <w:bookmarkStart w:id="534" w:name="_Toc415054392"/>
      <w:r>
        <w:rPr>
          <w:rStyle w:val="CharSectno"/>
        </w:rPr>
        <w:t>207</w:t>
      </w:r>
      <w:r>
        <w:t>.</w:t>
      </w:r>
      <w:r>
        <w:tab/>
        <w:t>Possession of unidentified hives</w:t>
      </w:r>
      <w:bookmarkEnd w:id="533"/>
      <w:bookmarkEnd w:id="534"/>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535" w:name="_Toc375042276"/>
      <w:bookmarkStart w:id="536" w:name="_Toc415054393"/>
      <w:r>
        <w:rPr>
          <w:rStyle w:val="CharSectno"/>
        </w:rPr>
        <w:t>208</w:t>
      </w:r>
      <w:r>
        <w:t>.</w:t>
      </w:r>
      <w:r>
        <w:tab/>
        <w:t>Notices for apiaries</w:t>
      </w:r>
      <w:bookmarkEnd w:id="535"/>
      <w:bookmarkEnd w:id="536"/>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537" w:name="_Toc375042277"/>
      <w:bookmarkStart w:id="538" w:name="_Toc415054394"/>
      <w:r>
        <w:rPr>
          <w:rStyle w:val="CharSectno"/>
        </w:rPr>
        <w:t>209</w:t>
      </w:r>
      <w:r>
        <w:t>.</w:t>
      </w:r>
      <w:r>
        <w:tab/>
        <w:t>Establishment and movement of apiaries</w:t>
      </w:r>
      <w:bookmarkEnd w:id="537"/>
      <w:bookmarkEnd w:id="538"/>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539" w:name="_Toc375042278"/>
      <w:bookmarkStart w:id="540" w:name="_Toc415054395"/>
      <w:r>
        <w:rPr>
          <w:rStyle w:val="CharSectno"/>
        </w:rPr>
        <w:t>210</w:t>
      </w:r>
      <w:r>
        <w:t>.</w:t>
      </w:r>
      <w:r>
        <w:tab/>
        <w:t>Lease, supply or disposal of apiaries</w:t>
      </w:r>
      <w:bookmarkEnd w:id="539"/>
      <w:bookmarkEnd w:id="540"/>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541" w:name="_Toc375042279"/>
      <w:bookmarkStart w:id="542" w:name="_Toc415054396"/>
      <w:r>
        <w:rPr>
          <w:rStyle w:val="CharPartNo"/>
        </w:rPr>
        <w:t>Part 10</w:t>
      </w:r>
      <w:r>
        <w:rPr>
          <w:rStyle w:val="CharDivNo"/>
        </w:rPr>
        <w:t> </w:t>
      </w:r>
      <w:r>
        <w:t>—</w:t>
      </w:r>
      <w:r>
        <w:rPr>
          <w:rStyle w:val="CharDivText"/>
        </w:rPr>
        <w:t> </w:t>
      </w:r>
      <w:r>
        <w:rPr>
          <w:rStyle w:val="CharPartText"/>
        </w:rPr>
        <w:t>Miscellaneous</w:t>
      </w:r>
      <w:bookmarkEnd w:id="541"/>
      <w:bookmarkEnd w:id="542"/>
    </w:p>
    <w:p>
      <w:pPr>
        <w:pStyle w:val="Heading5"/>
      </w:pPr>
      <w:bookmarkStart w:id="543" w:name="_Toc375042280"/>
      <w:bookmarkStart w:id="544" w:name="_Toc415054397"/>
      <w:r>
        <w:rPr>
          <w:rStyle w:val="CharSectno"/>
        </w:rPr>
        <w:t>211</w:t>
      </w:r>
      <w:r>
        <w:t>.</w:t>
      </w:r>
      <w:r>
        <w:tab/>
        <w:t>False or misleading information</w:t>
      </w:r>
      <w:bookmarkEnd w:id="543"/>
      <w:bookmarkEnd w:id="544"/>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5" w:name="_Toc375042281"/>
      <w:bookmarkStart w:id="546" w:name="_Toc415054398"/>
      <w:r>
        <w:rPr>
          <w:rStyle w:val="CharSectno"/>
        </w:rPr>
        <w:t>212</w:t>
      </w:r>
      <w:r>
        <w:t>.</w:t>
      </w:r>
      <w:r>
        <w:tab/>
        <w:t>Directions may be given orally or in writing</w:t>
      </w:r>
      <w:bookmarkEnd w:id="545"/>
      <w:bookmarkEnd w:id="546"/>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547" w:name="_Toc375042282"/>
      <w:bookmarkStart w:id="548" w:name="_Toc415054399"/>
      <w:r>
        <w:rPr>
          <w:rStyle w:val="CharPartNo"/>
        </w:rPr>
        <w:t>Part 11</w:t>
      </w:r>
      <w:r>
        <w:t> — </w:t>
      </w:r>
      <w:r>
        <w:rPr>
          <w:rStyle w:val="CharPartText"/>
        </w:rPr>
        <w:t>Repeal of regulations and transitional provisions</w:t>
      </w:r>
      <w:bookmarkEnd w:id="547"/>
      <w:bookmarkEnd w:id="548"/>
    </w:p>
    <w:p>
      <w:pPr>
        <w:pStyle w:val="Heading3"/>
      </w:pPr>
      <w:bookmarkStart w:id="549" w:name="_Toc375042283"/>
      <w:bookmarkStart w:id="550" w:name="_Toc415054400"/>
      <w:r>
        <w:rPr>
          <w:rStyle w:val="CharDivNo"/>
        </w:rPr>
        <w:t>Division 1</w:t>
      </w:r>
      <w:r>
        <w:t> — </w:t>
      </w:r>
      <w:r>
        <w:rPr>
          <w:rStyle w:val="CharDivText"/>
        </w:rPr>
        <w:t>Repeals</w:t>
      </w:r>
      <w:bookmarkEnd w:id="549"/>
      <w:bookmarkEnd w:id="550"/>
    </w:p>
    <w:p>
      <w:pPr>
        <w:pStyle w:val="Heading5"/>
      </w:pPr>
      <w:bookmarkStart w:id="551" w:name="_Toc375042284"/>
      <w:bookmarkStart w:id="552" w:name="_Toc415054401"/>
      <w:r>
        <w:rPr>
          <w:rStyle w:val="CharSectno"/>
        </w:rPr>
        <w:t>213</w:t>
      </w:r>
      <w:r>
        <w:t>.</w:t>
      </w:r>
      <w:r>
        <w:tab/>
        <w:t>Repeals</w:t>
      </w:r>
      <w:bookmarkEnd w:id="551"/>
      <w:bookmarkEnd w:id="552"/>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553" w:name="_Toc375042285"/>
      <w:bookmarkStart w:id="554" w:name="_Toc415054402"/>
      <w:r>
        <w:rPr>
          <w:rStyle w:val="CharDivNo"/>
        </w:rPr>
        <w:t>Division 2</w:t>
      </w:r>
      <w:r>
        <w:t> — </w:t>
      </w:r>
      <w:r>
        <w:rPr>
          <w:rStyle w:val="CharDivText"/>
          <w:i/>
        </w:rPr>
        <w:t>Enzootic Diseases Regulations 1970</w:t>
      </w:r>
      <w:r>
        <w:rPr>
          <w:rStyle w:val="CharDivText"/>
        </w:rPr>
        <w:t>: transitional provisions</w:t>
      </w:r>
      <w:bookmarkEnd w:id="553"/>
      <w:bookmarkEnd w:id="554"/>
    </w:p>
    <w:p>
      <w:pPr>
        <w:pStyle w:val="Heading5"/>
      </w:pPr>
      <w:bookmarkStart w:id="555" w:name="_Toc375042286"/>
      <w:bookmarkStart w:id="556" w:name="_Toc415054403"/>
      <w:r>
        <w:rPr>
          <w:rStyle w:val="CharSectno"/>
        </w:rPr>
        <w:t>214</w:t>
      </w:r>
      <w:r>
        <w:t>.</w:t>
      </w:r>
      <w:r>
        <w:tab/>
        <w:t>Terms used</w:t>
      </w:r>
      <w:bookmarkEnd w:id="555"/>
      <w:bookmarkEnd w:id="556"/>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557" w:name="_Toc375042287"/>
      <w:bookmarkStart w:id="558" w:name="_Toc415054404"/>
      <w:r>
        <w:rPr>
          <w:rStyle w:val="CharSectno"/>
        </w:rPr>
        <w:t>215</w:t>
      </w:r>
      <w:r>
        <w:t>.</w:t>
      </w:r>
      <w:r>
        <w:tab/>
        <w:t>Identification codes</w:t>
      </w:r>
      <w:bookmarkEnd w:id="557"/>
      <w:bookmarkEnd w:id="558"/>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559" w:name="_Toc375042288"/>
      <w:bookmarkStart w:id="560" w:name="_Toc415054405"/>
      <w:r>
        <w:rPr>
          <w:rStyle w:val="CharSectno"/>
        </w:rPr>
        <w:t>216</w:t>
      </w:r>
      <w:r>
        <w:t>.</w:t>
      </w:r>
      <w:r>
        <w:tab/>
        <w:t xml:space="preserve">Notices given under </w:t>
      </w:r>
      <w:r>
        <w:rPr>
          <w:i/>
        </w:rPr>
        <w:t xml:space="preserve">Enzootic Diseases Regulations 1970 </w:t>
      </w:r>
      <w:r>
        <w:t>regulation 11(1)(a)</w:t>
      </w:r>
      <w:bookmarkEnd w:id="559"/>
      <w:bookmarkEnd w:id="560"/>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561" w:name="_Toc375042289"/>
      <w:bookmarkStart w:id="562" w:name="_Toc415054406"/>
      <w:r>
        <w:rPr>
          <w:rStyle w:val="CharSectno"/>
        </w:rPr>
        <w:t>217</w:t>
      </w:r>
      <w:r>
        <w:t>.</w:t>
      </w:r>
      <w:r>
        <w:tab/>
        <w:t xml:space="preserve">Notices given under </w:t>
      </w:r>
      <w:r>
        <w:rPr>
          <w:i/>
        </w:rPr>
        <w:t xml:space="preserve">Enzootic Diseases Regulations 1970 </w:t>
      </w:r>
      <w:r>
        <w:t>regulation 11(1)(b)</w:t>
      </w:r>
      <w:bookmarkEnd w:id="561"/>
      <w:bookmarkEnd w:id="562"/>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563" w:name="_Toc375042290"/>
      <w:bookmarkStart w:id="564" w:name="_Toc415054407"/>
      <w:r>
        <w:rPr>
          <w:rStyle w:val="CharPartNo"/>
        </w:rPr>
        <w:t>Part 12</w:t>
      </w:r>
      <w:r>
        <w:t> — </w:t>
      </w:r>
      <w:r>
        <w:rPr>
          <w:rStyle w:val="CharPartText"/>
        </w:rPr>
        <w:t>Repealed Acts: transitional provisions</w:t>
      </w:r>
      <w:bookmarkEnd w:id="563"/>
      <w:bookmarkEnd w:id="564"/>
    </w:p>
    <w:p>
      <w:pPr>
        <w:pStyle w:val="Heading3"/>
      </w:pPr>
      <w:bookmarkStart w:id="565" w:name="_Toc375042291"/>
      <w:bookmarkStart w:id="566" w:name="_Toc415054408"/>
      <w:r>
        <w:rPr>
          <w:rStyle w:val="CharDivNo"/>
        </w:rPr>
        <w:t>Division 1</w:t>
      </w:r>
      <w:r>
        <w:t> — </w:t>
      </w:r>
      <w:r>
        <w:rPr>
          <w:rStyle w:val="CharDivText"/>
          <w:i/>
        </w:rPr>
        <w:t>Beekeepers Act 1963</w:t>
      </w:r>
      <w:bookmarkEnd w:id="565"/>
      <w:bookmarkEnd w:id="566"/>
    </w:p>
    <w:p>
      <w:pPr>
        <w:pStyle w:val="Heading5"/>
      </w:pPr>
      <w:bookmarkStart w:id="567" w:name="_Toc375042292"/>
      <w:bookmarkStart w:id="568" w:name="_Toc415054409"/>
      <w:r>
        <w:rPr>
          <w:rStyle w:val="CharSectno"/>
        </w:rPr>
        <w:t>218</w:t>
      </w:r>
      <w:r>
        <w:t>.</w:t>
      </w:r>
      <w:r>
        <w:tab/>
        <w:t>Terms used</w:t>
      </w:r>
      <w:bookmarkEnd w:id="567"/>
      <w:bookmarkEnd w:id="5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569" w:name="_Toc375042293"/>
      <w:bookmarkStart w:id="570" w:name="_Toc415054410"/>
      <w:r>
        <w:rPr>
          <w:rStyle w:val="CharSectno"/>
        </w:rPr>
        <w:t>219</w:t>
      </w:r>
      <w:r>
        <w:t>.</w:t>
      </w:r>
      <w:r>
        <w:tab/>
        <w:t>Beekeepers</w:t>
      </w:r>
      <w:bookmarkEnd w:id="569"/>
      <w:bookmarkEnd w:id="570"/>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571" w:name="_Toc375042294"/>
      <w:bookmarkStart w:id="572" w:name="_Toc415054411"/>
      <w:r>
        <w:rPr>
          <w:rStyle w:val="CharSectno"/>
        </w:rPr>
        <w:t>220</w:t>
      </w:r>
      <w:r>
        <w:t>.</w:t>
      </w:r>
      <w:r>
        <w:tab/>
        <w:t>Brands</w:t>
      </w:r>
      <w:bookmarkEnd w:id="571"/>
      <w:bookmarkEnd w:id="572"/>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573" w:name="_Toc375042295"/>
      <w:bookmarkStart w:id="574" w:name="_Toc415054412"/>
      <w:r>
        <w:rPr>
          <w:rStyle w:val="CharDivNo"/>
        </w:rPr>
        <w:t>Division 2</w:t>
      </w:r>
      <w:r>
        <w:t> — </w:t>
      </w:r>
      <w:r>
        <w:rPr>
          <w:rStyle w:val="CharDivText"/>
          <w:i/>
        </w:rPr>
        <w:t>Stock (Identification and Movement) Act 1970</w:t>
      </w:r>
      <w:bookmarkEnd w:id="573"/>
      <w:bookmarkEnd w:id="574"/>
    </w:p>
    <w:p>
      <w:pPr>
        <w:pStyle w:val="Heading5"/>
      </w:pPr>
      <w:bookmarkStart w:id="575" w:name="_Toc375042296"/>
      <w:bookmarkStart w:id="576" w:name="_Toc415054413"/>
      <w:r>
        <w:rPr>
          <w:rStyle w:val="CharSectno"/>
        </w:rPr>
        <w:t>221</w:t>
      </w:r>
      <w:r>
        <w:t>.</w:t>
      </w:r>
      <w:r>
        <w:tab/>
        <w:t>Terms used</w:t>
      </w:r>
      <w:bookmarkEnd w:id="575"/>
      <w:bookmarkEnd w:id="57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577" w:name="_Toc375042297"/>
      <w:bookmarkStart w:id="578" w:name="_Toc415054414"/>
      <w:r>
        <w:rPr>
          <w:rStyle w:val="CharSectno"/>
        </w:rPr>
        <w:t>222</w:t>
      </w:r>
      <w:r>
        <w:t>.</w:t>
      </w:r>
      <w:r>
        <w:tab/>
        <w:t>Owners of brands</w:t>
      </w:r>
      <w:bookmarkEnd w:id="577"/>
      <w:bookmarkEnd w:id="578"/>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79" w:name="_Toc375042298"/>
      <w:bookmarkStart w:id="580" w:name="_Toc415054415"/>
      <w:r>
        <w:t>Notes</w:t>
      </w:r>
      <w:bookmarkEnd w:id="579"/>
      <w:bookmarkEnd w:id="580"/>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(Identification and Movement of Stock and Apiaries) Regulations 2013.</w:t>
      </w:r>
      <w:r>
        <w:t xml:space="preserve">  </w:t>
      </w:r>
      <w:r>
        <w:rPr>
          <w:snapToGrid w:val="0"/>
        </w:rPr>
        <w:t>The following table contains information about those regulations.</w:t>
      </w:r>
    </w:p>
    <w:p>
      <w:pPr>
        <w:pStyle w:val="nHeading3"/>
      </w:pPr>
      <w:bookmarkStart w:id="581" w:name="_Toc375042299"/>
      <w:bookmarkStart w:id="582" w:name="_Toc415054416"/>
      <w:r>
        <w:t>Compilation table</w:t>
      </w:r>
      <w:bookmarkEnd w:id="581"/>
      <w:bookmarkEnd w:id="5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Biosecurity and Agriculture Management (Identification and Movement of Stock and Apiaries) Regulations 2013</w:t>
            </w:r>
            <w:r>
              <w:t xml:space="preserve"> </w:t>
            </w:r>
          </w:p>
        </w:tc>
        <w:tc>
          <w:tcPr>
            <w:tcW w:w="1276" w:type="dxa"/>
          </w:tcPr>
          <w:p>
            <w:pPr>
              <w:pStyle w:val="nTable"/>
              <w:spacing w:after="40"/>
            </w:pPr>
            <w:r>
              <w:t>5 Feb 2013 p. 593-761</w:t>
            </w:r>
          </w:p>
        </w:tc>
        <w:tc>
          <w:tcPr>
            <w:tcW w:w="2693" w:type="dxa"/>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3</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Ltd</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w:t>
      </w:r>
      <w:r>
        <w:noBreakHyphen/>
        <w:t>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w:t>
      </w:r>
      <w:r>
        <w:noBreakHyphen/>
        <w:t>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t>
      </w:r>
      <w:r>
        <w:noBreakHyphen/>
        <w:t>west of the State</w:t>
      </w:r>
      <w:r>
        <w:tab/>
        <w:t>3</w:t>
      </w:r>
    </w:p>
    <w:p>
      <w:pPr>
        <w:pStyle w:val="DefinedTerms"/>
      </w:pPr>
      <w:r>
        <w:t>specified</w:t>
      </w:r>
      <w:r>
        <w:tab/>
        <w:t>38(1), 69(1), 70(1), 196(1)</w:t>
      </w:r>
    </w:p>
    <w:p>
      <w:pPr>
        <w:pStyle w:val="DefinedTerms"/>
      </w:pPr>
      <w:r>
        <w:t>stock</w:t>
      </w:r>
      <w:r>
        <w:tab/>
        <w:t>28(1)</w:t>
      </w:r>
    </w:p>
    <w:p>
      <w:pPr>
        <w:pStyle w:val="DefinedTerms"/>
      </w:pPr>
      <w:r>
        <w:t>stud prefix</w:t>
      </w:r>
      <w:r>
        <w:tab/>
        <w:t>179(1)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3" w:name="Compilation"/>
    <w:bookmarkEnd w:id="5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4" w:name="DefinedTerms"/>
    <w:bookmarkEnd w:id="5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5" w:name="Coversheet"/>
    <w:bookmarkEnd w:id="5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44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394ED-4298-42CC-926D-795ED7A8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170</Pages>
  <Words>39666</Words>
  <Characters>187621</Characters>
  <Application>Microsoft Office Word</Application>
  <DocSecurity>0</DocSecurity>
  <Lines>5211</Lines>
  <Paragraphs>3294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2013 - 00-b0-06</dc:title>
  <dc:subject/>
  <dc:creator/>
  <cp:keywords/>
  <dc:description/>
  <cp:lastModifiedBy>svcMRProcess</cp:lastModifiedBy>
  <cp:revision>4</cp:revision>
  <cp:lastPrinted>2013-01-07T01:31:00Z</cp:lastPrinted>
  <dcterms:created xsi:type="dcterms:W3CDTF">2019-01-15T06:23:00Z</dcterms:created>
  <dcterms:modified xsi:type="dcterms:W3CDTF">2019-01-15T06:23:00Z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CommencementDate">
    <vt:lpwstr>20130501</vt:lpwstr>
  </property>
  <property fmtid="{D5CDD505-2E9C-101B-9397-08002B2CF9AE}" pid="4" name="DocumentType">
    <vt:lpwstr>Reg</vt:lpwstr>
  </property>
  <property fmtid="{D5CDD505-2E9C-101B-9397-08002B2CF9AE}" pid="5" name="AsAtDate">
    <vt:lpwstr>01 May 2013</vt:lpwstr>
  </property>
  <property fmtid="{D5CDD505-2E9C-101B-9397-08002B2CF9AE}" pid="6" name="Suffix">
    <vt:lpwstr>00-b0-06</vt:lpwstr>
  </property>
</Properties>
</file>