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pPr>
      <w:r>
        <w:rPr>
          <w:snapToGrid w:val="0"/>
        </w:rPr>
        <w:t>Classification (Publications, Films and Computer Games) Enforcement Act 1996</w:t>
      </w:r>
    </w:p>
    <w:p>
      <w:pPr>
        <w:pStyle w:val="NameofActRegPage1"/>
        <w:spacing w:before="10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Classification (Publications, Films and Computer Games) Enforcement Regulations 1996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19 April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904608"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April 2013</w:t>
            </w:r>
            <w:r>
              <w:rPr>
                <w:b/>
                <w:sz w:val="22"/>
              </w:rPr>
              <w:fldChar w:fldCharType="end"/>
            </w:r>
          </w:p>
        </w:tc>
      </w:tr>
    </w:tbl>
    <w:p>
      <w:pPr>
        <w:pStyle w:val="WA"/>
        <w:spacing w:before="120"/>
      </w:pPr>
      <w:r>
        <w:t>Western Australia</w:t>
      </w:r>
    </w:p>
    <w:p>
      <w:pPr>
        <w:pStyle w:val="NameofActRegPage1"/>
        <w:ind w:left="406" w:right="489"/>
      </w:pPr>
      <w:r>
        <w:fldChar w:fldCharType="begin"/>
      </w:r>
      <w:r>
        <w:instrText xml:space="preserve"> STYLEREF "Name Of Act/Reg"</w:instrText>
      </w:r>
      <w:r>
        <w:fldChar w:fldCharType="separate"/>
      </w:r>
      <w:r>
        <w:rPr>
          <w:noProof/>
        </w:rPr>
        <w:t>Classification (Publications, Films and Computer Games) Enforcement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_Toc382312956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_Toc382312957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offences and modified penalties</w:t>
      </w:r>
      <w:r>
        <w:tab/>
      </w:r>
      <w:r>
        <w:fldChar w:fldCharType="begin"/>
      </w:r>
      <w:r>
        <w:instrText xml:space="preserve"> PAGEREF _Toc382312958 \h </w:instrText>
      </w:r>
      <w:r>
        <w:fldChar w:fldCharType="separate"/>
      </w:r>
      <w:r>
        <w:t>1</w:t>
      </w:r>
      <w:r>
        <w:fldChar w:fldCharType="end"/>
      </w:r>
    </w:p>
    <w:p>
      <w:pPr>
        <w:pStyle w:val="TOC8"/>
        <w:rPr>
          <w:rFonts w:asciiTheme="minorHAnsi" w:eastAsiaTheme="minorEastAsia" w:hAnsiTheme="minorHAnsi" w:cstheme="minorBidi"/>
          <w:szCs w:val="22"/>
        </w:rPr>
      </w:pPr>
      <w:r>
        <w:t>4.</w:t>
      </w:r>
      <w:r>
        <w:tab/>
        <w:t>Form of an infringement notice</w:t>
      </w:r>
      <w:r>
        <w:tab/>
      </w:r>
      <w:r>
        <w:fldChar w:fldCharType="begin"/>
      </w:r>
      <w:r>
        <w:instrText xml:space="preserve"> PAGEREF _Toc382312959 \h </w:instrText>
      </w:r>
      <w:r>
        <w:fldChar w:fldCharType="separate"/>
      </w:r>
      <w:r>
        <w:t>2</w:t>
      </w:r>
      <w:r>
        <w:fldChar w:fldCharType="end"/>
      </w:r>
    </w:p>
    <w:p>
      <w:pPr>
        <w:pStyle w:val="TOC8"/>
        <w:rPr>
          <w:rFonts w:asciiTheme="minorHAnsi" w:eastAsiaTheme="minorEastAsia" w:hAnsiTheme="minorHAnsi" w:cstheme="minorBidi"/>
          <w:szCs w:val="22"/>
        </w:rPr>
      </w:pPr>
      <w:r>
        <w:t>5.</w:t>
      </w:r>
      <w:r>
        <w:tab/>
        <w:t>Form of notice of withdrawal of an infringement notice</w:t>
      </w:r>
      <w:r>
        <w:tab/>
      </w:r>
      <w:r>
        <w:fldChar w:fldCharType="begin"/>
      </w:r>
      <w:r>
        <w:instrText xml:space="preserve"> PAGEREF _Toc382312960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 for registration, or renewal of registration, of premises</w:t>
      </w:r>
      <w:r>
        <w:tab/>
      </w:r>
      <w:r>
        <w:fldChar w:fldCharType="begin"/>
      </w:r>
      <w:r>
        <w:instrText xml:space="preserve"> PAGEREF _Toc382312961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 for inspecting or copying register</w:t>
      </w:r>
      <w:r>
        <w:tab/>
      </w:r>
      <w:r>
        <w:fldChar w:fldCharType="begin"/>
      </w:r>
      <w:r>
        <w:instrText xml:space="preserve"> PAGEREF _Toc382312962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_Toc382312966 \h </w:instrText>
      </w:r>
      <w:r>
        <w:fldChar w:fldCharType="separate"/>
      </w:r>
      <w:r>
        <w:t>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April 2013</w:t>
            </w:r>
            <w:r>
              <w:rPr>
                <w:b/>
                <w:sz w:val="22"/>
              </w:rPr>
              <w:fldChar w:fldCharType="end"/>
            </w:r>
          </w:p>
        </w:tc>
      </w:tr>
    </w:tbl>
    <w:p>
      <w:pPr>
        <w:pStyle w:val="WA"/>
        <w:spacing w:before="120"/>
      </w:pPr>
      <w:r>
        <w:t>Western Australia</w:t>
      </w:r>
    </w:p>
    <w:p>
      <w:pPr>
        <w:pStyle w:val="PrincipalActReg"/>
        <w:rPr>
          <w:snapToGrid w:val="0"/>
        </w:rPr>
      </w:pPr>
      <w:r>
        <w:rPr>
          <w:snapToGrid w:val="0"/>
        </w:rPr>
        <w:t>Classification (Publications, Films and Computer Games) Enforcement Act 1996</w:t>
      </w:r>
    </w:p>
    <w:p>
      <w:pPr>
        <w:pStyle w:val="NameofActReg"/>
      </w:pPr>
      <w:r>
        <w:t>Classification (Publications, Films and Computer Games) Enforcement Regulations 1996</w:t>
      </w:r>
    </w:p>
    <w:p>
      <w:pPr>
        <w:pStyle w:val="Heading5"/>
        <w:rPr>
          <w:snapToGrid w:val="0"/>
        </w:rPr>
      </w:pPr>
      <w:bookmarkStart w:id="1" w:name="_Toc382312956"/>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rPr>
        <w:t>Classification (Publications, Films and Computer Games) Enforcement Regulations 1996</w:t>
      </w:r>
      <w:r>
        <w:rPr>
          <w:snapToGrid w:val="0"/>
          <w:vertAlign w:val="superscript"/>
        </w:rPr>
        <w:t> 1</w:t>
      </w:r>
      <w:r>
        <w:rPr>
          <w:snapToGrid w:val="0"/>
        </w:rPr>
        <w:t>.</w:t>
      </w:r>
    </w:p>
    <w:p>
      <w:pPr>
        <w:pStyle w:val="Footnotesection"/>
      </w:pPr>
      <w:r>
        <w:tab/>
        <w:t>[Regulation 1 amended in Gazette 14 Dec 2012 p. 6202.]</w:t>
      </w:r>
    </w:p>
    <w:p>
      <w:pPr>
        <w:pStyle w:val="Heading5"/>
        <w:rPr>
          <w:snapToGrid w:val="0"/>
        </w:rPr>
      </w:pPr>
      <w:bookmarkStart w:id="2" w:name="_Toc382312957"/>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come into operation on the day on which the </w:t>
      </w:r>
      <w:r>
        <w:rPr>
          <w:i/>
          <w:snapToGrid w:val="0"/>
        </w:rPr>
        <w:t>Censorship Act 1996</w:t>
      </w:r>
      <w:r>
        <w:rPr>
          <w:snapToGrid w:val="0"/>
          <w:vertAlign w:val="superscript"/>
        </w:rPr>
        <w:t> 2</w:t>
      </w:r>
      <w:r>
        <w:rPr>
          <w:snapToGrid w:val="0"/>
        </w:rPr>
        <w:t xml:space="preserve"> comes into operation</w:t>
      </w:r>
      <w:r>
        <w:rPr>
          <w:snapToGrid w:val="0"/>
          <w:vertAlign w:val="superscript"/>
        </w:rPr>
        <w:t> 1</w:t>
      </w:r>
      <w:r>
        <w:rPr>
          <w:snapToGrid w:val="0"/>
        </w:rPr>
        <w:t>.</w:t>
      </w:r>
    </w:p>
    <w:p>
      <w:pPr>
        <w:pStyle w:val="Heading5"/>
      </w:pPr>
      <w:bookmarkStart w:id="3" w:name="_Toc382312958"/>
      <w:r>
        <w:rPr>
          <w:rStyle w:val="CharSectno"/>
        </w:rPr>
        <w:t>3</w:t>
      </w:r>
      <w:r>
        <w:t>.</w:t>
      </w:r>
      <w:r>
        <w:tab/>
        <w:t>Prescribed offences and modified penalties</w:t>
      </w:r>
      <w:bookmarkEnd w:id="3"/>
    </w:p>
    <w:p>
      <w:pPr>
        <w:pStyle w:val="Subsection"/>
      </w:pPr>
      <w:r>
        <w:tab/>
        <w:t>(1)</w:t>
      </w:r>
      <w:r>
        <w:tab/>
        <w:t>The offences set out in Schedule 1 column 1 are prescribed for the purposes of section 117D of the Act.</w:t>
      </w:r>
    </w:p>
    <w:p>
      <w:pPr>
        <w:pStyle w:val="Subsection"/>
      </w:pPr>
      <w:r>
        <w:tab/>
        <w:t>(2)</w:t>
      </w:r>
      <w:r>
        <w:tab/>
        <w:t>For the purposes of section 117E(2) of the Act, the modified penalty set out in Schedule 1 column 2 opposite an offence referred to in Schedule 1 column 1 is the prescribed modified penalty for an individual for that offence.</w:t>
      </w:r>
    </w:p>
    <w:p>
      <w:pPr>
        <w:pStyle w:val="Subsection"/>
      </w:pPr>
      <w:r>
        <w:tab/>
        <w:t>(3)</w:t>
      </w:r>
      <w:r>
        <w:tab/>
        <w:t>For the purposes of section 117E(2) of the Act, the modified penalty set out in Schedule 1 column 3 opposite an offence referred to in Schedule 1 column 1 is the prescribed modified penalty for a body corporate for that offence.</w:t>
      </w:r>
    </w:p>
    <w:p>
      <w:pPr>
        <w:pStyle w:val="Footnotesection"/>
      </w:pPr>
      <w:r>
        <w:tab/>
        <w:t>[Regulation 3 inserted in Gazette 4 Jun 2004 p. 1929</w:t>
      </w:r>
      <w:r>
        <w:noBreakHyphen/>
        <w:t>30.]</w:t>
      </w:r>
    </w:p>
    <w:p>
      <w:pPr>
        <w:pStyle w:val="Heading5"/>
      </w:pPr>
      <w:bookmarkStart w:id="4" w:name="_Toc382312959"/>
      <w:r>
        <w:rPr>
          <w:rStyle w:val="CharSectno"/>
        </w:rPr>
        <w:t>4</w:t>
      </w:r>
      <w:r>
        <w:t>.</w:t>
      </w:r>
      <w:r>
        <w:tab/>
        <w:t>Form of an infringement notice</w:t>
      </w:r>
      <w:bookmarkEnd w:id="4"/>
    </w:p>
    <w:p>
      <w:pPr>
        <w:pStyle w:val="Subsection"/>
      </w:pPr>
      <w:r>
        <w:tab/>
      </w:r>
      <w:r>
        <w:tab/>
        <w:t>Schedule 2 Form 1 is prescribed for the purposes of section 117E(1) of the Act.</w:t>
      </w:r>
    </w:p>
    <w:p>
      <w:pPr>
        <w:pStyle w:val="Footnotesection"/>
      </w:pPr>
      <w:r>
        <w:tab/>
        <w:t>[Regulation 4 inserted in Gazette 4 Jun 2004 p. 1930.]</w:t>
      </w:r>
    </w:p>
    <w:p>
      <w:pPr>
        <w:pStyle w:val="Heading5"/>
      </w:pPr>
      <w:bookmarkStart w:id="5" w:name="_Toc382312960"/>
      <w:r>
        <w:rPr>
          <w:rStyle w:val="CharSectno"/>
        </w:rPr>
        <w:t>5</w:t>
      </w:r>
      <w:r>
        <w:t>.</w:t>
      </w:r>
      <w:r>
        <w:tab/>
        <w:t>Form of notice of withdrawal of an infringement notice</w:t>
      </w:r>
      <w:bookmarkEnd w:id="5"/>
    </w:p>
    <w:p>
      <w:pPr>
        <w:pStyle w:val="Subsection"/>
      </w:pPr>
      <w:r>
        <w:tab/>
      </w:r>
      <w:r>
        <w:tab/>
        <w:t>Schedule 2 Form 2 is prescribed for the purposes of section 117G(1) of the Act.</w:t>
      </w:r>
    </w:p>
    <w:p>
      <w:pPr>
        <w:pStyle w:val="Footnotesection"/>
      </w:pPr>
      <w:r>
        <w:tab/>
        <w:t>[Regulation 5 inserted in Gazette 4 Jun 2004 p. 1930.]</w:t>
      </w:r>
    </w:p>
    <w:p>
      <w:pPr>
        <w:pStyle w:val="Ednotesection"/>
        <w:rPr>
          <w:b/>
        </w:rPr>
      </w:pPr>
      <w:r>
        <w:t>[</w:t>
      </w:r>
      <w:r>
        <w:rPr>
          <w:b/>
        </w:rPr>
        <w:t>6</w:t>
      </w:r>
      <w:r>
        <w:rPr>
          <w:b/>
        </w:rPr>
        <w:noBreakHyphen/>
        <w:t>8.</w:t>
      </w:r>
      <w:r>
        <w:rPr>
          <w:b/>
        </w:rPr>
        <w:tab/>
      </w:r>
      <w:r>
        <w:t>Deleted in Gazette 27 Jun 2003 p. 2384-5.]</w:t>
      </w:r>
    </w:p>
    <w:p>
      <w:pPr>
        <w:pStyle w:val="Heading5"/>
        <w:rPr>
          <w:snapToGrid w:val="0"/>
        </w:rPr>
      </w:pPr>
      <w:bookmarkStart w:id="6" w:name="_Toc382312961"/>
      <w:r>
        <w:rPr>
          <w:rStyle w:val="CharSectno"/>
        </w:rPr>
        <w:t>9</w:t>
      </w:r>
      <w:r>
        <w:rPr>
          <w:snapToGrid w:val="0"/>
        </w:rPr>
        <w:t>.</w:t>
      </w:r>
      <w:r>
        <w:rPr>
          <w:snapToGrid w:val="0"/>
        </w:rPr>
        <w:tab/>
        <w:t>Fee for registration, or renewal of registration, of premises</w:t>
      </w:r>
      <w:bookmarkEnd w:id="6"/>
    </w:p>
    <w:p>
      <w:pPr>
        <w:pStyle w:val="Subsection"/>
        <w:rPr>
          <w:snapToGrid w:val="0"/>
        </w:rPr>
      </w:pPr>
      <w:r>
        <w:rPr>
          <w:snapToGrid w:val="0"/>
        </w:rPr>
        <w:tab/>
      </w:r>
      <w:r>
        <w:rPr>
          <w:snapToGrid w:val="0"/>
        </w:rPr>
        <w:tab/>
        <w:t>For the purposes of section 131(1)(d) of the Act a fee of $75 in respect of each premises proposed to be registered, or registered, in the name of the applicant is prescribed.</w:t>
      </w:r>
    </w:p>
    <w:p>
      <w:pPr>
        <w:pStyle w:val="Heading5"/>
        <w:rPr>
          <w:snapToGrid w:val="0"/>
        </w:rPr>
      </w:pPr>
      <w:bookmarkStart w:id="7" w:name="_Toc382312962"/>
      <w:r>
        <w:rPr>
          <w:rStyle w:val="CharSectno"/>
        </w:rPr>
        <w:t>10</w:t>
      </w:r>
      <w:r>
        <w:rPr>
          <w:snapToGrid w:val="0"/>
        </w:rPr>
        <w:t>.</w:t>
      </w:r>
      <w:r>
        <w:rPr>
          <w:snapToGrid w:val="0"/>
        </w:rPr>
        <w:tab/>
        <w:t>Fee for inspecting or copying register</w:t>
      </w:r>
      <w:bookmarkEnd w:id="7"/>
    </w:p>
    <w:p>
      <w:pPr>
        <w:pStyle w:val="Subsection"/>
        <w:rPr>
          <w:snapToGrid w:val="0"/>
        </w:rPr>
      </w:pPr>
      <w:r>
        <w:rPr>
          <w:snapToGrid w:val="0"/>
        </w:rPr>
        <w:tab/>
      </w:r>
      <w:r>
        <w:rPr>
          <w:snapToGrid w:val="0"/>
        </w:rPr>
        <w:tab/>
        <w:t>For the purposes of section 135(5) of the Act — </w:t>
      </w:r>
    </w:p>
    <w:p>
      <w:pPr>
        <w:pStyle w:val="Indenta"/>
        <w:rPr>
          <w:snapToGrid w:val="0"/>
        </w:rPr>
      </w:pPr>
      <w:r>
        <w:rPr>
          <w:snapToGrid w:val="0"/>
        </w:rPr>
        <w:tab/>
        <w:t>(a)</w:t>
      </w:r>
      <w:r>
        <w:rPr>
          <w:snapToGrid w:val="0"/>
        </w:rPr>
        <w:tab/>
        <w:t>a fee of $5 is prescribed for inspecting the register; and</w:t>
      </w:r>
    </w:p>
    <w:p>
      <w:pPr>
        <w:pStyle w:val="Indenta"/>
        <w:rPr>
          <w:snapToGrid w:val="0"/>
        </w:rPr>
      </w:pPr>
      <w:r>
        <w:rPr>
          <w:snapToGrid w:val="0"/>
        </w:rPr>
        <w:tab/>
        <w:t>(b)</w:t>
      </w:r>
      <w:r>
        <w:rPr>
          <w:snapToGrid w:val="0"/>
        </w:rPr>
        <w:tab/>
        <w:t>a fee of $1 per page is prescribed for copies of the register.</w:t>
      </w:r>
    </w:p>
    <w:p>
      <w:pPr>
        <w:pStyle w:val="Ednotesection"/>
      </w:pPr>
      <w:r>
        <w:t>[</w:t>
      </w:r>
      <w:r>
        <w:rPr>
          <w:b/>
        </w:rPr>
        <w:t>11, 12.</w:t>
      </w:r>
      <w:r>
        <w:tab/>
        <w:t>Deleted in Gazette 27 Jun 2003 p. 2385.]</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8" w:name="_Toc382312963"/>
      <w:r>
        <w:rPr>
          <w:rStyle w:val="CharSchNo"/>
        </w:rPr>
        <w:t>Schedule 1</w:t>
      </w:r>
      <w:r>
        <w:t> — </w:t>
      </w:r>
      <w:r>
        <w:rPr>
          <w:rStyle w:val="CharSchText"/>
        </w:rPr>
        <w:t>Prescribed offences and modified penalties</w:t>
      </w:r>
      <w:bookmarkEnd w:id="8"/>
    </w:p>
    <w:p>
      <w:pPr>
        <w:pStyle w:val="yShoulderClause"/>
      </w:pPr>
      <w:r>
        <w:t>[r. 3]</w:t>
      </w:r>
    </w:p>
    <w:p>
      <w:pPr>
        <w:pStyle w:val="yFootnoteheading"/>
      </w:pPr>
      <w:r>
        <w:tab/>
        <w:t>[Heading inserted in Gazette 4 Jun 2004 p. 1930.]</w:t>
      </w:r>
    </w:p>
    <w:tbl>
      <w:tblPr>
        <w:tblW w:w="0" w:type="auto"/>
        <w:tblInd w:w="392" w:type="dxa"/>
        <w:tblLayout w:type="fixed"/>
        <w:tblLook w:val="0000" w:firstRow="0" w:lastRow="0" w:firstColumn="0" w:lastColumn="0" w:noHBand="0" w:noVBand="0"/>
      </w:tblPr>
      <w:tblGrid>
        <w:gridCol w:w="2045"/>
        <w:gridCol w:w="2437"/>
        <w:gridCol w:w="2180"/>
      </w:tblGrid>
      <w:tr>
        <w:trPr>
          <w:tblHeader/>
        </w:trPr>
        <w:tc>
          <w:tcPr>
            <w:tcW w:w="2045" w:type="dxa"/>
          </w:tcPr>
          <w:p>
            <w:pPr>
              <w:pStyle w:val="yTable"/>
              <w:rPr>
                <w:b/>
              </w:rPr>
            </w:pPr>
            <w:r>
              <w:rPr>
                <w:b/>
              </w:rPr>
              <w:t>Offence</w:t>
            </w:r>
          </w:p>
        </w:tc>
        <w:tc>
          <w:tcPr>
            <w:tcW w:w="2437" w:type="dxa"/>
          </w:tcPr>
          <w:p>
            <w:pPr>
              <w:pStyle w:val="yTable"/>
              <w:rPr>
                <w:b/>
                <w:spacing w:val="-2"/>
              </w:rPr>
            </w:pPr>
            <w:r>
              <w:rPr>
                <w:b/>
                <w:spacing w:val="-2"/>
              </w:rPr>
              <w:t>Modified penalty (individual)</w:t>
            </w:r>
          </w:p>
        </w:tc>
        <w:tc>
          <w:tcPr>
            <w:tcW w:w="2180" w:type="dxa"/>
          </w:tcPr>
          <w:p>
            <w:pPr>
              <w:pStyle w:val="yTable"/>
              <w:rPr>
                <w:b/>
                <w:spacing w:val="-2"/>
              </w:rPr>
            </w:pPr>
            <w:r>
              <w:rPr>
                <w:b/>
                <w:spacing w:val="-2"/>
              </w:rPr>
              <w:t>Modified penalty</w:t>
            </w:r>
            <w:r>
              <w:rPr>
                <w:b/>
                <w:spacing w:val="-2"/>
              </w:rPr>
              <w:br/>
              <w:t>(body corporate)</w:t>
            </w:r>
          </w:p>
        </w:tc>
      </w:tr>
      <w:tr>
        <w:tc>
          <w:tcPr>
            <w:tcW w:w="2045" w:type="dxa"/>
          </w:tcPr>
          <w:p>
            <w:pPr>
              <w:pStyle w:val="yTable"/>
            </w:pPr>
            <w:r>
              <w:t>s. 64(1)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64(4)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65(1)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65(5)</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65(6)</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65A</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65C(1)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65C(2)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65D(5)</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67(1)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70(1)(b)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71(2)</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72(1)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75(1)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76(1)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76(2)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76(3)</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77(1)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79(1)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79(3)</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79(4)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83(1)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84(2)</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85(1)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85(2)(b)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85(3)(b)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86(1)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86(3)</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86(4)</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87(1)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88(1A)</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88(1)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90(1)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91(1)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92</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93(1)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95</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96(1)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97(2)</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97A(2)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98</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113</w:t>
            </w:r>
          </w:p>
        </w:tc>
        <w:tc>
          <w:tcPr>
            <w:tcW w:w="2437" w:type="dxa"/>
          </w:tcPr>
          <w:p>
            <w:pPr>
              <w:pStyle w:val="yTable"/>
              <w:tabs>
                <w:tab w:val="right" w:pos="454"/>
              </w:tabs>
            </w:pPr>
            <w:r>
              <w:tab/>
              <w:t>$100</w:t>
            </w:r>
          </w:p>
        </w:tc>
        <w:tc>
          <w:tcPr>
            <w:tcW w:w="2180" w:type="dxa"/>
          </w:tcPr>
          <w:p>
            <w:pPr>
              <w:pStyle w:val="yTable"/>
              <w:tabs>
                <w:tab w:val="right" w:pos="655"/>
              </w:tabs>
            </w:pPr>
            <w:r>
              <w:tab/>
              <w:t>N/A</w:t>
            </w:r>
          </w:p>
        </w:tc>
      </w:tr>
    </w:tbl>
    <w:p>
      <w:pPr>
        <w:pStyle w:val="yFootnotesection"/>
      </w:pPr>
      <w:r>
        <w:tab/>
        <w:t>[Schedule 1 inserted in Gazette 4 Jun 2004 p. 1930</w:t>
      </w:r>
      <w:r>
        <w:noBreakHyphen/>
        <w:t>1; amended in Gazette 14 Dec 2012 p. 6202.]</w:t>
      </w:r>
    </w:p>
    <w:p>
      <w:pPr>
        <w:pStyle w:val="yScheduleHeading"/>
      </w:pPr>
      <w:bookmarkStart w:id="9" w:name="_Toc382312964"/>
      <w:r>
        <w:rPr>
          <w:rStyle w:val="CharSchNo"/>
        </w:rPr>
        <w:t>Schedule 2</w:t>
      </w:r>
      <w:r>
        <w:t> — </w:t>
      </w:r>
      <w:r>
        <w:rPr>
          <w:rStyle w:val="CharSchText"/>
        </w:rPr>
        <w:t>Forms</w:t>
      </w:r>
      <w:bookmarkEnd w:id="9"/>
    </w:p>
    <w:p>
      <w:pPr>
        <w:pStyle w:val="yShoulderClause"/>
      </w:pPr>
      <w:r>
        <w:t>[r. 4 and 5]</w:t>
      </w:r>
    </w:p>
    <w:p>
      <w:pPr>
        <w:pStyle w:val="yFootnoteheading"/>
      </w:pPr>
      <w:r>
        <w:tab/>
        <w:t>[Heading inserted in Gazette 4 Jun 2004 p. 1931.]</w:t>
      </w:r>
    </w:p>
    <w:p>
      <w:pPr>
        <w:pStyle w:val="yMiscellaneousHeading"/>
        <w:spacing w:after="12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1843"/>
        <w:gridCol w:w="142"/>
        <w:gridCol w:w="1701"/>
      </w:tblGrid>
      <w:tr>
        <w:trPr>
          <w:cantSplit/>
          <w:trHeight w:val="282"/>
        </w:trPr>
        <w:tc>
          <w:tcPr>
            <w:tcW w:w="5103" w:type="dxa"/>
            <w:gridSpan w:val="4"/>
          </w:tcPr>
          <w:p>
            <w:pPr>
              <w:pStyle w:val="yTable"/>
              <w:rPr>
                <w:sz w:val="18"/>
              </w:rPr>
            </w:pPr>
            <w:r>
              <w:rPr>
                <w:i/>
                <w:sz w:val="18"/>
                <w:szCs w:val="18"/>
              </w:rPr>
              <w:t xml:space="preserve">Classification (Publications, Films and Computer Games) Enforcement Act 1996 </w:t>
            </w:r>
            <w:r>
              <w:rPr>
                <w:i/>
                <w:sz w:val="18"/>
              </w:rPr>
              <w:t>s. 117E(1)</w:t>
            </w:r>
          </w:p>
          <w:p>
            <w:pPr>
              <w:pStyle w:val="yTable"/>
              <w:spacing w:before="0"/>
              <w:rPr>
                <w:b/>
              </w:rPr>
            </w:pPr>
            <w:r>
              <w:rPr>
                <w:b/>
              </w:rPr>
              <w:t>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134" w:type="dxa"/>
            <w:vMerge w:val="restart"/>
          </w:tcPr>
          <w:p>
            <w:pPr>
              <w:pStyle w:val="yTable"/>
              <w:rPr>
                <w:b/>
                <w:sz w:val="18"/>
              </w:rPr>
            </w:pPr>
            <w:r>
              <w:rPr>
                <w:b/>
                <w:sz w:val="18"/>
              </w:rPr>
              <w:t>Alleged offence</w:t>
            </w:r>
          </w:p>
        </w:tc>
        <w:tc>
          <w:tcPr>
            <w:tcW w:w="5812" w:type="dxa"/>
            <w:gridSpan w:val="5"/>
          </w:tcPr>
          <w:p>
            <w:pPr>
              <w:pStyle w:val="yTable"/>
              <w:tabs>
                <w:tab w:val="left" w:pos="563"/>
              </w:tabs>
              <w:rPr>
                <w:sz w:val="18"/>
              </w:rPr>
            </w:pPr>
            <w:r>
              <w:rPr>
                <w:sz w:val="18"/>
              </w:rPr>
              <w:t>Details of alleged offence:</w:t>
            </w:r>
          </w:p>
          <w:p>
            <w:pPr>
              <w:pStyle w:val="yTable"/>
              <w:tabs>
                <w:tab w:val="left" w:pos="563"/>
              </w:tabs>
              <w:rPr>
                <w:sz w:val="18"/>
              </w:rPr>
            </w:pPr>
          </w:p>
        </w:tc>
      </w:tr>
      <w:tr>
        <w:trPr>
          <w:cantSplit/>
        </w:trPr>
        <w:tc>
          <w:tcPr>
            <w:tcW w:w="1134" w:type="dxa"/>
            <w:vMerge/>
          </w:tcPr>
          <w:p>
            <w:pPr>
              <w:pStyle w:val="yTable"/>
              <w:rPr>
                <w:sz w:val="18"/>
              </w:rPr>
            </w:pPr>
          </w:p>
        </w:tc>
        <w:tc>
          <w:tcPr>
            <w:tcW w:w="5812" w:type="dxa"/>
            <w:gridSpan w:val="5"/>
          </w:tcPr>
          <w:p>
            <w:pPr>
              <w:pStyle w:val="yTable"/>
              <w:rPr>
                <w:sz w:val="18"/>
              </w:rPr>
            </w:pPr>
            <w:r>
              <w:rPr>
                <w:sz w:val="18"/>
              </w:rPr>
              <w:t>Description of alleged offence:</w:t>
            </w:r>
          </w:p>
          <w:p>
            <w:pPr>
              <w:pStyle w:val="yTable"/>
              <w:rPr>
                <w:sz w:val="18"/>
              </w:rPr>
            </w:pPr>
          </w:p>
        </w:tc>
      </w:tr>
      <w:tr>
        <w:trPr>
          <w:cantSplit/>
        </w:trPr>
        <w:tc>
          <w:tcPr>
            <w:tcW w:w="1134" w:type="dxa"/>
            <w:vMerge/>
          </w:tcPr>
          <w:p>
            <w:pPr>
              <w:pStyle w:val="yTable"/>
              <w:rPr>
                <w:sz w:val="18"/>
              </w:rPr>
            </w:pPr>
          </w:p>
        </w:tc>
        <w:tc>
          <w:tcPr>
            <w:tcW w:w="5812" w:type="dxa"/>
            <w:gridSpan w:val="5"/>
          </w:tcPr>
          <w:p>
            <w:pPr>
              <w:pStyle w:val="yTable"/>
              <w:rPr>
                <w:sz w:val="18"/>
              </w:rPr>
            </w:pPr>
            <w:r>
              <w:rPr>
                <w:sz w:val="18"/>
              </w:rPr>
              <w:t>Where and when:</w:t>
            </w:r>
          </w:p>
        </w:tc>
      </w:tr>
      <w:tr>
        <w:tc>
          <w:tcPr>
            <w:tcW w:w="1134" w:type="dxa"/>
          </w:tcPr>
          <w:p>
            <w:pPr>
              <w:pStyle w:val="yTable"/>
              <w:rPr>
                <w:b/>
                <w:sz w:val="18"/>
              </w:rPr>
            </w:pPr>
            <w:r>
              <w:rPr>
                <w:b/>
                <w:sz w:val="18"/>
              </w:rPr>
              <w:t>Amount of modified penalty</w:t>
            </w:r>
          </w:p>
        </w:tc>
        <w:tc>
          <w:tcPr>
            <w:tcW w:w="5812" w:type="dxa"/>
            <w:gridSpan w:val="5"/>
          </w:tcPr>
          <w:p>
            <w:pPr>
              <w:pStyle w:val="yTable"/>
              <w:keepNext/>
              <w:keepLines/>
              <w:rPr>
                <w:sz w:val="18"/>
              </w:rPr>
            </w:pPr>
          </w:p>
          <w:p>
            <w:pPr>
              <w:pStyle w:val="yTable"/>
              <w:keepNext/>
              <w:keepLines/>
              <w:rPr>
                <w:sz w:val="18"/>
              </w:rPr>
            </w:pPr>
            <w:r>
              <w:rPr>
                <w:sz w:val="18"/>
              </w:rPr>
              <w:t>$</w:t>
            </w:r>
          </w:p>
        </w:tc>
      </w:tr>
      <w:tr>
        <w:trPr>
          <w:cantSplit/>
          <w:trHeight w:val="289"/>
        </w:trPr>
        <w:tc>
          <w:tcPr>
            <w:tcW w:w="1134" w:type="dxa"/>
            <w:vMerge w:val="restart"/>
          </w:tcPr>
          <w:p>
            <w:pPr>
              <w:pStyle w:val="yTable"/>
              <w:rPr>
                <w:b/>
                <w:sz w:val="18"/>
              </w:rPr>
            </w:pPr>
            <w:r>
              <w:rPr>
                <w:b/>
                <w:sz w:val="18"/>
              </w:rPr>
              <w:t>Police officer who issued this notice</w:t>
            </w:r>
          </w:p>
        </w:tc>
        <w:tc>
          <w:tcPr>
            <w:tcW w:w="5812" w:type="dxa"/>
            <w:gridSpan w:val="5"/>
          </w:tcPr>
          <w:p>
            <w:pPr>
              <w:pStyle w:val="yTable"/>
              <w:tabs>
                <w:tab w:val="left" w:pos="563"/>
              </w:tabs>
              <w:rPr>
                <w:sz w:val="18"/>
              </w:rPr>
            </w:pPr>
            <w:r>
              <w:rPr>
                <w:sz w:val="18"/>
              </w:rPr>
              <w:t>Name:</w:t>
            </w:r>
          </w:p>
        </w:tc>
      </w:tr>
      <w:tr>
        <w:trPr>
          <w:cantSplit/>
          <w:trHeight w:val="289"/>
        </w:trPr>
        <w:tc>
          <w:tcPr>
            <w:tcW w:w="1134" w:type="dxa"/>
            <w:vMerge/>
          </w:tcPr>
          <w:p>
            <w:pPr>
              <w:pStyle w:val="yTable"/>
              <w:rPr>
                <w:sz w:val="18"/>
              </w:rPr>
            </w:pPr>
          </w:p>
        </w:tc>
        <w:tc>
          <w:tcPr>
            <w:tcW w:w="5812" w:type="dxa"/>
            <w:gridSpan w:val="5"/>
          </w:tcPr>
          <w:p>
            <w:pPr>
              <w:pStyle w:val="yTable"/>
              <w:rPr>
                <w:sz w:val="18"/>
              </w:rPr>
            </w:pPr>
            <w:r>
              <w:rPr>
                <w:sz w:val="18"/>
              </w:rPr>
              <w:t>Signature:</w:t>
            </w:r>
          </w:p>
        </w:tc>
      </w:tr>
      <w:tr>
        <w:trPr>
          <w:cantSplit/>
          <w:trHeight w:val="290"/>
        </w:trPr>
        <w:tc>
          <w:tcPr>
            <w:tcW w:w="1134" w:type="dxa"/>
            <w:vMerge/>
          </w:tcPr>
          <w:p>
            <w:pPr>
              <w:pStyle w:val="yTable"/>
              <w:rPr>
                <w:sz w:val="18"/>
              </w:rPr>
            </w:pPr>
          </w:p>
        </w:tc>
        <w:tc>
          <w:tcPr>
            <w:tcW w:w="5812" w:type="dxa"/>
            <w:gridSpan w:val="5"/>
          </w:tcPr>
          <w:p>
            <w:pPr>
              <w:pStyle w:val="yTable"/>
              <w:rPr>
                <w:sz w:val="18"/>
              </w:rPr>
            </w:pPr>
            <w:r>
              <w:rPr>
                <w:sz w:val="18"/>
              </w:rPr>
              <w:t>Date: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812"/>
      </w:tblGrid>
      <w:tr>
        <w:trPr>
          <w:cantSplit/>
        </w:trPr>
        <w:tc>
          <w:tcPr>
            <w:tcW w:w="1134" w:type="dxa"/>
          </w:tcPr>
          <w:p>
            <w:pPr>
              <w:pStyle w:val="yTable"/>
              <w:rPr>
                <w:b/>
                <w:sz w:val="18"/>
              </w:rPr>
            </w:pPr>
            <w:r>
              <w:rPr>
                <w:b/>
                <w:sz w:val="18"/>
              </w:rPr>
              <w:t>What you must do</w:t>
            </w:r>
          </w:p>
        </w:tc>
        <w:tc>
          <w:tcPr>
            <w:tcW w:w="5812" w:type="dxa"/>
          </w:tcPr>
          <w:p>
            <w:pPr>
              <w:pStyle w:val="yTable"/>
              <w:tabs>
                <w:tab w:val="left" w:pos="407"/>
              </w:tabs>
              <w:ind w:left="408" w:hanging="408"/>
              <w:rPr>
                <w:sz w:val="18"/>
              </w:rPr>
            </w:pPr>
            <w:r>
              <w:rPr>
                <w:sz w:val="18"/>
              </w:rPr>
              <w:t>1.</w:t>
            </w:r>
            <w:r>
              <w:rPr>
                <w:sz w:val="18"/>
              </w:rPr>
              <w:tab/>
              <w:t>You may elect to have this matter heard and determined by a court.  To do this, complete the details in “</w:t>
            </w:r>
            <w:r>
              <w:rPr>
                <w:b/>
                <w:sz w:val="18"/>
              </w:rPr>
              <w:t>Electing action by a court</w:t>
            </w:r>
            <w:r>
              <w:rPr>
                <w:sz w:val="18"/>
              </w:rPr>
              <w:t>” on the reverse of this notice and return this notice to [details to be inserted here] within 28 days after the service of this notice.</w:t>
            </w:r>
          </w:p>
          <w:p>
            <w:pPr>
              <w:pStyle w:val="yTable"/>
              <w:tabs>
                <w:tab w:val="left" w:pos="407"/>
              </w:tabs>
              <w:ind w:left="408" w:hanging="408"/>
              <w:rPr>
                <w:sz w:val="18"/>
              </w:rPr>
            </w:pPr>
            <w:r>
              <w:rPr>
                <w:sz w:val="18"/>
              </w:rPr>
              <w:t>2.</w:t>
            </w:r>
            <w:r>
              <w:rPr>
                <w:sz w:val="18"/>
              </w:rPr>
              <w:tab/>
              <w:t>If you do not wish to have this matter heard and determined by a court you may dispose of this matter within 28 days after the service of this notice by paying the modified penalty (see “</w:t>
            </w:r>
            <w:r>
              <w:rPr>
                <w:b/>
                <w:sz w:val="18"/>
              </w:rPr>
              <w:t>Paying the modified penalty</w:t>
            </w:r>
            <w:r>
              <w:rPr>
                <w:sz w:val="18"/>
              </w:rPr>
              <w:t>” on the reverse of this notice).</w:t>
            </w:r>
          </w:p>
          <w:p>
            <w:pPr>
              <w:pStyle w:val="yTable"/>
              <w:tabs>
                <w:tab w:val="left" w:pos="407"/>
              </w:tabs>
              <w:rPr>
                <w:rFonts w:ascii="Times" w:hAnsi="Times"/>
                <w:sz w:val="18"/>
              </w:rPr>
            </w:pPr>
            <w:r>
              <w:rPr>
                <w:rFonts w:ascii="Times" w:hAnsi="Times"/>
                <w:sz w:val="18"/>
              </w:rPr>
              <w:t>Should you not pursue either of the above options within 28 days,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Table"/>
        <w:keepNext/>
        <w:keepLines/>
        <w:jc w:val="center"/>
        <w:rPr>
          <w:i/>
          <w:sz w:val="18"/>
        </w:rPr>
      </w:pPr>
      <w:r>
        <w:rPr>
          <w:i/>
          <w:sz w:val="18"/>
        </w:rPr>
        <w:t>Reverse of 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trPr>
          <w:cantSplit/>
        </w:trPr>
        <w:tc>
          <w:tcPr>
            <w:tcW w:w="1186" w:type="dxa"/>
            <w:vMerge w:val="restart"/>
          </w:tcPr>
          <w:p>
            <w:pPr>
              <w:pStyle w:val="yTable"/>
              <w:keepNext/>
              <w:keepLines/>
              <w:rPr>
                <w:b/>
                <w:sz w:val="18"/>
              </w:rPr>
            </w:pPr>
            <w:r>
              <w:rPr>
                <w:b/>
                <w:sz w:val="18"/>
              </w:rPr>
              <w:t>Electing action by a court</w:t>
            </w:r>
          </w:p>
        </w:tc>
        <w:tc>
          <w:tcPr>
            <w:tcW w:w="5760" w:type="dxa"/>
          </w:tcPr>
          <w:p>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trPr>
          <w:cantSplit/>
        </w:trPr>
        <w:tc>
          <w:tcPr>
            <w:tcW w:w="1186"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Signature:</w:t>
            </w:r>
          </w:p>
        </w:tc>
      </w:tr>
      <w:tr>
        <w:trPr>
          <w:cantSplit/>
        </w:trPr>
        <w:tc>
          <w:tcPr>
            <w:tcW w:w="1186"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Date:</w:t>
            </w:r>
          </w:p>
        </w:tc>
      </w:tr>
      <w:tr>
        <w:trPr>
          <w:cantSplit/>
        </w:trPr>
        <w:tc>
          <w:tcPr>
            <w:tcW w:w="1186" w:type="dxa"/>
            <w:vMerge/>
          </w:tcPr>
          <w:p>
            <w:pPr>
              <w:pStyle w:val="yTable"/>
              <w:spacing w:before="0"/>
              <w:rPr>
                <w:b/>
                <w:sz w:val="18"/>
              </w:rPr>
            </w:pPr>
          </w:p>
        </w:tc>
        <w:tc>
          <w:tcPr>
            <w:tcW w:w="5760" w:type="dxa"/>
          </w:tcPr>
          <w:p>
            <w:pPr>
              <w:pStyle w:val="yTable"/>
              <w:tabs>
                <w:tab w:val="left" w:pos="407"/>
              </w:tabs>
              <w:rPr>
                <w:sz w:val="18"/>
              </w:rPr>
            </w:pPr>
            <w:r>
              <w:rPr>
                <w:sz w:val="18"/>
              </w:rPr>
              <w:t>Address for service: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trPr>
          <w:cantSplit/>
        </w:trPr>
        <w:tc>
          <w:tcPr>
            <w:tcW w:w="1186" w:type="dxa"/>
            <w:tcBorders>
              <w:bottom w:val="single" w:sz="4" w:space="0" w:color="auto"/>
            </w:tcBorders>
          </w:tcPr>
          <w:p>
            <w:pPr>
              <w:pStyle w:val="yTable"/>
              <w:rPr>
                <w:b/>
                <w:sz w:val="18"/>
              </w:rPr>
            </w:pPr>
            <w:r>
              <w:rPr>
                <w:b/>
                <w:sz w:val="18"/>
              </w:rPr>
              <w:t>Paying the modified penalty</w:t>
            </w:r>
          </w:p>
        </w:tc>
        <w:tc>
          <w:tcPr>
            <w:tcW w:w="5760" w:type="dxa"/>
            <w:tcBorders>
              <w:bottom w:val="single" w:sz="4" w:space="0" w:color="auto"/>
            </w:tcBorders>
          </w:tcPr>
          <w:p>
            <w:pPr>
              <w:pStyle w:val="yTable"/>
              <w:tabs>
                <w:tab w:val="left" w:pos="407"/>
              </w:tabs>
              <w:rPr>
                <w:sz w:val="18"/>
              </w:rPr>
            </w:pPr>
            <w:r>
              <w:rPr>
                <w:sz w:val="18"/>
              </w:rPr>
              <w:t>You may pay the modified penalty —</w:t>
            </w:r>
          </w:p>
          <w:p>
            <w:pPr>
              <w:pStyle w:val="yTable"/>
              <w:tabs>
                <w:tab w:val="left" w:pos="407"/>
              </w:tabs>
              <w:ind w:left="408" w:hanging="408"/>
              <w:rPr>
                <w:sz w:val="18"/>
              </w:rPr>
            </w:pPr>
            <w:r>
              <w:rPr>
                <w:sz w:val="18"/>
              </w:rPr>
              <w:t>1.</w:t>
            </w:r>
            <w:r>
              <w:rPr>
                <w:sz w:val="18"/>
              </w:rPr>
              <w:tab/>
              <w:t>BY POSTING a cheque or money order made payable to [details to be inserted here];</w:t>
            </w:r>
          </w:p>
          <w:p>
            <w:pPr>
              <w:pStyle w:val="yTable"/>
              <w:tabs>
                <w:tab w:val="left" w:pos="549"/>
                <w:tab w:val="left" w:pos="974"/>
              </w:tabs>
              <w:spacing w:before="0"/>
              <w:ind w:left="974" w:hanging="974"/>
              <w:rPr>
                <w:sz w:val="18"/>
              </w:rPr>
            </w:pPr>
            <w:r>
              <w:rPr>
                <w:sz w:val="18"/>
              </w:rPr>
              <w:t>OR</w:t>
            </w:r>
          </w:p>
          <w:p>
            <w:pPr>
              <w:pStyle w:val="yTable"/>
              <w:tabs>
                <w:tab w:val="left" w:pos="407"/>
              </w:tabs>
              <w:ind w:left="408" w:hanging="408"/>
              <w:rPr>
                <w:sz w:val="18"/>
              </w:rPr>
            </w:pPr>
            <w:r>
              <w:rPr>
                <w:sz w:val="18"/>
              </w:rPr>
              <w:t>2.</w:t>
            </w:r>
            <w:r>
              <w:rPr>
                <w:sz w:val="18"/>
              </w:rPr>
              <w:tab/>
              <w:t>IN PERSON to [details to be inserted here].</w:t>
            </w:r>
          </w:p>
        </w:tc>
      </w:tr>
    </w:tbl>
    <w:p>
      <w:pPr>
        <w:pStyle w:val="yFootnotesection"/>
        <w:rPr>
          <w:b/>
        </w:rPr>
      </w:pPr>
      <w:r>
        <w:tab/>
        <w:t>[Form 1 inserted in Gazette 4 Jun 2004 p. 1931-2; amended in Gazette 14 Dec 2012 p. 6203.]</w:t>
      </w:r>
    </w:p>
    <w:p>
      <w:pPr>
        <w:pStyle w:val="yMiscellaneousHeading"/>
        <w:spacing w:before="400" w:after="12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276"/>
        <w:gridCol w:w="1701"/>
        <w:gridCol w:w="284"/>
        <w:gridCol w:w="1559"/>
      </w:tblGrid>
      <w:tr>
        <w:trPr>
          <w:cantSplit/>
          <w:trHeight w:val="282"/>
        </w:trPr>
        <w:tc>
          <w:tcPr>
            <w:tcW w:w="5103" w:type="dxa"/>
            <w:gridSpan w:val="4"/>
          </w:tcPr>
          <w:p>
            <w:pPr>
              <w:pStyle w:val="yTable"/>
              <w:rPr>
                <w:sz w:val="16"/>
              </w:rPr>
            </w:pPr>
            <w:r>
              <w:rPr>
                <w:i/>
                <w:sz w:val="18"/>
                <w:szCs w:val="18"/>
              </w:rPr>
              <w:t xml:space="preserve">Classification (Publications, Films and Computer Games) Enforcement Act 1996 </w:t>
            </w:r>
            <w:r>
              <w:rPr>
                <w:i/>
                <w:sz w:val="16"/>
              </w:rPr>
              <w:t>s. 117G(1)</w:t>
            </w:r>
          </w:p>
          <w:p>
            <w:pPr>
              <w:pStyle w:val="yTable"/>
              <w:spacing w:before="0"/>
              <w:rPr>
                <w:b/>
              </w:rPr>
            </w:pPr>
            <w:r>
              <w:rPr>
                <w:b/>
              </w:rPr>
              <w:t>Withdrawal of 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6946" w:type="dxa"/>
            <w:gridSpan w:val="6"/>
          </w:tcPr>
          <w:p>
            <w:pPr>
              <w:pStyle w:val="yTable"/>
              <w:keepNext/>
              <w:keepLines/>
              <w:rPr>
                <w:b/>
                <w:sz w:val="18"/>
              </w:rPr>
            </w:pPr>
            <w:r>
              <w:rPr>
                <w:b/>
                <w:sz w:val="18"/>
              </w:rPr>
              <w:t xml:space="preserve">AN INFRINGEMENT NOTICE SERVED ON YOU HAS BEEN WITHDRAWN.  ANY PAYMENT THAT HAS BEEN MADE WILL BE REFUNDED AND — </w:t>
            </w:r>
          </w:p>
          <w:p>
            <w:pPr>
              <w:pStyle w:val="yTable"/>
              <w:keepNext/>
              <w:keepLines/>
              <w:numPr>
                <w:ilvl w:val="0"/>
                <w:numId w:val="2"/>
              </w:numPr>
              <w:rPr>
                <w:b/>
                <w:sz w:val="18"/>
              </w:rPr>
            </w:pPr>
            <w:r>
              <w:rPr>
                <w:b/>
                <w:sz w:val="18"/>
              </w:rPr>
              <w:t>NO FURTHER ACTION WILL BE TAKEN*</w:t>
            </w:r>
          </w:p>
          <w:p>
            <w:pPr>
              <w:pStyle w:val="yTable"/>
              <w:keepNext/>
              <w:keepLines/>
              <w:numPr>
                <w:ilvl w:val="0"/>
                <w:numId w:val="2"/>
              </w:numPr>
              <w:rPr>
                <w:b/>
                <w:sz w:val="18"/>
              </w:rPr>
            </w:pPr>
            <w:r>
              <w:rPr>
                <w:b/>
                <w:sz w:val="18"/>
              </w:rPr>
              <w:t>A SUMMONS WILL BE ISSUED*</w:t>
            </w:r>
          </w:p>
          <w:p>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134" w:type="dxa"/>
            <w:vMerge w:val="restart"/>
          </w:tcPr>
          <w:p>
            <w:pPr>
              <w:pStyle w:val="yTable"/>
              <w:keepNext/>
              <w:keepLines/>
              <w:spacing w:before="0"/>
              <w:rPr>
                <w:b/>
                <w:sz w:val="18"/>
              </w:rPr>
            </w:pPr>
            <w:r>
              <w:rPr>
                <w:b/>
                <w:sz w:val="18"/>
              </w:rPr>
              <w:t>Details of withdrawn notice</w:t>
            </w:r>
          </w:p>
        </w:tc>
        <w:tc>
          <w:tcPr>
            <w:tcW w:w="5812" w:type="dxa"/>
            <w:gridSpan w:val="5"/>
          </w:tcPr>
          <w:p>
            <w:pPr>
              <w:pStyle w:val="yTable"/>
              <w:keepNext/>
              <w:keepLines/>
              <w:rPr>
                <w:sz w:val="18"/>
              </w:rPr>
            </w:pPr>
            <w:r>
              <w:rPr>
                <w:sz w:val="18"/>
              </w:rPr>
              <w:t>Date notice given:</w:t>
            </w:r>
          </w:p>
        </w:tc>
      </w:tr>
      <w:tr>
        <w:trPr>
          <w:cantSplit/>
        </w:trPr>
        <w:tc>
          <w:tcPr>
            <w:tcW w:w="1134" w:type="dxa"/>
            <w:vMerge/>
          </w:tcPr>
          <w:p>
            <w:pPr>
              <w:pStyle w:val="yTable"/>
              <w:keepNext/>
              <w:keepLines/>
              <w:spacing w:before="0"/>
              <w:rPr>
                <w:b/>
                <w:sz w:val="18"/>
              </w:rPr>
            </w:pPr>
          </w:p>
        </w:tc>
        <w:tc>
          <w:tcPr>
            <w:tcW w:w="5812" w:type="dxa"/>
            <w:gridSpan w:val="5"/>
          </w:tcPr>
          <w:p>
            <w:pPr>
              <w:pStyle w:val="yTable"/>
              <w:keepNext/>
              <w:keepLines/>
              <w:rPr>
                <w:sz w:val="18"/>
              </w:rPr>
            </w:pPr>
            <w:r>
              <w:rPr>
                <w:sz w:val="18"/>
              </w:rPr>
              <w:t>Notice number:</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Alleged offence:</w:t>
            </w:r>
          </w:p>
        </w:tc>
      </w:tr>
      <w:tr>
        <w:trPr>
          <w:cantSplit/>
        </w:trPr>
        <w:tc>
          <w:tcPr>
            <w:tcW w:w="1134" w:type="dxa"/>
            <w:vMerge w:val="restart"/>
          </w:tcPr>
          <w:p>
            <w:pPr>
              <w:pStyle w:val="yTable"/>
              <w:spacing w:before="0"/>
              <w:rPr>
                <w:b/>
                <w:sz w:val="18"/>
              </w:rPr>
            </w:pPr>
            <w:r>
              <w:rPr>
                <w:b/>
                <w:sz w:val="18"/>
              </w:rPr>
              <w:t>Authorised person who issued this notice</w:t>
            </w:r>
          </w:p>
        </w:tc>
        <w:tc>
          <w:tcPr>
            <w:tcW w:w="5812" w:type="dxa"/>
            <w:gridSpan w:val="5"/>
          </w:tcPr>
          <w:p>
            <w:pPr>
              <w:pStyle w:val="yTable"/>
              <w:tabs>
                <w:tab w:val="left" w:pos="563"/>
              </w:tabs>
              <w:rPr>
                <w:sz w:val="18"/>
              </w:rPr>
            </w:pPr>
            <w:r>
              <w:rPr>
                <w:sz w:val="18"/>
              </w:rPr>
              <w:t>Name:</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Signature:</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Date:</w:t>
            </w:r>
          </w:p>
        </w:tc>
      </w:tr>
    </w:tbl>
    <w:p>
      <w:pPr>
        <w:pStyle w:val="yFootnotesection"/>
        <w:rPr>
          <w:b/>
        </w:rPr>
      </w:pPr>
      <w:r>
        <w:tab/>
        <w:t>[Form 2 inserted in Gazette 4 Jun 2004 p. 1932; amended in Gazette 14 Dec 2012 p. 6203.]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0" w:name="_Toc382312965"/>
      <w:r>
        <w:t>Notes</w:t>
      </w:r>
      <w:bookmarkEnd w:id="1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19 April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Classification (Publications, Films and Computer Games) Enforcement Regulations 1996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 w:name="_Toc382312966"/>
      <w:r>
        <w:rPr>
          <w:snapToGrid w:val="0"/>
        </w:rPr>
        <w:t>Compilation table</w:t>
      </w:r>
      <w:bookmarkEnd w:id="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Censorship Regulations 1996 </w:t>
            </w:r>
            <w:r>
              <w:rPr>
                <w:sz w:val="19"/>
                <w:vertAlign w:val="superscript"/>
              </w:rPr>
              <w:t>3</w:t>
            </w:r>
          </w:p>
        </w:tc>
        <w:tc>
          <w:tcPr>
            <w:tcW w:w="1276" w:type="dxa"/>
          </w:tcPr>
          <w:p>
            <w:pPr>
              <w:pStyle w:val="nTable"/>
              <w:spacing w:after="40"/>
              <w:rPr>
                <w:sz w:val="19"/>
              </w:rPr>
            </w:pPr>
            <w:r>
              <w:rPr>
                <w:sz w:val="19"/>
              </w:rPr>
              <w:t>1 Nov 1996 p. 5755</w:t>
            </w:r>
            <w:r>
              <w:rPr>
                <w:sz w:val="19"/>
              </w:rPr>
              <w:noBreakHyphen/>
              <w:t>62</w:t>
            </w:r>
          </w:p>
        </w:tc>
        <w:tc>
          <w:tcPr>
            <w:tcW w:w="2694" w:type="dxa"/>
          </w:tcPr>
          <w:p>
            <w:pPr>
              <w:pStyle w:val="nTable"/>
              <w:spacing w:after="40"/>
              <w:rPr>
                <w:sz w:val="19"/>
              </w:rPr>
            </w:pPr>
            <w:r>
              <w:rPr>
                <w:sz w:val="19"/>
              </w:rPr>
              <w:t xml:space="preserve">5 Nov 1996 (see r. 2 and </w:t>
            </w:r>
            <w:r>
              <w:rPr>
                <w:i/>
                <w:sz w:val="19"/>
              </w:rPr>
              <w:t>Gazette</w:t>
            </w:r>
            <w:r>
              <w:rPr>
                <w:sz w:val="19"/>
              </w:rPr>
              <w:t xml:space="preserve"> 5 Nov 1996 p. 5845)</w:t>
            </w:r>
          </w:p>
        </w:tc>
      </w:tr>
      <w:tr>
        <w:tc>
          <w:tcPr>
            <w:tcW w:w="3118" w:type="dxa"/>
          </w:tcPr>
          <w:p>
            <w:pPr>
              <w:pStyle w:val="nTable"/>
              <w:spacing w:after="40"/>
              <w:rPr>
                <w:i/>
                <w:sz w:val="19"/>
              </w:rPr>
            </w:pPr>
            <w:r>
              <w:rPr>
                <w:i/>
                <w:sz w:val="19"/>
              </w:rPr>
              <w:t>Censorship Amendment Regulations 2003</w:t>
            </w:r>
          </w:p>
        </w:tc>
        <w:tc>
          <w:tcPr>
            <w:tcW w:w="1276" w:type="dxa"/>
          </w:tcPr>
          <w:p>
            <w:pPr>
              <w:pStyle w:val="nTable"/>
              <w:spacing w:after="40"/>
              <w:rPr>
                <w:sz w:val="19"/>
              </w:rPr>
            </w:pPr>
            <w:r>
              <w:rPr>
                <w:sz w:val="19"/>
              </w:rPr>
              <w:t>27 Jun 2003 p. 2384</w:t>
            </w:r>
            <w:r>
              <w:rPr>
                <w:sz w:val="19"/>
              </w:rPr>
              <w:noBreakHyphen/>
              <w:t>5</w:t>
            </w:r>
          </w:p>
        </w:tc>
        <w:tc>
          <w:tcPr>
            <w:tcW w:w="2694" w:type="dxa"/>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rPr>
          <w:cantSplit/>
        </w:trPr>
        <w:tc>
          <w:tcPr>
            <w:tcW w:w="7088" w:type="dxa"/>
            <w:gridSpan w:val="3"/>
          </w:tcPr>
          <w:p>
            <w:pPr>
              <w:pStyle w:val="nTable"/>
              <w:spacing w:after="40"/>
              <w:rPr>
                <w:b/>
                <w:sz w:val="19"/>
              </w:rPr>
            </w:pPr>
            <w:r>
              <w:rPr>
                <w:b/>
                <w:sz w:val="19"/>
              </w:rPr>
              <w:t xml:space="preserve">Reprint 1: The </w:t>
            </w:r>
            <w:r>
              <w:rPr>
                <w:b/>
                <w:i/>
                <w:sz w:val="19"/>
              </w:rPr>
              <w:t>Censorship Regulations 1996</w:t>
            </w:r>
            <w:r>
              <w:rPr>
                <w:b/>
                <w:sz w:val="19"/>
              </w:rPr>
              <w:t xml:space="preserve"> as at 5 Dec 2003 </w:t>
            </w:r>
            <w:r>
              <w:rPr>
                <w:sz w:val="19"/>
              </w:rPr>
              <w:t>(includes amendment listed above)</w:t>
            </w:r>
          </w:p>
        </w:tc>
      </w:tr>
      <w:tr>
        <w:tc>
          <w:tcPr>
            <w:tcW w:w="3118" w:type="dxa"/>
          </w:tcPr>
          <w:p>
            <w:pPr>
              <w:pStyle w:val="nTable"/>
              <w:spacing w:after="40"/>
              <w:rPr>
                <w:i/>
                <w:sz w:val="19"/>
              </w:rPr>
            </w:pPr>
            <w:r>
              <w:rPr>
                <w:i/>
                <w:sz w:val="19"/>
              </w:rPr>
              <w:t>Censorship Amendment Regulations 2004</w:t>
            </w:r>
          </w:p>
        </w:tc>
        <w:tc>
          <w:tcPr>
            <w:tcW w:w="1276" w:type="dxa"/>
          </w:tcPr>
          <w:p>
            <w:pPr>
              <w:pStyle w:val="nTable"/>
              <w:spacing w:after="40"/>
              <w:rPr>
                <w:sz w:val="19"/>
              </w:rPr>
            </w:pPr>
            <w:r>
              <w:rPr>
                <w:sz w:val="19"/>
              </w:rPr>
              <w:t>4 Jun 2004 p. 1929</w:t>
            </w:r>
            <w:r>
              <w:rPr>
                <w:sz w:val="19"/>
              </w:rPr>
              <w:noBreakHyphen/>
              <w:t>32</w:t>
            </w:r>
          </w:p>
        </w:tc>
        <w:tc>
          <w:tcPr>
            <w:tcW w:w="2694" w:type="dxa"/>
          </w:tcPr>
          <w:p>
            <w:pPr>
              <w:pStyle w:val="nTable"/>
              <w:spacing w:after="40"/>
              <w:rPr>
                <w:sz w:val="19"/>
              </w:rPr>
            </w:pPr>
            <w:r>
              <w:rPr>
                <w:sz w:val="19"/>
              </w:rPr>
              <w:t xml:space="preserve">4 Jun 2004 (see r. 2 and </w:t>
            </w:r>
            <w:r>
              <w:rPr>
                <w:i/>
                <w:sz w:val="19"/>
              </w:rPr>
              <w:t xml:space="preserve">Gazette </w:t>
            </w:r>
            <w:r>
              <w:rPr>
                <w:sz w:val="19"/>
              </w:rPr>
              <w:t>4 Jun 2004 p. 1933)</w:t>
            </w:r>
          </w:p>
        </w:tc>
      </w:tr>
      <w:tr>
        <w:tc>
          <w:tcPr>
            <w:tcW w:w="3118" w:type="dxa"/>
            <w:shd w:val="clear" w:color="auto" w:fill="auto"/>
          </w:tcPr>
          <w:p>
            <w:pPr>
              <w:pStyle w:val="nTable"/>
              <w:spacing w:after="40"/>
              <w:rPr>
                <w:i/>
                <w:sz w:val="19"/>
              </w:rPr>
            </w:pPr>
            <w:r>
              <w:rPr>
                <w:i/>
                <w:sz w:val="19"/>
              </w:rPr>
              <w:t>Censorship Amendment Regulations 2012</w:t>
            </w:r>
          </w:p>
        </w:tc>
        <w:tc>
          <w:tcPr>
            <w:tcW w:w="1276" w:type="dxa"/>
            <w:shd w:val="clear" w:color="auto" w:fill="auto"/>
          </w:tcPr>
          <w:p>
            <w:pPr>
              <w:pStyle w:val="nTable"/>
              <w:spacing w:after="40"/>
              <w:rPr>
                <w:sz w:val="19"/>
              </w:rPr>
            </w:pPr>
            <w:r>
              <w:rPr>
                <w:sz w:val="19"/>
              </w:rPr>
              <w:t>14 Dec 2012 p. 6202</w:t>
            </w:r>
            <w:r>
              <w:rPr>
                <w:sz w:val="19"/>
              </w:rPr>
              <w:noBreakHyphen/>
              <w:t>3</w:t>
            </w:r>
          </w:p>
        </w:tc>
        <w:tc>
          <w:tcPr>
            <w:tcW w:w="2694" w:type="dxa"/>
            <w:shd w:val="clear" w:color="auto" w:fill="auto"/>
          </w:tcPr>
          <w:p>
            <w:pPr>
              <w:pStyle w:val="nTable"/>
              <w:spacing w:after="40"/>
              <w:rPr>
                <w:sz w:val="19"/>
              </w:rPr>
            </w:pPr>
            <w:r>
              <w:rPr>
                <w:snapToGrid w:val="0"/>
                <w:spacing w:val="-2"/>
                <w:sz w:val="19"/>
              </w:rPr>
              <w:t>r. 1 and 2: 14 Dec 2012 (see r. 2(a));</w:t>
            </w:r>
            <w:r>
              <w:rPr>
                <w:snapToGrid w:val="0"/>
                <w:spacing w:val="-2"/>
                <w:sz w:val="19"/>
              </w:rPr>
              <w:br/>
              <w:t>Regulations other than r. 1 and 2: 1 Jan 2013 (see r. 2(b) and Act No. 53 of 2012 s. 2(b)(i))</w:t>
            </w:r>
          </w:p>
        </w:tc>
      </w:tr>
      <w:tr>
        <w:tc>
          <w:tcPr>
            <w:tcW w:w="7088" w:type="dxa"/>
            <w:gridSpan w:val="3"/>
            <w:tcBorders>
              <w:bottom w:val="single" w:sz="8" w:space="0" w:color="auto"/>
            </w:tcBorders>
            <w:shd w:val="clear" w:color="auto" w:fill="auto"/>
          </w:tcPr>
          <w:p>
            <w:pPr>
              <w:pStyle w:val="nTable"/>
              <w:spacing w:after="40"/>
              <w:rPr>
                <w:snapToGrid w:val="0"/>
                <w:spacing w:val="-2"/>
                <w:sz w:val="19"/>
                <w:szCs w:val="19"/>
              </w:rPr>
            </w:pPr>
            <w:r>
              <w:rPr>
                <w:b/>
                <w:sz w:val="19"/>
                <w:szCs w:val="19"/>
              </w:rPr>
              <w:t xml:space="preserve">Reprint 2: The </w:t>
            </w:r>
            <w:r>
              <w:rPr>
                <w:b/>
                <w:i/>
                <w:sz w:val="19"/>
                <w:szCs w:val="19"/>
              </w:rPr>
              <w:t>Classification (Publications, Films and Computer Games) Enforcement Regulations 1996</w:t>
            </w:r>
            <w:r>
              <w:rPr>
                <w:b/>
                <w:sz w:val="19"/>
                <w:szCs w:val="19"/>
              </w:rPr>
              <w:t xml:space="preserve"> as at 19 Apr 2013 </w:t>
            </w:r>
            <w:r>
              <w:rPr>
                <w:sz w:val="19"/>
                <w:szCs w:val="19"/>
              </w:rPr>
              <w:t>(includes amendment listed above)</w:t>
            </w:r>
          </w:p>
        </w:tc>
      </w:tr>
    </w:tbl>
    <w:p>
      <w:pPr>
        <w:pStyle w:val="nSubsection"/>
      </w:pPr>
      <w:r>
        <w:rPr>
          <w:vertAlign w:val="superscript"/>
        </w:rPr>
        <w:t>2</w:t>
      </w:r>
      <w:r>
        <w:tab/>
        <w:t xml:space="preserve">Now known as the </w:t>
      </w:r>
      <w:r>
        <w:rPr>
          <w:i/>
        </w:rPr>
        <w:t>Classification (Publications, Films and Computer Games) Enforcement Act 1996</w:t>
      </w:r>
      <w:r>
        <w:t>.</w:t>
      </w:r>
    </w:p>
    <w:p>
      <w:pPr>
        <w:pStyle w:val="nSubsection"/>
      </w:pPr>
      <w:r>
        <w:rPr>
          <w:vertAlign w:val="superscript"/>
        </w:rPr>
        <w:t>3</w:t>
      </w:r>
      <w:r>
        <w:tab/>
        <w:t xml:space="preserve">Now known as the </w:t>
      </w:r>
      <w:r>
        <w:rPr>
          <w:i/>
        </w:rPr>
        <w:t>Classification (Publications, Films and Computer Games) Enforcement Regulations 1996</w:t>
      </w:r>
      <w:r>
        <w:t>; citation changed (see note under r. 1).</w:t>
      </w:r>
    </w:p>
    <w:p>
      <w:pPr>
        <w:rPr>
          <w:sz w:val="16"/>
          <w:szCs w:val="16"/>
        </w:rPr>
      </w:pPr>
    </w:p>
    <w:p/>
    <w:p/>
    <w:p/>
    <w:p/>
    <w:p/>
    <w:p/>
    <w:p/>
    <w:p/>
    <w:p/>
    <w:p/>
    <w:p/>
    <w:p>
      <w:pPr>
        <w:sectPr>
          <w:headerReference w:type="even" r:id="rId34"/>
          <w:headerReference w:type="default" r:id="rId35"/>
          <w:footerReference w:type="default" r:id="rId36"/>
          <w:headerReference w:type="first" r:id="rId37"/>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Classification (Publications, Films and Computer Games) Enforcement Regulations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Classification (Publications, Films and Computer Games) Enforcement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Classification (Publications, Films and Computer Games) Enforcement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Classification (Publications, Films and Computer Games) Enforcement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Classification (Publications, Films and Computer Games) Enforcement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Classification (Publications, Films and Computer Games) Enforcement Regulations 1996</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Classification (Publications, Films and Computer Games) Enforcement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Classification (Publications, Films and Computer Games) Enforcement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9"/>
  </w:num>
  <w:num w:numId="2">
    <w:abstractNumId w:val="31"/>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3113"/>
    <w:docVar w:name="WAFER_20140311143113" w:val="RemoveTocBookmarks,RemoveUnusedBookmarks,RemoveLanguageTags,UsedStyles,ResetPageSize"/>
    <w:docVar w:name="WAFER_20140311143113_GUID" w:val="8aa2c9a7-bd51-4982-babc-7c82391eb6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2065</Words>
  <Characters>9727</Characters>
  <Application>Microsoft Office Word</Application>
  <DocSecurity>0</DocSecurity>
  <Lines>540</Lines>
  <Paragraphs>406</Paragraphs>
  <ScaleCrop>false</ScaleCrop>
  <HeadingPairs>
    <vt:vector size="2" baseType="variant">
      <vt:variant>
        <vt:lpstr>Title</vt:lpstr>
      </vt:variant>
      <vt:variant>
        <vt:i4>1</vt:i4>
      </vt:variant>
    </vt:vector>
  </HeadingPairs>
  <TitlesOfParts>
    <vt:vector size="1" baseType="lpstr">
      <vt:lpstr>Censorship Regulations 1996</vt:lpstr>
    </vt:vector>
  </TitlesOfParts>
  <Manager/>
  <Company/>
  <LinksUpToDate>false</LinksUpToDate>
  <CharactersWithSpaces>11386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Regulations 1996 - 02-00-01</dc:title>
  <dc:subject/>
  <dc:creator/>
  <cp:keywords/>
  <dc:description/>
  <cp:lastModifiedBy>svcMRProcess</cp:lastModifiedBy>
  <cp:revision>4</cp:revision>
  <cp:lastPrinted>2013-04-15T00:30:00Z</cp:lastPrinted>
  <dcterms:created xsi:type="dcterms:W3CDTF">2020-03-05T01:10:00Z</dcterms:created>
  <dcterms:modified xsi:type="dcterms:W3CDTF">2020-03-05T01:10:00Z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November 1996 pp.5755-62</vt:lpwstr>
  </property>
  <property fmtid="{D5CDD505-2E9C-101B-9397-08002B2CF9AE}" pid="3" name="CommencementDate">
    <vt:lpwstr>20130419</vt:lpwstr>
  </property>
  <property fmtid="{D5CDD505-2E9C-101B-9397-08002B2CF9AE}" pid="4" name="DocumentType">
    <vt:lpwstr>Reg</vt:lpwstr>
  </property>
  <property fmtid="{D5CDD505-2E9C-101B-9397-08002B2CF9AE}" pid="5" name="OwlsUID">
    <vt:i4>4343</vt:i4>
  </property>
  <property fmtid="{D5CDD505-2E9C-101B-9397-08002B2CF9AE}" pid="6" name="AsAtDate">
    <vt:lpwstr>19 Apr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2013-04-18T16:00:00Z</vt:filetime>
  </property>
</Properties>
</file>