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noProof/>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rP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_Toc375040713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_Toc375040714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Definitions and interpretation</w:t>
      </w:r>
      <w:r>
        <w:tab/>
      </w:r>
      <w:r>
        <w:fldChar w:fldCharType="begin"/>
      </w:r>
      <w:r>
        <w:instrText xml:space="preserve"> PAGEREF _Toc375040715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II — Administration</w:t>
      </w:r>
    </w:p>
    <w:p>
      <w:pPr>
        <w:pStyle w:val="TOC8"/>
        <w:rPr>
          <w:rFonts w:asciiTheme="minorHAnsi" w:eastAsiaTheme="minorEastAsia" w:hAnsiTheme="minorHAnsi" w:cstheme="minorBidi"/>
          <w:szCs w:val="22"/>
        </w:rPr>
      </w:pPr>
      <w:r>
        <w:t>10.</w:t>
      </w:r>
      <w:r>
        <w:tab/>
        <w:t>Delegation by Minister</w:t>
      </w:r>
      <w:r>
        <w:tab/>
      </w:r>
      <w:r>
        <w:fldChar w:fldCharType="begin"/>
      </w:r>
      <w:r>
        <w:instrText xml:space="preserve"> PAGEREF _Toc375040717 \h </w:instrText>
      </w:r>
      <w:r>
        <w:fldChar w:fldCharType="separate"/>
      </w:r>
      <w:r>
        <w:t>8</w:t>
      </w:r>
      <w:r>
        <w:fldChar w:fldCharType="end"/>
      </w:r>
    </w:p>
    <w:p>
      <w:pPr>
        <w:pStyle w:val="TOC8"/>
        <w:rPr>
          <w:rFonts w:asciiTheme="minorHAnsi" w:eastAsiaTheme="minorEastAsia" w:hAnsiTheme="minorHAnsi" w:cstheme="minorBidi"/>
          <w:szCs w:val="22"/>
        </w:rPr>
      </w:pPr>
      <w:r>
        <w:t>11A.</w:t>
      </w:r>
      <w:r>
        <w:tab/>
        <w:t>Delegation by Director General</w:t>
      </w:r>
      <w:r>
        <w:tab/>
      </w:r>
      <w:r>
        <w:fldChar w:fldCharType="begin"/>
      </w:r>
      <w:r>
        <w:instrText xml:space="preserve"> PAGEREF _Toc375040718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Authorised persons</w:t>
      </w:r>
      <w:r>
        <w:tab/>
      </w:r>
      <w:r>
        <w:fldChar w:fldCharType="begin"/>
      </w:r>
      <w:r>
        <w:instrText xml:space="preserve"> PAGEREF _Toc375040719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IV — Declaration of plants and animals</w:t>
      </w:r>
    </w:p>
    <w:p>
      <w:pPr>
        <w:pStyle w:val="TOC8"/>
        <w:rPr>
          <w:rFonts w:asciiTheme="minorHAnsi" w:eastAsiaTheme="minorEastAsia" w:hAnsiTheme="minorHAnsi" w:cstheme="minorBidi"/>
          <w:szCs w:val="22"/>
        </w:rPr>
      </w:pPr>
      <w:r>
        <w:t>35</w:t>
      </w:r>
      <w:r>
        <w:rPr>
          <w:snapToGrid w:val="0"/>
        </w:rPr>
        <w:t>.</w:t>
      </w:r>
      <w:r>
        <w:rPr>
          <w:snapToGrid w:val="0"/>
        </w:rPr>
        <w:tab/>
        <w:t>Classes of plants and animals may be declared</w:t>
      </w:r>
      <w:r>
        <w:tab/>
      </w:r>
      <w:r>
        <w:fldChar w:fldCharType="begin"/>
      </w:r>
      <w:r>
        <w:instrText xml:space="preserve"> PAGEREF _Toc375040721 \h </w:instrText>
      </w:r>
      <w:r>
        <w:fldChar w:fldCharType="separate"/>
      </w:r>
      <w:r>
        <w:t>10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Categories of declared plants and animals</w:t>
      </w:r>
      <w:r>
        <w:tab/>
      </w:r>
      <w:r>
        <w:fldChar w:fldCharType="begin"/>
      </w:r>
      <w:r>
        <w:instrText xml:space="preserve"> PAGEREF _Toc375040722 \h </w:instrText>
      </w:r>
      <w:r>
        <w:fldChar w:fldCharType="separate"/>
      </w:r>
      <w:r>
        <w:t>10</w:t>
      </w:r>
      <w:r>
        <w:fldChar w:fldCharType="end"/>
      </w:r>
    </w:p>
    <w:p>
      <w:pPr>
        <w:pStyle w:val="TOC8"/>
        <w:rPr>
          <w:rFonts w:asciiTheme="minorHAnsi" w:eastAsiaTheme="minorEastAsia" w:hAnsiTheme="minorHAnsi" w:cstheme="minorBidi"/>
          <w:szCs w:val="22"/>
        </w:rPr>
      </w:pPr>
      <w:r>
        <w:t>37.</w:t>
      </w:r>
      <w:r>
        <w:tab/>
        <w:t>List of declared animals and plants</w:t>
      </w:r>
      <w:r>
        <w:tab/>
      </w:r>
      <w:r>
        <w:fldChar w:fldCharType="begin"/>
      </w:r>
      <w:r>
        <w:instrText xml:space="preserve"> PAGEREF _Toc375040723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 — Control of declared plants and declared animals</w:t>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Operational work</w:t>
      </w:r>
    </w:p>
    <w:p>
      <w:pPr>
        <w:pStyle w:val="TOC8"/>
        <w:rPr>
          <w:rFonts w:asciiTheme="minorHAnsi" w:eastAsiaTheme="minorEastAsia" w:hAnsiTheme="minorHAnsi" w:cstheme="minorBidi"/>
          <w:szCs w:val="22"/>
        </w:rPr>
      </w:pPr>
      <w:r>
        <w:t>57</w:t>
      </w:r>
      <w:r>
        <w:rPr>
          <w:snapToGrid w:val="0"/>
        </w:rPr>
        <w:t>.</w:t>
      </w:r>
      <w:r>
        <w:rPr>
          <w:snapToGrid w:val="0"/>
        </w:rPr>
        <w:tab/>
        <w:t>Interpretation</w:t>
      </w:r>
      <w:r>
        <w:tab/>
      </w:r>
      <w:r>
        <w:fldChar w:fldCharType="begin"/>
      </w:r>
      <w:r>
        <w:instrText xml:space="preserve"> PAGEREF _Toc375040726 \h </w:instrText>
      </w:r>
      <w:r>
        <w:fldChar w:fldCharType="separate"/>
      </w:r>
      <w:r>
        <w:t>14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Operational work may be carried out</w:t>
      </w:r>
      <w:r>
        <w:tab/>
      </w:r>
      <w:r>
        <w:fldChar w:fldCharType="begin"/>
      </w:r>
      <w:r>
        <w:instrText xml:space="preserve"> PAGEREF _Toc375040727 \h </w:instrText>
      </w:r>
      <w:r>
        <w:fldChar w:fldCharType="separate"/>
      </w:r>
      <w:r>
        <w:t>14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Saving provisions</w:t>
      </w:r>
      <w:r>
        <w:tab/>
      </w:r>
      <w:r>
        <w:fldChar w:fldCharType="begin"/>
      </w:r>
      <w:r>
        <w:instrText xml:space="preserve"> PAGEREF _Toc375040728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Rating and finance</w:t>
      </w:r>
    </w:p>
    <w:p>
      <w:pPr>
        <w:pStyle w:val="TOC8"/>
        <w:rPr>
          <w:rFonts w:asciiTheme="minorHAnsi" w:eastAsiaTheme="minorEastAsia" w:hAnsiTheme="minorHAnsi" w:cstheme="minorBidi"/>
          <w:szCs w:val="22"/>
        </w:rPr>
      </w:pPr>
      <w:r>
        <w:t>60</w:t>
      </w:r>
      <w:r>
        <w:rPr>
          <w:snapToGrid w:val="0"/>
        </w:rPr>
        <w:t>.</w:t>
      </w:r>
      <w:r>
        <w:rPr>
          <w:snapToGrid w:val="0"/>
        </w:rPr>
        <w:tab/>
        <w:t>Rates on pastoral leases</w:t>
      </w:r>
      <w:r>
        <w:tab/>
      </w:r>
      <w:r>
        <w:fldChar w:fldCharType="begin"/>
      </w:r>
      <w:r>
        <w:instrText xml:space="preserve"> PAGEREF _Toc375040730 \h </w:instrText>
      </w:r>
      <w:r>
        <w:fldChar w:fldCharType="separate"/>
      </w:r>
      <w:r>
        <w:t>15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Calculation of unimproved value</w:t>
      </w:r>
      <w:r>
        <w:tab/>
      </w:r>
      <w:r>
        <w:fldChar w:fldCharType="begin"/>
      </w:r>
      <w:r>
        <w:instrText xml:space="preserve"> PAGEREF _Toc375040731 \h </w:instrText>
      </w:r>
      <w:r>
        <w:fldChar w:fldCharType="separate"/>
      </w:r>
      <w:r>
        <w:t>16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Assessment, payment and recovery</w:t>
      </w:r>
      <w:r>
        <w:tab/>
      </w:r>
      <w:r>
        <w:fldChar w:fldCharType="begin"/>
      </w:r>
      <w:r>
        <w:instrText xml:space="preserve"> PAGEREF _Toc375040732 \h </w:instrText>
      </w:r>
      <w:r>
        <w:fldChar w:fldCharType="separate"/>
      </w:r>
      <w:r>
        <w:t>17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Postponement of payment of rates payable by pensioners</w:t>
      </w:r>
      <w:r>
        <w:tab/>
      </w:r>
      <w:r>
        <w:fldChar w:fldCharType="begin"/>
      </w:r>
      <w:r>
        <w:instrText xml:space="preserve"> PAGEREF _Toc375040733 \h </w:instrText>
      </w:r>
      <w:r>
        <w:fldChar w:fldCharType="separate"/>
      </w:r>
      <w:r>
        <w:t>18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Rates to be credited to Declared Pest Account</w:t>
      </w:r>
      <w:r>
        <w:tab/>
      </w:r>
      <w:r>
        <w:fldChar w:fldCharType="begin"/>
      </w:r>
      <w:r>
        <w:instrText xml:space="preserve"> PAGEREF _Toc375040734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VIA — Protection of agriculture and related resources from agricultural chemicals</w:t>
      </w:r>
    </w:p>
    <w:p>
      <w:pPr>
        <w:pStyle w:val="TOC8"/>
        <w:rPr>
          <w:rFonts w:asciiTheme="minorHAnsi" w:eastAsiaTheme="minorEastAsia" w:hAnsiTheme="minorHAnsi" w:cstheme="minorBidi"/>
          <w:szCs w:val="22"/>
        </w:rPr>
      </w:pPr>
      <w:r>
        <w:t>83A</w:t>
      </w:r>
      <w:r>
        <w:rPr>
          <w:snapToGrid w:val="0"/>
        </w:rPr>
        <w:t xml:space="preserve">. </w:t>
      </w:r>
      <w:r>
        <w:rPr>
          <w:snapToGrid w:val="0"/>
        </w:rPr>
        <w:tab/>
        <w:t>Protection from agricultural chemicals</w:t>
      </w:r>
      <w:r>
        <w:tab/>
      </w:r>
      <w:r>
        <w:fldChar w:fldCharType="begin"/>
      </w:r>
      <w:r>
        <w:instrText xml:space="preserve"> PAGEREF _Toc375040736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VII — General</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Powers of inspectors and authorised persons</w:t>
      </w:r>
    </w:p>
    <w:p>
      <w:pPr>
        <w:pStyle w:val="TOC8"/>
        <w:rPr>
          <w:rFonts w:asciiTheme="minorHAnsi" w:eastAsiaTheme="minorEastAsia" w:hAnsiTheme="minorHAnsi" w:cstheme="minorBidi"/>
          <w:szCs w:val="22"/>
        </w:rPr>
      </w:pPr>
      <w:r>
        <w:t>84</w:t>
      </w:r>
      <w:r>
        <w:rPr>
          <w:snapToGrid w:val="0"/>
        </w:rPr>
        <w:t>.</w:t>
      </w:r>
      <w:r>
        <w:rPr>
          <w:snapToGrid w:val="0"/>
        </w:rPr>
        <w:tab/>
        <w:t>Power of entry</w:t>
      </w:r>
      <w:r>
        <w:tab/>
      </w:r>
      <w:r>
        <w:fldChar w:fldCharType="begin"/>
      </w:r>
      <w:r>
        <w:instrText xml:space="preserve"> PAGEREF _Toc375040739 \h </w:instrText>
      </w:r>
      <w:r>
        <w:fldChar w:fldCharType="separate"/>
      </w:r>
      <w:r>
        <w:t>22</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Power to search conveyances, etc.</w:t>
      </w:r>
      <w:r>
        <w:tab/>
      </w:r>
      <w:r>
        <w:fldChar w:fldCharType="begin"/>
      </w:r>
      <w:r>
        <w:instrText xml:space="preserve"> PAGEREF _Toc375040740 \h </w:instrText>
      </w:r>
      <w:r>
        <w:fldChar w:fldCharType="separate"/>
      </w:r>
      <w:r>
        <w:t>24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Name and address may be required</w:t>
      </w:r>
      <w:r>
        <w:tab/>
      </w:r>
      <w:r>
        <w:fldChar w:fldCharType="begin"/>
      </w:r>
      <w:r>
        <w:instrText xml:space="preserve"> PAGEREF _Toc375040741 \h </w:instrText>
      </w:r>
      <w:r>
        <w:fldChar w:fldCharType="separate"/>
      </w:r>
      <w:r>
        <w:t>25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Obstruction, etc.</w:t>
      </w:r>
      <w:r>
        <w:tab/>
      </w:r>
      <w:r>
        <w:fldChar w:fldCharType="begin"/>
      </w:r>
      <w:r>
        <w:instrText xml:space="preserve"> PAGEREF _Toc375040742 \h </w:instrText>
      </w:r>
      <w:r>
        <w:fldChar w:fldCharType="separate"/>
      </w:r>
      <w:r>
        <w:t>25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Personating officers</w:t>
      </w:r>
      <w:r>
        <w:tab/>
      </w:r>
      <w:r>
        <w:fldChar w:fldCharType="begin"/>
      </w:r>
      <w:r>
        <w:instrText xml:space="preserve"> PAGEREF _Toc375040743 \h </w:instrText>
      </w:r>
      <w:r>
        <w:fldChar w:fldCharType="separate"/>
      </w:r>
      <w:r>
        <w:t>26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Agents, mortgagees and trustees</w:t>
      </w:r>
    </w:p>
    <w:p>
      <w:pPr>
        <w:pStyle w:val="TOC8"/>
        <w:rPr>
          <w:rFonts w:asciiTheme="minorHAnsi" w:eastAsiaTheme="minorEastAsia" w:hAnsiTheme="minorHAnsi" w:cstheme="minorBidi"/>
          <w:szCs w:val="22"/>
        </w:rPr>
      </w:pPr>
      <w:r>
        <w:t>89</w:t>
      </w:r>
      <w:r>
        <w:rPr>
          <w:snapToGrid w:val="0"/>
        </w:rPr>
        <w:t>.</w:t>
      </w:r>
      <w:r>
        <w:rPr>
          <w:snapToGrid w:val="0"/>
        </w:rPr>
        <w:tab/>
        <w:t>Attorneys and agents to represent principal</w:t>
      </w:r>
      <w:r>
        <w:tab/>
      </w:r>
      <w:r>
        <w:fldChar w:fldCharType="begin"/>
      </w:r>
      <w:r>
        <w:instrText xml:space="preserve"> PAGEREF _Toc375040745 \h </w:instrText>
      </w:r>
      <w:r>
        <w:fldChar w:fldCharType="separate"/>
      </w:r>
      <w:r>
        <w:t>26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Powers of trustees</w:t>
      </w:r>
      <w:r>
        <w:tab/>
      </w:r>
      <w:r>
        <w:fldChar w:fldCharType="begin"/>
      </w:r>
      <w:r>
        <w:instrText xml:space="preserve"> PAGEREF _Toc375040746 \h </w:instrText>
      </w:r>
      <w:r>
        <w:fldChar w:fldCharType="separate"/>
      </w:r>
      <w:r>
        <w:t>27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Mortgagees</w:t>
      </w:r>
      <w:r>
        <w:tab/>
      </w:r>
      <w:r>
        <w:fldChar w:fldCharType="begin"/>
      </w:r>
      <w:r>
        <w:instrText xml:space="preserve"> PAGEREF _Toc375040747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Procedure</w:t>
      </w:r>
    </w:p>
    <w:p>
      <w:pPr>
        <w:pStyle w:val="TOC8"/>
        <w:rPr>
          <w:rFonts w:asciiTheme="minorHAnsi" w:eastAsiaTheme="minorEastAsia" w:hAnsiTheme="minorHAnsi" w:cstheme="minorBidi"/>
          <w:szCs w:val="22"/>
        </w:rPr>
      </w:pPr>
      <w:r>
        <w:t>92</w:t>
      </w:r>
      <w:r>
        <w:rPr>
          <w:snapToGrid w:val="0"/>
        </w:rPr>
        <w:t>.</w:t>
      </w:r>
      <w:r>
        <w:rPr>
          <w:snapToGrid w:val="0"/>
        </w:rPr>
        <w:tab/>
        <w:t>Manner in which notices may be served</w:t>
      </w:r>
      <w:r>
        <w:tab/>
      </w:r>
      <w:r>
        <w:fldChar w:fldCharType="begin"/>
      </w:r>
      <w:r>
        <w:instrText xml:space="preserve"> PAGEREF _Toc375040749 \h </w:instrText>
      </w:r>
      <w:r>
        <w:fldChar w:fldCharType="separate"/>
      </w:r>
      <w:r>
        <w:t>27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Proof of documents and service</w:t>
      </w:r>
      <w:r>
        <w:tab/>
      </w:r>
      <w:r>
        <w:fldChar w:fldCharType="begin"/>
      </w:r>
      <w:r>
        <w:instrText xml:space="preserve"> PAGEREF _Toc375040750 \h </w:instrText>
      </w:r>
      <w:r>
        <w:fldChar w:fldCharType="separate"/>
      </w:r>
      <w:r>
        <w:t>30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Proof of ownership or occupancy</w:t>
      </w:r>
      <w:r>
        <w:tab/>
      </w:r>
      <w:r>
        <w:fldChar w:fldCharType="begin"/>
      </w:r>
      <w:r>
        <w:instrText xml:space="preserve"> PAGEREF _Toc375040751 \h </w:instrText>
      </w:r>
      <w:r>
        <w:fldChar w:fldCharType="separate"/>
      </w:r>
      <w:r>
        <w:t>30</w:t>
      </w:r>
      <w:r>
        <w:fldChar w:fldCharType="end"/>
      </w:r>
    </w:p>
    <w:p>
      <w:pPr>
        <w:pStyle w:val="TOC8"/>
        <w:rPr>
          <w:rFonts w:asciiTheme="minorHAnsi" w:eastAsiaTheme="minorEastAsia" w:hAnsiTheme="minorHAnsi" w:cstheme="minorBidi"/>
          <w:szCs w:val="22"/>
        </w:rPr>
      </w:pPr>
      <w:r>
        <w:t>94A</w:t>
      </w:r>
      <w:r>
        <w:rPr>
          <w:snapToGrid w:val="0"/>
        </w:rPr>
        <w:t xml:space="preserve">. </w:t>
      </w:r>
      <w:r>
        <w:rPr>
          <w:snapToGrid w:val="0"/>
        </w:rPr>
        <w:tab/>
        <w:t>Proof of plant or animal</w:t>
      </w:r>
      <w:r>
        <w:tab/>
      </w:r>
      <w:r>
        <w:fldChar w:fldCharType="begin"/>
      </w:r>
      <w:r>
        <w:instrText xml:space="preserve"> PAGEREF _Toc375040752 \h </w:instrText>
      </w:r>
      <w:r>
        <w:fldChar w:fldCharType="separate"/>
      </w:r>
      <w:r>
        <w:t>32</w:t>
      </w:r>
      <w:r>
        <w:fldChar w:fldCharType="end"/>
      </w:r>
    </w:p>
    <w:p>
      <w:pPr>
        <w:pStyle w:val="TOC8"/>
        <w:rPr>
          <w:rFonts w:asciiTheme="minorHAnsi" w:eastAsiaTheme="minorEastAsia" w:hAnsiTheme="minorHAnsi" w:cstheme="minorBidi"/>
          <w:szCs w:val="22"/>
        </w:rPr>
      </w:pPr>
      <w:r>
        <w:t>95.</w:t>
      </w:r>
      <w:r>
        <w:tab/>
        <w:t>Judicial notice of signatures</w:t>
      </w:r>
      <w:r>
        <w:tab/>
      </w:r>
      <w:r>
        <w:fldChar w:fldCharType="begin"/>
      </w:r>
      <w:r>
        <w:instrText xml:space="preserve"> PAGEREF _Toc375040753 \h </w:instrText>
      </w:r>
      <w:r>
        <w:fldChar w:fldCharType="separate"/>
      </w:r>
      <w:r>
        <w:t>32</w:t>
      </w:r>
      <w:r>
        <w:fldChar w:fldCharType="end"/>
      </w:r>
    </w:p>
    <w:p>
      <w:pPr>
        <w:pStyle w:val="TOC8"/>
        <w:rPr>
          <w:rFonts w:asciiTheme="minorHAnsi" w:eastAsiaTheme="minorEastAsia" w:hAnsiTheme="minorHAnsi" w:cstheme="minorBidi"/>
          <w:szCs w:val="22"/>
        </w:rPr>
      </w:pPr>
      <w:r>
        <w:t>96.</w:t>
      </w:r>
      <w:r>
        <w:tab/>
        <w:t>Authentication of documents</w:t>
      </w:r>
      <w:r>
        <w:tab/>
      </w:r>
      <w:r>
        <w:fldChar w:fldCharType="begin"/>
      </w:r>
      <w:r>
        <w:instrText xml:space="preserve"> PAGEREF _Toc375040754 \h </w:instrText>
      </w:r>
      <w:r>
        <w:fldChar w:fldCharType="separate"/>
      </w:r>
      <w:r>
        <w:t>32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Evidentiary provisions</w:t>
      </w:r>
      <w:r>
        <w:tab/>
      </w:r>
      <w:r>
        <w:fldChar w:fldCharType="begin"/>
      </w:r>
      <w:r>
        <w:instrText xml:space="preserve"> PAGEREF _Toc375040755 \h </w:instrText>
      </w:r>
      <w:r>
        <w:fldChar w:fldCharType="separate"/>
      </w:r>
      <w:r>
        <w:t>32</w:t>
      </w:r>
      <w:r>
        <w:fldChar w:fldCharType="end"/>
      </w:r>
    </w:p>
    <w:p>
      <w:pPr>
        <w:pStyle w:val="TOC8"/>
        <w:rPr>
          <w:rFonts w:asciiTheme="minorHAnsi" w:eastAsiaTheme="minorEastAsia" w:hAnsiTheme="minorHAnsi" w:cstheme="minorBidi"/>
          <w:szCs w:val="22"/>
        </w:rPr>
      </w:pPr>
      <w:r>
        <w:t>98.</w:t>
      </w:r>
      <w:r>
        <w:tab/>
        <w:t>Prosecutions</w:t>
      </w:r>
      <w:r>
        <w:tab/>
      </w:r>
      <w:r>
        <w:fldChar w:fldCharType="begin"/>
      </w:r>
      <w:r>
        <w:instrText xml:space="preserve"> PAGEREF _Toc375040756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Miscellaneous</w:t>
      </w:r>
    </w:p>
    <w:p>
      <w:pPr>
        <w:pStyle w:val="TOC8"/>
        <w:rPr>
          <w:rFonts w:asciiTheme="minorHAnsi" w:eastAsiaTheme="minorEastAsia" w:hAnsiTheme="minorHAnsi" w:cstheme="minorBidi"/>
          <w:szCs w:val="22"/>
        </w:rPr>
      </w:pPr>
      <w:r>
        <w:t>99</w:t>
      </w:r>
      <w:r>
        <w:rPr>
          <w:snapToGrid w:val="0"/>
        </w:rPr>
        <w:t>.</w:t>
      </w:r>
      <w:r>
        <w:rPr>
          <w:snapToGrid w:val="0"/>
        </w:rPr>
        <w:tab/>
        <w:t>Variation or cancellation of declarations</w:t>
      </w:r>
      <w:r>
        <w:tab/>
      </w:r>
      <w:r>
        <w:fldChar w:fldCharType="begin"/>
      </w:r>
      <w:r>
        <w:instrText xml:space="preserve"> PAGEREF _Toc375040758 \h </w:instrText>
      </w:r>
      <w:r>
        <w:fldChar w:fldCharType="separate"/>
      </w:r>
      <w:r>
        <w:t>33</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Indemnity to persons acting in execution of powers conferred by Act</w:t>
      </w:r>
      <w:r>
        <w:tab/>
      </w:r>
      <w:r>
        <w:fldChar w:fldCharType="begin"/>
      </w:r>
      <w:r>
        <w:instrText xml:space="preserve"> PAGEREF _Toc375040759 \h </w:instrText>
      </w:r>
      <w:r>
        <w:fldChar w:fldCharType="separate"/>
      </w:r>
      <w:r>
        <w:t>33</w:t>
      </w:r>
      <w:r>
        <w:fldChar w:fldCharType="end"/>
      </w:r>
    </w:p>
    <w:p>
      <w:pPr>
        <w:pStyle w:val="TOC8"/>
        <w:rPr>
          <w:rFonts w:asciiTheme="minorHAnsi" w:eastAsiaTheme="minorEastAsia" w:hAnsiTheme="minorHAnsi" w:cstheme="minorBidi"/>
          <w:szCs w:val="22"/>
        </w:rPr>
      </w:pPr>
      <w:r>
        <w:rPr>
          <w:bCs/>
        </w:rPr>
        <w:t>102.</w:t>
      </w:r>
      <w:r>
        <w:rPr>
          <w:bCs/>
        </w:rPr>
        <w:tab/>
        <w:t>Offences to be dealt with by magistrate</w:t>
      </w:r>
      <w:r>
        <w:tab/>
      </w:r>
      <w:r>
        <w:fldChar w:fldCharType="begin"/>
      </w:r>
      <w:r>
        <w:instrText xml:space="preserve"> PAGEREF _Toc375040760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VIII — Regulations</w:t>
      </w:r>
    </w:p>
    <w:p>
      <w:pPr>
        <w:pStyle w:val="TOC8"/>
        <w:rPr>
          <w:rFonts w:asciiTheme="minorHAnsi" w:eastAsiaTheme="minorEastAsia" w:hAnsiTheme="minorHAnsi" w:cstheme="minorBidi"/>
          <w:szCs w:val="22"/>
        </w:rPr>
      </w:pPr>
      <w:r>
        <w:t>103.</w:t>
      </w:r>
      <w:r>
        <w:tab/>
        <w:t>Governor may make regulations</w:t>
      </w:r>
      <w:r>
        <w:tab/>
      </w:r>
      <w:r>
        <w:fldChar w:fldCharType="begin"/>
      </w:r>
      <w:r>
        <w:instrText xml:space="preserve"> PAGEREF _Toc375040762 \h </w:instrText>
      </w:r>
      <w:r>
        <w:fldChar w:fldCharType="separate"/>
      </w:r>
      <w:r>
        <w:t>35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Regulations — general</w:t>
      </w:r>
      <w:r>
        <w:tab/>
      </w:r>
      <w:r>
        <w:fldChar w:fldCharType="begin"/>
      </w:r>
      <w:r>
        <w:instrText xml:space="preserve"> PAGEREF _Toc375040763 \h </w:instrText>
      </w:r>
      <w:r>
        <w:fldChar w:fldCharType="separate"/>
      </w:r>
      <w:r>
        <w:t>35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Regulations — declared plants and declared animals</w:t>
      </w:r>
      <w:r>
        <w:tab/>
      </w:r>
      <w:r>
        <w:fldChar w:fldCharType="begin"/>
      </w:r>
      <w:r>
        <w:instrText xml:space="preserve"> PAGEREF _Toc375040764 \h </w:instrText>
      </w:r>
      <w:r>
        <w:fldChar w:fldCharType="separate"/>
      </w:r>
      <w:r>
        <w:t>35</w:t>
      </w:r>
      <w:r>
        <w:fldChar w:fldCharType="end"/>
      </w:r>
    </w:p>
    <w:p>
      <w:pPr>
        <w:pStyle w:val="TOC8"/>
        <w:rPr>
          <w:rFonts w:asciiTheme="minorHAnsi" w:eastAsiaTheme="minorEastAsia" w:hAnsiTheme="minorHAnsi" w:cstheme="minorBidi"/>
          <w:szCs w:val="22"/>
        </w:rPr>
      </w:pPr>
      <w:r>
        <w:t>106A</w:t>
      </w:r>
      <w:r>
        <w:rPr>
          <w:snapToGrid w:val="0"/>
        </w:rPr>
        <w:t xml:space="preserve">. </w:t>
      </w:r>
      <w:r>
        <w:rPr>
          <w:snapToGrid w:val="0"/>
        </w:rPr>
        <w:tab/>
        <w:t>Regulations — storage, use and transport of prescribed chemicals</w:t>
      </w:r>
      <w:r>
        <w:tab/>
      </w:r>
      <w:r>
        <w:fldChar w:fldCharType="begin"/>
      </w:r>
      <w:r>
        <w:instrText xml:space="preserve"> PAGEREF _Toc375040765 \h </w:instrText>
      </w:r>
      <w:r>
        <w:fldChar w:fldCharType="separate"/>
      </w:r>
      <w:r>
        <w:t>38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General provisions as to regulations</w:t>
      </w:r>
      <w:r>
        <w:tab/>
      </w:r>
      <w:r>
        <w:fldChar w:fldCharType="begin"/>
      </w:r>
      <w:r>
        <w:instrText xml:space="preserve"> PAGEREF _Toc375040766 \h </w:instrText>
      </w:r>
      <w:r>
        <w:fldChar w:fldCharType="separate"/>
      </w:r>
      <w:r>
        <w:t>39</w:t>
      </w:r>
      <w:r>
        <w:fldChar w:fldCharType="end"/>
      </w:r>
    </w:p>
    <w:p>
      <w:pPr>
        <w:pStyle w:val="TOC8"/>
        <w:rPr>
          <w:rFonts w:asciiTheme="minorHAnsi" w:eastAsiaTheme="minorEastAsia" w:hAnsiTheme="minorHAnsi" w:cstheme="minorBidi"/>
          <w:szCs w:val="22"/>
        </w:rPr>
      </w:pPr>
      <w:r>
        <w:t>108.</w:t>
      </w:r>
      <w:r>
        <w:tab/>
        <w:t>Penalties under regulations</w:t>
      </w:r>
      <w:r>
        <w:tab/>
      </w:r>
      <w:r>
        <w:fldChar w:fldCharType="begin"/>
      </w:r>
      <w:r>
        <w:instrText xml:space="preserve"> PAGEREF _Toc375040767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XI</w:t>
      </w:r>
      <w:r>
        <w:rPr>
          <w:b w:val="0"/>
          <w:noProof/>
        </w:rPr>
        <w:t> </w:t>
      </w:r>
      <w:r>
        <w:rPr>
          <w:noProof/>
        </w:rPr>
        <w:t>—</w:t>
      </w:r>
      <w:r>
        <w:rPr>
          <w:b w:val="0"/>
          <w:noProof/>
        </w:rPr>
        <w:t> </w:t>
      </w:r>
      <w:r>
        <w:rPr>
          <w:i/>
          <w:iCs/>
          <w:noProof/>
        </w:rPr>
        <w:t>Agriculture and Related Resources Protection Amendment Act 2010</w:t>
      </w:r>
      <w:r>
        <w:rPr>
          <w:noProof/>
        </w:rPr>
        <w:t> — Savings and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_Toc375040769 \h </w:instrText>
      </w:r>
      <w:r>
        <w:fldChar w:fldCharType="separate"/>
      </w:r>
      <w:r>
        <w:t>41</w:t>
      </w:r>
      <w:r>
        <w:fldChar w:fldCharType="end"/>
      </w:r>
    </w:p>
    <w:p>
      <w:pPr>
        <w:pStyle w:val="TOC8"/>
        <w:rPr>
          <w:rFonts w:asciiTheme="minorHAnsi" w:eastAsiaTheme="minorEastAsia" w:hAnsiTheme="minorHAnsi" w:cstheme="minorBidi"/>
          <w:szCs w:val="22"/>
        </w:rPr>
      </w:pPr>
      <w:r>
        <w:t>121.</w:t>
      </w:r>
      <w:r>
        <w:tab/>
        <w:t>Approvals and certificates</w:t>
      </w:r>
      <w:r>
        <w:tab/>
      </w:r>
      <w:r>
        <w:fldChar w:fldCharType="begin"/>
      </w:r>
      <w:r>
        <w:instrText xml:space="preserve"> PAGEREF _Toc375040770 \h </w:instrText>
      </w:r>
      <w:r>
        <w:fldChar w:fldCharType="separate"/>
      </w:r>
      <w:r>
        <w:t>41</w:t>
      </w:r>
      <w:r>
        <w:fldChar w:fldCharType="end"/>
      </w:r>
    </w:p>
    <w:p>
      <w:pPr>
        <w:pStyle w:val="TOC8"/>
        <w:rPr>
          <w:rFonts w:asciiTheme="minorHAnsi" w:eastAsiaTheme="minorEastAsia" w:hAnsiTheme="minorHAnsi" w:cstheme="minorBidi"/>
          <w:szCs w:val="22"/>
        </w:rPr>
      </w:pPr>
      <w:r>
        <w:t>122.</w:t>
      </w:r>
      <w:r>
        <w:tab/>
        <w:t>Authorised persons</w:t>
      </w:r>
      <w:r>
        <w:tab/>
      </w:r>
      <w:r>
        <w:fldChar w:fldCharType="begin"/>
      </w:r>
      <w:r>
        <w:instrText xml:space="preserve"> PAGEREF _Toc375040771 \h </w:instrText>
      </w:r>
      <w:r>
        <w:fldChar w:fldCharType="separate"/>
      </w:r>
      <w:r>
        <w:t>41</w:t>
      </w:r>
      <w:r>
        <w:fldChar w:fldCharType="end"/>
      </w:r>
    </w:p>
    <w:p>
      <w:pPr>
        <w:pStyle w:val="TOC8"/>
        <w:rPr>
          <w:rFonts w:asciiTheme="minorHAnsi" w:eastAsiaTheme="minorEastAsia" w:hAnsiTheme="minorHAnsi" w:cstheme="minorBidi"/>
          <w:szCs w:val="22"/>
        </w:rPr>
      </w:pPr>
      <w:r>
        <w:t>123.</w:t>
      </w:r>
      <w:r>
        <w:tab/>
        <w:t>Declarations</w:t>
      </w:r>
      <w:r>
        <w:tab/>
      </w:r>
      <w:r>
        <w:fldChar w:fldCharType="begin"/>
      </w:r>
      <w:r>
        <w:instrText xml:space="preserve"> PAGEREF _Toc375040772 \h </w:instrText>
      </w:r>
      <w:r>
        <w:fldChar w:fldCharType="separate"/>
      </w:r>
      <w:r>
        <w:t>41</w:t>
      </w:r>
      <w:r>
        <w:fldChar w:fldCharType="end"/>
      </w:r>
    </w:p>
    <w:p>
      <w:pPr>
        <w:pStyle w:val="TOC8"/>
        <w:rPr>
          <w:rFonts w:asciiTheme="minorHAnsi" w:eastAsiaTheme="minorEastAsia" w:hAnsiTheme="minorHAnsi" w:cstheme="minorBidi"/>
          <w:szCs w:val="22"/>
        </w:rPr>
      </w:pPr>
      <w:r>
        <w:t>124.</w:t>
      </w:r>
      <w:r>
        <w:tab/>
        <w:t>Rates payable under section 61</w:t>
      </w:r>
      <w:r>
        <w:tab/>
      </w:r>
      <w:r>
        <w:fldChar w:fldCharType="begin"/>
      </w:r>
      <w:r>
        <w:instrText xml:space="preserve"> PAGEREF _Toc375040773 \h </w:instrText>
      </w:r>
      <w:r>
        <w:fldChar w:fldCharType="separate"/>
      </w:r>
      <w:r>
        <w:t>42</w:t>
      </w:r>
      <w:r>
        <w:fldChar w:fldCharType="end"/>
      </w:r>
    </w:p>
    <w:p>
      <w:pPr>
        <w:pStyle w:val="TOC8"/>
        <w:rPr>
          <w:rFonts w:asciiTheme="minorHAnsi" w:eastAsiaTheme="minorEastAsia" w:hAnsiTheme="minorHAnsi" w:cstheme="minorBidi"/>
          <w:szCs w:val="22"/>
        </w:rPr>
      </w:pPr>
      <w:r>
        <w:t>125.</w:t>
      </w:r>
      <w:r>
        <w:tab/>
        <w:t>Funds in, or payable to, former account</w:t>
      </w:r>
      <w:r>
        <w:tab/>
      </w:r>
      <w:r>
        <w:fldChar w:fldCharType="begin"/>
      </w:r>
      <w:r>
        <w:instrText xml:space="preserve"> PAGEREF _Toc375040774 \h </w:instrText>
      </w:r>
      <w:r>
        <w:fldChar w:fldCharType="separate"/>
      </w:r>
      <w:r>
        <w:t>42</w:t>
      </w:r>
      <w:r>
        <w:fldChar w:fldCharType="end"/>
      </w:r>
    </w:p>
    <w:p>
      <w:pPr>
        <w:pStyle w:val="TOC8"/>
        <w:rPr>
          <w:rFonts w:asciiTheme="minorHAnsi" w:eastAsiaTheme="minorEastAsia" w:hAnsiTheme="minorHAnsi" w:cstheme="minorBidi"/>
          <w:szCs w:val="22"/>
        </w:rPr>
      </w:pPr>
      <w:r>
        <w:t>126.</w:t>
      </w:r>
      <w:r>
        <w:tab/>
        <w:t>Management programmes</w:t>
      </w:r>
      <w:r>
        <w:tab/>
      </w:r>
      <w:r>
        <w:fldChar w:fldCharType="begin"/>
      </w:r>
      <w:r>
        <w:instrText xml:space="preserve"> PAGEREF _Toc375040775 \h </w:instrText>
      </w:r>
      <w:r>
        <w:fldChar w:fldCharType="separate"/>
      </w:r>
      <w:r>
        <w:t>43</w:t>
      </w:r>
      <w:r>
        <w:fldChar w:fldCharType="end"/>
      </w:r>
    </w:p>
    <w:p>
      <w:pPr>
        <w:pStyle w:val="TOC8"/>
        <w:rPr>
          <w:rFonts w:asciiTheme="minorHAnsi" w:eastAsiaTheme="minorEastAsia" w:hAnsiTheme="minorHAnsi" w:cstheme="minorBidi"/>
          <w:szCs w:val="22"/>
        </w:rPr>
      </w:pPr>
      <w:r>
        <w:t>127.</w:t>
      </w:r>
      <w:r>
        <w:tab/>
        <w:t>Notices</w:t>
      </w:r>
      <w:r>
        <w:tab/>
      </w:r>
      <w:r>
        <w:fldChar w:fldCharType="begin"/>
      </w:r>
      <w:r>
        <w:instrText xml:space="preserve"> PAGEREF _Toc375040776 \h </w:instrText>
      </w:r>
      <w:r>
        <w:fldChar w:fldCharType="separate"/>
      </w:r>
      <w:r>
        <w:t>43</w:t>
      </w:r>
      <w:r>
        <w:fldChar w:fldCharType="end"/>
      </w:r>
    </w:p>
    <w:p>
      <w:pPr>
        <w:pStyle w:val="TOC8"/>
        <w:rPr>
          <w:rFonts w:asciiTheme="minorHAnsi" w:eastAsiaTheme="minorEastAsia" w:hAnsiTheme="minorHAnsi" w:cstheme="minorBidi"/>
          <w:szCs w:val="22"/>
        </w:rPr>
      </w:pPr>
      <w:r>
        <w:t>128.</w:t>
      </w:r>
      <w:r>
        <w:tab/>
        <w:t>Permissions and authorities</w:t>
      </w:r>
      <w:r>
        <w:tab/>
      </w:r>
      <w:r>
        <w:fldChar w:fldCharType="begin"/>
      </w:r>
      <w:r>
        <w:instrText xml:space="preserve"> PAGEREF _Toc375040777 \h </w:instrText>
      </w:r>
      <w:r>
        <w:fldChar w:fldCharType="separate"/>
      </w:r>
      <w:r>
        <w:t>43</w:t>
      </w:r>
      <w:r>
        <w:fldChar w:fldCharType="end"/>
      </w:r>
    </w:p>
    <w:p>
      <w:pPr>
        <w:pStyle w:val="TOC8"/>
        <w:rPr>
          <w:rFonts w:asciiTheme="minorHAnsi" w:eastAsiaTheme="minorEastAsia" w:hAnsiTheme="minorHAnsi" w:cstheme="minorBidi"/>
          <w:szCs w:val="22"/>
        </w:rPr>
      </w:pPr>
      <w:r>
        <w:t>129.</w:t>
      </w:r>
      <w:r>
        <w:tab/>
        <w:t>Transitional regulations</w:t>
      </w:r>
      <w:r>
        <w:tab/>
      </w:r>
      <w:r>
        <w:fldChar w:fldCharType="begin"/>
      </w:r>
      <w:r>
        <w:instrText xml:space="preserve"> PAGEREF _Toc375040778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_Toc375040780 \h </w:instrText>
      </w:r>
      <w:r>
        <w:fldChar w:fldCharType="separate"/>
      </w:r>
      <w:r>
        <w:t>46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_Toc375040781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t>Western Australia</w:t>
          </w:r>
        </w:smartTag>
      </w:smartTag>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375040712"/>
      <w:r>
        <w:rPr>
          <w:rStyle w:val="CharPartNo"/>
        </w:rPr>
        <w:t>Part I</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5040713"/>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 w:name="_Toc375040714"/>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Ednotesection"/>
        <w:spacing w:before="260"/>
      </w:pPr>
      <w:r>
        <w:t>[</w:t>
      </w:r>
      <w:r>
        <w:rPr>
          <w:b/>
        </w:rPr>
        <w:t>3, 4.</w:t>
      </w:r>
      <w:r>
        <w:tab/>
        <w:t xml:space="preserve">Deleted by No. 24 of 2007 s. 27.] </w:t>
      </w:r>
    </w:p>
    <w:p>
      <w:pPr>
        <w:pStyle w:val="Ednotesection"/>
        <w:spacing w:before="260"/>
      </w:pPr>
      <w:r>
        <w:t xml:space="preserve"> [</w:t>
      </w:r>
      <w:r>
        <w:rPr>
          <w:b/>
        </w:rPr>
        <w:t>5.</w:t>
      </w:r>
      <w:r>
        <w:tab/>
        <w:t xml:space="preserve">Deleted by No. 59 of 1986 s. 4.] </w:t>
      </w:r>
    </w:p>
    <w:p>
      <w:pPr>
        <w:pStyle w:val="Ednotesection"/>
        <w:spacing w:before="260"/>
      </w:pPr>
      <w:r>
        <w:t>[</w:t>
      </w:r>
      <w:r>
        <w:rPr>
          <w:b/>
        </w:rPr>
        <w:t>6.</w:t>
      </w:r>
      <w:r>
        <w:tab/>
        <w:t xml:space="preserve">Deleted by No. 46 of 2010 s. 5.] </w:t>
      </w:r>
    </w:p>
    <w:p>
      <w:pPr>
        <w:pStyle w:val="Heading5"/>
        <w:rPr>
          <w:snapToGrid w:val="0"/>
        </w:rPr>
      </w:pPr>
      <w:bookmarkStart w:id="4" w:name="_Toc375040715"/>
      <w:r>
        <w:rPr>
          <w:rStyle w:val="CharSectno"/>
        </w:rPr>
        <w:t>7</w:t>
      </w:r>
      <w:r>
        <w:rPr>
          <w:snapToGrid w:val="0"/>
        </w:rPr>
        <w:t>.</w:t>
      </w:r>
      <w:r>
        <w:rPr>
          <w:snapToGrid w:val="0"/>
        </w:rPr>
        <w:tab/>
        <w:t>Definitions and interpretation</w:t>
      </w:r>
      <w:bookmarkEnd w:id="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authorised person</w:t>
      </w:r>
      <w:r>
        <w:t xml:space="preserve"> means a person authorised by the Director General pursuant to section 11;</w:t>
      </w:r>
    </w:p>
    <w:p>
      <w:pPr>
        <w:pStyle w:val="Defstart"/>
      </w:pP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Ednotesubsection"/>
      </w:pPr>
      <w:r>
        <w:tab/>
        <w:t>[(4)</w:t>
      </w:r>
      <w:r>
        <w:tab/>
        <w:t>deleted]</w:t>
      </w:r>
    </w:p>
    <w:p>
      <w:pPr>
        <w:pStyle w:val="Footnotesection"/>
        <w:ind w:left="890" w:hanging="890"/>
      </w:pPr>
      <w:r>
        <w:tab/>
        <w:t xml:space="preserve">[Section 7 amended by No. 59 of 1986 s. 5; No. 14 of 1996 s. 4; No. 31 of 1997 s. 141; No. 45 of 2002 s. 7(2); No. 74 of 2003 s. 26; No. 55 of 2004 s. 24; No. 77 of 2006 s. 17; No. 24 of 2007 s. 27; No. 46 of 2010 s. 6 and 55.] </w:t>
      </w:r>
    </w:p>
    <w:p>
      <w:pPr>
        <w:pStyle w:val="Heading2"/>
      </w:pPr>
      <w:bookmarkStart w:id="5" w:name="_Toc375040716"/>
      <w:r>
        <w:rPr>
          <w:rStyle w:val="CharPartNo"/>
        </w:rPr>
        <w:t>Part II</w:t>
      </w:r>
      <w:r>
        <w:rPr>
          <w:rStyle w:val="CharDivNo"/>
        </w:rPr>
        <w:t> </w:t>
      </w:r>
      <w:r>
        <w:t>—</w:t>
      </w:r>
      <w:r>
        <w:rPr>
          <w:rStyle w:val="CharDivText"/>
        </w:rPr>
        <w:t> </w:t>
      </w:r>
      <w:r>
        <w:rPr>
          <w:rStyle w:val="CharPartText"/>
        </w:rPr>
        <w:t>Administration</w:t>
      </w:r>
      <w:bookmarkEnd w:id="5"/>
      <w:r>
        <w:rPr>
          <w:rStyle w:val="CharPartText"/>
        </w:rPr>
        <w:t xml:space="preserve"> </w:t>
      </w:r>
    </w:p>
    <w:p>
      <w:pPr>
        <w:pStyle w:val="Ednotesection"/>
        <w:spacing w:before="260"/>
      </w:pPr>
      <w:r>
        <w:t>[</w:t>
      </w:r>
      <w:r>
        <w:rPr>
          <w:b/>
        </w:rPr>
        <w:t>8, 9.</w:t>
      </w:r>
      <w:r>
        <w:tab/>
        <w:t xml:space="preserve">Deleted by No. 46 of 2010 s. 7.] </w:t>
      </w:r>
    </w:p>
    <w:p>
      <w:pPr>
        <w:pStyle w:val="Heading5"/>
      </w:pPr>
      <w:bookmarkStart w:id="6" w:name="_Toc375040717"/>
      <w:r>
        <w:rPr>
          <w:rStyle w:val="CharSectno"/>
        </w:rPr>
        <w:t>10</w:t>
      </w:r>
      <w:r>
        <w:t>.</w:t>
      </w:r>
      <w:r>
        <w:tab/>
        <w:t>Delegation by Minister</w:t>
      </w:r>
      <w:bookmarkEnd w:id="6"/>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7" w:name="_Toc375040718"/>
      <w:r>
        <w:rPr>
          <w:rStyle w:val="CharSectno"/>
        </w:rPr>
        <w:t>11A</w:t>
      </w:r>
      <w:r>
        <w:t>.</w:t>
      </w:r>
      <w:r>
        <w:tab/>
        <w:t>Delegation by Director General</w:t>
      </w:r>
      <w:bookmarkEnd w:id="7"/>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8" w:name="_Toc375040719"/>
      <w:r>
        <w:rPr>
          <w:rStyle w:val="CharSectno"/>
        </w:rPr>
        <w:t>11</w:t>
      </w:r>
      <w:r>
        <w:rPr>
          <w:snapToGrid w:val="0"/>
        </w:rPr>
        <w:t>.</w:t>
      </w:r>
      <w:r>
        <w:rPr>
          <w:snapToGrid w:val="0"/>
        </w:rPr>
        <w:tab/>
        <w:t>Authorised persons</w:t>
      </w:r>
      <w:bookmarkEnd w:id="8"/>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r>
        <w:t>[</w:t>
      </w:r>
      <w:r>
        <w:rPr>
          <w:b/>
        </w:rPr>
        <w:t>12.</w:t>
      </w:r>
      <w:r>
        <w:tab/>
        <w:t xml:space="preserve">Deleted by No. 46 of 2010 s. 10.] </w:t>
      </w:r>
    </w:p>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9" w:name="_Toc375040720"/>
      <w:r>
        <w:rPr>
          <w:rStyle w:val="CharPartNo"/>
        </w:rPr>
        <w:t>Part IV</w:t>
      </w:r>
      <w:r>
        <w:rPr>
          <w:rStyle w:val="CharDivNo"/>
        </w:rPr>
        <w:t> </w:t>
      </w:r>
      <w:r>
        <w:t>—</w:t>
      </w:r>
      <w:r>
        <w:rPr>
          <w:rStyle w:val="CharDivText"/>
        </w:rPr>
        <w:t> </w:t>
      </w:r>
      <w:r>
        <w:rPr>
          <w:rStyle w:val="CharPartText"/>
        </w:rPr>
        <w:t>Declaration of plants and animals</w:t>
      </w:r>
      <w:bookmarkEnd w:id="9"/>
      <w:r>
        <w:rPr>
          <w:rStyle w:val="CharPartText"/>
        </w:rPr>
        <w:t xml:space="preserve"> </w:t>
      </w:r>
    </w:p>
    <w:p>
      <w:pPr>
        <w:pStyle w:val="Heading5"/>
        <w:rPr>
          <w:snapToGrid w:val="0"/>
        </w:rPr>
      </w:pPr>
      <w:bookmarkStart w:id="10" w:name="_Toc375040721"/>
      <w:r>
        <w:rPr>
          <w:rStyle w:val="CharSectno"/>
        </w:rPr>
        <w:t>35</w:t>
      </w:r>
      <w:r>
        <w:rPr>
          <w:snapToGrid w:val="0"/>
        </w:rPr>
        <w:t>.</w:t>
      </w:r>
      <w:r>
        <w:rPr>
          <w:snapToGrid w:val="0"/>
        </w:rPr>
        <w:tab/>
        <w:t>Classes of plants and animals may be declared</w:t>
      </w:r>
      <w:bookmarkEnd w:id="10"/>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1" w:name="_Toc375040722"/>
      <w:r>
        <w:rPr>
          <w:rStyle w:val="CharSectno"/>
        </w:rPr>
        <w:t>36</w:t>
      </w:r>
      <w:r>
        <w:rPr>
          <w:snapToGrid w:val="0"/>
        </w:rPr>
        <w:t>.</w:t>
      </w:r>
      <w:r>
        <w:rPr>
          <w:snapToGrid w:val="0"/>
        </w:rPr>
        <w:tab/>
        <w:t>Categories of declared plants and animals</w:t>
      </w:r>
      <w:bookmarkEnd w:id="11"/>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2" w:name="_Toc375040723"/>
      <w:r>
        <w:rPr>
          <w:rStyle w:val="CharSectno"/>
        </w:rPr>
        <w:t>37</w:t>
      </w:r>
      <w:r>
        <w:t>.</w:t>
      </w:r>
      <w:r>
        <w:tab/>
        <w:t>List of declared animals and plants</w:t>
      </w:r>
      <w:bookmarkEnd w:id="12"/>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3" w:name="_Toc375040724"/>
      <w:r>
        <w:rPr>
          <w:rStyle w:val="CharPartNo"/>
        </w:rPr>
        <w:t>Part V</w:t>
      </w:r>
      <w:r>
        <w:t> — </w:t>
      </w:r>
      <w:r>
        <w:rPr>
          <w:rStyle w:val="CharPartText"/>
        </w:rPr>
        <w:t>Control of declared plants and declared animals</w:t>
      </w:r>
      <w:bookmarkEnd w:id="13"/>
      <w:r>
        <w:rPr>
          <w:rStyle w:val="CharPartText"/>
        </w:rPr>
        <w:t xml:space="preserve"> </w:t>
      </w:r>
    </w:p>
    <w:p>
      <w:pPr>
        <w:pStyle w:val="Ednotesection"/>
        <w:spacing w:before="260"/>
        <w:rPr>
          <w:rStyle w:val="CharDivNo"/>
        </w:rPr>
      </w:pPr>
      <w:r>
        <w:t>[Divisions 1-4 (s. 38</w:t>
      </w:r>
      <w:r>
        <w:noBreakHyphen/>
        <w:t xml:space="preserve">56) deleted by No. 24 of 2007 s. 27.] </w:t>
      </w:r>
    </w:p>
    <w:p>
      <w:pPr>
        <w:pStyle w:val="Heading3"/>
      </w:pPr>
      <w:bookmarkStart w:id="14" w:name="_Toc375040725"/>
      <w:r>
        <w:rPr>
          <w:rStyle w:val="CharDivNo"/>
        </w:rPr>
        <w:t>Division 5</w:t>
      </w:r>
      <w:r>
        <w:rPr>
          <w:snapToGrid w:val="0"/>
        </w:rPr>
        <w:t> — </w:t>
      </w:r>
      <w:r>
        <w:rPr>
          <w:rStyle w:val="CharDivText"/>
        </w:rPr>
        <w:t>Operational work</w:t>
      </w:r>
      <w:bookmarkEnd w:id="14"/>
      <w:r>
        <w:rPr>
          <w:rStyle w:val="CharDivText"/>
        </w:rPr>
        <w:t xml:space="preserve"> </w:t>
      </w:r>
    </w:p>
    <w:p>
      <w:pPr>
        <w:pStyle w:val="Footnoteheading"/>
      </w:pPr>
      <w:r>
        <w:tab/>
        <w:t>[Heading amended by No. 46 of 2010 s. 24.]</w:t>
      </w:r>
    </w:p>
    <w:p>
      <w:pPr>
        <w:pStyle w:val="Heading5"/>
        <w:rPr>
          <w:snapToGrid w:val="0"/>
        </w:rPr>
      </w:pPr>
      <w:bookmarkStart w:id="15" w:name="_Toc375040726"/>
      <w:r>
        <w:rPr>
          <w:rStyle w:val="CharSectno"/>
        </w:rPr>
        <w:t>57</w:t>
      </w:r>
      <w:r>
        <w:rPr>
          <w:snapToGrid w:val="0"/>
        </w:rPr>
        <w:t>.</w:t>
      </w:r>
      <w:r>
        <w:rPr>
          <w:snapToGrid w:val="0"/>
        </w:rPr>
        <w:tab/>
        <w:t>Interpretation</w:t>
      </w:r>
      <w:bookmarkEnd w:id="15"/>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16" w:name="_Toc375040727"/>
      <w:r>
        <w:rPr>
          <w:rStyle w:val="CharSectno"/>
        </w:rPr>
        <w:t>58</w:t>
      </w:r>
      <w:r>
        <w:rPr>
          <w:snapToGrid w:val="0"/>
        </w:rPr>
        <w:t>.</w:t>
      </w:r>
      <w:r>
        <w:rPr>
          <w:snapToGrid w:val="0"/>
        </w:rPr>
        <w:tab/>
        <w:t>Operational work may be carried out</w:t>
      </w:r>
      <w:bookmarkEnd w:id="16"/>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17" w:name="_Toc375040728"/>
      <w:r>
        <w:rPr>
          <w:rStyle w:val="CharSectno"/>
        </w:rPr>
        <w:t>59</w:t>
      </w:r>
      <w:r>
        <w:rPr>
          <w:snapToGrid w:val="0"/>
        </w:rPr>
        <w:t>.</w:t>
      </w:r>
      <w:r>
        <w:rPr>
          <w:snapToGrid w:val="0"/>
        </w:rPr>
        <w:tab/>
        <w:t>Saving provisions</w:t>
      </w:r>
      <w:bookmarkEnd w:id="17"/>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Ednotesubsection"/>
      </w:pPr>
      <w:r>
        <w:tab/>
        <w:t>[(2)</w:t>
      </w:r>
      <w:r>
        <w:tab/>
        <w:t>deleted]</w:t>
      </w:r>
    </w:p>
    <w:p>
      <w:pPr>
        <w:pStyle w:val="Footnotesection"/>
      </w:pPr>
      <w:r>
        <w:tab/>
        <w:t>[Section 59 amended by No. 24 of 2007 s. 27; No. 46 of 2010 s. 26.]</w:t>
      </w:r>
    </w:p>
    <w:p>
      <w:pPr>
        <w:pStyle w:val="Heading3"/>
        <w:rPr>
          <w:snapToGrid w:val="0"/>
        </w:rPr>
      </w:pPr>
      <w:bookmarkStart w:id="18" w:name="_Toc375040729"/>
      <w:r>
        <w:rPr>
          <w:rStyle w:val="CharDivNo"/>
        </w:rPr>
        <w:t>Division 6</w:t>
      </w:r>
      <w:r>
        <w:rPr>
          <w:snapToGrid w:val="0"/>
        </w:rPr>
        <w:t> — </w:t>
      </w:r>
      <w:r>
        <w:rPr>
          <w:rStyle w:val="CharDivText"/>
        </w:rPr>
        <w:t>Rating and finance</w:t>
      </w:r>
      <w:bookmarkEnd w:id="18"/>
      <w:r>
        <w:rPr>
          <w:rStyle w:val="CharDivText"/>
        </w:rPr>
        <w:t xml:space="preserve"> </w:t>
      </w:r>
    </w:p>
    <w:p>
      <w:pPr>
        <w:pStyle w:val="Heading5"/>
        <w:rPr>
          <w:snapToGrid w:val="0"/>
        </w:rPr>
      </w:pPr>
      <w:bookmarkStart w:id="19" w:name="_Toc375040730"/>
      <w:r>
        <w:rPr>
          <w:rStyle w:val="CharSectno"/>
        </w:rPr>
        <w:t>60</w:t>
      </w:r>
      <w:r>
        <w:rPr>
          <w:snapToGrid w:val="0"/>
        </w:rPr>
        <w:t>.</w:t>
      </w:r>
      <w:r>
        <w:rPr>
          <w:snapToGrid w:val="0"/>
        </w:rPr>
        <w:tab/>
        <w:t>Rates on pastoral leases</w:t>
      </w:r>
      <w:bookmarkEnd w:id="19"/>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r>
        <w:t>[</w:t>
      </w:r>
      <w:r>
        <w:rPr>
          <w:b/>
        </w:rPr>
        <w:t>61.</w:t>
      </w:r>
      <w:r>
        <w:tab/>
        <w:t xml:space="preserve">Deleted by No. 46 of 2010 s. 28.] </w:t>
      </w:r>
    </w:p>
    <w:p>
      <w:pPr>
        <w:pStyle w:val="Heading5"/>
        <w:rPr>
          <w:snapToGrid w:val="0"/>
        </w:rPr>
      </w:pPr>
      <w:bookmarkStart w:id="20" w:name="_Toc375040731"/>
      <w:r>
        <w:rPr>
          <w:rStyle w:val="CharSectno"/>
        </w:rPr>
        <w:t>62</w:t>
      </w:r>
      <w:r>
        <w:rPr>
          <w:snapToGrid w:val="0"/>
        </w:rPr>
        <w:t>.</w:t>
      </w:r>
      <w:r>
        <w:rPr>
          <w:snapToGrid w:val="0"/>
        </w:rPr>
        <w:tab/>
        <w:t>Calculation of unimproved value</w:t>
      </w:r>
      <w:bookmarkEnd w:id="2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1" o:title=""/>
          </v:shape>
          <o:OLEObject Type="Embed" ProgID="Equation.3" ShapeID="_x0000_i1025" DrawAspect="Content" ObjectID="_1643150144" r:id="rId22"/>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21" w:name="_Toc375040732"/>
      <w:r>
        <w:rPr>
          <w:rStyle w:val="CharSectno"/>
        </w:rPr>
        <w:t>63</w:t>
      </w:r>
      <w:r>
        <w:rPr>
          <w:snapToGrid w:val="0"/>
        </w:rPr>
        <w:t>.</w:t>
      </w:r>
      <w:r>
        <w:rPr>
          <w:snapToGrid w:val="0"/>
        </w:rPr>
        <w:tab/>
        <w:t>Assessment, payment and recovery</w:t>
      </w:r>
      <w:bookmarkEnd w:id="21"/>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22" w:name="_Toc375040733"/>
      <w:r>
        <w:rPr>
          <w:rStyle w:val="CharSectno"/>
        </w:rPr>
        <w:t>64</w:t>
      </w:r>
      <w:r>
        <w:rPr>
          <w:snapToGrid w:val="0"/>
        </w:rPr>
        <w:t>.</w:t>
      </w:r>
      <w:r>
        <w:rPr>
          <w:snapToGrid w:val="0"/>
        </w:rPr>
        <w:tab/>
        <w:t>Postponement of payment of rates payable by pensioners</w:t>
      </w:r>
      <w:bookmarkEnd w:id="22"/>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23" w:name="_Toc375040734"/>
      <w:r>
        <w:rPr>
          <w:rStyle w:val="CharSectno"/>
        </w:rPr>
        <w:t>65</w:t>
      </w:r>
      <w:r>
        <w:rPr>
          <w:snapToGrid w:val="0"/>
        </w:rPr>
        <w:t>.</w:t>
      </w:r>
      <w:r>
        <w:rPr>
          <w:snapToGrid w:val="0"/>
        </w:rPr>
        <w:tab/>
        <w:t xml:space="preserve">Rates to be credited to Declared </w:t>
      </w:r>
      <w:smartTag w:uri="urn:schemas-microsoft-com:office:smarttags" w:element="place">
        <w:r>
          <w:rPr>
            <w:snapToGrid w:val="0"/>
          </w:rPr>
          <w:t>Pest</w:t>
        </w:r>
      </w:smartTag>
      <w:r>
        <w:rPr>
          <w:snapToGrid w:val="0"/>
        </w:rPr>
        <w:t xml:space="preserve"> Account</w:t>
      </w:r>
      <w:bookmarkEnd w:id="23"/>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Ednotedivision"/>
      </w:pPr>
      <w:r>
        <w:t>[Divisions 7 and 8 (s. 66</w:t>
      </w:r>
      <w:r>
        <w:noBreakHyphen/>
        <w:t xml:space="preserve">70) deleted by No. 24 of 2007 s. 27.] </w:t>
      </w:r>
    </w:p>
    <w:p>
      <w:pPr>
        <w:pStyle w:val="Ednotepart"/>
      </w:pPr>
      <w:r>
        <w:t>[Part VI (s. 71</w:t>
      </w:r>
      <w:r>
        <w:noBreakHyphen/>
        <w:t>83) deleted by No. 24 of 2007 s. 27.]</w:t>
      </w:r>
    </w:p>
    <w:p>
      <w:pPr>
        <w:pStyle w:val="Heading2"/>
      </w:pPr>
      <w:bookmarkStart w:id="24" w:name="_Toc375040735"/>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24"/>
      <w:r>
        <w:rPr>
          <w:rStyle w:val="CharPartText"/>
        </w:rPr>
        <w:t xml:space="preserve"> </w:t>
      </w:r>
    </w:p>
    <w:p>
      <w:pPr>
        <w:pStyle w:val="Heading5"/>
        <w:rPr>
          <w:snapToGrid w:val="0"/>
        </w:rPr>
      </w:pPr>
      <w:bookmarkStart w:id="25" w:name="_Toc375040736"/>
      <w:r>
        <w:rPr>
          <w:rStyle w:val="CharSectno"/>
        </w:rPr>
        <w:t>83A</w:t>
      </w:r>
      <w:r>
        <w:rPr>
          <w:snapToGrid w:val="0"/>
        </w:rPr>
        <w:t xml:space="preserve">. </w:t>
      </w:r>
      <w:r>
        <w:rPr>
          <w:snapToGrid w:val="0"/>
        </w:rPr>
        <w:tab/>
        <w:t>Protection from agricultural chemicals</w:t>
      </w:r>
      <w:bookmarkEnd w:id="25"/>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26" w:name="_Toc375040737"/>
      <w:r>
        <w:rPr>
          <w:rStyle w:val="CharPartNo"/>
        </w:rPr>
        <w:t>Part VII</w:t>
      </w:r>
      <w:r>
        <w:t> — </w:t>
      </w:r>
      <w:r>
        <w:rPr>
          <w:rStyle w:val="CharPartText"/>
        </w:rPr>
        <w:t>General</w:t>
      </w:r>
      <w:bookmarkEnd w:id="26"/>
      <w:r>
        <w:rPr>
          <w:rStyle w:val="CharPartText"/>
        </w:rPr>
        <w:t xml:space="preserve"> </w:t>
      </w:r>
    </w:p>
    <w:p>
      <w:pPr>
        <w:pStyle w:val="Heading3"/>
        <w:rPr>
          <w:snapToGrid w:val="0"/>
        </w:rPr>
      </w:pPr>
      <w:bookmarkStart w:id="27" w:name="_Toc375040738"/>
      <w:r>
        <w:rPr>
          <w:rStyle w:val="CharDivNo"/>
        </w:rPr>
        <w:t>Division 1</w:t>
      </w:r>
      <w:r>
        <w:rPr>
          <w:snapToGrid w:val="0"/>
        </w:rPr>
        <w:t> — </w:t>
      </w:r>
      <w:r>
        <w:rPr>
          <w:rStyle w:val="CharDivText"/>
        </w:rPr>
        <w:t>Powers of inspectors and authorised persons</w:t>
      </w:r>
      <w:bookmarkEnd w:id="27"/>
      <w:r>
        <w:rPr>
          <w:rStyle w:val="CharDivText"/>
        </w:rPr>
        <w:t xml:space="preserve"> </w:t>
      </w:r>
    </w:p>
    <w:p>
      <w:pPr>
        <w:pStyle w:val="Heading5"/>
        <w:spacing w:before="180"/>
        <w:rPr>
          <w:snapToGrid w:val="0"/>
        </w:rPr>
      </w:pPr>
      <w:bookmarkStart w:id="28" w:name="_Toc375040739"/>
      <w:r>
        <w:rPr>
          <w:rStyle w:val="CharSectno"/>
        </w:rPr>
        <w:t>84</w:t>
      </w:r>
      <w:r>
        <w:rPr>
          <w:snapToGrid w:val="0"/>
        </w:rPr>
        <w:t>.</w:t>
      </w:r>
      <w:r>
        <w:rPr>
          <w:snapToGrid w:val="0"/>
        </w:rPr>
        <w:tab/>
        <w:t>Power of entry</w:t>
      </w:r>
      <w:bookmarkEnd w:id="28"/>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Ednotesubpara"/>
        <w:rPr>
          <w:snapToGrid w:val="0"/>
        </w:rPr>
      </w:pPr>
      <w:r>
        <w:rPr>
          <w:snapToGrid w:val="0"/>
        </w:rPr>
        <w:tab/>
        <w:t>[(ii)</w:t>
      </w:r>
      <w:r>
        <w:rPr>
          <w:snapToGrid w:val="0"/>
        </w:rPr>
        <w:tab/>
        <w:t>deleted]</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24 of 2007 s. 27; No. 46 of 2010 s. 55(2).] </w:t>
      </w:r>
    </w:p>
    <w:p>
      <w:pPr>
        <w:pStyle w:val="Heading5"/>
        <w:rPr>
          <w:snapToGrid w:val="0"/>
        </w:rPr>
      </w:pPr>
      <w:bookmarkStart w:id="29" w:name="_Toc375040740"/>
      <w:r>
        <w:rPr>
          <w:rStyle w:val="CharSectno"/>
        </w:rPr>
        <w:t>85</w:t>
      </w:r>
      <w:r>
        <w:rPr>
          <w:snapToGrid w:val="0"/>
        </w:rPr>
        <w:t>.</w:t>
      </w:r>
      <w:r>
        <w:rPr>
          <w:snapToGrid w:val="0"/>
        </w:rPr>
        <w:tab/>
        <w:t>Power to search conveyances, etc.</w:t>
      </w:r>
      <w:bookmarkEnd w:id="29"/>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24 of 2007 s. 27; No. 46 of 2010 s. 56.] </w:t>
      </w:r>
    </w:p>
    <w:p>
      <w:pPr>
        <w:pStyle w:val="Heading5"/>
        <w:spacing w:before="120"/>
        <w:rPr>
          <w:snapToGrid w:val="0"/>
        </w:rPr>
      </w:pPr>
      <w:bookmarkStart w:id="30" w:name="_Toc375040741"/>
      <w:r>
        <w:rPr>
          <w:rStyle w:val="CharSectno"/>
        </w:rPr>
        <w:t>86</w:t>
      </w:r>
      <w:r>
        <w:rPr>
          <w:snapToGrid w:val="0"/>
        </w:rPr>
        <w:t>.</w:t>
      </w:r>
      <w:r>
        <w:rPr>
          <w:snapToGrid w:val="0"/>
        </w:rPr>
        <w:tab/>
        <w:t>Name and address may be required</w:t>
      </w:r>
      <w:bookmarkEnd w:id="30"/>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31" w:name="_Toc375040742"/>
      <w:r>
        <w:rPr>
          <w:rStyle w:val="CharSectno"/>
        </w:rPr>
        <w:t>87</w:t>
      </w:r>
      <w:r>
        <w:rPr>
          <w:snapToGrid w:val="0"/>
        </w:rPr>
        <w:t>.</w:t>
      </w:r>
      <w:r>
        <w:rPr>
          <w:snapToGrid w:val="0"/>
        </w:rPr>
        <w:tab/>
        <w:t>Obstruction, etc.</w:t>
      </w:r>
      <w:bookmarkEnd w:id="31"/>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32" w:name="_Toc375040743"/>
      <w:r>
        <w:rPr>
          <w:rStyle w:val="CharSectno"/>
        </w:rPr>
        <w:t>88</w:t>
      </w:r>
      <w:r>
        <w:rPr>
          <w:snapToGrid w:val="0"/>
        </w:rPr>
        <w:t>.</w:t>
      </w:r>
      <w:r>
        <w:rPr>
          <w:snapToGrid w:val="0"/>
        </w:rPr>
        <w:tab/>
        <w:t>Personating officers</w:t>
      </w:r>
      <w:bookmarkEnd w:id="32"/>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33" w:name="_Toc375040744"/>
      <w:r>
        <w:rPr>
          <w:rStyle w:val="CharDivNo"/>
        </w:rPr>
        <w:t>Division 2</w:t>
      </w:r>
      <w:r>
        <w:rPr>
          <w:snapToGrid w:val="0"/>
        </w:rPr>
        <w:t> — </w:t>
      </w:r>
      <w:r>
        <w:rPr>
          <w:rStyle w:val="CharDivText"/>
        </w:rPr>
        <w:t>Agents, mortgagees and trustees</w:t>
      </w:r>
      <w:bookmarkEnd w:id="33"/>
      <w:r>
        <w:rPr>
          <w:rStyle w:val="CharDivText"/>
        </w:rPr>
        <w:t xml:space="preserve"> </w:t>
      </w:r>
    </w:p>
    <w:p>
      <w:pPr>
        <w:pStyle w:val="Heading5"/>
        <w:spacing w:before="260"/>
        <w:rPr>
          <w:snapToGrid w:val="0"/>
        </w:rPr>
      </w:pPr>
      <w:bookmarkStart w:id="34" w:name="_Toc375040745"/>
      <w:r>
        <w:rPr>
          <w:rStyle w:val="CharSectno"/>
        </w:rPr>
        <w:t>89</w:t>
      </w:r>
      <w:r>
        <w:rPr>
          <w:snapToGrid w:val="0"/>
        </w:rPr>
        <w:t>.</w:t>
      </w:r>
      <w:r>
        <w:rPr>
          <w:snapToGrid w:val="0"/>
        </w:rPr>
        <w:tab/>
        <w:t>Attorneys and agents to represent principal</w:t>
      </w:r>
      <w:bookmarkEnd w:id="34"/>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35" w:name="_Toc375040746"/>
      <w:r>
        <w:rPr>
          <w:rStyle w:val="CharSectno"/>
        </w:rPr>
        <w:t>90</w:t>
      </w:r>
      <w:r>
        <w:rPr>
          <w:snapToGrid w:val="0"/>
        </w:rPr>
        <w:t>.</w:t>
      </w:r>
      <w:r>
        <w:rPr>
          <w:snapToGrid w:val="0"/>
        </w:rPr>
        <w:tab/>
        <w:t>Powers of trustees</w:t>
      </w:r>
      <w:bookmarkEnd w:id="35"/>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36" w:name="_Toc375040747"/>
      <w:r>
        <w:rPr>
          <w:rStyle w:val="CharSectno"/>
        </w:rPr>
        <w:t>91</w:t>
      </w:r>
      <w:r>
        <w:rPr>
          <w:snapToGrid w:val="0"/>
        </w:rPr>
        <w:t>.</w:t>
      </w:r>
      <w:r>
        <w:rPr>
          <w:snapToGrid w:val="0"/>
        </w:rPr>
        <w:tab/>
        <w:t>Mortgagees</w:t>
      </w:r>
      <w:bookmarkEnd w:id="3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37" w:name="_Toc375040748"/>
      <w:r>
        <w:rPr>
          <w:rStyle w:val="CharDivNo"/>
        </w:rPr>
        <w:t>Division 3</w:t>
      </w:r>
      <w:r>
        <w:rPr>
          <w:snapToGrid w:val="0"/>
        </w:rPr>
        <w:t> — </w:t>
      </w:r>
      <w:r>
        <w:rPr>
          <w:rStyle w:val="CharDivText"/>
        </w:rPr>
        <w:t>Procedure</w:t>
      </w:r>
      <w:bookmarkEnd w:id="37"/>
      <w:r>
        <w:rPr>
          <w:rStyle w:val="CharDivText"/>
        </w:rPr>
        <w:t xml:space="preserve"> </w:t>
      </w:r>
    </w:p>
    <w:p>
      <w:pPr>
        <w:pStyle w:val="Heading5"/>
        <w:rPr>
          <w:snapToGrid w:val="0"/>
        </w:rPr>
      </w:pPr>
      <w:bookmarkStart w:id="38" w:name="_Toc375040749"/>
      <w:r>
        <w:rPr>
          <w:rStyle w:val="CharSectno"/>
        </w:rPr>
        <w:t>92</w:t>
      </w:r>
      <w:r>
        <w:rPr>
          <w:snapToGrid w:val="0"/>
        </w:rPr>
        <w:t>.</w:t>
      </w:r>
      <w:r>
        <w:rPr>
          <w:snapToGrid w:val="0"/>
        </w:rPr>
        <w:tab/>
        <w:t>Manner in which notices may be served</w:t>
      </w:r>
      <w:bookmarkEnd w:id="38"/>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39" w:name="_Toc375040750"/>
      <w:r>
        <w:rPr>
          <w:rStyle w:val="CharSectno"/>
        </w:rPr>
        <w:t>93</w:t>
      </w:r>
      <w:r>
        <w:rPr>
          <w:snapToGrid w:val="0"/>
        </w:rPr>
        <w:t>.</w:t>
      </w:r>
      <w:r>
        <w:rPr>
          <w:snapToGrid w:val="0"/>
        </w:rPr>
        <w:tab/>
        <w:t>Proof of documents and service</w:t>
      </w:r>
      <w:bookmarkEnd w:id="39"/>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40" w:name="_Toc375040751"/>
      <w:r>
        <w:rPr>
          <w:rStyle w:val="CharSectno"/>
        </w:rPr>
        <w:t>94</w:t>
      </w:r>
      <w:r>
        <w:rPr>
          <w:snapToGrid w:val="0"/>
        </w:rPr>
        <w:t>.</w:t>
      </w:r>
      <w:r>
        <w:rPr>
          <w:snapToGrid w:val="0"/>
        </w:rPr>
        <w:tab/>
        <w:t>Proof of ownership or occupancy</w:t>
      </w:r>
      <w:bookmarkEnd w:id="4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41" w:name="_Toc375040752"/>
      <w:r>
        <w:rPr>
          <w:rStyle w:val="CharSectno"/>
        </w:rPr>
        <w:t>94A</w:t>
      </w:r>
      <w:r>
        <w:rPr>
          <w:snapToGrid w:val="0"/>
        </w:rPr>
        <w:t xml:space="preserve">. </w:t>
      </w:r>
      <w:r>
        <w:rPr>
          <w:snapToGrid w:val="0"/>
        </w:rPr>
        <w:tab/>
        <w:t>Proof of plant or animal</w:t>
      </w:r>
      <w:bookmarkEnd w:id="41"/>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42" w:name="_Toc375040753"/>
      <w:r>
        <w:rPr>
          <w:rStyle w:val="CharSectno"/>
        </w:rPr>
        <w:t>95</w:t>
      </w:r>
      <w:r>
        <w:t>.</w:t>
      </w:r>
      <w:r>
        <w:tab/>
        <w:t>Judicial notice of signatures</w:t>
      </w:r>
      <w:bookmarkEnd w:id="42"/>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43" w:name="_Toc375040754"/>
      <w:r>
        <w:rPr>
          <w:rStyle w:val="CharSectno"/>
        </w:rPr>
        <w:t>96</w:t>
      </w:r>
      <w:r>
        <w:t>.</w:t>
      </w:r>
      <w:r>
        <w:tab/>
        <w:t>Authentication of documents</w:t>
      </w:r>
      <w:bookmarkEnd w:id="43"/>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44" w:name="_Toc375040755"/>
      <w:r>
        <w:rPr>
          <w:rStyle w:val="CharSectno"/>
        </w:rPr>
        <w:t>97</w:t>
      </w:r>
      <w:r>
        <w:rPr>
          <w:snapToGrid w:val="0"/>
        </w:rPr>
        <w:t>.</w:t>
      </w:r>
      <w:r>
        <w:rPr>
          <w:snapToGrid w:val="0"/>
        </w:rPr>
        <w:tab/>
        <w:t>Evidentiary provisions</w:t>
      </w:r>
      <w:bookmarkEnd w:id="44"/>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45" w:name="_Toc375040756"/>
      <w:r>
        <w:rPr>
          <w:rStyle w:val="CharSectno"/>
        </w:rPr>
        <w:t>98</w:t>
      </w:r>
      <w:r>
        <w:t>.</w:t>
      </w:r>
      <w:r>
        <w:tab/>
        <w:t>Prosecutions</w:t>
      </w:r>
      <w:bookmarkEnd w:id="45"/>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46" w:name="_Toc375040757"/>
      <w:r>
        <w:rPr>
          <w:rStyle w:val="CharDivNo"/>
        </w:rPr>
        <w:t>Division 4</w:t>
      </w:r>
      <w:r>
        <w:rPr>
          <w:snapToGrid w:val="0"/>
        </w:rPr>
        <w:t> — </w:t>
      </w:r>
      <w:r>
        <w:rPr>
          <w:rStyle w:val="CharDivText"/>
        </w:rPr>
        <w:t>Miscellaneous</w:t>
      </w:r>
      <w:bookmarkEnd w:id="46"/>
      <w:r>
        <w:rPr>
          <w:rStyle w:val="CharDivText"/>
        </w:rPr>
        <w:t xml:space="preserve"> </w:t>
      </w:r>
    </w:p>
    <w:p>
      <w:pPr>
        <w:pStyle w:val="Heading5"/>
        <w:rPr>
          <w:snapToGrid w:val="0"/>
        </w:rPr>
      </w:pPr>
      <w:bookmarkStart w:id="47" w:name="_Toc375040758"/>
      <w:r>
        <w:rPr>
          <w:rStyle w:val="CharSectno"/>
        </w:rPr>
        <w:t>99</w:t>
      </w:r>
      <w:r>
        <w:rPr>
          <w:snapToGrid w:val="0"/>
        </w:rPr>
        <w:t>.</w:t>
      </w:r>
      <w:r>
        <w:rPr>
          <w:snapToGrid w:val="0"/>
        </w:rPr>
        <w:tab/>
        <w:t>Variation or cancellation of declarations</w:t>
      </w:r>
      <w:bookmarkEnd w:id="47"/>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48" w:name="_Toc375040759"/>
      <w:r>
        <w:rPr>
          <w:rStyle w:val="CharSectno"/>
        </w:rPr>
        <w:t>100</w:t>
      </w:r>
      <w:r>
        <w:rPr>
          <w:snapToGrid w:val="0"/>
        </w:rPr>
        <w:t>.</w:t>
      </w:r>
      <w:r>
        <w:rPr>
          <w:snapToGrid w:val="0"/>
        </w:rPr>
        <w:tab/>
        <w:t>Indemnity to persons acting in execution of powers conferred by Act</w:t>
      </w:r>
      <w:bookmarkEnd w:id="4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49" w:name="_Toc375040760"/>
      <w:r>
        <w:rPr>
          <w:rStyle w:val="CharSectno"/>
          <w:bCs/>
        </w:rPr>
        <w:t>102</w:t>
      </w:r>
      <w:r>
        <w:rPr>
          <w:bCs/>
        </w:rPr>
        <w:t>.</w:t>
      </w:r>
      <w:r>
        <w:rPr>
          <w:bCs/>
        </w:rPr>
        <w:tab/>
        <w:t>Offences to be dealt with by magistrate</w:t>
      </w:r>
      <w:bookmarkEnd w:id="49"/>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50" w:name="_Toc375040761"/>
      <w:r>
        <w:rPr>
          <w:rStyle w:val="CharPartNo"/>
        </w:rPr>
        <w:t>Part VIII</w:t>
      </w:r>
      <w:r>
        <w:rPr>
          <w:rStyle w:val="CharDivNo"/>
        </w:rPr>
        <w:t> </w:t>
      </w:r>
      <w:r>
        <w:t>—</w:t>
      </w:r>
      <w:r>
        <w:rPr>
          <w:rStyle w:val="CharDivText"/>
        </w:rPr>
        <w:t> </w:t>
      </w:r>
      <w:r>
        <w:rPr>
          <w:rStyle w:val="CharPartText"/>
        </w:rPr>
        <w:t>Regulations</w:t>
      </w:r>
      <w:bookmarkEnd w:id="50"/>
      <w:r>
        <w:rPr>
          <w:rStyle w:val="CharPartText"/>
        </w:rPr>
        <w:t xml:space="preserve"> </w:t>
      </w:r>
    </w:p>
    <w:p>
      <w:pPr>
        <w:pStyle w:val="Heading5"/>
      </w:pPr>
      <w:bookmarkStart w:id="51" w:name="_Toc375040762"/>
      <w:r>
        <w:rPr>
          <w:rStyle w:val="CharSectno"/>
        </w:rPr>
        <w:t>103</w:t>
      </w:r>
      <w:r>
        <w:t>.</w:t>
      </w:r>
      <w:r>
        <w:tab/>
        <w:t>Governor may make regulations</w:t>
      </w:r>
      <w:bookmarkEnd w:id="51"/>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52" w:name="_Toc375040763"/>
      <w:r>
        <w:rPr>
          <w:rStyle w:val="CharSectno"/>
        </w:rPr>
        <w:t>104</w:t>
      </w:r>
      <w:r>
        <w:rPr>
          <w:snapToGrid w:val="0"/>
        </w:rPr>
        <w:t>.</w:t>
      </w:r>
      <w:r>
        <w:rPr>
          <w:snapToGrid w:val="0"/>
        </w:rPr>
        <w:tab/>
        <w:t>Regulations — general</w:t>
      </w:r>
      <w:bookmarkEnd w:id="52"/>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53" w:name="_Toc375040764"/>
      <w:r>
        <w:rPr>
          <w:rStyle w:val="CharSectno"/>
        </w:rPr>
        <w:t>105</w:t>
      </w:r>
      <w:r>
        <w:rPr>
          <w:snapToGrid w:val="0"/>
        </w:rPr>
        <w:t>.</w:t>
      </w:r>
      <w:r>
        <w:rPr>
          <w:snapToGrid w:val="0"/>
        </w:rPr>
        <w:tab/>
        <w:t>Regulations — declared plants and declared animals</w:t>
      </w:r>
      <w:bookmarkEnd w:id="5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Ednotepara"/>
        <w:rPr>
          <w:snapToGrid w:val="0"/>
        </w:rPr>
      </w:pPr>
      <w:r>
        <w:rPr>
          <w:snapToGrid w:val="0"/>
        </w:rPr>
        <w:tab/>
        <w:t>[(d)</w:t>
      </w:r>
      <w:r>
        <w:rPr>
          <w:snapToGrid w:val="0"/>
        </w:rPr>
        <w:noBreakHyphen/>
        <w:t>(r)</w:t>
      </w:r>
      <w:r>
        <w:rPr>
          <w:snapToGrid w:val="0"/>
        </w:rPr>
        <w:tab/>
        <w:t>deleted]</w:t>
      </w:r>
    </w:p>
    <w:p>
      <w:pPr>
        <w:pStyle w:val="Indenta"/>
        <w:rPr>
          <w:snapToGrid w:val="0"/>
        </w:rPr>
      </w:pP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Ednotepara"/>
        <w:rPr>
          <w:snapToGrid w:val="0"/>
        </w:rPr>
      </w:pPr>
      <w:r>
        <w:rPr>
          <w:snapToGrid w:val="0"/>
        </w:rPr>
        <w:tab/>
        <w:t>[(u),(v)</w:t>
      </w:r>
      <w:r>
        <w:rPr>
          <w:snapToGrid w:val="0"/>
        </w:rPr>
        <w:tab/>
        <w:t>deleted]</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24 of 2007 s. 27; No. 46 of 2010 s. 50.] </w:t>
      </w:r>
    </w:p>
    <w:p>
      <w:pPr>
        <w:pStyle w:val="Ednotesection"/>
      </w:pPr>
      <w:r>
        <w:t>[</w:t>
      </w:r>
      <w:r>
        <w:rPr>
          <w:b/>
        </w:rPr>
        <w:t>106.</w:t>
      </w:r>
      <w:r>
        <w:rPr>
          <w:b/>
        </w:rPr>
        <w:tab/>
      </w:r>
      <w:r>
        <w:t>Deleted by No. 24 of 2007 s. 27.]</w:t>
      </w:r>
    </w:p>
    <w:p>
      <w:pPr>
        <w:pStyle w:val="Heading5"/>
        <w:rPr>
          <w:snapToGrid w:val="0"/>
        </w:rPr>
      </w:pPr>
      <w:bookmarkStart w:id="54" w:name="_Toc375040765"/>
      <w:r>
        <w:rPr>
          <w:rStyle w:val="CharSectno"/>
        </w:rPr>
        <w:t>106A</w:t>
      </w:r>
      <w:r>
        <w:rPr>
          <w:snapToGrid w:val="0"/>
        </w:rPr>
        <w:t xml:space="preserve">. </w:t>
      </w:r>
      <w:r>
        <w:rPr>
          <w:snapToGrid w:val="0"/>
        </w:rPr>
        <w:tab/>
        <w:t>Regulations — storage, use and transport of prescribed chemicals</w:t>
      </w:r>
      <w:bookmarkEnd w:id="54"/>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55" w:name="_Toc375040766"/>
      <w:r>
        <w:rPr>
          <w:rStyle w:val="CharSectno"/>
        </w:rPr>
        <w:t>107</w:t>
      </w:r>
      <w:r>
        <w:rPr>
          <w:snapToGrid w:val="0"/>
        </w:rPr>
        <w:t>.</w:t>
      </w:r>
      <w:r>
        <w:rPr>
          <w:snapToGrid w:val="0"/>
        </w:rPr>
        <w:tab/>
        <w:t>General provisions as to regulations</w:t>
      </w:r>
      <w:bookmarkEnd w:id="5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56" w:name="_Toc375040767"/>
      <w:r>
        <w:rPr>
          <w:rStyle w:val="CharSectno"/>
        </w:rPr>
        <w:t>108</w:t>
      </w:r>
      <w:r>
        <w:t>.</w:t>
      </w:r>
      <w:r>
        <w:tab/>
        <w:t>Penalties under regulations</w:t>
      </w:r>
      <w:bookmarkEnd w:id="56"/>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Ednotepart"/>
      </w:pPr>
      <w:r>
        <w:t>[Part IX (s. 109</w:t>
      </w:r>
      <w:r>
        <w:noBreakHyphen/>
        <w:t>112) deleted by No. 24 of 2007 s. 27.]</w:t>
      </w:r>
    </w:p>
    <w:p>
      <w:pPr>
        <w:pStyle w:val="Ednotepart"/>
      </w:pPr>
      <w:r>
        <w:rPr>
          <w:rStyle w:val="CharPartNo"/>
        </w:rPr>
        <w:t xml:space="preserve"> </w:t>
      </w:r>
      <w:bookmarkStart w:id="57" w:name="endcomma"/>
      <w:bookmarkEnd w:id="57"/>
      <w:r>
        <w:t>[Part X (s. 113</w:t>
      </w:r>
      <w:r>
        <w:noBreakHyphen/>
        <w:t>119) deleted by No. 46 of 2010 s. 53.]</w:t>
      </w:r>
    </w:p>
    <w:p>
      <w:pPr>
        <w:pStyle w:val="Heading2"/>
      </w:pPr>
      <w:bookmarkStart w:id="58" w:name="_Toc375040768"/>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58"/>
    </w:p>
    <w:p>
      <w:pPr>
        <w:pStyle w:val="Footnoteheading"/>
      </w:pPr>
      <w:r>
        <w:tab/>
        <w:t>[Heading inserted by No. 46 of 2010 s. 54.]</w:t>
      </w:r>
    </w:p>
    <w:p>
      <w:pPr>
        <w:pStyle w:val="Heading5"/>
      </w:pPr>
      <w:bookmarkStart w:id="59" w:name="_Toc375040769"/>
      <w:r>
        <w:rPr>
          <w:rStyle w:val="CharSectno"/>
        </w:rPr>
        <w:t>120</w:t>
      </w:r>
      <w:r>
        <w:t>.</w:t>
      </w:r>
      <w:r>
        <w:tab/>
        <w:t>Terms used</w:t>
      </w:r>
      <w:bookmarkEnd w:id="59"/>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60" w:name="_Toc375040770"/>
      <w:r>
        <w:rPr>
          <w:rStyle w:val="CharSectno"/>
        </w:rPr>
        <w:t>121</w:t>
      </w:r>
      <w:r>
        <w:t>.</w:t>
      </w:r>
      <w:r>
        <w:tab/>
        <w:t>Approvals and certificates</w:t>
      </w:r>
      <w:bookmarkEnd w:id="60"/>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r>
        <w:tab/>
        <w:t>[Section 121 inserted by No. 46 of 2010 s. 54.]</w:t>
      </w:r>
    </w:p>
    <w:p>
      <w:pPr>
        <w:pStyle w:val="Heading5"/>
      </w:pPr>
      <w:bookmarkStart w:id="61" w:name="_Toc375040771"/>
      <w:r>
        <w:rPr>
          <w:rStyle w:val="CharSectno"/>
        </w:rPr>
        <w:t>122</w:t>
      </w:r>
      <w:r>
        <w:t>.</w:t>
      </w:r>
      <w:r>
        <w:tab/>
        <w:t>Authorised persons</w:t>
      </w:r>
      <w:bookmarkEnd w:id="61"/>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r>
        <w:tab/>
        <w:t>[Section 122 inserted by No. 46 of 2010 s. 54.]</w:t>
      </w:r>
    </w:p>
    <w:p>
      <w:pPr>
        <w:pStyle w:val="Heading5"/>
      </w:pPr>
      <w:bookmarkStart w:id="62" w:name="_Toc375040772"/>
      <w:r>
        <w:rPr>
          <w:rStyle w:val="CharSectno"/>
        </w:rPr>
        <w:t>123</w:t>
      </w:r>
      <w:r>
        <w:t>.</w:t>
      </w:r>
      <w:r>
        <w:tab/>
        <w:t>Declarations</w:t>
      </w:r>
      <w:bookmarkEnd w:id="62"/>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r>
        <w:tab/>
        <w:t>[Section 123 inserted by No. 46 of 2010 s. 54.]</w:t>
      </w:r>
    </w:p>
    <w:p>
      <w:pPr>
        <w:pStyle w:val="Heading5"/>
      </w:pPr>
      <w:bookmarkStart w:id="63" w:name="_Toc375040773"/>
      <w:r>
        <w:rPr>
          <w:rStyle w:val="CharSectno"/>
        </w:rPr>
        <w:t>124</w:t>
      </w:r>
      <w:r>
        <w:t>.</w:t>
      </w:r>
      <w:r>
        <w:tab/>
        <w:t>Rates payable under section 61</w:t>
      </w:r>
      <w:bookmarkEnd w:id="63"/>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r>
        <w:tab/>
        <w:t>[Section 124 inserted by No. 46 of 2010 s. 54.]</w:t>
      </w:r>
    </w:p>
    <w:p>
      <w:pPr>
        <w:pStyle w:val="Heading5"/>
      </w:pPr>
      <w:bookmarkStart w:id="64" w:name="_Toc375040774"/>
      <w:r>
        <w:rPr>
          <w:rStyle w:val="CharSectno"/>
        </w:rPr>
        <w:t>125</w:t>
      </w:r>
      <w:r>
        <w:t>.</w:t>
      </w:r>
      <w:r>
        <w:tab/>
        <w:t>Funds in, or payable to, former account</w:t>
      </w:r>
      <w:bookmarkEnd w:id="64"/>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r>
        <w:tab/>
        <w:t>[Section 125 inserted by No. 46 of 2010 s. 54.]</w:t>
      </w:r>
    </w:p>
    <w:p>
      <w:pPr>
        <w:pStyle w:val="Heading5"/>
      </w:pPr>
      <w:bookmarkStart w:id="65" w:name="_Toc375040775"/>
      <w:r>
        <w:rPr>
          <w:rStyle w:val="CharSectno"/>
        </w:rPr>
        <w:t>126</w:t>
      </w:r>
      <w:r>
        <w:t>.</w:t>
      </w:r>
      <w:r>
        <w:tab/>
        <w:t>Management programmes</w:t>
      </w:r>
      <w:bookmarkEnd w:id="65"/>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r>
        <w:tab/>
        <w:t>[Section 126 inserted by No. 46 of 2010 s. 54.]</w:t>
      </w:r>
    </w:p>
    <w:p>
      <w:pPr>
        <w:pStyle w:val="Heading5"/>
      </w:pPr>
      <w:bookmarkStart w:id="66" w:name="_Toc375040776"/>
      <w:r>
        <w:rPr>
          <w:rStyle w:val="CharSectno"/>
        </w:rPr>
        <w:t>127</w:t>
      </w:r>
      <w:r>
        <w:t>.</w:t>
      </w:r>
      <w:r>
        <w:tab/>
        <w:t>Notices</w:t>
      </w:r>
      <w:bookmarkEnd w:id="66"/>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r>
        <w:tab/>
        <w:t>[Section 127 inserted by No. 46 of 2010 s. 54.]</w:t>
      </w:r>
    </w:p>
    <w:p>
      <w:pPr>
        <w:pStyle w:val="Heading5"/>
      </w:pPr>
      <w:bookmarkStart w:id="67" w:name="_Toc375040777"/>
      <w:r>
        <w:rPr>
          <w:rStyle w:val="CharSectno"/>
        </w:rPr>
        <w:t>128</w:t>
      </w:r>
      <w:r>
        <w:t>.</w:t>
      </w:r>
      <w:r>
        <w:tab/>
        <w:t>Permissions and authorities</w:t>
      </w:r>
      <w:bookmarkEnd w:id="67"/>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r>
        <w:tab/>
        <w:t>[Section 128 inserted by No. 46 of 2010 s. 54.]</w:t>
      </w:r>
    </w:p>
    <w:p>
      <w:pPr>
        <w:pStyle w:val="Heading5"/>
      </w:pPr>
      <w:bookmarkStart w:id="68" w:name="_Toc375040778"/>
      <w:r>
        <w:rPr>
          <w:rStyle w:val="CharSectno"/>
        </w:rPr>
        <w:t>129</w:t>
      </w:r>
      <w:r>
        <w:t>.</w:t>
      </w:r>
      <w:r>
        <w:tab/>
        <w:t>Transitional regulations</w:t>
      </w:r>
      <w:bookmarkEnd w:id="68"/>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nHeading2"/>
        <w:outlineLvl w:val="0"/>
      </w:pPr>
      <w:bookmarkStart w:id="69" w:name="_Toc375040779"/>
      <w:r>
        <w:t>Notes</w:t>
      </w:r>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70" w:name="_Toc375040780"/>
      <w:r>
        <w:t>Compilation table</w:t>
      </w:r>
      <w:bookmarkEnd w:id="70"/>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6"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5"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6"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5"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6"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5"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6"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5"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6"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5"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6"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5"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6"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5"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6"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5"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6"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5"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6"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5"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6"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5"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6"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5"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6"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5"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6"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5"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6"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5"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6"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5"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6"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5"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6"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5"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6"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5"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6" w:type="dxa"/>
          </w:tcPr>
          <w:p>
            <w:pPr>
              <w:pStyle w:val="nTable"/>
              <w:spacing w:after="40"/>
              <w:ind w:right="113"/>
              <w:rPr>
                <w:i/>
                <w:sz w:val="19"/>
                <w:vertAlign w:val="superscript"/>
              </w:rPr>
            </w:pPr>
            <w:r>
              <w:rPr>
                <w:i/>
                <w:iCs/>
                <w:snapToGrid w:val="0"/>
                <w:sz w:val="19"/>
              </w:rPr>
              <w:t>Courts Legislation Amendment and Repeal Act 2004</w:t>
            </w:r>
            <w:r>
              <w:rPr>
                <w:snapToGrid w:val="0"/>
                <w:sz w:val="19"/>
              </w:rPr>
              <w:t xml:space="preserve"> s. 141 </w:t>
            </w:r>
            <w:r>
              <w:rPr>
                <w:snapToGrid w:val="0"/>
                <w:sz w:val="19"/>
                <w:vertAlign w:val="superscript"/>
              </w:rPr>
              <w:t>15</w:t>
            </w:r>
          </w:p>
        </w:tc>
        <w:tc>
          <w:tcPr>
            <w:tcW w:w="1134" w:type="dxa"/>
          </w:tcPr>
          <w:p>
            <w:pPr>
              <w:pStyle w:val="nTable"/>
              <w:spacing w:after="40"/>
              <w:rPr>
                <w:sz w:val="19"/>
              </w:rPr>
            </w:pPr>
            <w:r>
              <w:rPr>
                <w:snapToGrid w:val="0"/>
                <w:sz w:val="19"/>
              </w:rPr>
              <w:t>59 of 2004 (as amended by No. 2 of 2008 s. 77(13))</w:t>
            </w:r>
          </w:p>
        </w:tc>
        <w:tc>
          <w:tcPr>
            <w:tcW w:w="1135"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6"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5"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6" w:type="dxa"/>
          </w:tcPr>
          <w:p>
            <w:pPr>
              <w:pStyle w:val="nTable"/>
              <w:spacing w:after="40"/>
              <w:ind w:right="113"/>
              <w:rPr>
                <w:i/>
                <w:sz w:val="19"/>
              </w:rPr>
            </w:pPr>
            <w:r>
              <w:rPr>
                <w:i/>
                <w:iCs/>
                <w:snapToGrid w:val="0"/>
                <w:sz w:val="19"/>
              </w:rPr>
              <w:t>Criminal Procedure and Appeals (Consequential and Other Provisions) Act 2004</w:t>
            </w:r>
            <w:r>
              <w:rPr>
                <w:snapToGrid w:val="0"/>
                <w:sz w:val="19"/>
              </w:rPr>
              <w:t xml:space="preserve"> s. 78, 80 and 82</w:t>
            </w:r>
          </w:p>
        </w:tc>
        <w:tc>
          <w:tcPr>
            <w:tcW w:w="1134" w:type="dxa"/>
          </w:tcPr>
          <w:p>
            <w:pPr>
              <w:pStyle w:val="nTable"/>
              <w:spacing w:after="40"/>
              <w:rPr>
                <w:sz w:val="19"/>
              </w:rPr>
            </w:pPr>
            <w:r>
              <w:rPr>
                <w:snapToGrid w:val="0"/>
                <w:sz w:val="19"/>
              </w:rPr>
              <w:t>84 of 2004</w:t>
            </w:r>
          </w:p>
        </w:tc>
        <w:tc>
          <w:tcPr>
            <w:tcW w:w="1135"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6" w:type="dxa"/>
          </w:tcPr>
          <w:p>
            <w:pPr>
              <w:pStyle w:val="nTable"/>
              <w:spacing w:after="40"/>
              <w:ind w:right="113"/>
              <w:rPr>
                <w:i/>
                <w:iCs/>
                <w:snapToGrid w:val="0"/>
                <w:sz w:val="19"/>
              </w:rPr>
            </w:pPr>
            <w:r>
              <w:rPr>
                <w:i/>
                <w:iCs/>
                <w:snapToGrid w:val="0"/>
                <w:sz w:val="19"/>
              </w:rPr>
              <w:t>Limitation Legislation Amendment and Repeal Act 2005</w:t>
            </w:r>
            <w:r>
              <w:rPr>
                <w:snapToGrid w:val="0"/>
                <w:sz w:val="19"/>
              </w:rPr>
              <w:t xml:space="preserve"> Pt. 10 </w:t>
            </w:r>
          </w:p>
        </w:tc>
        <w:tc>
          <w:tcPr>
            <w:tcW w:w="1134" w:type="dxa"/>
          </w:tcPr>
          <w:p>
            <w:pPr>
              <w:pStyle w:val="nTable"/>
              <w:spacing w:after="40"/>
              <w:rPr>
                <w:snapToGrid w:val="0"/>
                <w:sz w:val="19"/>
              </w:rPr>
            </w:pPr>
            <w:r>
              <w:rPr>
                <w:snapToGrid w:val="0"/>
                <w:sz w:val="19"/>
              </w:rPr>
              <w:t>20 of 2005</w:t>
            </w:r>
          </w:p>
        </w:tc>
        <w:tc>
          <w:tcPr>
            <w:tcW w:w="1135" w:type="dxa"/>
          </w:tcPr>
          <w:p>
            <w:pPr>
              <w:pStyle w:val="nTable"/>
              <w:spacing w:after="40"/>
              <w:rPr>
                <w:sz w:val="19"/>
              </w:rPr>
            </w:pPr>
            <w:r>
              <w:rPr>
                <w:sz w:val="19"/>
              </w:rPr>
              <w:t>15 Nov 2005</w:t>
            </w:r>
          </w:p>
        </w:tc>
        <w:tc>
          <w:tcPr>
            <w:tcW w:w="2552" w:type="dxa"/>
          </w:tcPr>
          <w:p>
            <w:pPr>
              <w:pStyle w:val="nTable"/>
              <w:spacing w:after="40"/>
              <w:rPr>
                <w:snapToGrid w:val="0"/>
                <w:sz w:val="19"/>
              </w:rPr>
            </w:pPr>
            <w:r>
              <w:rPr>
                <w:snapToGrid w:val="0"/>
                <w:sz w:val="19"/>
              </w:rPr>
              <w:t>15 Nov 2005 (see s. 2)</w:t>
            </w:r>
          </w:p>
        </w:tc>
      </w:tr>
      <w:tr>
        <w:trPr>
          <w:cantSplit/>
        </w:trPr>
        <w:tc>
          <w:tcPr>
            <w:tcW w:w="2266" w:type="dxa"/>
          </w:tcPr>
          <w:p>
            <w:pPr>
              <w:pStyle w:val="nTable"/>
              <w:spacing w:after="40"/>
              <w:ind w:right="113"/>
              <w:rPr>
                <w:i/>
                <w:iCs/>
                <w:snapToGrid w:val="0"/>
                <w:sz w:val="19"/>
              </w:rPr>
            </w:pPr>
            <w:r>
              <w:rPr>
                <w:i/>
                <w:iCs/>
                <w:snapToGrid w:val="0"/>
                <w:sz w:val="19"/>
              </w:rPr>
              <w:t>Agriculture and Related Resources Protection Amendment Act 2006</w:t>
            </w:r>
          </w:p>
        </w:tc>
        <w:tc>
          <w:tcPr>
            <w:tcW w:w="1134" w:type="dxa"/>
          </w:tcPr>
          <w:p>
            <w:pPr>
              <w:pStyle w:val="nTable"/>
              <w:spacing w:after="40"/>
              <w:rPr>
                <w:snapToGrid w:val="0"/>
                <w:sz w:val="19"/>
              </w:rPr>
            </w:pPr>
            <w:r>
              <w:rPr>
                <w:snapToGrid w:val="0"/>
                <w:sz w:val="19"/>
              </w:rPr>
              <w:t>6 of 2006</w:t>
            </w:r>
          </w:p>
        </w:tc>
        <w:tc>
          <w:tcPr>
            <w:tcW w:w="1135" w:type="dxa"/>
          </w:tcPr>
          <w:p>
            <w:pPr>
              <w:pStyle w:val="nTable"/>
              <w:spacing w:after="40"/>
              <w:rPr>
                <w:sz w:val="19"/>
              </w:rPr>
            </w:pPr>
            <w:r>
              <w:rPr>
                <w:sz w:val="19"/>
              </w:rPr>
              <w:t>12 Apr 2006</w:t>
            </w:r>
          </w:p>
        </w:tc>
        <w:tc>
          <w:tcPr>
            <w:tcW w:w="2552" w:type="dxa"/>
          </w:tcPr>
          <w:p>
            <w:pPr>
              <w:pStyle w:val="nTable"/>
              <w:spacing w:after="40"/>
              <w:rPr>
                <w:snapToGrid w:val="0"/>
                <w:sz w:val="19"/>
              </w:rPr>
            </w:pPr>
            <w:r>
              <w:rPr>
                <w:snapToGrid w:val="0"/>
                <w:sz w:val="19"/>
              </w:rPr>
              <w:t>12 Apr 2006 (see s. 2)</w:t>
            </w:r>
          </w:p>
        </w:tc>
      </w:tr>
      <w:tr>
        <w:trPr>
          <w:cantSplit/>
        </w:trPr>
        <w:tc>
          <w:tcPr>
            <w:tcW w:w="7087" w:type="dxa"/>
            <w:gridSpan w:val="4"/>
          </w:tcPr>
          <w:p>
            <w:pPr>
              <w:pStyle w:val="nTable"/>
              <w:spacing w:after="40"/>
              <w:rPr>
                <w:snapToGrid w:val="0"/>
                <w:sz w:val="19"/>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6" w:type="dxa"/>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2 Div 2</w:t>
            </w:r>
            <w:r>
              <w:rPr>
                <w:snapToGrid w:val="0"/>
                <w:sz w:val="19"/>
                <w:vertAlign w:val="superscript"/>
              </w:rPr>
              <w:t> 16</w:t>
            </w:r>
          </w:p>
        </w:tc>
        <w:tc>
          <w:tcPr>
            <w:tcW w:w="1134" w:type="dxa"/>
          </w:tcPr>
          <w:p>
            <w:pPr>
              <w:pStyle w:val="nTable"/>
              <w:spacing w:after="40"/>
              <w:rPr>
                <w:snapToGrid w:val="0"/>
                <w:sz w:val="19"/>
              </w:rPr>
            </w:pPr>
            <w:r>
              <w:rPr>
                <w:snapToGrid w:val="0"/>
                <w:sz w:val="19"/>
              </w:rPr>
              <w:t>28 of 2006</w:t>
            </w:r>
          </w:p>
        </w:tc>
        <w:tc>
          <w:tcPr>
            <w:tcW w:w="1135" w:type="dxa"/>
          </w:tcPr>
          <w:p>
            <w:pPr>
              <w:pStyle w:val="nTable"/>
              <w:spacing w:after="40"/>
              <w:rPr>
                <w:sz w:val="19"/>
              </w:rPr>
            </w:pPr>
            <w:r>
              <w:rPr>
                <w:sz w:val="19"/>
              </w:rPr>
              <w:t>26 Jun 2006</w:t>
            </w:r>
          </w:p>
        </w:tc>
        <w:tc>
          <w:tcPr>
            <w:tcW w:w="2552" w:type="dxa"/>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rPr>
          <w:cantSplit/>
        </w:trPr>
        <w:tc>
          <w:tcPr>
            <w:tcW w:w="2266" w:type="dxa"/>
          </w:tcPr>
          <w:p>
            <w:pPr>
              <w:pStyle w:val="nTable"/>
              <w:spacing w:after="40"/>
              <w:ind w:right="113"/>
              <w:rPr>
                <w:i/>
                <w:iCs/>
                <w:snapToGrid w:val="0"/>
                <w:sz w:val="19"/>
              </w:rPr>
            </w:pPr>
            <w:r>
              <w:rPr>
                <w:i/>
                <w:snapToGrid w:val="0"/>
                <w:sz w:val="19"/>
              </w:rPr>
              <w:t>Land Information Authority Act 2006</w:t>
            </w:r>
            <w:r>
              <w:rPr>
                <w:iCs/>
                <w:snapToGrid w:val="0"/>
                <w:sz w:val="19"/>
              </w:rPr>
              <w:t xml:space="preserve"> s. 121</w:t>
            </w:r>
          </w:p>
        </w:tc>
        <w:tc>
          <w:tcPr>
            <w:tcW w:w="1134" w:type="dxa"/>
          </w:tcPr>
          <w:p>
            <w:pPr>
              <w:pStyle w:val="nTable"/>
              <w:spacing w:after="40"/>
              <w:rPr>
                <w:snapToGrid w:val="0"/>
                <w:sz w:val="19"/>
              </w:rPr>
            </w:pPr>
            <w:r>
              <w:rPr>
                <w:snapToGrid w:val="0"/>
                <w:sz w:val="19"/>
              </w:rPr>
              <w:t>60 of 2006</w:t>
            </w:r>
          </w:p>
        </w:tc>
        <w:tc>
          <w:tcPr>
            <w:tcW w:w="1135" w:type="dxa"/>
          </w:tcPr>
          <w:p>
            <w:pPr>
              <w:pStyle w:val="nTable"/>
              <w:spacing w:after="40"/>
              <w:rPr>
                <w:sz w:val="19"/>
              </w:rPr>
            </w:pPr>
            <w:r>
              <w:rPr>
                <w:snapToGrid w:val="0"/>
                <w:sz w:val="19"/>
              </w:rPr>
              <w:t>16 Nov 2006</w:t>
            </w:r>
          </w:p>
        </w:tc>
        <w:tc>
          <w:tcPr>
            <w:tcW w:w="2552" w:type="dxa"/>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rPr>
          <w:cantSplit/>
        </w:trPr>
        <w:tc>
          <w:tcPr>
            <w:tcW w:w="2266" w:type="dxa"/>
          </w:tcPr>
          <w:p>
            <w:pPr>
              <w:pStyle w:val="nTable"/>
              <w:spacing w:after="40"/>
              <w:ind w:right="113"/>
              <w:rPr>
                <w:i/>
                <w:snapToGrid w:val="0"/>
                <w:sz w:val="19"/>
              </w:rPr>
            </w:pPr>
            <w:r>
              <w:rPr>
                <w:i/>
                <w:snapToGrid w:val="0"/>
                <w:sz w:val="19"/>
              </w:rPr>
              <w:t>Financial Legislation Amendment and Repeal Act 2006</w:t>
            </w:r>
            <w:r>
              <w:rPr>
                <w:iCs/>
                <w:snapToGrid w:val="0"/>
                <w:sz w:val="19"/>
              </w:rPr>
              <w:t xml:space="preserve"> s. 4 and 17</w:t>
            </w:r>
          </w:p>
        </w:tc>
        <w:tc>
          <w:tcPr>
            <w:tcW w:w="1134" w:type="dxa"/>
          </w:tcPr>
          <w:p>
            <w:pPr>
              <w:pStyle w:val="nTable"/>
              <w:spacing w:after="40"/>
              <w:rPr>
                <w:snapToGrid w:val="0"/>
                <w:sz w:val="19"/>
              </w:rPr>
            </w:pPr>
            <w:r>
              <w:rPr>
                <w:snapToGrid w:val="0"/>
                <w:sz w:val="19"/>
              </w:rPr>
              <w:t>77 of 2006</w:t>
            </w:r>
          </w:p>
        </w:tc>
        <w:tc>
          <w:tcPr>
            <w:tcW w:w="1135" w:type="dxa"/>
          </w:tcPr>
          <w:p>
            <w:pPr>
              <w:pStyle w:val="nTable"/>
              <w:spacing w:after="40"/>
              <w:rPr>
                <w:snapToGrid w:val="0"/>
                <w:sz w:val="19"/>
              </w:rPr>
            </w:pPr>
            <w:r>
              <w:rPr>
                <w:snapToGrid w:val="0"/>
                <w:sz w:val="19"/>
              </w:rPr>
              <w:t>21 Dec 2006</w:t>
            </w:r>
          </w:p>
        </w:tc>
        <w:tc>
          <w:tcPr>
            <w:tcW w:w="2552" w:type="dxa"/>
          </w:tcPr>
          <w:p>
            <w:pPr>
              <w:pStyle w:val="nTable"/>
              <w:spacing w:after="40"/>
              <w:rPr>
                <w:snapToGrid w:val="0"/>
                <w:sz w:val="19"/>
              </w:rPr>
            </w:pPr>
            <w:r>
              <w:rPr>
                <w:snapToGrid w:val="0"/>
                <w:sz w:val="19"/>
              </w:rPr>
              <w:t xml:space="preserve">1 Feb 2007 (see s. 2 and </w:t>
            </w:r>
            <w:r>
              <w:rPr>
                <w:i/>
                <w:iCs/>
                <w:snapToGrid w:val="0"/>
                <w:sz w:val="19"/>
              </w:rPr>
              <w:t>Gazette</w:t>
            </w:r>
            <w:r>
              <w:rPr>
                <w:snapToGrid w:val="0"/>
                <w:sz w:val="19"/>
              </w:rPr>
              <w:t xml:space="preserve"> 19 Jan 2007 p. 137)</w:t>
            </w:r>
          </w:p>
        </w:tc>
      </w:tr>
      <w:tr>
        <w:trPr>
          <w:cantSplit/>
        </w:trPr>
        <w:tc>
          <w:tcPr>
            <w:tcW w:w="2266" w:type="dxa"/>
          </w:tcPr>
          <w:p>
            <w:pPr>
              <w:pStyle w:val="nTable"/>
              <w:spacing w:after="40"/>
              <w:ind w:right="113"/>
              <w:rPr>
                <w:i/>
                <w:snapToGrid w:val="0"/>
                <w:sz w:val="19"/>
              </w:rPr>
            </w:pPr>
            <w:r>
              <w:rPr>
                <w:i/>
                <w:snapToGrid w:val="0"/>
                <w:sz w:val="19"/>
                <w:szCs w:val="19"/>
              </w:rPr>
              <w:t>Biosecurity and Agriculture Management (Repeal and Consequential Provisions) Act 2007</w:t>
            </w:r>
            <w:r>
              <w:rPr>
                <w:iCs/>
                <w:snapToGrid w:val="0"/>
                <w:sz w:val="19"/>
                <w:szCs w:val="19"/>
              </w:rPr>
              <w:t xml:space="preserve"> s. 27 </w:t>
            </w:r>
            <w:r>
              <w:rPr>
                <w:iCs/>
                <w:snapToGrid w:val="0"/>
                <w:sz w:val="19"/>
                <w:szCs w:val="19"/>
                <w:vertAlign w:val="superscript"/>
              </w:rPr>
              <w:t>17</w:t>
            </w:r>
          </w:p>
        </w:tc>
        <w:tc>
          <w:tcPr>
            <w:tcW w:w="1134" w:type="dxa"/>
          </w:tcPr>
          <w:p>
            <w:pPr>
              <w:pStyle w:val="nTable"/>
              <w:spacing w:after="40"/>
              <w:rPr>
                <w:snapToGrid w:val="0"/>
                <w:sz w:val="19"/>
              </w:rPr>
            </w:pPr>
            <w:r>
              <w:rPr>
                <w:snapToGrid w:val="0"/>
                <w:sz w:val="19"/>
                <w:szCs w:val="19"/>
              </w:rPr>
              <w:t>24 of 2007</w:t>
            </w:r>
          </w:p>
        </w:tc>
        <w:tc>
          <w:tcPr>
            <w:tcW w:w="1135" w:type="dxa"/>
          </w:tcPr>
          <w:p>
            <w:pPr>
              <w:pStyle w:val="nTable"/>
              <w:spacing w:after="40"/>
              <w:rPr>
                <w:snapToGrid w:val="0"/>
                <w:sz w:val="19"/>
              </w:rPr>
            </w:pPr>
            <w:r>
              <w:rPr>
                <w:snapToGrid w:val="0"/>
                <w:sz w:val="19"/>
                <w:szCs w:val="19"/>
              </w:rPr>
              <w:t>12 Oct 2007</w:t>
            </w:r>
          </w:p>
        </w:tc>
        <w:tc>
          <w:tcPr>
            <w:tcW w:w="2552" w:type="dxa"/>
          </w:tcPr>
          <w:p>
            <w:pPr>
              <w:pStyle w:val="nTable"/>
              <w:spacing w:after="40"/>
              <w:rPr>
                <w:snapToGrid w:val="0"/>
                <w:sz w:val="19"/>
                <w:vertAlign w:val="superscript"/>
              </w:rPr>
            </w:pPr>
            <w:r>
              <w:rPr>
                <w:snapToGrid w:val="0"/>
                <w:sz w:val="19"/>
              </w:rPr>
              <w:t xml:space="preserve">23 Nov 2011 (see s. 2(2) and </w:t>
            </w:r>
            <w:r>
              <w:rPr>
                <w:i/>
                <w:snapToGrid w:val="0"/>
                <w:sz w:val="19"/>
              </w:rPr>
              <w:t>Gazette</w:t>
            </w:r>
            <w:r>
              <w:rPr>
                <w:snapToGrid w:val="0"/>
                <w:sz w:val="19"/>
              </w:rPr>
              <w:t xml:space="preserve"> 22 Nov 2011 p. 4843) </w:t>
            </w:r>
            <w:r>
              <w:rPr>
                <w:snapToGrid w:val="0"/>
                <w:sz w:val="19"/>
                <w:vertAlign w:val="superscript"/>
              </w:rPr>
              <w:t>17</w:t>
            </w:r>
            <w:r>
              <w:rPr>
                <w:snapToGrid w:val="0"/>
                <w:sz w:val="19"/>
              </w:rPr>
              <w:t>:</w:t>
            </w:r>
            <w:r>
              <w:rPr>
                <w:snapToGrid w:val="0"/>
                <w:sz w:val="19"/>
              </w:rPr>
              <w:br/>
            </w:r>
            <w:r>
              <w:rPr>
                <w:snapToGrid w:val="0"/>
                <w:sz w:val="19"/>
                <w:szCs w:val="19"/>
              </w:rPr>
              <w:t xml:space="preserve">1 May 2013 (see s. 2(2) and </w:t>
            </w:r>
            <w:r>
              <w:rPr>
                <w:i/>
                <w:snapToGrid w:val="0"/>
                <w:sz w:val="19"/>
                <w:szCs w:val="19"/>
              </w:rPr>
              <w:t xml:space="preserve">Gazette </w:t>
            </w:r>
            <w:r>
              <w:rPr>
                <w:snapToGrid w:val="0"/>
                <w:sz w:val="19"/>
                <w:szCs w:val="19"/>
              </w:rPr>
              <w:t>5 Feb 2013 p. 824) </w:t>
            </w:r>
            <w:r>
              <w:rPr>
                <w:snapToGrid w:val="0"/>
                <w:sz w:val="19"/>
                <w:szCs w:val="19"/>
                <w:vertAlign w:val="superscript"/>
              </w:rPr>
              <w:t>21</w:t>
            </w:r>
          </w:p>
        </w:tc>
      </w:tr>
      <w:tr>
        <w:trPr>
          <w:cantSplit/>
        </w:trPr>
        <w:tc>
          <w:tcPr>
            <w:tcW w:w="2266" w:type="dxa"/>
            <w:tcBorders>
              <w:bottom w:val="single" w:sz="4" w:space="0" w:color="auto"/>
            </w:tcBorders>
          </w:tcPr>
          <w:p>
            <w:pPr>
              <w:pStyle w:val="nTable"/>
              <w:spacing w:after="40"/>
              <w:ind w:right="113"/>
              <w:rPr>
                <w:i/>
                <w:snapToGrid w:val="0"/>
                <w:sz w:val="19"/>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rPr>
            </w:pPr>
            <w:r>
              <w:rPr>
                <w:snapToGrid w:val="0"/>
                <w:sz w:val="19"/>
              </w:rPr>
              <w:t>46 of 2010</w:t>
            </w:r>
          </w:p>
        </w:tc>
        <w:tc>
          <w:tcPr>
            <w:tcW w:w="1135" w:type="dxa"/>
            <w:tcBorders>
              <w:bottom w:val="single" w:sz="4" w:space="0" w:color="auto"/>
            </w:tcBorders>
          </w:tcPr>
          <w:p>
            <w:pPr>
              <w:pStyle w:val="nTable"/>
              <w:spacing w:after="40"/>
              <w:rPr>
                <w:snapToGrid w:val="0"/>
                <w:sz w:val="19"/>
              </w:rPr>
            </w:pPr>
            <w:r>
              <w:rPr>
                <w:snapToGrid w:val="0"/>
                <w:sz w:val="19"/>
              </w:rPr>
              <w:t>28 Oct 2010</w:t>
            </w:r>
          </w:p>
        </w:tc>
        <w:tc>
          <w:tcPr>
            <w:tcW w:w="2552" w:type="dxa"/>
            <w:tcBorders>
              <w:bottom w:val="single" w:sz="4" w:space="0" w:color="auto"/>
            </w:tcBorders>
          </w:tcPr>
          <w:p>
            <w:pPr>
              <w:pStyle w:val="nTable"/>
              <w:spacing w:after="40"/>
              <w:rPr>
                <w:snapToGrid w:val="0"/>
                <w:sz w:val="19"/>
              </w:rPr>
            </w:pPr>
            <w:r>
              <w:rPr>
                <w:snapToGrid w:val="0"/>
                <w:sz w:val="19"/>
              </w:rPr>
              <w:t xml:space="preserve">18 Dec 2010 (see s. 2(b) and </w:t>
            </w:r>
            <w:r>
              <w:rPr>
                <w:i/>
                <w:iCs/>
                <w:snapToGrid w:val="0"/>
                <w:sz w:val="19"/>
              </w:rPr>
              <w:t>Gazette</w:t>
            </w:r>
            <w:r>
              <w:rPr>
                <w:snapToGrid w:val="0"/>
                <w:sz w:val="19"/>
              </w:rPr>
              <w:t xml:space="preserve"> 17 Dec 2010 p. 6349)</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71" w:name="_Toc375040781"/>
      <w:r>
        <w:t>Provisions that have not come into operation</w:t>
      </w:r>
      <w:bookmarkEnd w:id="71"/>
    </w:p>
    <w:tbl>
      <w:tblPr>
        <w:tblW w:w="0" w:type="auto"/>
        <w:tblInd w:w="28" w:type="dxa"/>
        <w:tblLayout w:type="fixed"/>
        <w:tblCellMar>
          <w:left w:w="28" w:type="dxa"/>
          <w:right w:w="28" w:type="dxa"/>
        </w:tblCellMar>
        <w:tblLook w:val="0000" w:firstRow="0" w:lastRow="0" w:firstColumn="0" w:lastColumn="0" w:noHBand="0" w:noVBand="0"/>
      </w:tblPr>
      <w:tblGrid>
        <w:gridCol w:w="2240"/>
        <w:gridCol w:w="1134"/>
        <w:gridCol w:w="1134"/>
        <w:gridCol w:w="2608"/>
      </w:tblGrid>
      <w:tr>
        <w:trPr>
          <w:cantSplit/>
          <w:tblHeader/>
        </w:trPr>
        <w:tc>
          <w:tcPr>
            <w:tcW w:w="224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608"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4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134" w:type="dxa"/>
            <w:tcBorders>
              <w:top w:val="single" w:sz="8" w:space="0" w:color="auto"/>
            </w:tcBorders>
          </w:tcPr>
          <w:p>
            <w:pPr>
              <w:pStyle w:val="nTable"/>
              <w:keepNext/>
              <w:spacing w:before="120"/>
              <w:rPr>
                <w:sz w:val="19"/>
                <w:szCs w:val="19"/>
              </w:rPr>
            </w:pPr>
            <w:r>
              <w:rPr>
                <w:sz w:val="19"/>
                <w:szCs w:val="19"/>
              </w:rPr>
              <w:t>43 of 2000</w:t>
            </w:r>
          </w:p>
        </w:tc>
        <w:tc>
          <w:tcPr>
            <w:tcW w:w="1134" w:type="dxa"/>
            <w:tcBorders>
              <w:top w:val="single" w:sz="8" w:space="0" w:color="auto"/>
            </w:tcBorders>
          </w:tcPr>
          <w:p>
            <w:pPr>
              <w:pStyle w:val="nTable"/>
              <w:keepNext/>
              <w:spacing w:before="120"/>
              <w:rPr>
                <w:sz w:val="19"/>
                <w:szCs w:val="19"/>
              </w:rPr>
            </w:pPr>
            <w:r>
              <w:rPr>
                <w:sz w:val="19"/>
                <w:szCs w:val="19"/>
              </w:rPr>
              <w:t>2 Nov 2000</w:t>
            </w:r>
          </w:p>
        </w:tc>
        <w:tc>
          <w:tcPr>
            <w:tcW w:w="2608"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40" w:type="dxa"/>
          </w:tcPr>
          <w:p>
            <w:pPr>
              <w:pStyle w:val="nTable"/>
              <w:spacing w:before="120"/>
              <w:ind w:right="113"/>
              <w:rPr>
                <w:vertAlign w:val="superscript"/>
              </w:rPr>
            </w:pPr>
            <w:r>
              <w:rPr>
                <w:i/>
                <w:snapToGrid w:val="0"/>
                <w:sz w:val="19"/>
                <w:szCs w:val="19"/>
              </w:rPr>
              <w:t xml:space="preserve">Road Traffic Legislation Amendment Act 2012 </w:t>
            </w:r>
            <w:r>
              <w:rPr>
                <w:snapToGrid w:val="0"/>
                <w:sz w:val="19"/>
                <w:szCs w:val="19"/>
              </w:rPr>
              <w:t>Pt. 4 Div. 1</w:t>
            </w:r>
            <w:r>
              <w:rPr>
                <w:vertAlign w:val="superscript"/>
              </w:rPr>
              <w:t> 19</w:t>
            </w:r>
          </w:p>
        </w:tc>
        <w:tc>
          <w:tcPr>
            <w:tcW w:w="1134" w:type="dxa"/>
          </w:tcPr>
          <w:p>
            <w:pPr>
              <w:pStyle w:val="nTable"/>
              <w:keepNext/>
              <w:spacing w:before="120"/>
              <w:rPr>
                <w:snapToGrid w:val="0"/>
                <w:sz w:val="19"/>
                <w:szCs w:val="19"/>
              </w:rPr>
            </w:pPr>
            <w:r>
              <w:rPr>
                <w:snapToGrid w:val="0"/>
                <w:sz w:val="19"/>
                <w:szCs w:val="19"/>
              </w:rPr>
              <w:t>8 of 2012</w:t>
            </w:r>
          </w:p>
        </w:tc>
        <w:tc>
          <w:tcPr>
            <w:tcW w:w="1134" w:type="dxa"/>
          </w:tcPr>
          <w:p>
            <w:pPr>
              <w:pStyle w:val="nTable"/>
              <w:keepNext/>
              <w:spacing w:before="120"/>
              <w:rPr>
                <w:snapToGrid w:val="0"/>
                <w:sz w:val="19"/>
                <w:szCs w:val="19"/>
              </w:rPr>
            </w:pPr>
            <w:r>
              <w:rPr>
                <w:snapToGrid w:val="0"/>
                <w:sz w:val="19"/>
                <w:szCs w:val="19"/>
              </w:rPr>
              <w:t>21 May 2012</w:t>
            </w:r>
          </w:p>
        </w:tc>
        <w:tc>
          <w:tcPr>
            <w:tcW w:w="2608" w:type="dxa"/>
          </w:tcPr>
          <w:p>
            <w:pPr>
              <w:pStyle w:val="nTable"/>
              <w:keepNext/>
              <w:spacing w:before="120"/>
              <w:rPr>
                <w:snapToGrid w:val="0"/>
                <w:sz w:val="19"/>
                <w:szCs w:val="19"/>
              </w:rPr>
            </w:pPr>
            <w:r>
              <w:rPr>
                <w:snapToGrid w:val="0"/>
                <w:sz w:val="19"/>
                <w:szCs w:val="19"/>
              </w:rPr>
              <w:t xml:space="preserve">Operative on commencement of the </w:t>
            </w:r>
            <w:r>
              <w:rPr>
                <w:i/>
                <w:snapToGrid w:val="0"/>
                <w:sz w:val="19"/>
                <w:szCs w:val="19"/>
              </w:rPr>
              <w:t>Road Traffic (Administration) Act 2008</w:t>
            </w:r>
            <w:r>
              <w:rPr>
                <w:snapToGrid w:val="0"/>
                <w:sz w:val="19"/>
                <w:szCs w:val="19"/>
              </w:rPr>
              <w:t xml:space="preserve"> (see s. 2(d))</w:t>
            </w:r>
          </w:p>
        </w:tc>
      </w:tr>
      <w:tr>
        <w:trPr>
          <w:cantSplit/>
        </w:trPr>
        <w:tc>
          <w:tcPr>
            <w:tcW w:w="2240" w:type="dxa"/>
            <w:tcBorders>
              <w:bottom w:val="single" w:sz="4" w:space="0" w:color="auto"/>
            </w:tcBorders>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1</w:t>
            </w:r>
            <w:r>
              <w:rPr>
                <w:snapToGrid w:val="0"/>
                <w:sz w:val="19"/>
                <w:szCs w:val="19"/>
                <w:vertAlign w:val="superscript"/>
              </w:rPr>
              <w:t> 20</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23 of 2012</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29 Aug 2012</w:t>
            </w:r>
          </w:p>
        </w:tc>
        <w:tc>
          <w:tcPr>
            <w:tcW w:w="2608" w:type="dxa"/>
            <w:tcBorders>
              <w:bottom w:val="single" w:sz="4" w:space="0" w:color="auto"/>
            </w:tcBorders>
          </w:tcPr>
          <w:p>
            <w:pPr>
              <w:pStyle w:val="nTable"/>
              <w:keepNext/>
              <w:spacing w:before="120"/>
              <w:rPr>
                <w:snapToGrid w:val="0"/>
                <w:sz w:val="19"/>
                <w:szCs w:val="19"/>
              </w:rPr>
            </w:pPr>
            <w:r>
              <w:rPr>
                <w:snapToGrid w:val="0"/>
                <w:sz w:val="19"/>
                <w:szCs w:val="19"/>
              </w:rPr>
              <w:t>To be proclaimed (see s. 1B(b))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r>
        <w:rPr>
          <w:rStyle w:val="CharSectno"/>
        </w:rPr>
        <w:t>3</w:t>
      </w:r>
      <w:r>
        <w:t>.</w:t>
      </w:r>
      <w:r>
        <w:tab/>
        <w:t xml:space="preserve">Relationship with other Acts </w:t>
      </w:r>
    </w:p>
    <w:p>
      <w:pPr>
        <w:pStyle w:val="nzSubsection"/>
      </w:pPr>
      <w:r>
        <w:tab/>
      </w:r>
      <w:r>
        <w:tab/>
        <w:t xml:space="preserve">The </w:t>
      </w:r>
      <w:r>
        <w:rPr>
          <w:i/>
        </w:rPr>
        <w:t>Taxation Administration Act 2003</w:t>
      </w:r>
      <w:r>
        <w:t xml:space="preserve"> is to be read with this Act as if they formed a single Act.</w:t>
      </w:r>
    </w:p>
    <w:p>
      <w:pPr>
        <w:pStyle w:val="nzHeading5"/>
      </w:pPr>
      <w:r>
        <w:rPr>
          <w:rStyle w:val="CharSectno"/>
        </w:rPr>
        <w:t>4</w:t>
      </w:r>
      <w:r>
        <w:t>.</w:t>
      </w:r>
      <w:r>
        <w:tab/>
        <w:t>Meaning of terms used in this Act</w:t>
      </w:r>
    </w:p>
    <w:p>
      <w:pPr>
        <w:pStyle w:val="nzSubsection"/>
      </w:pPr>
      <w:r>
        <w:tab/>
      </w:r>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r>
        <w:rPr>
          <w:rStyle w:val="CharSectno"/>
        </w:rPr>
        <w:t>33</w:t>
      </w:r>
      <w:r>
        <w:t>.</w:t>
      </w:r>
      <w:r>
        <w:tab/>
        <w:t>Definitions</w:t>
      </w:r>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r>
        <w:rPr>
          <w:rStyle w:val="CharSectno"/>
        </w:rPr>
        <w:t>34</w:t>
      </w:r>
      <w:r>
        <w:t>.</w:t>
      </w:r>
      <w:r>
        <w:tab/>
        <w:t xml:space="preserve">General transitional arrangements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r>
        <w:rPr>
          <w:rStyle w:val="CharSectno"/>
        </w:rPr>
        <w:t>35</w:t>
      </w:r>
      <w:r>
        <w:t>.</w:t>
      </w:r>
      <w:r>
        <w:tab/>
        <w:t>Commissioner not to increase tax liability</w:t>
      </w:r>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r>
        <w:rPr>
          <w:rStyle w:val="CharSectno"/>
        </w:rPr>
        <w:t>36</w:t>
      </w:r>
      <w:r>
        <w:t>.</w:t>
      </w:r>
      <w:r>
        <w:tab/>
        <w:t>Delegations</w:t>
      </w:r>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r>
        <w:rPr>
          <w:rStyle w:val="CharSectno"/>
        </w:rPr>
        <w:t>37</w:t>
      </w:r>
      <w:r>
        <w:t>.</w:t>
      </w:r>
      <w:r>
        <w:tab/>
        <w:t>Certificates of exemption from tax (</w:t>
      </w:r>
      <w:r>
        <w:rPr>
          <w:i/>
        </w:rPr>
        <w:t>Debits Tax Assessment Act 1990</w:t>
      </w:r>
      <w:r>
        <w:t>, s. 11)</w:t>
      </w:r>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r>
        <w:rPr>
          <w:rStyle w:val="CharSectno"/>
        </w:rPr>
        <w:t>38</w:t>
      </w:r>
      <w:r>
        <w:t>.</w:t>
      </w:r>
      <w:r>
        <w:tab/>
        <w:t>Exemptions for certain home unit owners (</w:t>
      </w:r>
      <w:r>
        <w:rPr>
          <w:i/>
        </w:rPr>
        <w:t>Land Tax Assessment Act 1976</w:t>
      </w:r>
      <w:r>
        <w:t>, s. 19)</w:t>
      </w:r>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r>
        <w:rPr>
          <w:rStyle w:val="CharSectno"/>
        </w:rPr>
        <w:t>39</w:t>
      </w:r>
      <w:r>
        <w:t>.</w:t>
      </w:r>
      <w:r>
        <w:tab/>
        <w:t>Inner city residential property rebate (</w:t>
      </w:r>
      <w:r>
        <w:rPr>
          <w:i/>
        </w:rPr>
        <w:t>Land Tax Assessment Act 1976</w:t>
      </w:r>
      <w:r>
        <w:t>, s. 23AB)</w:t>
      </w:r>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r>
        <w:rPr>
          <w:rStyle w:val="CharSectno"/>
        </w:rPr>
        <w:t>40</w:t>
      </w:r>
      <w:r>
        <w:t>.</w:t>
      </w:r>
      <w:r>
        <w:tab/>
        <w:t>Land tax relief Acts</w:t>
      </w:r>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r>
        <w:rPr>
          <w:rStyle w:val="CharSectno"/>
        </w:rPr>
        <w:t>41</w:t>
      </w:r>
      <w:r>
        <w:t>.</w:t>
      </w:r>
      <w:r>
        <w:tab/>
        <w:t>Treatment of certain contributions (</w:t>
      </w:r>
      <w:r>
        <w:rPr>
          <w:i/>
        </w:rPr>
        <w:t>Pay</w:t>
      </w:r>
      <w:r>
        <w:rPr>
          <w:i/>
        </w:rPr>
        <w:noBreakHyphen/>
        <w:t>roll Tax Assessment Act 1971</w:t>
      </w:r>
      <w:r>
        <w:t>, Sch. 2 cl. 5)</w:t>
      </w:r>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r>
        <w:rPr>
          <w:rStyle w:val="CharSectno"/>
        </w:rPr>
        <w:t>42</w:t>
      </w:r>
      <w:r>
        <w:t>.</w:t>
      </w:r>
      <w:r>
        <w:tab/>
        <w:t>Reassessments and refunds (</w:t>
      </w:r>
      <w:r>
        <w:rPr>
          <w:i/>
        </w:rPr>
        <w:t>Pay</w:t>
      </w:r>
      <w:r>
        <w:rPr>
          <w:i/>
        </w:rPr>
        <w:noBreakHyphen/>
        <w:t>roll Tax Assessment Act 1971</w:t>
      </w:r>
      <w:r>
        <w:t>, s. 19)</w:t>
      </w:r>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r>
        <w:rPr>
          <w:rStyle w:val="CharSectno"/>
        </w:rPr>
        <w:t>43</w:t>
      </w:r>
      <w:r>
        <w:t>.</w:t>
      </w:r>
      <w:r>
        <w:tab/>
        <w:t>Adhesive stamps (</w:t>
      </w:r>
      <w:r>
        <w:rPr>
          <w:i/>
        </w:rPr>
        <w:t>Stamp Act 1921</w:t>
      </w:r>
      <w:r>
        <w:t>, s. 15, 21 and 23)</w:t>
      </w:r>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r>
        <w:rPr>
          <w:rStyle w:val="CharSectno"/>
        </w:rPr>
        <w:t>44</w:t>
      </w:r>
      <w:r>
        <w:t>.</w:t>
      </w:r>
      <w:r>
        <w:tab/>
        <w:t>Printing of “Stamp Duty Paid” on cheques (</w:t>
      </w:r>
      <w:r>
        <w:rPr>
          <w:i/>
        </w:rPr>
        <w:t xml:space="preserve">Stamp Act 1921, </w:t>
      </w:r>
      <w:r>
        <w:t>s. 52)</w:t>
      </w:r>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r>
        <w:rPr>
          <w:rStyle w:val="CharSectno"/>
        </w:rPr>
        <w:t>45</w:t>
      </w:r>
      <w:r>
        <w:t>.</w:t>
      </w:r>
      <w:r>
        <w:tab/>
        <w:t>First home owners — reassessment (</w:t>
      </w:r>
      <w:r>
        <w:rPr>
          <w:i/>
        </w:rPr>
        <w:t xml:space="preserve">Stamp Act 1921, </w:t>
      </w:r>
      <w:r>
        <w:t>s. 75AG)</w:t>
      </w:r>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r>
        <w:rPr>
          <w:rStyle w:val="CharSectno"/>
        </w:rPr>
        <w:t>47</w:t>
      </w:r>
      <w:r>
        <w:t>.</w:t>
      </w:r>
      <w:r>
        <w:tab/>
        <w:t>Alternative to stamping individual insurance policies (</w:t>
      </w:r>
      <w:r>
        <w:rPr>
          <w:i/>
        </w:rPr>
        <w:t xml:space="preserve">Stamp Act 1921, </w:t>
      </w:r>
      <w:r>
        <w:t>s. 95A)</w:t>
      </w:r>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r>
        <w:rPr>
          <w:rStyle w:val="CharSectno"/>
        </w:rPr>
        <w:t>48</w:t>
      </w:r>
      <w:r>
        <w:t>.</w:t>
      </w:r>
      <w:r>
        <w:tab/>
        <w:t>Workers’ compensation insurance (</w:t>
      </w:r>
      <w:r>
        <w:rPr>
          <w:i/>
        </w:rPr>
        <w:t>Stamp Act 1921</w:t>
      </w:r>
      <w:r>
        <w:t>, s. 97 and item 16 of the Second Schedule)</w:t>
      </w:r>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r>
        <w:rPr>
          <w:rStyle w:val="CharSectno"/>
        </w:rPr>
        <w:t>49</w:t>
      </w:r>
      <w:r>
        <w:t>.</w:t>
      </w:r>
      <w:r>
        <w:tab/>
        <w:t>Payment of duty by returns (</w:t>
      </w:r>
      <w:r>
        <w:rPr>
          <w:i/>
        </w:rPr>
        <w:t>Stamp Act 1921</w:t>
      </w:r>
      <w:r>
        <w:t>, s. 112V)</w:t>
      </w:r>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rPr>
        <w:t>Courts Legislation Amendment and Repeal Act 2004</w:t>
      </w:r>
      <w:r>
        <w:rPr>
          <w:snapToGrid w:val="0"/>
        </w:rPr>
        <w:t xml:space="preserve"> Sch. 2 cl. 4 was repealed by the </w:t>
      </w:r>
      <w:r>
        <w:rPr>
          <w:i/>
          <w:iCs/>
          <w:snapToGrid w:val="0"/>
        </w:rPr>
        <w:t>Criminal Law and Evidence Amendment Act 2008</w:t>
      </w:r>
      <w:r>
        <w:rPr>
          <w:snapToGrid w:val="0"/>
        </w:rPr>
        <w:t xml:space="preserve"> s. 77(13).</w:t>
      </w:r>
    </w:p>
    <w:p>
      <w:pPr>
        <w:pStyle w:val="nSubsection"/>
      </w:pPr>
      <w:bookmarkStart w:id="72" w:name="AutoSch"/>
      <w:bookmarkEnd w:id="72"/>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rPr>
        <w:t>Biosecurity and Agriculture Management (Repeal and Consequential Provisions) Act 2007</w:t>
      </w:r>
      <w:r>
        <w:rPr>
          <w:iCs/>
          <w:snapToGrid w:val="0"/>
        </w:rPr>
        <w:t xml:space="preserve"> s. 27 was in force.  This does not have effect of repealing the </w:t>
      </w:r>
      <w:r>
        <w:rPr>
          <w:i/>
          <w:iCs/>
          <w:snapToGrid w:val="0"/>
        </w:rPr>
        <w:t>Agriculture and Related Resources Protection Act 1976</w:t>
      </w:r>
      <w:r>
        <w:rPr>
          <w:iCs/>
          <w:snapToGrid w:val="0"/>
        </w:rPr>
        <w:t xml:space="preserve">.  This Act will be repealed upon publication of a proclamation made under s. 27 of the </w:t>
      </w:r>
      <w:r>
        <w:rPr>
          <w:i/>
          <w:snapToGrid w:val="0"/>
        </w:rPr>
        <w:t>Biosecurity and Agriculture Management (Repeal and Consequential Provisions) Act 2007</w:t>
      </w:r>
      <w:r>
        <w:rPr>
          <w:iCs/>
          <w:snapToGrid w:val="0"/>
        </w:rPr>
        <w:t>.  It reads as follows:</w:t>
      </w:r>
    </w:p>
    <w:p>
      <w:pPr>
        <w:pStyle w:val="BlankOpen"/>
      </w:pPr>
    </w:p>
    <w:p>
      <w:pPr>
        <w:pStyle w:val="nzHeading3"/>
      </w:pPr>
      <w:r>
        <w:rPr>
          <w:rStyle w:val="CharDivNo"/>
        </w:rPr>
        <w:t>Division 6</w:t>
      </w:r>
      <w:r>
        <w:t> — </w:t>
      </w:r>
      <w:r>
        <w:rPr>
          <w:rStyle w:val="CharDivText"/>
          <w:i/>
          <w:iCs/>
        </w:rPr>
        <w:t>Agriculture and Related Resources Protection Act 1976</w:t>
      </w:r>
    </w:p>
    <w:p>
      <w:pPr>
        <w:pStyle w:val="nzHeading4"/>
      </w:pPr>
      <w:r>
        <w:t>Subdivision 1 — Repeal and consequential amendments</w:t>
      </w:r>
    </w:p>
    <w:p>
      <w:pPr>
        <w:pStyle w:val="nzHeading5"/>
      </w:pPr>
      <w:r>
        <w:rPr>
          <w:rStyle w:val="CharSectno"/>
        </w:rPr>
        <w:t>27</w:t>
      </w:r>
      <w:r>
        <w:t>.</w:t>
      </w:r>
      <w:r>
        <w:tab/>
        <w:t>Repeal</w:t>
      </w:r>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rPr>
        <w:t>Biosecurity and Agriculture Management (Repeal and Consequential Provisions) Act 2007</w:t>
      </w:r>
      <w:r>
        <w:rPr>
          <w:iCs/>
          <w:snapToGrid w:val="0"/>
        </w:rPr>
        <w:t xml:space="preserve"> Pt. 2 Div. 6 Subdivision 2 </w:t>
      </w:r>
      <w:r>
        <w:rPr>
          <w:snapToGrid w:val="0"/>
        </w:rPr>
        <w:t>reads as follows:</w:t>
      </w:r>
    </w:p>
    <w:p>
      <w:pPr>
        <w:pStyle w:val="BlankOpen"/>
      </w:pPr>
    </w:p>
    <w:p>
      <w:pPr>
        <w:pStyle w:val="nzHeading4"/>
      </w:pPr>
      <w:r>
        <w:t>Subdivision 2 — Transitional and savings provisions</w:t>
      </w:r>
    </w:p>
    <w:p>
      <w:pPr>
        <w:pStyle w:val="nzHeading5"/>
      </w:pPr>
      <w:r>
        <w:rPr>
          <w:rStyle w:val="CharSectno"/>
        </w:rPr>
        <w:t>30</w:t>
      </w:r>
      <w:r>
        <w:t>.</w:t>
      </w:r>
      <w:r>
        <w:tab/>
        <w:t>Meaning of terms used in this Subdivision</w:t>
      </w:r>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r>
        <w:rPr>
          <w:rStyle w:val="CharSectno"/>
        </w:rPr>
        <w:t>31</w:t>
      </w:r>
      <w:r>
        <w:t>.</w:t>
      </w:r>
      <w:r>
        <w:tab/>
        <w:t>Rates on pastoral leases</w:t>
      </w:r>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 had not come into operation.  It reads as follows:</w:t>
      </w:r>
    </w:p>
    <w:p>
      <w:pPr>
        <w:pStyle w:val="BlankOpen"/>
        <w:rPr>
          <w:snapToGrid w:val="0"/>
        </w:rPr>
      </w:pPr>
    </w:p>
    <w:p>
      <w:pPr>
        <w:pStyle w:val="nzHeading3"/>
      </w:pPr>
      <w:r>
        <w:rPr>
          <w:rStyle w:val="CharDivNo"/>
        </w:rPr>
        <w:t>Division 1</w:t>
      </w:r>
      <w:r>
        <w:t> — </w:t>
      </w:r>
      <w:r>
        <w:rPr>
          <w:rStyle w:val="CharDivText"/>
          <w:i/>
          <w:iCs/>
        </w:rPr>
        <w:t>Agriculture and Related Resources Protection Act 1976</w:t>
      </w:r>
      <w:r>
        <w:rPr>
          <w:rStyle w:val="CharDivText"/>
        </w:rPr>
        <w:t xml:space="preserve"> amended</w:t>
      </w:r>
    </w:p>
    <w:p>
      <w:pPr>
        <w:pStyle w:val="nzHeading5"/>
        <w:rPr>
          <w:snapToGrid w:val="0"/>
        </w:rPr>
      </w:pPr>
      <w:r>
        <w:rPr>
          <w:rStyle w:val="CharSectno"/>
        </w:rPr>
        <w:t>39</w:t>
      </w:r>
      <w:r>
        <w:rPr>
          <w:snapToGrid w:val="0"/>
        </w:rPr>
        <w:t>.</w:t>
      </w:r>
      <w:r>
        <w:rPr>
          <w:snapToGrid w:val="0"/>
        </w:rPr>
        <w:tab/>
        <w:t>Act amended</w:t>
      </w:r>
    </w:p>
    <w:p>
      <w:pPr>
        <w:pStyle w:val="nzSubsection"/>
      </w:pPr>
      <w:r>
        <w:tab/>
      </w:r>
      <w:r>
        <w:tab/>
        <w:t xml:space="preserve">This Division amends the </w:t>
      </w:r>
      <w:r>
        <w:rPr>
          <w:i/>
        </w:rPr>
        <w:t>Agriculture and Related Resources Protection Act 1976</w:t>
      </w:r>
      <w:r>
        <w:t>.</w:t>
      </w:r>
    </w:p>
    <w:p>
      <w:pPr>
        <w:pStyle w:val="nzHeading5"/>
      </w:pPr>
      <w:r>
        <w:rPr>
          <w:rStyle w:val="CharSectno"/>
        </w:rPr>
        <w:t>40</w:t>
      </w:r>
      <w:r>
        <w:t>.</w:t>
      </w:r>
      <w:r>
        <w:tab/>
        <w:t>Section 7 amended</w:t>
      </w:r>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r>
        <w:rPr>
          <w:snapToGrid w:val="0"/>
          <w:vertAlign w:val="superscript"/>
        </w:rPr>
        <w:t>20</w:t>
      </w:r>
      <w:r>
        <w:rPr>
          <w:snapToGrid w:val="0"/>
        </w:rPr>
        <w:tab/>
      </w:r>
      <w:r>
        <w:t xml:space="preserve">On the date as at which this compilation was prepared, </w:t>
      </w:r>
      <w:r>
        <w:rPr>
          <w:snapToGrid w:val="0"/>
        </w:rPr>
        <w:t xml:space="preserve">the </w:t>
      </w:r>
      <w:r>
        <w:rPr>
          <w:i/>
          <w:snapToGrid w:val="0"/>
        </w:rPr>
        <w:t xml:space="preserve">Commercial Arbitration Act 2012 </w:t>
      </w:r>
      <w:r>
        <w:rPr>
          <w:snapToGrid w:val="0"/>
        </w:rPr>
        <w:t>s. 45 it. 1 had not come into operation.  It reads as follows:</w:t>
      </w:r>
    </w:p>
    <w:p>
      <w:pPr>
        <w:pStyle w:val="BlankOpen"/>
        <w:rPr>
          <w:snapToGrid w:val="0"/>
        </w:rPr>
      </w:pPr>
    </w:p>
    <w:p>
      <w:pPr>
        <w:pStyle w:val="nzHeading5"/>
      </w:pPr>
      <w:r>
        <w:rPr>
          <w:rStyle w:val="CharSectno"/>
        </w:rPr>
        <w:t>45</w:t>
      </w:r>
      <w:r>
        <w:t>.</w:t>
      </w:r>
      <w:r>
        <w:tab/>
        <w:t>Acts amended</w:t>
      </w:r>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73" w:name="_Toc375040782"/>
      <w:r>
        <w:rPr>
          <w:sz w:val="28"/>
        </w:rPr>
        <w:t>Defined Terms</w:t>
      </w:r>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4" w:name="DefinedTerms"/>
      <w:bookmarkEnd w:id="74"/>
      <w:r>
        <w:t>amending section</w:t>
      </w:r>
      <w:r>
        <w:tab/>
        <w:t>60(8)</w:t>
      </w:r>
    </w:p>
    <w:p>
      <w:pPr>
        <w:pStyle w:val="DefinedTerms"/>
      </w:pPr>
      <w:r>
        <w:t>amending sections</w:t>
      </w:r>
      <w:r>
        <w:tab/>
        <w:t>124</w:t>
      </w:r>
    </w:p>
    <w:p>
      <w:pPr>
        <w:pStyle w:val="DefinedTerms"/>
      </w:pPr>
      <w:r>
        <w:t>animal</w:t>
      </w:r>
      <w:r>
        <w:tab/>
        <w:t>7(1)</w:t>
      </w:r>
    </w:p>
    <w:p>
      <w:pPr>
        <w:pStyle w:val="DefinedTerms"/>
      </w:pPr>
      <w:r>
        <w:t>animal</w:t>
      </w:r>
      <w:r>
        <w:noBreakHyphen/>
        <w:t>proof fence</w:t>
      </w:r>
      <w:r>
        <w:tab/>
        <w:t>7(1), 106(1)</w:t>
      </w:r>
    </w:p>
    <w:p>
      <w:pPr>
        <w:pStyle w:val="DefinedTerms"/>
      </w:pPr>
      <w:r>
        <w:t>area</w:t>
      </w:r>
      <w:r>
        <w:tab/>
        <w:t>36(5)</w:t>
      </w:r>
    </w:p>
    <w:p>
      <w:pPr>
        <w:pStyle w:val="DefinedTerms"/>
      </w:pPr>
      <w:r>
        <w:t>authorised person</w:t>
      </w:r>
      <w:r>
        <w:tab/>
        <w:t>7(1)</w:t>
      </w:r>
    </w:p>
    <w:p>
      <w:pPr>
        <w:pStyle w:val="DefinedTerms"/>
      </w:pPr>
      <w:r>
        <w:t>barrier fence</w:t>
      </w:r>
      <w:r>
        <w:tab/>
        <w:t>7(1)</w:t>
      </w:r>
    </w:p>
    <w:p>
      <w:pPr>
        <w:pStyle w:val="DefinedTerms"/>
      </w:pPr>
      <w:r>
        <w:t>category</w:t>
      </w:r>
      <w:r>
        <w:tab/>
        <w:t>7(1)</w:t>
      </w:r>
    </w:p>
    <w:p>
      <w:pPr>
        <w:pStyle w:val="DefinedTerms"/>
      </w:pPr>
      <w:r>
        <w:t>cattle</w:t>
      </w:r>
      <w:r>
        <w:tab/>
        <w:t>106(2)</w:t>
      </w:r>
    </w:p>
    <w:p>
      <w:pPr>
        <w:pStyle w:val="DefinedTerms"/>
      </w:pPr>
      <w:r>
        <w:t>class</w:t>
      </w:r>
      <w:r>
        <w:tab/>
        <w:t>7(1)</w:t>
      </w:r>
    </w:p>
    <w:p>
      <w:pPr>
        <w:pStyle w:val="DefinedTerms"/>
      </w:pPr>
      <w:r>
        <w:t>closure day</w:t>
      </w:r>
      <w:r>
        <w:tab/>
        <w:t>125(1)</w:t>
      </w:r>
    </w:p>
    <w:p>
      <w:pPr>
        <w:pStyle w:val="DefinedTerms"/>
      </w:pPr>
      <w:r>
        <w:t>coat</w:t>
      </w:r>
      <w:r>
        <w:tab/>
        <w:t>71(1)</w:t>
      </w:r>
    </w:p>
    <w:p>
      <w:pPr>
        <w:pStyle w:val="DefinedTerms"/>
      </w:pPr>
      <w:r>
        <w:t>commencement day</w:t>
      </w:r>
      <w:r>
        <w:tab/>
        <w:t>120</w:t>
      </w:r>
    </w:p>
    <w:p>
      <w:pPr>
        <w:pStyle w:val="DefinedTerms"/>
      </w:pPr>
      <w:r>
        <w:t>Commissioner</w:t>
      </w:r>
      <w:r>
        <w:tab/>
        <w:t>7(1)</w:t>
      </w:r>
    </w:p>
    <w:p>
      <w:pPr>
        <w:pStyle w:val="DefinedTerms"/>
      </w:pPr>
      <w:r>
        <w:t>control</w:t>
      </w:r>
      <w:r>
        <w:tab/>
        <w:t>7(1)</w:t>
      </w:r>
    </w:p>
    <w:p>
      <w:pPr>
        <w:pStyle w:val="DefinedTerms"/>
      </w:pPr>
      <w:r>
        <w:t>declaration</w:t>
      </w:r>
      <w:r>
        <w:tab/>
        <w:t>7(1)</w:t>
      </w:r>
    </w:p>
    <w:p>
      <w:pPr>
        <w:pStyle w:val="DefinedTerms"/>
      </w:pPr>
      <w:r>
        <w:t>declared animal</w:t>
      </w:r>
      <w:r>
        <w:tab/>
        <w:t>7(1), 38(1)</w:t>
      </w:r>
    </w:p>
    <w:p>
      <w:pPr>
        <w:pStyle w:val="DefinedTerms"/>
      </w:pPr>
      <w:r>
        <w:t xml:space="preserve">Declared </w:t>
      </w:r>
      <w:smartTag w:uri="urn:schemas-microsoft-com:office:smarttags" w:element="place">
        <w:r>
          <w:t>Pest</w:t>
        </w:r>
      </w:smartTag>
      <w:r>
        <w:t xml:space="preserve"> Account</w:t>
      </w:r>
      <w:r>
        <w:tab/>
        <w:t>7(1)</w:t>
      </w:r>
    </w:p>
    <w:p>
      <w:pPr>
        <w:pStyle w:val="DefinedTerms"/>
      </w:pPr>
      <w:r>
        <w:t>declared plant</w:t>
      </w:r>
      <w:r>
        <w:tab/>
        <w:t>7(1), 38(1)</w:t>
      </w:r>
    </w:p>
    <w:p>
      <w:pPr>
        <w:pStyle w:val="DefinedTerms"/>
      </w:pPr>
      <w:r>
        <w:t>department</w:t>
      </w:r>
      <w:r>
        <w:tab/>
        <w:t>7(1)</w:t>
      </w:r>
    </w:p>
    <w:p>
      <w:pPr>
        <w:pStyle w:val="DefinedTerms"/>
      </w:pPr>
      <w:r>
        <w:t>Director General</w:t>
      </w:r>
      <w:r>
        <w:tab/>
        <w:t>7(1)</w:t>
      </w:r>
    </w:p>
    <w:p>
      <w:pPr>
        <w:pStyle w:val="DefinedTerms"/>
      </w:pPr>
      <w:r>
        <w:t>district</w:t>
      </w:r>
      <w:r>
        <w:tab/>
        <w:t>7(1)</w:t>
      </w:r>
    </w:p>
    <w:p>
      <w:pPr>
        <w:pStyle w:val="DefinedTerms"/>
      </w:pPr>
      <w:r>
        <w:t>document</w:t>
      </w:r>
      <w:r>
        <w:tab/>
        <w:t>93(1)</w:t>
      </w:r>
    </w:p>
    <w:p>
      <w:pPr>
        <w:pStyle w:val="DefinedTerms"/>
      </w:pPr>
      <w:r>
        <w:t>dwelling</w:t>
      </w:r>
      <w:r>
        <w:tab/>
        <w:t>58(1)</w:t>
      </w:r>
    </w:p>
    <w:p>
      <w:pPr>
        <w:pStyle w:val="DefinedTerms"/>
      </w:pPr>
      <w:r>
        <w:t>fodder</w:t>
      </w:r>
      <w:r>
        <w:tab/>
        <w:t>71(1)</w:t>
      </w:r>
    </w:p>
    <w:p>
      <w:pPr>
        <w:pStyle w:val="DefinedTerms"/>
      </w:pPr>
      <w:r>
        <w:t>former account</w:t>
      </w:r>
      <w:r>
        <w:tab/>
        <w:t>125(1)</w:t>
      </w:r>
    </w:p>
    <w:p>
      <w:pPr>
        <w:pStyle w:val="DefinedTerms"/>
      </w:pPr>
      <w:r>
        <w:t>Government department</w:t>
      </w:r>
      <w:r>
        <w:tab/>
        <w:t>7(1)</w:t>
      </w:r>
    </w:p>
    <w:p>
      <w:pPr>
        <w:pStyle w:val="DefinedTerms"/>
      </w:pPr>
      <w:r>
        <w:t>inspector</w:t>
      </w:r>
      <w:r>
        <w:tab/>
        <w:t>7(1)</w:t>
      </w:r>
    </w:p>
    <w:p>
      <w:pPr>
        <w:pStyle w:val="DefinedTerms"/>
      </w:pPr>
      <w:r>
        <w:t>land under the control of a local government</w:t>
      </w:r>
      <w:r>
        <w:tab/>
        <w:t>7(1)</w:t>
      </w:r>
    </w:p>
    <w:p>
      <w:pPr>
        <w:pStyle w:val="DefinedTerms"/>
      </w:pPr>
      <w:r>
        <w:t>machinery</w:t>
      </w:r>
      <w:r>
        <w:tab/>
        <w:t>71(1)</w:t>
      </w:r>
    </w:p>
    <w:p>
      <w:pPr>
        <w:pStyle w:val="DefinedTerms"/>
      </w:pPr>
      <w:r>
        <w:t>management programme</w:t>
      </w:r>
      <w:r>
        <w:tab/>
        <w:t>7(1)</w:t>
      </w:r>
    </w:p>
    <w:p>
      <w:pPr>
        <w:pStyle w:val="DefinedTerms"/>
      </w:pPr>
      <w:r>
        <w:t>occupier</w:t>
      </w:r>
      <w:r>
        <w:tab/>
        <w:t>7(1)</w:t>
      </w:r>
    </w:p>
    <w:p>
      <w:pPr>
        <w:pStyle w:val="DefinedTerms"/>
      </w:pPr>
      <w:r>
        <w:t>occupy</w:t>
      </w:r>
      <w:r>
        <w:tab/>
        <w:t>7(1)</w:t>
      </w:r>
    </w:p>
    <w:p>
      <w:pPr>
        <w:pStyle w:val="DefinedTerms"/>
      </w:pPr>
      <w:r>
        <w:t>operational work</w:t>
      </w:r>
      <w:r>
        <w:tab/>
        <w:t>57</w:t>
      </w:r>
    </w:p>
    <w:p>
      <w:pPr>
        <w:pStyle w:val="DefinedTerms"/>
      </w:pPr>
      <w:r>
        <w:t>own</w:t>
      </w:r>
      <w:r>
        <w:tab/>
        <w:t>7(1)</w:t>
      </w:r>
    </w:p>
    <w:p>
      <w:pPr>
        <w:pStyle w:val="DefinedTerms"/>
      </w:pPr>
      <w:r>
        <w:t>owner</w:t>
      </w:r>
      <w:r>
        <w:tab/>
        <w:t>7(1)</w:t>
      </w:r>
    </w:p>
    <w:p>
      <w:pPr>
        <w:pStyle w:val="DefinedTerms"/>
      </w:pPr>
      <w:r>
        <w:t>pastoral lease</w:t>
      </w:r>
      <w:r>
        <w:tab/>
        <w:t>7(1)</w:t>
      </w:r>
    </w:p>
    <w:p>
      <w:pPr>
        <w:pStyle w:val="DefinedTerms"/>
      </w:pPr>
      <w:r>
        <w:t>pensioner</w:t>
      </w:r>
      <w:r>
        <w:tab/>
        <w:t>64(6)</w:t>
      </w:r>
    </w:p>
    <w:p>
      <w:pPr>
        <w:pStyle w:val="DefinedTerms"/>
      </w:pPr>
      <w:r>
        <w:t>pest plant</w:t>
      </w:r>
      <w:r>
        <w:tab/>
        <w:t>109</w:t>
      </w:r>
    </w:p>
    <w:p>
      <w:pPr>
        <w:pStyle w:val="DefinedTerms"/>
      </w:pPr>
      <w:r>
        <w:t>plant</w:t>
      </w:r>
      <w:r>
        <w:tab/>
        <w:t>7(1)</w:t>
      </w:r>
    </w:p>
    <w:p>
      <w:pPr>
        <w:pStyle w:val="DefinedTerms"/>
      </w:pPr>
      <w:r>
        <w:t>private land</w:t>
      </w:r>
      <w:r>
        <w:tab/>
        <w:t>7(1)</w:t>
      </w:r>
    </w:p>
    <w:p>
      <w:pPr>
        <w:pStyle w:val="DefinedTerms"/>
      </w:pPr>
      <w:r>
        <w:t>prohibited material</w:t>
      </w:r>
      <w:r>
        <w:tab/>
        <w:t>7(1)</w:t>
      </w:r>
    </w:p>
    <w:p>
      <w:pPr>
        <w:pStyle w:val="DefinedTerms"/>
      </w:pPr>
      <w:r>
        <w:t>Protection Board</w:t>
      </w:r>
      <w:r>
        <w:tab/>
        <w:t>120</w:t>
      </w:r>
    </w:p>
    <w:p>
      <w:pPr>
        <w:pStyle w:val="DefinedTerms"/>
      </w:pPr>
      <w:r>
        <w:t>public land</w:t>
      </w:r>
      <w:r>
        <w:tab/>
        <w:t>7(1)</w:t>
      </w:r>
    </w:p>
    <w:p>
      <w:pPr>
        <w:pStyle w:val="DefinedTerms"/>
      </w:pPr>
      <w:r>
        <w:t>rabbit</w:t>
      </w:r>
      <w:r>
        <w:noBreakHyphen/>
        <w:t>proof fence</w:t>
      </w:r>
      <w:r>
        <w:tab/>
        <w:t>7(1), 106(1)</w:t>
      </w:r>
    </w:p>
    <w:p>
      <w:pPr>
        <w:pStyle w:val="DefinedTerms"/>
      </w:pPr>
      <w:r>
        <w:t>restricted animal</w:t>
      </w:r>
      <w:r>
        <w:tab/>
        <w:t>71(1)</w:t>
      </w:r>
    </w:p>
    <w:p>
      <w:pPr>
        <w:pStyle w:val="DefinedTerms"/>
      </w:pPr>
      <w:r>
        <w:t>sack</w:t>
      </w:r>
      <w:r>
        <w:tab/>
        <w:t>71(1)</w:t>
      </w:r>
    </w:p>
    <w:p>
      <w:pPr>
        <w:pStyle w:val="DefinedTerms"/>
      </w:pPr>
      <w:r>
        <w:t>seed</w:t>
      </w:r>
      <w:r>
        <w:tab/>
        <w:t>71(1)</w:t>
      </w:r>
    </w:p>
    <w:p>
      <w:pPr>
        <w:pStyle w:val="DefinedTerms"/>
      </w:pPr>
      <w:r>
        <w:t>serve</w:t>
      </w:r>
      <w:r>
        <w:tab/>
        <w:t>93(1)</w:t>
      </w:r>
    </w:p>
    <w:p>
      <w:pPr>
        <w:pStyle w:val="DefinedTerms"/>
      </w:pPr>
      <w:r>
        <w:t>specified</w:t>
      </w:r>
      <w:r>
        <w:tab/>
        <w:t>107(2), 129(5)</w:t>
      </w:r>
    </w:p>
    <w:p>
      <w:pPr>
        <w:pStyle w:val="DefinedTerms"/>
      </w:pPr>
      <w:r>
        <w:t>take</w:t>
      </w:r>
      <w:r>
        <w:tab/>
        <w:t>68(1)</w:t>
      </w:r>
    </w:p>
    <w:p>
      <w:pPr>
        <w:pStyle w:val="DefinedTerms"/>
      </w:pPr>
      <w:r>
        <w:t>taking</w:t>
      </w:r>
      <w:r>
        <w:tab/>
        <w:t>68(1)</w:t>
      </w:r>
    </w:p>
    <w:p>
      <w:pPr>
        <w:pStyle w:val="DefinedTerms"/>
      </w:pPr>
      <w:r>
        <w:t>to declare</w:t>
      </w:r>
      <w:r>
        <w:tab/>
        <w:t>7(1)</w:t>
      </w:r>
    </w:p>
    <w:p>
      <w:pPr>
        <w:pStyle w:val="DefinedTerms"/>
      </w:pPr>
      <w:r>
        <w:t>train</w:t>
      </w:r>
      <w:r>
        <w:tab/>
        <w:t>7(1)</w:t>
      </w:r>
    </w:p>
    <w:p>
      <w:pPr>
        <w:pStyle w:val="DefinedTerms"/>
      </w:pPr>
      <w:r>
        <w:t>transitional matter</w:t>
      </w:r>
      <w:r>
        <w:tab/>
        <w:t>129(2)</w:t>
      </w:r>
    </w:p>
    <w:p>
      <w:pPr>
        <w:pStyle w:val="DefinedTerms"/>
      </w:pPr>
      <w:r>
        <w:t>vehicle</w:t>
      </w:r>
      <w:r>
        <w:tab/>
        <w:t>7(1)</w:t>
      </w:r>
    </w:p>
    <w:p>
      <w:pPr>
        <w:pStyle w:val="DefinedTerms"/>
      </w:pPr>
      <w:r>
        <w:t>watercourse</w:t>
      </w:r>
      <w:r>
        <w:tab/>
        <w:t>7(1)</w:t>
      </w:r>
    </w:p>
    <w:p>
      <w:pPr>
        <w:pStyle w:val="DefinedTerms"/>
      </w:pPr>
      <w:r>
        <w:t>wool pack</w:t>
      </w:r>
      <w:r>
        <w:tab/>
        <w:t>71(1)</w:t>
      </w:r>
    </w:p>
    <w:p/>
    <w:p>
      <w:pPr>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5" w:bottom="3542" w:left="2405" w:header="706" w:footer="3380" w:gutter="0"/>
          <w:cols w:space="720"/>
          <w:noEndnote/>
          <w:docGrid w:linePitch="326"/>
        </w:sectPr>
      </w:pPr>
    </w:p>
    <w:p/>
    <w:sectPr>
      <w:headerReference w:type="even" r:id="rId38"/>
      <w:headerReference w:type="default" r:id="rId39"/>
      <w:headerReference w:type="first" r:id="rId4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May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03-n0-02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Administration</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10</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03912"/>
    <w:docVar w:name="WAFER_20131217103912" w:val="RemoveTocBookmarks,RemoveUnusedBookmarks,RemoveLanguageTags,UsedStyles,ResetPageSize,UpdateArrangement"/>
    <w:docVar w:name="WAFER_20131217103912_GUID" w:val="26517943-3069-40cd-a08f-921865a4c2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image" Target="media/image1.wmf"/><Relationship Id="rId34" Type="http://schemas.openxmlformats.org/officeDocument/2006/relationships/footer" Target="footer10.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oter" Target="footer12.xml"/><Relationship Id="rId40"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5AE77-C3EC-46F0-8EDB-C78C6B74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16886</Words>
  <Characters>79032</Characters>
  <Application>Microsoft Office Word</Application>
  <DocSecurity>0</DocSecurity>
  <Lines>2258</Lines>
  <Paragraphs>1198</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94720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1976 - 03-n0-02</dc:title>
  <dc:subject/>
  <dc:creator/>
  <cp:keywords/>
  <dc:description/>
  <cp:lastModifiedBy>svcMRProcess</cp:lastModifiedBy>
  <cp:revision>4</cp:revision>
  <cp:lastPrinted>2013-04-30T01:55:00Z</cp:lastPrinted>
  <dcterms:created xsi:type="dcterms:W3CDTF">2020-02-13T17:49:00Z</dcterms:created>
  <dcterms:modified xsi:type="dcterms:W3CDTF">2020-02-13T17:49:00Z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20130501</vt:lpwstr>
  </property>
  <property fmtid="{D5CDD505-2E9C-101B-9397-08002B2CF9AE}" pid="4" name="DocumentType">
    <vt:lpwstr>Act</vt:lpwstr>
  </property>
  <property fmtid="{D5CDD505-2E9C-101B-9397-08002B2CF9AE}" pid="5" name="OwlsUID">
    <vt:i4>17</vt:i4>
  </property>
  <property fmtid="{D5CDD505-2E9C-101B-9397-08002B2CF9AE}" pid="6" name="AsAtDate">
    <vt:lpwstr>01 May 2013</vt:lpwstr>
  </property>
  <property fmtid="{D5CDD505-2E9C-101B-9397-08002B2CF9AE}" pid="7" name="Suffix">
    <vt:lpwstr>03-n0-02</vt:lpwstr>
  </property>
</Properties>
</file>