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4"/>
        <w:tabs>
          <w:tab w:val="left" w:pos="1701"/>
        </w:tabs>
        <w:rPr>
          <w:noProof/>
          <w:sz w:val="24"/>
          <w:szCs w:val="24"/>
        </w:rPr>
      </w:pPr>
      <w:r>
        <w:rPr>
          <w:b/>
        </w:rPr>
        <w:fldChar w:fldCharType="begin"/>
      </w:r>
      <w:r>
        <w:rPr>
          <w:b/>
        </w:rPr>
        <w:instrText xml:space="preserve"> TOC \o "1-3" \t "Heading 4,3,Heading 5,4, Heading 6,6,yScheduleHeading,5,yScheduleHeading 2,5,yHeading 2,7,yHeading 3,7,yHeading 6,6" \n 2-3 \t " yHeading 4,3,yHeading 5,4,nHeading 3,4" \n 2-3  \* MERGEFORMAT </w:instrText>
      </w:r>
      <w:r>
        <w:rPr>
          <w:b/>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_Toc122839762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_Toc122839763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_Toc122839764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Repeal and transitional provisions</w:t>
      </w:r>
      <w:r>
        <w:rPr>
          <w:noProof/>
        </w:rPr>
        <w:tab/>
      </w:r>
      <w:r>
        <w:rPr>
          <w:noProof/>
        </w:rPr>
        <w:fldChar w:fldCharType="begin"/>
      </w:r>
      <w:r>
        <w:rPr>
          <w:noProof/>
        </w:rPr>
        <w:instrText xml:space="preserve"> PAGEREF _Toc122839765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Construction of this Act</w:t>
      </w:r>
      <w:r>
        <w:rPr>
          <w:noProof/>
        </w:rPr>
        <w:tab/>
      </w:r>
      <w:r>
        <w:rPr>
          <w:noProof/>
        </w:rPr>
        <w:fldChar w:fldCharType="begin"/>
      </w:r>
      <w:r>
        <w:rPr>
          <w:noProof/>
        </w:rPr>
        <w:instrText xml:space="preserve"> PAGEREF _Toc122839766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Crown bound</w:t>
      </w:r>
      <w:r>
        <w:rPr>
          <w:noProof/>
        </w:rPr>
        <w:tab/>
      </w:r>
      <w:r>
        <w:rPr>
          <w:noProof/>
        </w:rPr>
        <w:fldChar w:fldCharType="begin"/>
      </w:r>
      <w:r>
        <w:rPr>
          <w:noProof/>
        </w:rPr>
        <w:instrText xml:space="preserve"> PAGEREF _Toc122839767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Saving of rights at law</w:t>
      </w:r>
      <w:r>
        <w:rPr>
          <w:noProof/>
        </w:rPr>
        <w:tab/>
      </w:r>
      <w:r>
        <w:rPr>
          <w:noProof/>
        </w:rPr>
        <w:fldChar w:fldCharType="begin"/>
      </w:r>
      <w:r>
        <w:rPr>
          <w:noProof/>
        </w:rPr>
        <w:instrText xml:space="preserve"> PAGEREF _Toc122839768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Exemptions</w:t>
      </w:r>
      <w:r>
        <w:rPr>
          <w:noProof/>
        </w:rPr>
        <w:tab/>
      </w:r>
      <w:r>
        <w:rPr>
          <w:noProof/>
        </w:rPr>
        <w:fldChar w:fldCharType="begin"/>
      </w:r>
      <w:r>
        <w:rPr>
          <w:noProof/>
        </w:rPr>
        <w:instrText xml:space="preserve"> PAGEREF _Toc122839769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Application</w:t>
      </w:r>
      <w:r>
        <w:rPr>
          <w:noProof/>
        </w:rPr>
        <w:tab/>
      </w:r>
      <w:r>
        <w:rPr>
          <w:noProof/>
        </w:rPr>
        <w:fldChar w:fldCharType="begin"/>
      </w:r>
      <w:r>
        <w:rPr>
          <w:noProof/>
        </w:rPr>
        <w:instrText xml:space="preserve"> PAGEREF _Toc122839770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Management areas</w:t>
      </w:r>
      <w:r>
        <w:rPr>
          <w:noProof/>
        </w:rPr>
        <w:tab/>
      </w:r>
      <w:r>
        <w:rPr>
          <w:noProof/>
        </w:rPr>
        <w:fldChar w:fldCharType="begin"/>
      </w:r>
      <w:r>
        <w:rPr>
          <w:noProof/>
        </w:rPr>
        <w:instrText xml:space="preserve"> PAGEREF _Toc122839771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Rivers and Estuaries Council</w:t>
      </w:r>
      <w:r>
        <w:rPr>
          <w:noProof/>
        </w:rPr>
        <w:tab/>
      </w:r>
      <w:r>
        <w:rPr>
          <w:noProof/>
        </w:rPr>
        <w:fldChar w:fldCharType="begin"/>
      </w:r>
      <w:r>
        <w:rPr>
          <w:noProof/>
        </w:rPr>
        <w:instrText xml:space="preserve"> PAGEREF _Toc122839772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11A</w:t>
      </w:r>
      <w:r>
        <w:rPr>
          <w:noProof/>
          <w:snapToGrid w:val="0"/>
          <w:szCs w:val="24"/>
        </w:rPr>
        <w:t>.</w:t>
      </w:r>
      <w:r>
        <w:rPr>
          <w:noProof/>
          <w:sz w:val="24"/>
          <w:szCs w:val="24"/>
        </w:rPr>
        <w:tab/>
      </w:r>
      <w:r>
        <w:rPr>
          <w:noProof/>
          <w:snapToGrid w:val="0"/>
          <w:szCs w:val="24"/>
        </w:rPr>
        <w:t>Functions of the Council</w:t>
      </w:r>
      <w:r>
        <w:rPr>
          <w:noProof/>
        </w:rPr>
        <w:tab/>
      </w:r>
      <w:r>
        <w:rPr>
          <w:noProof/>
        </w:rPr>
        <w:fldChar w:fldCharType="begin"/>
      </w:r>
      <w:r>
        <w:rPr>
          <w:noProof/>
        </w:rPr>
        <w:instrText xml:space="preserve"> PAGEREF _Toc122839773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Administration of this Act</w:t>
      </w:r>
      <w:r>
        <w:rPr>
          <w:noProof/>
        </w:rPr>
        <w:tab/>
      </w:r>
      <w:r>
        <w:rPr>
          <w:noProof/>
        </w:rPr>
        <w:fldChar w:fldCharType="begin"/>
      </w:r>
      <w:r>
        <w:rPr>
          <w:noProof/>
        </w:rPr>
        <w:instrText xml:space="preserve"> PAGEREF _Toc122839774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Management Authorities</w:t>
      </w:r>
      <w:r>
        <w:rPr>
          <w:noProof/>
        </w:rPr>
        <w:tab/>
      </w:r>
      <w:r>
        <w:rPr>
          <w:noProof/>
        </w:rPr>
        <w:fldChar w:fldCharType="begin"/>
      </w:r>
      <w:r>
        <w:rPr>
          <w:noProof/>
        </w:rPr>
        <w:instrText xml:space="preserve"> PAGEREF _Toc122839775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Disputes</w:t>
      </w:r>
      <w:r>
        <w:rPr>
          <w:noProof/>
        </w:rPr>
        <w:tab/>
      </w:r>
      <w:r>
        <w:rPr>
          <w:noProof/>
        </w:rPr>
        <w:fldChar w:fldCharType="begin"/>
      </w:r>
      <w:r>
        <w:rPr>
          <w:noProof/>
        </w:rPr>
        <w:instrText xml:space="preserve"> PAGEREF _Toc122839776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Tenure of office</w:t>
      </w:r>
      <w:r>
        <w:rPr>
          <w:noProof/>
        </w:rPr>
        <w:tab/>
      </w:r>
      <w:r>
        <w:rPr>
          <w:noProof/>
        </w:rPr>
        <w:fldChar w:fldCharType="begin"/>
      </w:r>
      <w:r>
        <w:rPr>
          <w:noProof/>
        </w:rPr>
        <w:instrText xml:space="preserve"> PAGEREF _Toc122839777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Disqualifications</w:t>
      </w:r>
      <w:r>
        <w:rPr>
          <w:noProof/>
        </w:rPr>
        <w:tab/>
      </w:r>
      <w:r>
        <w:rPr>
          <w:noProof/>
        </w:rPr>
        <w:fldChar w:fldCharType="begin"/>
      </w:r>
      <w:r>
        <w:rPr>
          <w:noProof/>
        </w:rPr>
        <w:instrText xml:space="preserve"> PAGEREF _Toc122839778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Remuneration of Authority members</w:t>
      </w:r>
      <w:r>
        <w:rPr>
          <w:noProof/>
        </w:rPr>
        <w:tab/>
      </w:r>
      <w:r>
        <w:rPr>
          <w:noProof/>
        </w:rPr>
        <w:fldChar w:fldCharType="begin"/>
      </w:r>
      <w:r>
        <w:rPr>
          <w:noProof/>
        </w:rPr>
        <w:instrText xml:space="preserve"> PAGEREF _Toc122839779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Deputies and acting members</w:t>
      </w:r>
      <w:r>
        <w:rPr>
          <w:noProof/>
        </w:rPr>
        <w:tab/>
      </w:r>
      <w:r>
        <w:rPr>
          <w:noProof/>
        </w:rPr>
        <w:fldChar w:fldCharType="begin"/>
      </w:r>
      <w:r>
        <w:rPr>
          <w:noProof/>
        </w:rPr>
        <w:instrText xml:space="preserve"> PAGEREF _Toc122839780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 xml:space="preserve">Application of </w:t>
      </w:r>
      <w:r>
        <w:rPr>
          <w:i/>
          <w:noProof/>
          <w:snapToGrid w:val="0"/>
          <w:szCs w:val="24"/>
        </w:rPr>
        <w:t>Public Sector Management Act 1994</w:t>
      </w:r>
      <w:r>
        <w:rPr>
          <w:noProof/>
        </w:rPr>
        <w:tab/>
      </w:r>
      <w:r>
        <w:rPr>
          <w:noProof/>
        </w:rPr>
        <w:fldChar w:fldCharType="begin"/>
      </w:r>
      <w:r>
        <w:rPr>
          <w:noProof/>
        </w:rPr>
        <w:instrText xml:space="preserve"> PAGEREF _Toc122839781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Committees</w:t>
      </w:r>
      <w:r>
        <w:rPr>
          <w:noProof/>
        </w:rPr>
        <w:tab/>
      </w:r>
      <w:r>
        <w:rPr>
          <w:noProof/>
        </w:rPr>
        <w:fldChar w:fldCharType="begin"/>
      </w:r>
      <w:r>
        <w:rPr>
          <w:noProof/>
        </w:rPr>
        <w:instrText xml:space="preserve"> PAGEREF _Toc122839782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Delegation</w:t>
      </w:r>
      <w:r>
        <w:rPr>
          <w:noProof/>
        </w:rPr>
        <w:tab/>
      </w:r>
      <w:r>
        <w:rPr>
          <w:noProof/>
        </w:rPr>
        <w:fldChar w:fldCharType="begin"/>
      </w:r>
      <w:r>
        <w:rPr>
          <w:noProof/>
        </w:rPr>
        <w:instrText xml:space="preserve"> PAGEREF _Toc122839783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Duty of the Commission</w:t>
      </w:r>
      <w:r>
        <w:rPr>
          <w:noProof/>
        </w:rPr>
        <w:tab/>
      </w:r>
      <w:r>
        <w:rPr>
          <w:noProof/>
        </w:rPr>
        <w:fldChar w:fldCharType="begin"/>
      </w:r>
      <w:r>
        <w:rPr>
          <w:noProof/>
        </w:rPr>
        <w:instrText xml:space="preserve"> PAGEREF _Toc122839784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Functions of the Commission</w:t>
      </w:r>
      <w:r>
        <w:rPr>
          <w:noProof/>
        </w:rPr>
        <w:tab/>
      </w:r>
      <w:r>
        <w:rPr>
          <w:noProof/>
        </w:rPr>
        <w:fldChar w:fldCharType="begin"/>
      </w:r>
      <w:r>
        <w:rPr>
          <w:noProof/>
        </w:rPr>
        <w:instrText xml:space="preserve"> PAGEREF _Toc122839785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Powers of the Commission</w:t>
      </w:r>
      <w:r>
        <w:rPr>
          <w:noProof/>
        </w:rPr>
        <w:tab/>
      </w:r>
      <w:r>
        <w:rPr>
          <w:noProof/>
        </w:rPr>
        <w:fldChar w:fldCharType="begin"/>
      </w:r>
      <w:r>
        <w:rPr>
          <w:noProof/>
        </w:rPr>
        <w:instrText xml:space="preserve"> PAGEREF _Toc122839786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Duty of a Management Authority</w:t>
      </w:r>
      <w:r>
        <w:rPr>
          <w:noProof/>
        </w:rPr>
        <w:tab/>
      </w:r>
      <w:r>
        <w:rPr>
          <w:noProof/>
        </w:rPr>
        <w:fldChar w:fldCharType="begin"/>
      </w:r>
      <w:r>
        <w:rPr>
          <w:noProof/>
        </w:rPr>
        <w:instrText xml:space="preserve"> PAGEREF _Toc122839787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Functions of a Management Authority</w:t>
      </w:r>
      <w:r>
        <w:rPr>
          <w:noProof/>
        </w:rPr>
        <w:tab/>
      </w:r>
      <w:r>
        <w:rPr>
          <w:noProof/>
        </w:rPr>
        <w:fldChar w:fldCharType="begin"/>
      </w:r>
      <w:r>
        <w:rPr>
          <w:noProof/>
        </w:rPr>
        <w:instrText xml:space="preserve"> PAGEREF _Toc122839788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Powers of a Management Authority</w:t>
      </w:r>
      <w:r>
        <w:rPr>
          <w:noProof/>
        </w:rPr>
        <w:tab/>
      </w:r>
      <w:r>
        <w:rPr>
          <w:noProof/>
        </w:rPr>
        <w:fldChar w:fldCharType="begin"/>
      </w:r>
      <w:r>
        <w:rPr>
          <w:noProof/>
        </w:rPr>
        <w:instrText xml:space="preserve"> PAGEREF _Toc122839789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Suspension of an Authority, and effect of dissolution and reconstitution</w:t>
      </w:r>
      <w:r>
        <w:rPr>
          <w:noProof/>
        </w:rPr>
        <w:tab/>
      </w:r>
      <w:r>
        <w:rPr>
          <w:noProof/>
        </w:rPr>
        <w:fldChar w:fldCharType="begin"/>
      </w:r>
      <w:r>
        <w:rPr>
          <w:noProof/>
        </w:rPr>
        <w:instrText xml:space="preserve"> PAGEREF _Toc122839790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Continuity of administration</w:t>
      </w:r>
      <w:r>
        <w:rPr>
          <w:noProof/>
        </w:rPr>
        <w:tab/>
      </w:r>
      <w:r>
        <w:rPr>
          <w:noProof/>
        </w:rPr>
        <w:fldChar w:fldCharType="begin"/>
      </w:r>
      <w:r>
        <w:rPr>
          <w:noProof/>
        </w:rPr>
        <w:instrText xml:space="preserve"> PAGEREF _Toc122839791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Agreements as to private land</w:t>
      </w:r>
      <w:r>
        <w:rPr>
          <w:noProof/>
        </w:rPr>
        <w:tab/>
      </w:r>
      <w:r>
        <w:rPr>
          <w:noProof/>
        </w:rPr>
        <w:fldChar w:fldCharType="begin"/>
      </w:r>
      <w:r>
        <w:rPr>
          <w:noProof/>
        </w:rPr>
        <w:instrText xml:space="preserve"> PAGEREF _Toc122839792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Reserves may be placed under the control of the Commission</w:t>
      </w:r>
      <w:r>
        <w:rPr>
          <w:noProof/>
        </w:rPr>
        <w:tab/>
      </w:r>
      <w:r>
        <w:rPr>
          <w:noProof/>
        </w:rPr>
        <w:fldChar w:fldCharType="begin"/>
      </w:r>
      <w:r>
        <w:rPr>
          <w:noProof/>
        </w:rPr>
        <w:instrText xml:space="preserve"> PAGEREF _Toc122839793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Local government consultations, and initiatives</w:t>
      </w:r>
      <w:r>
        <w:rPr>
          <w:noProof/>
        </w:rPr>
        <w:tab/>
      </w:r>
      <w:r>
        <w:rPr>
          <w:noProof/>
        </w:rPr>
        <w:fldChar w:fldCharType="begin"/>
      </w:r>
      <w:r>
        <w:rPr>
          <w:noProof/>
        </w:rPr>
        <w:instrText xml:space="preserve"> PAGEREF _Toc122839794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Agreements for joint action</w:t>
      </w:r>
      <w:r>
        <w:rPr>
          <w:noProof/>
        </w:rPr>
        <w:tab/>
      </w:r>
      <w:r>
        <w:rPr>
          <w:noProof/>
        </w:rPr>
        <w:fldChar w:fldCharType="begin"/>
      </w:r>
      <w:r>
        <w:rPr>
          <w:noProof/>
        </w:rPr>
        <w:instrText xml:space="preserve"> PAGEREF _Toc122839795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Management programmes</w:t>
      </w:r>
      <w:r>
        <w:rPr>
          <w:noProof/>
        </w:rPr>
        <w:tab/>
      </w:r>
      <w:r>
        <w:rPr>
          <w:noProof/>
        </w:rPr>
        <w:fldChar w:fldCharType="begin"/>
      </w:r>
      <w:r>
        <w:rPr>
          <w:noProof/>
        </w:rPr>
        <w:instrText xml:space="preserve"> PAGEREF _Toc122839796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Town planning referrals</w:t>
      </w:r>
      <w:r>
        <w:rPr>
          <w:noProof/>
        </w:rPr>
        <w:tab/>
      </w:r>
      <w:r>
        <w:rPr>
          <w:noProof/>
        </w:rPr>
        <w:fldChar w:fldCharType="begin"/>
      </w:r>
      <w:r>
        <w:rPr>
          <w:noProof/>
        </w:rPr>
        <w:instrText xml:space="preserve"> PAGEREF _Toc122839797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Ministerial referrals</w:t>
      </w:r>
      <w:r>
        <w:rPr>
          <w:noProof/>
        </w:rPr>
        <w:tab/>
      </w:r>
      <w:r>
        <w:rPr>
          <w:noProof/>
        </w:rPr>
        <w:fldChar w:fldCharType="begin"/>
      </w:r>
      <w:r>
        <w:rPr>
          <w:noProof/>
        </w:rPr>
        <w:instrText xml:space="preserve"> PAGEREF _Toc122839798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Public referrals</w:t>
      </w:r>
      <w:r>
        <w:rPr>
          <w:noProof/>
        </w:rPr>
        <w:tab/>
      </w:r>
      <w:r>
        <w:rPr>
          <w:noProof/>
        </w:rPr>
        <w:fldChar w:fldCharType="begin"/>
      </w:r>
      <w:r>
        <w:rPr>
          <w:noProof/>
        </w:rPr>
        <w:instrText xml:space="preserve"> PAGEREF _Toc122839799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Staff</w:t>
      </w:r>
      <w:r>
        <w:rPr>
          <w:noProof/>
          <w:snapToGrid w:val="0"/>
          <w:szCs w:val="24"/>
        </w:rPr>
        <w:tab/>
      </w:r>
      <w:r>
        <w:rPr>
          <w:noProof/>
        </w:rPr>
        <w:tab/>
      </w:r>
      <w:r>
        <w:rPr>
          <w:noProof/>
        </w:rPr>
        <w:fldChar w:fldCharType="begin"/>
      </w:r>
      <w:r>
        <w:rPr>
          <w:noProof/>
        </w:rPr>
        <w:instrText xml:space="preserve"> PAGEREF _Toc122839800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Funds of the Management Authorities</w:t>
      </w:r>
      <w:r>
        <w:rPr>
          <w:noProof/>
        </w:rPr>
        <w:tab/>
      </w:r>
      <w:r>
        <w:rPr>
          <w:noProof/>
        </w:rPr>
        <w:fldChar w:fldCharType="begin"/>
      </w:r>
      <w:r>
        <w:rPr>
          <w:noProof/>
        </w:rPr>
        <w:instrText xml:space="preserve"> PAGEREF _Toc122839801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 xml:space="preserve">Application of </w:t>
      </w:r>
      <w:r>
        <w:rPr>
          <w:i/>
          <w:noProof/>
          <w:snapToGrid w:val="0"/>
          <w:szCs w:val="24"/>
        </w:rPr>
        <w:t>Financial Administration and Audit Act 1985</w:t>
      </w:r>
      <w:r>
        <w:rPr>
          <w:noProof/>
        </w:rPr>
        <w:tab/>
      </w:r>
      <w:r>
        <w:rPr>
          <w:noProof/>
        </w:rPr>
        <w:fldChar w:fldCharType="begin"/>
      </w:r>
      <w:r>
        <w:rPr>
          <w:noProof/>
        </w:rPr>
        <w:instrText xml:space="preserve"> PAGEREF _Toc122839802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Exemption from personal liability</w:t>
      </w:r>
      <w:r>
        <w:rPr>
          <w:noProof/>
        </w:rPr>
        <w:tab/>
      </w:r>
      <w:r>
        <w:rPr>
          <w:noProof/>
        </w:rPr>
        <w:fldChar w:fldCharType="begin"/>
      </w:r>
      <w:r>
        <w:rPr>
          <w:noProof/>
        </w:rPr>
        <w:instrText xml:space="preserve"> PAGEREF _Toc122839803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Licences</w:t>
      </w:r>
      <w:r>
        <w:rPr>
          <w:noProof/>
        </w:rPr>
        <w:tab/>
      </w:r>
      <w:r>
        <w:rPr>
          <w:noProof/>
        </w:rPr>
        <w:fldChar w:fldCharType="begin"/>
      </w:r>
      <w:r>
        <w:rPr>
          <w:noProof/>
        </w:rPr>
        <w:instrText xml:space="preserve"> PAGEREF _Toc122839804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Disposal licences</w:t>
      </w:r>
      <w:r>
        <w:rPr>
          <w:noProof/>
        </w:rPr>
        <w:tab/>
      </w:r>
      <w:r>
        <w:rPr>
          <w:noProof/>
        </w:rPr>
        <w:fldChar w:fldCharType="begin"/>
      </w:r>
      <w:r>
        <w:rPr>
          <w:noProof/>
        </w:rPr>
        <w:instrText xml:space="preserve"> PAGEREF _Toc122839805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Control of pollution, and the use of waters</w:t>
      </w:r>
      <w:r>
        <w:rPr>
          <w:noProof/>
        </w:rPr>
        <w:tab/>
      </w:r>
      <w:r>
        <w:rPr>
          <w:noProof/>
        </w:rPr>
        <w:fldChar w:fldCharType="begin"/>
      </w:r>
      <w:r>
        <w:rPr>
          <w:noProof/>
        </w:rPr>
        <w:instrText xml:space="preserve"> PAGEREF _Toc122839806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Injunctions</w:t>
      </w:r>
      <w:r>
        <w:rPr>
          <w:noProof/>
        </w:rPr>
        <w:tab/>
      </w:r>
      <w:r>
        <w:rPr>
          <w:noProof/>
        </w:rPr>
        <w:fldChar w:fldCharType="begin"/>
      </w:r>
      <w:r>
        <w:rPr>
          <w:noProof/>
        </w:rPr>
        <w:instrText xml:space="preserve"> PAGEREF _Toc122839807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Orders</w:t>
      </w:r>
      <w:r>
        <w:rPr>
          <w:noProof/>
        </w:rPr>
        <w:tab/>
      </w:r>
      <w:r>
        <w:rPr>
          <w:noProof/>
        </w:rPr>
        <w:fldChar w:fldCharType="begin"/>
      </w:r>
      <w:r>
        <w:rPr>
          <w:noProof/>
        </w:rPr>
        <w:instrText xml:space="preserve"> PAGEREF _Toc122839808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Removal of structures</w:t>
      </w:r>
      <w:r>
        <w:rPr>
          <w:noProof/>
        </w:rPr>
        <w:tab/>
      </w:r>
      <w:r>
        <w:rPr>
          <w:noProof/>
        </w:rPr>
        <w:fldChar w:fldCharType="begin"/>
      </w:r>
      <w:r>
        <w:rPr>
          <w:noProof/>
        </w:rPr>
        <w:instrText xml:space="preserve"> PAGEREF _Toc122839809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Remedial works</w:t>
      </w:r>
      <w:r>
        <w:rPr>
          <w:noProof/>
        </w:rPr>
        <w:tab/>
      </w:r>
      <w:r>
        <w:rPr>
          <w:noProof/>
        </w:rPr>
        <w:fldChar w:fldCharType="begin"/>
      </w:r>
      <w:r>
        <w:rPr>
          <w:noProof/>
        </w:rPr>
        <w:instrText xml:space="preserve"> PAGEREF _Toc122839810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Recovery of expenses</w:t>
      </w:r>
      <w:r>
        <w:rPr>
          <w:noProof/>
        </w:rPr>
        <w:tab/>
      </w:r>
      <w:r>
        <w:rPr>
          <w:noProof/>
        </w:rPr>
        <w:fldChar w:fldCharType="begin"/>
      </w:r>
      <w:r>
        <w:rPr>
          <w:noProof/>
        </w:rPr>
        <w:instrText xml:space="preserve"> PAGEREF _Toc122839811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By</w:t>
      </w:r>
      <w:r>
        <w:rPr>
          <w:noProof/>
          <w:snapToGrid w:val="0"/>
          <w:szCs w:val="24"/>
        </w:rPr>
        <w:noBreakHyphen/>
        <w:t>laws</w:t>
      </w:r>
      <w:r>
        <w:rPr>
          <w:noProof/>
        </w:rPr>
        <w:tab/>
      </w:r>
      <w:r>
        <w:rPr>
          <w:noProof/>
        </w:rPr>
        <w:fldChar w:fldCharType="begin"/>
      </w:r>
      <w:r>
        <w:rPr>
          <w:noProof/>
        </w:rPr>
        <w:instrText xml:space="preserve"> PAGEREF _Toc122839812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General provisions relating to by</w:t>
      </w:r>
      <w:r>
        <w:rPr>
          <w:noProof/>
          <w:snapToGrid w:val="0"/>
          <w:szCs w:val="24"/>
        </w:rPr>
        <w:noBreakHyphen/>
        <w:t>laws</w:t>
      </w:r>
      <w:r>
        <w:rPr>
          <w:noProof/>
        </w:rPr>
        <w:tab/>
      </w:r>
      <w:r>
        <w:rPr>
          <w:noProof/>
        </w:rPr>
        <w:fldChar w:fldCharType="begin"/>
      </w:r>
      <w:r>
        <w:rPr>
          <w:noProof/>
        </w:rPr>
        <w:instrText xml:space="preserve"> PAGEREF _Toc122839813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Local laws</w:t>
      </w:r>
      <w:r>
        <w:rPr>
          <w:noProof/>
        </w:rPr>
        <w:tab/>
      </w:r>
      <w:r>
        <w:rPr>
          <w:noProof/>
        </w:rPr>
        <w:fldChar w:fldCharType="begin"/>
      </w:r>
      <w:r>
        <w:rPr>
          <w:noProof/>
        </w:rPr>
        <w:instrText xml:space="preserve"> PAGEREF _Toc122839814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Inconsistency of by</w:t>
      </w:r>
      <w:r>
        <w:rPr>
          <w:noProof/>
          <w:snapToGrid w:val="0"/>
          <w:szCs w:val="24"/>
        </w:rPr>
        <w:noBreakHyphen/>
        <w:t>laws with regulations</w:t>
      </w:r>
      <w:r>
        <w:rPr>
          <w:noProof/>
        </w:rPr>
        <w:tab/>
      </w:r>
      <w:r>
        <w:rPr>
          <w:noProof/>
        </w:rPr>
        <w:fldChar w:fldCharType="begin"/>
      </w:r>
      <w:r>
        <w:rPr>
          <w:noProof/>
        </w:rPr>
        <w:instrText xml:space="preserve"> PAGEREF _Toc122839815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Revocation of by</w:t>
      </w:r>
      <w:r>
        <w:rPr>
          <w:noProof/>
          <w:snapToGrid w:val="0"/>
          <w:szCs w:val="24"/>
        </w:rPr>
        <w:noBreakHyphen/>
        <w:t>laws</w:t>
      </w:r>
      <w:r>
        <w:rPr>
          <w:noProof/>
        </w:rPr>
        <w:tab/>
      </w:r>
      <w:r>
        <w:rPr>
          <w:noProof/>
        </w:rPr>
        <w:fldChar w:fldCharType="begin"/>
      </w:r>
      <w:r>
        <w:rPr>
          <w:noProof/>
        </w:rPr>
        <w:instrText xml:space="preserve"> PAGEREF _Toc122839816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Public consultation</w:t>
      </w:r>
      <w:r>
        <w:rPr>
          <w:noProof/>
        </w:rPr>
        <w:tab/>
      </w:r>
      <w:r>
        <w:rPr>
          <w:noProof/>
        </w:rPr>
        <w:fldChar w:fldCharType="begin"/>
      </w:r>
      <w:r>
        <w:rPr>
          <w:noProof/>
        </w:rPr>
        <w:instrText xml:space="preserve"> PAGEREF _Toc122839817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Inspectors</w:t>
      </w:r>
      <w:r>
        <w:rPr>
          <w:noProof/>
        </w:rPr>
        <w:tab/>
      </w:r>
      <w:r>
        <w:rPr>
          <w:noProof/>
        </w:rPr>
        <w:fldChar w:fldCharType="begin"/>
      </w:r>
      <w:r>
        <w:rPr>
          <w:noProof/>
        </w:rPr>
        <w:instrText xml:space="preserve"> PAGEREF _Toc122839818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Honorary wardens</w:t>
      </w:r>
      <w:r>
        <w:rPr>
          <w:noProof/>
        </w:rPr>
        <w:tab/>
      </w:r>
      <w:r>
        <w:rPr>
          <w:noProof/>
        </w:rPr>
        <w:fldChar w:fldCharType="begin"/>
      </w:r>
      <w:r>
        <w:rPr>
          <w:noProof/>
        </w:rPr>
        <w:instrText xml:space="preserve"> PAGEREF _Toc122839819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Powers of inspectors, etc.</w:t>
      </w:r>
      <w:r>
        <w:rPr>
          <w:noProof/>
        </w:rPr>
        <w:tab/>
      </w:r>
      <w:r>
        <w:rPr>
          <w:noProof/>
        </w:rPr>
        <w:fldChar w:fldCharType="begin"/>
      </w:r>
      <w:r>
        <w:rPr>
          <w:noProof/>
        </w:rPr>
        <w:instrText xml:space="preserve"> PAGEREF _Toc122839820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Duty of police officers etc.</w:t>
      </w:r>
      <w:r>
        <w:rPr>
          <w:noProof/>
        </w:rPr>
        <w:tab/>
      </w:r>
      <w:r>
        <w:rPr>
          <w:noProof/>
        </w:rPr>
        <w:fldChar w:fldCharType="begin"/>
      </w:r>
      <w:r>
        <w:rPr>
          <w:noProof/>
        </w:rPr>
        <w:instrText xml:space="preserve"> PAGEREF _Toc122839821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Persons obstructing execution of this Act</w:t>
      </w:r>
      <w:r>
        <w:rPr>
          <w:noProof/>
        </w:rPr>
        <w:tab/>
      </w:r>
      <w:r>
        <w:rPr>
          <w:noProof/>
        </w:rPr>
        <w:fldChar w:fldCharType="begin"/>
      </w:r>
      <w:r>
        <w:rPr>
          <w:noProof/>
        </w:rPr>
        <w:instrText xml:space="preserve"> PAGEREF _Toc122839822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Secrecy</w:t>
      </w:r>
      <w:r>
        <w:rPr>
          <w:noProof/>
        </w:rPr>
        <w:tab/>
      </w:r>
      <w:r>
        <w:rPr>
          <w:noProof/>
        </w:rPr>
        <w:fldChar w:fldCharType="begin"/>
      </w:r>
      <w:r>
        <w:rPr>
          <w:noProof/>
        </w:rPr>
        <w:instrText xml:space="preserve"> PAGEREF _Toc122839823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Appropriation of penalties</w:t>
      </w:r>
      <w:r>
        <w:rPr>
          <w:noProof/>
        </w:rPr>
        <w:tab/>
      </w:r>
      <w:r>
        <w:rPr>
          <w:noProof/>
        </w:rPr>
        <w:fldChar w:fldCharType="begin"/>
      </w:r>
      <w:r>
        <w:rPr>
          <w:noProof/>
        </w:rPr>
        <w:instrText xml:space="preserve"> PAGEREF _Toc122839824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Prosecution expenses</w:t>
      </w:r>
      <w:r>
        <w:rPr>
          <w:noProof/>
        </w:rPr>
        <w:tab/>
      </w:r>
      <w:r>
        <w:rPr>
          <w:noProof/>
        </w:rPr>
        <w:fldChar w:fldCharType="begin"/>
      </w:r>
      <w:r>
        <w:rPr>
          <w:noProof/>
        </w:rPr>
        <w:instrText xml:space="preserve"> PAGEREF _Toc122839825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Offences generally</w:t>
      </w:r>
      <w:r>
        <w:rPr>
          <w:noProof/>
        </w:rPr>
        <w:tab/>
      </w:r>
      <w:r>
        <w:rPr>
          <w:noProof/>
        </w:rPr>
        <w:fldChar w:fldCharType="begin"/>
      </w:r>
      <w:r>
        <w:rPr>
          <w:noProof/>
        </w:rPr>
        <w:instrText xml:space="preserve"> PAGEREF _Toc122839826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General penalty</w:t>
      </w:r>
      <w:r>
        <w:rPr>
          <w:noProof/>
        </w:rPr>
        <w:tab/>
      </w:r>
      <w:r>
        <w:rPr>
          <w:noProof/>
        </w:rPr>
        <w:fldChar w:fldCharType="begin"/>
      </w:r>
      <w:r>
        <w:rPr>
          <w:noProof/>
        </w:rPr>
        <w:instrText xml:space="preserve"> PAGEREF _Toc122839827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71</w:t>
      </w:r>
      <w:r>
        <w:rPr>
          <w:noProof/>
          <w:snapToGrid w:val="0"/>
          <w:szCs w:val="24"/>
        </w:rPr>
        <w:t>.</w:t>
      </w:r>
      <w:r>
        <w:rPr>
          <w:noProof/>
          <w:sz w:val="24"/>
          <w:szCs w:val="24"/>
        </w:rPr>
        <w:tab/>
      </w:r>
      <w:r>
        <w:rPr>
          <w:noProof/>
          <w:snapToGrid w:val="0"/>
          <w:szCs w:val="24"/>
        </w:rPr>
        <w:t>Proceedings</w:t>
      </w:r>
      <w:r>
        <w:rPr>
          <w:noProof/>
        </w:rPr>
        <w:tab/>
      </w:r>
      <w:r>
        <w:rPr>
          <w:noProof/>
        </w:rPr>
        <w:fldChar w:fldCharType="begin"/>
      </w:r>
      <w:r>
        <w:rPr>
          <w:noProof/>
        </w:rPr>
        <w:instrText xml:space="preserve"> PAGEREF _Toc122839828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Liability for the acts of others, etc.</w:t>
      </w:r>
      <w:r>
        <w:rPr>
          <w:noProof/>
        </w:rPr>
        <w:tab/>
      </w:r>
      <w:r>
        <w:rPr>
          <w:noProof/>
        </w:rPr>
        <w:fldChar w:fldCharType="begin"/>
      </w:r>
      <w:r>
        <w:rPr>
          <w:noProof/>
        </w:rPr>
        <w:instrText xml:space="preserve"> PAGEREF _Toc122839829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Offences by bodies corporate</w:t>
      </w:r>
      <w:r>
        <w:rPr>
          <w:noProof/>
        </w:rPr>
        <w:tab/>
      </w:r>
      <w:r>
        <w:rPr>
          <w:noProof/>
        </w:rPr>
        <w:fldChar w:fldCharType="begin"/>
      </w:r>
      <w:r>
        <w:rPr>
          <w:noProof/>
        </w:rPr>
        <w:instrText xml:space="preserve"> PAGEREF _Toc122839830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Recovery of penalty and costs paid</w:t>
      </w:r>
      <w:r>
        <w:rPr>
          <w:noProof/>
        </w:rPr>
        <w:tab/>
      </w:r>
      <w:r>
        <w:rPr>
          <w:noProof/>
        </w:rPr>
        <w:fldChar w:fldCharType="begin"/>
      </w:r>
      <w:r>
        <w:rPr>
          <w:noProof/>
        </w:rPr>
        <w:instrText xml:space="preserve"> PAGEREF _Toc122839831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Evidentiary provisions</w:t>
      </w:r>
      <w:r>
        <w:rPr>
          <w:noProof/>
        </w:rPr>
        <w:tab/>
      </w:r>
      <w:r>
        <w:rPr>
          <w:noProof/>
        </w:rPr>
        <w:fldChar w:fldCharType="begin"/>
      </w:r>
      <w:r>
        <w:rPr>
          <w:noProof/>
        </w:rPr>
        <w:instrText xml:space="preserve"> PAGEREF _Toc122839832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_Toc122839833 \h </w:instrText>
      </w:r>
      <w:r>
        <w:rPr>
          <w:noProof/>
        </w:rPr>
      </w:r>
      <w:r>
        <w:rPr>
          <w:noProof/>
        </w:rPr>
        <w:fldChar w:fldCharType="separate"/>
      </w:r>
      <w:r>
        <w:rPr>
          <w:noProof/>
        </w:rPr>
        <w:t>66</w:t>
      </w:r>
      <w:r>
        <w:rPr>
          <w:noProof/>
        </w:rPr>
        <w:fldChar w:fldCharType="end"/>
      </w:r>
    </w:p>
    <w:p>
      <w:pPr>
        <w:pStyle w:val="TOC5"/>
        <w:rPr>
          <w:b w:val="0"/>
          <w:noProof/>
          <w:sz w:val="24"/>
          <w:szCs w:val="24"/>
        </w:rPr>
      </w:pPr>
      <w:r>
        <w:rPr>
          <w:noProof/>
          <w:szCs w:val="28"/>
        </w:rPr>
        <w:t>Schedule</w:t>
      </w:r>
      <w:r>
        <w:rPr>
          <w:noProof/>
        </w:rPr>
        <w:tab/>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Chairman</w:t>
      </w:r>
      <w:r>
        <w:rPr>
          <w:noProof/>
        </w:rPr>
        <w:tab/>
      </w:r>
      <w:r>
        <w:rPr>
          <w:noProof/>
        </w:rPr>
        <w:fldChar w:fldCharType="begin"/>
      </w:r>
      <w:r>
        <w:rPr>
          <w:noProof/>
        </w:rPr>
        <w:instrText xml:space="preserve"> PAGEREF _Toc122839835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Quorum</w:t>
      </w:r>
      <w:r>
        <w:rPr>
          <w:noProof/>
        </w:rPr>
        <w:tab/>
      </w:r>
      <w:r>
        <w:rPr>
          <w:noProof/>
        </w:rPr>
        <w:fldChar w:fldCharType="begin"/>
      </w:r>
      <w:r>
        <w:rPr>
          <w:noProof/>
        </w:rPr>
        <w:instrText xml:space="preserve"> PAGEREF _Toc122839836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3.</w:t>
      </w:r>
      <w:r>
        <w:rPr>
          <w:noProof/>
          <w:sz w:val="24"/>
          <w:szCs w:val="24"/>
        </w:rPr>
        <w:tab/>
      </w:r>
      <w:r>
        <w:rPr>
          <w:noProof/>
          <w:snapToGrid w:val="0"/>
          <w:szCs w:val="22"/>
        </w:rPr>
        <w:t>Meetings</w:t>
      </w:r>
      <w:r>
        <w:rPr>
          <w:noProof/>
        </w:rPr>
        <w:tab/>
      </w:r>
      <w:r>
        <w:rPr>
          <w:noProof/>
        </w:rPr>
        <w:fldChar w:fldCharType="begin"/>
      </w:r>
      <w:r>
        <w:rPr>
          <w:noProof/>
        </w:rPr>
        <w:instrText xml:space="preserve"> PAGEREF _Toc122839837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Voting</w:t>
      </w:r>
      <w:r>
        <w:rPr>
          <w:noProof/>
        </w:rPr>
        <w:tab/>
      </w:r>
      <w:r>
        <w:rPr>
          <w:noProof/>
        </w:rPr>
        <w:fldChar w:fldCharType="begin"/>
      </w:r>
      <w:r>
        <w:rPr>
          <w:noProof/>
        </w:rPr>
        <w:instrText xml:space="preserve"> PAGEREF _Toc122839838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Records</w:t>
      </w:r>
      <w:r>
        <w:rPr>
          <w:noProof/>
        </w:rPr>
        <w:tab/>
      </w:r>
      <w:r>
        <w:rPr>
          <w:noProof/>
        </w:rPr>
        <w:fldChar w:fldCharType="begin"/>
      </w:r>
      <w:r>
        <w:rPr>
          <w:noProof/>
        </w:rPr>
        <w:instrText xml:space="preserve"> PAGEREF _Toc122839839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napToGrid w:val="0"/>
          <w:szCs w:val="22"/>
        </w:rPr>
        <w:t>6.</w:t>
      </w:r>
      <w:r>
        <w:rPr>
          <w:noProof/>
          <w:sz w:val="24"/>
          <w:szCs w:val="24"/>
        </w:rPr>
        <w:tab/>
      </w:r>
      <w:r>
        <w:rPr>
          <w:noProof/>
          <w:snapToGrid w:val="0"/>
          <w:szCs w:val="22"/>
        </w:rPr>
        <w:t>Validity of proceedings</w:t>
      </w:r>
      <w:r>
        <w:rPr>
          <w:noProof/>
        </w:rPr>
        <w:tab/>
      </w:r>
      <w:r>
        <w:rPr>
          <w:noProof/>
        </w:rPr>
        <w:fldChar w:fldCharType="begin"/>
      </w:r>
      <w:r>
        <w:rPr>
          <w:noProof/>
        </w:rPr>
        <w:instrText xml:space="preserve"> PAGEREF _Toc122839840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7.</w:t>
      </w:r>
      <w:r>
        <w:rPr>
          <w:noProof/>
          <w:sz w:val="24"/>
          <w:szCs w:val="24"/>
        </w:rPr>
        <w:tab/>
      </w:r>
      <w:r>
        <w:rPr>
          <w:noProof/>
          <w:snapToGrid w:val="0"/>
          <w:szCs w:val="22"/>
        </w:rPr>
        <w:t>Interests</w:t>
      </w:r>
      <w:r>
        <w:rPr>
          <w:noProof/>
        </w:rPr>
        <w:tab/>
      </w:r>
      <w:r>
        <w:rPr>
          <w:noProof/>
        </w:rPr>
        <w:fldChar w:fldCharType="begin"/>
      </w:r>
      <w:r>
        <w:rPr>
          <w:noProof/>
        </w:rPr>
        <w:instrText xml:space="preserve"> PAGEREF _Toc122839841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8.</w:t>
      </w:r>
      <w:r>
        <w:rPr>
          <w:noProof/>
          <w:sz w:val="24"/>
          <w:szCs w:val="24"/>
        </w:rPr>
        <w:tab/>
      </w:r>
      <w:r>
        <w:rPr>
          <w:noProof/>
          <w:snapToGrid w:val="0"/>
          <w:szCs w:val="22"/>
        </w:rPr>
        <w:t>Disputes</w:t>
      </w:r>
      <w:r>
        <w:rPr>
          <w:noProof/>
        </w:rPr>
        <w:tab/>
      </w:r>
      <w:r>
        <w:rPr>
          <w:noProof/>
        </w:rPr>
        <w:fldChar w:fldCharType="begin"/>
      </w:r>
      <w:r>
        <w:rPr>
          <w:noProof/>
        </w:rPr>
        <w:instrText xml:space="preserve"> PAGEREF _Toc122839842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napToGrid w:val="0"/>
          <w:szCs w:val="22"/>
        </w:rPr>
        <w:t>9.</w:t>
      </w:r>
      <w:r>
        <w:rPr>
          <w:noProof/>
          <w:sz w:val="24"/>
          <w:szCs w:val="24"/>
        </w:rPr>
        <w:tab/>
      </w:r>
      <w:r>
        <w:rPr>
          <w:noProof/>
          <w:snapToGrid w:val="0"/>
          <w:szCs w:val="22"/>
        </w:rPr>
        <w:t>Procedure</w:t>
      </w:r>
      <w:r>
        <w:rPr>
          <w:noProof/>
        </w:rPr>
        <w:tab/>
      </w:r>
      <w:r>
        <w:rPr>
          <w:noProof/>
        </w:rPr>
        <w:fldChar w:fldCharType="begin"/>
      </w:r>
      <w:r>
        <w:rPr>
          <w:noProof/>
        </w:rPr>
        <w:instrText xml:space="preserve"> PAGEREF _Toc122839843 \h </w:instrText>
      </w:r>
      <w:r>
        <w:rPr>
          <w:noProof/>
        </w:rPr>
      </w:r>
      <w:r>
        <w:rPr>
          <w:noProof/>
        </w:rPr>
        <w:fldChar w:fldCharType="separate"/>
      </w:r>
      <w:r>
        <w:rPr>
          <w:noProof/>
        </w:rPr>
        <w:t>70</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_Toc122839845 \h </w:instrText>
      </w:r>
      <w:r>
        <w:rPr>
          <w:noProof/>
        </w:rPr>
      </w:r>
      <w:r>
        <w:rPr>
          <w:noProof/>
        </w:rPr>
        <w:fldChar w:fldCharType="separate"/>
      </w:r>
      <w:r>
        <w:rPr>
          <w:noProof/>
        </w:rPr>
        <w:t>71</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_Toc122839846 \h </w:instrText>
      </w:r>
      <w:r>
        <w:rPr>
          <w:noProof/>
        </w:rPr>
      </w:r>
      <w:r>
        <w:rPr>
          <w:noProof/>
        </w:rPr>
        <w:fldChar w:fldCharType="separate"/>
      </w:r>
      <w:r>
        <w:rPr>
          <w:noProof/>
        </w:rPr>
        <w:t>73</w:t>
      </w:r>
      <w:r>
        <w:rPr>
          <w:noProof/>
        </w:rPr>
        <w:fldChar w:fldCharType="end"/>
      </w:r>
    </w:p>
    <w:p>
      <w:pPr>
        <w:pStyle w:val="TOC4"/>
      </w:pPr>
      <w:r>
        <w:rPr>
          <w:b/>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rPr>
          <w:snapToGrid w:val="0"/>
        </w:rPr>
      </w:pPr>
      <w:bookmarkStart w:id="1" w:name="_Toc13120132"/>
      <w:bookmarkStart w:id="2" w:name="_Toc122839762"/>
      <w:r>
        <w:rPr>
          <w:rStyle w:val="CharSectno"/>
        </w:rPr>
        <w:t>1</w:t>
      </w:r>
      <w:r>
        <w:rPr>
          <w:snapToGrid w:val="0"/>
        </w:rPr>
        <w:t>.</w:t>
      </w:r>
      <w:r>
        <w:rPr>
          <w:snapToGrid w:val="0"/>
        </w:rPr>
        <w:tab/>
        <w:t>Short title</w:t>
      </w:r>
      <w:bookmarkEnd w:id="1"/>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3" w:name="_Toc13120133"/>
      <w:bookmarkStart w:id="4" w:name="_Toc122839763"/>
      <w:r>
        <w:rPr>
          <w:rStyle w:val="CharSectno"/>
        </w:rPr>
        <w:t>2</w:t>
      </w:r>
      <w:r>
        <w:rPr>
          <w:snapToGrid w:val="0"/>
        </w:rPr>
        <w:t>.</w:t>
      </w:r>
      <w:r>
        <w:rPr>
          <w:snapToGrid w:val="0"/>
        </w:rPr>
        <w:tab/>
        <w:t>Commencement</w:t>
      </w:r>
      <w:bookmarkEnd w:id="3"/>
      <w:bookmarkEnd w:id="4"/>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5" w:name="_Toc13120134"/>
      <w:bookmarkStart w:id="6" w:name="_Toc122839764"/>
      <w:r>
        <w:rPr>
          <w:rStyle w:val="CharSectno"/>
        </w:rPr>
        <w:t>3</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pPr>
      <w:r>
        <w:rPr>
          <w:b/>
        </w:rPr>
        <w:tab/>
        <w:t>“</w:t>
      </w:r>
      <w:r>
        <w:rPr>
          <w:rStyle w:val="CharDefText"/>
        </w:rPr>
        <w:t>committee</w:t>
      </w:r>
      <w:r>
        <w:rPr>
          <w:b/>
        </w:rPr>
        <w:t>”</w:t>
      </w:r>
      <w:r>
        <w:t xml:space="preserve"> means a committee of the Commission or a committee of a Management Authority, as the context requires;</w:t>
      </w:r>
    </w:p>
    <w:p>
      <w:pPr>
        <w:pStyle w:val="Defstart"/>
      </w:pPr>
      <w:r>
        <w:rPr>
          <w:b/>
        </w:rPr>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t>“</w:t>
      </w:r>
      <w:r>
        <w:rPr>
          <w:rStyle w:val="CharDefText"/>
        </w:rPr>
        <w:t>function</w:t>
      </w:r>
      <w:r>
        <w:rPr>
          <w:b/>
        </w:rPr>
        <w:t>”</w:t>
      </w:r>
      <w:r>
        <w:t xml:space="preserve"> means powers and duties, and includes rights, benefits and obligations;</w:t>
      </w:r>
    </w:p>
    <w:p>
      <w:pPr>
        <w:pStyle w:val="Defstart"/>
      </w:pPr>
      <w:r>
        <w:rPr>
          <w:b/>
        </w:rPr>
        <w:tab/>
        <w:t>“</w:t>
      </w:r>
      <w:r>
        <w:rPr>
          <w:rStyle w:val="CharDefText"/>
        </w:rPr>
        <w:t>honorary warden</w:t>
      </w:r>
      <w:r>
        <w:rPr>
          <w:b/>
        </w:rPr>
        <w:t>”</w:t>
      </w:r>
      <w:r>
        <w:t xml:space="preserve"> means a person appointed to that office pursuant to section 62;</w:t>
      </w:r>
    </w:p>
    <w:p>
      <w:pPr>
        <w:pStyle w:val="Defstart"/>
      </w:pPr>
      <w:r>
        <w:rPr>
          <w:b/>
        </w:rPr>
        <w:tab/>
        <w:t>“</w:t>
      </w:r>
      <w:r>
        <w:rPr>
          <w:rStyle w:val="CharDefText"/>
        </w:rPr>
        <w:t>industrial</w:t>
      </w:r>
      <w:r>
        <w:rPr>
          <w:b/>
        </w:rPr>
        <w:t>”</w:t>
      </w:r>
      <w:r>
        <w:t xml:space="preserve"> includes any producing, manufacturing, or processing operation;</w:t>
      </w:r>
    </w:p>
    <w:p>
      <w:pPr>
        <w:pStyle w:val="Defstart"/>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pPr>
      <w:r>
        <w:rPr>
          <w:b/>
        </w:rPr>
        <w:tab/>
        <w:t>“</w:t>
      </w:r>
      <w:r>
        <w:rPr>
          <w:rStyle w:val="CharDefText"/>
        </w:rPr>
        <w:t>management programme</w:t>
      </w:r>
      <w:r>
        <w:rPr>
          <w:b/>
        </w:rPr>
        <w:t>”</w:t>
      </w:r>
      <w:r>
        <w:t xml:space="preserve"> means a programme of operations prepared pursuant to section 35;</w:t>
      </w:r>
    </w:p>
    <w:p>
      <w:pPr>
        <w:pStyle w:val="Defstart"/>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section</w:t>
      </w:r>
      <w:r>
        <w:rPr>
          <w:b/>
        </w:rPr>
        <w:t>”</w:t>
      </w:r>
      <w:r>
        <w:t xml:space="preserve"> means section of this Act;</w:t>
      </w:r>
    </w:p>
    <w:p>
      <w:pPr>
        <w:pStyle w:val="Defstart"/>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pPr>
      <w:r>
        <w:tab/>
        <w:t xml:space="preserve">[Section 3 amended by No. 97 of 1982 s. 2; No. 77 of 1987 s. 36; No. 73 of 1995 s. 166; No. 14 of 1996 s. 4.] </w:t>
      </w:r>
    </w:p>
    <w:p>
      <w:pPr>
        <w:pStyle w:val="Heading5"/>
        <w:rPr>
          <w:snapToGrid w:val="0"/>
        </w:rPr>
      </w:pPr>
      <w:bookmarkStart w:id="7" w:name="_Toc13120135"/>
      <w:bookmarkStart w:id="8" w:name="_Toc122839765"/>
      <w:r>
        <w:rPr>
          <w:rStyle w:val="CharSectno"/>
        </w:rPr>
        <w:t>4</w:t>
      </w:r>
      <w:r>
        <w:rPr>
          <w:snapToGrid w:val="0"/>
        </w:rPr>
        <w:t>.</w:t>
      </w:r>
      <w:r>
        <w:rPr>
          <w:snapToGrid w:val="0"/>
        </w:rPr>
        <w:tab/>
        <w:t>Repeal and transitional provisions</w:t>
      </w:r>
      <w:bookmarkEnd w:id="7"/>
      <w:bookmarkEnd w:id="8"/>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keepNext/>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pPr>
      <w:r>
        <w:tab/>
        <w:t xml:space="preserve">[Section 4 amended by No. 21 of 1988 s. 24; No. 73 of 1995 s. 167.] </w:t>
      </w:r>
    </w:p>
    <w:p>
      <w:pPr>
        <w:pStyle w:val="Heading5"/>
        <w:rPr>
          <w:snapToGrid w:val="0"/>
        </w:rPr>
      </w:pPr>
      <w:bookmarkStart w:id="9" w:name="_Toc13120136"/>
      <w:bookmarkStart w:id="10" w:name="_Toc122839766"/>
      <w:r>
        <w:rPr>
          <w:rStyle w:val="CharSectno"/>
        </w:rPr>
        <w:t>5</w:t>
      </w:r>
      <w:r>
        <w:rPr>
          <w:snapToGrid w:val="0"/>
        </w:rPr>
        <w:t>.</w:t>
      </w:r>
      <w:r>
        <w:rPr>
          <w:snapToGrid w:val="0"/>
        </w:rPr>
        <w:tab/>
        <w:t>Construction of this Act</w:t>
      </w:r>
      <w:bookmarkEnd w:id="9"/>
      <w:bookmarkEnd w:id="10"/>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1" w:name="_Toc13120137"/>
      <w:bookmarkStart w:id="12" w:name="_Toc122839767"/>
      <w:r>
        <w:rPr>
          <w:rStyle w:val="CharSectno"/>
        </w:rPr>
        <w:t>6</w:t>
      </w:r>
      <w:r>
        <w:rPr>
          <w:snapToGrid w:val="0"/>
        </w:rPr>
        <w:t>.</w:t>
      </w:r>
      <w:r>
        <w:rPr>
          <w:snapToGrid w:val="0"/>
        </w:rPr>
        <w:tab/>
        <w:t>Crown bound</w:t>
      </w:r>
      <w:bookmarkEnd w:id="11"/>
      <w:bookmarkEnd w:id="12"/>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3" w:name="_Toc13120138"/>
      <w:bookmarkStart w:id="14" w:name="_Toc122839768"/>
      <w:r>
        <w:rPr>
          <w:rStyle w:val="CharSectno"/>
        </w:rPr>
        <w:t>7</w:t>
      </w:r>
      <w:r>
        <w:rPr>
          <w:snapToGrid w:val="0"/>
        </w:rPr>
        <w:t>.</w:t>
      </w:r>
      <w:r>
        <w:rPr>
          <w:snapToGrid w:val="0"/>
        </w:rPr>
        <w:tab/>
        <w:t>Saving of rights at law</w:t>
      </w:r>
      <w:bookmarkEnd w:id="13"/>
      <w:bookmarkEnd w:id="14"/>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5" w:name="_Toc13120139"/>
      <w:bookmarkStart w:id="16" w:name="_Toc122839769"/>
      <w:r>
        <w:rPr>
          <w:rStyle w:val="CharSectno"/>
        </w:rPr>
        <w:t>8</w:t>
      </w:r>
      <w:r>
        <w:rPr>
          <w:snapToGrid w:val="0"/>
        </w:rPr>
        <w:t>.</w:t>
      </w:r>
      <w:r>
        <w:rPr>
          <w:snapToGrid w:val="0"/>
        </w:rPr>
        <w:tab/>
        <w:t>Exemptions</w:t>
      </w:r>
      <w:bookmarkEnd w:id="15"/>
      <w:bookmarkEnd w:id="16"/>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17" w:name="_Toc13120140"/>
      <w:bookmarkStart w:id="18" w:name="_Toc122839770"/>
      <w:r>
        <w:rPr>
          <w:rStyle w:val="CharSectno"/>
        </w:rPr>
        <w:t>9</w:t>
      </w:r>
      <w:r>
        <w:rPr>
          <w:snapToGrid w:val="0"/>
        </w:rPr>
        <w:t>.</w:t>
      </w:r>
      <w:r>
        <w:rPr>
          <w:snapToGrid w:val="0"/>
        </w:rPr>
        <w:tab/>
        <w:t>Application</w:t>
      </w:r>
      <w:bookmarkEnd w:id="17"/>
      <w:bookmarkEnd w:id="18"/>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rPr>
          <w:snapToGrid w:val="0"/>
        </w:rPr>
      </w:pPr>
      <w:r>
        <w:rPr>
          <w:snapToGrid w:val="0"/>
        </w:rPr>
        <w:tab/>
        <w:t>(1a)</w:t>
      </w:r>
      <w:r>
        <w:rPr>
          <w:snapToGrid w:val="0"/>
        </w:rPr>
        <w:tab/>
        <w:t xml:space="preserve">The powers of the Commission do not apply in respect of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w:t>
      </w:r>
    </w:p>
    <w:p>
      <w:pPr>
        <w:pStyle w:val="Heading5"/>
        <w:rPr>
          <w:snapToGrid w:val="0"/>
        </w:rPr>
      </w:pPr>
      <w:bookmarkStart w:id="19" w:name="_Toc13120141"/>
      <w:bookmarkStart w:id="20" w:name="_Toc122839771"/>
      <w:r>
        <w:rPr>
          <w:rStyle w:val="CharSectno"/>
        </w:rPr>
        <w:t>10</w:t>
      </w:r>
      <w:r>
        <w:rPr>
          <w:snapToGrid w:val="0"/>
        </w:rPr>
        <w:t>.</w:t>
      </w:r>
      <w:r>
        <w:rPr>
          <w:snapToGrid w:val="0"/>
        </w:rPr>
        <w:tab/>
        <w:t>Management areas</w:t>
      </w:r>
      <w:bookmarkEnd w:id="19"/>
      <w:bookmarkEnd w:id="20"/>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rPr>
          <w:snapToGrid w:val="0"/>
        </w:rPr>
      </w:pPr>
      <w:r>
        <w:rPr>
          <w:snapToGrid w:val="0"/>
        </w:rPr>
        <w:tab/>
        <w:t>(6)</w:t>
      </w:r>
      <w:r>
        <w:rPr>
          <w:snapToGrid w:val="0"/>
        </w:rPr>
        <w:tab/>
        <w:t xml:space="preserve">This section does not apply in respect of the management area of the Swan River Trust within the meaning of the </w:t>
      </w:r>
      <w:r>
        <w:rPr>
          <w:i/>
          <w:snapToGrid w:val="0"/>
        </w:rPr>
        <w:t>Swan River Trust Act 1988</w:t>
      </w:r>
      <w:r>
        <w:rPr>
          <w:snapToGrid w:val="0"/>
        </w:rPr>
        <w:t>.</w:t>
      </w:r>
    </w:p>
    <w:p>
      <w:pPr>
        <w:pStyle w:val="Footnotesection"/>
      </w:pPr>
      <w:r>
        <w:tab/>
        <w:t xml:space="preserve">[Section 10 amended by No. 97 of 1982 s. 3; No. 21 of 1988 s. 26; No. 73 of 1995 s. 168.] </w:t>
      </w:r>
    </w:p>
    <w:p>
      <w:pPr>
        <w:pStyle w:val="Heading5"/>
        <w:rPr>
          <w:snapToGrid w:val="0"/>
        </w:rPr>
      </w:pPr>
      <w:bookmarkStart w:id="21" w:name="_Toc13120142"/>
      <w:bookmarkStart w:id="22" w:name="_Toc122839772"/>
      <w:r>
        <w:rPr>
          <w:rStyle w:val="CharSectno"/>
        </w:rPr>
        <w:t>11</w:t>
      </w:r>
      <w:r>
        <w:rPr>
          <w:snapToGrid w:val="0"/>
        </w:rPr>
        <w:t>.</w:t>
      </w:r>
      <w:r>
        <w:rPr>
          <w:snapToGrid w:val="0"/>
        </w:rPr>
        <w:tab/>
        <w:t>Rivers and Estuaries Council</w:t>
      </w:r>
      <w:bookmarkEnd w:id="21"/>
      <w:bookmarkEnd w:id="22"/>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23" w:name="_Toc13120143"/>
      <w:bookmarkStart w:id="24" w:name="_Toc122839773"/>
      <w:r>
        <w:rPr>
          <w:rStyle w:val="CharSectno"/>
        </w:rPr>
        <w:t>11A</w:t>
      </w:r>
      <w:r>
        <w:rPr>
          <w:snapToGrid w:val="0"/>
        </w:rPr>
        <w:t>.</w:t>
      </w:r>
      <w:r>
        <w:rPr>
          <w:snapToGrid w:val="0"/>
        </w:rPr>
        <w:tab/>
        <w:t>Functions of the Council</w:t>
      </w:r>
      <w:bookmarkEnd w:id="23"/>
      <w:bookmarkEnd w:id="24"/>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25" w:name="_Toc13120144"/>
      <w:bookmarkStart w:id="26" w:name="_Toc122839774"/>
      <w:r>
        <w:rPr>
          <w:rStyle w:val="CharSectno"/>
        </w:rPr>
        <w:t>12</w:t>
      </w:r>
      <w:r>
        <w:rPr>
          <w:snapToGrid w:val="0"/>
        </w:rPr>
        <w:t>.</w:t>
      </w:r>
      <w:r>
        <w:rPr>
          <w:snapToGrid w:val="0"/>
        </w:rPr>
        <w:tab/>
        <w:t>Administration of this Act</w:t>
      </w:r>
      <w:bookmarkEnd w:id="25"/>
      <w:bookmarkEnd w:id="26"/>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27" w:name="_Toc13120145"/>
      <w:bookmarkStart w:id="28" w:name="_Toc122839775"/>
      <w:r>
        <w:rPr>
          <w:rStyle w:val="CharSectno"/>
        </w:rPr>
        <w:t>14</w:t>
      </w:r>
      <w:r>
        <w:rPr>
          <w:snapToGrid w:val="0"/>
        </w:rPr>
        <w:t>.</w:t>
      </w:r>
      <w:r>
        <w:rPr>
          <w:snapToGrid w:val="0"/>
        </w:rPr>
        <w:tab/>
        <w:t>Management Authorities</w:t>
      </w:r>
      <w:bookmarkEnd w:id="27"/>
      <w:bookmarkEnd w:id="2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29" w:name="_Toc13120146"/>
      <w:bookmarkStart w:id="30" w:name="_Toc122839776"/>
      <w:r>
        <w:rPr>
          <w:rStyle w:val="CharSectno"/>
        </w:rPr>
        <w:t>15</w:t>
      </w:r>
      <w:r>
        <w:rPr>
          <w:snapToGrid w:val="0"/>
        </w:rPr>
        <w:t>.</w:t>
      </w:r>
      <w:r>
        <w:rPr>
          <w:snapToGrid w:val="0"/>
        </w:rPr>
        <w:tab/>
        <w:t>Disputes</w:t>
      </w:r>
      <w:bookmarkEnd w:id="29"/>
      <w:bookmarkEnd w:id="30"/>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31" w:name="_Toc13120147"/>
      <w:bookmarkStart w:id="32" w:name="_Toc122839777"/>
      <w:r>
        <w:rPr>
          <w:rStyle w:val="CharSectno"/>
        </w:rPr>
        <w:t>16</w:t>
      </w:r>
      <w:r>
        <w:rPr>
          <w:snapToGrid w:val="0"/>
        </w:rPr>
        <w:t>.</w:t>
      </w:r>
      <w:r>
        <w:rPr>
          <w:snapToGrid w:val="0"/>
        </w:rPr>
        <w:tab/>
        <w:t>Tenure of office</w:t>
      </w:r>
      <w:bookmarkEnd w:id="31"/>
      <w:bookmarkEnd w:id="32"/>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33" w:name="_Toc13120148"/>
      <w:bookmarkStart w:id="34" w:name="_Toc122839778"/>
      <w:r>
        <w:rPr>
          <w:rStyle w:val="CharSectno"/>
        </w:rPr>
        <w:t>17</w:t>
      </w:r>
      <w:r>
        <w:rPr>
          <w:snapToGrid w:val="0"/>
        </w:rPr>
        <w:t>.</w:t>
      </w:r>
      <w:r>
        <w:rPr>
          <w:snapToGrid w:val="0"/>
        </w:rPr>
        <w:tab/>
        <w:t>Disqualifications</w:t>
      </w:r>
      <w:bookmarkEnd w:id="33"/>
      <w:bookmarkEnd w:id="34"/>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35" w:name="_Toc13120149"/>
      <w:bookmarkStart w:id="36" w:name="_Toc122839779"/>
      <w:r>
        <w:rPr>
          <w:rStyle w:val="CharSectno"/>
        </w:rPr>
        <w:t>18</w:t>
      </w:r>
      <w:r>
        <w:rPr>
          <w:snapToGrid w:val="0"/>
        </w:rPr>
        <w:t>.</w:t>
      </w:r>
      <w:r>
        <w:rPr>
          <w:snapToGrid w:val="0"/>
        </w:rPr>
        <w:tab/>
        <w:t>Remuneration of Authority members</w:t>
      </w:r>
      <w:bookmarkEnd w:id="35"/>
      <w:bookmarkEnd w:id="36"/>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37" w:name="_Toc13120150"/>
      <w:bookmarkStart w:id="38" w:name="_Toc122839780"/>
      <w:r>
        <w:rPr>
          <w:rStyle w:val="CharSectno"/>
        </w:rPr>
        <w:t>19</w:t>
      </w:r>
      <w:r>
        <w:rPr>
          <w:snapToGrid w:val="0"/>
        </w:rPr>
        <w:t>.</w:t>
      </w:r>
      <w:r>
        <w:rPr>
          <w:snapToGrid w:val="0"/>
        </w:rPr>
        <w:tab/>
        <w:t>Deputies and acting members</w:t>
      </w:r>
      <w:bookmarkEnd w:id="37"/>
      <w:bookmarkEnd w:id="38"/>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39" w:name="_Toc13120151"/>
      <w:bookmarkStart w:id="40" w:name="_Toc122839781"/>
      <w:r>
        <w:rPr>
          <w:rStyle w:val="CharSectno"/>
        </w:rPr>
        <w:t>20</w:t>
      </w:r>
      <w:r>
        <w:rPr>
          <w:snapToGrid w:val="0"/>
        </w:rPr>
        <w:t>.</w:t>
      </w:r>
      <w:r>
        <w:rPr>
          <w:snapToGrid w:val="0"/>
        </w:rPr>
        <w:tab/>
        <w:t xml:space="preserve">Application of </w:t>
      </w:r>
      <w:r>
        <w:rPr>
          <w:i/>
          <w:snapToGrid w:val="0"/>
        </w:rPr>
        <w:t>Public Sector Management Act 1994</w:t>
      </w:r>
      <w:bookmarkEnd w:id="39"/>
      <w:bookmarkEnd w:id="40"/>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41" w:name="_Toc13120152"/>
      <w:bookmarkStart w:id="42" w:name="_Toc122839782"/>
      <w:r>
        <w:rPr>
          <w:rStyle w:val="CharSectno"/>
        </w:rPr>
        <w:t>21</w:t>
      </w:r>
      <w:r>
        <w:rPr>
          <w:snapToGrid w:val="0"/>
        </w:rPr>
        <w:t>.</w:t>
      </w:r>
      <w:r>
        <w:rPr>
          <w:snapToGrid w:val="0"/>
        </w:rPr>
        <w:tab/>
        <w:t>Committees</w:t>
      </w:r>
      <w:bookmarkEnd w:id="41"/>
      <w:bookmarkEnd w:id="42"/>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43" w:name="_Toc13120153"/>
      <w:bookmarkStart w:id="44" w:name="_Toc122839783"/>
      <w:r>
        <w:rPr>
          <w:rStyle w:val="CharSectno"/>
        </w:rPr>
        <w:t>22</w:t>
      </w:r>
      <w:r>
        <w:rPr>
          <w:snapToGrid w:val="0"/>
        </w:rPr>
        <w:t>.</w:t>
      </w:r>
      <w:r>
        <w:rPr>
          <w:snapToGrid w:val="0"/>
        </w:rPr>
        <w:tab/>
        <w:t>Delegation</w:t>
      </w:r>
      <w:bookmarkEnd w:id="43"/>
      <w:bookmarkEnd w:id="44"/>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45" w:name="_Toc13120154"/>
      <w:bookmarkStart w:id="46" w:name="_Toc122839784"/>
      <w:r>
        <w:rPr>
          <w:rStyle w:val="CharSectno"/>
        </w:rPr>
        <w:t>23</w:t>
      </w:r>
      <w:r>
        <w:rPr>
          <w:snapToGrid w:val="0"/>
        </w:rPr>
        <w:t>.</w:t>
      </w:r>
      <w:r>
        <w:rPr>
          <w:snapToGrid w:val="0"/>
        </w:rPr>
        <w:tab/>
        <w:t>Duty of the Commission</w:t>
      </w:r>
      <w:bookmarkEnd w:id="45"/>
      <w:bookmarkEnd w:id="46"/>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rPr>
          <w:snapToGrid w:val="0"/>
        </w:rPr>
      </w:pPr>
      <w:bookmarkStart w:id="47" w:name="_Toc13120155"/>
      <w:bookmarkStart w:id="48" w:name="_Toc122839785"/>
      <w:r>
        <w:rPr>
          <w:rStyle w:val="CharSectno"/>
        </w:rPr>
        <w:t>24</w:t>
      </w:r>
      <w:r>
        <w:rPr>
          <w:snapToGrid w:val="0"/>
        </w:rPr>
        <w:t>.</w:t>
      </w:r>
      <w:r>
        <w:rPr>
          <w:snapToGrid w:val="0"/>
        </w:rPr>
        <w:tab/>
        <w:t>Functions of the Commission</w:t>
      </w:r>
      <w:bookmarkEnd w:id="47"/>
      <w:bookmarkEnd w:id="48"/>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49" w:name="_Toc13120156"/>
      <w:bookmarkStart w:id="50" w:name="_Toc122839786"/>
      <w:r>
        <w:rPr>
          <w:rStyle w:val="CharSectno"/>
        </w:rPr>
        <w:t>25</w:t>
      </w:r>
      <w:r>
        <w:rPr>
          <w:snapToGrid w:val="0"/>
        </w:rPr>
        <w:t>.</w:t>
      </w:r>
      <w:r>
        <w:rPr>
          <w:snapToGrid w:val="0"/>
        </w:rPr>
        <w:tab/>
        <w:t>Powers of the Commission</w:t>
      </w:r>
      <w:bookmarkEnd w:id="49"/>
      <w:bookmarkEnd w:id="50"/>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51" w:name="_Toc13120157"/>
      <w:bookmarkStart w:id="52" w:name="_Toc122839787"/>
      <w:r>
        <w:rPr>
          <w:rStyle w:val="CharSectno"/>
        </w:rPr>
        <w:t>26</w:t>
      </w:r>
      <w:r>
        <w:rPr>
          <w:snapToGrid w:val="0"/>
        </w:rPr>
        <w:t>.</w:t>
      </w:r>
      <w:r>
        <w:rPr>
          <w:snapToGrid w:val="0"/>
        </w:rPr>
        <w:tab/>
        <w:t>Duty of a Management Authority</w:t>
      </w:r>
      <w:bookmarkEnd w:id="51"/>
      <w:bookmarkEnd w:id="52"/>
      <w:r>
        <w:rPr>
          <w:snapToGrid w:val="0"/>
        </w:rPr>
        <w:t xml:space="preserve"> </w:t>
      </w:r>
    </w:p>
    <w:p>
      <w:pPr>
        <w:pStyle w:val="Subsection"/>
        <w:spacing w:before="140"/>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spacing w:before="140"/>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53" w:name="_Toc13120158"/>
      <w:bookmarkStart w:id="54" w:name="_Toc122839788"/>
      <w:r>
        <w:rPr>
          <w:rStyle w:val="CharSectno"/>
        </w:rPr>
        <w:t>27</w:t>
      </w:r>
      <w:r>
        <w:rPr>
          <w:snapToGrid w:val="0"/>
        </w:rPr>
        <w:t>.</w:t>
      </w:r>
      <w:r>
        <w:rPr>
          <w:snapToGrid w:val="0"/>
        </w:rPr>
        <w:tab/>
        <w:t>Functions of a Management Authority</w:t>
      </w:r>
      <w:bookmarkEnd w:id="53"/>
      <w:bookmarkEnd w:id="54"/>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55" w:name="_Toc13120159"/>
      <w:bookmarkStart w:id="56" w:name="_Toc122839789"/>
      <w:r>
        <w:rPr>
          <w:rStyle w:val="CharSectno"/>
        </w:rPr>
        <w:t>28</w:t>
      </w:r>
      <w:r>
        <w:rPr>
          <w:snapToGrid w:val="0"/>
        </w:rPr>
        <w:t>.</w:t>
      </w:r>
      <w:r>
        <w:rPr>
          <w:snapToGrid w:val="0"/>
        </w:rPr>
        <w:tab/>
        <w:t>Powers of a Management Authority</w:t>
      </w:r>
      <w:bookmarkEnd w:id="55"/>
      <w:bookmarkEnd w:id="56"/>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rPr>
          <w:snapToGrid w:val="0"/>
        </w:rPr>
      </w:pPr>
      <w:r>
        <w:rPr>
          <w:snapToGrid w:val="0"/>
        </w:rPr>
        <w:tab/>
        <w:t>(c)</w:t>
      </w:r>
      <w:r>
        <w:rPr>
          <w:snapToGrid w:val="0"/>
        </w:rPr>
        <w:tab/>
        <w:t>the Commission; or</w:t>
      </w:r>
    </w:p>
    <w:p>
      <w:pPr>
        <w:pStyle w:val="Indenta"/>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57" w:name="_Toc13120160"/>
      <w:bookmarkStart w:id="58" w:name="_Toc122839790"/>
      <w:r>
        <w:rPr>
          <w:rStyle w:val="CharSectno"/>
        </w:rPr>
        <w:t>29</w:t>
      </w:r>
      <w:r>
        <w:rPr>
          <w:snapToGrid w:val="0"/>
        </w:rPr>
        <w:t>.</w:t>
      </w:r>
      <w:r>
        <w:rPr>
          <w:snapToGrid w:val="0"/>
        </w:rPr>
        <w:tab/>
        <w:t>Suspension of an Authority, and effect of dissolution and reconstitution</w:t>
      </w:r>
      <w:bookmarkEnd w:id="57"/>
      <w:bookmarkEnd w:id="58"/>
      <w:r>
        <w:rPr>
          <w:snapToGrid w:val="0"/>
        </w:rPr>
        <w:t xml:space="preserve"> </w:t>
      </w:r>
    </w:p>
    <w:p>
      <w:pPr>
        <w:pStyle w:val="Subsection"/>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rPr>
          <w:snapToGrid w:val="0"/>
        </w:rPr>
      </w:pPr>
      <w:bookmarkStart w:id="59" w:name="_Toc13120161"/>
      <w:bookmarkStart w:id="60" w:name="_Toc122839791"/>
      <w:r>
        <w:rPr>
          <w:rStyle w:val="CharSectno"/>
        </w:rPr>
        <w:t>30</w:t>
      </w:r>
      <w:r>
        <w:rPr>
          <w:snapToGrid w:val="0"/>
        </w:rPr>
        <w:t>.</w:t>
      </w:r>
      <w:r>
        <w:rPr>
          <w:snapToGrid w:val="0"/>
        </w:rPr>
        <w:tab/>
        <w:t>Continuity of administration</w:t>
      </w:r>
      <w:bookmarkEnd w:id="59"/>
      <w:bookmarkEnd w:id="60"/>
      <w:r>
        <w:rPr>
          <w:snapToGrid w:val="0"/>
        </w:rPr>
        <w:t xml:space="preserve"> </w:t>
      </w:r>
    </w:p>
    <w:p>
      <w:pPr>
        <w:pStyle w:val="Subsection"/>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rPr>
          <w:snapToGrid w:val="0"/>
        </w:rPr>
      </w:pPr>
      <w:bookmarkStart w:id="61" w:name="_Toc13120162"/>
      <w:bookmarkStart w:id="62" w:name="_Toc122839792"/>
      <w:r>
        <w:rPr>
          <w:rStyle w:val="CharSectno"/>
        </w:rPr>
        <w:t>31</w:t>
      </w:r>
      <w:r>
        <w:rPr>
          <w:snapToGrid w:val="0"/>
        </w:rPr>
        <w:t>.</w:t>
      </w:r>
      <w:r>
        <w:rPr>
          <w:snapToGrid w:val="0"/>
        </w:rPr>
        <w:tab/>
        <w:t>Agreements as to private land</w:t>
      </w:r>
      <w:bookmarkEnd w:id="61"/>
      <w:bookmarkEnd w:id="62"/>
      <w:r>
        <w:rPr>
          <w:snapToGrid w:val="0"/>
        </w:rPr>
        <w:t xml:space="preserve"> </w:t>
      </w:r>
    </w:p>
    <w:p>
      <w:pPr>
        <w:pStyle w:val="Subsection"/>
        <w:spacing w:before="14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4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63" w:name="_Toc13120163"/>
      <w:bookmarkStart w:id="64" w:name="_Toc122839793"/>
      <w:r>
        <w:rPr>
          <w:rStyle w:val="CharSectno"/>
        </w:rPr>
        <w:t>32</w:t>
      </w:r>
      <w:r>
        <w:rPr>
          <w:snapToGrid w:val="0"/>
        </w:rPr>
        <w:t>.</w:t>
      </w:r>
      <w:r>
        <w:rPr>
          <w:snapToGrid w:val="0"/>
        </w:rPr>
        <w:tab/>
        <w:t>Reserves may be placed under the control of the Commission</w:t>
      </w:r>
      <w:bookmarkEnd w:id="63"/>
      <w:bookmarkEnd w:id="64"/>
      <w:r>
        <w:rPr>
          <w:snapToGrid w:val="0"/>
        </w:rPr>
        <w:t xml:space="preserve"> </w:t>
      </w:r>
    </w:p>
    <w:p>
      <w:pPr>
        <w:pStyle w:val="Subsection"/>
        <w:spacing w:before="14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4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spacing w:before="80"/>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65" w:name="_Toc13120164"/>
      <w:bookmarkStart w:id="66" w:name="_Toc122839794"/>
      <w:r>
        <w:rPr>
          <w:rStyle w:val="CharSectno"/>
        </w:rPr>
        <w:t>33</w:t>
      </w:r>
      <w:r>
        <w:rPr>
          <w:snapToGrid w:val="0"/>
        </w:rPr>
        <w:t>.</w:t>
      </w:r>
      <w:r>
        <w:rPr>
          <w:snapToGrid w:val="0"/>
        </w:rPr>
        <w:tab/>
        <w:t>Local government consultations, and initiatives</w:t>
      </w:r>
      <w:bookmarkEnd w:id="65"/>
      <w:bookmarkEnd w:id="66"/>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67" w:name="_Toc13120165"/>
      <w:bookmarkStart w:id="68" w:name="_Toc122839795"/>
      <w:r>
        <w:rPr>
          <w:rStyle w:val="CharSectno"/>
        </w:rPr>
        <w:t>34</w:t>
      </w:r>
      <w:r>
        <w:rPr>
          <w:snapToGrid w:val="0"/>
        </w:rPr>
        <w:t>.</w:t>
      </w:r>
      <w:r>
        <w:rPr>
          <w:snapToGrid w:val="0"/>
        </w:rPr>
        <w:tab/>
        <w:t>Agreements for joint action</w:t>
      </w:r>
      <w:bookmarkEnd w:id="67"/>
      <w:bookmarkEnd w:id="68"/>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rPr>
          <w:snapToGrid w:val="0"/>
        </w:rPr>
      </w:pPr>
      <w:bookmarkStart w:id="69" w:name="_Toc13120166"/>
      <w:bookmarkStart w:id="70" w:name="_Toc122839796"/>
      <w:r>
        <w:rPr>
          <w:rStyle w:val="CharSectno"/>
        </w:rPr>
        <w:t>35</w:t>
      </w:r>
      <w:r>
        <w:rPr>
          <w:snapToGrid w:val="0"/>
        </w:rPr>
        <w:t>.</w:t>
      </w:r>
      <w:r>
        <w:rPr>
          <w:snapToGrid w:val="0"/>
        </w:rPr>
        <w:tab/>
        <w:t>Management programmes</w:t>
      </w:r>
      <w:bookmarkEnd w:id="69"/>
      <w:bookmarkEnd w:id="70"/>
      <w:r>
        <w:rPr>
          <w:snapToGrid w:val="0"/>
        </w:rPr>
        <w:t xml:space="preserve"> </w:t>
      </w:r>
    </w:p>
    <w:p>
      <w:pPr>
        <w:pStyle w:val="Subsection"/>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rPr>
          <w:snapToGrid w:val="0"/>
        </w:rPr>
      </w:pPr>
      <w:r>
        <w:rPr>
          <w:snapToGrid w:val="0"/>
        </w:rPr>
        <w:tab/>
        <w:t>(a)</w:t>
      </w:r>
      <w:r>
        <w:rPr>
          <w:snapToGrid w:val="0"/>
        </w:rPr>
        <w:tab/>
        <w:t>waters and associated land placed under the control of the Commission or that Authority; and</w:t>
      </w:r>
    </w:p>
    <w:p>
      <w:pPr>
        <w:pStyle w:val="Indenta"/>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rPr>
          <w:snapToGrid w:val="0"/>
        </w:rPr>
      </w:pPr>
      <w:r>
        <w:rPr>
          <w:snapToGrid w:val="0"/>
        </w:rPr>
        <w:tab/>
      </w:r>
      <w:r>
        <w:rPr>
          <w:snapToGrid w:val="0"/>
        </w:rPr>
        <w:tab/>
        <w:t>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pPr>
      <w:r>
        <w:tab/>
        <w:t xml:space="preserve">[Section 35 amended by No. 14 of 1996 s. 4.] </w:t>
      </w:r>
    </w:p>
    <w:p>
      <w:pPr>
        <w:pStyle w:val="Heading5"/>
        <w:rPr>
          <w:snapToGrid w:val="0"/>
        </w:rPr>
      </w:pPr>
      <w:bookmarkStart w:id="71" w:name="_Toc13120167"/>
      <w:bookmarkStart w:id="72" w:name="_Toc122839797"/>
      <w:r>
        <w:rPr>
          <w:rStyle w:val="CharSectno"/>
        </w:rPr>
        <w:t>36</w:t>
      </w:r>
      <w:r>
        <w:rPr>
          <w:snapToGrid w:val="0"/>
        </w:rPr>
        <w:t>.</w:t>
      </w:r>
      <w:r>
        <w:rPr>
          <w:snapToGrid w:val="0"/>
        </w:rPr>
        <w:tab/>
        <w:t>Town planning referrals</w:t>
      </w:r>
      <w:bookmarkEnd w:id="71"/>
      <w:bookmarkEnd w:id="72"/>
      <w:r>
        <w:rPr>
          <w:snapToGrid w:val="0"/>
        </w:rPr>
        <w:t xml:space="preserve"> </w:t>
      </w:r>
    </w:p>
    <w:p>
      <w:pPr>
        <w:pStyle w:val="Subsection"/>
        <w:rPr>
          <w:snapToGrid w:val="0"/>
        </w:rPr>
      </w:pPr>
      <w:r>
        <w:rPr>
          <w:snapToGrid w:val="0"/>
        </w:rPr>
        <w:tab/>
        <w:t>(1)</w:t>
      </w:r>
      <w:r>
        <w:rPr>
          <w:snapToGrid w:val="0"/>
        </w:rPr>
        <w:tab/>
        <w:t>The Commission may from time to time request a town planning authority, that is to say — </w:t>
      </w:r>
    </w:p>
    <w:p>
      <w:pPr>
        <w:pStyle w:val="Indenta"/>
        <w:rPr>
          <w:snapToGrid w:val="0"/>
        </w:rPr>
      </w:pPr>
      <w:r>
        <w:rPr>
          <w:snapToGrid w:val="0"/>
        </w:rPr>
        <w:tab/>
        <w:t>(a)</w:t>
      </w:r>
      <w:r>
        <w:rPr>
          <w:snapToGrid w:val="0"/>
        </w:rPr>
        <w:tab/>
        <w:t xml:space="preserve">the Minister of the Crown administering the </w:t>
      </w:r>
      <w:r>
        <w:rPr>
          <w:i/>
          <w:snapToGrid w:val="0"/>
        </w:rPr>
        <w:t>Town Planning and Development Act 1928</w:t>
      </w:r>
      <w:r>
        <w:rPr>
          <w:snapToGrid w:val="0"/>
        </w:rPr>
        <w:t>, or any Act amending or in substitution for that Act;</w:t>
      </w:r>
    </w:p>
    <w:p>
      <w:pPr>
        <w:pStyle w:val="Indenta"/>
        <w:rPr>
          <w:snapToGrid w:val="0"/>
        </w:rPr>
      </w:pPr>
      <w:r>
        <w:rPr>
          <w:snapToGrid w:val="0"/>
        </w:rPr>
        <w:tab/>
        <w:t>(b)</w:t>
      </w:r>
      <w:r>
        <w:rPr>
          <w:snapToGrid w:val="0"/>
        </w:rPr>
        <w:tab/>
        <w:t xml:space="preserve">the Western Australian Planning Commission established under the </w:t>
      </w:r>
      <w:r>
        <w:rPr>
          <w:i/>
          <w:snapToGrid w:val="0"/>
        </w:rPr>
        <w:t>Western Australian Planning Commission Act 1985</w:t>
      </w:r>
      <w:r>
        <w:rPr>
          <w:snapToGrid w:val="0"/>
        </w:rP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 xml:space="preserve">a responsible authority within the meaning given to that expression by the </w:t>
      </w:r>
      <w:r>
        <w:rPr>
          <w:i/>
          <w:snapToGrid w:val="0"/>
        </w:rPr>
        <w:t>Town Planning and Development Act 1928</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rPr>
          <w:snapToGrid w:val="0"/>
        </w:rPr>
      </w:pPr>
      <w:r>
        <w:rPr>
          <w:snapToGrid w:val="0"/>
        </w:rPr>
        <w:tab/>
        <w:t>(i)</w:t>
      </w:r>
      <w:r>
        <w:rPr>
          <w:snapToGrid w:val="0"/>
        </w:rPr>
        <w:tab/>
        <w:t>a town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w:t>
      </w:r>
    </w:p>
    <w:p>
      <w:pPr>
        <w:pStyle w:val="Heading5"/>
        <w:rPr>
          <w:snapToGrid w:val="0"/>
        </w:rPr>
      </w:pPr>
      <w:bookmarkStart w:id="73" w:name="_Toc13120168"/>
      <w:bookmarkStart w:id="74" w:name="_Toc122839798"/>
      <w:r>
        <w:rPr>
          <w:rStyle w:val="CharSectno"/>
        </w:rPr>
        <w:t>37</w:t>
      </w:r>
      <w:r>
        <w:rPr>
          <w:snapToGrid w:val="0"/>
        </w:rPr>
        <w:t>.</w:t>
      </w:r>
      <w:r>
        <w:rPr>
          <w:snapToGrid w:val="0"/>
        </w:rPr>
        <w:tab/>
        <w:t>Ministerial referrals</w:t>
      </w:r>
      <w:bookmarkEnd w:id="73"/>
      <w:bookmarkEnd w:id="74"/>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75" w:name="_Toc13120169"/>
      <w:bookmarkStart w:id="76" w:name="_Toc122839799"/>
      <w:r>
        <w:rPr>
          <w:rStyle w:val="CharSectno"/>
        </w:rPr>
        <w:t>38</w:t>
      </w:r>
      <w:r>
        <w:rPr>
          <w:snapToGrid w:val="0"/>
        </w:rPr>
        <w:t>.</w:t>
      </w:r>
      <w:r>
        <w:rPr>
          <w:snapToGrid w:val="0"/>
        </w:rPr>
        <w:tab/>
        <w:t>Public referrals</w:t>
      </w:r>
      <w:bookmarkEnd w:id="75"/>
      <w:bookmarkEnd w:id="76"/>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77" w:name="_Toc13120170"/>
      <w:bookmarkStart w:id="78" w:name="_Toc122839800"/>
      <w:r>
        <w:rPr>
          <w:rStyle w:val="CharSectno"/>
        </w:rPr>
        <w:t>39</w:t>
      </w:r>
      <w:r>
        <w:rPr>
          <w:snapToGrid w:val="0"/>
        </w:rPr>
        <w:t>.</w:t>
      </w:r>
      <w:r>
        <w:rPr>
          <w:snapToGrid w:val="0"/>
        </w:rPr>
        <w:tab/>
        <w:t>Staff</w:t>
      </w:r>
      <w:bookmarkEnd w:id="77"/>
      <w:bookmarkEnd w:id="7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pPr>
      <w:r>
        <w:t>[</w:t>
      </w:r>
      <w:r>
        <w:rPr>
          <w:b/>
        </w:rPr>
        <w:t>40, 41.</w:t>
      </w:r>
      <w:r>
        <w:tab/>
        <w:t xml:space="preserve">Repealed by No. 73 of 1995 s. 181.] </w:t>
      </w:r>
    </w:p>
    <w:p>
      <w:pPr>
        <w:pStyle w:val="Heading5"/>
        <w:rPr>
          <w:snapToGrid w:val="0"/>
        </w:rPr>
      </w:pPr>
      <w:bookmarkStart w:id="79" w:name="_Toc13120171"/>
      <w:bookmarkStart w:id="80" w:name="_Toc122839801"/>
      <w:r>
        <w:rPr>
          <w:rStyle w:val="CharSectno"/>
        </w:rPr>
        <w:t>42</w:t>
      </w:r>
      <w:r>
        <w:rPr>
          <w:snapToGrid w:val="0"/>
        </w:rPr>
        <w:t>.</w:t>
      </w:r>
      <w:r>
        <w:rPr>
          <w:snapToGrid w:val="0"/>
        </w:rPr>
        <w:tab/>
        <w:t>Funds of the Management Authorities</w:t>
      </w:r>
      <w:bookmarkEnd w:id="79"/>
      <w:bookmarkEnd w:id="80"/>
      <w:r>
        <w:rPr>
          <w:snapToGrid w:val="0"/>
        </w:rPr>
        <w:t xml:space="preserve"> </w:t>
      </w:r>
    </w:p>
    <w:p>
      <w:pPr>
        <w:pStyle w:val="Subsection"/>
        <w:rPr>
          <w:snapToGrid w:val="0"/>
        </w:rPr>
      </w:pPr>
      <w:r>
        <w:rPr>
          <w:snapToGrid w:val="0"/>
        </w:rPr>
        <w:tab/>
        <w:t>(1)</w:t>
      </w:r>
      <w:r>
        <w:rPr>
          <w:snapToGrid w:val="0"/>
        </w:rPr>
        <w:tab/>
        <w:t>The funds available to a Management Authority for the purpose of enabling it to exercise its functions under this Act are — </w:t>
      </w:r>
    </w:p>
    <w:p>
      <w:pPr>
        <w:pStyle w:val="Indenta"/>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81" w:name="_Toc13120172"/>
      <w:bookmarkStart w:id="82" w:name="_Toc122839802"/>
      <w:r>
        <w:rPr>
          <w:rStyle w:val="CharSectno"/>
        </w:rPr>
        <w:t>43</w:t>
      </w:r>
      <w:r>
        <w:rPr>
          <w:snapToGrid w:val="0"/>
        </w:rPr>
        <w:t>.</w:t>
      </w:r>
      <w:r>
        <w:rPr>
          <w:snapToGrid w:val="0"/>
        </w:rPr>
        <w:tab/>
        <w:t xml:space="preserve">Application of </w:t>
      </w:r>
      <w:r>
        <w:rPr>
          <w:i/>
          <w:snapToGrid w:val="0"/>
        </w:rPr>
        <w:t>Financial Administration and Audit Act 1985</w:t>
      </w:r>
      <w:bookmarkEnd w:id="81"/>
      <w:bookmarkEnd w:id="82"/>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 xml:space="preserve">Except in so far as the disclosure is commendatory, the Commission shall not disclose particulars relating to any individual business in an annual report prepared for the purposes of the </w:t>
      </w:r>
      <w:r>
        <w:rPr>
          <w:i/>
          <w:snapToGrid w:val="0"/>
        </w:rPr>
        <w:t>Financial Administration and Audit Act 1985</w:t>
      </w:r>
      <w:r>
        <w:rPr>
          <w:snapToGrid w:val="0"/>
        </w:rPr>
        <w:t xml:space="preserve"> in respect of the operation of this Act.</w:t>
      </w:r>
    </w:p>
    <w:p>
      <w:pPr>
        <w:pStyle w:val="Footnotesection"/>
      </w:pPr>
      <w:r>
        <w:tab/>
        <w:t xml:space="preserve">[Section 43 inserted by No. 98 of 1985 s. 3; amended by No. 73 of 1995 s. 182.] </w:t>
      </w:r>
    </w:p>
    <w:p>
      <w:pPr>
        <w:pStyle w:val="Ednotesection"/>
      </w:pPr>
      <w:r>
        <w:t>[</w:t>
      </w:r>
      <w:r>
        <w:rPr>
          <w:b/>
        </w:rPr>
        <w:t>44.</w:t>
      </w:r>
      <w:r>
        <w:tab/>
        <w:t xml:space="preserve">Repealed by No. 98 of 1985 s. 3.] </w:t>
      </w:r>
    </w:p>
    <w:p>
      <w:pPr>
        <w:pStyle w:val="Heading5"/>
        <w:rPr>
          <w:snapToGrid w:val="0"/>
        </w:rPr>
      </w:pPr>
      <w:bookmarkStart w:id="83" w:name="_Toc13120173"/>
      <w:bookmarkStart w:id="84" w:name="_Toc122839803"/>
      <w:r>
        <w:rPr>
          <w:rStyle w:val="CharSectno"/>
        </w:rPr>
        <w:t>45</w:t>
      </w:r>
      <w:r>
        <w:rPr>
          <w:snapToGrid w:val="0"/>
        </w:rPr>
        <w:t>.</w:t>
      </w:r>
      <w:r>
        <w:rPr>
          <w:snapToGrid w:val="0"/>
        </w:rPr>
        <w:tab/>
        <w:t>Exemption from personal liability</w:t>
      </w:r>
      <w:bookmarkEnd w:id="83"/>
      <w:bookmarkEnd w:id="84"/>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85" w:name="_Toc13120174"/>
      <w:bookmarkStart w:id="86" w:name="_Toc122839804"/>
      <w:r>
        <w:rPr>
          <w:rStyle w:val="CharSectno"/>
        </w:rPr>
        <w:t>46</w:t>
      </w:r>
      <w:r>
        <w:rPr>
          <w:snapToGrid w:val="0"/>
        </w:rPr>
        <w:t>.</w:t>
      </w:r>
      <w:r>
        <w:rPr>
          <w:snapToGrid w:val="0"/>
        </w:rPr>
        <w:tab/>
        <w:t>Licences</w:t>
      </w:r>
      <w:bookmarkEnd w:id="85"/>
      <w:bookmarkEnd w:id="86"/>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snapToGrid w:val="0"/>
        </w:rPr>
      </w:pPr>
      <w:r>
        <w:rPr>
          <w:snapToGrid w:val="0"/>
        </w:rPr>
        <w:tab/>
        <w:t>(a)</w:t>
      </w:r>
      <w:r>
        <w:rPr>
          <w:snapToGrid w:val="0"/>
        </w:rPr>
        <w:tab/>
        <w:t>vary or add to the conditions of the licence; or</w:t>
      </w:r>
    </w:p>
    <w:p>
      <w:pPr>
        <w:pStyle w:val="Indenta"/>
        <w:rPr>
          <w:snapToGrid w:val="0"/>
        </w:rPr>
      </w:pPr>
      <w:r>
        <w:rPr>
          <w:snapToGrid w:val="0"/>
        </w:rPr>
        <w:tab/>
        <w:t>(b)</w:t>
      </w:r>
      <w:r>
        <w:rPr>
          <w:snapToGrid w:val="0"/>
        </w:rPr>
        <w:tab/>
        <w:t>in the case of an unconditional licence, provide that it shall be subject to reasonable conditions specified in the notice,</w:t>
      </w:r>
    </w:p>
    <w:p>
      <w:pPr>
        <w:pStyle w:val="Subsection"/>
        <w:rPr>
          <w:snapToGrid w:val="0"/>
        </w:rPr>
      </w:pPr>
      <w:r>
        <w:rPr>
          <w:snapToGrid w:val="0"/>
        </w:rPr>
        <w:tab/>
      </w:r>
      <w:r>
        <w:rPr>
          <w:snapToGrid w:val="0"/>
        </w:rPr>
        <w:tab/>
        <w:t>but, subject to the provisions of this section, a licence shall otherwise take effect according to its tenor and for the period specified therein.</w:t>
      </w:r>
    </w:p>
    <w:p>
      <w:pPr>
        <w:pStyle w:val="Subsection"/>
        <w:rPr>
          <w:snapToGrid w:val="0"/>
        </w:rPr>
      </w:pPr>
      <w:r>
        <w:rPr>
          <w:snapToGrid w:val="0"/>
        </w:rPr>
        <w:tab/>
        <w:t>(7)</w:t>
      </w:r>
      <w:r>
        <w:rPr>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snapToGrid w:val="0"/>
        </w:rPr>
      </w:pPr>
      <w:r>
        <w:rPr>
          <w:snapToGrid w:val="0"/>
        </w:rPr>
        <w:tab/>
        <w:t>(8)</w:t>
      </w:r>
      <w:r>
        <w:rPr>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snapToGrid w:val="0"/>
        </w:rPr>
      </w:pPr>
      <w:r>
        <w:rPr>
          <w:snapToGrid w:val="0"/>
        </w:rPr>
        <w:tab/>
        <w:t>(9)</w:t>
      </w:r>
      <w:r>
        <w:rPr>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rPr>
          <w:snapToGrid w:val="0"/>
        </w:rPr>
      </w:pPr>
      <w:r>
        <w:rPr>
          <w:snapToGrid w:val="0"/>
        </w:rPr>
        <w:tab/>
        <w:t>(10)</w:t>
      </w:r>
      <w:r>
        <w:rPr>
          <w:snapToGrid w:val="0"/>
        </w:rPr>
        <w:tab/>
        <w:t>Where the holder of a licence contravenes or fails to comply with any condition endorsed upon or attached to the licence — </w:t>
      </w:r>
    </w:p>
    <w:p>
      <w:pPr>
        <w:pStyle w:val="Indenta"/>
        <w:rPr>
          <w:snapToGrid w:val="0"/>
        </w:rPr>
      </w:pPr>
      <w:r>
        <w:rPr>
          <w:snapToGrid w:val="0"/>
        </w:rPr>
        <w:tab/>
        <w:t>(a)</w:t>
      </w:r>
      <w:r>
        <w:rPr>
          <w:snapToGrid w:val="0"/>
        </w:rPr>
        <w:tab/>
        <w:t>he commits an offence and is liable for his act or omission to the extent that it was not authorised by the licence;</w:t>
      </w:r>
    </w:p>
    <w:p>
      <w:pPr>
        <w:pStyle w:val="Indenta"/>
        <w:rPr>
          <w:snapToGrid w:val="0"/>
        </w:rPr>
      </w:pPr>
      <w:r>
        <w:rPr>
          <w:snapToGrid w:val="0"/>
        </w:rPr>
        <w:tab/>
        <w:t>(b)</w:t>
      </w:r>
      <w:r>
        <w:rPr>
          <w:snapToGrid w:val="0"/>
        </w:rPr>
        <w:tab/>
        <w:t>the court may, in addition to any other penalty, by order cancel the licence; and</w:t>
      </w:r>
    </w:p>
    <w:p>
      <w:pPr>
        <w:pStyle w:val="Indenta"/>
        <w:rPr>
          <w:snapToGrid w:val="0"/>
        </w:rPr>
      </w:pPr>
      <w:r>
        <w:rPr>
          <w:snapToGrid w:val="0"/>
        </w:rPr>
        <w:tab/>
        <w:t>(c)</w:t>
      </w:r>
      <w:r>
        <w:rPr>
          <w:snapToGrid w:val="0"/>
        </w:rPr>
        <w:tab/>
        <w:t>the Commission may, by notice in writing given to the holder of the licence, revoke that licence or suspend the operation of it for such period as the Commission thinks fit.</w:t>
      </w:r>
    </w:p>
    <w:p>
      <w:pPr>
        <w:pStyle w:val="Subsection"/>
        <w:rPr>
          <w:snapToGrid w:val="0"/>
        </w:rPr>
      </w:pPr>
      <w:r>
        <w:rPr>
          <w:snapToGrid w:val="0"/>
        </w:rPr>
        <w:tab/>
        <w:t>(10a)</w:t>
      </w:r>
      <w:r>
        <w:rPr>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snapToGrid w:val="0"/>
        </w:rPr>
      </w:pPr>
      <w:r>
        <w:rPr>
          <w:snapToGrid w:val="0"/>
        </w:rPr>
        <w:tab/>
        <w:t>(11)</w:t>
      </w:r>
      <w:r>
        <w:rPr>
          <w:snapToGrid w:val="0"/>
        </w:rPr>
        <w:tab/>
        <w:t>A person who is aggrieved — </w:t>
      </w:r>
    </w:p>
    <w:p>
      <w:pPr>
        <w:pStyle w:val="Indenta"/>
        <w:rPr>
          <w:snapToGrid w:val="0"/>
        </w:rPr>
      </w:pPr>
      <w:r>
        <w:rPr>
          <w:snapToGrid w:val="0"/>
        </w:rPr>
        <w:tab/>
        <w:t>(a)</w:t>
      </w:r>
      <w:r>
        <w:rPr>
          <w:snapToGrid w:val="0"/>
        </w:rPr>
        <w:tab/>
        <w:t>by a refusal of the Commission to grant or renew a licence under this Act;</w:t>
      </w:r>
    </w:p>
    <w:p>
      <w:pPr>
        <w:pStyle w:val="Indenta"/>
        <w:rPr>
          <w:snapToGrid w:val="0"/>
        </w:rPr>
      </w:pPr>
      <w:r>
        <w:rPr>
          <w:snapToGrid w:val="0"/>
        </w:rPr>
        <w:tab/>
        <w:t>(b)</w:t>
      </w:r>
      <w:r>
        <w:rPr>
          <w:snapToGrid w:val="0"/>
        </w:rPr>
        <w:tab/>
        <w:t>by the revocation of a licence or the suspension of the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 xml:space="preserve">may apply to the State </w:t>
      </w:r>
      <w:r>
        <w:rPr>
          <w:snapToGrid w:val="0"/>
          <w:spacing w:val="-4"/>
        </w:rPr>
        <w:t>Administrative Tribunal</w:t>
      </w:r>
      <w:r>
        <w:rPr>
          <w:snapToGrid w:val="0"/>
        </w:rPr>
        <w:t xml:space="preserve"> for a review of the decision of the Commission.</w:t>
      </w:r>
    </w:p>
    <w:p>
      <w:pPr>
        <w:pStyle w:val="Ednotesubsection"/>
      </w:pPr>
      <w:r>
        <w:tab/>
        <w:t>[(12)</w:t>
      </w:r>
      <w:r>
        <w:tab/>
        <w:t>repealed]</w:t>
      </w:r>
    </w:p>
    <w:p>
      <w:pPr>
        <w:pStyle w:val="Footnotesection"/>
      </w:pPr>
      <w:r>
        <w:tab/>
        <w:t xml:space="preserve">[Section 46 amended by No. 78 of 1995 s. 135; No. 55 of 2004 s. 1306 .] </w:t>
      </w:r>
    </w:p>
    <w:p>
      <w:pPr>
        <w:pStyle w:val="Heading5"/>
        <w:rPr>
          <w:snapToGrid w:val="0"/>
        </w:rPr>
      </w:pPr>
      <w:bookmarkStart w:id="87" w:name="_Toc13120175"/>
      <w:bookmarkStart w:id="88" w:name="_Toc122839805"/>
      <w:r>
        <w:rPr>
          <w:rStyle w:val="CharSectno"/>
        </w:rPr>
        <w:t>47</w:t>
      </w:r>
      <w:r>
        <w:rPr>
          <w:snapToGrid w:val="0"/>
        </w:rPr>
        <w:t>.</w:t>
      </w:r>
      <w:r>
        <w:rPr>
          <w:snapToGrid w:val="0"/>
        </w:rPr>
        <w:tab/>
        <w:t>Disposal licences</w:t>
      </w:r>
      <w:bookmarkEnd w:id="87"/>
      <w:bookmarkEnd w:id="88"/>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r>
      <w:r>
        <w:rPr>
          <w:snapToGrid w:val="0"/>
          <w:spacing w:val="-2"/>
        </w:rPr>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rPr>
          <w:snapToGrid w:val="0"/>
        </w:rPr>
      </w:pPr>
      <w:bookmarkStart w:id="89" w:name="_Toc13120176"/>
      <w:bookmarkStart w:id="90" w:name="_Toc122839806"/>
      <w:r>
        <w:rPr>
          <w:rStyle w:val="CharSectno"/>
        </w:rPr>
        <w:t>48</w:t>
      </w:r>
      <w:r>
        <w:rPr>
          <w:snapToGrid w:val="0"/>
        </w:rPr>
        <w:t>.</w:t>
      </w:r>
      <w:r>
        <w:rPr>
          <w:snapToGrid w:val="0"/>
        </w:rPr>
        <w:tab/>
        <w:t>Control of pollution, and the use of waters</w:t>
      </w:r>
      <w:bookmarkEnd w:id="89"/>
      <w:bookmarkEnd w:id="90"/>
      <w:r>
        <w:rPr>
          <w:snapToGrid w:val="0"/>
        </w:rPr>
        <w:t xml:space="preserve"> </w:t>
      </w:r>
    </w:p>
    <w:p>
      <w:pPr>
        <w:pStyle w:val="Subsection"/>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Subsection"/>
        <w:keepNext/>
        <w:rPr>
          <w:snapToGrid w:val="0"/>
        </w:rPr>
      </w:pPr>
      <w:r>
        <w:rPr>
          <w:snapToGrid w:val="0"/>
        </w:rPr>
        <w:tab/>
        <w:t>(3)</w:t>
      </w:r>
      <w:r>
        <w:rPr>
          <w:snapToGrid w:val="0"/>
        </w:rPr>
        <w:tab/>
        <w:t>Subject to subsection (1), a person shall be guilty of an offence if he causes or knowingly permits — </w:t>
      </w:r>
    </w:p>
    <w:p>
      <w:pPr>
        <w:pStyle w:val="Indenta"/>
        <w:rPr>
          <w:snapToGrid w:val="0"/>
          <w:spacing w:val="-2"/>
        </w:rPr>
      </w:pPr>
      <w:r>
        <w:rPr>
          <w:snapToGrid w:val="0"/>
        </w:rPr>
        <w:tab/>
        <w:t>(a)</w:t>
      </w:r>
      <w:r>
        <w:rPr>
          <w:snapToGrid w:val="0"/>
        </w:rPr>
        <w:tab/>
      </w:r>
      <w:r>
        <w:rPr>
          <w:snapToGrid w:val="0"/>
          <w:spacing w:val="-2"/>
        </w:rPr>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91" w:name="_Toc13120177"/>
      <w:bookmarkStart w:id="92" w:name="_Toc122839807"/>
      <w:r>
        <w:rPr>
          <w:rStyle w:val="CharSectno"/>
        </w:rPr>
        <w:t>49</w:t>
      </w:r>
      <w:r>
        <w:rPr>
          <w:snapToGrid w:val="0"/>
        </w:rPr>
        <w:t>.</w:t>
      </w:r>
      <w:r>
        <w:rPr>
          <w:snapToGrid w:val="0"/>
        </w:rPr>
        <w:tab/>
        <w:t>Injunctions</w:t>
      </w:r>
      <w:bookmarkEnd w:id="91"/>
      <w:bookmarkEnd w:id="92"/>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93" w:name="_Toc13120178"/>
      <w:bookmarkStart w:id="94" w:name="_Toc122839808"/>
      <w:r>
        <w:rPr>
          <w:rStyle w:val="CharSectno"/>
        </w:rPr>
        <w:t>50</w:t>
      </w:r>
      <w:r>
        <w:rPr>
          <w:snapToGrid w:val="0"/>
        </w:rPr>
        <w:t>.</w:t>
      </w:r>
      <w:r>
        <w:rPr>
          <w:snapToGrid w:val="0"/>
        </w:rPr>
        <w:tab/>
        <w:t>Orders</w:t>
      </w:r>
      <w:bookmarkEnd w:id="93"/>
      <w:bookmarkEnd w:id="94"/>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95" w:name="_Toc13120179"/>
      <w:bookmarkStart w:id="96" w:name="_Toc122839809"/>
      <w:r>
        <w:rPr>
          <w:rStyle w:val="CharSectno"/>
        </w:rPr>
        <w:t>51</w:t>
      </w:r>
      <w:r>
        <w:rPr>
          <w:snapToGrid w:val="0"/>
        </w:rPr>
        <w:t>.</w:t>
      </w:r>
      <w:r>
        <w:rPr>
          <w:snapToGrid w:val="0"/>
        </w:rPr>
        <w:tab/>
        <w:t>Removal of structures</w:t>
      </w:r>
      <w:bookmarkEnd w:id="95"/>
      <w:bookmarkEnd w:id="96"/>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97" w:name="_Toc13120180"/>
      <w:bookmarkStart w:id="98" w:name="_Toc122839810"/>
      <w:r>
        <w:rPr>
          <w:rStyle w:val="CharSectno"/>
        </w:rPr>
        <w:t>52</w:t>
      </w:r>
      <w:r>
        <w:rPr>
          <w:snapToGrid w:val="0"/>
        </w:rPr>
        <w:t>.</w:t>
      </w:r>
      <w:r>
        <w:rPr>
          <w:snapToGrid w:val="0"/>
        </w:rPr>
        <w:tab/>
        <w:t>Remedial works</w:t>
      </w:r>
      <w:bookmarkEnd w:id="97"/>
      <w:bookmarkEnd w:id="98"/>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99" w:name="_Toc13120181"/>
      <w:bookmarkStart w:id="100" w:name="_Toc122839811"/>
      <w:r>
        <w:rPr>
          <w:rStyle w:val="CharSectno"/>
        </w:rPr>
        <w:t>53</w:t>
      </w:r>
      <w:r>
        <w:rPr>
          <w:snapToGrid w:val="0"/>
        </w:rPr>
        <w:t>.</w:t>
      </w:r>
      <w:r>
        <w:rPr>
          <w:snapToGrid w:val="0"/>
        </w:rPr>
        <w:tab/>
        <w:t>Recovery of expenses</w:t>
      </w:r>
      <w:bookmarkEnd w:id="99"/>
      <w:bookmarkEnd w:id="100"/>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01" w:name="_Toc13120182"/>
      <w:bookmarkStart w:id="102" w:name="_Toc122839812"/>
      <w:r>
        <w:rPr>
          <w:rStyle w:val="CharSectno"/>
        </w:rPr>
        <w:t>54</w:t>
      </w:r>
      <w:r>
        <w:rPr>
          <w:snapToGrid w:val="0"/>
        </w:rPr>
        <w:t>.</w:t>
      </w:r>
      <w:r>
        <w:rPr>
          <w:snapToGrid w:val="0"/>
        </w:rPr>
        <w:tab/>
        <w:t>By</w:t>
      </w:r>
      <w:r>
        <w:rPr>
          <w:snapToGrid w:val="0"/>
        </w:rPr>
        <w:noBreakHyphen/>
        <w:t>laws</w:t>
      </w:r>
      <w:bookmarkEnd w:id="101"/>
      <w:bookmarkEnd w:id="102"/>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03" w:name="_Toc13120183"/>
      <w:bookmarkStart w:id="104" w:name="_Toc122839813"/>
      <w:r>
        <w:rPr>
          <w:rStyle w:val="CharSectno"/>
        </w:rPr>
        <w:t>55</w:t>
      </w:r>
      <w:r>
        <w:rPr>
          <w:snapToGrid w:val="0"/>
        </w:rPr>
        <w:t>.</w:t>
      </w:r>
      <w:r>
        <w:rPr>
          <w:snapToGrid w:val="0"/>
        </w:rPr>
        <w:tab/>
        <w:t>General provisions relating to by</w:t>
      </w:r>
      <w:r>
        <w:rPr>
          <w:snapToGrid w:val="0"/>
        </w:rPr>
        <w:noBreakHyphen/>
        <w:t>laws</w:t>
      </w:r>
      <w:bookmarkEnd w:id="103"/>
      <w:bookmarkEnd w:id="104"/>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rPr>
          <w:snapToGrid w:val="0"/>
        </w:rPr>
      </w:pPr>
      <w:bookmarkStart w:id="105" w:name="_Toc13120184"/>
      <w:bookmarkStart w:id="106" w:name="_Toc122839814"/>
      <w:r>
        <w:rPr>
          <w:rStyle w:val="CharSectno"/>
        </w:rPr>
        <w:t>56</w:t>
      </w:r>
      <w:r>
        <w:rPr>
          <w:snapToGrid w:val="0"/>
        </w:rPr>
        <w:t>.</w:t>
      </w:r>
      <w:r>
        <w:rPr>
          <w:snapToGrid w:val="0"/>
        </w:rPr>
        <w:tab/>
        <w:t>Local laws</w:t>
      </w:r>
      <w:bookmarkEnd w:id="105"/>
      <w:bookmarkEnd w:id="106"/>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rPr>
          <w:snapToGrid w:val="0"/>
        </w:rPr>
      </w:pPr>
      <w:r>
        <w:rPr>
          <w:snapToGrid w:val="0"/>
        </w:rPr>
        <w:tab/>
        <w:t>(1a)</w:t>
      </w:r>
      <w:r>
        <w:rPr>
          <w:snapToGrid w:val="0"/>
        </w:rPr>
        <w:tab/>
        <w:t xml:space="preserve">Local laws shall not be made under this section to have effect in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w:t>
      </w:r>
    </w:p>
    <w:p>
      <w:pPr>
        <w:pStyle w:val="Heading5"/>
        <w:rPr>
          <w:snapToGrid w:val="0"/>
        </w:rPr>
      </w:pPr>
      <w:bookmarkStart w:id="107" w:name="_Toc13120185"/>
      <w:bookmarkStart w:id="108" w:name="_Toc122839815"/>
      <w:r>
        <w:rPr>
          <w:rStyle w:val="CharSectno"/>
        </w:rPr>
        <w:t>57</w:t>
      </w:r>
      <w:r>
        <w:rPr>
          <w:snapToGrid w:val="0"/>
        </w:rPr>
        <w:t>.</w:t>
      </w:r>
      <w:r>
        <w:rPr>
          <w:snapToGrid w:val="0"/>
        </w:rPr>
        <w:tab/>
        <w:t>Inconsistency of by</w:t>
      </w:r>
      <w:r>
        <w:rPr>
          <w:snapToGrid w:val="0"/>
        </w:rPr>
        <w:noBreakHyphen/>
        <w:t>laws with regulations</w:t>
      </w:r>
      <w:bookmarkEnd w:id="107"/>
      <w:bookmarkEnd w:id="108"/>
      <w:r>
        <w:rPr>
          <w:snapToGrid w:val="0"/>
        </w:rPr>
        <w:t xml:space="preserve"> </w:t>
      </w:r>
    </w:p>
    <w:p>
      <w:pPr>
        <w:pStyle w:val="Subsection"/>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09" w:name="_Toc13120186"/>
      <w:bookmarkStart w:id="110" w:name="_Toc122839816"/>
      <w:r>
        <w:rPr>
          <w:rStyle w:val="CharSectno"/>
        </w:rPr>
        <w:t>58</w:t>
      </w:r>
      <w:r>
        <w:rPr>
          <w:snapToGrid w:val="0"/>
        </w:rPr>
        <w:t>.</w:t>
      </w:r>
      <w:r>
        <w:rPr>
          <w:snapToGrid w:val="0"/>
        </w:rPr>
        <w:tab/>
        <w:t>Revocation of by</w:t>
      </w:r>
      <w:r>
        <w:rPr>
          <w:snapToGrid w:val="0"/>
        </w:rPr>
        <w:noBreakHyphen/>
        <w:t>laws</w:t>
      </w:r>
      <w:bookmarkEnd w:id="109"/>
      <w:bookmarkEnd w:id="110"/>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rPr>
          <w:snapToGrid w:val="0"/>
        </w:rPr>
      </w:pPr>
      <w:bookmarkStart w:id="111" w:name="_Toc13120187"/>
      <w:bookmarkStart w:id="112" w:name="_Toc122839817"/>
      <w:r>
        <w:rPr>
          <w:rStyle w:val="CharSectno"/>
        </w:rPr>
        <w:t>59</w:t>
      </w:r>
      <w:r>
        <w:rPr>
          <w:snapToGrid w:val="0"/>
        </w:rPr>
        <w:t>.</w:t>
      </w:r>
      <w:r>
        <w:rPr>
          <w:snapToGrid w:val="0"/>
        </w:rPr>
        <w:tab/>
        <w:t>Public consultation</w:t>
      </w:r>
      <w:bookmarkEnd w:id="111"/>
      <w:bookmarkEnd w:id="112"/>
      <w:r>
        <w:rPr>
          <w:snapToGrid w:val="0"/>
        </w:rPr>
        <w:t xml:space="preserve"> </w:t>
      </w:r>
    </w:p>
    <w:p>
      <w:pPr>
        <w:pStyle w:val="Subsection"/>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13" w:name="_Toc13120188"/>
      <w:bookmarkStart w:id="114" w:name="_Toc122839818"/>
      <w:r>
        <w:rPr>
          <w:rStyle w:val="CharSectno"/>
        </w:rPr>
        <w:t>61</w:t>
      </w:r>
      <w:r>
        <w:rPr>
          <w:snapToGrid w:val="0"/>
        </w:rPr>
        <w:t>.</w:t>
      </w:r>
      <w:r>
        <w:rPr>
          <w:snapToGrid w:val="0"/>
        </w:rPr>
        <w:tab/>
        <w:t>Inspectors</w:t>
      </w:r>
      <w:bookmarkEnd w:id="113"/>
      <w:bookmarkEnd w:id="114"/>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rPr>
          <w:snapToGrid w:val="0"/>
        </w:rPr>
      </w:pPr>
      <w:r>
        <w:rPr>
          <w:snapToGrid w:val="0"/>
        </w:rPr>
        <w:tab/>
        <w:t>(2)</w:t>
      </w:r>
      <w:r>
        <w:rPr>
          <w:snapToGrid w:val="0"/>
        </w:rPr>
        <w:tab/>
        <w:t xml:space="preserve">The Commission may appoint any person to be an inspector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spacing w:before="80"/>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w:t>
      </w:r>
    </w:p>
    <w:p>
      <w:pPr>
        <w:pStyle w:val="Heading5"/>
        <w:spacing w:before="200"/>
        <w:rPr>
          <w:snapToGrid w:val="0"/>
        </w:rPr>
      </w:pPr>
      <w:bookmarkStart w:id="115" w:name="_Toc13120189"/>
      <w:bookmarkStart w:id="116" w:name="_Toc122839819"/>
      <w:r>
        <w:rPr>
          <w:rStyle w:val="CharSectno"/>
        </w:rPr>
        <w:t>62</w:t>
      </w:r>
      <w:r>
        <w:rPr>
          <w:snapToGrid w:val="0"/>
        </w:rPr>
        <w:t>.</w:t>
      </w:r>
      <w:r>
        <w:rPr>
          <w:snapToGrid w:val="0"/>
        </w:rPr>
        <w:tab/>
        <w:t>Honorary wardens</w:t>
      </w:r>
      <w:bookmarkEnd w:id="115"/>
      <w:bookmarkEnd w:id="116"/>
      <w:r>
        <w:rPr>
          <w:snapToGrid w:val="0"/>
        </w:rPr>
        <w:t xml:space="preserve"> </w:t>
      </w:r>
    </w:p>
    <w:p>
      <w:pPr>
        <w:pStyle w:val="Subsection"/>
        <w:spacing w:before="140"/>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spacing w:before="140"/>
        <w:rPr>
          <w:snapToGrid w:val="0"/>
        </w:rPr>
      </w:pPr>
      <w:r>
        <w:rPr>
          <w:snapToGrid w:val="0"/>
        </w:rPr>
        <w:tab/>
        <w:t>(2)</w:t>
      </w:r>
      <w:r>
        <w:rPr>
          <w:snapToGrid w:val="0"/>
        </w:rPr>
        <w:tab/>
        <w:t xml:space="preserve">The Commission may appoint any person to be an honorary warden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spacing w:before="140"/>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spacing w:before="140"/>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4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w:t>
      </w:r>
    </w:p>
    <w:p>
      <w:pPr>
        <w:pStyle w:val="Heading5"/>
        <w:rPr>
          <w:snapToGrid w:val="0"/>
        </w:rPr>
      </w:pPr>
      <w:bookmarkStart w:id="117" w:name="_Toc13120190"/>
      <w:bookmarkStart w:id="118" w:name="_Toc122839820"/>
      <w:r>
        <w:rPr>
          <w:rStyle w:val="CharSectno"/>
        </w:rPr>
        <w:t>63</w:t>
      </w:r>
      <w:r>
        <w:rPr>
          <w:snapToGrid w:val="0"/>
        </w:rPr>
        <w:t>.</w:t>
      </w:r>
      <w:r>
        <w:rPr>
          <w:snapToGrid w:val="0"/>
        </w:rPr>
        <w:tab/>
        <w:t>Powers of inspectors, etc.</w:t>
      </w:r>
      <w:bookmarkEnd w:id="117"/>
      <w:bookmarkEnd w:id="118"/>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19" w:name="_Toc13120191"/>
      <w:bookmarkStart w:id="120" w:name="_Toc122839821"/>
      <w:r>
        <w:rPr>
          <w:rStyle w:val="CharSectno"/>
        </w:rPr>
        <w:t>64</w:t>
      </w:r>
      <w:r>
        <w:rPr>
          <w:snapToGrid w:val="0"/>
        </w:rPr>
        <w:t>.</w:t>
      </w:r>
      <w:r>
        <w:rPr>
          <w:snapToGrid w:val="0"/>
        </w:rPr>
        <w:tab/>
        <w:t>Duty of police officers etc.</w:t>
      </w:r>
      <w:bookmarkEnd w:id="119"/>
      <w:bookmarkEnd w:id="120"/>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21" w:name="_Toc13120192"/>
      <w:bookmarkStart w:id="122" w:name="_Toc122839822"/>
      <w:r>
        <w:rPr>
          <w:rStyle w:val="CharSectno"/>
        </w:rPr>
        <w:t>65</w:t>
      </w:r>
      <w:r>
        <w:rPr>
          <w:snapToGrid w:val="0"/>
        </w:rPr>
        <w:t>.</w:t>
      </w:r>
      <w:r>
        <w:rPr>
          <w:snapToGrid w:val="0"/>
        </w:rPr>
        <w:tab/>
        <w:t>Persons obstructing execution of this Act</w:t>
      </w:r>
      <w:bookmarkEnd w:id="121"/>
      <w:bookmarkEnd w:id="122"/>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23" w:name="_Toc13120193"/>
      <w:bookmarkStart w:id="124" w:name="_Toc122839823"/>
      <w:r>
        <w:rPr>
          <w:rStyle w:val="CharSectno"/>
        </w:rPr>
        <w:t>66</w:t>
      </w:r>
      <w:r>
        <w:rPr>
          <w:snapToGrid w:val="0"/>
        </w:rPr>
        <w:t>.</w:t>
      </w:r>
      <w:r>
        <w:rPr>
          <w:snapToGrid w:val="0"/>
        </w:rPr>
        <w:tab/>
        <w:t>Secrecy</w:t>
      </w:r>
      <w:bookmarkEnd w:id="123"/>
      <w:bookmarkEnd w:id="124"/>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25" w:name="_Toc13120194"/>
      <w:bookmarkStart w:id="126" w:name="_Toc122839824"/>
      <w:r>
        <w:rPr>
          <w:rStyle w:val="CharSectno"/>
        </w:rPr>
        <w:t>67</w:t>
      </w:r>
      <w:r>
        <w:rPr>
          <w:snapToGrid w:val="0"/>
        </w:rPr>
        <w:t>.</w:t>
      </w:r>
      <w:r>
        <w:rPr>
          <w:snapToGrid w:val="0"/>
        </w:rPr>
        <w:tab/>
        <w:t>Appropriation of penalties</w:t>
      </w:r>
      <w:bookmarkEnd w:id="125"/>
      <w:bookmarkEnd w:id="126"/>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27" w:name="_Toc13120195"/>
      <w:bookmarkStart w:id="128" w:name="_Toc122839825"/>
      <w:r>
        <w:rPr>
          <w:rStyle w:val="CharSectno"/>
        </w:rPr>
        <w:t>68</w:t>
      </w:r>
      <w:r>
        <w:rPr>
          <w:snapToGrid w:val="0"/>
        </w:rPr>
        <w:t>.</w:t>
      </w:r>
      <w:r>
        <w:rPr>
          <w:snapToGrid w:val="0"/>
        </w:rPr>
        <w:tab/>
        <w:t>Prosecution expenses</w:t>
      </w:r>
      <w:bookmarkEnd w:id="127"/>
      <w:bookmarkEnd w:id="128"/>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29" w:name="_Toc13120196"/>
      <w:bookmarkStart w:id="130" w:name="_Toc122839826"/>
      <w:r>
        <w:rPr>
          <w:rStyle w:val="CharSectno"/>
        </w:rPr>
        <w:t>69</w:t>
      </w:r>
      <w:r>
        <w:rPr>
          <w:snapToGrid w:val="0"/>
        </w:rPr>
        <w:t>.</w:t>
      </w:r>
      <w:r>
        <w:rPr>
          <w:snapToGrid w:val="0"/>
        </w:rPr>
        <w:tab/>
        <w:t>Offences generally</w:t>
      </w:r>
      <w:bookmarkEnd w:id="129"/>
      <w:bookmarkEnd w:id="130"/>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31" w:name="_Toc13120197"/>
      <w:bookmarkStart w:id="132" w:name="_Toc122839827"/>
      <w:r>
        <w:rPr>
          <w:rStyle w:val="CharSectno"/>
        </w:rPr>
        <w:t>70</w:t>
      </w:r>
      <w:r>
        <w:rPr>
          <w:snapToGrid w:val="0"/>
        </w:rPr>
        <w:t>.</w:t>
      </w:r>
      <w:r>
        <w:rPr>
          <w:snapToGrid w:val="0"/>
        </w:rPr>
        <w:tab/>
        <w:t>General penalty</w:t>
      </w:r>
      <w:bookmarkEnd w:id="131"/>
      <w:bookmarkEnd w:id="132"/>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33" w:name="_Toc13120198"/>
      <w:bookmarkStart w:id="134" w:name="_Toc122839828"/>
      <w:r>
        <w:rPr>
          <w:rStyle w:val="CharSectno"/>
        </w:rPr>
        <w:t>71</w:t>
      </w:r>
      <w:r>
        <w:rPr>
          <w:snapToGrid w:val="0"/>
        </w:rPr>
        <w:t>.</w:t>
      </w:r>
      <w:r>
        <w:rPr>
          <w:snapToGrid w:val="0"/>
        </w:rPr>
        <w:tab/>
        <w:t>Proceedings</w:t>
      </w:r>
      <w:bookmarkEnd w:id="133"/>
      <w:bookmarkEnd w:id="134"/>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135" w:name="_Toc13120199"/>
      <w:bookmarkStart w:id="136" w:name="_Toc122839829"/>
      <w:r>
        <w:rPr>
          <w:rStyle w:val="CharSectno"/>
        </w:rPr>
        <w:t>72</w:t>
      </w:r>
      <w:r>
        <w:rPr>
          <w:snapToGrid w:val="0"/>
        </w:rPr>
        <w:t>.</w:t>
      </w:r>
      <w:r>
        <w:rPr>
          <w:snapToGrid w:val="0"/>
        </w:rPr>
        <w:tab/>
        <w:t>Liability for the acts of others, etc.</w:t>
      </w:r>
      <w:bookmarkEnd w:id="135"/>
      <w:bookmarkEnd w:id="136"/>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37" w:name="_Toc13120200"/>
      <w:bookmarkStart w:id="138" w:name="_Toc122839830"/>
      <w:r>
        <w:rPr>
          <w:rStyle w:val="CharSectno"/>
        </w:rPr>
        <w:t>73</w:t>
      </w:r>
      <w:r>
        <w:rPr>
          <w:snapToGrid w:val="0"/>
        </w:rPr>
        <w:t>.</w:t>
      </w:r>
      <w:r>
        <w:rPr>
          <w:snapToGrid w:val="0"/>
        </w:rPr>
        <w:tab/>
        <w:t>Offences by bodies corporate</w:t>
      </w:r>
      <w:bookmarkEnd w:id="137"/>
      <w:bookmarkEnd w:id="138"/>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39" w:name="_Toc13120201"/>
      <w:bookmarkStart w:id="140" w:name="_Toc122839831"/>
      <w:r>
        <w:rPr>
          <w:rStyle w:val="CharSectno"/>
        </w:rPr>
        <w:t>74</w:t>
      </w:r>
      <w:r>
        <w:rPr>
          <w:snapToGrid w:val="0"/>
        </w:rPr>
        <w:t>.</w:t>
      </w:r>
      <w:r>
        <w:rPr>
          <w:snapToGrid w:val="0"/>
        </w:rPr>
        <w:tab/>
        <w:t>Recovery of penalty and costs paid</w:t>
      </w:r>
      <w:bookmarkEnd w:id="139"/>
      <w:bookmarkEnd w:id="140"/>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141" w:name="_Toc13120202"/>
      <w:bookmarkStart w:id="142" w:name="_Toc122839832"/>
      <w:r>
        <w:rPr>
          <w:rStyle w:val="CharSectno"/>
        </w:rPr>
        <w:t>75</w:t>
      </w:r>
      <w:r>
        <w:rPr>
          <w:snapToGrid w:val="0"/>
        </w:rPr>
        <w:t>.</w:t>
      </w:r>
      <w:r>
        <w:rPr>
          <w:snapToGrid w:val="0"/>
        </w:rPr>
        <w:tab/>
        <w:t>Evidentiary provisions</w:t>
      </w:r>
      <w:bookmarkEnd w:id="141"/>
      <w:bookmarkEnd w:id="142"/>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143" w:name="_Toc13120203"/>
      <w:bookmarkStart w:id="144" w:name="_Toc122839833"/>
      <w:r>
        <w:rPr>
          <w:rStyle w:val="CharSectno"/>
        </w:rPr>
        <w:t>76</w:t>
      </w:r>
      <w:r>
        <w:rPr>
          <w:snapToGrid w:val="0"/>
        </w:rPr>
        <w:t>.</w:t>
      </w:r>
      <w:r>
        <w:rPr>
          <w:snapToGrid w:val="0"/>
        </w:rPr>
        <w:tab/>
        <w:t>Regulations</w:t>
      </w:r>
      <w:bookmarkEnd w:id="143"/>
      <w:bookmarkEnd w:id="144"/>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45" w:name="_Toc122839834"/>
      <w:r>
        <w:rPr>
          <w:rStyle w:val="CharSchNo"/>
        </w:rPr>
        <w:t>Schedule</w:t>
      </w:r>
      <w:bookmarkEnd w:id="145"/>
      <w:r>
        <w:rPr>
          <w:rStyle w:val="CharSchText"/>
        </w:rPr>
        <w:t xml:space="preserve"> </w:t>
      </w:r>
    </w:p>
    <w:p>
      <w:pPr>
        <w:pStyle w:val="yMiscellaneousHeading"/>
        <w:rPr>
          <w:b/>
          <w:bCs/>
          <w:snapToGrid w:val="0"/>
        </w:rPr>
      </w:pPr>
      <w:r>
        <w:rPr>
          <w:b/>
          <w:bCs/>
          <w:snapToGrid w:val="0"/>
        </w:rPr>
        <w:t>Procedural matters common to meetings of the Council, a Management Authority, or a committee</w:t>
      </w:r>
    </w:p>
    <w:p>
      <w:pPr>
        <w:pStyle w:val="yShoulderClause"/>
        <w:rPr>
          <w:snapToGrid w:val="0"/>
        </w:rPr>
      </w:pPr>
      <w:r>
        <w:rPr>
          <w:snapToGrid w:val="0"/>
        </w:rPr>
        <w:t>Sections 11, 14 and 21</w:t>
      </w:r>
    </w:p>
    <w:p>
      <w:pPr>
        <w:pStyle w:val="yHeading5"/>
        <w:outlineLvl w:val="9"/>
        <w:rPr>
          <w:snapToGrid w:val="0"/>
        </w:rPr>
      </w:pPr>
      <w:bookmarkStart w:id="146" w:name="_Toc122839835"/>
      <w:r>
        <w:rPr>
          <w:snapToGrid w:val="0"/>
        </w:rPr>
        <w:t>1.</w:t>
      </w:r>
      <w:r>
        <w:rPr>
          <w:snapToGrid w:val="0"/>
        </w:rPr>
        <w:tab/>
        <w:t>Chairman</w:t>
      </w:r>
      <w:bookmarkEnd w:id="146"/>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Heading5"/>
        <w:outlineLvl w:val="9"/>
        <w:rPr>
          <w:snapToGrid w:val="0"/>
        </w:rPr>
      </w:pPr>
      <w:bookmarkStart w:id="147" w:name="_Toc122839836"/>
      <w:r>
        <w:rPr>
          <w:snapToGrid w:val="0"/>
        </w:rPr>
        <w:t>2.</w:t>
      </w:r>
      <w:r>
        <w:rPr>
          <w:snapToGrid w:val="0"/>
        </w:rPr>
        <w:tab/>
        <w:t>Quorum</w:t>
      </w:r>
      <w:bookmarkEnd w:id="147"/>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outlineLvl w:val="9"/>
        <w:rPr>
          <w:snapToGrid w:val="0"/>
        </w:rPr>
      </w:pPr>
      <w:bookmarkStart w:id="148" w:name="_Toc122839837"/>
      <w:r>
        <w:rPr>
          <w:snapToGrid w:val="0"/>
        </w:rPr>
        <w:t>3.</w:t>
      </w:r>
      <w:r>
        <w:rPr>
          <w:snapToGrid w:val="0"/>
        </w:rPr>
        <w:tab/>
        <w:t>Meetings</w:t>
      </w:r>
      <w:bookmarkEnd w:id="148"/>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outlineLvl w:val="9"/>
        <w:rPr>
          <w:snapToGrid w:val="0"/>
        </w:rPr>
      </w:pPr>
      <w:bookmarkStart w:id="149" w:name="_Toc122839838"/>
      <w:r>
        <w:rPr>
          <w:snapToGrid w:val="0"/>
        </w:rPr>
        <w:t>4.</w:t>
      </w:r>
      <w:r>
        <w:rPr>
          <w:snapToGrid w:val="0"/>
        </w:rPr>
        <w:tab/>
        <w:t>Voting</w:t>
      </w:r>
      <w:bookmarkEnd w:id="149"/>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outlineLvl w:val="9"/>
        <w:rPr>
          <w:snapToGrid w:val="0"/>
        </w:rPr>
      </w:pPr>
      <w:bookmarkStart w:id="150" w:name="_Toc122839839"/>
      <w:r>
        <w:rPr>
          <w:snapToGrid w:val="0"/>
        </w:rPr>
        <w:t>5.</w:t>
      </w:r>
      <w:r>
        <w:rPr>
          <w:snapToGrid w:val="0"/>
        </w:rPr>
        <w:tab/>
        <w:t>Records</w:t>
      </w:r>
      <w:bookmarkEnd w:id="150"/>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outlineLvl w:val="9"/>
        <w:rPr>
          <w:snapToGrid w:val="0"/>
        </w:rPr>
      </w:pPr>
      <w:bookmarkStart w:id="151" w:name="_Toc122839840"/>
      <w:r>
        <w:rPr>
          <w:snapToGrid w:val="0"/>
        </w:rPr>
        <w:t>6.</w:t>
      </w:r>
      <w:r>
        <w:rPr>
          <w:snapToGrid w:val="0"/>
        </w:rPr>
        <w:tab/>
        <w:t>Validity of proceedings</w:t>
      </w:r>
      <w:bookmarkEnd w:id="151"/>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outlineLvl w:val="9"/>
        <w:rPr>
          <w:snapToGrid w:val="0"/>
        </w:rPr>
      </w:pPr>
      <w:bookmarkStart w:id="152" w:name="_Toc122839841"/>
      <w:r>
        <w:rPr>
          <w:snapToGrid w:val="0"/>
        </w:rPr>
        <w:t>7.</w:t>
      </w:r>
      <w:r>
        <w:rPr>
          <w:snapToGrid w:val="0"/>
        </w:rPr>
        <w:tab/>
        <w:t>Interests</w:t>
      </w:r>
      <w:bookmarkEnd w:id="152"/>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outlineLvl w:val="9"/>
        <w:rPr>
          <w:snapToGrid w:val="0"/>
        </w:rPr>
      </w:pPr>
      <w:bookmarkStart w:id="153" w:name="_Toc122839842"/>
      <w:r>
        <w:rPr>
          <w:snapToGrid w:val="0"/>
        </w:rPr>
        <w:t>8.</w:t>
      </w:r>
      <w:r>
        <w:rPr>
          <w:snapToGrid w:val="0"/>
        </w:rPr>
        <w:tab/>
        <w:t>Disputes</w:t>
      </w:r>
      <w:bookmarkEnd w:id="153"/>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outlineLvl w:val="9"/>
        <w:rPr>
          <w:snapToGrid w:val="0"/>
        </w:rPr>
      </w:pPr>
      <w:bookmarkStart w:id="154" w:name="_Toc122839843"/>
      <w:r>
        <w:rPr>
          <w:snapToGrid w:val="0"/>
        </w:rPr>
        <w:t>9.</w:t>
      </w:r>
      <w:r>
        <w:rPr>
          <w:snapToGrid w:val="0"/>
        </w:rPr>
        <w:tab/>
        <w:t>Procedure</w:t>
      </w:r>
      <w:bookmarkEnd w:id="154"/>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pStyle w:val="yFootnotesection"/>
      </w:pPr>
      <w:r>
        <w:tab/>
        <w:t xml:space="preserve">[Schedule amended by No. 16 of 1980 s. 4; No. 73 of 1995 s. 187.]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55" w:name="_Toc89768444"/>
      <w:bookmarkStart w:id="156" w:name="_Toc89768542"/>
      <w:bookmarkStart w:id="157" w:name="_Toc92790389"/>
      <w:bookmarkStart w:id="158" w:name="_Toc92790474"/>
      <w:bookmarkStart w:id="159" w:name="_Toc96506753"/>
      <w:bookmarkStart w:id="160" w:name="_Toc102452658"/>
      <w:bookmarkStart w:id="161" w:name="_Toc103064391"/>
      <w:bookmarkStart w:id="162" w:name="_Toc122839844"/>
      <w:r>
        <w:t>Notes</w:t>
      </w:r>
      <w:bookmarkEnd w:id="155"/>
      <w:bookmarkEnd w:id="156"/>
      <w:bookmarkEnd w:id="157"/>
      <w:bookmarkEnd w:id="158"/>
      <w:bookmarkEnd w:id="159"/>
      <w:bookmarkEnd w:id="160"/>
      <w:bookmarkEnd w:id="161"/>
      <w:bookmarkEnd w:id="162"/>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w:t>
      </w:r>
      <w:r>
        <w:rPr>
          <w:snapToGrid w:val="0"/>
          <w:vertAlign w:val="superscript"/>
        </w:rPr>
        <w:t> 1a</w:t>
      </w:r>
      <w:r>
        <w:rPr>
          <w:snapToGrid w:val="0"/>
        </w:rPr>
        <w:t>.  This table also contains information about any previous reprints.</w:t>
      </w:r>
    </w:p>
    <w:p>
      <w:pPr>
        <w:pStyle w:val="nHeading3"/>
        <w:rPr>
          <w:snapToGrid w:val="0"/>
        </w:rPr>
      </w:pPr>
      <w:bookmarkStart w:id="163" w:name="_Toc122839845"/>
      <w:r>
        <w:rPr>
          <w:snapToGrid w:val="0"/>
        </w:rPr>
        <w:t>Compilation table</w:t>
      </w:r>
      <w:bookmarkEnd w:id="163"/>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34" w:type="dxa"/>
          </w:tcPr>
          <w:p>
            <w:pPr>
              <w:pStyle w:val="nTable"/>
              <w:spacing w:after="40"/>
              <w:rPr>
                <w:sz w:val="19"/>
              </w:rPr>
            </w:pPr>
            <w:r>
              <w:rPr>
                <w:sz w:val="19"/>
              </w:rPr>
              <w:t>9 Dec 1976</w:t>
            </w:r>
          </w:p>
        </w:tc>
        <w:tc>
          <w:tcPr>
            <w:tcW w:w="2551" w:type="dxa"/>
          </w:tcPr>
          <w:p>
            <w:pPr>
              <w:pStyle w:val="nTable"/>
              <w:spacing w:after="40"/>
              <w:rPr>
                <w:sz w:val="19"/>
              </w:rPr>
            </w:pPr>
            <w:r>
              <w:rPr>
                <w:sz w:val="19"/>
              </w:rPr>
              <w:t xml:space="preserve">s. 1-3, 14, 16-20: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cantSplit/>
        </w:trPr>
        <w:tc>
          <w:tcPr>
            <w:tcW w:w="2268"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12 Nov 1980</w:t>
            </w:r>
          </w:p>
        </w:tc>
      </w:tr>
      <w:tr>
        <w:trPr>
          <w:cantSplit/>
        </w:trPr>
        <w:tc>
          <w:tcPr>
            <w:tcW w:w="2268"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34" w:type="dxa"/>
          </w:tcPr>
          <w:p>
            <w:pPr>
              <w:pStyle w:val="nTable"/>
              <w:spacing w:after="40"/>
              <w:rPr>
                <w:sz w:val="19"/>
              </w:rPr>
            </w:pPr>
            <w:r>
              <w:rPr>
                <w:sz w:val="19"/>
              </w:rPr>
              <w:t>22 Nov 1982</w:t>
            </w:r>
          </w:p>
        </w:tc>
        <w:tc>
          <w:tcPr>
            <w:tcW w:w="2551" w:type="dxa"/>
          </w:tcPr>
          <w:p>
            <w:pPr>
              <w:pStyle w:val="nTable"/>
              <w:spacing w:after="40"/>
              <w:rPr>
                <w:sz w:val="19"/>
              </w:rPr>
            </w:pPr>
            <w:r>
              <w:rPr>
                <w:sz w:val="19"/>
              </w:rPr>
              <w:t>22 Nov 1982</w:t>
            </w:r>
          </w:p>
        </w:tc>
      </w:tr>
      <w:tr>
        <w:trPr>
          <w:cantSplit/>
        </w:trPr>
        <w:tc>
          <w:tcPr>
            <w:tcW w:w="2268"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cantSplit/>
        </w:trPr>
        <w:tc>
          <w:tcPr>
            <w:tcW w:w="2268"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34" w:type="dxa"/>
          </w:tcPr>
          <w:p>
            <w:pPr>
              <w:pStyle w:val="nTable"/>
              <w:keepNext/>
              <w:spacing w:after="40"/>
              <w:rPr>
                <w:sz w:val="19"/>
              </w:rPr>
            </w:pPr>
            <w:r>
              <w:rPr>
                <w:sz w:val="19"/>
              </w:rPr>
              <w:t>4 Dec 1986</w:t>
            </w:r>
          </w:p>
        </w:tc>
        <w:tc>
          <w:tcPr>
            <w:tcW w:w="2551"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cantSplit/>
        </w:trPr>
        <w:tc>
          <w:tcPr>
            <w:tcW w:w="2268"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cantSplit/>
        </w:trPr>
        <w:tc>
          <w:tcPr>
            <w:tcW w:w="2268"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1"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8"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2268"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cantSplit/>
        </w:trPr>
        <w:tc>
          <w:tcPr>
            <w:tcW w:w="2268"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34" w:type="dxa"/>
          </w:tcPr>
          <w:p>
            <w:pPr>
              <w:pStyle w:val="nTable"/>
              <w:spacing w:after="40"/>
              <w:rPr>
                <w:sz w:val="19"/>
              </w:rPr>
            </w:pPr>
            <w:r>
              <w:rPr>
                <w:sz w:val="19"/>
              </w:rPr>
              <w:t>2 Nov 1994</w:t>
            </w:r>
          </w:p>
        </w:tc>
        <w:tc>
          <w:tcPr>
            <w:tcW w:w="2551"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cantSplit/>
        </w:trPr>
        <w:tc>
          <w:tcPr>
            <w:tcW w:w="2268" w:type="dxa"/>
          </w:tcPr>
          <w:p>
            <w:pPr>
              <w:pStyle w:val="nTable"/>
              <w:spacing w:after="40"/>
              <w:rPr>
                <w:sz w:val="19"/>
              </w:rPr>
            </w:pPr>
            <w:r>
              <w:rPr>
                <w:i/>
                <w:sz w:val="19"/>
              </w:rPr>
              <w:t xml:space="preserve">Planning Legislation Amendment Act (No. 2) 1994 </w:t>
            </w:r>
            <w:r>
              <w:rPr>
                <w:sz w:val="19"/>
              </w:rPr>
              <w:t>s. 46(13)</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1"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keepNext/>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34" w:type="dxa"/>
          </w:tcPr>
          <w:p>
            <w:pPr>
              <w:pStyle w:val="nTable"/>
              <w:keepNext/>
              <w:spacing w:after="40"/>
              <w:rPr>
                <w:sz w:val="19"/>
              </w:rPr>
            </w:pPr>
            <w:r>
              <w:rPr>
                <w:sz w:val="19"/>
              </w:rPr>
              <w:t>9 May 1995</w:t>
            </w:r>
          </w:p>
        </w:tc>
        <w:tc>
          <w:tcPr>
            <w:tcW w:w="2551"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8"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4" w:type="dxa"/>
          </w:tcPr>
          <w:p>
            <w:pPr>
              <w:pStyle w:val="nTable"/>
              <w:keepNext/>
              <w:spacing w:after="40"/>
              <w:rPr>
                <w:sz w:val="19"/>
              </w:rPr>
            </w:pPr>
            <w:r>
              <w:rPr>
                <w:sz w:val="19"/>
              </w:rPr>
              <w:t>73 of 1995</w:t>
            </w:r>
          </w:p>
        </w:tc>
        <w:tc>
          <w:tcPr>
            <w:tcW w:w="1134" w:type="dxa"/>
          </w:tcPr>
          <w:p>
            <w:pPr>
              <w:pStyle w:val="nTable"/>
              <w:keepNext/>
              <w:spacing w:after="40"/>
              <w:rPr>
                <w:sz w:val="19"/>
              </w:rPr>
            </w:pPr>
            <w:r>
              <w:rPr>
                <w:sz w:val="19"/>
              </w:rPr>
              <w:t>27 Dec 1995</w:t>
            </w:r>
          </w:p>
        </w:tc>
        <w:tc>
          <w:tcPr>
            <w:tcW w:w="2551" w:type="dxa"/>
          </w:tcPr>
          <w:p>
            <w:pPr>
              <w:pStyle w:val="nTable"/>
              <w:keepNext/>
              <w:spacing w:after="4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Borders>
              <w:bottom w:val="single" w:sz="8" w:space="0" w:color="auto"/>
            </w:tcBorders>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tcBorders>
              <w:bottom w:val="single" w:sz="8" w:space="0" w:color="auto"/>
            </w:tcBorders>
          </w:tcPr>
          <w:p>
            <w:pPr>
              <w:pStyle w:val="nTable"/>
              <w:spacing w:after="40"/>
              <w:rPr>
                <w:snapToGrid w:val="0"/>
                <w:sz w:val="19"/>
                <w:lang w:val="en-US"/>
              </w:rPr>
            </w:pPr>
            <w:r>
              <w:rPr>
                <w:snapToGrid w:val="0"/>
                <w:sz w:val="19"/>
                <w:lang w:val="en-US"/>
              </w:rPr>
              <w:t>84 of 2004</w:t>
            </w:r>
          </w:p>
        </w:tc>
        <w:tc>
          <w:tcPr>
            <w:tcW w:w="1134" w:type="dxa"/>
            <w:tcBorders>
              <w:bottom w:val="single" w:sz="8" w:space="0" w:color="auto"/>
            </w:tcBorders>
          </w:tcPr>
          <w:p>
            <w:pPr>
              <w:pStyle w:val="nTable"/>
              <w:spacing w:after="40"/>
              <w:rPr>
                <w:sz w:val="19"/>
              </w:rPr>
            </w:pPr>
            <w:r>
              <w:rPr>
                <w:sz w:val="19"/>
              </w:rPr>
              <w:t>16 Dec 2004</w:t>
            </w:r>
          </w:p>
        </w:tc>
        <w:tc>
          <w:tcPr>
            <w:tcW w:w="2551" w:type="dxa"/>
            <w:tcBorders>
              <w:bottom w:val="single" w:sz="8" w:space="0" w:color="auto"/>
            </w:tcBorders>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64" w:name="_Toc534778309"/>
      <w:bookmarkStart w:id="165" w:name="_Toc7405063"/>
      <w:bookmarkStart w:id="166" w:name="_Toc117408453"/>
      <w:bookmarkStart w:id="167" w:name="_Toc122839846"/>
      <w:r>
        <w:rPr>
          <w:snapToGrid w:val="0"/>
        </w:rPr>
        <w:t>Provisions that have not come into operation</w:t>
      </w:r>
      <w:bookmarkEnd w:id="164"/>
      <w:bookmarkEnd w:id="165"/>
      <w:bookmarkEnd w:id="166"/>
      <w:bookmarkEnd w:id="167"/>
    </w:p>
    <w:tbl>
      <w:tblPr>
        <w:tblW w:w="0" w:type="auto"/>
        <w:tblInd w:w="80"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tblGrid>
      <w:tr>
        <w:tc>
          <w:tcPr>
            <w:tcW w:w="2223" w:type="dxa"/>
          </w:tcPr>
          <w:p>
            <w:pPr>
              <w:pStyle w:val="nTable"/>
              <w:rPr>
                <w:b/>
                <w:snapToGrid w:val="0"/>
                <w:lang w:val="en-US"/>
              </w:rPr>
            </w:pPr>
            <w:r>
              <w:rPr>
                <w:b/>
                <w:snapToGrid w:val="0"/>
                <w:lang w:val="en-US"/>
              </w:rPr>
              <w:t>Short title</w:t>
            </w:r>
          </w:p>
        </w:tc>
        <w:tc>
          <w:tcPr>
            <w:tcW w:w="1118" w:type="dxa"/>
            <w:gridSpan w:val="2"/>
          </w:tcPr>
          <w:p>
            <w:pPr>
              <w:pStyle w:val="nTable"/>
              <w:rPr>
                <w:b/>
                <w:snapToGrid w:val="0"/>
                <w:lang w:val="en-US"/>
              </w:rPr>
            </w:pPr>
            <w:r>
              <w:rPr>
                <w:b/>
                <w:snapToGrid w:val="0"/>
                <w:lang w:val="en-US"/>
              </w:rPr>
              <w:t>Number and year</w:t>
            </w:r>
          </w:p>
        </w:tc>
        <w:tc>
          <w:tcPr>
            <w:tcW w:w="1195" w:type="dxa"/>
            <w:gridSpan w:val="2"/>
          </w:tcPr>
          <w:p>
            <w:pPr>
              <w:pStyle w:val="nTable"/>
              <w:rPr>
                <w:b/>
                <w:snapToGrid w:val="0"/>
                <w:lang w:val="en-US"/>
              </w:rPr>
            </w:pPr>
            <w:r>
              <w:rPr>
                <w:b/>
                <w:snapToGrid w:val="0"/>
                <w:lang w:val="en-US"/>
              </w:rPr>
              <w:t>Assent</w:t>
            </w:r>
          </w:p>
        </w:tc>
        <w:tc>
          <w:tcPr>
            <w:tcW w:w="2552" w:type="dxa"/>
          </w:tcPr>
          <w:p>
            <w:pPr>
              <w:pStyle w:val="nTable"/>
              <w:rPr>
                <w:b/>
                <w:snapToGrid w:val="0"/>
                <w:lang w:val="en-US"/>
              </w:rPr>
            </w:pPr>
            <w:r>
              <w:rPr>
                <w:b/>
                <w:snapToGrid w:val="0"/>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c>
          <w:tcPr>
            <w:tcW w:w="2268" w:type="dxa"/>
            <w:gridSpan w:val="2"/>
            <w:tcBorders>
              <w:top w:val="single" w:sz="4" w:space="0" w:color="auto"/>
              <w:bottom w:val="single" w:sz="4" w:space="0" w:color="auto"/>
            </w:tcBorders>
          </w:tcPr>
          <w:p>
            <w:pPr>
              <w:pStyle w:val="nTable"/>
              <w:spacing w:before="100"/>
              <w:rPr>
                <w:iCs/>
                <w:sz w:val="19"/>
                <w:vertAlign w:val="superscript"/>
              </w:rPr>
            </w:pPr>
            <w:r>
              <w:rPr>
                <w:i/>
                <w:sz w:val="19"/>
              </w:rPr>
              <w:t>Planning and Development (Consequential and Transitional Provisions) Act 2005</w:t>
            </w:r>
            <w:r>
              <w:rPr>
                <w:iCs/>
                <w:sz w:val="19"/>
              </w:rPr>
              <w:t xml:space="preserve"> s. 15 </w:t>
            </w:r>
            <w:r>
              <w:rPr>
                <w:iCs/>
                <w:sz w:val="19"/>
                <w:vertAlign w:val="superscript"/>
              </w:rPr>
              <w:t>10</w:t>
            </w:r>
          </w:p>
        </w:tc>
        <w:tc>
          <w:tcPr>
            <w:tcW w:w="1134" w:type="dxa"/>
            <w:gridSpan w:val="2"/>
            <w:tcBorders>
              <w:top w:val="single" w:sz="4" w:space="0" w:color="auto"/>
              <w:bottom w:val="single" w:sz="4" w:space="0" w:color="auto"/>
            </w:tcBorders>
          </w:tcPr>
          <w:p>
            <w:pPr>
              <w:pStyle w:val="nTable"/>
              <w:spacing w:before="100"/>
              <w:rPr>
                <w:sz w:val="19"/>
              </w:rPr>
            </w:pPr>
            <w:r>
              <w:rPr>
                <w:sz w:val="19"/>
              </w:rPr>
              <w:t>38 of 2005</w:t>
            </w:r>
          </w:p>
        </w:tc>
        <w:tc>
          <w:tcPr>
            <w:tcW w:w="1134" w:type="dxa"/>
            <w:tcBorders>
              <w:top w:val="single" w:sz="4" w:space="0" w:color="auto"/>
              <w:bottom w:val="single" w:sz="4" w:space="0" w:color="auto"/>
            </w:tcBorders>
          </w:tcPr>
          <w:p>
            <w:pPr>
              <w:pStyle w:val="nTable"/>
              <w:spacing w:before="100"/>
              <w:rPr>
                <w:sz w:val="19"/>
              </w:rPr>
            </w:pPr>
            <w:r>
              <w:rPr>
                <w:sz w:val="19"/>
              </w:rPr>
              <w:t>12 Dec 2005</w:t>
            </w:r>
          </w:p>
        </w:tc>
        <w:tc>
          <w:tcPr>
            <w:tcW w:w="2552" w:type="dxa"/>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vertAlign w:val="superscript"/>
        </w:rPr>
        <w:t>10</w:t>
      </w:r>
      <w:r>
        <w:tab/>
      </w:r>
      <w:r>
        <w:rPr>
          <w:snapToGrid w:val="0"/>
        </w:rPr>
        <w:t xml:space="preserve">On the date as at which this compilation was prepared, the </w:t>
      </w:r>
      <w:r>
        <w:rPr>
          <w:i/>
          <w:snapToGrid w:val="0"/>
          <w:sz w:val="19"/>
          <w:lang w:val="en-US"/>
        </w:rPr>
        <w:t>Planning and Development (Consequential and Transitional Provisions) Act 2005</w:t>
      </w:r>
      <w:r>
        <w:rPr>
          <w:iCs/>
          <w:snapToGrid w:val="0"/>
          <w:sz w:val="19"/>
          <w:lang w:val="en-US"/>
        </w:rPr>
        <w:t xml:space="preserve"> s. 15,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168" w:name="_Toc476631191"/>
      <w:bookmarkStart w:id="169" w:name="_Toc477066412"/>
      <w:bookmarkStart w:id="170" w:name="_Toc497301942"/>
      <w:bookmarkStart w:id="171" w:name="_Toc83657956"/>
      <w:bookmarkStart w:id="172" w:name="_Toc122243710"/>
      <w:bookmarkStart w:id="173" w:name="_Toc122425166"/>
      <w:r>
        <w:rPr>
          <w:rStyle w:val="CharSectno"/>
        </w:rPr>
        <w:t>15</w:t>
      </w:r>
      <w:r>
        <w:t>.</w:t>
      </w:r>
      <w:r>
        <w:tab/>
        <w:t>Acts in Schedule 2 amended</w:t>
      </w:r>
      <w:bookmarkEnd w:id="168"/>
      <w:bookmarkEnd w:id="169"/>
      <w:bookmarkEnd w:id="170"/>
      <w:bookmarkEnd w:id="171"/>
      <w:bookmarkEnd w:id="172"/>
      <w:bookmarkEnd w:id="173"/>
    </w:p>
    <w:p>
      <w:pPr>
        <w:pStyle w:val="nzSubsection"/>
      </w:pPr>
      <w:r>
        <w:tab/>
      </w:r>
      <w:r>
        <w:tab/>
        <w:t>The Acts mentioned in Schedule 2 are amended as set out in that Schedule.</w:t>
      </w:r>
    </w:p>
    <w:p>
      <w:pPr>
        <w:pStyle w:val="MiscClose"/>
        <w:rPr>
          <w:snapToGrid w:val="0"/>
        </w:rPr>
      </w:pPr>
      <w:r>
        <w:rPr>
          <w:snapToGrid w:val="0"/>
        </w:rPr>
        <w:t>”.</w:t>
      </w:r>
    </w:p>
    <w:p>
      <w:pPr>
        <w:pStyle w:val="nSubsection"/>
      </w:pPr>
      <w:r>
        <w:tab/>
        <w:t>Schedule 2, cl. 72 reads as follows:</w:t>
      </w:r>
    </w:p>
    <w:p>
      <w:pPr>
        <w:pStyle w:val="MiscOpen"/>
      </w:pPr>
      <w:r>
        <w:t>“</w:t>
      </w:r>
    </w:p>
    <w:p>
      <w:pPr>
        <w:pStyle w:val="nzHeading2"/>
      </w:pPr>
      <w:bookmarkStart w:id="174" w:name="_Toc122243734"/>
      <w:bookmarkStart w:id="175" w:name="_Toc122425190"/>
      <w:r>
        <w:rPr>
          <w:rStyle w:val="CharSchNo"/>
        </w:rPr>
        <w:t>Schedule 2</w:t>
      </w:r>
      <w:r>
        <w:rPr>
          <w:rStyle w:val="CharSDivNo"/>
        </w:rPr>
        <w:t> </w:t>
      </w:r>
      <w:r>
        <w:t>—</w:t>
      </w:r>
      <w:r>
        <w:rPr>
          <w:rStyle w:val="CharSDivText"/>
        </w:rPr>
        <w:t> </w:t>
      </w:r>
      <w:r>
        <w:rPr>
          <w:rStyle w:val="CharSchText"/>
        </w:rPr>
        <w:t>Consequential amendments</w:t>
      </w:r>
      <w:bookmarkEnd w:id="174"/>
      <w:bookmarkEnd w:id="175"/>
    </w:p>
    <w:p>
      <w:pPr>
        <w:pStyle w:val="nzMiscellaneousBody"/>
        <w:jc w:val="right"/>
      </w:pPr>
      <w:r>
        <w:t>[s.</w:t>
      </w:r>
      <w:bookmarkStart w:id="176" w:name="_Hlt485012328"/>
      <w:r>
        <w:t> 15</w:t>
      </w:r>
      <w:bookmarkEnd w:id="176"/>
      <w:r>
        <w:t>]</w:t>
      </w:r>
    </w:p>
    <w:p>
      <w:pPr>
        <w:pStyle w:val="nzHeading5"/>
      </w:pPr>
      <w:bookmarkStart w:id="177" w:name="_Toc476631265"/>
      <w:bookmarkStart w:id="178" w:name="_Toc477066485"/>
      <w:bookmarkStart w:id="179" w:name="_Toc497302014"/>
      <w:bookmarkStart w:id="180" w:name="_Toc83658081"/>
      <w:bookmarkStart w:id="181" w:name="_Toc122243806"/>
      <w:bookmarkStart w:id="182" w:name="_Toc122425262"/>
      <w:r>
        <w:rPr>
          <w:rStyle w:val="CharSClsNo"/>
        </w:rPr>
        <w:t>72</w:t>
      </w:r>
      <w:r>
        <w:t>.</w:t>
      </w:r>
      <w:r>
        <w:tab/>
      </w:r>
      <w:r>
        <w:rPr>
          <w:i/>
        </w:rPr>
        <w:t>Waterways Conservation Act 1976</w:t>
      </w:r>
      <w:bookmarkEnd w:id="177"/>
      <w:bookmarkEnd w:id="178"/>
      <w:bookmarkEnd w:id="179"/>
      <w:bookmarkEnd w:id="180"/>
      <w:bookmarkEnd w:id="181"/>
      <w:bookmarkEnd w:id="182"/>
    </w:p>
    <w:p>
      <w:pPr>
        <w:pStyle w:val="nzSubsection"/>
      </w:pPr>
      <w:r>
        <w:tab/>
      </w:r>
      <w:r>
        <w:tab/>
        <w:t>Section 36(1) is amended as follows:</w:t>
      </w:r>
    </w:p>
    <w:p>
      <w:pPr>
        <w:pStyle w:val="nzIndenta"/>
      </w:pPr>
      <w:r>
        <w:tab/>
        <w:t>(a)</w:t>
      </w:r>
      <w:r>
        <w:tab/>
        <w:t xml:space="preserve">by deleting paragraph (a) and inserting instead — </w:t>
      </w:r>
    </w:p>
    <w:p>
      <w:pPr>
        <w:pStyle w:val="MiscOpen"/>
        <w:keepLines w:val="0"/>
        <w:ind w:left="1332"/>
        <w:rPr>
          <w:sz w:val="22"/>
        </w:rPr>
      </w:pPr>
      <w:r>
        <w:rPr>
          <w:sz w:val="22"/>
        </w:rPr>
        <w:t xml:space="preserve">“    </w:t>
      </w:r>
    </w:p>
    <w:p>
      <w:pPr>
        <w:pStyle w:val="nzIndenta"/>
      </w:pPr>
      <w:r>
        <w:tab/>
        <w:t>(a)</w:t>
      </w:r>
      <w:r>
        <w:tab/>
        <w:t xml:space="preserve">the Minister to whom the Governor has for the time being committed the administration of the </w:t>
      </w:r>
      <w:r>
        <w:rPr>
          <w:i/>
        </w:rPr>
        <w:t>Planning and Development Act 2005</w:t>
      </w:r>
      <w:r>
        <w:t>;</w:t>
      </w:r>
    </w:p>
    <w:p>
      <w:pPr>
        <w:pStyle w:val="MiscClose"/>
        <w:rPr>
          <w:sz w:val="22"/>
        </w:rPr>
      </w:pPr>
      <w:r>
        <w:rPr>
          <w:sz w:val="22"/>
        </w:rPr>
        <w:t xml:space="preserve">    ”;</w:t>
      </w:r>
    </w:p>
    <w:p>
      <w:pPr>
        <w:pStyle w:val="nzIndenta"/>
      </w:pPr>
      <w:r>
        <w:tab/>
        <w:t>(b)</w:t>
      </w:r>
      <w:r>
        <w:tab/>
        <w:t xml:space="preserve">in paragraph (b) by deleting “the </w:t>
      </w:r>
      <w:r>
        <w:rPr>
          <w:i/>
        </w:rPr>
        <w:t>Western Australian Planning Commission Act 1985</w:t>
      </w:r>
      <w:r>
        <w:t xml:space="preserve">;” and inserting instead — </w:t>
      </w:r>
    </w:p>
    <w:p>
      <w:pPr>
        <w:pStyle w:val="nzIndenta"/>
      </w:pPr>
      <w:r>
        <w:tab/>
      </w:r>
      <w:r>
        <w:tab/>
        <w:t xml:space="preserve">“    the </w:t>
      </w:r>
      <w:r>
        <w:rPr>
          <w:i/>
        </w:rPr>
        <w:t>Planning and Development Act 2005</w:t>
      </w:r>
      <w:r>
        <w:t>;    ”;</w:t>
      </w:r>
    </w:p>
    <w:p>
      <w:pPr>
        <w:pStyle w:val="nzIndenta"/>
      </w:pPr>
      <w:r>
        <w:tab/>
        <w:t>(c)</w:t>
      </w:r>
      <w:r>
        <w:tab/>
        <w:t>in paragraph (d) by deleting “</w:t>
      </w:r>
      <w:r>
        <w:rPr>
          <w:i/>
        </w:rPr>
        <w:t>Town Planning and Development Act 1928</w:t>
      </w:r>
      <w:r>
        <w:t xml:space="preserve">” and inserting instead — </w:t>
      </w:r>
    </w:p>
    <w:p>
      <w:pPr>
        <w:pStyle w:val="nzIndenta"/>
      </w:pPr>
      <w:r>
        <w:tab/>
      </w:r>
      <w:r>
        <w:tab/>
        <w:t xml:space="preserve">“    </w:t>
      </w:r>
      <w:r>
        <w:rPr>
          <w:i/>
        </w:rPr>
        <w:t>Planning and Development Act 2005</w:t>
      </w:r>
      <w:r>
        <w:t xml:space="preserve">    ”;</w:t>
      </w:r>
    </w:p>
    <w:p>
      <w:pPr>
        <w:pStyle w:val="nzIndenta"/>
      </w:pPr>
      <w:r>
        <w:tab/>
        <w:t>(d)</w:t>
      </w:r>
      <w:r>
        <w:tab/>
        <w:t xml:space="preserve">by deleting paragraph (f)(i) and inserting instead the following subparagraph — </w:t>
      </w:r>
    </w:p>
    <w:p>
      <w:pPr>
        <w:pStyle w:val="MiscOpen"/>
        <w:ind w:left="2040"/>
      </w:pPr>
      <w:r>
        <w:t xml:space="preserve">“    </w:t>
      </w:r>
    </w:p>
    <w:p>
      <w:pPr>
        <w:pStyle w:val="nzIndenti"/>
      </w:pPr>
      <w:r>
        <w:tab/>
        <w:t>(i)</w:t>
      </w:r>
      <w:r>
        <w:tab/>
        <w:t>a local planning scheme;</w:t>
      </w:r>
    </w:p>
    <w:p>
      <w:pPr>
        <w:pStyle w:val="MiscClose"/>
        <w:ind w:right="294"/>
      </w:pPr>
      <w:r>
        <w:t xml:space="preserve">    ”.</w:t>
      </w:r>
    </w:p>
    <w:p>
      <w:pPr>
        <w:pStyle w:val="MiscClose"/>
      </w:pPr>
      <w:r>
        <w:t xml:space="preserve">    ”.</w:t>
      </w:r>
    </w:p>
    <w:p/>
    <w:p>
      <w:pPr>
        <w:sectPr>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fldSimple w:instr=" STYLEREF CharSchNo \* MERGEFORMAT ">
            <w:r>
              <w:rPr>
                <w:noProof/>
              </w:rPr>
              <w:t>Schedule</w:t>
            </w:r>
          </w:fldSimple>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fldSimple w:instr=" STYLEREF CharSchNo \* MERGEFORMAT ">
            <w:r>
              <w:rPr>
                <w:noProof/>
              </w:rPr>
              <w:t>Schedule</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C2D68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1C6E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FE0BBF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590B0A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CA2CB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C50823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1FCE98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150C2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1F60940"/>
    <w:lvl w:ilvl="0">
      <w:start w:val="1"/>
      <w:numFmt w:val="decimal"/>
      <w:pStyle w:val="ListNumber"/>
      <w:lvlText w:val="%1."/>
      <w:lvlJc w:val="left"/>
      <w:pPr>
        <w:tabs>
          <w:tab w:val="num" w:pos="360"/>
        </w:tabs>
        <w:ind w:left="360" w:hanging="360"/>
      </w:pPr>
    </w:lvl>
  </w:abstractNum>
  <w:abstractNum w:abstractNumId="9">
    <w:nsid w:val="FFFFFF89"/>
    <w:multiLevelType w:val="singleLevel"/>
    <w:tmpl w:val="55F06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791EEB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7CE60380"/>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603"/>
    <w:docVar w:name="WAFER_20151216150603" w:val="RemoveTrackChanges"/>
    <w:docVar w:name="WAFER_20151216150603_GUID" w:val="e44a11d9-4115-4860-b889-b085de25d17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23629</Words>
  <Characters>113184</Characters>
  <Application>Microsoft Office Word</Application>
  <DocSecurity>0</DocSecurity>
  <Lines>2902</Lines>
  <Paragraphs>1302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1976 - 02-d0-04</dc:title>
  <dc:subject/>
  <dc:creator/>
  <cp:keywords/>
  <dc:description/>
  <cp:lastModifiedBy>svcMRProcess</cp:lastModifiedBy>
  <cp:revision>4</cp:revision>
  <cp:lastPrinted>2002-10-09T01:50:00Z</cp:lastPrinted>
  <dcterms:created xsi:type="dcterms:W3CDTF">2018-09-09T15:07:00Z</dcterms:created>
  <dcterms:modified xsi:type="dcterms:W3CDTF">2018-09-09T15:07:00Z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20051212</vt:lpwstr>
  </property>
  <property fmtid="{D5CDD505-2E9C-101B-9397-08002B2CF9AE}" pid="4" name="DocumentType">
    <vt:lpwstr>Act</vt:lpwstr>
  </property>
  <property fmtid="{D5CDD505-2E9C-101B-9397-08002B2CF9AE}" pid="5" name="OwlsUID">
    <vt:i4>872</vt:i4>
  </property>
  <property fmtid="{D5CDD505-2E9C-101B-9397-08002B2CF9AE}" pid="6" name="AsAtDate">
    <vt:lpwstr>12 Dec 2005</vt:lpwstr>
  </property>
  <property fmtid="{D5CDD505-2E9C-101B-9397-08002B2CF9AE}" pid="7" name="Suffix">
    <vt:lpwstr>02-d0-04</vt:lpwstr>
  </property>
</Properties>
</file>