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Jetties Act 1926</w:t>
      </w:r>
    </w:p>
    <w:p>
      <w:pPr>
        <w:pStyle w:val="NameofActRegPage1"/>
        <w:spacing w:before="22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Jetties Regulations 1940</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3092"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_Toc355611554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Liability for dues, charges and fees</w:t>
      </w:r>
      <w:r>
        <w:tab/>
      </w:r>
      <w:r>
        <w:fldChar w:fldCharType="begin"/>
      </w:r>
      <w:r>
        <w:instrText xml:space="preserve"> PAGEREF _Toc355611555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_Toc355611556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 — Regulations applying to jetties controlled by the Department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Application of this Part</w:t>
      </w:r>
    </w:p>
    <w:p>
      <w:pPr>
        <w:pStyle w:val="TOC8"/>
        <w:rPr>
          <w:rFonts w:asciiTheme="minorHAnsi" w:eastAsiaTheme="minorEastAsia" w:hAnsiTheme="minorHAnsi" w:cstheme="minorBidi"/>
          <w:szCs w:val="22"/>
          <w:lang w:eastAsia="en-AU"/>
        </w:rPr>
      </w:pPr>
      <w:r>
        <w:t>3A</w:t>
      </w:r>
      <w:r>
        <w:rPr>
          <w:snapToGrid w:val="0"/>
        </w:rPr>
        <w:t>.</w:t>
      </w:r>
      <w:r>
        <w:rPr>
          <w:snapToGrid w:val="0"/>
        </w:rPr>
        <w:tab/>
        <w:t>Application</w:t>
      </w:r>
      <w:r>
        <w:tab/>
      </w:r>
      <w:r>
        <w:fldChar w:fldCharType="begin"/>
      </w:r>
      <w:r>
        <w:instrText xml:space="preserve"> PAGEREF _Toc355611559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Arrival and movement of vessels</w:t>
      </w:r>
    </w:p>
    <w:p>
      <w:pPr>
        <w:pStyle w:val="TOC8"/>
        <w:rPr>
          <w:rFonts w:asciiTheme="minorHAnsi" w:eastAsiaTheme="minorEastAsia" w:hAnsiTheme="minorHAnsi" w:cstheme="minorBidi"/>
          <w:szCs w:val="22"/>
          <w:lang w:eastAsia="en-AU"/>
        </w:rPr>
      </w:pPr>
      <w:r>
        <w:t>4</w:t>
      </w:r>
      <w:r>
        <w:rPr>
          <w:snapToGrid w:val="0"/>
        </w:rPr>
        <w:t>.</w:t>
      </w:r>
      <w:r>
        <w:rPr>
          <w:snapToGrid w:val="0"/>
        </w:rPr>
        <w:tab/>
        <w:t>Master or agent to report arrival</w:t>
      </w:r>
      <w:r>
        <w:tab/>
      </w:r>
      <w:r>
        <w:fldChar w:fldCharType="begin"/>
      </w:r>
      <w:r>
        <w:instrText xml:space="preserve"> PAGEREF _Toc355611561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Vessels to change berths</w:t>
      </w:r>
      <w:r>
        <w:tab/>
      </w:r>
      <w:r>
        <w:fldChar w:fldCharType="begin"/>
      </w:r>
      <w:r>
        <w:instrText xml:space="preserve"> PAGEREF _Toc355611562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Berthing dues</w:t>
      </w:r>
    </w:p>
    <w:p>
      <w:pPr>
        <w:pStyle w:val="TOC8"/>
        <w:rPr>
          <w:rFonts w:asciiTheme="minorHAnsi" w:eastAsiaTheme="minorEastAsia" w:hAnsiTheme="minorHAnsi" w:cstheme="minorBidi"/>
          <w:szCs w:val="22"/>
          <w:lang w:eastAsia="en-AU"/>
        </w:rPr>
      </w:pPr>
      <w:r>
        <w:t>6</w:t>
      </w:r>
      <w:r>
        <w:rPr>
          <w:snapToGrid w:val="0"/>
        </w:rPr>
        <w:t>.</w:t>
      </w:r>
      <w:r>
        <w:rPr>
          <w:snapToGrid w:val="0"/>
        </w:rPr>
        <w:tab/>
        <w:t>Berthing dues to be charged</w:t>
      </w:r>
      <w:r>
        <w:tab/>
      </w:r>
      <w:r>
        <w:fldChar w:fldCharType="begin"/>
      </w:r>
      <w:r>
        <w:instrText xml:space="preserve"> PAGEREF _Toc355611564 \h </w:instrText>
      </w:r>
      <w:r>
        <w:fldChar w:fldCharType="separate"/>
      </w:r>
      <w:r>
        <w:t>5</w:t>
      </w:r>
      <w:r>
        <w:fldChar w:fldCharType="end"/>
      </w:r>
    </w:p>
    <w:p>
      <w:pPr>
        <w:pStyle w:val="TOC8"/>
        <w:rPr>
          <w:rFonts w:asciiTheme="minorHAnsi" w:eastAsiaTheme="minorEastAsia" w:hAnsiTheme="minorHAnsi" w:cstheme="minorBidi"/>
          <w:szCs w:val="22"/>
          <w:lang w:eastAsia="en-AU"/>
        </w:rPr>
      </w:pPr>
      <w:r>
        <w:t>6A.</w:t>
      </w:r>
      <w:r>
        <w:tab/>
        <w:t>Requirement to pay berthing dues</w:t>
      </w:r>
      <w:r>
        <w:tab/>
      </w:r>
      <w:r>
        <w:fldChar w:fldCharType="begin"/>
      </w:r>
      <w:r>
        <w:instrText xml:space="preserve"> PAGEREF _Toc355611565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Computation of berthing dues</w:t>
      </w:r>
      <w:r>
        <w:tab/>
      </w:r>
      <w:r>
        <w:fldChar w:fldCharType="begin"/>
      </w:r>
      <w:r>
        <w:instrText xml:space="preserve"> PAGEREF _Toc355611566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Inwards manifests</w:t>
      </w:r>
      <w:r>
        <w:tab/>
      </w:r>
      <w:r>
        <w:fldChar w:fldCharType="begin"/>
      </w:r>
      <w:r>
        <w:instrText xml:space="preserve"> PAGEREF _Toc355611567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Outwards manifests</w:t>
      </w:r>
      <w:r>
        <w:tab/>
      </w:r>
      <w:r>
        <w:fldChar w:fldCharType="begin"/>
      </w:r>
      <w:r>
        <w:instrText xml:space="preserve"> PAGEREF _Toc355611568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Wharfage dues, handling and haulage charges</w:t>
      </w:r>
    </w:p>
    <w:p>
      <w:pPr>
        <w:pStyle w:val="TOC8"/>
        <w:rPr>
          <w:rFonts w:asciiTheme="minorHAnsi" w:eastAsiaTheme="minorEastAsia" w:hAnsiTheme="minorHAnsi" w:cstheme="minorBidi"/>
          <w:szCs w:val="22"/>
          <w:lang w:eastAsia="en-AU"/>
        </w:rPr>
      </w:pPr>
      <w:r>
        <w:t>10A</w:t>
      </w:r>
      <w:r>
        <w:rPr>
          <w:snapToGrid w:val="0"/>
        </w:rPr>
        <w:t>.</w:t>
      </w:r>
      <w:r>
        <w:rPr>
          <w:snapToGrid w:val="0"/>
        </w:rPr>
        <w:tab/>
        <w:t>Payment of dues and charges</w:t>
      </w:r>
      <w:r>
        <w:tab/>
      </w:r>
      <w:r>
        <w:fldChar w:fldCharType="begin"/>
      </w:r>
      <w:r>
        <w:instrText xml:space="preserve"> PAGEREF _Toc355611570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Charges for transhipment cargo</w:t>
      </w:r>
      <w:r>
        <w:tab/>
      </w:r>
      <w:r>
        <w:fldChar w:fldCharType="begin"/>
      </w:r>
      <w:r>
        <w:instrText xml:space="preserve"> PAGEREF _Toc355611571 \h </w:instrText>
      </w:r>
      <w:r>
        <w:fldChar w:fldCharType="separate"/>
      </w:r>
      <w:r>
        <w:t>7</w:t>
      </w:r>
      <w:r>
        <w:fldChar w:fldCharType="end"/>
      </w:r>
    </w:p>
    <w:p>
      <w:pPr>
        <w:pStyle w:val="TOC8"/>
        <w:rPr>
          <w:rFonts w:asciiTheme="minorHAnsi" w:eastAsiaTheme="minorEastAsia" w:hAnsiTheme="minorHAnsi" w:cstheme="minorBidi"/>
          <w:szCs w:val="22"/>
          <w:lang w:eastAsia="en-AU"/>
        </w:rPr>
      </w:pPr>
      <w:r>
        <w:t>11B</w:t>
      </w:r>
      <w:r>
        <w:rPr>
          <w:snapToGrid w:val="0"/>
        </w:rPr>
        <w:t>.</w:t>
      </w:r>
      <w:r>
        <w:rPr>
          <w:snapToGrid w:val="0"/>
        </w:rPr>
        <w:tab/>
        <w:t>Charges on vessels’ stores, including fuel oil</w:t>
      </w:r>
      <w:r>
        <w:tab/>
      </w:r>
      <w:r>
        <w:fldChar w:fldCharType="begin"/>
      </w:r>
      <w:r>
        <w:instrText xml:space="preserve"> PAGEREF _Toc355611572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Charges to be paid before delivery of cargo</w:t>
      </w:r>
      <w:r>
        <w:tab/>
      </w:r>
      <w:r>
        <w:fldChar w:fldCharType="begin"/>
      </w:r>
      <w:r>
        <w:instrText xml:space="preserve"> PAGEREF _Toc355611573 \h </w:instrText>
      </w:r>
      <w:r>
        <w:fldChar w:fldCharType="separate"/>
      </w:r>
      <w:r>
        <w:t>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Extra charges</w:t>
      </w:r>
      <w:r>
        <w:tab/>
      </w:r>
      <w:r>
        <w:fldChar w:fldCharType="begin"/>
      </w:r>
      <w:r>
        <w:instrText xml:space="preserve"> PAGEREF _Toc355611574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Handling of cargo</w:t>
      </w:r>
    </w:p>
    <w:p>
      <w:pPr>
        <w:pStyle w:val="TOC8"/>
        <w:rPr>
          <w:rFonts w:asciiTheme="minorHAnsi" w:eastAsiaTheme="minorEastAsia" w:hAnsiTheme="minorHAnsi" w:cstheme="minorBidi"/>
          <w:szCs w:val="22"/>
          <w:lang w:eastAsia="en-AU"/>
        </w:rPr>
      </w:pPr>
      <w:r>
        <w:t>14</w:t>
      </w:r>
      <w:r>
        <w:rPr>
          <w:snapToGrid w:val="0"/>
        </w:rPr>
        <w:t>.</w:t>
      </w:r>
      <w:r>
        <w:rPr>
          <w:snapToGrid w:val="0"/>
        </w:rPr>
        <w:tab/>
        <w:t>Cargo not to be placed on jetties or premises without authority</w:t>
      </w:r>
      <w:r>
        <w:tab/>
      </w:r>
      <w:r>
        <w:fldChar w:fldCharType="begin"/>
      </w:r>
      <w:r>
        <w:instrText xml:space="preserve"> PAGEREF _Toc355611576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Discharging of cargo may be stopped</w:t>
      </w:r>
      <w:r>
        <w:tab/>
      </w:r>
      <w:r>
        <w:fldChar w:fldCharType="begin"/>
      </w:r>
      <w:r>
        <w:instrText xml:space="preserve"> PAGEREF _Toc355611577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Goods not to be shifted without authority</w:t>
      </w:r>
      <w:r>
        <w:tab/>
      </w:r>
      <w:r>
        <w:fldChar w:fldCharType="begin"/>
      </w:r>
      <w:r>
        <w:instrText xml:space="preserve"> PAGEREF _Toc355611578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Bulk cargo not to be deposited without authority</w:t>
      </w:r>
      <w:r>
        <w:tab/>
      </w:r>
      <w:r>
        <w:fldChar w:fldCharType="begin"/>
      </w:r>
      <w:r>
        <w:instrText xml:space="preserve"> PAGEREF _Toc355611579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Outward cargo advice notes</w:t>
      </w:r>
      <w:r>
        <w:tab/>
      </w:r>
      <w:r>
        <w:fldChar w:fldCharType="begin"/>
      </w:r>
      <w:r>
        <w:instrText xml:space="preserve"> PAGEREF _Toc355611580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Outward cargo</w:t>
      </w:r>
      <w:r>
        <w:tab/>
      </w:r>
      <w:r>
        <w:fldChar w:fldCharType="begin"/>
      </w:r>
      <w:r>
        <w:instrText xml:space="preserve"> PAGEREF _Toc355611581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Dangerous cargo not to be shipped without permission</w:t>
      </w:r>
      <w:r>
        <w:tab/>
      </w:r>
      <w:r>
        <w:fldChar w:fldCharType="begin"/>
      </w:r>
      <w:r>
        <w:instrText xml:space="preserve"> PAGEREF _Toc355611582 \h </w:instrText>
      </w:r>
      <w:r>
        <w:fldChar w:fldCharType="separate"/>
      </w:r>
      <w:r>
        <w:t>11</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Dangerous cargo may be refused or examined</w:t>
      </w:r>
      <w:r>
        <w:tab/>
      </w:r>
      <w:r>
        <w:fldChar w:fldCharType="begin"/>
      </w:r>
      <w:r>
        <w:instrText xml:space="preserve"> PAGEREF _Toc355611583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Marking of heavy packages</w:t>
      </w:r>
      <w:r>
        <w:tab/>
      </w:r>
      <w:r>
        <w:fldChar w:fldCharType="begin"/>
      </w:r>
      <w:r>
        <w:instrText xml:space="preserve"> PAGEREF _Toc355611584 \h </w:instrText>
      </w:r>
      <w:r>
        <w:fldChar w:fldCharType="separate"/>
      </w:r>
      <w:r>
        <w:t>11</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False statements</w:t>
      </w:r>
      <w:r>
        <w:tab/>
      </w:r>
      <w:r>
        <w:fldChar w:fldCharType="begin"/>
      </w:r>
      <w:r>
        <w:instrText xml:space="preserve"> PAGEREF _Toc355611585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Receipt, delivery and storage of cargo</w:t>
      </w:r>
    </w:p>
    <w:p>
      <w:pPr>
        <w:pStyle w:val="TOC8"/>
        <w:rPr>
          <w:rFonts w:asciiTheme="minorHAnsi" w:eastAsiaTheme="minorEastAsia" w:hAnsiTheme="minorHAnsi" w:cstheme="minorBidi"/>
          <w:szCs w:val="22"/>
          <w:lang w:eastAsia="en-AU"/>
        </w:rPr>
      </w:pPr>
      <w:r>
        <w:t>24</w:t>
      </w:r>
      <w:r>
        <w:rPr>
          <w:snapToGrid w:val="0"/>
        </w:rPr>
        <w:t>.</w:t>
      </w:r>
      <w:r>
        <w:rPr>
          <w:snapToGrid w:val="0"/>
        </w:rPr>
        <w:tab/>
        <w:t>Removal of cargo</w:t>
      </w:r>
      <w:r>
        <w:tab/>
      </w:r>
      <w:r>
        <w:fldChar w:fldCharType="begin"/>
      </w:r>
      <w:r>
        <w:instrText xml:space="preserve"> PAGEREF _Toc355611587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Storage charges</w:t>
      </w:r>
      <w:r>
        <w:tab/>
      </w:r>
      <w:r>
        <w:fldChar w:fldCharType="begin"/>
      </w:r>
      <w:r>
        <w:instrText xml:space="preserve"> PAGEREF _Toc355611588 \h </w:instrText>
      </w:r>
      <w:r>
        <w:fldChar w:fldCharType="separate"/>
      </w:r>
      <w:r>
        <w:t>13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Department not bound to find storage accommodation</w:t>
      </w:r>
      <w:r>
        <w:tab/>
      </w:r>
      <w:r>
        <w:fldChar w:fldCharType="begin"/>
      </w:r>
      <w:r>
        <w:instrText xml:space="preserve"> PAGEREF _Toc355611589 \h </w:instrText>
      </w:r>
      <w:r>
        <w:fldChar w:fldCharType="separate"/>
      </w:r>
      <w:r>
        <w:t>14</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Goods may be disposed of</w:t>
      </w:r>
      <w:r>
        <w:tab/>
      </w:r>
      <w:r>
        <w:fldChar w:fldCharType="begin"/>
      </w:r>
      <w:r>
        <w:instrText xml:space="preserve"> PAGEREF _Toc355611590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Goods to be checked before delivery</w:t>
      </w:r>
      <w:r>
        <w:tab/>
      </w:r>
      <w:r>
        <w:fldChar w:fldCharType="begin"/>
      </w:r>
      <w:r>
        <w:instrText xml:space="preserve"> PAGEREF _Toc355611591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Delay in delivery</w:t>
      </w:r>
      <w:r>
        <w:tab/>
      </w:r>
      <w:r>
        <w:fldChar w:fldCharType="begin"/>
      </w:r>
      <w:r>
        <w:instrText xml:space="preserve"> PAGEREF _Toc355611592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Wrong delivery</w:t>
      </w:r>
      <w:r>
        <w:tab/>
      </w:r>
      <w:r>
        <w:fldChar w:fldCharType="begin"/>
      </w:r>
      <w:r>
        <w:instrText xml:space="preserve"> PAGEREF _Toc355611593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Responsibility of Department</w:t>
      </w:r>
    </w:p>
    <w:p>
      <w:pPr>
        <w:pStyle w:val="TOC8"/>
        <w:rPr>
          <w:rFonts w:asciiTheme="minorHAnsi" w:eastAsiaTheme="minorEastAsia" w:hAnsiTheme="minorHAnsi" w:cstheme="minorBidi"/>
          <w:szCs w:val="22"/>
          <w:lang w:eastAsia="en-AU"/>
        </w:rPr>
      </w:pPr>
      <w:r>
        <w:t>31</w:t>
      </w:r>
      <w:r>
        <w:rPr>
          <w:snapToGrid w:val="0"/>
        </w:rPr>
        <w:t>.</w:t>
      </w:r>
      <w:r>
        <w:rPr>
          <w:snapToGrid w:val="0"/>
        </w:rPr>
        <w:tab/>
        <w:t>Custody of cargo</w:t>
      </w:r>
      <w:r>
        <w:tab/>
      </w:r>
      <w:r>
        <w:fldChar w:fldCharType="begin"/>
      </w:r>
      <w:r>
        <w:instrText xml:space="preserve"> PAGEREF _Toc355611595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Goods without receipts</w:t>
      </w:r>
      <w:r>
        <w:tab/>
      </w:r>
      <w:r>
        <w:fldChar w:fldCharType="begin"/>
      </w:r>
      <w:r>
        <w:instrText xml:space="preserve"> PAGEREF _Toc355611596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Goods stacked on jetties</w:t>
      </w:r>
      <w:r>
        <w:tab/>
      </w:r>
      <w:r>
        <w:fldChar w:fldCharType="begin"/>
      </w:r>
      <w:r>
        <w:instrText xml:space="preserve"> PAGEREF _Toc355611597 \h </w:instrText>
      </w:r>
      <w:r>
        <w:fldChar w:fldCharType="separate"/>
      </w:r>
      <w:r>
        <w:t>16</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Cargo damaged by fire etc.</w:t>
      </w:r>
      <w:r>
        <w:tab/>
      </w:r>
      <w:r>
        <w:fldChar w:fldCharType="begin"/>
      </w:r>
      <w:r>
        <w:instrText xml:space="preserve"> PAGEREF _Toc355611598 \h </w:instrText>
      </w:r>
      <w:r>
        <w:fldChar w:fldCharType="separate"/>
      </w:r>
      <w:r>
        <w:t>17</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Goods insufficiently packed</w:t>
      </w:r>
      <w:r>
        <w:tab/>
      </w:r>
      <w:r>
        <w:fldChar w:fldCharType="begin"/>
      </w:r>
      <w:r>
        <w:instrText xml:space="preserve"> PAGEREF _Toc355611599 \h </w:instrText>
      </w:r>
      <w:r>
        <w:fldChar w:fldCharType="separate"/>
      </w:r>
      <w:r>
        <w:t>17</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Claims in respect of cargo</w:t>
      </w:r>
      <w:r>
        <w:tab/>
      </w:r>
      <w:r>
        <w:fldChar w:fldCharType="begin"/>
      </w:r>
      <w:r>
        <w:instrText xml:space="preserve"> PAGEREF _Toc355611600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Working hours</w:t>
      </w:r>
    </w:p>
    <w:p>
      <w:pPr>
        <w:pStyle w:val="TOC8"/>
        <w:rPr>
          <w:rFonts w:asciiTheme="minorHAnsi" w:eastAsiaTheme="minorEastAsia" w:hAnsiTheme="minorHAnsi" w:cstheme="minorBidi"/>
          <w:szCs w:val="22"/>
          <w:lang w:eastAsia="en-AU"/>
        </w:rPr>
      </w:pPr>
      <w:r>
        <w:t>37</w:t>
      </w:r>
      <w:r>
        <w:rPr>
          <w:snapToGrid w:val="0"/>
        </w:rPr>
        <w:t>.</w:t>
      </w:r>
      <w:r>
        <w:rPr>
          <w:snapToGrid w:val="0"/>
        </w:rPr>
        <w:tab/>
        <w:t>Ordinary time</w:t>
      </w:r>
      <w:r>
        <w:tab/>
      </w:r>
      <w:r>
        <w:fldChar w:fldCharType="begin"/>
      </w:r>
      <w:r>
        <w:instrText xml:space="preserve"> PAGEREF _Toc355611602 \h </w:instrText>
      </w:r>
      <w:r>
        <w:fldChar w:fldCharType="separate"/>
      </w:r>
      <w:r>
        <w:t>18</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Overtime</w:t>
      </w:r>
      <w:r>
        <w:tab/>
      </w:r>
      <w:r>
        <w:fldChar w:fldCharType="begin"/>
      </w:r>
      <w:r>
        <w:instrText xml:space="preserve"> PAGEREF _Toc355611603 \h </w:instrText>
      </w:r>
      <w:r>
        <w:fldChar w:fldCharType="separate"/>
      </w:r>
      <w:r>
        <w:t>18</w:t>
      </w:r>
      <w:r>
        <w:fldChar w:fldCharType="end"/>
      </w:r>
    </w:p>
    <w:p>
      <w:pPr>
        <w:pStyle w:val="TOC8"/>
        <w:rPr>
          <w:rFonts w:asciiTheme="minorHAnsi" w:eastAsiaTheme="minorEastAsia" w:hAnsiTheme="minorHAnsi" w:cstheme="minorBidi"/>
          <w:szCs w:val="22"/>
          <w:lang w:eastAsia="en-AU"/>
        </w:rPr>
      </w:pPr>
      <w:r>
        <w:t>38A</w:t>
      </w:r>
      <w:r>
        <w:rPr>
          <w:snapToGrid w:val="0"/>
        </w:rPr>
        <w:t>.</w:t>
      </w:r>
      <w:r>
        <w:rPr>
          <w:snapToGrid w:val="0"/>
        </w:rPr>
        <w:tab/>
        <w:t>Wages incurred through ships’ delays to be paid for</w:t>
      </w:r>
      <w:r>
        <w:tab/>
      </w:r>
      <w:r>
        <w:fldChar w:fldCharType="begin"/>
      </w:r>
      <w:r>
        <w:instrText xml:space="preserve"> PAGEREF _Toc355611604 \h </w:instrText>
      </w:r>
      <w:r>
        <w:fldChar w:fldCharType="separate"/>
      </w:r>
      <w:r>
        <w:t>18</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Master to give notice of desire to work</w:t>
      </w:r>
      <w:r>
        <w:tab/>
      </w:r>
      <w:r>
        <w:fldChar w:fldCharType="begin"/>
      </w:r>
      <w:r>
        <w:instrText xml:space="preserve"> PAGEREF _Toc355611605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w:t>
      </w:r>
      <w:r>
        <w:rPr>
          <w:snapToGrid w:val="0"/>
        </w:rPr>
        <w:t> — </w:t>
      </w:r>
      <w:r>
        <w:t>Livestock or vehicles on jetties or premises</w:t>
      </w:r>
    </w:p>
    <w:p>
      <w:pPr>
        <w:pStyle w:val="TOC8"/>
        <w:rPr>
          <w:rFonts w:asciiTheme="minorHAnsi" w:eastAsiaTheme="minorEastAsia" w:hAnsiTheme="minorHAnsi" w:cstheme="minorBidi"/>
          <w:szCs w:val="22"/>
          <w:lang w:eastAsia="en-AU"/>
        </w:rPr>
      </w:pPr>
      <w:r>
        <w:t>40</w:t>
      </w:r>
      <w:r>
        <w:rPr>
          <w:snapToGrid w:val="0"/>
        </w:rPr>
        <w:t>.</w:t>
      </w:r>
      <w:r>
        <w:rPr>
          <w:snapToGrid w:val="0"/>
        </w:rPr>
        <w:tab/>
        <w:t>Livestock on jetties or premises</w:t>
      </w:r>
      <w:r>
        <w:tab/>
      </w:r>
      <w:r>
        <w:fldChar w:fldCharType="begin"/>
      </w:r>
      <w:r>
        <w:instrText xml:space="preserve"> PAGEREF _Toc355611607 \h </w:instrText>
      </w:r>
      <w:r>
        <w:fldChar w:fldCharType="separate"/>
      </w:r>
      <w:r>
        <w:t>19</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Riding vehicles etc. on jetties or premises</w:t>
      </w:r>
      <w:r>
        <w:tab/>
      </w:r>
      <w:r>
        <w:fldChar w:fldCharType="begin"/>
      </w:r>
      <w:r>
        <w:instrText xml:space="preserve"> PAGEREF _Toc355611608 \h </w:instrText>
      </w:r>
      <w:r>
        <w:fldChar w:fldCharType="separate"/>
      </w:r>
      <w:r>
        <w:t>19</w:t>
      </w:r>
      <w:r>
        <w:fldChar w:fldCharType="end"/>
      </w:r>
    </w:p>
    <w:p>
      <w:pPr>
        <w:pStyle w:val="TOC8"/>
        <w:rPr>
          <w:rFonts w:asciiTheme="minorHAnsi" w:eastAsiaTheme="minorEastAsia" w:hAnsiTheme="minorHAnsi" w:cstheme="minorBidi"/>
          <w:szCs w:val="22"/>
          <w:lang w:eastAsia="en-AU"/>
        </w:rPr>
      </w:pPr>
      <w:r>
        <w:t>41A</w:t>
      </w:r>
      <w:r>
        <w:rPr>
          <w:snapToGrid w:val="0"/>
        </w:rPr>
        <w:t>.</w:t>
      </w:r>
      <w:r>
        <w:rPr>
          <w:snapToGrid w:val="0"/>
        </w:rPr>
        <w:tab/>
        <w:t>Vehicles not to be parked on jetties</w:t>
      </w:r>
      <w:r>
        <w:tab/>
      </w:r>
      <w:r>
        <w:fldChar w:fldCharType="begin"/>
      </w:r>
      <w:r>
        <w:instrText xml:space="preserve"> PAGEREF _Toc355611609 \h </w:instrText>
      </w:r>
      <w:r>
        <w:fldChar w:fldCharType="separate"/>
      </w:r>
      <w:r>
        <w:t>19</w:t>
      </w:r>
      <w:r>
        <w:fldChar w:fldCharType="end"/>
      </w:r>
    </w:p>
    <w:p>
      <w:pPr>
        <w:pStyle w:val="TOC8"/>
        <w:rPr>
          <w:rFonts w:asciiTheme="minorHAnsi" w:eastAsiaTheme="minorEastAsia" w:hAnsiTheme="minorHAnsi" w:cstheme="minorBidi"/>
          <w:szCs w:val="22"/>
          <w:lang w:eastAsia="en-AU"/>
        </w:rPr>
      </w:pPr>
      <w:r>
        <w:t>41B</w:t>
      </w:r>
      <w:r>
        <w:rPr>
          <w:snapToGrid w:val="0"/>
        </w:rPr>
        <w:t>.</w:t>
      </w:r>
      <w:r>
        <w:rPr>
          <w:snapToGrid w:val="0"/>
        </w:rPr>
        <w:tab/>
        <w:t>Department not responsible for vehicles on jetties</w:t>
      </w:r>
      <w:r>
        <w:tab/>
      </w:r>
      <w:r>
        <w:fldChar w:fldCharType="begin"/>
      </w:r>
      <w:r>
        <w:instrText xml:space="preserve"> PAGEREF _Toc355611610 \h </w:instrText>
      </w:r>
      <w:r>
        <w:fldChar w:fldCharType="separate"/>
      </w:r>
      <w:r>
        <w:t>20</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Drivers of vehicles to obey instructions</w:t>
      </w:r>
      <w:r>
        <w:tab/>
      </w:r>
      <w:r>
        <w:fldChar w:fldCharType="begin"/>
      </w:r>
      <w:r>
        <w:instrText xml:space="preserve"> PAGEREF _Toc355611611 \h </w:instrText>
      </w:r>
      <w:r>
        <w:fldChar w:fldCharType="separate"/>
      </w:r>
      <w:r>
        <w:t>20</w:t>
      </w:r>
      <w:r>
        <w:fldChar w:fldCharType="end"/>
      </w:r>
    </w:p>
    <w:p>
      <w:pPr>
        <w:pStyle w:val="TOC8"/>
        <w:rPr>
          <w:rFonts w:asciiTheme="minorHAnsi" w:eastAsiaTheme="minorEastAsia" w:hAnsiTheme="minorHAnsi" w:cstheme="minorBidi"/>
          <w:szCs w:val="22"/>
          <w:lang w:eastAsia="en-AU"/>
        </w:rPr>
      </w:pPr>
      <w:r>
        <w:t>42A.</w:t>
      </w:r>
      <w:r>
        <w:tab/>
        <w:t>Fees for vehicular use of jetty</w:t>
      </w:r>
      <w:r>
        <w:tab/>
      </w:r>
      <w:r>
        <w:fldChar w:fldCharType="begin"/>
      </w:r>
      <w:r>
        <w:instrText xml:space="preserve"> PAGEREF _Toc355611612 \h </w:instrText>
      </w:r>
      <w:r>
        <w:fldChar w:fldCharType="separate"/>
      </w:r>
      <w:r>
        <w:t>20</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Persons not to be on jetties when livestock is being handled</w:t>
      </w:r>
      <w:r>
        <w:tab/>
      </w:r>
      <w:r>
        <w:fldChar w:fldCharType="begin"/>
      </w:r>
      <w:r>
        <w:instrText xml:space="preserve"> PAGEREF _Toc355611613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10</w:t>
      </w:r>
      <w:r>
        <w:rPr>
          <w:snapToGrid w:val="0"/>
        </w:rPr>
        <w:t> — </w:t>
      </w:r>
      <w:r>
        <w:t>Miscellaneous</w:t>
      </w:r>
    </w:p>
    <w:p>
      <w:pPr>
        <w:pStyle w:val="TOC8"/>
        <w:rPr>
          <w:rFonts w:asciiTheme="minorHAnsi" w:eastAsiaTheme="minorEastAsia" w:hAnsiTheme="minorHAnsi" w:cstheme="minorBidi"/>
          <w:szCs w:val="22"/>
          <w:lang w:eastAsia="en-AU"/>
        </w:rPr>
      </w:pPr>
      <w:r>
        <w:t>44</w:t>
      </w:r>
      <w:r>
        <w:rPr>
          <w:snapToGrid w:val="0"/>
        </w:rPr>
        <w:t>.</w:t>
      </w:r>
      <w:r>
        <w:rPr>
          <w:snapToGrid w:val="0"/>
        </w:rPr>
        <w:tab/>
        <w:t>Bill posting, defacement and obscenity</w:t>
      </w:r>
      <w:r>
        <w:tab/>
      </w:r>
      <w:r>
        <w:fldChar w:fldCharType="begin"/>
      </w:r>
      <w:r>
        <w:instrText xml:space="preserve"> PAGEREF _Toc355611615 \h </w:instrText>
      </w:r>
      <w:r>
        <w:fldChar w:fldCharType="separate"/>
      </w:r>
      <w:r>
        <w:t>21</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Disorderly persons</w:t>
      </w:r>
      <w:r>
        <w:tab/>
      </w:r>
      <w:r>
        <w:fldChar w:fldCharType="begin"/>
      </w:r>
      <w:r>
        <w:instrText xml:space="preserve"> PAGEREF _Toc355611616 \h </w:instrText>
      </w:r>
      <w:r>
        <w:fldChar w:fldCharType="separate"/>
      </w:r>
      <w:r>
        <w:t>21</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Fires not to be lit</w:t>
      </w:r>
      <w:r>
        <w:tab/>
      </w:r>
      <w:r>
        <w:fldChar w:fldCharType="begin"/>
      </w:r>
      <w:r>
        <w:instrText xml:space="preserve"> PAGEREF _Toc355611617 \h </w:instrText>
      </w:r>
      <w:r>
        <w:fldChar w:fldCharType="separate"/>
      </w:r>
      <w:r>
        <w:t>22</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Gates to be shut</w:t>
      </w:r>
      <w:r>
        <w:tab/>
      </w:r>
      <w:r>
        <w:fldChar w:fldCharType="begin"/>
      </w:r>
      <w:r>
        <w:instrText xml:space="preserve"> PAGEREF _Toc355611618 \h </w:instrText>
      </w:r>
      <w:r>
        <w:fldChar w:fldCharType="separate"/>
      </w:r>
      <w:r>
        <w:t>22</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Interference with lights</w:t>
      </w:r>
      <w:r>
        <w:tab/>
      </w:r>
      <w:r>
        <w:fldChar w:fldCharType="begin"/>
      </w:r>
      <w:r>
        <w:instrText xml:space="preserve"> PAGEREF _Toc355611619 \h </w:instrText>
      </w:r>
      <w:r>
        <w:fldChar w:fldCharType="separate"/>
      </w:r>
      <w:r>
        <w:t>22</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Interference with or damaging property</w:t>
      </w:r>
      <w:r>
        <w:tab/>
      </w:r>
      <w:r>
        <w:fldChar w:fldCharType="begin"/>
      </w:r>
      <w:r>
        <w:instrText xml:space="preserve"> PAGEREF _Toc355611620 \h </w:instrText>
      </w:r>
      <w:r>
        <w:fldChar w:fldCharType="separate"/>
      </w:r>
      <w:r>
        <w:t>22</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Lost property</w:t>
      </w:r>
      <w:r>
        <w:tab/>
      </w:r>
      <w:r>
        <w:fldChar w:fldCharType="begin"/>
      </w:r>
      <w:r>
        <w:instrText xml:space="preserve"> PAGEREF _Toc355611621 \h </w:instrText>
      </w:r>
      <w:r>
        <w:fldChar w:fldCharType="separate"/>
      </w:r>
      <w:r>
        <w:t>23</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Obstruction of officers, or premises</w:t>
      </w:r>
      <w:r>
        <w:tab/>
      </w:r>
      <w:r>
        <w:fldChar w:fldCharType="begin"/>
      </w:r>
      <w:r>
        <w:instrText xml:space="preserve"> PAGEREF _Toc355611622 \h </w:instrText>
      </w:r>
      <w:r>
        <w:fldChar w:fldCharType="separate"/>
      </w:r>
      <w:r>
        <w:t>23</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Obstruction of or damage to jetties or premises</w:t>
      </w:r>
      <w:r>
        <w:tab/>
      </w:r>
      <w:r>
        <w:fldChar w:fldCharType="begin"/>
      </w:r>
      <w:r>
        <w:instrText xml:space="preserve"> PAGEREF _Toc355611623 \h </w:instrText>
      </w:r>
      <w:r>
        <w:fldChar w:fldCharType="separate"/>
      </w:r>
      <w:r>
        <w:t>24</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Rubbish etc. not to be thrown</w:t>
      </w:r>
      <w:r>
        <w:tab/>
      </w:r>
      <w:r>
        <w:fldChar w:fldCharType="begin"/>
      </w:r>
      <w:r>
        <w:instrText xml:space="preserve"> PAGEREF _Toc355611624 \h </w:instrText>
      </w:r>
      <w:r>
        <w:fldChar w:fldCharType="separate"/>
      </w:r>
      <w:r>
        <w:t>24</w:t>
      </w:r>
      <w:r>
        <w:fldChar w:fldCharType="end"/>
      </w:r>
    </w:p>
    <w:p>
      <w:pPr>
        <w:pStyle w:val="TOC8"/>
        <w:rPr>
          <w:rFonts w:asciiTheme="minorHAnsi" w:eastAsiaTheme="minorEastAsia" w:hAnsiTheme="minorHAnsi" w:cstheme="minorBidi"/>
          <w:szCs w:val="22"/>
          <w:lang w:eastAsia="en-AU"/>
        </w:rPr>
      </w:pPr>
      <w:r>
        <w:t>53A.</w:t>
      </w:r>
      <w:r>
        <w:tab/>
        <w:t>Fees for rubbish removal</w:t>
      </w:r>
      <w:r>
        <w:tab/>
      </w:r>
      <w:r>
        <w:fldChar w:fldCharType="begin"/>
      </w:r>
      <w:r>
        <w:instrText xml:space="preserve"> PAGEREF _Toc355611625 \h </w:instrText>
      </w:r>
      <w:r>
        <w:fldChar w:fldCharType="separate"/>
      </w:r>
      <w:r>
        <w:t>25</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Sale of articles prohibited</w:t>
      </w:r>
      <w:r>
        <w:tab/>
      </w:r>
      <w:r>
        <w:fldChar w:fldCharType="begin"/>
      </w:r>
      <w:r>
        <w:instrText xml:space="preserve"> PAGEREF _Toc355611626 \h </w:instrText>
      </w:r>
      <w:r>
        <w:fldChar w:fldCharType="separate"/>
      </w:r>
      <w:r>
        <w:t>25</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Smoking and loitering</w:t>
      </w:r>
      <w:r>
        <w:tab/>
      </w:r>
      <w:r>
        <w:fldChar w:fldCharType="begin"/>
      </w:r>
      <w:r>
        <w:instrText xml:space="preserve"> PAGEREF _Toc355611627 \h </w:instrText>
      </w:r>
      <w:r>
        <w:fldChar w:fldCharType="separate"/>
      </w:r>
      <w:r>
        <w:t>25</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Trespassing</w:t>
      </w:r>
      <w:r>
        <w:tab/>
      </w:r>
      <w:r>
        <w:fldChar w:fldCharType="begin"/>
      </w:r>
      <w:r>
        <w:instrText xml:space="preserve"> PAGEREF _Toc355611628 \h </w:instrText>
      </w:r>
      <w:r>
        <w:fldChar w:fldCharType="separate"/>
      </w:r>
      <w:r>
        <w:t>25</w:t>
      </w:r>
      <w:r>
        <w:fldChar w:fldCharType="end"/>
      </w:r>
    </w:p>
    <w:p>
      <w:pPr>
        <w:pStyle w:val="TOC8"/>
        <w:rPr>
          <w:rFonts w:asciiTheme="minorHAnsi" w:eastAsiaTheme="minorEastAsia" w:hAnsiTheme="minorHAnsi" w:cstheme="minorBidi"/>
          <w:szCs w:val="22"/>
          <w:lang w:eastAsia="en-AU"/>
        </w:rPr>
      </w:pPr>
      <w:r>
        <w:t>67A</w:t>
      </w:r>
      <w:r>
        <w:rPr>
          <w:snapToGrid w:val="0"/>
        </w:rPr>
        <w:t>.</w:t>
      </w:r>
      <w:r>
        <w:rPr>
          <w:snapToGrid w:val="0"/>
        </w:rPr>
        <w:tab/>
        <w:t>Conditions for construction and installation of pipelines</w:t>
      </w:r>
      <w:r>
        <w:tab/>
      </w:r>
      <w:r>
        <w:fldChar w:fldCharType="begin"/>
      </w:r>
      <w:r>
        <w:instrText xml:space="preserve"> PAGEREF _Toc355611629 \h </w:instrText>
      </w:r>
      <w:r>
        <w:fldChar w:fldCharType="separate"/>
      </w:r>
      <w:r>
        <w:t>26</w:t>
      </w:r>
      <w:r>
        <w:fldChar w:fldCharType="end"/>
      </w:r>
    </w:p>
    <w:p>
      <w:pPr>
        <w:pStyle w:val="TOC8"/>
        <w:rPr>
          <w:rFonts w:asciiTheme="minorHAnsi" w:eastAsiaTheme="minorEastAsia" w:hAnsiTheme="minorHAnsi" w:cstheme="minorBidi"/>
          <w:szCs w:val="22"/>
          <w:lang w:eastAsia="en-AU"/>
        </w:rPr>
      </w:pPr>
      <w:r>
        <w:t>67B</w:t>
      </w:r>
      <w:r>
        <w:rPr>
          <w:snapToGrid w:val="0"/>
        </w:rPr>
        <w:t>.</w:t>
      </w:r>
      <w:r>
        <w:rPr>
          <w:snapToGrid w:val="0"/>
        </w:rPr>
        <w:tab/>
        <w:t>Maintenance and operation of pipelines</w:t>
      </w:r>
      <w:r>
        <w:tab/>
      </w:r>
      <w:r>
        <w:fldChar w:fldCharType="begin"/>
      </w:r>
      <w:r>
        <w:instrText xml:space="preserve"> PAGEREF _Toc355611630 \h </w:instrText>
      </w:r>
      <w:r>
        <w:fldChar w:fldCharType="separate"/>
      </w:r>
      <w:r>
        <w:t>29</w:t>
      </w:r>
      <w:r>
        <w:fldChar w:fldCharType="end"/>
      </w:r>
    </w:p>
    <w:p>
      <w:pPr>
        <w:pStyle w:val="TOC8"/>
        <w:rPr>
          <w:rFonts w:asciiTheme="minorHAnsi" w:eastAsiaTheme="minorEastAsia" w:hAnsiTheme="minorHAnsi" w:cstheme="minorBidi"/>
          <w:szCs w:val="22"/>
          <w:lang w:eastAsia="en-AU"/>
        </w:rPr>
      </w:pPr>
      <w:r>
        <w:t>67D</w:t>
      </w:r>
      <w:r>
        <w:rPr>
          <w:snapToGrid w:val="0"/>
        </w:rPr>
        <w:t>.</w:t>
      </w:r>
      <w:r>
        <w:rPr>
          <w:snapToGrid w:val="0"/>
        </w:rPr>
        <w:tab/>
        <w:t>Penalty for failure to remove or amend pipeline</w:t>
      </w:r>
      <w:r>
        <w:tab/>
      </w:r>
      <w:r>
        <w:fldChar w:fldCharType="begin"/>
      </w:r>
      <w:r>
        <w:instrText xml:space="preserve"> PAGEREF _Toc355611631 \h </w:instrText>
      </w:r>
      <w:r>
        <w:fldChar w:fldCharType="separate"/>
      </w:r>
      <w:r>
        <w:t>35</w:t>
      </w:r>
      <w:r>
        <w:fldChar w:fldCharType="end"/>
      </w:r>
    </w:p>
    <w:p>
      <w:pPr>
        <w:pStyle w:val="TOC8"/>
        <w:rPr>
          <w:rFonts w:asciiTheme="minorHAnsi" w:eastAsiaTheme="minorEastAsia" w:hAnsiTheme="minorHAnsi" w:cstheme="minorBidi"/>
          <w:szCs w:val="22"/>
          <w:lang w:eastAsia="en-AU"/>
        </w:rPr>
      </w:pPr>
      <w:r>
        <w:t>67DA.</w:t>
      </w:r>
      <w:r>
        <w:tab/>
        <w:t>Fuelling vessels at service jetties limited</w:t>
      </w:r>
      <w:r>
        <w:tab/>
      </w:r>
      <w:r>
        <w:fldChar w:fldCharType="begin"/>
      </w:r>
      <w:r>
        <w:instrText xml:space="preserve"> PAGEREF _Toc355611632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Regulations applying to jetties within the Port of Perth</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Application of this Part</w:t>
      </w:r>
    </w:p>
    <w:p>
      <w:pPr>
        <w:pStyle w:val="TOC8"/>
        <w:rPr>
          <w:rFonts w:asciiTheme="minorHAnsi" w:eastAsiaTheme="minorEastAsia" w:hAnsiTheme="minorHAnsi" w:cstheme="minorBidi"/>
          <w:szCs w:val="22"/>
          <w:lang w:eastAsia="en-AU"/>
        </w:rPr>
      </w:pPr>
      <w:r>
        <w:t>67E</w:t>
      </w:r>
      <w:r>
        <w:rPr>
          <w:snapToGrid w:val="0"/>
        </w:rPr>
        <w:t>.</w:t>
      </w:r>
      <w:r>
        <w:rPr>
          <w:snapToGrid w:val="0"/>
        </w:rPr>
        <w:tab/>
        <w:t>Application</w:t>
      </w:r>
      <w:r>
        <w:tab/>
      </w:r>
      <w:r>
        <w:fldChar w:fldCharType="begin"/>
      </w:r>
      <w:r>
        <w:instrText xml:space="preserve"> PAGEREF _Toc355611635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Management and use of jetties</w:t>
      </w:r>
    </w:p>
    <w:p>
      <w:pPr>
        <w:pStyle w:val="TOC8"/>
        <w:rPr>
          <w:rFonts w:asciiTheme="minorHAnsi" w:eastAsiaTheme="minorEastAsia" w:hAnsiTheme="minorHAnsi" w:cstheme="minorBidi"/>
          <w:szCs w:val="22"/>
          <w:lang w:eastAsia="en-AU"/>
        </w:rPr>
      </w:pPr>
      <w:r>
        <w:t>68</w:t>
      </w:r>
      <w:r>
        <w:rPr>
          <w:snapToGrid w:val="0"/>
        </w:rPr>
        <w:t>.</w:t>
      </w:r>
      <w:r>
        <w:rPr>
          <w:snapToGrid w:val="0"/>
        </w:rPr>
        <w:tab/>
        <w:t>Control of jetties</w:t>
      </w:r>
      <w:r>
        <w:tab/>
      </w:r>
      <w:r>
        <w:fldChar w:fldCharType="begin"/>
      </w:r>
      <w:r>
        <w:instrText xml:space="preserve"> PAGEREF _Toc355611637 \h </w:instrText>
      </w:r>
      <w:r>
        <w:fldChar w:fldCharType="separate"/>
      </w:r>
      <w:r>
        <w:t>36</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Use of jetties</w:t>
      </w:r>
      <w:r>
        <w:tab/>
      </w:r>
      <w:r>
        <w:fldChar w:fldCharType="begin"/>
      </w:r>
      <w:r>
        <w:instrText xml:space="preserve"> PAGEREF _Toc355611638 \h </w:instrText>
      </w:r>
      <w:r>
        <w:fldChar w:fldCharType="separate"/>
      </w:r>
      <w:r>
        <w:t>36</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Jetties may be closed</w:t>
      </w:r>
      <w:r>
        <w:tab/>
      </w:r>
      <w:r>
        <w:fldChar w:fldCharType="begin"/>
      </w:r>
      <w:r>
        <w:instrText xml:space="preserve"> PAGEREF _Toc355611639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Mooring and berthing of vessels</w:t>
      </w:r>
    </w:p>
    <w:p>
      <w:pPr>
        <w:pStyle w:val="TOC8"/>
        <w:rPr>
          <w:rFonts w:asciiTheme="minorHAnsi" w:eastAsiaTheme="minorEastAsia" w:hAnsiTheme="minorHAnsi" w:cstheme="minorBidi"/>
          <w:szCs w:val="22"/>
          <w:lang w:eastAsia="en-AU"/>
        </w:rPr>
      </w:pPr>
      <w:r>
        <w:t>71</w:t>
      </w:r>
      <w:r>
        <w:rPr>
          <w:snapToGrid w:val="0"/>
        </w:rPr>
        <w:t>.</w:t>
      </w:r>
      <w:r>
        <w:rPr>
          <w:snapToGrid w:val="0"/>
        </w:rPr>
        <w:tab/>
        <w:t>Permit required to moor etc. alongside jetty or buoy</w:t>
      </w:r>
      <w:r>
        <w:tab/>
      </w:r>
      <w:r>
        <w:fldChar w:fldCharType="begin"/>
      </w:r>
      <w:r>
        <w:instrText xml:space="preserve"> PAGEREF _Toc355611641 \h </w:instrText>
      </w:r>
      <w:r>
        <w:fldChar w:fldCharType="separate"/>
      </w:r>
      <w:r>
        <w:t>37</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Duration of, and charges for, permits</w:t>
      </w:r>
      <w:r>
        <w:tab/>
      </w:r>
      <w:r>
        <w:fldChar w:fldCharType="begin"/>
      </w:r>
      <w:r>
        <w:instrText xml:space="preserve"> PAGEREF _Toc355611642 \h </w:instrText>
      </w:r>
      <w:r>
        <w:fldChar w:fldCharType="separate"/>
      </w:r>
      <w:r>
        <w:t>37</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Permit for exclusive use of a berth</w:t>
      </w:r>
      <w:r>
        <w:tab/>
      </w:r>
      <w:r>
        <w:fldChar w:fldCharType="begin"/>
      </w:r>
      <w:r>
        <w:instrText xml:space="preserve"> PAGEREF _Toc355611643 \h </w:instrText>
      </w:r>
      <w:r>
        <w:fldChar w:fldCharType="separate"/>
      </w:r>
      <w:r>
        <w:t>38</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Manner of mooring vessels</w:t>
      </w:r>
      <w:r>
        <w:tab/>
      </w:r>
      <w:r>
        <w:fldChar w:fldCharType="begin"/>
      </w:r>
      <w:r>
        <w:instrText xml:space="preserve"> PAGEREF _Toc355611644 \h </w:instrText>
      </w:r>
      <w:r>
        <w:fldChar w:fldCharType="separate"/>
      </w:r>
      <w:r>
        <w:t>39</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Vessels not to remain at jetties longer than necessary</w:t>
      </w:r>
      <w:r>
        <w:tab/>
      </w:r>
      <w:r>
        <w:fldChar w:fldCharType="begin"/>
      </w:r>
      <w:r>
        <w:instrText xml:space="preserve"> PAGEREF _Toc355611645 \h </w:instrText>
      </w:r>
      <w:r>
        <w:fldChar w:fldCharType="separate"/>
      </w:r>
      <w:r>
        <w:t>40</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Mooring of rafts and boathouses</w:t>
      </w:r>
      <w:r>
        <w:tab/>
      </w:r>
      <w:r>
        <w:fldChar w:fldCharType="begin"/>
      </w:r>
      <w:r>
        <w:instrText xml:space="preserve"> PAGEREF _Toc355611646 \h </w:instrText>
      </w:r>
      <w:r>
        <w:fldChar w:fldCharType="separate"/>
      </w:r>
      <w:r>
        <w:t>40</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Vessels to be in charge of a competent person</w:t>
      </w:r>
      <w:r>
        <w:tab/>
      </w:r>
      <w:r>
        <w:fldChar w:fldCharType="begin"/>
      </w:r>
      <w:r>
        <w:instrText xml:space="preserve"> PAGEREF _Toc355611647 \h </w:instrText>
      </w:r>
      <w:r>
        <w:fldChar w:fldCharType="separate"/>
      </w:r>
      <w:r>
        <w:t>40</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Approaching jetties after sunset</w:t>
      </w:r>
      <w:r>
        <w:tab/>
      </w:r>
      <w:r>
        <w:fldChar w:fldCharType="begin"/>
      </w:r>
      <w:r>
        <w:instrText xml:space="preserve"> PAGEREF _Toc355611648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Loading or discharging cargo</w:t>
      </w:r>
    </w:p>
    <w:p>
      <w:pPr>
        <w:pStyle w:val="TOC8"/>
        <w:rPr>
          <w:rFonts w:asciiTheme="minorHAnsi" w:eastAsiaTheme="minorEastAsia" w:hAnsiTheme="minorHAnsi" w:cstheme="minorBidi"/>
          <w:szCs w:val="22"/>
          <w:lang w:eastAsia="en-AU"/>
        </w:rPr>
      </w:pPr>
      <w:r>
        <w:t>80</w:t>
      </w:r>
      <w:r>
        <w:rPr>
          <w:snapToGrid w:val="0"/>
        </w:rPr>
        <w:t>.</w:t>
      </w:r>
      <w:r>
        <w:rPr>
          <w:snapToGrid w:val="0"/>
        </w:rPr>
        <w:tab/>
        <w:t>Vessels loading or discharging</w:t>
      </w:r>
      <w:r>
        <w:tab/>
      </w:r>
      <w:r>
        <w:fldChar w:fldCharType="begin"/>
      </w:r>
      <w:r>
        <w:instrText xml:space="preserve"> PAGEREF _Toc355611650 \h </w:instrText>
      </w:r>
      <w:r>
        <w:fldChar w:fldCharType="separate"/>
      </w:r>
      <w:r>
        <w:t>41</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Cargo to be removed</w:t>
      </w:r>
      <w:r>
        <w:tab/>
      </w:r>
      <w:r>
        <w:fldChar w:fldCharType="begin"/>
      </w:r>
      <w:r>
        <w:instrText xml:space="preserve"> PAGEREF _Toc355611651 \h </w:instrText>
      </w:r>
      <w:r>
        <w:fldChar w:fldCharType="separate"/>
      </w:r>
      <w:r>
        <w:t>41</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Cargo not to remain on jetties overnight</w:t>
      </w:r>
      <w:r>
        <w:tab/>
      </w:r>
      <w:r>
        <w:fldChar w:fldCharType="begin"/>
      </w:r>
      <w:r>
        <w:instrText xml:space="preserve"> PAGEREF _Toc355611652 \h </w:instrText>
      </w:r>
      <w:r>
        <w:fldChar w:fldCharType="separate"/>
      </w:r>
      <w:r>
        <w:t>42</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Explosives not to be handled without permission</w:t>
      </w:r>
      <w:r>
        <w:tab/>
      </w:r>
      <w:r>
        <w:fldChar w:fldCharType="begin"/>
      </w:r>
      <w:r>
        <w:instrText xml:space="preserve"> PAGEREF _Toc355611653 \h </w:instrText>
      </w:r>
      <w:r>
        <w:fldChar w:fldCharType="separate"/>
      </w:r>
      <w:r>
        <w:t>42</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Manner of handling cargo</w:t>
      </w:r>
      <w:r>
        <w:tab/>
      </w:r>
      <w:r>
        <w:fldChar w:fldCharType="begin"/>
      </w:r>
      <w:r>
        <w:instrText xml:space="preserve"> PAGEREF _Toc355611654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Navigation of vessels</w:t>
      </w:r>
    </w:p>
    <w:p>
      <w:pPr>
        <w:pStyle w:val="TOC8"/>
        <w:rPr>
          <w:rFonts w:asciiTheme="minorHAnsi" w:eastAsiaTheme="minorEastAsia" w:hAnsiTheme="minorHAnsi" w:cstheme="minorBidi"/>
          <w:szCs w:val="22"/>
          <w:lang w:eastAsia="en-AU"/>
        </w:rPr>
      </w:pPr>
      <w:r>
        <w:t>85</w:t>
      </w:r>
      <w:r>
        <w:rPr>
          <w:snapToGrid w:val="0"/>
        </w:rPr>
        <w:t>.</w:t>
      </w:r>
      <w:r>
        <w:rPr>
          <w:snapToGrid w:val="0"/>
        </w:rPr>
        <w:tab/>
        <w:t>Power vessels approaching jetties</w:t>
      </w:r>
      <w:r>
        <w:tab/>
      </w:r>
      <w:r>
        <w:fldChar w:fldCharType="begin"/>
      </w:r>
      <w:r>
        <w:instrText xml:space="preserve"> PAGEREF _Toc355611656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Miscellaneous</w:t>
      </w:r>
    </w:p>
    <w:p>
      <w:pPr>
        <w:pStyle w:val="TOC8"/>
        <w:rPr>
          <w:rFonts w:asciiTheme="minorHAnsi" w:eastAsiaTheme="minorEastAsia" w:hAnsiTheme="minorHAnsi" w:cstheme="minorBidi"/>
          <w:szCs w:val="22"/>
          <w:lang w:eastAsia="en-AU"/>
        </w:rPr>
      </w:pPr>
      <w:r>
        <w:t>86</w:t>
      </w:r>
      <w:r>
        <w:rPr>
          <w:snapToGrid w:val="0"/>
        </w:rPr>
        <w:t>.</w:t>
      </w:r>
      <w:r>
        <w:rPr>
          <w:snapToGrid w:val="0"/>
        </w:rPr>
        <w:tab/>
        <w:t>Bathing from jetties</w:t>
      </w:r>
      <w:r>
        <w:tab/>
      </w:r>
      <w:r>
        <w:fldChar w:fldCharType="begin"/>
      </w:r>
      <w:r>
        <w:instrText xml:space="preserve"> PAGEREF _Toc355611658 \h </w:instrText>
      </w:r>
      <w:r>
        <w:fldChar w:fldCharType="separate"/>
      </w:r>
      <w:r>
        <w:t>43</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Damage to jetties</w:t>
      </w:r>
      <w:r>
        <w:tab/>
      </w:r>
      <w:r>
        <w:fldChar w:fldCharType="begin"/>
      </w:r>
      <w:r>
        <w:instrText xml:space="preserve"> PAGEREF _Toc355611659 \h </w:instrText>
      </w:r>
      <w:r>
        <w:fldChar w:fldCharType="separate"/>
      </w:r>
      <w:r>
        <w:t>43</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Fishing from certain places prohibited</w:t>
      </w:r>
      <w:r>
        <w:tab/>
      </w:r>
      <w:r>
        <w:fldChar w:fldCharType="begin"/>
      </w:r>
      <w:r>
        <w:instrText xml:space="preserve"> PAGEREF _Toc355611660 \h </w:instrText>
      </w:r>
      <w:r>
        <w:fldChar w:fldCharType="separate"/>
      </w:r>
      <w:r>
        <w:t>43</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Fishing nets on jetties</w:t>
      </w:r>
      <w:r>
        <w:tab/>
      </w:r>
      <w:r>
        <w:fldChar w:fldCharType="begin"/>
      </w:r>
      <w:r>
        <w:instrText xml:space="preserve"> PAGEREF _Toc355611661 \h </w:instrText>
      </w:r>
      <w:r>
        <w:fldChar w:fldCharType="separate"/>
      </w:r>
      <w:r>
        <w:t>44</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Gangways to be provided</w:t>
      </w:r>
      <w:r>
        <w:tab/>
      </w:r>
      <w:r>
        <w:fldChar w:fldCharType="begin"/>
      </w:r>
      <w:r>
        <w:instrText xml:space="preserve"> PAGEREF _Toc355611662 \h </w:instrText>
      </w:r>
      <w:r>
        <w:fldChar w:fldCharType="separate"/>
      </w:r>
      <w:r>
        <w:t>44</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Interference with jetties or approaches</w:t>
      </w:r>
      <w:r>
        <w:tab/>
      </w:r>
      <w:r>
        <w:fldChar w:fldCharType="begin"/>
      </w:r>
      <w:r>
        <w:instrText xml:space="preserve"> PAGEREF _Toc355611663 \h </w:instrText>
      </w:r>
      <w:r>
        <w:fldChar w:fldCharType="separate"/>
      </w:r>
      <w:r>
        <w:t>44</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Lifebuoys on jetties</w:t>
      </w:r>
      <w:r>
        <w:tab/>
      </w:r>
      <w:r>
        <w:fldChar w:fldCharType="begin"/>
      </w:r>
      <w:r>
        <w:instrText xml:space="preserve"> PAGEREF _Toc355611664 \h </w:instrText>
      </w:r>
      <w:r>
        <w:fldChar w:fldCharType="separate"/>
      </w:r>
      <w:r>
        <w:t>44</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Obstruction of jetties or officers</w:t>
      </w:r>
      <w:r>
        <w:tab/>
      </w:r>
      <w:r>
        <w:fldChar w:fldCharType="begin"/>
      </w:r>
      <w:r>
        <w:instrText xml:space="preserve"> PAGEREF _Toc355611665 \h </w:instrText>
      </w:r>
      <w:r>
        <w:fldChar w:fldCharType="separate"/>
      </w:r>
      <w:r>
        <w:t>44</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Rubbish not to be thrown in river etc.</w:t>
      </w:r>
      <w:r>
        <w:tab/>
      </w:r>
      <w:r>
        <w:fldChar w:fldCharType="begin"/>
      </w:r>
      <w:r>
        <w:instrText xml:space="preserve"> PAGEREF _Toc355611666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2A — Mooring and berthing other than in the Port of Perth</w:t>
      </w:r>
    </w:p>
    <w:p>
      <w:pPr>
        <w:pStyle w:val="TOC8"/>
        <w:rPr>
          <w:rFonts w:asciiTheme="minorHAnsi" w:eastAsiaTheme="minorEastAsia" w:hAnsiTheme="minorHAnsi" w:cstheme="minorBidi"/>
          <w:szCs w:val="22"/>
          <w:lang w:eastAsia="en-AU"/>
        </w:rPr>
      </w:pPr>
      <w:r>
        <w:t>94A.</w:t>
      </w:r>
      <w:r>
        <w:tab/>
        <w:t>Fees etc. for pen rentals and services</w:t>
      </w:r>
      <w:r>
        <w:tab/>
      </w:r>
      <w:r>
        <w:fldChar w:fldCharType="begin"/>
      </w:r>
      <w:r>
        <w:instrText xml:space="preserve"> PAGEREF _Toc355611668 \h </w:instrText>
      </w:r>
      <w:r>
        <w:fldChar w:fldCharType="separate"/>
      </w:r>
      <w:r>
        <w:t>46</w:t>
      </w:r>
      <w:r>
        <w:fldChar w:fldCharType="end"/>
      </w:r>
    </w:p>
    <w:p>
      <w:pPr>
        <w:pStyle w:val="TOC8"/>
        <w:rPr>
          <w:rFonts w:asciiTheme="minorHAnsi" w:eastAsiaTheme="minorEastAsia" w:hAnsiTheme="minorHAnsi" w:cstheme="minorBidi"/>
          <w:szCs w:val="22"/>
          <w:lang w:eastAsia="en-AU"/>
        </w:rPr>
      </w:pPr>
      <w:r>
        <w:t>94B</w:t>
      </w:r>
      <w:r>
        <w:rPr>
          <w:snapToGrid w:val="0"/>
        </w:rPr>
        <w:t>.</w:t>
      </w:r>
      <w:r>
        <w:rPr>
          <w:snapToGrid w:val="0"/>
        </w:rPr>
        <w:tab/>
        <w:t>Fees for pile mooring</w:t>
      </w:r>
      <w:r>
        <w:tab/>
      </w:r>
      <w:r>
        <w:fldChar w:fldCharType="begin"/>
      </w:r>
      <w:r>
        <w:instrText xml:space="preserve"> PAGEREF _Toc355611669 \h </w:instrText>
      </w:r>
      <w:r>
        <w:fldChar w:fldCharType="separate"/>
      </w:r>
      <w:r>
        <w:t>46</w:t>
      </w:r>
      <w:r>
        <w:fldChar w:fldCharType="end"/>
      </w:r>
    </w:p>
    <w:p>
      <w:pPr>
        <w:pStyle w:val="TOC8"/>
        <w:rPr>
          <w:rFonts w:asciiTheme="minorHAnsi" w:eastAsiaTheme="minorEastAsia" w:hAnsiTheme="minorHAnsi" w:cstheme="minorBidi"/>
          <w:szCs w:val="22"/>
          <w:lang w:eastAsia="en-AU"/>
        </w:rPr>
      </w:pPr>
      <w:r>
        <w:t>94C</w:t>
      </w:r>
      <w:r>
        <w:rPr>
          <w:snapToGrid w:val="0"/>
        </w:rPr>
        <w:t>.</w:t>
      </w:r>
      <w:r>
        <w:rPr>
          <w:snapToGrid w:val="0"/>
        </w:rPr>
        <w:tab/>
        <w:t>Fees for berthing or mooring on a casual basis</w:t>
      </w:r>
      <w:r>
        <w:tab/>
      </w:r>
      <w:r>
        <w:fldChar w:fldCharType="begin"/>
      </w:r>
      <w:r>
        <w:instrText xml:space="preserve"> PAGEREF _Toc355611670 \h </w:instrText>
      </w:r>
      <w:r>
        <w:fldChar w:fldCharType="separate"/>
      </w:r>
      <w:r>
        <w:t>46</w:t>
      </w:r>
      <w:r>
        <w:fldChar w:fldCharType="end"/>
      </w:r>
    </w:p>
    <w:p>
      <w:pPr>
        <w:pStyle w:val="TOC8"/>
        <w:rPr>
          <w:rFonts w:asciiTheme="minorHAnsi" w:eastAsiaTheme="minorEastAsia" w:hAnsiTheme="minorHAnsi" w:cstheme="minorBidi"/>
          <w:szCs w:val="22"/>
          <w:lang w:eastAsia="en-AU"/>
        </w:rPr>
      </w:pPr>
      <w:r>
        <w:t>94D.</w:t>
      </w:r>
      <w:r>
        <w:tab/>
        <w:t>Waiving fees or charges in emergencies</w:t>
      </w:r>
      <w:r>
        <w:tab/>
      </w:r>
      <w:r>
        <w:fldChar w:fldCharType="begin"/>
      </w:r>
      <w:r>
        <w:instrText xml:space="preserve"> PAGEREF _Toc355611671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Special provisions applying at particular ports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Use of slipways</w:t>
      </w:r>
    </w:p>
    <w:p>
      <w:pPr>
        <w:pStyle w:val="TOC8"/>
        <w:rPr>
          <w:rFonts w:asciiTheme="minorHAnsi" w:eastAsiaTheme="minorEastAsia" w:hAnsiTheme="minorHAnsi" w:cstheme="minorBidi"/>
          <w:szCs w:val="22"/>
          <w:lang w:eastAsia="en-AU"/>
        </w:rPr>
      </w:pPr>
      <w:r>
        <w:t>95.</w:t>
      </w:r>
      <w:r>
        <w:tab/>
        <w:t>Management and control of departmental slipways</w:t>
      </w:r>
      <w:r>
        <w:tab/>
      </w:r>
      <w:r>
        <w:fldChar w:fldCharType="begin"/>
      </w:r>
      <w:r>
        <w:instrText xml:space="preserve"> PAGEREF _Toc355611674 \h </w:instrText>
      </w:r>
      <w:r>
        <w:fldChar w:fldCharType="separate"/>
      </w:r>
      <w:r>
        <w:t>47</w:t>
      </w:r>
      <w:r>
        <w:fldChar w:fldCharType="end"/>
      </w:r>
    </w:p>
    <w:p>
      <w:pPr>
        <w:pStyle w:val="TOC8"/>
        <w:rPr>
          <w:rFonts w:asciiTheme="minorHAnsi" w:eastAsiaTheme="minorEastAsia" w:hAnsiTheme="minorHAnsi" w:cstheme="minorBidi"/>
          <w:szCs w:val="22"/>
          <w:lang w:eastAsia="en-AU"/>
        </w:rPr>
      </w:pPr>
      <w:r>
        <w:t>95A</w:t>
      </w:r>
      <w:r>
        <w:rPr>
          <w:snapToGrid w:val="0"/>
        </w:rPr>
        <w:t>.</w:t>
      </w:r>
      <w:r>
        <w:rPr>
          <w:snapToGrid w:val="0"/>
        </w:rPr>
        <w:tab/>
        <w:t>Application for use of slipway</w:t>
      </w:r>
      <w:r>
        <w:tab/>
      </w:r>
      <w:r>
        <w:fldChar w:fldCharType="begin"/>
      </w:r>
      <w:r>
        <w:instrText xml:space="preserve"> PAGEREF _Toc355611675 \h </w:instrText>
      </w:r>
      <w:r>
        <w:fldChar w:fldCharType="separate"/>
      </w:r>
      <w:r>
        <w:t>47</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Charges for use of slipway</w:t>
      </w:r>
      <w:r>
        <w:tab/>
      </w:r>
      <w:r>
        <w:fldChar w:fldCharType="begin"/>
      </w:r>
      <w:r>
        <w:instrText xml:space="preserve"> PAGEREF _Toc355611676 \h </w:instrText>
      </w:r>
      <w:r>
        <w:fldChar w:fldCharType="separate"/>
      </w:r>
      <w:r>
        <w:t>48</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Government vessels may take precedence</w:t>
      </w:r>
      <w:r>
        <w:tab/>
      </w:r>
      <w:r>
        <w:fldChar w:fldCharType="begin"/>
      </w:r>
      <w:r>
        <w:instrText xml:space="preserve"> PAGEREF _Toc355611677 \h </w:instrText>
      </w:r>
      <w:r>
        <w:fldChar w:fldCharType="separate"/>
      </w:r>
      <w:r>
        <w:t>48</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Vessels may forfeit their turn</w:t>
      </w:r>
      <w:r>
        <w:tab/>
      </w:r>
      <w:r>
        <w:fldChar w:fldCharType="begin"/>
      </w:r>
      <w:r>
        <w:instrText xml:space="preserve"> PAGEREF _Toc355611678 \h </w:instrText>
      </w:r>
      <w:r>
        <w:fldChar w:fldCharType="separate"/>
      </w:r>
      <w:r>
        <w:t>48</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Department will not undertake repairs etc.</w:t>
      </w:r>
      <w:r>
        <w:tab/>
      </w:r>
      <w:r>
        <w:fldChar w:fldCharType="begin"/>
      </w:r>
      <w:r>
        <w:instrText xml:space="preserve"> PAGEREF _Toc355611679 \h </w:instrText>
      </w:r>
      <w:r>
        <w:fldChar w:fldCharType="separate"/>
      </w:r>
      <w:r>
        <w:t>49</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Department not responsible for damage to vessel when in use of slip</w:t>
      </w:r>
      <w:r>
        <w:tab/>
      </w:r>
      <w:r>
        <w:fldChar w:fldCharType="begin"/>
      </w:r>
      <w:r>
        <w:instrText xml:space="preserve"> PAGEREF _Toc355611680 \h </w:instrText>
      </w:r>
      <w:r>
        <w:fldChar w:fldCharType="separate"/>
      </w:r>
      <w:r>
        <w:t>49</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Duties of owner or master using slipway</w:t>
      </w:r>
      <w:r>
        <w:tab/>
      </w:r>
      <w:r>
        <w:fldChar w:fldCharType="begin"/>
      </w:r>
      <w:r>
        <w:instrText xml:space="preserve"> PAGEREF _Toc355611681 \h </w:instrText>
      </w:r>
      <w:r>
        <w:fldChar w:fldCharType="separate"/>
      </w:r>
      <w:r>
        <w:t>49</w:t>
      </w:r>
      <w:r>
        <w:fldChar w:fldCharType="end"/>
      </w:r>
    </w:p>
    <w:p>
      <w:pPr>
        <w:pStyle w:val="TOC8"/>
        <w:rPr>
          <w:rFonts w:asciiTheme="minorHAnsi" w:eastAsiaTheme="minorEastAsia" w:hAnsiTheme="minorHAnsi" w:cstheme="minorBidi"/>
          <w:szCs w:val="22"/>
          <w:lang w:eastAsia="en-AU"/>
        </w:rPr>
      </w:pPr>
      <w:r>
        <w:t>101A</w:t>
      </w:r>
      <w:r>
        <w:rPr>
          <w:snapToGrid w:val="0"/>
        </w:rPr>
        <w:t>.</w:t>
      </w:r>
      <w:r>
        <w:rPr>
          <w:snapToGrid w:val="0"/>
        </w:rPr>
        <w:tab/>
        <w:t>Slipping of more than one vessel at a time</w:t>
      </w:r>
      <w:r>
        <w:tab/>
      </w:r>
      <w:r>
        <w:fldChar w:fldCharType="begin"/>
      </w:r>
      <w:r>
        <w:instrText xml:space="preserve"> PAGEREF _Toc355611682 \h </w:instrText>
      </w:r>
      <w:r>
        <w:fldChar w:fldCharType="separate"/>
      </w:r>
      <w:r>
        <w:t>50</w:t>
      </w:r>
      <w:r>
        <w:fldChar w:fldCharType="end"/>
      </w:r>
    </w:p>
    <w:p>
      <w:pPr>
        <w:pStyle w:val="TOC8"/>
        <w:rPr>
          <w:rFonts w:asciiTheme="minorHAnsi" w:eastAsiaTheme="minorEastAsia" w:hAnsiTheme="minorHAnsi" w:cstheme="minorBidi"/>
          <w:szCs w:val="22"/>
          <w:lang w:eastAsia="en-AU"/>
        </w:rPr>
      </w:pPr>
      <w:r>
        <w:t>101B</w:t>
      </w:r>
      <w:r>
        <w:rPr>
          <w:snapToGrid w:val="0"/>
        </w:rPr>
        <w:t>.</w:t>
      </w:r>
      <w:r>
        <w:rPr>
          <w:snapToGrid w:val="0"/>
        </w:rPr>
        <w:tab/>
        <w:t>Dispute procedure</w:t>
      </w:r>
      <w:r>
        <w:tab/>
      </w:r>
      <w:r>
        <w:fldChar w:fldCharType="begin"/>
      </w:r>
      <w:r>
        <w:instrText xml:space="preserve"> PAGEREF _Toc355611683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Use of mooring springs</w:t>
      </w:r>
    </w:p>
    <w:p>
      <w:pPr>
        <w:pStyle w:val="TOC8"/>
        <w:rPr>
          <w:rFonts w:asciiTheme="minorHAnsi" w:eastAsiaTheme="minorEastAsia" w:hAnsiTheme="minorHAnsi" w:cstheme="minorBidi"/>
          <w:szCs w:val="22"/>
          <w:lang w:eastAsia="en-AU"/>
        </w:rPr>
      </w:pPr>
      <w:r>
        <w:t>105F</w:t>
      </w:r>
      <w:r>
        <w:rPr>
          <w:snapToGrid w:val="0"/>
        </w:rPr>
        <w:t>.</w:t>
      </w:r>
      <w:r>
        <w:rPr>
          <w:snapToGrid w:val="0"/>
        </w:rPr>
        <w:tab/>
        <w:t>Approaching bollard or jetty to which mooring spring or rope fastened</w:t>
      </w:r>
      <w:r>
        <w:tab/>
      </w:r>
      <w:r>
        <w:fldChar w:fldCharType="begin"/>
      </w:r>
      <w:r>
        <w:instrText xml:space="preserve"> PAGEREF _Toc355611685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Use of weighbridges at Wyndham</w:t>
      </w:r>
    </w:p>
    <w:p>
      <w:pPr>
        <w:pStyle w:val="TOC8"/>
        <w:rPr>
          <w:rFonts w:asciiTheme="minorHAnsi" w:eastAsiaTheme="minorEastAsia" w:hAnsiTheme="minorHAnsi" w:cstheme="minorBidi"/>
          <w:szCs w:val="22"/>
          <w:lang w:eastAsia="en-AU"/>
        </w:rPr>
      </w:pPr>
      <w:r>
        <w:t>105I</w:t>
      </w:r>
      <w:r>
        <w:rPr>
          <w:snapToGrid w:val="0"/>
        </w:rPr>
        <w:t>.</w:t>
      </w:r>
      <w:r>
        <w:rPr>
          <w:snapToGrid w:val="0"/>
        </w:rPr>
        <w:tab/>
        <w:t>Weighbridge fees</w:t>
      </w:r>
      <w:r>
        <w:tab/>
      </w:r>
      <w:r>
        <w:fldChar w:fldCharType="begin"/>
      </w:r>
      <w:r>
        <w:instrText xml:space="preserve"> PAGEREF _Toc355611687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Breach of regulations and penalties</w:t>
      </w:r>
    </w:p>
    <w:p>
      <w:pPr>
        <w:pStyle w:val="TOC8"/>
        <w:rPr>
          <w:rFonts w:asciiTheme="minorHAnsi" w:eastAsiaTheme="minorEastAsia" w:hAnsiTheme="minorHAnsi" w:cstheme="minorBidi"/>
          <w:szCs w:val="22"/>
          <w:lang w:eastAsia="en-AU"/>
        </w:rPr>
      </w:pPr>
      <w:r>
        <w:t>106</w:t>
      </w:r>
      <w:r>
        <w:rPr>
          <w:snapToGrid w:val="0"/>
        </w:rPr>
        <w:t>.</w:t>
      </w:r>
      <w:r>
        <w:rPr>
          <w:snapToGrid w:val="0"/>
        </w:rPr>
        <w:tab/>
        <w:t>Powers of officer of Department</w:t>
      </w:r>
      <w:r>
        <w:tab/>
      </w:r>
      <w:r>
        <w:fldChar w:fldCharType="begin"/>
      </w:r>
      <w:r>
        <w:instrText xml:space="preserve"> PAGEREF _Toc355611689 \h </w:instrText>
      </w:r>
      <w:r>
        <w:fldChar w:fldCharType="separate"/>
      </w:r>
      <w:r>
        <w:t>52</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Recovery of expenses incurred by breaches of regulations</w:t>
      </w:r>
      <w:r>
        <w:tab/>
      </w:r>
      <w:r>
        <w:fldChar w:fldCharType="begin"/>
      </w:r>
      <w:r>
        <w:instrText xml:space="preserve"> PAGEREF _Toc355611690 \h </w:instrText>
      </w:r>
      <w:r>
        <w:fldChar w:fldCharType="separate"/>
      </w:r>
      <w:r>
        <w:t>52</w:t>
      </w:r>
      <w:r>
        <w:fldChar w:fldCharType="end"/>
      </w:r>
    </w:p>
    <w:p>
      <w:pPr>
        <w:pStyle w:val="TOC8"/>
        <w:rPr>
          <w:rFonts w:asciiTheme="minorHAnsi" w:eastAsiaTheme="minorEastAsia" w:hAnsiTheme="minorHAnsi" w:cstheme="minorBidi"/>
          <w:szCs w:val="22"/>
          <w:lang w:eastAsia="en-AU"/>
        </w:rPr>
      </w:pPr>
      <w:r>
        <w:t>107A</w:t>
      </w:r>
      <w:r>
        <w:rPr>
          <w:snapToGrid w:val="0"/>
        </w:rPr>
        <w:t>.</w:t>
      </w:r>
      <w:r>
        <w:rPr>
          <w:snapToGrid w:val="0"/>
        </w:rPr>
        <w:tab/>
        <w:t>Police have authority to enforce regulations</w:t>
      </w:r>
      <w:r>
        <w:tab/>
      </w:r>
      <w:r>
        <w:fldChar w:fldCharType="begin"/>
      </w:r>
      <w:r>
        <w:instrText xml:space="preserve"> PAGEREF _Toc355611691 \h </w:instrText>
      </w:r>
      <w:r>
        <w:fldChar w:fldCharType="separate"/>
      </w:r>
      <w:r>
        <w:t>52</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Penalty for offences</w:t>
      </w:r>
      <w:r>
        <w:tab/>
      </w:r>
      <w:r>
        <w:fldChar w:fldCharType="begin"/>
      </w:r>
      <w:r>
        <w:instrText xml:space="preserve"> PAGEREF _Toc355611692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Charges, dues and fees at places outside the Port of Perth</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Specified places</w:t>
      </w:r>
    </w:p>
    <w:p>
      <w:pPr>
        <w:pStyle w:val="TOC8"/>
        <w:rPr>
          <w:rFonts w:asciiTheme="minorHAnsi" w:eastAsiaTheme="minorEastAsia" w:hAnsiTheme="minorHAnsi" w:cstheme="minorBidi"/>
          <w:szCs w:val="22"/>
          <w:lang w:eastAsia="en-AU"/>
        </w:rPr>
      </w:pPr>
      <w:r>
        <w:t>1.</w:t>
      </w:r>
      <w:r>
        <w:tab/>
        <w:t>Albany, Albany Waterfront Marina</w:t>
      </w:r>
      <w:r>
        <w:tab/>
      </w:r>
      <w:r>
        <w:fldChar w:fldCharType="begin"/>
      </w:r>
      <w:r>
        <w:instrText xml:space="preserve"> PAGEREF _Toc355611695 \h </w:instrText>
      </w:r>
      <w:r>
        <w:fldChar w:fldCharType="separate"/>
      </w:r>
      <w:r>
        <w:t>54</w:t>
      </w:r>
      <w:r>
        <w:fldChar w:fldCharType="end"/>
      </w:r>
    </w:p>
    <w:p>
      <w:pPr>
        <w:pStyle w:val="TOC8"/>
        <w:rPr>
          <w:rFonts w:asciiTheme="minorHAnsi" w:eastAsiaTheme="minorEastAsia" w:hAnsiTheme="minorHAnsi" w:cstheme="minorBidi"/>
          <w:szCs w:val="22"/>
          <w:lang w:eastAsia="en-AU"/>
        </w:rPr>
      </w:pPr>
      <w:r>
        <w:t>2.</w:t>
      </w:r>
      <w:r>
        <w:tab/>
        <w:t>Albany, Emu Point Boat Harbour</w:t>
      </w:r>
      <w:r>
        <w:tab/>
      </w:r>
      <w:r>
        <w:fldChar w:fldCharType="begin"/>
      </w:r>
      <w:r>
        <w:instrText xml:space="preserve"> PAGEREF _Toc355611696 \h </w:instrText>
      </w:r>
      <w:r>
        <w:fldChar w:fldCharType="separate"/>
      </w:r>
      <w:r>
        <w:t>55</w:t>
      </w:r>
      <w:r>
        <w:fldChar w:fldCharType="end"/>
      </w:r>
    </w:p>
    <w:p>
      <w:pPr>
        <w:pStyle w:val="TOC8"/>
        <w:rPr>
          <w:rFonts w:asciiTheme="minorHAnsi" w:eastAsiaTheme="minorEastAsia" w:hAnsiTheme="minorHAnsi" w:cstheme="minorBidi"/>
          <w:szCs w:val="22"/>
          <w:lang w:eastAsia="en-AU"/>
        </w:rPr>
      </w:pPr>
      <w:r>
        <w:t>3.</w:t>
      </w:r>
      <w:r>
        <w:tab/>
        <w:t>Augusta</w:t>
      </w:r>
      <w:r>
        <w:tab/>
      </w:r>
      <w:r>
        <w:fldChar w:fldCharType="begin"/>
      </w:r>
      <w:r>
        <w:instrText xml:space="preserve"> PAGEREF _Toc355611697 \h </w:instrText>
      </w:r>
      <w:r>
        <w:fldChar w:fldCharType="separate"/>
      </w:r>
      <w:r>
        <w:t>56</w:t>
      </w:r>
      <w:r>
        <w:fldChar w:fldCharType="end"/>
      </w:r>
    </w:p>
    <w:p>
      <w:pPr>
        <w:pStyle w:val="TOC8"/>
        <w:rPr>
          <w:rFonts w:asciiTheme="minorHAnsi" w:eastAsiaTheme="minorEastAsia" w:hAnsiTheme="minorHAnsi" w:cstheme="minorBidi"/>
          <w:szCs w:val="22"/>
          <w:lang w:eastAsia="en-AU"/>
        </w:rPr>
      </w:pPr>
      <w:r>
        <w:t>4.</w:t>
      </w:r>
      <w:r>
        <w:tab/>
        <w:t>Bremer Bay</w:t>
      </w:r>
      <w:r>
        <w:tab/>
      </w:r>
      <w:r>
        <w:fldChar w:fldCharType="begin"/>
      </w:r>
      <w:r>
        <w:instrText xml:space="preserve"> PAGEREF _Toc355611698 \h </w:instrText>
      </w:r>
      <w:r>
        <w:fldChar w:fldCharType="separate"/>
      </w:r>
      <w:r>
        <w:t>57</w:t>
      </w:r>
      <w:r>
        <w:fldChar w:fldCharType="end"/>
      </w:r>
    </w:p>
    <w:p>
      <w:pPr>
        <w:pStyle w:val="TOC8"/>
        <w:rPr>
          <w:rFonts w:asciiTheme="minorHAnsi" w:eastAsiaTheme="minorEastAsia" w:hAnsiTheme="minorHAnsi" w:cstheme="minorBidi"/>
          <w:szCs w:val="22"/>
          <w:lang w:eastAsia="en-AU"/>
        </w:rPr>
      </w:pPr>
      <w:r>
        <w:t>5.</w:t>
      </w:r>
      <w:r>
        <w:tab/>
        <w:t>Bunbury, Casuarina Boat Harbour</w:t>
      </w:r>
      <w:r>
        <w:tab/>
      </w:r>
      <w:r>
        <w:fldChar w:fldCharType="begin"/>
      </w:r>
      <w:r>
        <w:instrText xml:space="preserve"> PAGEREF _Toc355611699 \h </w:instrText>
      </w:r>
      <w:r>
        <w:fldChar w:fldCharType="separate"/>
      </w:r>
      <w:r>
        <w:t>57</w:t>
      </w:r>
      <w:r>
        <w:fldChar w:fldCharType="end"/>
      </w:r>
    </w:p>
    <w:p>
      <w:pPr>
        <w:pStyle w:val="TOC8"/>
        <w:rPr>
          <w:rFonts w:asciiTheme="minorHAnsi" w:eastAsiaTheme="minorEastAsia" w:hAnsiTheme="minorHAnsi" w:cstheme="minorBidi"/>
          <w:szCs w:val="22"/>
          <w:lang w:eastAsia="en-AU"/>
        </w:rPr>
      </w:pPr>
      <w:r>
        <w:t>6.</w:t>
      </w:r>
      <w:r>
        <w:tab/>
        <w:t>Carnarvon Boat Harbour</w:t>
      </w:r>
      <w:r>
        <w:tab/>
      </w:r>
      <w:r>
        <w:fldChar w:fldCharType="begin"/>
      </w:r>
      <w:r>
        <w:instrText xml:space="preserve"> PAGEREF _Toc355611700 \h </w:instrText>
      </w:r>
      <w:r>
        <w:fldChar w:fldCharType="separate"/>
      </w:r>
      <w:r>
        <w:t>59</w:t>
      </w:r>
      <w:r>
        <w:fldChar w:fldCharType="end"/>
      </w:r>
    </w:p>
    <w:p>
      <w:pPr>
        <w:pStyle w:val="TOC8"/>
        <w:rPr>
          <w:rFonts w:asciiTheme="minorHAnsi" w:eastAsiaTheme="minorEastAsia" w:hAnsiTheme="minorHAnsi" w:cstheme="minorBidi"/>
          <w:szCs w:val="22"/>
          <w:lang w:eastAsia="en-AU"/>
        </w:rPr>
      </w:pPr>
      <w:r>
        <w:t>7.</w:t>
      </w:r>
      <w:r>
        <w:tab/>
        <w:t>Cervantes</w:t>
      </w:r>
      <w:r>
        <w:tab/>
      </w:r>
      <w:r>
        <w:fldChar w:fldCharType="begin"/>
      </w:r>
      <w:r>
        <w:instrText xml:space="preserve"> PAGEREF _Toc355611701 \h </w:instrText>
      </w:r>
      <w:r>
        <w:fldChar w:fldCharType="separate"/>
      </w:r>
      <w:r>
        <w:t>61</w:t>
      </w:r>
      <w:r>
        <w:fldChar w:fldCharType="end"/>
      </w:r>
    </w:p>
    <w:p>
      <w:pPr>
        <w:pStyle w:val="TOC8"/>
        <w:rPr>
          <w:rFonts w:asciiTheme="minorHAnsi" w:eastAsiaTheme="minorEastAsia" w:hAnsiTheme="minorHAnsi" w:cstheme="minorBidi"/>
          <w:szCs w:val="22"/>
          <w:lang w:eastAsia="en-AU"/>
        </w:rPr>
      </w:pPr>
      <w:r>
        <w:t>8.</w:t>
      </w:r>
      <w:r>
        <w:tab/>
        <w:t>Coral Bay Maritime Facility</w:t>
      </w:r>
      <w:r>
        <w:tab/>
      </w:r>
      <w:r>
        <w:fldChar w:fldCharType="begin"/>
      </w:r>
      <w:r>
        <w:instrText xml:space="preserve"> PAGEREF _Toc355611702 \h </w:instrText>
      </w:r>
      <w:r>
        <w:fldChar w:fldCharType="separate"/>
      </w:r>
      <w:r>
        <w:t>62</w:t>
      </w:r>
      <w:r>
        <w:fldChar w:fldCharType="end"/>
      </w:r>
    </w:p>
    <w:p>
      <w:pPr>
        <w:pStyle w:val="TOC8"/>
        <w:rPr>
          <w:rFonts w:asciiTheme="minorHAnsi" w:eastAsiaTheme="minorEastAsia" w:hAnsiTheme="minorHAnsi" w:cstheme="minorBidi"/>
          <w:szCs w:val="22"/>
          <w:lang w:eastAsia="en-AU"/>
        </w:rPr>
      </w:pPr>
      <w:r>
        <w:t>9.</w:t>
      </w:r>
      <w:r>
        <w:tab/>
        <w:t>Esperance, Bandy Creek Boat Harbour</w:t>
      </w:r>
      <w:r>
        <w:tab/>
      </w:r>
      <w:r>
        <w:fldChar w:fldCharType="begin"/>
      </w:r>
      <w:r>
        <w:instrText xml:space="preserve"> PAGEREF _Toc355611703 \h </w:instrText>
      </w:r>
      <w:r>
        <w:fldChar w:fldCharType="separate"/>
      </w:r>
      <w:r>
        <w:t>63</w:t>
      </w:r>
      <w:r>
        <w:fldChar w:fldCharType="end"/>
      </w:r>
    </w:p>
    <w:p>
      <w:pPr>
        <w:pStyle w:val="TOC8"/>
        <w:rPr>
          <w:rFonts w:asciiTheme="minorHAnsi" w:eastAsiaTheme="minorEastAsia" w:hAnsiTheme="minorHAnsi" w:cstheme="minorBidi"/>
          <w:szCs w:val="22"/>
          <w:lang w:eastAsia="en-AU"/>
        </w:rPr>
      </w:pPr>
      <w:r>
        <w:t>10.</w:t>
      </w:r>
      <w:r>
        <w:tab/>
        <w:t>Exmouth</w:t>
      </w:r>
      <w:r>
        <w:tab/>
      </w:r>
      <w:r>
        <w:fldChar w:fldCharType="begin"/>
      </w:r>
      <w:r>
        <w:instrText xml:space="preserve"> PAGEREF _Toc355611704 \h </w:instrText>
      </w:r>
      <w:r>
        <w:fldChar w:fldCharType="separate"/>
      </w:r>
      <w:r>
        <w:t>64</w:t>
      </w:r>
      <w:r>
        <w:fldChar w:fldCharType="end"/>
      </w:r>
    </w:p>
    <w:p>
      <w:pPr>
        <w:pStyle w:val="TOC8"/>
        <w:rPr>
          <w:rFonts w:asciiTheme="minorHAnsi" w:eastAsiaTheme="minorEastAsia" w:hAnsiTheme="minorHAnsi" w:cstheme="minorBidi"/>
          <w:szCs w:val="22"/>
          <w:lang w:eastAsia="en-AU"/>
        </w:rPr>
      </w:pPr>
      <w:r>
        <w:t>11.</w:t>
      </w:r>
      <w:r>
        <w:tab/>
        <w:t>Fremantle Fishing Boat Harbour</w:t>
      </w:r>
      <w:r>
        <w:tab/>
      </w:r>
      <w:r>
        <w:fldChar w:fldCharType="begin"/>
      </w:r>
      <w:r>
        <w:instrText xml:space="preserve"> PAGEREF _Toc355611705 \h </w:instrText>
      </w:r>
      <w:r>
        <w:fldChar w:fldCharType="separate"/>
      </w:r>
      <w:r>
        <w:t>71</w:t>
      </w:r>
      <w:r>
        <w:fldChar w:fldCharType="end"/>
      </w:r>
    </w:p>
    <w:p>
      <w:pPr>
        <w:pStyle w:val="TOC8"/>
        <w:rPr>
          <w:rFonts w:asciiTheme="minorHAnsi" w:eastAsiaTheme="minorEastAsia" w:hAnsiTheme="minorHAnsi" w:cstheme="minorBidi"/>
          <w:szCs w:val="22"/>
          <w:lang w:eastAsia="en-AU"/>
        </w:rPr>
      </w:pPr>
      <w:r>
        <w:t>12.</w:t>
      </w:r>
      <w:r>
        <w:tab/>
        <w:t>Geraldton, Batavia Coast Boat Harbour</w:t>
      </w:r>
      <w:r>
        <w:tab/>
      </w:r>
      <w:r>
        <w:fldChar w:fldCharType="begin"/>
      </w:r>
      <w:r>
        <w:instrText xml:space="preserve"> PAGEREF _Toc355611706 \h </w:instrText>
      </w:r>
      <w:r>
        <w:fldChar w:fldCharType="separate"/>
      </w:r>
      <w:r>
        <w:t>72</w:t>
      </w:r>
      <w:r>
        <w:fldChar w:fldCharType="end"/>
      </w:r>
    </w:p>
    <w:p>
      <w:pPr>
        <w:pStyle w:val="TOC8"/>
        <w:rPr>
          <w:rFonts w:asciiTheme="minorHAnsi" w:eastAsiaTheme="minorEastAsia" w:hAnsiTheme="minorHAnsi" w:cstheme="minorBidi"/>
          <w:szCs w:val="22"/>
          <w:lang w:eastAsia="en-AU"/>
        </w:rPr>
      </w:pPr>
      <w:r>
        <w:t>13.</w:t>
      </w:r>
      <w:r>
        <w:tab/>
        <w:t>Green Head</w:t>
      </w:r>
      <w:r>
        <w:tab/>
      </w:r>
      <w:r>
        <w:fldChar w:fldCharType="begin"/>
      </w:r>
      <w:r>
        <w:instrText xml:space="preserve"> PAGEREF _Toc355611707 \h </w:instrText>
      </w:r>
      <w:r>
        <w:fldChar w:fldCharType="separate"/>
      </w:r>
      <w:r>
        <w:t>74</w:t>
      </w:r>
      <w:r>
        <w:fldChar w:fldCharType="end"/>
      </w:r>
    </w:p>
    <w:p>
      <w:pPr>
        <w:pStyle w:val="TOC8"/>
        <w:rPr>
          <w:rFonts w:asciiTheme="minorHAnsi" w:eastAsiaTheme="minorEastAsia" w:hAnsiTheme="minorHAnsi" w:cstheme="minorBidi"/>
          <w:szCs w:val="22"/>
          <w:lang w:eastAsia="en-AU"/>
        </w:rPr>
      </w:pPr>
      <w:r>
        <w:t>14.</w:t>
      </w:r>
      <w:r>
        <w:tab/>
        <w:t>Hopetoun</w:t>
      </w:r>
      <w:r>
        <w:tab/>
      </w:r>
      <w:r>
        <w:fldChar w:fldCharType="begin"/>
      </w:r>
      <w:r>
        <w:instrText xml:space="preserve"> PAGEREF _Toc355611708 \h </w:instrText>
      </w:r>
      <w:r>
        <w:fldChar w:fldCharType="separate"/>
      </w:r>
      <w:r>
        <w:t>75</w:t>
      </w:r>
      <w:r>
        <w:fldChar w:fldCharType="end"/>
      </w:r>
    </w:p>
    <w:p>
      <w:pPr>
        <w:pStyle w:val="TOC8"/>
        <w:rPr>
          <w:rFonts w:asciiTheme="minorHAnsi" w:eastAsiaTheme="minorEastAsia" w:hAnsiTheme="minorHAnsi" w:cstheme="minorBidi"/>
          <w:szCs w:val="22"/>
          <w:lang w:eastAsia="en-AU"/>
        </w:rPr>
      </w:pPr>
      <w:r>
        <w:t>15.</w:t>
      </w:r>
      <w:r>
        <w:tab/>
        <w:t>Jurien</w:t>
      </w:r>
      <w:r>
        <w:tab/>
      </w:r>
      <w:r>
        <w:fldChar w:fldCharType="begin"/>
      </w:r>
      <w:r>
        <w:instrText xml:space="preserve"> PAGEREF _Toc355611709 \h </w:instrText>
      </w:r>
      <w:r>
        <w:fldChar w:fldCharType="separate"/>
      </w:r>
      <w:r>
        <w:t>75</w:t>
      </w:r>
      <w:r>
        <w:fldChar w:fldCharType="end"/>
      </w:r>
    </w:p>
    <w:p>
      <w:pPr>
        <w:pStyle w:val="TOC8"/>
        <w:rPr>
          <w:rFonts w:asciiTheme="minorHAnsi" w:eastAsiaTheme="minorEastAsia" w:hAnsiTheme="minorHAnsi" w:cstheme="minorBidi"/>
          <w:szCs w:val="22"/>
          <w:lang w:eastAsia="en-AU"/>
        </w:rPr>
      </w:pPr>
      <w:r>
        <w:t>16.</w:t>
      </w:r>
      <w:r>
        <w:tab/>
        <w:t>Kalbarri</w:t>
      </w:r>
      <w:r>
        <w:tab/>
      </w:r>
      <w:r>
        <w:fldChar w:fldCharType="begin"/>
      </w:r>
      <w:r>
        <w:instrText xml:space="preserve"> PAGEREF _Toc355611710 \h </w:instrText>
      </w:r>
      <w:r>
        <w:fldChar w:fldCharType="separate"/>
      </w:r>
      <w:r>
        <w:t>77</w:t>
      </w:r>
      <w:r>
        <w:fldChar w:fldCharType="end"/>
      </w:r>
    </w:p>
    <w:p>
      <w:pPr>
        <w:pStyle w:val="TOC8"/>
        <w:rPr>
          <w:rFonts w:asciiTheme="minorHAnsi" w:eastAsiaTheme="minorEastAsia" w:hAnsiTheme="minorHAnsi" w:cstheme="minorBidi"/>
          <w:szCs w:val="22"/>
          <w:lang w:eastAsia="en-AU"/>
        </w:rPr>
      </w:pPr>
      <w:r>
        <w:t>17.</w:t>
      </w:r>
      <w:r>
        <w:tab/>
        <w:t>Lancelin</w:t>
      </w:r>
      <w:r>
        <w:tab/>
      </w:r>
      <w:r>
        <w:fldChar w:fldCharType="begin"/>
      </w:r>
      <w:r>
        <w:instrText xml:space="preserve"> PAGEREF _Toc355611711 \h </w:instrText>
      </w:r>
      <w:r>
        <w:fldChar w:fldCharType="separate"/>
      </w:r>
      <w:r>
        <w:t>78</w:t>
      </w:r>
      <w:r>
        <w:fldChar w:fldCharType="end"/>
      </w:r>
    </w:p>
    <w:p>
      <w:pPr>
        <w:pStyle w:val="TOC8"/>
        <w:rPr>
          <w:rFonts w:asciiTheme="minorHAnsi" w:eastAsiaTheme="minorEastAsia" w:hAnsiTheme="minorHAnsi" w:cstheme="minorBidi"/>
          <w:szCs w:val="22"/>
          <w:lang w:eastAsia="en-AU"/>
        </w:rPr>
      </w:pPr>
      <w:r>
        <w:t>18.</w:t>
      </w:r>
      <w:r>
        <w:tab/>
        <w:t>Leeman</w:t>
      </w:r>
      <w:r>
        <w:tab/>
      </w:r>
      <w:r>
        <w:fldChar w:fldCharType="begin"/>
      </w:r>
      <w:r>
        <w:instrText xml:space="preserve"> PAGEREF _Toc355611712 \h </w:instrText>
      </w:r>
      <w:r>
        <w:fldChar w:fldCharType="separate"/>
      </w:r>
      <w:r>
        <w:t>78</w:t>
      </w:r>
      <w:r>
        <w:fldChar w:fldCharType="end"/>
      </w:r>
    </w:p>
    <w:p>
      <w:pPr>
        <w:pStyle w:val="TOC8"/>
        <w:rPr>
          <w:rFonts w:asciiTheme="minorHAnsi" w:eastAsiaTheme="minorEastAsia" w:hAnsiTheme="minorHAnsi" w:cstheme="minorBidi"/>
          <w:szCs w:val="22"/>
          <w:lang w:eastAsia="en-AU"/>
        </w:rPr>
      </w:pPr>
      <w:r>
        <w:t>19.</w:t>
      </w:r>
      <w:r>
        <w:tab/>
        <w:t>Onslow, Beadon Creek Boat Harbour</w:t>
      </w:r>
      <w:r>
        <w:tab/>
      </w:r>
      <w:r>
        <w:fldChar w:fldCharType="begin"/>
      </w:r>
      <w:r>
        <w:instrText xml:space="preserve"> PAGEREF _Toc355611713 \h </w:instrText>
      </w:r>
      <w:r>
        <w:fldChar w:fldCharType="separate"/>
      </w:r>
      <w:r>
        <w:t>79</w:t>
      </w:r>
      <w:r>
        <w:fldChar w:fldCharType="end"/>
      </w:r>
    </w:p>
    <w:p>
      <w:pPr>
        <w:pStyle w:val="TOC8"/>
        <w:rPr>
          <w:rFonts w:asciiTheme="minorHAnsi" w:eastAsiaTheme="minorEastAsia" w:hAnsiTheme="minorHAnsi" w:cstheme="minorBidi"/>
          <w:szCs w:val="22"/>
          <w:lang w:eastAsia="en-AU"/>
        </w:rPr>
      </w:pPr>
      <w:r>
        <w:t>20.</w:t>
      </w:r>
      <w:r>
        <w:tab/>
        <w:t>Point Samson, Johns Creek Boat Harbour</w:t>
      </w:r>
      <w:r>
        <w:tab/>
      </w:r>
      <w:r>
        <w:fldChar w:fldCharType="begin"/>
      </w:r>
      <w:r>
        <w:instrText xml:space="preserve"> PAGEREF _Toc355611714 \h </w:instrText>
      </w:r>
      <w:r>
        <w:fldChar w:fldCharType="separate"/>
      </w:r>
      <w:r>
        <w:t>81</w:t>
      </w:r>
      <w:r>
        <w:fldChar w:fldCharType="end"/>
      </w:r>
    </w:p>
    <w:p>
      <w:pPr>
        <w:pStyle w:val="TOC8"/>
        <w:rPr>
          <w:rFonts w:asciiTheme="minorHAnsi" w:eastAsiaTheme="minorEastAsia" w:hAnsiTheme="minorHAnsi" w:cstheme="minorBidi"/>
          <w:szCs w:val="22"/>
          <w:lang w:eastAsia="en-AU"/>
        </w:rPr>
      </w:pPr>
      <w:r>
        <w:t>21.</w:t>
      </w:r>
      <w:r>
        <w:tab/>
        <w:t>Port Denison</w:t>
      </w:r>
      <w:r>
        <w:tab/>
      </w:r>
      <w:r>
        <w:fldChar w:fldCharType="begin"/>
      </w:r>
      <w:r>
        <w:instrText xml:space="preserve"> PAGEREF _Toc355611715 \h </w:instrText>
      </w:r>
      <w:r>
        <w:fldChar w:fldCharType="separate"/>
      </w:r>
      <w:r>
        <w:t>84</w:t>
      </w:r>
      <w:r>
        <w:fldChar w:fldCharType="end"/>
      </w:r>
    </w:p>
    <w:p>
      <w:pPr>
        <w:pStyle w:val="TOC8"/>
        <w:rPr>
          <w:rFonts w:asciiTheme="minorHAnsi" w:eastAsiaTheme="minorEastAsia" w:hAnsiTheme="minorHAnsi" w:cstheme="minorBidi"/>
          <w:szCs w:val="22"/>
          <w:lang w:eastAsia="en-AU"/>
        </w:rPr>
      </w:pPr>
      <w:r>
        <w:t>22.</w:t>
      </w:r>
      <w:r>
        <w:tab/>
        <w:t>Port Gregory</w:t>
      </w:r>
      <w:r>
        <w:tab/>
      </w:r>
      <w:r>
        <w:fldChar w:fldCharType="begin"/>
      </w:r>
      <w:r>
        <w:instrText xml:space="preserve"> PAGEREF _Toc355611716 \h </w:instrText>
      </w:r>
      <w:r>
        <w:fldChar w:fldCharType="separate"/>
      </w:r>
      <w:r>
        <w:t>85</w:t>
      </w:r>
      <w:r>
        <w:fldChar w:fldCharType="end"/>
      </w:r>
    </w:p>
    <w:p>
      <w:pPr>
        <w:pStyle w:val="TOC8"/>
        <w:rPr>
          <w:rFonts w:asciiTheme="minorHAnsi" w:eastAsiaTheme="minorEastAsia" w:hAnsiTheme="minorHAnsi" w:cstheme="minorBidi"/>
          <w:szCs w:val="22"/>
          <w:lang w:eastAsia="en-AU"/>
        </w:rPr>
      </w:pPr>
      <w:r>
        <w:t>23.</w:t>
      </w:r>
      <w:r>
        <w:tab/>
        <w:t>Wyndham</w:t>
      </w:r>
      <w:r>
        <w:tab/>
      </w:r>
      <w:r>
        <w:fldChar w:fldCharType="begin"/>
      </w:r>
      <w:r>
        <w:instrText xml:space="preserve"> PAGEREF _Toc355611717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Charges, dues and fees not specified in Division 1</w:t>
      </w:r>
    </w:p>
    <w:p>
      <w:pPr>
        <w:pStyle w:val="TOC8"/>
        <w:rPr>
          <w:rFonts w:asciiTheme="minorHAnsi" w:eastAsiaTheme="minorEastAsia" w:hAnsiTheme="minorHAnsi" w:cstheme="minorBidi"/>
          <w:szCs w:val="22"/>
          <w:lang w:eastAsia="en-AU"/>
        </w:rPr>
      </w:pPr>
      <w:r>
        <w:t>24.</w:t>
      </w:r>
      <w:r>
        <w:tab/>
        <w:t>Wharfage (r. 10A)</w:t>
      </w:r>
      <w:r>
        <w:tab/>
      </w:r>
      <w:r>
        <w:fldChar w:fldCharType="begin"/>
      </w:r>
      <w:r>
        <w:instrText xml:space="preserve"> PAGEREF _Toc355611719 \h </w:instrText>
      </w:r>
      <w:r>
        <w:fldChar w:fldCharType="separate"/>
      </w:r>
      <w:r>
        <w:t>90</w:t>
      </w:r>
      <w:r>
        <w:fldChar w:fldCharType="end"/>
      </w:r>
    </w:p>
    <w:p>
      <w:pPr>
        <w:pStyle w:val="TOC8"/>
        <w:rPr>
          <w:rFonts w:asciiTheme="minorHAnsi" w:eastAsiaTheme="minorEastAsia" w:hAnsiTheme="minorHAnsi" w:cstheme="minorBidi"/>
          <w:szCs w:val="22"/>
          <w:lang w:eastAsia="en-AU"/>
        </w:rPr>
      </w:pPr>
      <w:r>
        <w:t>25.</w:t>
      </w:r>
      <w:r>
        <w:tab/>
        <w:t>Rubbish removal (r. 53A)</w:t>
      </w:r>
      <w:r>
        <w:tab/>
      </w:r>
      <w:r>
        <w:fldChar w:fldCharType="begin"/>
      </w:r>
      <w:r>
        <w:instrText xml:space="preserve"> PAGEREF _Toc355611720 \h </w:instrText>
      </w:r>
      <w:r>
        <w:fldChar w:fldCharType="separate"/>
      </w:r>
      <w:r>
        <w:t>90</w:t>
      </w:r>
      <w:r>
        <w:fldChar w:fldCharType="end"/>
      </w:r>
    </w:p>
    <w:p>
      <w:pPr>
        <w:pStyle w:val="TOC8"/>
        <w:rPr>
          <w:rFonts w:asciiTheme="minorHAnsi" w:eastAsiaTheme="minorEastAsia" w:hAnsiTheme="minorHAnsi" w:cstheme="minorBidi"/>
          <w:szCs w:val="22"/>
          <w:lang w:eastAsia="en-AU"/>
        </w:rPr>
      </w:pPr>
      <w:r>
        <w:t>26.</w:t>
      </w:r>
      <w:r>
        <w:tab/>
        <w:t>Pile mooring (r. 94B)</w:t>
      </w:r>
      <w:r>
        <w:tab/>
      </w:r>
      <w:r>
        <w:fldChar w:fldCharType="begin"/>
      </w:r>
      <w:r>
        <w:instrText xml:space="preserve"> PAGEREF _Toc355611721 \h </w:instrText>
      </w:r>
      <w:r>
        <w:fldChar w:fldCharType="separate"/>
      </w:r>
      <w:r>
        <w:t>90</w:t>
      </w:r>
      <w:r>
        <w:fldChar w:fldCharType="end"/>
      </w:r>
    </w:p>
    <w:p>
      <w:pPr>
        <w:pStyle w:val="TOC8"/>
        <w:rPr>
          <w:rFonts w:asciiTheme="minorHAnsi" w:eastAsiaTheme="minorEastAsia" w:hAnsiTheme="minorHAnsi" w:cstheme="minorBidi"/>
          <w:szCs w:val="22"/>
          <w:lang w:eastAsia="en-AU"/>
        </w:rPr>
      </w:pPr>
      <w:r>
        <w:t>27.</w:t>
      </w:r>
      <w:r>
        <w:tab/>
        <w:t>Berthing and mooring (r. 94C)</w:t>
      </w:r>
      <w:r>
        <w:tab/>
      </w:r>
      <w:r>
        <w:fldChar w:fldCharType="begin"/>
      </w:r>
      <w:r>
        <w:instrText xml:space="preserve"> PAGEREF _Toc355611722 \h </w:instrText>
      </w:r>
      <w:r>
        <w:fldChar w:fldCharType="separate"/>
      </w:r>
      <w:r>
        <w:t>91</w:t>
      </w:r>
      <w:r>
        <w:fldChar w:fldCharType="end"/>
      </w:r>
    </w:p>
    <w:p>
      <w:pPr>
        <w:pStyle w:val="TOC8"/>
        <w:rPr>
          <w:rFonts w:asciiTheme="minorHAnsi" w:eastAsiaTheme="minorEastAsia" w:hAnsiTheme="minorHAnsi" w:cstheme="minorBidi"/>
          <w:szCs w:val="22"/>
          <w:lang w:eastAsia="en-AU"/>
        </w:rPr>
      </w:pPr>
      <w:r>
        <w:t>28.</w:t>
      </w:r>
      <w:r>
        <w:tab/>
        <w:t>Slip services (r. 96)</w:t>
      </w:r>
      <w:r>
        <w:tab/>
      </w:r>
      <w:r>
        <w:fldChar w:fldCharType="begin"/>
      </w:r>
      <w:r>
        <w:instrText xml:space="preserve"> PAGEREF _Toc355611723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1A — Fuel oil wharfage</w:t>
      </w:r>
    </w:p>
    <w:p>
      <w:pPr>
        <w:pStyle w:val="TOC8"/>
        <w:rPr>
          <w:rFonts w:asciiTheme="minorHAnsi" w:eastAsiaTheme="minorEastAsia" w:hAnsiTheme="minorHAnsi" w:cstheme="minorBidi"/>
          <w:szCs w:val="22"/>
          <w:lang w:eastAsia="en-AU"/>
        </w:rPr>
      </w:pPr>
      <w:r>
        <w:t>1.</w:t>
      </w:r>
      <w:r>
        <w:tab/>
        <w:t>Wharfage for fuel (r. 11B(2))</w:t>
      </w:r>
      <w:r>
        <w:tab/>
      </w:r>
      <w:r>
        <w:fldChar w:fldCharType="begin"/>
      </w:r>
      <w:r>
        <w:instrText xml:space="preserve"> PAGEREF _Toc355611725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Port of Perth fees</w:t>
      </w:r>
    </w:p>
    <w:p>
      <w:pPr>
        <w:pStyle w:val="TOC4"/>
        <w:tabs>
          <w:tab w:val="right" w:leader="dot" w:pos="7086"/>
        </w:tabs>
        <w:rPr>
          <w:rFonts w:asciiTheme="minorHAnsi" w:eastAsiaTheme="minorEastAsia" w:hAnsiTheme="minorHAnsi" w:cstheme="minorBidi"/>
          <w:b w:val="0"/>
          <w:szCs w:val="22"/>
          <w:lang w:eastAsia="en-AU"/>
        </w:rPr>
      </w:pPr>
      <w:r>
        <w:t>Division 1</w:t>
      </w:r>
      <w:r>
        <w:rPr>
          <w:bCs/>
        </w:rPr>
        <w:t> — </w:t>
      </w:r>
      <w:r>
        <w:t>Fees for jetties</w:t>
      </w:r>
    </w:p>
    <w:p>
      <w:pPr>
        <w:pStyle w:val="TOC8"/>
        <w:rPr>
          <w:rFonts w:asciiTheme="minorHAnsi" w:eastAsiaTheme="minorEastAsia" w:hAnsiTheme="minorHAnsi" w:cstheme="minorBidi"/>
          <w:szCs w:val="22"/>
          <w:lang w:eastAsia="en-AU"/>
        </w:rPr>
      </w:pPr>
      <w:r>
        <w:t>1.</w:t>
      </w:r>
      <w:r>
        <w:tab/>
        <w:t>Barrack Street and Mends Street jetties</w:t>
      </w:r>
      <w:r>
        <w:tab/>
      </w:r>
      <w:r>
        <w:fldChar w:fldCharType="begin"/>
      </w:r>
      <w:r>
        <w:instrText xml:space="preserve"> PAGEREF _Toc355611728 \h </w:instrText>
      </w:r>
      <w:r>
        <w:fldChar w:fldCharType="separate"/>
      </w:r>
      <w:r>
        <w:t>94</w:t>
      </w:r>
      <w:r>
        <w:fldChar w:fldCharType="end"/>
      </w:r>
    </w:p>
    <w:p>
      <w:pPr>
        <w:pStyle w:val="TOC8"/>
        <w:rPr>
          <w:rFonts w:asciiTheme="minorHAnsi" w:eastAsiaTheme="minorEastAsia" w:hAnsiTheme="minorHAnsi" w:cstheme="minorBidi"/>
          <w:szCs w:val="22"/>
          <w:lang w:eastAsia="en-AU"/>
        </w:rPr>
      </w:pPr>
      <w:r>
        <w:t>2.</w:t>
      </w:r>
      <w:r>
        <w:tab/>
        <w:t>Other jetties in Swan and Canning Rivers</w:t>
      </w:r>
      <w:r>
        <w:tab/>
      </w:r>
      <w:r>
        <w:fldChar w:fldCharType="begin"/>
      </w:r>
      <w:r>
        <w:instrText xml:space="preserve"> PAGEREF _Toc355611729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bCs/>
        </w:rPr>
        <w:t> — </w:t>
      </w:r>
      <w:r>
        <w:t>Fees for boat pens</w:t>
      </w:r>
    </w:p>
    <w:p>
      <w:pPr>
        <w:pStyle w:val="TOC8"/>
        <w:rPr>
          <w:rFonts w:asciiTheme="minorHAnsi" w:eastAsiaTheme="minorEastAsia" w:hAnsiTheme="minorHAnsi" w:cstheme="minorBidi"/>
          <w:szCs w:val="22"/>
          <w:lang w:eastAsia="en-AU"/>
        </w:rPr>
      </w:pPr>
      <w:r>
        <w:t>3.</w:t>
      </w:r>
      <w:r>
        <w:tab/>
        <w:t>Fremantle, Challenger Boat Harbour</w:t>
      </w:r>
      <w:r>
        <w:tab/>
      </w:r>
      <w:r>
        <w:fldChar w:fldCharType="begin"/>
      </w:r>
      <w:r>
        <w:instrText xml:space="preserve"> PAGEREF _Toc355611731 \h </w:instrText>
      </w:r>
      <w:r>
        <w:fldChar w:fldCharType="separate"/>
      </w:r>
      <w:r>
        <w:t>95</w:t>
      </w:r>
      <w:r>
        <w:fldChar w:fldCharType="end"/>
      </w:r>
    </w:p>
    <w:p>
      <w:pPr>
        <w:pStyle w:val="TOC8"/>
        <w:rPr>
          <w:rFonts w:asciiTheme="minorHAnsi" w:eastAsiaTheme="minorEastAsia" w:hAnsiTheme="minorHAnsi" w:cstheme="minorBidi"/>
          <w:szCs w:val="22"/>
          <w:lang w:eastAsia="en-AU"/>
        </w:rPr>
      </w:pPr>
      <w:r>
        <w:t>4.</w:t>
      </w:r>
      <w:r>
        <w:tab/>
        <w:t>Hillarys Boat Harbour</w:t>
      </w:r>
      <w:r>
        <w:tab/>
      </w:r>
      <w:r>
        <w:fldChar w:fldCharType="begin"/>
      </w:r>
      <w:r>
        <w:instrText xml:space="preserve"> PAGEREF _Toc355611732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_Toc355611735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1" w:name="_Toc355611554"/>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2" w:name="_Toc355611555"/>
      <w:r>
        <w:rPr>
          <w:rStyle w:val="CharSectno"/>
        </w:rPr>
        <w:t>2</w:t>
      </w:r>
      <w:r>
        <w:t>.</w:t>
      </w:r>
      <w:r>
        <w:tab/>
        <w:t>Liability for dues, charges and fees</w:t>
      </w:r>
      <w:bookmarkEnd w:id="2"/>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3" w:name="_Toc355611556"/>
      <w:r>
        <w:rPr>
          <w:rStyle w:val="CharSectno"/>
        </w:rPr>
        <w:t>3</w:t>
      </w:r>
      <w:r>
        <w:rPr>
          <w:snapToGrid w:val="0"/>
        </w:rPr>
        <w:t>.</w:t>
      </w:r>
      <w:r>
        <w:rPr>
          <w:snapToGrid w:val="0"/>
        </w:rPr>
        <w:tab/>
        <w:t>Terms used</w:t>
      </w:r>
      <w:bookmarkEnd w:id="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 xml:space="preserve">4.] </w:t>
      </w:r>
    </w:p>
    <w:p>
      <w:pPr>
        <w:pStyle w:val="Heading2"/>
      </w:pPr>
      <w:bookmarkStart w:id="4" w:name="_Toc190232003"/>
      <w:bookmarkStart w:id="5" w:name="_Toc202676713"/>
      <w:bookmarkStart w:id="6" w:name="_Toc202691487"/>
      <w:bookmarkStart w:id="7" w:name="_Toc219773345"/>
      <w:bookmarkStart w:id="8" w:name="_Toc219773600"/>
      <w:bookmarkStart w:id="9" w:name="_Toc221592534"/>
      <w:bookmarkStart w:id="10" w:name="_Toc221609220"/>
      <w:bookmarkStart w:id="11" w:name="_Toc221609402"/>
      <w:bookmarkStart w:id="12" w:name="_Toc223835723"/>
      <w:bookmarkStart w:id="13" w:name="_Toc233539413"/>
      <w:bookmarkStart w:id="14" w:name="_Toc236796512"/>
      <w:bookmarkStart w:id="15" w:name="_Toc266960772"/>
      <w:bookmarkStart w:id="16" w:name="_Toc297293676"/>
      <w:bookmarkStart w:id="17" w:name="_Toc329788375"/>
      <w:bookmarkStart w:id="18" w:name="_Toc329850687"/>
      <w:bookmarkStart w:id="19" w:name="_Toc329850887"/>
      <w:bookmarkStart w:id="20" w:name="_Toc329863166"/>
      <w:bookmarkStart w:id="21" w:name="_Toc329864504"/>
      <w:bookmarkStart w:id="22" w:name="_Toc346790934"/>
      <w:bookmarkStart w:id="23" w:name="_Toc355611557"/>
      <w:r>
        <w:rPr>
          <w:rStyle w:val="CharPartNo"/>
        </w:rPr>
        <w:t>Part 1</w:t>
      </w:r>
      <w:r>
        <w:t> — </w:t>
      </w:r>
      <w:r>
        <w:rPr>
          <w:rStyle w:val="CharPartText"/>
        </w:rPr>
        <w:t>Regulations applying to jetties controlled by the Department</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Footnoteheading"/>
      </w:pPr>
      <w:r>
        <w:tab/>
        <w:t xml:space="preserve">[Heading inserted in Gazette 19 May 1989 p. 1494.] </w:t>
      </w:r>
    </w:p>
    <w:p>
      <w:pPr>
        <w:pStyle w:val="Heading3"/>
        <w:rPr>
          <w:snapToGrid w:val="0"/>
        </w:rPr>
      </w:pPr>
      <w:bookmarkStart w:id="24" w:name="_Toc190232004"/>
      <w:bookmarkStart w:id="25" w:name="_Toc202676714"/>
      <w:bookmarkStart w:id="26" w:name="_Toc202691488"/>
      <w:bookmarkStart w:id="27" w:name="_Toc219773346"/>
      <w:bookmarkStart w:id="28" w:name="_Toc219773601"/>
      <w:bookmarkStart w:id="29" w:name="_Toc221592535"/>
      <w:bookmarkStart w:id="30" w:name="_Toc221609221"/>
      <w:bookmarkStart w:id="31" w:name="_Toc221609403"/>
      <w:bookmarkStart w:id="32" w:name="_Toc223835724"/>
      <w:bookmarkStart w:id="33" w:name="_Toc233539414"/>
      <w:bookmarkStart w:id="34" w:name="_Toc236796513"/>
      <w:bookmarkStart w:id="35" w:name="_Toc266960773"/>
      <w:bookmarkStart w:id="36" w:name="_Toc297293677"/>
      <w:bookmarkStart w:id="37" w:name="_Toc329788376"/>
      <w:bookmarkStart w:id="38" w:name="_Toc329850688"/>
      <w:bookmarkStart w:id="39" w:name="_Toc329850888"/>
      <w:bookmarkStart w:id="40" w:name="_Toc329863167"/>
      <w:bookmarkStart w:id="41" w:name="_Toc329864505"/>
      <w:bookmarkStart w:id="42" w:name="_Toc346790935"/>
      <w:bookmarkStart w:id="43" w:name="_Toc355611558"/>
      <w:r>
        <w:rPr>
          <w:rStyle w:val="CharDivNo"/>
        </w:rPr>
        <w:t>Division 1</w:t>
      </w:r>
      <w:r>
        <w:rPr>
          <w:snapToGrid w:val="0"/>
        </w:rPr>
        <w:t> — </w:t>
      </w:r>
      <w:r>
        <w:rPr>
          <w:rStyle w:val="CharDivText"/>
        </w:rPr>
        <w:t>Application of this Part</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DivText"/>
        </w:rPr>
        <w:t xml:space="preserve"> </w:t>
      </w:r>
    </w:p>
    <w:p>
      <w:pPr>
        <w:pStyle w:val="Footnoteheading"/>
      </w:pPr>
      <w:r>
        <w:tab/>
        <w:t xml:space="preserve">[Heading inserted in Gazette 19 May 1989 p. 1494.] </w:t>
      </w:r>
    </w:p>
    <w:p>
      <w:pPr>
        <w:pStyle w:val="Heading5"/>
        <w:rPr>
          <w:snapToGrid w:val="0"/>
        </w:rPr>
      </w:pPr>
      <w:bookmarkStart w:id="44" w:name="_Toc355611559"/>
      <w:r>
        <w:rPr>
          <w:rStyle w:val="CharSectno"/>
        </w:rPr>
        <w:t>3A</w:t>
      </w:r>
      <w:r>
        <w:rPr>
          <w:snapToGrid w:val="0"/>
        </w:rPr>
        <w:t>.</w:t>
      </w:r>
      <w:r>
        <w:rPr>
          <w:snapToGrid w:val="0"/>
        </w:rPr>
        <w:tab/>
        <w:t>Application</w:t>
      </w:r>
      <w:bookmarkEnd w:id="4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45" w:name="_Toc190232006"/>
      <w:bookmarkStart w:id="46" w:name="_Toc202676716"/>
      <w:bookmarkStart w:id="47" w:name="_Toc202691490"/>
      <w:bookmarkStart w:id="48" w:name="_Toc219773348"/>
      <w:bookmarkStart w:id="49" w:name="_Toc219773603"/>
      <w:bookmarkStart w:id="50" w:name="_Toc221592537"/>
      <w:bookmarkStart w:id="51" w:name="_Toc221609223"/>
      <w:bookmarkStart w:id="52" w:name="_Toc221609405"/>
      <w:bookmarkStart w:id="53" w:name="_Toc223835726"/>
      <w:bookmarkStart w:id="54" w:name="_Toc233539416"/>
      <w:bookmarkStart w:id="55" w:name="_Toc236796515"/>
      <w:bookmarkStart w:id="56" w:name="_Toc266960775"/>
      <w:bookmarkStart w:id="57" w:name="_Toc297293679"/>
      <w:bookmarkStart w:id="58" w:name="_Toc329788378"/>
      <w:bookmarkStart w:id="59" w:name="_Toc329850690"/>
      <w:bookmarkStart w:id="60" w:name="_Toc329850890"/>
      <w:bookmarkStart w:id="61" w:name="_Toc329863169"/>
      <w:bookmarkStart w:id="62" w:name="_Toc329864507"/>
      <w:bookmarkStart w:id="63" w:name="_Toc346790937"/>
      <w:bookmarkStart w:id="64" w:name="_Toc355611560"/>
      <w:r>
        <w:rPr>
          <w:rStyle w:val="CharDivNo"/>
        </w:rPr>
        <w:t>Division 2</w:t>
      </w:r>
      <w:r>
        <w:rPr>
          <w:snapToGrid w:val="0"/>
        </w:rPr>
        <w:t> — </w:t>
      </w:r>
      <w:r>
        <w:rPr>
          <w:rStyle w:val="CharDivText"/>
        </w:rPr>
        <w:t>Arrival and movement of vessels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DivText"/>
        </w:rPr>
        <w:t xml:space="preserve"> </w:t>
      </w:r>
    </w:p>
    <w:p>
      <w:pPr>
        <w:pStyle w:val="Footnoteheading"/>
      </w:pPr>
      <w:r>
        <w:tab/>
        <w:t xml:space="preserve">[Heading inserted in Gazette 19 May 1989 p. 1494.] </w:t>
      </w:r>
    </w:p>
    <w:p>
      <w:pPr>
        <w:pStyle w:val="Heading5"/>
        <w:rPr>
          <w:snapToGrid w:val="0"/>
        </w:rPr>
      </w:pPr>
      <w:bookmarkStart w:id="65" w:name="_Toc355611561"/>
      <w:r>
        <w:rPr>
          <w:rStyle w:val="CharSectno"/>
        </w:rPr>
        <w:t>4</w:t>
      </w:r>
      <w:r>
        <w:rPr>
          <w:snapToGrid w:val="0"/>
        </w:rPr>
        <w:t>.</w:t>
      </w:r>
      <w:r>
        <w:rPr>
          <w:snapToGrid w:val="0"/>
        </w:rPr>
        <w:tab/>
        <w:t>Master or agent to report arrival</w:t>
      </w:r>
      <w:bookmarkEnd w:id="65"/>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66" w:name="_Toc355611562"/>
      <w:r>
        <w:rPr>
          <w:rStyle w:val="CharSectno"/>
        </w:rPr>
        <w:t>5</w:t>
      </w:r>
      <w:r>
        <w:rPr>
          <w:snapToGrid w:val="0"/>
        </w:rPr>
        <w:t>.</w:t>
      </w:r>
      <w:r>
        <w:rPr>
          <w:snapToGrid w:val="0"/>
        </w:rPr>
        <w:tab/>
        <w:t>Vessels to change berths</w:t>
      </w:r>
      <w:bookmarkEnd w:id="66"/>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67" w:name="_Toc190232009"/>
      <w:bookmarkStart w:id="68" w:name="_Toc202676719"/>
      <w:bookmarkStart w:id="69" w:name="_Toc202691493"/>
      <w:bookmarkStart w:id="70" w:name="_Toc219773351"/>
      <w:bookmarkStart w:id="71" w:name="_Toc219773606"/>
      <w:bookmarkStart w:id="72" w:name="_Toc221592540"/>
      <w:bookmarkStart w:id="73" w:name="_Toc221609226"/>
      <w:bookmarkStart w:id="74" w:name="_Toc221609408"/>
      <w:bookmarkStart w:id="75" w:name="_Toc223835729"/>
      <w:bookmarkStart w:id="76" w:name="_Toc233539419"/>
      <w:bookmarkStart w:id="77" w:name="_Toc236796518"/>
      <w:bookmarkStart w:id="78" w:name="_Toc266960778"/>
      <w:bookmarkStart w:id="79" w:name="_Toc297293682"/>
      <w:bookmarkStart w:id="80" w:name="_Toc329788381"/>
      <w:bookmarkStart w:id="81" w:name="_Toc329850693"/>
      <w:bookmarkStart w:id="82" w:name="_Toc329850893"/>
      <w:bookmarkStart w:id="83" w:name="_Toc329863172"/>
      <w:bookmarkStart w:id="84" w:name="_Toc329864510"/>
      <w:bookmarkStart w:id="85" w:name="_Toc346790940"/>
      <w:bookmarkStart w:id="86" w:name="_Toc355611563"/>
      <w:r>
        <w:rPr>
          <w:rStyle w:val="CharDivNo"/>
        </w:rPr>
        <w:t>Division 3</w:t>
      </w:r>
      <w:r>
        <w:rPr>
          <w:snapToGrid w:val="0"/>
        </w:rPr>
        <w:t> — </w:t>
      </w:r>
      <w:r>
        <w:rPr>
          <w:rStyle w:val="CharDivText"/>
        </w:rPr>
        <w:t>Berthing dues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87" w:name="_Toc355611564"/>
      <w:r>
        <w:rPr>
          <w:rStyle w:val="CharSectno"/>
        </w:rPr>
        <w:t>6</w:t>
      </w:r>
      <w:r>
        <w:rPr>
          <w:snapToGrid w:val="0"/>
        </w:rPr>
        <w:t>.</w:t>
      </w:r>
      <w:r>
        <w:rPr>
          <w:snapToGrid w:val="0"/>
        </w:rPr>
        <w:tab/>
        <w:t>Berthing dues to be charged</w:t>
      </w:r>
      <w:bookmarkEnd w:id="87"/>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88" w:name="_Toc355611565"/>
      <w:r>
        <w:rPr>
          <w:rStyle w:val="CharSectno"/>
        </w:rPr>
        <w:t>6A</w:t>
      </w:r>
      <w:r>
        <w:t>.</w:t>
      </w:r>
      <w:r>
        <w:tab/>
        <w:t>Requirement to pay berthing dues</w:t>
      </w:r>
      <w:bookmarkEnd w:id="88"/>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89" w:name="_Toc355611566"/>
      <w:r>
        <w:rPr>
          <w:rStyle w:val="CharSectno"/>
        </w:rPr>
        <w:t>7</w:t>
      </w:r>
      <w:r>
        <w:rPr>
          <w:snapToGrid w:val="0"/>
        </w:rPr>
        <w:t>.</w:t>
      </w:r>
      <w:r>
        <w:rPr>
          <w:snapToGrid w:val="0"/>
        </w:rPr>
        <w:tab/>
        <w:t>Computation of berthing dues</w:t>
      </w:r>
      <w:bookmarkEnd w:id="8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90" w:name="_Toc355611567"/>
      <w:r>
        <w:rPr>
          <w:rStyle w:val="CharSectno"/>
        </w:rPr>
        <w:t>8</w:t>
      </w:r>
      <w:r>
        <w:rPr>
          <w:snapToGrid w:val="0"/>
        </w:rPr>
        <w:t>.</w:t>
      </w:r>
      <w:r>
        <w:rPr>
          <w:snapToGrid w:val="0"/>
        </w:rPr>
        <w:tab/>
        <w:t>Inwards manifests</w:t>
      </w:r>
      <w:bookmarkEnd w:id="90"/>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91" w:name="_Toc355611568"/>
      <w:r>
        <w:rPr>
          <w:rStyle w:val="CharSectno"/>
        </w:rPr>
        <w:t>9</w:t>
      </w:r>
      <w:r>
        <w:rPr>
          <w:snapToGrid w:val="0"/>
        </w:rPr>
        <w:t>.</w:t>
      </w:r>
      <w:r>
        <w:rPr>
          <w:snapToGrid w:val="0"/>
        </w:rPr>
        <w:tab/>
        <w:t>Outwards manifests</w:t>
      </w:r>
      <w:bookmarkEnd w:id="91"/>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92" w:name="_Toc190232015"/>
      <w:bookmarkStart w:id="93" w:name="_Toc202676725"/>
      <w:bookmarkStart w:id="94" w:name="_Toc202691499"/>
      <w:bookmarkStart w:id="95" w:name="_Toc219773357"/>
      <w:bookmarkStart w:id="96" w:name="_Toc219773612"/>
      <w:bookmarkStart w:id="97" w:name="_Toc221592546"/>
      <w:bookmarkStart w:id="98" w:name="_Toc221609232"/>
      <w:bookmarkStart w:id="99" w:name="_Toc221609414"/>
      <w:bookmarkStart w:id="100" w:name="_Toc223835735"/>
      <w:bookmarkStart w:id="101" w:name="_Toc233539425"/>
      <w:bookmarkStart w:id="102" w:name="_Toc236796524"/>
      <w:bookmarkStart w:id="103" w:name="_Toc266960784"/>
      <w:bookmarkStart w:id="104" w:name="_Toc297293688"/>
      <w:bookmarkStart w:id="105" w:name="_Toc329788387"/>
      <w:bookmarkStart w:id="106" w:name="_Toc329850699"/>
      <w:bookmarkStart w:id="107" w:name="_Toc329850899"/>
      <w:bookmarkStart w:id="108" w:name="_Toc329863178"/>
      <w:bookmarkStart w:id="109" w:name="_Toc329864516"/>
      <w:bookmarkStart w:id="110" w:name="_Toc346790946"/>
      <w:bookmarkStart w:id="111" w:name="_Toc355611569"/>
      <w:r>
        <w:rPr>
          <w:rStyle w:val="CharDivNo"/>
        </w:rPr>
        <w:t>Division 4</w:t>
      </w:r>
      <w:r>
        <w:rPr>
          <w:snapToGrid w:val="0"/>
        </w:rPr>
        <w:t> — </w:t>
      </w:r>
      <w:r>
        <w:rPr>
          <w:rStyle w:val="CharDivText"/>
        </w:rPr>
        <w:t>Wharfage dues, handling and haulage charges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112" w:name="_Toc355611570"/>
      <w:r>
        <w:rPr>
          <w:rStyle w:val="CharSectno"/>
        </w:rPr>
        <w:t>10A</w:t>
      </w:r>
      <w:r>
        <w:rPr>
          <w:snapToGrid w:val="0"/>
        </w:rPr>
        <w:t>.</w:t>
      </w:r>
      <w:r>
        <w:rPr>
          <w:snapToGrid w:val="0"/>
        </w:rPr>
        <w:tab/>
        <w:t>Payment of dues and charges</w:t>
      </w:r>
      <w:bookmarkEnd w:id="112"/>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113" w:name="_Toc355611571"/>
      <w:r>
        <w:rPr>
          <w:rStyle w:val="CharSectno"/>
        </w:rPr>
        <w:t>11</w:t>
      </w:r>
      <w:r>
        <w:rPr>
          <w:snapToGrid w:val="0"/>
        </w:rPr>
        <w:t>.</w:t>
      </w:r>
      <w:r>
        <w:rPr>
          <w:snapToGrid w:val="0"/>
        </w:rPr>
        <w:tab/>
        <w:t>Charges for transhipment cargo</w:t>
      </w:r>
      <w:bookmarkEnd w:id="113"/>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114" w:name="_Toc355611572"/>
      <w:r>
        <w:rPr>
          <w:rStyle w:val="CharSectno"/>
        </w:rPr>
        <w:t>11B</w:t>
      </w:r>
      <w:r>
        <w:rPr>
          <w:snapToGrid w:val="0"/>
        </w:rPr>
        <w:t>.</w:t>
      </w:r>
      <w:r>
        <w:rPr>
          <w:snapToGrid w:val="0"/>
        </w:rPr>
        <w:tab/>
        <w:t>Charges on vessels’ stores, including fuel oil</w:t>
      </w:r>
      <w:bookmarkEnd w:id="114"/>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115" w:name="_Toc355611573"/>
      <w:r>
        <w:rPr>
          <w:rStyle w:val="CharSectno"/>
        </w:rPr>
        <w:t>12</w:t>
      </w:r>
      <w:r>
        <w:rPr>
          <w:snapToGrid w:val="0"/>
        </w:rPr>
        <w:t>.</w:t>
      </w:r>
      <w:r>
        <w:rPr>
          <w:snapToGrid w:val="0"/>
        </w:rPr>
        <w:tab/>
        <w:t>Charges to be paid before delivery of cargo</w:t>
      </w:r>
      <w:bookmarkEnd w:id="115"/>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116" w:name="_Toc355611574"/>
      <w:r>
        <w:rPr>
          <w:rStyle w:val="CharSectno"/>
        </w:rPr>
        <w:t>13</w:t>
      </w:r>
      <w:r>
        <w:rPr>
          <w:snapToGrid w:val="0"/>
        </w:rPr>
        <w:t>.</w:t>
      </w:r>
      <w:r>
        <w:rPr>
          <w:snapToGrid w:val="0"/>
        </w:rPr>
        <w:tab/>
        <w:t>Extra charges</w:t>
      </w:r>
      <w:bookmarkEnd w:id="116"/>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117" w:name="_Toc190232021"/>
      <w:bookmarkStart w:id="118" w:name="_Toc202676731"/>
      <w:bookmarkStart w:id="119" w:name="_Toc202691505"/>
      <w:bookmarkStart w:id="120" w:name="_Toc219773363"/>
      <w:bookmarkStart w:id="121" w:name="_Toc219773618"/>
      <w:bookmarkStart w:id="122" w:name="_Toc221592552"/>
      <w:bookmarkStart w:id="123" w:name="_Toc221609238"/>
      <w:bookmarkStart w:id="124" w:name="_Toc221609420"/>
      <w:bookmarkStart w:id="125" w:name="_Toc223835741"/>
      <w:bookmarkStart w:id="126" w:name="_Toc233539431"/>
      <w:bookmarkStart w:id="127" w:name="_Toc236796530"/>
      <w:bookmarkStart w:id="128" w:name="_Toc266960790"/>
      <w:bookmarkStart w:id="129" w:name="_Toc297293694"/>
      <w:bookmarkStart w:id="130" w:name="_Toc329788393"/>
      <w:bookmarkStart w:id="131" w:name="_Toc329850705"/>
      <w:bookmarkStart w:id="132" w:name="_Toc329850905"/>
      <w:bookmarkStart w:id="133" w:name="_Toc329863184"/>
      <w:bookmarkStart w:id="134" w:name="_Toc329864522"/>
      <w:bookmarkStart w:id="135" w:name="_Toc346790952"/>
      <w:bookmarkStart w:id="136" w:name="_Toc355611575"/>
      <w:r>
        <w:rPr>
          <w:rStyle w:val="CharDivNo"/>
        </w:rPr>
        <w:t>Division 5</w:t>
      </w:r>
      <w:r>
        <w:rPr>
          <w:snapToGrid w:val="0"/>
        </w:rPr>
        <w:t> — </w:t>
      </w:r>
      <w:r>
        <w:rPr>
          <w:rStyle w:val="CharDivText"/>
        </w:rPr>
        <w:t>Handling of cargo</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137" w:name="_Toc355611576"/>
      <w:r>
        <w:rPr>
          <w:rStyle w:val="CharSectno"/>
        </w:rPr>
        <w:t>14</w:t>
      </w:r>
      <w:r>
        <w:rPr>
          <w:snapToGrid w:val="0"/>
        </w:rPr>
        <w:t>.</w:t>
      </w:r>
      <w:r>
        <w:rPr>
          <w:snapToGrid w:val="0"/>
        </w:rPr>
        <w:tab/>
        <w:t>Cargo not to be placed on jetties or premises without authority</w:t>
      </w:r>
      <w:bookmarkEnd w:id="137"/>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138" w:name="_Toc355611577"/>
      <w:r>
        <w:rPr>
          <w:rStyle w:val="CharSectno"/>
        </w:rPr>
        <w:t>15</w:t>
      </w:r>
      <w:r>
        <w:rPr>
          <w:snapToGrid w:val="0"/>
        </w:rPr>
        <w:t>.</w:t>
      </w:r>
      <w:r>
        <w:rPr>
          <w:snapToGrid w:val="0"/>
        </w:rPr>
        <w:tab/>
        <w:t>Discharging of cargo may be stopped</w:t>
      </w:r>
      <w:bookmarkEnd w:id="138"/>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39" w:name="_Toc355611578"/>
      <w:r>
        <w:rPr>
          <w:rStyle w:val="CharSectno"/>
        </w:rPr>
        <w:t>16</w:t>
      </w:r>
      <w:r>
        <w:rPr>
          <w:snapToGrid w:val="0"/>
        </w:rPr>
        <w:t>.</w:t>
      </w:r>
      <w:r>
        <w:rPr>
          <w:snapToGrid w:val="0"/>
        </w:rPr>
        <w:tab/>
        <w:t>Goods not to be shifted without authority</w:t>
      </w:r>
      <w:bookmarkEnd w:id="139"/>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40" w:name="_Toc355611579"/>
      <w:r>
        <w:rPr>
          <w:rStyle w:val="CharSectno"/>
        </w:rPr>
        <w:t>17</w:t>
      </w:r>
      <w:r>
        <w:rPr>
          <w:snapToGrid w:val="0"/>
        </w:rPr>
        <w:t>.</w:t>
      </w:r>
      <w:r>
        <w:rPr>
          <w:snapToGrid w:val="0"/>
        </w:rPr>
        <w:tab/>
        <w:t>Bulk cargo not to be deposited without authority</w:t>
      </w:r>
      <w:bookmarkEnd w:id="140"/>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41" w:name="_Toc355611580"/>
      <w:r>
        <w:rPr>
          <w:rStyle w:val="CharSectno"/>
        </w:rPr>
        <w:t>18</w:t>
      </w:r>
      <w:r>
        <w:rPr>
          <w:snapToGrid w:val="0"/>
        </w:rPr>
        <w:t>.</w:t>
      </w:r>
      <w:r>
        <w:rPr>
          <w:snapToGrid w:val="0"/>
        </w:rPr>
        <w:tab/>
        <w:t>Outward cargo advice notes</w:t>
      </w:r>
      <w:bookmarkEnd w:id="141"/>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42" w:name="_Toc355611581"/>
      <w:r>
        <w:rPr>
          <w:rStyle w:val="CharSectno"/>
        </w:rPr>
        <w:t>19</w:t>
      </w:r>
      <w:r>
        <w:rPr>
          <w:snapToGrid w:val="0"/>
        </w:rPr>
        <w:t>.</w:t>
      </w:r>
      <w:r>
        <w:rPr>
          <w:snapToGrid w:val="0"/>
        </w:rPr>
        <w:tab/>
        <w:t>Outward cargo</w:t>
      </w:r>
      <w:bookmarkEnd w:id="142"/>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43" w:name="_Toc355611582"/>
      <w:r>
        <w:rPr>
          <w:rStyle w:val="CharSectno"/>
        </w:rPr>
        <w:t>20</w:t>
      </w:r>
      <w:r>
        <w:rPr>
          <w:snapToGrid w:val="0"/>
        </w:rPr>
        <w:t>.</w:t>
      </w:r>
      <w:r>
        <w:rPr>
          <w:snapToGrid w:val="0"/>
        </w:rPr>
        <w:tab/>
        <w:t>Dangerous cargo not to be shipped without permission</w:t>
      </w:r>
      <w:bookmarkEnd w:id="143"/>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44" w:name="_Toc355611583"/>
      <w:r>
        <w:rPr>
          <w:rStyle w:val="CharSectno"/>
        </w:rPr>
        <w:t>21</w:t>
      </w:r>
      <w:r>
        <w:rPr>
          <w:snapToGrid w:val="0"/>
        </w:rPr>
        <w:t>.</w:t>
      </w:r>
      <w:r>
        <w:rPr>
          <w:snapToGrid w:val="0"/>
        </w:rPr>
        <w:tab/>
        <w:t>Dangerous cargo may be refused or examined</w:t>
      </w:r>
      <w:bookmarkEnd w:id="144"/>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45" w:name="_Toc355611584"/>
      <w:r>
        <w:rPr>
          <w:rStyle w:val="CharSectno"/>
        </w:rPr>
        <w:t>22</w:t>
      </w:r>
      <w:r>
        <w:rPr>
          <w:snapToGrid w:val="0"/>
        </w:rPr>
        <w:t>.</w:t>
      </w:r>
      <w:r>
        <w:rPr>
          <w:snapToGrid w:val="0"/>
        </w:rPr>
        <w:tab/>
        <w:t>Marking of heavy packages</w:t>
      </w:r>
      <w:bookmarkEnd w:id="145"/>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46" w:name="_Toc355611585"/>
      <w:r>
        <w:rPr>
          <w:rStyle w:val="CharSectno"/>
        </w:rPr>
        <w:t>23</w:t>
      </w:r>
      <w:r>
        <w:rPr>
          <w:snapToGrid w:val="0"/>
        </w:rPr>
        <w:t>.</w:t>
      </w:r>
      <w:r>
        <w:rPr>
          <w:snapToGrid w:val="0"/>
        </w:rPr>
        <w:tab/>
        <w:t>False statements</w:t>
      </w:r>
      <w:bookmarkEnd w:id="146"/>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47" w:name="_Toc190232032"/>
      <w:bookmarkStart w:id="148" w:name="_Toc202676742"/>
      <w:bookmarkStart w:id="149" w:name="_Toc202691516"/>
      <w:bookmarkStart w:id="150" w:name="_Toc219773374"/>
      <w:bookmarkStart w:id="151" w:name="_Toc219773629"/>
      <w:bookmarkStart w:id="152" w:name="_Toc221592563"/>
      <w:bookmarkStart w:id="153" w:name="_Toc221609249"/>
      <w:bookmarkStart w:id="154" w:name="_Toc221609431"/>
      <w:bookmarkStart w:id="155" w:name="_Toc223835752"/>
      <w:bookmarkStart w:id="156" w:name="_Toc233539442"/>
      <w:bookmarkStart w:id="157" w:name="_Toc236796541"/>
      <w:bookmarkStart w:id="158" w:name="_Toc266960801"/>
      <w:bookmarkStart w:id="159" w:name="_Toc297293705"/>
      <w:bookmarkStart w:id="160" w:name="_Toc329788404"/>
      <w:bookmarkStart w:id="161" w:name="_Toc329850716"/>
      <w:bookmarkStart w:id="162" w:name="_Toc329850916"/>
      <w:bookmarkStart w:id="163" w:name="_Toc329863195"/>
      <w:bookmarkStart w:id="164" w:name="_Toc329864533"/>
      <w:bookmarkStart w:id="165" w:name="_Toc346790963"/>
      <w:bookmarkStart w:id="166" w:name="_Toc355611586"/>
      <w:r>
        <w:rPr>
          <w:rStyle w:val="CharDivNo"/>
        </w:rPr>
        <w:t>Division 6</w:t>
      </w:r>
      <w:r>
        <w:rPr>
          <w:snapToGrid w:val="0"/>
        </w:rPr>
        <w:t> — </w:t>
      </w:r>
      <w:r>
        <w:rPr>
          <w:rStyle w:val="CharDivText"/>
        </w:rPr>
        <w:t>Receipt, delivery and storage of cargo</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167" w:name="_Toc355611587"/>
      <w:r>
        <w:rPr>
          <w:rStyle w:val="CharSectno"/>
        </w:rPr>
        <w:t>24</w:t>
      </w:r>
      <w:r>
        <w:rPr>
          <w:snapToGrid w:val="0"/>
        </w:rPr>
        <w:t>.</w:t>
      </w:r>
      <w:r>
        <w:rPr>
          <w:snapToGrid w:val="0"/>
        </w:rPr>
        <w:tab/>
        <w:t>Removal of cargo</w:t>
      </w:r>
      <w:bookmarkEnd w:id="167"/>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68" w:name="_Toc355611588"/>
      <w:r>
        <w:rPr>
          <w:rStyle w:val="CharSectno"/>
        </w:rPr>
        <w:t>25</w:t>
      </w:r>
      <w:r>
        <w:rPr>
          <w:snapToGrid w:val="0"/>
        </w:rPr>
        <w:t>.</w:t>
      </w:r>
      <w:r>
        <w:rPr>
          <w:snapToGrid w:val="0"/>
        </w:rPr>
        <w:tab/>
        <w:t>Storage charges</w:t>
      </w:r>
      <w:bookmarkEnd w:id="168"/>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169" w:name="_Toc355611589"/>
      <w:r>
        <w:rPr>
          <w:rStyle w:val="CharSectno"/>
        </w:rPr>
        <w:t>26</w:t>
      </w:r>
      <w:r>
        <w:rPr>
          <w:snapToGrid w:val="0"/>
        </w:rPr>
        <w:t>.</w:t>
      </w:r>
      <w:r>
        <w:rPr>
          <w:snapToGrid w:val="0"/>
        </w:rPr>
        <w:tab/>
        <w:t>Department not bound to find storage accommodation</w:t>
      </w:r>
      <w:bookmarkEnd w:id="169"/>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70" w:name="_Toc355611590"/>
      <w:r>
        <w:rPr>
          <w:rStyle w:val="CharSectno"/>
        </w:rPr>
        <w:t>27</w:t>
      </w:r>
      <w:r>
        <w:rPr>
          <w:snapToGrid w:val="0"/>
        </w:rPr>
        <w:t>.</w:t>
      </w:r>
      <w:r>
        <w:rPr>
          <w:snapToGrid w:val="0"/>
        </w:rPr>
        <w:tab/>
        <w:t>Goods may be disposed of</w:t>
      </w:r>
      <w:bookmarkEnd w:id="170"/>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71" w:name="_Toc355611591"/>
      <w:r>
        <w:rPr>
          <w:rStyle w:val="CharSectno"/>
        </w:rPr>
        <w:t>28</w:t>
      </w:r>
      <w:r>
        <w:rPr>
          <w:snapToGrid w:val="0"/>
        </w:rPr>
        <w:t>.</w:t>
      </w:r>
      <w:r>
        <w:rPr>
          <w:snapToGrid w:val="0"/>
        </w:rPr>
        <w:tab/>
        <w:t>Goods to be checked before delivery</w:t>
      </w:r>
      <w:bookmarkEnd w:id="171"/>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72" w:name="_Toc355611592"/>
      <w:r>
        <w:rPr>
          <w:rStyle w:val="CharSectno"/>
        </w:rPr>
        <w:t>29</w:t>
      </w:r>
      <w:r>
        <w:rPr>
          <w:snapToGrid w:val="0"/>
        </w:rPr>
        <w:t>.</w:t>
      </w:r>
      <w:r>
        <w:rPr>
          <w:snapToGrid w:val="0"/>
        </w:rPr>
        <w:tab/>
        <w:t>Delay in delivery</w:t>
      </w:r>
      <w:bookmarkEnd w:id="172"/>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73" w:name="_Toc355611593"/>
      <w:r>
        <w:rPr>
          <w:rStyle w:val="CharSectno"/>
        </w:rPr>
        <w:t>30</w:t>
      </w:r>
      <w:r>
        <w:rPr>
          <w:snapToGrid w:val="0"/>
        </w:rPr>
        <w:t>.</w:t>
      </w:r>
      <w:r>
        <w:rPr>
          <w:snapToGrid w:val="0"/>
        </w:rPr>
        <w:tab/>
        <w:t>Wrong delivery</w:t>
      </w:r>
      <w:bookmarkEnd w:id="173"/>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74" w:name="_Toc190232040"/>
      <w:bookmarkStart w:id="175" w:name="_Toc202676750"/>
      <w:bookmarkStart w:id="176" w:name="_Toc202691524"/>
      <w:bookmarkStart w:id="177" w:name="_Toc219773382"/>
      <w:bookmarkStart w:id="178" w:name="_Toc219773637"/>
      <w:bookmarkStart w:id="179" w:name="_Toc221592571"/>
      <w:bookmarkStart w:id="180" w:name="_Toc221609257"/>
      <w:bookmarkStart w:id="181" w:name="_Toc221609439"/>
      <w:bookmarkStart w:id="182" w:name="_Toc223835760"/>
      <w:bookmarkStart w:id="183" w:name="_Toc233539450"/>
      <w:bookmarkStart w:id="184" w:name="_Toc236796549"/>
      <w:bookmarkStart w:id="185" w:name="_Toc266960809"/>
      <w:bookmarkStart w:id="186" w:name="_Toc297293713"/>
      <w:bookmarkStart w:id="187" w:name="_Toc329788412"/>
      <w:bookmarkStart w:id="188" w:name="_Toc329850724"/>
      <w:bookmarkStart w:id="189" w:name="_Toc329850924"/>
      <w:bookmarkStart w:id="190" w:name="_Toc329863203"/>
      <w:bookmarkStart w:id="191" w:name="_Toc329864541"/>
      <w:bookmarkStart w:id="192" w:name="_Toc346790971"/>
      <w:bookmarkStart w:id="193" w:name="_Toc355611594"/>
      <w:r>
        <w:rPr>
          <w:rStyle w:val="CharDivNo"/>
        </w:rPr>
        <w:t>Division 7</w:t>
      </w:r>
      <w:r>
        <w:rPr>
          <w:snapToGrid w:val="0"/>
        </w:rPr>
        <w:t> — </w:t>
      </w:r>
      <w:r>
        <w:rPr>
          <w:rStyle w:val="CharDivText"/>
        </w:rPr>
        <w:t>Responsibility of Department</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Footnoteheading"/>
      </w:pPr>
      <w:r>
        <w:tab/>
        <w:t xml:space="preserve">[Heading inserted in Gazette of 19 May 1989 p. 1494.] </w:t>
      </w:r>
    </w:p>
    <w:p>
      <w:pPr>
        <w:pStyle w:val="Heading5"/>
        <w:rPr>
          <w:snapToGrid w:val="0"/>
        </w:rPr>
      </w:pPr>
      <w:bookmarkStart w:id="194" w:name="_Toc355611595"/>
      <w:r>
        <w:rPr>
          <w:rStyle w:val="CharSectno"/>
        </w:rPr>
        <w:t>31</w:t>
      </w:r>
      <w:r>
        <w:rPr>
          <w:snapToGrid w:val="0"/>
        </w:rPr>
        <w:t>.</w:t>
      </w:r>
      <w:r>
        <w:rPr>
          <w:snapToGrid w:val="0"/>
        </w:rPr>
        <w:tab/>
        <w:t>Custody of cargo</w:t>
      </w:r>
      <w:bookmarkEnd w:id="194"/>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195" w:name="_Toc355611596"/>
      <w:r>
        <w:rPr>
          <w:rStyle w:val="CharSectno"/>
        </w:rPr>
        <w:t>32</w:t>
      </w:r>
      <w:r>
        <w:rPr>
          <w:snapToGrid w:val="0"/>
        </w:rPr>
        <w:t>.</w:t>
      </w:r>
      <w:r>
        <w:rPr>
          <w:snapToGrid w:val="0"/>
        </w:rPr>
        <w:tab/>
        <w:t>Goods without receipts</w:t>
      </w:r>
      <w:bookmarkEnd w:id="195"/>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196" w:name="_Toc355611597"/>
      <w:r>
        <w:rPr>
          <w:rStyle w:val="CharSectno"/>
        </w:rPr>
        <w:t>33</w:t>
      </w:r>
      <w:r>
        <w:rPr>
          <w:snapToGrid w:val="0"/>
        </w:rPr>
        <w:t>.</w:t>
      </w:r>
      <w:r>
        <w:rPr>
          <w:snapToGrid w:val="0"/>
        </w:rPr>
        <w:tab/>
        <w:t>Goods stacked on jetties</w:t>
      </w:r>
      <w:bookmarkEnd w:id="196"/>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97" w:name="_Toc355611598"/>
      <w:r>
        <w:rPr>
          <w:rStyle w:val="CharSectno"/>
        </w:rPr>
        <w:t>34</w:t>
      </w:r>
      <w:r>
        <w:rPr>
          <w:snapToGrid w:val="0"/>
        </w:rPr>
        <w:t>.</w:t>
      </w:r>
      <w:r>
        <w:rPr>
          <w:snapToGrid w:val="0"/>
        </w:rPr>
        <w:tab/>
        <w:t>Cargo damaged by fire etc.</w:t>
      </w:r>
      <w:bookmarkEnd w:id="197"/>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98" w:name="_Toc355611599"/>
      <w:r>
        <w:rPr>
          <w:rStyle w:val="CharSectno"/>
        </w:rPr>
        <w:t>35</w:t>
      </w:r>
      <w:r>
        <w:rPr>
          <w:snapToGrid w:val="0"/>
        </w:rPr>
        <w:t>.</w:t>
      </w:r>
      <w:r>
        <w:rPr>
          <w:snapToGrid w:val="0"/>
        </w:rPr>
        <w:tab/>
        <w:t>Goods insufficiently packed</w:t>
      </w:r>
      <w:bookmarkEnd w:id="198"/>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99" w:name="_Toc355611600"/>
      <w:r>
        <w:rPr>
          <w:rStyle w:val="CharSectno"/>
        </w:rPr>
        <w:t>36</w:t>
      </w:r>
      <w:r>
        <w:rPr>
          <w:snapToGrid w:val="0"/>
        </w:rPr>
        <w:t>.</w:t>
      </w:r>
      <w:r>
        <w:rPr>
          <w:snapToGrid w:val="0"/>
        </w:rPr>
        <w:tab/>
        <w:t>Claims in respect of cargo</w:t>
      </w:r>
      <w:bookmarkEnd w:id="199"/>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200" w:name="_Toc190232047"/>
      <w:bookmarkStart w:id="201" w:name="_Toc202676757"/>
      <w:bookmarkStart w:id="202" w:name="_Toc202691531"/>
      <w:bookmarkStart w:id="203" w:name="_Toc219773389"/>
      <w:bookmarkStart w:id="204" w:name="_Toc219773644"/>
      <w:bookmarkStart w:id="205" w:name="_Toc221592578"/>
      <w:bookmarkStart w:id="206" w:name="_Toc221609264"/>
      <w:bookmarkStart w:id="207" w:name="_Toc221609446"/>
      <w:bookmarkStart w:id="208" w:name="_Toc223835767"/>
      <w:bookmarkStart w:id="209" w:name="_Toc233539457"/>
      <w:bookmarkStart w:id="210" w:name="_Toc236796556"/>
      <w:bookmarkStart w:id="211" w:name="_Toc266960816"/>
      <w:bookmarkStart w:id="212" w:name="_Toc297293720"/>
      <w:bookmarkStart w:id="213" w:name="_Toc329788419"/>
      <w:bookmarkStart w:id="214" w:name="_Toc329850731"/>
      <w:bookmarkStart w:id="215" w:name="_Toc329850931"/>
      <w:bookmarkStart w:id="216" w:name="_Toc329863210"/>
      <w:bookmarkStart w:id="217" w:name="_Toc329864548"/>
      <w:bookmarkStart w:id="218" w:name="_Toc346790978"/>
      <w:bookmarkStart w:id="219" w:name="_Toc355611601"/>
      <w:r>
        <w:rPr>
          <w:rStyle w:val="CharDivNo"/>
        </w:rPr>
        <w:t>Division 8</w:t>
      </w:r>
      <w:r>
        <w:rPr>
          <w:snapToGrid w:val="0"/>
        </w:rPr>
        <w:t> — </w:t>
      </w:r>
      <w:r>
        <w:rPr>
          <w:rStyle w:val="CharDivText"/>
        </w:rPr>
        <w:t>Working hours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20" w:name="_Toc355611602"/>
      <w:r>
        <w:rPr>
          <w:rStyle w:val="CharSectno"/>
        </w:rPr>
        <w:t>37</w:t>
      </w:r>
      <w:r>
        <w:rPr>
          <w:snapToGrid w:val="0"/>
        </w:rPr>
        <w:t>.</w:t>
      </w:r>
      <w:r>
        <w:rPr>
          <w:snapToGrid w:val="0"/>
        </w:rPr>
        <w:tab/>
        <w:t>Ordinary time</w:t>
      </w:r>
      <w:bookmarkEnd w:id="220"/>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221" w:name="_Toc355611603"/>
      <w:r>
        <w:rPr>
          <w:rStyle w:val="CharSectno"/>
        </w:rPr>
        <w:t>38</w:t>
      </w:r>
      <w:r>
        <w:rPr>
          <w:snapToGrid w:val="0"/>
        </w:rPr>
        <w:t>.</w:t>
      </w:r>
      <w:r>
        <w:rPr>
          <w:snapToGrid w:val="0"/>
        </w:rPr>
        <w:tab/>
        <w:t>Overtime</w:t>
      </w:r>
      <w:bookmarkEnd w:id="221"/>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222" w:name="_Toc355611604"/>
      <w:r>
        <w:rPr>
          <w:rStyle w:val="CharSectno"/>
        </w:rPr>
        <w:t>38A</w:t>
      </w:r>
      <w:r>
        <w:rPr>
          <w:snapToGrid w:val="0"/>
        </w:rPr>
        <w:t>.</w:t>
      </w:r>
      <w:r>
        <w:rPr>
          <w:snapToGrid w:val="0"/>
        </w:rPr>
        <w:tab/>
        <w:t>Wages incurred through ships’ delays to be paid for</w:t>
      </w:r>
      <w:bookmarkEnd w:id="222"/>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223" w:name="_Toc355611605"/>
      <w:r>
        <w:rPr>
          <w:rStyle w:val="CharSectno"/>
        </w:rPr>
        <w:t>39</w:t>
      </w:r>
      <w:r>
        <w:rPr>
          <w:snapToGrid w:val="0"/>
        </w:rPr>
        <w:t>.</w:t>
      </w:r>
      <w:r>
        <w:rPr>
          <w:snapToGrid w:val="0"/>
        </w:rPr>
        <w:tab/>
        <w:t>Master to give notice of desire to work</w:t>
      </w:r>
      <w:bookmarkEnd w:id="223"/>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224" w:name="_Toc190232052"/>
      <w:bookmarkStart w:id="225" w:name="_Toc202676762"/>
      <w:bookmarkStart w:id="226" w:name="_Toc202691536"/>
      <w:bookmarkStart w:id="227" w:name="_Toc219773394"/>
      <w:bookmarkStart w:id="228" w:name="_Toc219773649"/>
      <w:bookmarkStart w:id="229" w:name="_Toc221592583"/>
      <w:bookmarkStart w:id="230" w:name="_Toc221609269"/>
      <w:bookmarkStart w:id="231" w:name="_Toc221609451"/>
      <w:bookmarkStart w:id="232" w:name="_Toc223835772"/>
      <w:bookmarkStart w:id="233" w:name="_Toc233539462"/>
      <w:bookmarkStart w:id="234" w:name="_Toc236796561"/>
      <w:bookmarkStart w:id="235" w:name="_Toc266960821"/>
      <w:bookmarkStart w:id="236" w:name="_Toc297293725"/>
      <w:bookmarkStart w:id="237" w:name="_Toc329788424"/>
      <w:bookmarkStart w:id="238" w:name="_Toc329850736"/>
      <w:bookmarkStart w:id="239" w:name="_Toc329850936"/>
      <w:bookmarkStart w:id="240" w:name="_Toc329863215"/>
      <w:bookmarkStart w:id="241" w:name="_Toc329864553"/>
      <w:bookmarkStart w:id="242" w:name="_Toc346790983"/>
      <w:bookmarkStart w:id="243" w:name="_Toc355611606"/>
      <w:r>
        <w:rPr>
          <w:rStyle w:val="CharDivNo"/>
        </w:rPr>
        <w:t>Division 9</w:t>
      </w:r>
      <w:r>
        <w:rPr>
          <w:snapToGrid w:val="0"/>
        </w:rPr>
        <w:t> — </w:t>
      </w:r>
      <w:r>
        <w:rPr>
          <w:rStyle w:val="CharDivText"/>
        </w:rPr>
        <w:t>Livestock or vehicles on jetties or premises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Footnoteheading"/>
      </w:pPr>
      <w:r>
        <w:tab/>
        <w:t xml:space="preserve">[Heading inserted in Gazette 19 May 1989 p. 1494.] </w:t>
      </w:r>
    </w:p>
    <w:p>
      <w:pPr>
        <w:pStyle w:val="Heading5"/>
        <w:rPr>
          <w:snapToGrid w:val="0"/>
        </w:rPr>
      </w:pPr>
      <w:bookmarkStart w:id="244" w:name="_Toc355611607"/>
      <w:r>
        <w:rPr>
          <w:rStyle w:val="CharSectno"/>
        </w:rPr>
        <w:t>40</w:t>
      </w:r>
      <w:r>
        <w:rPr>
          <w:snapToGrid w:val="0"/>
        </w:rPr>
        <w:t>.</w:t>
      </w:r>
      <w:r>
        <w:rPr>
          <w:snapToGrid w:val="0"/>
        </w:rPr>
        <w:tab/>
        <w:t>Livestock on jetties or premises</w:t>
      </w:r>
      <w:bookmarkEnd w:id="24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245" w:name="_Toc355611608"/>
      <w:r>
        <w:rPr>
          <w:rStyle w:val="CharSectno"/>
        </w:rPr>
        <w:t>41</w:t>
      </w:r>
      <w:r>
        <w:rPr>
          <w:snapToGrid w:val="0"/>
        </w:rPr>
        <w:t>.</w:t>
      </w:r>
      <w:r>
        <w:rPr>
          <w:snapToGrid w:val="0"/>
        </w:rPr>
        <w:tab/>
        <w:t>Riding vehicles etc. on jetties or premises</w:t>
      </w:r>
      <w:bookmarkEnd w:id="245"/>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246" w:name="_Toc355611609"/>
      <w:r>
        <w:rPr>
          <w:rStyle w:val="CharSectno"/>
        </w:rPr>
        <w:t>41A</w:t>
      </w:r>
      <w:r>
        <w:rPr>
          <w:snapToGrid w:val="0"/>
        </w:rPr>
        <w:t>.</w:t>
      </w:r>
      <w:r>
        <w:rPr>
          <w:snapToGrid w:val="0"/>
        </w:rPr>
        <w:tab/>
        <w:t>Vehicles not to be parked on jetties</w:t>
      </w:r>
      <w:bookmarkEnd w:id="246"/>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247" w:name="_Toc355611610"/>
      <w:r>
        <w:rPr>
          <w:rStyle w:val="CharSectno"/>
        </w:rPr>
        <w:t>41B</w:t>
      </w:r>
      <w:r>
        <w:rPr>
          <w:snapToGrid w:val="0"/>
        </w:rPr>
        <w:t>.</w:t>
      </w:r>
      <w:r>
        <w:rPr>
          <w:snapToGrid w:val="0"/>
        </w:rPr>
        <w:tab/>
        <w:t>Department not responsible for vehicles on jetties</w:t>
      </w:r>
      <w:bookmarkEnd w:id="24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48" w:name="_Toc355611611"/>
      <w:r>
        <w:rPr>
          <w:rStyle w:val="CharSectno"/>
        </w:rPr>
        <w:t>42</w:t>
      </w:r>
      <w:r>
        <w:rPr>
          <w:snapToGrid w:val="0"/>
        </w:rPr>
        <w:t>.</w:t>
      </w:r>
      <w:r>
        <w:rPr>
          <w:snapToGrid w:val="0"/>
        </w:rPr>
        <w:tab/>
        <w:t>Drivers of vehicles to obey instructions</w:t>
      </w:r>
      <w:bookmarkEnd w:id="248"/>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249" w:name="_Toc355611612"/>
      <w:r>
        <w:rPr>
          <w:rStyle w:val="CharSectno"/>
        </w:rPr>
        <w:t>42A</w:t>
      </w:r>
      <w:r>
        <w:t>.</w:t>
      </w:r>
      <w:r>
        <w:tab/>
        <w:t>Fees for vehicular use of jetty</w:t>
      </w:r>
      <w:bookmarkEnd w:id="249"/>
    </w:p>
    <w:p>
      <w:pPr>
        <w:pStyle w:val="Subsection"/>
      </w:pPr>
      <w:r>
        <w:tab/>
      </w:r>
      <w:r>
        <w:tab/>
        <w:t>The fees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p>
    <w:p>
      <w:pPr>
        <w:pStyle w:val="Heading5"/>
        <w:rPr>
          <w:snapToGrid w:val="0"/>
        </w:rPr>
      </w:pPr>
      <w:bookmarkStart w:id="250" w:name="_Toc355611613"/>
      <w:r>
        <w:rPr>
          <w:rStyle w:val="CharSectno"/>
        </w:rPr>
        <w:t>43</w:t>
      </w:r>
      <w:r>
        <w:rPr>
          <w:snapToGrid w:val="0"/>
        </w:rPr>
        <w:t>.</w:t>
      </w:r>
      <w:r>
        <w:rPr>
          <w:snapToGrid w:val="0"/>
        </w:rPr>
        <w:tab/>
        <w:t>Persons not to be on jetties when livestock is being handled</w:t>
      </w:r>
      <w:bookmarkEnd w:id="25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251" w:name="_Toc190232060"/>
      <w:bookmarkStart w:id="252" w:name="_Toc202676770"/>
      <w:bookmarkStart w:id="253" w:name="_Toc202691544"/>
      <w:bookmarkStart w:id="254" w:name="_Toc219773402"/>
      <w:bookmarkStart w:id="255" w:name="_Toc219773657"/>
      <w:bookmarkStart w:id="256" w:name="_Toc221592591"/>
      <w:bookmarkStart w:id="257" w:name="_Toc221609277"/>
      <w:bookmarkStart w:id="258" w:name="_Toc221609459"/>
      <w:bookmarkStart w:id="259" w:name="_Toc223835780"/>
      <w:bookmarkStart w:id="260" w:name="_Toc233539470"/>
      <w:bookmarkStart w:id="261" w:name="_Toc236796569"/>
      <w:bookmarkStart w:id="262" w:name="_Toc266960829"/>
      <w:bookmarkStart w:id="263" w:name="_Toc297293733"/>
      <w:bookmarkStart w:id="264" w:name="_Toc329788432"/>
      <w:bookmarkStart w:id="265" w:name="_Toc329850744"/>
      <w:bookmarkStart w:id="266" w:name="_Toc329850944"/>
      <w:bookmarkStart w:id="267" w:name="_Toc329863223"/>
      <w:bookmarkStart w:id="268" w:name="_Toc329864561"/>
      <w:bookmarkStart w:id="269" w:name="_Toc346790991"/>
      <w:bookmarkStart w:id="270" w:name="_Toc355611614"/>
      <w:r>
        <w:rPr>
          <w:rStyle w:val="CharDivNo"/>
        </w:rPr>
        <w:t>Division 10</w:t>
      </w:r>
      <w:r>
        <w:rPr>
          <w:snapToGrid w:val="0"/>
        </w:rPr>
        <w:t> — </w:t>
      </w:r>
      <w:r>
        <w:rPr>
          <w:rStyle w:val="CharDivText"/>
        </w:rPr>
        <w:t>Miscellaneous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71" w:name="_Toc355611615"/>
      <w:r>
        <w:rPr>
          <w:rStyle w:val="CharSectno"/>
        </w:rPr>
        <w:t>44</w:t>
      </w:r>
      <w:r>
        <w:rPr>
          <w:snapToGrid w:val="0"/>
        </w:rPr>
        <w:t>.</w:t>
      </w:r>
      <w:r>
        <w:rPr>
          <w:snapToGrid w:val="0"/>
        </w:rPr>
        <w:tab/>
        <w:t>Bill posting, defacement and obscenity</w:t>
      </w:r>
      <w:bookmarkEnd w:id="27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272" w:name="_Toc355611616"/>
      <w:r>
        <w:rPr>
          <w:rStyle w:val="CharSectno"/>
        </w:rPr>
        <w:t>45</w:t>
      </w:r>
      <w:r>
        <w:rPr>
          <w:snapToGrid w:val="0"/>
        </w:rPr>
        <w:t>.</w:t>
      </w:r>
      <w:r>
        <w:rPr>
          <w:snapToGrid w:val="0"/>
        </w:rPr>
        <w:tab/>
        <w:t>Disorderly persons</w:t>
      </w:r>
      <w:bookmarkEnd w:id="272"/>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273" w:name="_Toc355611617"/>
      <w:r>
        <w:rPr>
          <w:rStyle w:val="CharSectno"/>
        </w:rPr>
        <w:t>46</w:t>
      </w:r>
      <w:r>
        <w:rPr>
          <w:snapToGrid w:val="0"/>
        </w:rPr>
        <w:t>.</w:t>
      </w:r>
      <w:r>
        <w:rPr>
          <w:snapToGrid w:val="0"/>
        </w:rPr>
        <w:tab/>
        <w:t>Fires not to be lit</w:t>
      </w:r>
      <w:bookmarkEnd w:id="273"/>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274" w:name="_Toc355611618"/>
      <w:r>
        <w:rPr>
          <w:rStyle w:val="CharSectno"/>
        </w:rPr>
        <w:t>47</w:t>
      </w:r>
      <w:r>
        <w:rPr>
          <w:snapToGrid w:val="0"/>
        </w:rPr>
        <w:t>.</w:t>
      </w:r>
      <w:r>
        <w:rPr>
          <w:snapToGrid w:val="0"/>
        </w:rPr>
        <w:tab/>
        <w:t>Gates to be shut</w:t>
      </w:r>
      <w:bookmarkEnd w:id="274"/>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275" w:name="_Toc355611619"/>
      <w:r>
        <w:rPr>
          <w:rStyle w:val="CharSectno"/>
        </w:rPr>
        <w:t>48</w:t>
      </w:r>
      <w:r>
        <w:rPr>
          <w:snapToGrid w:val="0"/>
        </w:rPr>
        <w:t>.</w:t>
      </w:r>
      <w:r>
        <w:rPr>
          <w:snapToGrid w:val="0"/>
        </w:rPr>
        <w:tab/>
        <w:t>Interference with lights</w:t>
      </w:r>
      <w:bookmarkEnd w:id="275"/>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276" w:name="_Toc355611620"/>
      <w:r>
        <w:rPr>
          <w:rStyle w:val="CharSectno"/>
        </w:rPr>
        <w:t>49</w:t>
      </w:r>
      <w:r>
        <w:rPr>
          <w:snapToGrid w:val="0"/>
        </w:rPr>
        <w:t>.</w:t>
      </w:r>
      <w:r>
        <w:rPr>
          <w:snapToGrid w:val="0"/>
        </w:rPr>
        <w:tab/>
        <w:t>Interference with or damaging property</w:t>
      </w:r>
      <w:bookmarkEnd w:id="27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77" w:name="_Toc355611621"/>
      <w:r>
        <w:rPr>
          <w:rStyle w:val="CharSectno"/>
        </w:rPr>
        <w:t>50</w:t>
      </w:r>
      <w:r>
        <w:rPr>
          <w:snapToGrid w:val="0"/>
        </w:rPr>
        <w:t>.</w:t>
      </w:r>
      <w:r>
        <w:rPr>
          <w:snapToGrid w:val="0"/>
        </w:rPr>
        <w:tab/>
        <w:t>Lost property</w:t>
      </w:r>
      <w:bookmarkEnd w:id="27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278" w:name="_Toc355611622"/>
      <w:r>
        <w:rPr>
          <w:rStyle w:val="CharSectno"/>
        </w:rPr>
        <w:t>51</w:t>
      </w:r>
      <w:r>
        <w:rPr>
          <w:snapToGrid w:val="0"/>
        </w:rPr>
        <w:t>.</w:t>
      </w:r>
      <w:r>
        <w:rPr>
          <w:snapToGrid w:val="0"/>
        </w:rPr>
        <w:tab/>
        <w:t>Obstruction of officers, or premises</w:t>
      </w:r>
      <w:bookmarkEnd w:id="278"/>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79" w:name="_Toc355611623"/>
      <w:r>
        <w:rPr>
          <w:rStyle w:val="CharSectno"/>
        </w:rPr>
        <w:t>52</w:t>
      </w:r>
      <w:r>
        <w:rPr>
          <w:snapToGrid w:val="0"/>
        </w:rPr>
        <w:t>.</w:t>
      </w:r>
      <w:r>
        <w:rPr>
          <w:snapToGrid w:val="0"/>
        </w:rPr>
        <w:tab/>
        <w:t>Obstruction of or damage to jetties or premises</w:t>
      </w:r>
      <w:bookmarkEnd w:id="279"/>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280" w:name="_Toc355611624"/>
      <w:r>
        <w:rPr>
          <w:rStyle w:val="CharSectno"/>
        </w:rPr>
        <w:t>53</w:t>
      </w:r>
      <w:r>
        <w:rPr>
          <w:snapToGrid w:val="0"/>
        </w:rPr>
        <w:t>.</w:t>
      </w:r>
      <w:r>
        <w:rPr>
          <w:snapToGrid w:val="0"/>
        </w:rPr>
        <w:tab/>
        <w:t>Rubbish etc. not to be thrown</w:t>
      </w:r>
      <w:bookmarkEnd w:id="280"/>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81" w:name="_Toc355611625"/>
      <w:r>
        <w:rPr>
          <w:rStyle w:val="CharSectno"/>
        </w:rPr>
        <w:t>53A</w:t>
      </w:r>
      <w:r>
        <w:t>.</w:t>
      </w:r>
      <w:r>
        <w:tab/>
        <w:t>Fees for rubbish removal</w:t>
      </w:r>
      <w:bookmarkEnd w:id="281"/>
    </w:p>
    <w:p>
      <w:pPr>
        <w:pStyle w:val="Subsection"/>
      </w:pPr>
      <w:r>
        <w:tab/>
      </w:r>
      <w:r>
        <w:tab/>
        <w:t>The fees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w:t>
      </w:r>
    </w:p>
    <w:p>
      <w:pPr>
        <w:pStyle w:val="Heading5"/>
        <w:rPr>
          <w:snapToGrid w:val="0"/>
        </w:rPr>
      </w:pPr>
      <w:bookmarkStart w:id="282" w:name="_Toc355611626"/>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282"/>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83" w:name="_Toc355611627"/>
      <w:r>
        <w:rPr>
          <w:rStyle w:val="CharSectno"/>
        </w:rPr>
        <w:t>55</w:t>
      </w:r>
      <w:r>
        <w:rPr>
          <w:snapToGrid w:val="0"/>
        </w:rPr>
        <w:t>.</w:t>
      </w:r>
      <w:r>
        <w:rPr>
          <w:snapToGrid w:val="0"/>
        </w:rPr>
        <w:tab/>
        <w:t>Smoking and loitering</w:t>
      </w:r>
      <w:bookmarkEnd w:id="283"/>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84" w:name="_Toc355611628"/>
      <w:r>
        <w:rPr>
          <w:rStyle w:val="CharSectno"/>
        </w:rPr>
        <w:t>56</w:t>
      </w:r>
      <w:r>
        <w:rPr>
          <w:snapToGrid w:val="0"/>
        </w:rPr>
        <w:t>.</w:t>
      </w:r>
      <w:r>
        <w:rPr>
          <w:snapToGrid w:val="0"/>
        </w:rPr>
        <w:tab/>
        <w:t>Trespassing</w:t>
      </w:r>
      <w:bookmarkEnd w:id="284"/>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285" w:name="_Toc355611629"/>
      <w:r>
        <w:rPr>
          <w:rStyle w:val="CharSectno"/>
        </w:rPr>
        <w:t>67A</w:t>
      </w:r>
      <w:r>
        <w:rPr>
          <w:snapToGrid w:val="0"/>
        </w:rPr>
        <w:t>.</w:t>
      </w:r>
      <w:r>
        <w:rPr>
          <w:snapToGrid w:val="0"/>
        </w:rPr>
        <w:tab/>
        <w:t>Conditions for construction and installation of pipelines</w:t>
      </w:r>
      <w:bookmarkEnd w:id="28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286" w:name="_Toc355611630"/>
      <w:r>
        <w:rPr>
          <w:rStyle w:val="CharSectno"/>
        </w:rPr>
        <w:t>67B</w:t>
      </w:r>
      <w:r>
        <w:rPr>
          <w:snapToGrid w:val="0"/>
        </w:rPr>
        <w:t>.</w:t>
      </w:r>
      <w:r>
        <w:rPr>
          <w:snapToGrid w:val="0"/>
        </w:rPr>
        <w:tab/>
        <w:t>Maintenance and operation of pipelines</w:t>
      </w:r>
      <w:bookmarkEnd w:id="286"/>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87" w:name="_Toc355611631"/>
      <w:r>
        <w:rPr>
          <w:rStyle w:val="CharSectno"/>
        </w:rPr>
        <w:t>67D</w:t>
      </w:r>
      <w:r>
        <w:rPr>
          <w:snapToGrid w:val="0"/>
        </w:rPr>
        <w:t>.</w:t>
      </w:r>
      <w:r>
        <w:rPr>
          <w:snapToGrid w:val="0"/>
        </w:rPr>
        <w:tab/>
        <w:t>Penalty for failure to remove or amend pipeline</w:t>
      </w:r>
      <w:bookmarkEnd w:id="287"/>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88" w:name="_Toc355611632"/>
      <w:r>
        <w:rPr>
          <w:rStyle w:val="CharSectno"/>
        </w:rPr>
        <w:t>67DA</w:t>
      </w:r>
      <w:r>
        <w:t>.</w:t>
      </w:r>
      <w:r>
        <w:tab/>
        <w:t>Fuelling vessels at service jetties limited</w:t>
      </w:r>
      <w:bookmarkEnd w:id="288"/>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289" w:name="_Toc190232079"/>
      <w:bookmarkStart w:id="290" w:name="_Toc202676789"/>
      <w:bookmarkStart w:id="291" w:name="_Toc202691563"/>
      <w:bookmarkStart w:id="292" w:name="_Toc219773421"/>
      <w:bookmarkStart w:id="293" w:name="_Toc219773676"/>
      <w:bookmarkStart w:id="294" w:name="_Toc221592610"/>
      <w:bookmarkStart w:id="295" w:name="_Toc221609296"/>
      <w:bookmarkStart w:id="296" w:name="_Toc221609478"/>
      <w:bookmarkStart w:id="297" w:name="_Toc223835799"/>
      <w:bookmarkStart w:id="298" w:name="_Toc233539489"/>
      <w:bookmarkStart w:id="299" w:name="_Toc236796588"/>
      <w:bookmarkStart w:id="300" w:name="_Toc266960848"/>
      <w:bookmarkStart w:id="301" w:name="_Toc297293752"/>
      <w:bookmarkStart w:id="302" w:name="_Toc329788451"/>
      <w:bookmarkStart w:id="303" w:name="_Toc329850763"/>
      <w:bookmarkStart w:id="304" w:name="_Toc329850963"/>
      <w:bookmarkStart w:id="305" w:name="_Toc329863242"/>
      <w:bookmarkStart w:id="306" w:name="_Toc329864580"/>
      <w:bookmarkStart w:id="307" w:name="_Toc346791010"/>
      <w:bookmarkStart w:id="308" w:name="_Toc355611633"/>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Footnoteheading"/>
      </w:pPr>
      <w:r>
        <w:tab/>
        <w:t xml:space="preserve">[Heading inserted in Gazette 19 May 1989 p. 1494.] </w:t>
      </w:r>
    </w:p>
    <w:p>
      <w:pPr>
        <w:pStyle w:val="Heading3"/>
        <w:rPr>
          <w:snapToGrid w:val="0"/>
        </w:rPr>
      </w:pPr>
      <w:bookmarkStart w:id="309" w:name="_Toc190232080"/>
      <w:bookmarkStart w:id="310" w:name="_Toc202676790"/>
      <w:bookmarkStart w:id="311" w:name="_Toc202691564"/>
      <w:bookmarkStart w:id="312" w:name="_Toc219773422"/>
      <w:bookmarkStart w:id="313" w:name="_Toc219773677"/>
      <w:bookmarkStart w:id="314" w:name="_Toc221592611"/>
      <w:bookmarkStart w:id="315" w:name="_Toc221609297"/>
      <w:bookmarkStart w:id="316" w:name="_Toc221609479"/>
      <w:bookmarkStart w:id="317" w:name="_Toc223835800"/>
      <w:bookmarkStart w:id="318" w:name="_Toc233539490"/>
      <w:bookmarkStart w:id="319" w:name="_Toc236796589"/>
      <w:bookmarkStart w:id="320" w:name="_Toc266960849"/>
      <w:bookmarkStart w:id="321" w:name="_Toc297293753"/>
      <w:bookmarkStart w:id="322" w:name="_Toc329788452"/>
      <w:bookmarkStart w:id="323" w:name="_Toc329850764"/>
      <w:bookmarkStart w:id="324" w:name="_Toc329850964"/>
      <w:bookmarkStart w:id="325" w:name="_Toc329863243"/>
      <w:bookmarkStart w:id="326" w:name="_Toc329864581"/>
      <w:bookmarkStart w:id="327" w:name="_Toc346791011"/>
      <w:bookmarkStart w:id="328" w:name="_Toc355611634"/>
      <w:r>
        <w:rPr>
          <w:rStyle w:val="CharDivNo"/>
        </w:rPr>
        <w:t>Division 1</w:t>
      </w:r>
      <w:r>
        <w:rPr>
          <w:snapToGrid w:val="0"/>
        </w:rPr>
        <w:t> — </w:t>
      </w:r>
      <w:r>
        <w:rPr>
          <w:rStyle w:val="CharDivText"/>
        </w:rPr>
        <w:t>Application of this Part</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Footnoteheading"/>
      </w:pPr>
      <w:r>
        <w:tab/>
        <w:t xml:space="preserve">[Heading inserted in Gazette 19 May 1989 p. 1494.] </w:t>
      </w:r>
    </w:p>
    <w:p>
      <w:pPr>
        <w:pStyle w:val="Heading5"/>
        <w:rPr>
          <w:snapToGrid w:val="0"/>
        </w:rPr>
      </w:pPr>
      <w:bookmarkStart w:id="329" w:name="_Toc355611635"/>
      <w:r>
        <w:rPr>
          <w:rStyle w:val="CharSectno"/>
        </w:rPr>
        <w:t>67E</w:t>
      </w:r>
      <w:r>
        <w:rPr>
          <w:snapToGrid w:val="0"/>
        </w:rPr>
        <w:t>.</w:t>
      </w:r>
      <w:r>
        <w:rPr>
          <w:snapToGrid w:val="0"/>
        </w:rPr>
        <w:tab/>
        <w:t>Application</w:t>
      </w:r>
      <w:bookmarkEnd w:id="329"/>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330" w:name="_Toc190232082"/>
      <w:bookmarkStart w:id="331" w:name="_Toc202676792"/>
      <w:bookmarkStart w:id="332" w:name="_Toc202691566"/>
      <w:bookmarkStart w:id="333" w:name="_Toc219773424"/>
      <w:bookmarkStart w:id="334" w:name="_Toc219773679"/>
      <w:bookmarkStart w:id="335" w:name="_Toc221592613"/>
      <w:bookmarkStart w:id="336" w:name="_Toc221609299"/>
      <w:bookmarkStart w:id="337" w:name="_Toc221609481"/>
      <w:bookmarkStart w:id="338" w:name="_Toc223835802"/>
      <w:bookmarkStart w:id="339" w:name="_Toc233539492"/>
      <w:bookmarkStart w:id="340" w:name="_Toc236796591"/>
      <w:bookmarkStart w:id="341" w:name="_Toc266960851"/>
      <w:bookmarkStart w:id="342" w:name="_Toc297293755"/>
      <w:bookmarkStart w:id="343" w:name="_Toc329788454"/>
      <w:bookmarkStart w:id="344" w:name="_Toc329850766"/>
      <w:bookmarkStart w:id="345" w:name="_Toc329850966"/>
      <w:bookmarkStart w:id="346" w:name="_Toc329863245"/>
      <w:bookmarkStart w:id="347" w:name="_Toc329864583"/>
      <w:bookmarkStart w:id="348" w:name="_Toc346791013"/>
      <w:bookmarkStart w:id="349" w:name="_Toc355611636"/>
      <w:r>
        <w:rPr>
          <w:rStyle w:val="CharDivNo"/>
        </w:rPr>
        <w:t>Division 2</w:t>
      </w:r>
      <w:r>
        <w:rPr>
          <w:snapToGrid w:val="0"/>
        </w:rPr>
        <w:t> — </w:t>
      </w:r>
      <w:r>
        <w:rPr>
          <w:rStyle w:val="CharDivText"/>
        </w:rPr>
        <w:t>Management and use of jetties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350" w:name="_Toc355611637"/>
      <w:r>
        <w:rPr>
          <w:rStyle w:val="CharSectno"/>
        </w:rPr>
        <w:t>68</w:t>
      </w:r>
      <w:r>
        <w:rPr>
          <w:snapToGrid w:val="0"/>
        </w:rPr>
        <w:t>.</w:t>
      </w:r>
      <w:r>
        <w:rPr>
          <w:snapToGrid w:val="0"/>
        </w:rPr>
        <w:tab/>
        <w:t>Control of jetties</w:t>
      </w:r>
      <w:bookmarkEnd w:id="350"/>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351" w:name="_Toc355611638"/>
      <w:r>
        <w:rPr>
          <w:rStyle w:val="CharSectno"/>
        </w:rPr>
        <w:t>69</w:t>
      </w:r>
      <w:r>
        <w:rPr>
          <w:snapToGrid w:val="0"/>
        </w:rPr>
        <w:t>.</w:t>
      </w:r>
      <w:r>
        <w:rPr>
          <w:snapToGrid w:val="0"/>
        </w:rPr>
        <w:tab/>
        <w:t>Use of jetties</w:t>
      </w:r>
      <w:bookmarkEnd w:id="351"/>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352" w:name="_Toc355611639"/>
      <w:r>
        <w:rPr>
          <w:rStyle w:val="CharSectno"/>
        </w:rPr>
        <w:t>70</w:t>
      </w:r>
      <w:r>
        <w:rPr>
          <w:snapToGrid w:val="0"/>
        </w:rPr>
        <w:t>.</w:t>
      </w:r>
      <w:r>
        <w:rPr>
          <w:snapToGrid w:val="0"/>
        </w:rPr>
        <w:tab/>
        <w:t>Jetties may be closed</w:t>
      </w:r>
      <w:bookmarkEnd w:id="352"/>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353" w:name="_Toc190232086"/>
      <w:bookmarkStart w:id="354" w:name="_Toc202676796"/>
      <w:bookmarkStart w:id="355" w:name="_Toc202691570"/>
      <w:bookmarkStart w:id="356" w:name="_Toc219773428"/>
      <w:bookmarkStart w:id="357" w:name="_Toc219773683"/>
      <w:bookmarkStart w:id="358" w:name="_Toc221592617"/>
      <w:bookmarkStart w:id="359" w:name="_Toc221609303"/>
      <w:bookmarkStart w:id="360" w:name="_Toc221609485"/>
      <w:bookmarkStart w:id="361" w:name="_Toc223835806"/>
      <w:bookmarkStart w:id="362" w:name="_Toc233539496"/>
      <w:bookmarkStart w:id="363" w:name="_Toc236796595"/>
      <w:bookmarkStart w:id="364" w:name="_Toc266960855"/>
      <w:bookmarkStart w:id="365" w:name="_Toc297293759"/>
      <w:bookmarkStart w:id="366" w:name="_Toc329788458"/>
      <w:bookmarkStart w:id="367" w:name="_Toc329850770"/>
      <w:bookmarkStart w:id="368" w:name="_Toc329850970"/>
      <w:bookmarkStart w:id="369" w:name="_Toc329863249"/>
      <w:bookmarkStart w:id="370" w:name="_Toc329864587"/>
      <w:bookmarkStart w:id="371" w:name="_Toc346791017"/>
      <w:bookmarkStart w:id="372" w:name="_Toc355611640"/>
      <w:r>
        <w:rPr>
          <w:rStyle w:val="CharDivNo"/>
        </w:rPr>
        <w:t>Division 3</w:t>
      </w:r>
      <w:r>
        <w:rPr>
          <w:snapToGrid w:val="0"/>
        </w:rPr>
        <w:t> — </w:t>
      </w:r>
      <w:r>
        <w:rPr>
          <w:rStyle w:val="CharDivText"/>
        </w:rPr>
        <w:t>Mooring and berthing of vessels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373" w:name="_Toc355611641"/>
      <w:r>
        <w:rPr>
          <w:rStyle w:val="CharSectno"/>
        </w:rPr>
        <w:t>71</w:t>
      </w:r>
      <w:r>
        <w:rPr>
          <w:snapToGrid w:val="0"/>
        </w:rPr>
        <w:t>.</w:t>
      </w:r>
      <w:r>
        <w:rPr>
          <w:snapToGrid w:val="0"/>
        </w:rPr>
        <w:tab/>
        <w:t>Permit required to moor etc. alongside jetty or buoy</w:t>
      </w:r>
      <w:bookmarkEnd w:id="373"/>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374" w:name="_Toc355611642"/>
      <w:r>
        <w:rPr>
          <w:rStyle w:val="CharSectno"/>
        </w:rPr>
        <w:t>72</w:t>
      </w:r>
      <w:r>
        <w:rPr>
          <w:snapToGrid w:val="0"/>
        </w:rPr>
        <w:t>.</w:t>
      </w:r>
      <w:r>
        <w:rPr>
          <w:snapToGrid w:val="0"/>
        </w:rPr>
        <w:tab/>
        <w:t>Duration of, and charges for, permits</w:t>
      </w:r>
      <w:bookmarkEnd w:id="374"/>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375" w:name="_Toc355611643"/>
      <w:r>
        <w:rPr>
          <w:rStyle w:val="CharSectno"/>
        </w:rPr>
        <w:t>73</w:t>
      </w:r>
      <w:r>
        <w:rPr>
          <w:snapToGrid w:val="0"/>
        </w:rPr>
        <w:t>.</w:t>
      </w:r>
      <w:r>
        <w:rPr>
          <w:snapToGrid w:val="0"/>
        </w:rPr>
        <w:tab/>
        <w:t>Permit for exclusive use of a berth</w:t>
      </w:r>
      <w:bookmarkEnd w:id="375"/>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376" w:name="_Toc355611644"/>
      <w:r>
        <w:rPr>
          <w:rStyle w:val="CharSectno"/>
        </w:rPr>
        <w:t>74</w:t>
      </w:r>
      <w:r>
        <w:rPr>
          <w:snapToGrid w:val="0"/>
        </w:rPr>
        <w:t>.</w:t>
      </w:r>
      <w:r>
        <w:rPr>
          <w:snapToGrid w:val="0"/>
        </w:rPr>
        <w:tab/>
        <w:t>Manner of mooring vessels</w:t>
      </w:r>
      <w:bookmarkEnd w:id="376"/>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377" w:name="_Toc355611645"/>
      <w:r>
        <w:rPr>
          <w:rStyle w:val="CharSectno"/>
        </w:rPr>
        <w:t>75</w:t>
      </w:r>
      <w:r>
        <w:rPr>
          <w:snapToGrid w:val="0"/>
        </w:rPr>
        <w:t>.</w:t>
      </w:r>
      <w:r>
        <w:rPr>
          <w:snapToGrid w:val="0"/>
        </w:rPr>
        <w:tab/>
        <w:t>Vessels not to remain at jetties longer than necessary</w:t>
      </w:r>
      <w:bookmarkEnd w:id="377"/>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378" w:name="_Toc355611646"/>
      <w:r>
        <w:rPr>
          <w:rStyle w:val="CharSectno"/>
        </w:rPr>
        <w:t>76</w:t>
      </w:r>
      <w:r>
        <w:rPr>
          <w:snapToGrid w:val="0"/>
        </w:rPr>
        <w:t>.</w:t>
      </w:r>
      <w:r>
        <w:rPr>
          <w:snapToGrid w:val="0"/>
        </w:rPr>
        <w:tab/>
        <w:t>Mooring of rafts and boathouses</w:t>
      </w:r>
      <w:bookmarkEnd w:id="378"/>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379" w:name="_Toc355611647"/>
      <w:r>
        <w:rPr>
          <w:rStyle w:val="CharSectno"/>
        </w:rPr>
        <w:t>77</w:t>
      </w:r>
      <w:r>
        <w:rPr>
          <w:snapToGrid w:val="0"/>
        </w:rPr>
        <w:t>.</w:t>
      </w:r>
      <w:r>
        <w:rPr>
          <w:snapToGrid w:val="0"/>
        </w:rPr>
        <w:tab/>
        <w:t>Vessels to be in charge of a competent person</w:t>
      </w:r>
      <w:bookmarkEnd w:id="37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380" w:name="_Toc355611648"/>
      <w:r>
        <w:rPr>
          <w:rStyle w:val="CharSectno"/>
        </w:rPr>
        <w:t>78</w:t>
      </w:r>
      <w:r>
        <w:rPr>
          <w:snapToGrid w:val="0"/>
        </w:rPr>
        <w:t>.</w:t>
      </w:r>
      <w:r>
        <w:rPr>
          <w:snapToGrid w:val="0"/>
        </w:rPr>
        <w:tab/>
        <w:t>Approaching jetties after sunset</w:t>
      </w:r>
      <w:bookmarkEnd w:id="380"/>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381" w:name="_Toc190232095"/>
      <w:bookmarkStart w:id="382" w:name="_Toc202676805"/>
      <w:bookmarkStart w:id="383" w:name="_Toc202691579"/>
      <w:bookmarkStart w:id="384" w:name="_Toc219773437"/>
      <w:bookmarkStart w:id="385" w:name="_Toc219773692"/>
      <w:bookmarkStart w:id="386" w:name="_Toc221592626"/>
      <w:bookmarkStart w:id="387" w:name="_Toc221609312"/>
      <w:bookmarkStart w:id="388" w:name="_Toc221609494"/>
      <w:bookmarkStart w:id="389" w:name="_Toc223835815"/>
      <w:bookmarkStart w:id="390" w:name="_Toc233539505"/>
      <w:bookmarkStart w:id="391" w:name="_Toc236796604"/>
      <w:bookmarkStart w:id="392" w:name="_Toc266960864"/>
      <w:bookmarkStart w:id="393" w:name="_Toc297293768"/>
      <w:bookmarkStart w:id="394" w:name="_Toc329788467"/>
      <w:bookmarkStart w:id="395" w:name="_Toc329850779"/>
      <w:bookmarkStart w:id="396" w:name="_Toc329850979"/>
      <w:bookmarkStart w:id="397" w:name="_Toc329863258"/>
      <w:bookmarkStart w:id="398" w:name="_Toc329864596"/>
      <w:bookmarkStart w:id="399" w:name="_Toc346791026"/>
      <w:bookmarkStart w:id="400" w:name="_Toc355611649"/>
      <w:r>
        <w:rPr>
          <w:rStyle w:val="CharDivNo"/>
        </w:rPr>
        <w:t>Division 4</w:t>
      </w:r>
      <w:r>
        <w:rPr>
          <w:snapToGrid w:val="0"/>
        </w:rPr>
        <w:t> — </w:t>
      </w:r>
      <w:r>
        <w:rPr>
          <w:rStyle w:val="CharDivText"/>
        </w:rPr>
        <w:t>Loading or discharging cargo</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401" w:name="_Toc355611650"/>
      <w:r>
        <w:rPr>
          <w:rStyle w:val="CharSectno"/>
        </w:rPr>
        <w:t>80</w:t>
      </w:r>
      <w:r>
        <w:rPr>
          <w:snapToGrid w:val="0"/>
        </w:rPr>
        <w:t>.</w:t>
      </w:r>
      <w:r>
        <w:rPr>
          <w:snapToGrid w:val="0"/>
        </w:rPr>
        <w:tab/>
        <w:t>Vessels loading or discharging</w:t>
      </w:r>
      <w:bookmarkEnd w:id="401"/>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402" w:name="_Toc355611651"/>
      <w:r>
        <w:rPr>
          <w:rStyle w:val="CharSectno"/>
        </w:rPr>
        <w:t>81</w:t>
      </w:r>
      <w:r>
        <w:rPr>
          <w:snapToGrid w:val="0"/>
        </w:rPr>
        <w:t>.</w:t>
      </w:r>
      <w:r>
        <w:rPr>
          <w:snapToGrid w:val="0"/>
        </w:rPr>
        <w:tab/>
        <w:t>Cargo to be removed</w:t>
      </w:r>
      <w:bookmarkEnd w:id="402"/>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403" w:name="_Toc355611652"/>
      <w:r>
        <w:rPr>
          <w:rStyle w:val="CharSectno"/>
        </w:rPr>
        <w:t>82</w:t>
      </w:r>
      <w:r>
        <w:rPr>
          <w:snapToGrid w:val="0"/>
        </w:rPr>
        <w:t>.</w:t>
      </w:r>
      <w:r>
        <w:rPr>
          <w:snapToGrid w:val="0"/>
        </w:rPr>
        <w:tab/>
        <w:t>Cargo not to remain on jetties overnight</w:t>
      </w:r>
      <w:bookmarkEnd w:id="403"/>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404" w:name="_Toc355611653"/>
      <w:r>
        <w:rPr>
          <w:rStyle w:val="CharSectno"/>
        </w:rPr>
        <w:t>83</w:t>
      </w:r>
      <w:r>
        <w:rPr>
          <w:snapToGrid w:val="0"/>
        </w:rPr>
        <w:t>.</w:t>
      </w:r>
      <w:r>
        <w:rPr>
          <w:snapToGrid w:val="0"/>
        </w:rPr>
        <w:tab/>
        <w:t>Explosives not to be handled without permission</w:t>
      </w:r>
      <w:bookmarkEnd w:id="404"/>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405" w:name="_Toc355611654"/>
      <w:r>
        <w:rPr>
          <w:rStyle w:val="CharSectno"/>
        </w:rPr>
        <w:t>84</w:t>
      </w:r>
      <w:r>
        <w:rPr>
          <w:snapToGrid w:val="0"/>
        </w:rPr>
        <w:t>.</w:t>
      </w:r>
      <w:r>
        <w:rPr>
          <w:snapToGrid w:val="0"/>
        </w:rPr>
        <w:tab/>
        <w:t>Manner of handling cargo</w:t>
      </w:r>
      <w:bookmarkEnd w:id="405"/>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406" w:name="_Toc190232101"/>
      <w:bookmarkStart w:id="407" w:name="_Toc202676811"/>
      <w:bookmarkStart w:id="408" w:name="_Toc202691585"/>
      <w:bookmarkStart w:id="409" w:name="_Toc219773443"/>
      <w:bookmarkStart w:id="410" w:name="_Toc219773698"/>
      <w:bookmarkStart w:id="411" w:name="_Toc221592632"/>
      <w:bookmarkStart w:id="412" w:name="_Toc221609318"/>
      <w:bookmarkStart w:id="413" w:name="_Toc221609500"/>
      <w:bookmarkStart w:id="414" w:name="_Toc223835821"/>
      <w:bookmarkStart w:id="415" w:name="_Toc233539511"/>
      <w:bookmarkStart w:id="416" w:name="_Toc236796610"/>
      <w:bookmarkStart w:id="417" w:name="_Toc266960870"/>
      <w:bookmarkStart w:id="418" w:name="_Toc297293774"/>
      <w:bookmarkStart w:id="419" w:name="_Toc329788473"/>
      <w:bookmarkStart w:id="420" w:name="_Toc329850785"/>
      <w:bookmarkStart w:id="421" w:name="_Toc329850985"/>
      <w:bookmarkStart w:id="422" w:name="_Toc329863264"/>
      <w:bookmarkStart w:id="423" w:name="_Toc329864602"/>
      <w:bookmarkStart w:id="424" w:name="_Toc346791032"/>
      <w:bookmarkStart w:id="425" w:name="_Toc355611655"/>
      <w:r>
        <w:rPr>
          <w:rStyle w:val="CharDivNo"/>
        </w:rPr>
        <w:t>Division 5</w:t>
      </w:r>
      <w:r>
        <w:rPr>
          <w:snapToGrid w:val="0"/>
        </w:rPr>
        <w:t> — </w:t>
      </w:r>
      <w:r>
        <w:rPr>
          <w:rStyle w:val="CharDivText"/>
        </w:rPr>
        <w:t>Navigation of vessels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Footnoteheading"/>
      </w:pPr>
      <w:r>
        <w:tab/>
        <w:t xml:space="preserve">[Heading inserted in Gazette 19 May 1989 p. 1494.] </w:t>
      </w:r>
    </w:p>
    <w:p>
      <w:pPr>
        <w:pStyle w:val="Heading5"/>
        <w:rPr>
          <w:snapToGrid w:val="0"/>
        </w:rPr>
      </w:pPr>
      <w:bookmarkStart w:id="426" w:name="_Toc355611656"/>
      <w:r>
        <w:rPr>
          <w:rStyle w:val="CharSectno"/>
        </w:rPr>
        <w:t>85</w:t>
      </w:r>
      <w:r>
        <w:rPr>
          <w:snapToGrid w:val="0"/>
        </w:rPr>
        <w:t>.</w:t>
      </w:r>
      <w:r>
        <w:rPr>
          <w:snapToGrid w:val="0"/>
        </w:rPr>
        <w:tab/>
        <w:t>Power vessels approaching jetties</w:t>
      </w:r>
      <w:bookmarkEnd w:id="426"/>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427" w:name="_Toc190232103"/>
      <w:bookmarkStart w:id="428" w:name="_Toc202676813"/>
      <w:bookmarkStart w:id="429" w:name="_Toc202691587"/>
      <w:bookmarkStart w:id="430" w:name="_Toc219773445"/>
      <w:bookmarkStart w:id="431" w:name="_Toc219773700"/>
      <w:bookmarkStart w:id="432" w:name="_Toc221592634"/>
      <w:bookmarkStart w:id="433" w:name="_Toc221609320"/>
      <w:bookmarkStart w:id="434" w:name="_Toc221609502"/>
      <w:bookmarkStart w:id="435" w:name="_Toc223835823"/>
      <w:bookmarkStart w:id="436" w:name="_Toc233539513"/>
      <w:bookmarkStart w:id="437" w:name="_Toc236796612"/>
      <w:bookmarkStart w:id="438" w:name="_Toc266960872"/>
      <w:bookmarkStart w:id="439" w:name="_Toc297293776"/>
      <w:bookmarkStart w:id="440" w:name="_Toc329788475"/>
      <w:bookmarkStart w:id="441" w:name="_Toc329850787"/>
      <w:bookmarkStart w:id="442" w:name="_Toc329850987"/>
      <w:bookmarkStart w:id="443" w:name="_Toc329863266"/>
      <w:bookmarkStart w:id="444" w:name="_Toc329864604"/>
      <w:bookmarkStart w:id="445" w:name="_Toc346791034"/>
      <w:bookmarkStart w:id="446" w:name="_Toc355611657"/>
      <w:r>
        <w:rPr>
          <w:rStyle w:val="CharDivNo"/>
        </w:rPr>
        <w:t>Division 6</w:t>
      </w:r>
      <w:r>
        <w:rPr>
          <w:snapToGrid w:val="0"/>
        </w:rPr>
        <w:t> — </w:t>
      </w:r>
      <w:r>
        <w:rPr>
          <w:rStyle w:val="CharDivText"/>
        </w:rPr>
        <w:t>Miscellaneous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Footnoteheading"/>
      </w:pPr>
      <w:r>
        <w:tab/>
        <w:t xml:space="preserve">[Heading inserted in Gazette 19 May 1989 p. 1494.] </w:t>
      </w:r>
    </w:p>
    <w:p>
      <w:pPr>
        <w:pStyle w:val="Heading5"/>
        <w:rPr>
          <w:snapToGrid w:val="0"/>
        </w:rPr>
      </w:pPr>
      <w:bookmarkStart w:id="447" w:name="_Toc355611658"/>
      <w:r>
        <w:rPr>
          <w:rStyle w:val="CharSectno"/>
        </w:rPr>
        <w:t>86</w:t>
      </w:r>
      <w:r>
        <w:rPr>
          <w:snapToGrid w:val="0"/>
        </w:rPr>
        <w:t>.</w:t>
      </w:r>
      <w:r>
        <w:rPr>
          <w:snapToGrid w:val="0"/>
        </w:rPr>
        <w:tab/>
        <w:t>Bathing from jetties</w:t>
      </w:r>
      <w:bookmarkEnd w:id="447"/>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448" w:name="_Toc355611659"/>
      <w:r>
        <w:rPr>
          <w:rStyle w:val="CharSectno"/>
        </w:rPr>
        <w:t>87</w:t>
      </w:r>
      <w:r>
        <w:rPr>
          <w:snapToGrid w:val="0"/>
        </w:rPr>
        <w:t>.</w:t>
      </w:r>
      <w:r>
        <w:rPr>
          <w:snapToGrid w:val="0"/>
        </w:rPr>
        <w:tab/>
        <w:t>Damage to jetties</w:t>
      </w:r>
      <w:bookmarkEnd w:id="448"/>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449" w:name="_Toc355611660"/>
      <w:r>
        <w:rPr>
          <w:rStyle w:val="CharSectno"/>
        </w:rPr>
        <w:t>88</w:t>
      </w:r>
      <w:r>
        <w:rPr>
          <w:snapToGrid w:val="0"/>
        </w:rPr>
        <w:t>.</w:t>
      </w:r>
      <w:r>
        <w:rPr>
          <w:snapToGrid w:val="0"/>
        </w:rPr>
        <w:tab/>
        <w:t>Fishing from certain places prohibited</w:t>
      </w:r>
      <w:bookmarkEnd w:id="449"/>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450" w:name="_Toc355611661"/>
      <w:r>
        <w:rPr>
          <w:rStyle w:val="CharSectno"/>
        </w:rPr>
        <w:t>89</w:t>
      </w:r>
      <w:r>
        <w:rPr>
          <w:snapToGrid w:val="0"/>
        </w:rPr>
        <w:t>.</w:t>
      </w:r>
      <w:r>
        <w:rPr>
          <w:snapToGrid w:val="0"/>
        </w:rPr>
        <w:tab/>
        <w:t>Fishing nets on jetties</w:t>
      </w:r>
      <w:bookmarkEnd w:id="450"/>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451" w:name="_Toc355611662"/>
      <w:r>
        <w:rPr>
          <w:rStyle w:val="CharSectno"/>
        </w:rPr>
        <w:t>90</w:t>
      </w:r>
      <w:r>
        <w:rPr>
          <w:snapToGrid w:val="0"/>
        </w:rPr>
        <w:t>.</w:t>
      </w:r>
      <w:r>
        <w:rPr>
          <w:snapToGrid w:val="0"/>
        </w:rPr>
        <w:tab/>
        <w:t>Gangways to be provided</w:t>
      </w:r>
      <w:bookmarkEnd w:id="451"/>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452" w:name="_Toc355611663"/>
      <w:r>
        <w:rPr>
          <w:rStyle w:val="CharSectno"/>
        </w:rPr>
        <w:t>91</w:t>
      </w:r>
      <w:r>
        <w:rPr>
          <w:snapToGrid w:val="0"/>
        </w:rPr>
        <w:t>.</w:t>
      </w:r>
      <w:r>
        <w:rPr>
          <w:snapToGrid w:val="0"/>
        </w:rPr>
        <w:tab/>
        <w:t>Interference with jetties or approaches</w:t>
      </w:r>
      <w:bookmarkEnd w:id="452"/>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453" w:name="_Toc355611664"/>
      <w:r>
        <w:rPr>
          <w:rStyle w:val="CharSectno"/>
        </w:rPr>
        <w:t>92</w:t>
      </w:r>
      <w:r>
        <w:rPr>
          <w:snapToGrid w:val="0"/>
        </w:rPr>
        <w:t>.</w:t>
      </w:r>
      <w:r>
        <w:rPr>
          <w:snapToGrid w:val="0"/>
        </w:rPr>
        <w:tab/>
        <w:t>Lifebuoys on jetties</w:t>
      </w:r>
      <w:bookmarkEnd w:id="453"/>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454" w:name="_Toc355611665"/>
      <w:r>
        <w:rPr>
          <w:rStyle w:val="CharSectno"/>
        </w:rPr>
        <w:t>93</w:t>
      </w:r>
      <w:r>
        <w:rPr>
          <w:snapToGrid w:val="0"/>
        </w:rPr>
        <w:t>.</w:t>
      </w:r>
      <w:r>
        <w:rPr>
          <w:snapToGrid w:val="0"/>
        </w:rPr>
        <w:tab/>
        <w:t>Obstruction of jetties or officers</w:t>
      </w:r>
      <w:bookmarkEnd w:id="454"/>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455" w:name="_Toc355611666"/>
      <w:r>
        <w:rPr>
          <w:rStyle w:val="CharSectno"/>
        </w:rPr>
        <w:t>94</w:t>
      </w:r>
      <w:r>
        <w:rPr>
          <w:snapToGrid w:val="0"/>
        </w:rPr>
        <w:t>.</w:t>
      </w:r>
      <w:r>
        <w:rPr>
          <w:snapToGrid w:val="0"/>
        </w:rPr>
        <w:tab/>
        <w:t>Rubbish not to be thrown in river etc.</w:t>
      </w:r>
      <w:bookmarkEnd w:id="455"/>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456" w:name="_Toc190232113"/>
      <w:bookmarkStart w:id="457" w:name="_Toc202676823"/>
      <w:bookmarkStart w:id="458" w:name="_Toc202691597"/>
      <w:bookmarkStart w:id="459" w:name="_Toc219773455"/>
      <w:bookmarkStart w:id="460" w:name="_Toc219773710"/>
      <w:bookmarkStart w:id="461" w:name="_Toc221592644"/>
      <w:bookmarkStart w:id="462" w:name="_Toc221609330"/>
      <w:bookmarkStart w:id="463" w:name="_Toc221609512"/>
      <w:bookmarkStart w:id="464" w:name="_Toc223835833"/>
      <w:bookmarkStart w:id="465" w:name="_Toc233539523"/>
      <w:bookmarkStart w:id="466" w:name="_Toc236796622"/>
      <w:bookmarkStart w:id="467" w:name="_Toc266960882"/>
      <w:bookmarkStart w:id="468" w:name="_Toc297293786"/>
      <w:bookmarkStart w:id="469" w:name="_Toc329788485"/>
      <w:bookmarkStart w:id="470" w:name="_Toc329850797"/>
      <w:bookmarkStart w:id="471" w:name="_Toc329850997"/>
      <w:bookmarkStart w:id="472" w:name="_Toc329863276"/>
      <w:bookmarkStart w:id="473" w:name="_Toc329864614"/>
      <w:bookmarkStart w:id="474" w:name="_Toc346791044"/>
      <w:bookmarkStart w:id="475" w:name="_Toc355611667"/>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PartText"/>
        </w:rPr>
        <w:t xml:space="preserve"> </w:t>
      </w:r>
    </w:p>
    <w:p>
      <w:pPr>
        <w:pStyle w:val="Footnoteheading"/>
      </w:pPr>
      <w:r>
        <w:tab/>
        <w:t>[Heading inserted in Gazette 1 Aug 1990 p. 3633</w:t>
      </w:r>
      <w:r>
        <w:noBreakHyphen/>
        <w:t xml:space="preserve">4.] </w:t>
      </w:r>
    </w:p>
    <w:p>
      <w:pPr>
        <w:pStyle w:val="Heading5"/>
      </w:pPr>
      <w:bookmarkStart w:id="476" w:name="_Toc355611668"/>
      <w:r>
        <w:rPr>
          <w:rStyle w:val="CharSectno"/>
        </w:rPr>
        <w:t>94A</w:t>
      </w:r>
      <w:r>
        <w:t>.</w:t>
      </w:r>
      <w:r>
        <w:tab/>
        <w:t>Fees etc. for pen rentals and services</w:t>
      </w:r>
      <w:bookmarkEnd w:id="476"/>
    </w:p>
    <w:p>
      <w:pPr>
        <w:pStyle w:val="Subsection"/>
      </w:pPr>
      <w:r>
        <w:tab/>
      </w:r>
      <w:r>
        <w:tab/>
        <w:t xml:space="preserve">The fees and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477" w:name="_Toc355611669"/>
      <w:r>
        <w:rPr>
          <w:rStyle w:val="CharSectno"/>
        </w:rPr>
        <w:t>94B</w:t>
      </w:r>
      <w:r>
        <w:rPr>
          <w:snapToGrid w:val="0"/>
        </w:rPr>
        <w:t>.</w:t>
      </w:r>
      <w:r>
        <w:rPr>
          <w:snapToGrid w:val="0"/>
        </w:rPr>
        <w:tab/>
        <w:t>Fees for pile mooring</w:t>
      </w:r>
      <w:bookmarkEnd w:id="477"/>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478" w:name="_Toc355611670"/>
      <w:r>
        <w:rPr>
          <w:rStyle w:val="CharSectno"/>
        </w:rPr>
        <w:t>94C</w:t>
      </w:r>
      <w:r>
        <w:rPr>
          <w:snapToGrid w:val="0"/>
        </w:rPr>
        <w:t>.</w:t>
      </w:r>
      <w:r>
        <w:rPr>
          <w:snapToGrid w:val="0"/>
        </w:rPr>
        <w:tab/>
        <w:t>Fees for berthing or mooring on a casual basis</w:t>
      </w:r>
      <w:bookmarkEnd w:id="478"/>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479" w:name="_Toc355611671"/>
      <w:r>
        <w:rPr>
          <w:rStyle w:val="CharSectno"/>
        </w:rPr>
        <w:t>94D</w:t>
      </w:r>
      <w:r>
        <w:t>.</w:t>
      </w:r>
      <w:r>
        <w:tab/>
        <w:t>Waiving fees or charges in emergencies</w:t>
      </w:r>
      <w:bookmarkEnd w:id="479"/>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480" w:name="_Toc190232118"/>
      <w:bookmarkStart w:id="481" w:name="_Toc202676828"/>
      <w:bookmarkStart w:id="482" w:name="_Toc202691602"/>
      <w:bookmarkStart w:id="483" w:name="_Toc219773460"/>
      <w:bookmarkStart w:id="484" w:name="_Toc219773715"/>
      <w:bookmarkStart w:id="485" w:name="_Toc221592649"/>
      <w:bookmarkStart w:id="486" w:name="_Toc221609335"/>
      <w:bookmarkStart w:id="487" w:name="_Toc221609517"/>
      <w:bookmarkStart w:id="488" w:name="_Toc223835838"/>
      <w:bookmarkStart w:id="489" w:name="_Toc233539528"/>
      <w:bookmarkStart w:id="490" w:name="_Toc236796627"/>
      <w:bookmarkStart w:id="491" w:name="_Toc266960887"/>
      <w:bookmarkStart w:id="492" w:name="_Toc297293791"/>
      <w:bookmarkStart w:id="493" w:name="_Toc329788490"/>
      <w:bookmarkStart w:id="494" w:name="_Toc329850802"/>
      <w:bookmarkStart w:id="495" w:name="_Toc329851002"/>
      <w:bookmarkStart w:id="496" w:name="_Toc329863281"/>
      <w:bookmarkStart w:id="497" w:name="_Toc329864619"/>
      <w:bookmarkStart w:id="498" w:name="_Toc346791049"/>
      <w:bookmarkStart w:id="499" w:name="_Toc355611672"/>
      <w:r>
        <w:rPr>
          <w:rStyle w:val="CharPartNo"/>
        </w:rPr>
        <w:t>Part 3</w:t>
      </w:r>
      <w:r>
        <w:t> — </w:t>
      </w:r>
      <w:r>
        <w:rPr>
          <w:rStyle w:val="CharPartText"/>
        </w:rPr>
        <w:t>Special provisions applying at particular ports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Footnoteheading"/>
      </w:pPr>
      <w:r>
        <w:tab/>
        <w:t xml:space="preserve">[Heading inserted in Gazette 19 May 1989 p. 1494.] </w:t>
      </w:r>
    </w:p>
    <w:p>
      <w:pPr>
        <w:pStyle w:val="Heading3"/>
        <w:rPr>
          <w:snapToGrid w:val="0"/>
        </w:rPr>
      </w:pPr>
      <w:bookmarkStart w:id="500" w:name="_Toc190232119"/>
      <w:bookmarkStart w:id="501" w:name="_Toc202676829"/>
      <w:bookmarkStart w:id="502" w:name="_Toc202691603"/>
      <w:bookmarkStart w:id="503" w:name="_Toc219773461"/>
      <w:bookmarkStart w:id="504" w:name="_Toc219773716"/>
      <w:bookmarkStart w:id="505" w:name="_Toc221592650"/>
      <w:bookmarkStart w:id="506" w:name="_Toc221609336"/>
      <w:bookmarkStart w:id="507" w:name="_Toc221609518"/>
      <w:bookmarkStart w:id="508" w:name="_Toc223835839"/>
      <w:bookmarkStart w:id="509" w:name="_Toc233539529"/>
      <w:bookmarkStart w:id="510" w:name="_Toc236796628"/>
      <w:bookmarkStart w:id="511" w:name="_Toc266960888"/>
      <w:bookmarkStart w:id="512" w:name="_Toc297293792"/>
      <w:bookmarkStart w:id="513" w:name="_Toc329788491"/>
      <w:bookmarkStart w:id="514" w:name="_Toc329850803"/>
      <w:bookmarkStart w:id="515" w:name="_Toc329851003"/>
      <w:bookmarkStart w:id="516" w:name="_Toc329863282"/>
      <w:bookmarkStart w:id="517" w:name="_Toc329864620"/>
      <w:bookmarkStart w:id="518" w:name="_Toc346791050"/>
      <w:bookmarkStart w:id="519" w:name="_Toc355611673"/>
      <w:r>
        <w:rPr>
          <w:rStyle w:val="CharDivNo"/>
        </w:rPr>
        <w:t>Division 1</w:t>
      </w:r>
      <w:r>
        <w:rPr>
          <w:snapToGrid w:val="0"/>
        </w:rPr>
        <w:t> — </w:t>
      </w:r>
      <w:r>
        <w:rPr>
          <w:rStyle w:val="CharDivText"/>
        </w:rPr>
        <w:t>Use of slipways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Footnoteheading"/>
      </w:pPr>
      <w:r>
        <w:tab/>
        <w:t xml:space="preserve">[Heading inserted in Gazette 19 May 1989 p. 1494.] </w:t>
      </w:r>
    </w:p>
    <w:p>
      <w:pPr>
        <w:pStyle w:val="Heading5"/>
      </w:pPr>
      <w:bookmarkStart w:id="520" w:name="_Toc355611674"/>
      <w:r>
        <w:rPr>
          <w:rStyle w:val="CharSectno"/>
        </w:rPr>
        <w:t>95</w:t>
      </w:r>
      <w:r>
        <w:t>.</w:t>
      </w:r>
      <w:r>
        <w:tab/>
        <w:t>Management and control of departmental slipways</w:t>
      </w:r>
      <w:bookmarkEnd w:id="520"/>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521" w:name="_Toc355611675"/>
      <w:r>
        <w:rPr>
          <w:rStyle w:val="CharSectno"/>
        </w:rPr>
        <w:t>95A</w:t>
      </w:r>
      <w:r>
        <w:rPr>
          <w:snapToGrid w:val="0"/>
        </w:rPr>
        <w:t>.</w:t>
      </w:r>
      <w:r>
        <w:rPr>
          <w:snapToGrid w:val="0"/>
        </w:rPr>
        <w:tab/>
        <w:t>Application for use of slipway</w:t>
      </w:r>
      <w:bookmarkEnd w:id="521"/>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522" w:name="_Toc355611676"/>
      <w:r>
        <w:rPr>
          <w:rStyle w:val="CharSectno"/>
        </w:rPr>
        <w:t>96</w:t>
      </w:r>
      <w:r>
        <w:rPr>
          <w:snapToGrid w:val="0"/>
        </w:rPr>
        <w:t>.</w:t>
      </w:r>
      <w:r>
        <w:rPr>
          <w:snapToGrid w:val="0"/>
        </w:rPr>
        <w:tab/>
        <w:t>Charges for use of slipway</w:t>
      </w:r>
      <w:bookmarkEnd w:id="522"/>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523" w:name="_Toc355611677"/>
      <w:r>
        <w:rPr>
          <w:rStyle w:val="CharSectno"/>
        </w:rPr>
        <w:t>97</w:t>
      </w:r>
      <w:r>
        <w:rPr>
          <w:snapToGrid w:val="0"/>
        </w:rPr>
        <w:t>.</w:t>
      </w:r>
      <w:r>
        <w:rPr>
          <w:snapToGrid w:val="0"/>
        </w:rPr>
        <w:tab/>
        <w:t>Government vessels may take precedence</w:t>
      </w:r>
      <w:bookmarkEnd w:id="523"/>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524" w:name="_Toc355611678"/>
      <w:r>
        <w:rPr>
          <w:rStyle w:val="CharSectno"/>
        </w:rPr>
        <w:t>98</w:t>
      </w:r>
      <w:r>
        <w:rPr>
          <w:snapToGrid w:val="0"/>
        </w:rPr>
        <w:t>.</w:t>
      </w:r>
      <w:r>
        <w:rPr>
          <w:snapToGrid w:val="0"/>
        </w:rPr>
        <w:tab/>
        <w:t>Vessels may forfeit their turn</w:t>
      </w:r>
      <w:bookmarkEnd w:id="524"/>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525" w:name="_Toc355611679"/>
      <w:r>
        <w:rPr>
          <w:rStyle w:val="CharSectno"/>
        </w:rPr>
        <w:t>99</w:t>
      </w:r>
      <w:r>
        <w:rPr>
          <w:snapToGrid w:val="0"/>
        </w:rPr>
        <w:t>.</w:t>
      </w:r>
      <w:r>
        <w:rPr>
          <w:snapToGrid w:val="0"/>
        </w:rPr>
        <w:tab/>
        <w:t>Department will not undertake repairs etc.</w:t>
      </w:r>
      <w:bookmarkEnd w:id="525"/>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526" w:name="_Toc355611680"/>
      <w:r>
        <w:rPr>
          <w:rStyle w:val="CharSectno"/>
        </w:rPr>
        <w:t>100</w:t>
      </w:r>
      <w:r>
        <w:rPr>
          <w:snapToGrid w:val="0"/>
        </w:rPr>
        <w:t>.</w:t>
      </w:r>
      <w:r>
        <w:rPr>
          <w:snapToGrid w:val="0"/>
        </w:rPr>
        <w:tab/>
        <w:t>Department not responsible for damage to vessel when in use of slip</w:t>
      </w:r>
      <w:bookmarkEnd w:id="526"/>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527" w:name="_Toc355611681"/>
      <w:r>
        <w:rPr>
          <w:rStyle w:val="CharSectno"/>
        </w:rPr>
        <w:t>101</w:t>
      </w:r>
      <w:r>
        <w:rPr>
          <w:snapToGrid w:val="0"/>
        </w:rPr>
        <w:t>.</w:t>
      </w:r>
      <w:r>
        <w:rPr>
          <w:snapToGrid w:val="0"/>
        </w:rPr>
        <w:tab/>
        <w:t>Duties of owner or master using slipway</w:t>
      </w:r>
      <w:bookmarkEnd w:id="527"/>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528" w:name="_Toc355611682"/>
      <w:r>
        <w:rPr>
          <w:rStyle w:val="CharSectno"/>
        </w:rPr>
        <w:t>101A</w:t>
      </w:r>
      <w:r>
        <w:rPr>
          <w:snapToGrid w:val="0"/>
        </w:rPr>
        <w:t>.</w:t>
      </w:r>
      <w:r>
        <w:rPr>
          <w:snapToGrid w:val="0"/>
        </w:rPr>
        <w:tab/>
        <w:t>Slipping of more than one vessel at a time</w:t>
      </w:r>
      <w:bookmarkEnd w:id="528"/>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529" w:name="_Toc355611683"/>
      <w:r>
        <w:rPr>
          <w:rStyle w:val="CharSectno"/>
        </w:rPr>
        <w:t>101B</w:t>
      </w:r>
      <w:r>
        <w:rPr>
          <w:snapToGrid w:val="0"/>
        </w:rPr>
        <w:t>.</w:t>
      </w:r>
      <w:r>
        <w:rPr>
          <w:snapToGrid w:val="0"/>
        </w:rPr>
        <w:tab/>
        <w:t>Dispute procedure</w:t>
      </w:r>
      <w:bookmarkEnd w:id="529"/>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530" w:name="_Toc190232130"/>
      <w:bookmarkStart w:id="531" w:name="_Toc202676840"/>
      <w:bookmarkStart w:id="532" w:name="_Toc202691614"/>
      <w:bookmarkStart w:id="533" w:name="_Toc219773472"/>
      <w:bookmarkStart w:id="534" w:name="_Toc219773727"/>
      <w:bookmarkStart w:id="535" w:name="_Toc221592661"/>
      <w:bookmarkStart w:id="536" w:name="_Toc221609347"/>
      <w:bookmarkStart w:id="537" w:name="_Toc221609529"/>
      <w:bookmarkStart w:id="538" w:name="_Toc223835850"/>
      <w:bookmarkStart w:id="539" w:name="_Toc233539540"/>
      <w:bookmarkStart w:id="540" w:name="_Toc236796639"/>
      <w:bookmarkStart w:id="541" w:name="_Toc266960899"/>
      <w:bookmarkStart w:id="542" w:name="_Toc297293803"/>
      <w:bookmarkStart w:id="543" w:name="_Toc329788502"/>
      <w:bookmarkStart w:id="544" w:name="_Toc329850814"/>
      <w:bookmarkStart w:id="545" w:name="_Toc329851014"/>
      <w:bookmarkStart w:id="546" w:name="_Toc329863293"/>
      <w:bookmarkStart w:id="547" w:name="_Toc329864631"/>
      <w:bookmarkStart w:id="548" w:name="_Toc346791061"/>
      <w:bookmarkStart w:id="549" w:name="_Toc355611684"/>
      <w:r>
        <w:rPr>
          <w:rStyle w:val="CharDivNo"/>
        </w:rPr>
        <w:t>Division 2</w:t>
      </w:r>
      <w:r>
        <w:rPr>
          <w:snapToGrid w:val="0"/>
        </w:rPr>
        <w:t> — </w:t>
      </w:r>
      <w:r>
        <w:rPr>
          <w:rStyle w:val="CharDivText"/>
        </w:rPr>
        <w:t>Use of mooring springs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550" w:name="_Toc355611685"/>
      <w:r>
        <w:rPr>
          <w:rStyle w:val="CharSectno"/>
        </w:rPr>
        <w:t>105F</w:t>
      </w:r>
      <w:r>
        <w:rPr>
          <w:snapToGrid w:val="0"/>
        </w:rPr>
        <w:t>.</w:t>
      </w:r>
      <w:r>
        <w:rPr>
          <w:snapToGrid w:val="0"/>
        </w:rPr>
        <w:tab/>
        <w:t>Approaching bollard or jetty to which mooring spring or rope fastened</w:t>
      </w:r>
      <w:bookmarkEnd w:id="550"/>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551" w:name="_Toc190232132"/>
      <w:bookmarkStart w:id="552" w:name="_Toc202676842"/>
      <w:bookmarkStart w:id="553" w:name="_Toc202691616"/>
      <w:bookmarkStart w:id="554" w:name="_Toc219773474"/>
      <w:bookmarkStart w:id="555" w:name="_Toc219773729"/>
      <w:bookmarkStart w:id="556" w:name="_Toc221592663"/>
      <w:bookmarkStart w:id="557" w:name="_Toc221609349"/>
      <w:bookmarkStart w:id="558" w:name="_Toc221609531"/>
      <w:bookmarkStart w:id="559" w:name="_Toc223835852"/>
      <w:bookmarkStart w:id="560" w:name="_Toc233539542"/>
      <w:bookmarkStart w:id="561" w:name="_Toc236796641"/>
      <w:bookmarkStart w:id="562" w:name="_Toc266960901"/>
      <w:bookmarkStart w:id="563" w:name="_Toc297293805"/>
      <w:bookmarkStart w:id="564" w:name="_Toc329788504"/>
      <w:bookmarkStart w:id="565" w:name="_Toc329850816"/>
      <w:bookmarkStart w:id="566" w:name="_Toc329851016"/>
      <w:bookmarkStart w:id="567" w:name="_Toc329863295"/>
      <w:bookmarkStart w:id="568" w:name="_Toc329864633"/>
      <w:bookmarkStart w:id="569" w:name="_Toc346791063"/>
      <w:bookmarkStart w:id="570" w:name="_Toc355611686"/>
      <w:r>
        <w:rPr>
          <w:rStyle w:val="CharDivNo"/>
        </w:rPr>
        <w:t>Division 4</w:t>
      </w:r>
      <w:r>
        <w:rPr>
          <w:snapToGrid w:val="0"/>
        </w:rPr>
        <w:t> — </w:t>
      </w:r>
      <w:r>
        <w:rPr>
          <w:rStyle w:val="CharDivText"/>
        </w:rPr>
        <w:t>Use of weighbridges at Wyndham</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571" w:name="_Toc355611687"/>
      <w:r>
        <w:rPr>
          <w:rStyle w:val="CharSectno"/>
        </w:rPr>
        <w:t>105I</w:t>
      </w:r>
      <w:r>
        <w:rPr>
          <w:snapToGrid w:val="0"/>
        </w:rPr>
        <w:t>.</w:t>
      </w:r>
      <w:r>
        <w:rPr>
          <w:snapToGrid w:val="0"/>
        </w:rPr>
        <w:tab/>
        <w:t>Weighbridge fees</w:t>
      </w:r>
      <w:bookmarkEnd w:id="571"/>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572" w:name="_Toc190232134"/>
      <w:bookmarkStart w:id="573" w:name="_Toc202676844"/>
      <w:bookmarkStart w:id="574" w:name="_Toc202691618"/>
      <w:bookmarkStart w:id="575" w:name="_Toc219773476"/>
      <w:bookmarkStart w:id="576" w:name="_Toc219773731"/>
      <w:bookmarkStart w:id="577" w:name="_Toc221592665"/>
      <w:bookmarkStart w:id="578" w:name="_Toc221609351"/>
      <w:bookmarkStart w:id="579" w:name="_Toc221609533"/>
      <w:bookmarkStart w:id="580" w:name="_Toc223835854"/>
      <w:bookmarkStart w:id="581" w:name="_Toc233539544"/>
      <w:bookmarkStart w:id="582" w:name="_Toc236796643"/>
      <w:bookmarkStart w:id="583" w:name="_Toc266960903"/>
      <w:bookmarkStart w:id="584" w:name="_Toc297293807"/>
      <w:bookmarkStart w:id="585" w:name="_Toc329788506"/>
      <w:bookmarkStart w:id="586" w:name="_Toc329850818"/>
      <w:bookmarkStart w:id="587" w:name="_Toc329851018"/>
      <w:bookmarkStart w:id="588" w:name="_Toc329863297"/>
      <w:bookmarkStart w:id="589" w:name="_Toc329864635"/>
      <w:bookmarkStart w:id="590" w:name="_Toc346791065"/>
      <w:bookmarkStart w:id="591" w:name="_Toc355611688"/>
      <w:r>
        <w:rPr>
          <w:rStyle w:val="CharPartNo"/>
        </w:rPr>
        <w:t>Part 4</w:t>
      </w:r>
      <w:r>
        <w:rPr>
          <w:rStyle w:val="CharDivNo"/>
        </w:rPr>
        <w:t> </w:t>
      </w:r>
      <w:r>
        <w:t>—</w:t>
      </w:r>
      <w:r>
        <w:rPr>
          <w:rStyle w:val="CharDivText"/>
        </w:rPr>
        <w:t> </w:t>
      </w:r>
      <w:r>
        <w:rPr>
          <w:rStyle w:val="CharPartText"/>
        </w:rPr>
        <w:t>Breach of regulations and penalties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Footnoteheading"/>
      </w:pPr>
      <w:r>
        <w:tab/>
        <w:t xml:space="preserve">[Heading inserted in Gazette 19 May 1989 p. 1494.] </w:t>
      </w:r>
    </w:p>
    <w:p>
      <w:pPr>
        <w:pStyle w:val="Heading5"/>
        <w:rPr>
          <w:snapToGrid w:val="0"/>
        </w:rPr>
      </w:pPr>
      <w:bookmarkStart w:id="592" w:name="_Toc355611689"/>
      <w:r>
        <w:rPr>
          <w:rStyle w:val="CharSectno"/>
        </w:rPr>
        <w:t>106</w:t>
      </w:r>
      <w:r>
        <w:rPr>
          <w:snapToGrid w:val="0"/>
        </w:rPr>
        <w:t>.</w:t>
      </w:r>
      <w:r>
        <w:rPr>
          <w:snapToGrid w:val="0"/>
        </w:rPr>
        <w:tab/>
        <w:t>Powers of officer of Department</w:t>
      </w:r>
      <w:bookmarkEnd w:id="592"/>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593" w:name="_Toc355611690"/>
      <w:r>
        <w:rPr>
          <w:rStyle w:val="CharSectno"/>
        </w:rPr>
        <w:t>107</w:t>
      </w:r>
      <w:r>
        <w:rPr>
          <w:snapToGrid w:val="0"/>
        </w:rPr>
        <w:t>.</w:t>
      </w:r>
      <w:r>
        <w:rPr>
          <w:snapToGrid w:val="0"/>
        </w:rPr>
        <w:tab/>
        <w:t>Recovery of expenses incurred by breaches of regulations</w:t>
      </w:r>
      <w:bookmarkEnd w:id="593"/>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594" w:name="_Toc355611691"/>
      <w:r>
        <w:rPr>
          <w:rStyle w:val="CharSectno"/>
        </w:rPr>
        <w:t>107A</w:t>
      </w:r>
      <w:r>
        <w:rPr>
          <w:snapToGrid w:val="0"/>
        </w:rPr>
        <w:t>.</w:t>
      </w:r>
      <w:r>
        <w:rPr>
          <w:snapToGrid w:val="0"/>
        </w:rPr>
        <w:tab/>
        <w:t>Police have authority to enforce regulations</w:t>
      </w:r>
      <w:bookmarkEnd w:id="594"/>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595" w:name="_Toc355611692"/>
      <w:r>
        <w:rPr>
          <w:rStyle w:val="CharSectno"/>
        </w:rPr>
        <w:t>108</w:t>
      </w:r>
      <w:r>
        <w:rPr>
          <w:snapToGrid w:val="0"/>
        </w:rPr>
        <w:t>.</w:t>
      </w:r>
      <w:r>
        <w:rPr>
          <w:snapToGrid w:val="0"/>
        </w:rPr>
        <w:tab/>
        <w:t>Penalty for offences</w:t>
      </w:r>
      <w:bookmarkEnd w:id="595"/>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96" w:name="_Toc329788511"/>
      <w:bookmarkStart w:id="597" w:name="_Toc329850823"/>
      <w:bookmarkStart w:id="598" w:name="_Toc329851023"/>
      <w:bookmarkStart w:id="599" w:name="_Toc329863302"/>
      <w:bookmarkStart w:id="600" w:name="_Toc329864640"/>
      <w:bookmarkStart w:id="601" w:name="_Toc346791070"/>
      <w:bookmarkStart w:id="602" w:name="_Toc355611693"/>
      <w:bookmarkStart w:id="603" w:name="_Toc190232169"/>
      <w:bookmarkStart w:id="604" w:name="_Toc202676879"/>
      <w:bookmarkStart w:id="605" w:name="_Toc202691653"/>
      <w:bookmarkStart w:id="606" w:name="_Toc219773511"/>
      <w:bookmarkStart w:id="607" w:name="_Toc219773766"/>
      <w:bookmarkStart w:id="608" w:name="_Toc221592700"/>
      <w:bookmarkStart w:id="609" w:name="_Toc221609386"/>
      <w:bookmarkStart w:id="610" w:name="_Toc221609568"/>
      <w:bookmarkStart w:id="611" w:name="_Toc223835889"/>
      <w:bookmarkStart w:id="612" w:name="_Toc233539579"/>
      <w:bookmarkStart w:id="613" w:name="_Toc236796678"/>
      <w:bookmarkStart w:id="614" w:name="_Toc266960908"/>
      <w:bookmarkStart w:id="615" w:name="_Toc297293812"/>
      <w:r>
        <w:rPr>
          <w:rStyle w:val="CharSchNo"/>
        </w:rPr>
        <w:t>Schedule 1</w:t>
      </w:r>
      <w:r>
        <w:t> — </w:t>
      </w:r>
      <w:r>
        <w:rPr>
          <w:rStyle w:val="CharSchText"/>
        </w:rPr>
        <w:t>Charges, dues and fees at places outside the Port of Perth</w:t>
      </w:r>
      <w:bookmarkEnd w:id="596"/>
      <w:bookmarkEnd w:id="597"/>
      <w:bookmarkEnd w:id="598"/>
      <w:bookmarkEnd w:id="599"/>
      <w:bookmarkEnd w:id="600"/>
      <w:bookmarkEnd w:id="601"/>
      <w:bookmarkEnd w:id="602"/>
    </w:p>
    <w:p>
      <w:pPr>
        <w:pStyle w:val="yShoulderClause"/>
      </w:pPr>
      <w:r>
        <w:t>[r. 6, 10A, 11, 25, 42A, 53A, 94A, 94B, 94C, 96 and 105I]</w:t>
      </w:r>
    </w:p>
    <w:p>
      <w:pPr>
        <w:pStyle w:val="yFootnoteheading"/>
      </w:pPr>
      <w:r>
        <w:tab/>
        <w:t>[Heading inserted in Gazette 13 Jul 2012 p. 3174.]</w:t>
      </w:r>
    </w:p>
    <w:p>
      <w:pPr>
        <w:pStyle w:val="yHeading3"/>
      </w:pPr>
      <w:bookmarkStart w:id="616" w:name="_Toc346791071"/>
      <w:bookmarkStart w:id="617" w:name="_Toc355611694"/>
      <w:r>
        <w:rPr>
          <w:rStyle w:val="CharSDivNo"/>
        </w:rPr>
        <w:t>Division 1</w:t>
      </w:r>
      <w:r>
        <w:rPr>
          <w:b w:val="0"/>
        </w:rPr>
        <w:t> — </w:t>
      </w:r>
      <w:r>
        <w:rPr>
          <w:rStyle w:val="CharSDivText"/>
        </w:rPr>
        <w:t>Specified places</w:t>
      </w:r>
      <w:bookmarkEnd w:id="616"/>
      <w:bookmarkEnd w:id="617"/>
    </w:p>
    <w:p>
      <w:pPr>
        <w:pStyle w:val="yFootnoteheading"/>
      </w:pPr>
      <w:r>
        <w:tab/>
        <w:t>[Heading inserted in Gazette 23 Oct 2012 p. 5057.]</w:t>
      </w:r>
    </w:p>
    <w:p>
      <w:pPr>
        <w:pStyle w:val="yHeading5"/>
      </w:pPr>
      <w:bookmarkStart w:id="618" w:name="_Toc355611695"/>
      <w:r>
        <w:rPr>
          <w:rStyle w:val="CharSClsNo"/>
        </w:rPr>
        <w:t>1</w:t>
      </w:r>
      <w:r>
        <w:t>.</w:t>
      </w:r>
      <w:r>
        <w:rPr>
          <w:b w:val="0"/>
        </w:rP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618"/>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1.1.</w:t>
      </w:r>
    </w:p>
    <w:p>
      <w:pPr>
        <w:pStyle w:val="yTHeadingNAm"/>
      </w:pPr>
      <w:r>
        <w:t>Table 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pen for commercial vessel, per m of the longer of vessel’s length and the pen’s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r>
              <w:rPr>
                <w:bCs/>
              </w:rPr>
              <w:t>374.92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tcPr>
          <w:p>
            <w:pPr>
              <w:pStyle w:val="yTableNAm"/>
              <w:keepNext/>
              <w:tabs>
                <w:tab w:val="clear" w:pos="567"/>
              </w:tabs>
              <w:spacing w:before="0"/>
              <w:jc w:val="right"/>
              <w:rPr>
                <w:bCs/>
              </w:rPr>
            </w:pPr>
            <w:r>
              <w:rPr>
                <w:bCs/>
              </w:rPr>
              <w:br/>
              <w:t>37.49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tcPr>
          <w:p>
            <w:pPr>
              <w:pStyle w:val="yTableNAm"/>
              <w:keepNext/>
              <w:tabs>
                <w:tab w:val="clear" w:pos="567"/>
              </w:tabs>
              <w:spacing w:before="0"/>
              <w:jc w:val="right"/>
              <w:rPr>
                <w:bCs/>
              </w:rPr>
            </w:pPr>
            <w:r>
              <w:rPr>
                <w:bCs/>
              </w:rPr>
              <w:br/>
              <w:t>56.24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tcPr>
          <w:p>
            <w:pPr>
              <w:pStyle w:val="yTableNAm"/>
              <w:keepNext/>
              <w:tabs>
                <w:tab w:val="clear" w:pos="567"/>
              </w:tabs>
              <w:spacing w:before="0"/>
              <w:jc w:val="right"/>
              <w:rPr>
                <w:bCs/>
              </w:rPr>
            </w:pPr>
            <w:r>
              <w:rPr>
                <w:bCs/>
              </w:rPr>
              <w:br/>
              <w:t>39.05</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otherwise, per day </w:t>
            </w:r>
          </w:p>
        </w:tc>
        <w:tc>
          <w:tcPr>
            <w:tcW w:w="992" w:type="dxa"/>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 xml:space="preserve">For pen for recreational vessel, per m of the longer of vessel’s length and the pen’s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for 12 months paid in advance </w:t>
            </w:r>
          </w:p>
        </w:tc>
        <w:tc>
          <w:tcPr>
            <w:tcW w:w="992" w:type="dxa"/>
          </w:tcPr>
          <w:p>
            <w:pPr>
              <w:pStyle w:val="yTableNAm"/>
              <w:keepNext/>
              <w:tabs>
                <w:tab w:val="clear" w:pos="567"/>
              </w:tabs>
              <w:spacing w:before="0"/>
              <w:jc w:val="right"/>
              <w:rPr>
                <w:bCs/>
              </w:rPr>
            </w:pPr>
            <w:r>
              <w:rPr>
                <w:bCs/>
              </w:rPr>
              <w:t>374.92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tcPr>
          <w:p>
            <w:pPr>
              <w:pStyle w:val="yTableNAm"/>
              <w:keepNext/>
              <w:tabs>
                <w:tab w:val="clear" w:pos="567"/>
              </w:tabs>
              <w:spacing w:before="0"/>
              <w:jc w:val="right"/>
              <w:rPr>
                <w:bCs/>
              </w:rPr>
            </w:pPr>
            <w:r>
              <w:rPr>
                <w:bCs/>
              </w:rPr>
              <w:br/>
              <w:t>37.49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tcPr>
          <w:p>
            <w:pPr>
              <w:pStyle w:val="yTableNAm"/>
              <w:keepNext/>
              <w:tabs>
                <w:tab w:val="clear" w:pos="567"/>
              </w:tabs>
              <w:spacing w:before="0"/>
              <w:jc w:val="right"/>
              <w:rPr>
                <w:bCs/>
              </w:rPr>
            </w:pPr>
            <w:r>
              <w:rPr>
                <w:bCs/>
              </w:rPr>
              <w:br/>
              <w:t>56.24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tcPr>
          <w:p>
            <w:pPr>
              <w:pStyle w:val="yTableNAm"/>
              <w:keepNext/>
              <w:tabs>
                <w:tab w:val="clear" w:pos="567"/>
              </w:tabs>
              <w:spacing w:before="0"/>
              <w:jc w:val="right"/>
              <w:rPr>
                <w:bCs/>
              </w:rPr>
            </w:pPr>
            <w:r>
              <w:rPr>
                <w:bCs/>
              </w:rPr>
              <w:br/>
              <w:t>39.04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otherwise, per day</w:t>
            </w:r>
          </w:p>
        </w:tc>
        <w:tc>
          <w:tcPr>
            <w:tcW w:w="992" w:type="dxa"/>
          </w:tcPr>
          <w:p>
            <w:pPr>
              <w:pStyle w:val="yTableNAm"/>
              <w:keepNext/>
              <w:tabs>
                <w:tab w:val="clear" w:pos="567"/>
              </w:tabs>
              <w:spacing w:before="0"/>
              <w:jc w:val="right"/>
              <w:rPr>
                <w:bCs/>
              </w:rPr>
            </w:pPr>
            <w:r>
              <w:rPr>
                <w:bCs/>
              </w:rPr>
              <w:t>5.03</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For pen, or berth at service jetty or old timber jetty, per m of vessel’s length per day</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commercial vessel</w:t>
            </w:r>
          </w:p>
        </w:tc>
        <w:tc>
          <w:tcPr>
            <w:tcW w:w="992" w:type="dxa"/>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recreational vessel</w:t>
            </w:r>
          </w:p>
        </w:tc>
        <w:tc>
          <w:tcPr>
            <w:tcW w:w="992" w:type="dxa"/>
          </w:tcPr>
          <w:p>
            <w:pPr>
              <w:pStyle w:val="yTableNAm"/>
              <w:keepNext/>
              <w:tabs>
                <w:tab w:val="clear" w:pos="567"/>
              </w:tabs>
              <w:spacing w:before="0"/>
              <w:jc w:val="right"/>
              <w:rPr>
                <w:bCs/>
              </w:rPr>
            </w:pPr>
            <w:r>
              <w:rPr>
                <w:bCs/>
              </w:rPr>
              <w:t>5.03</w:t>
            </w:r>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pPr>
            <w:r>
              <w:t>For use of service jetty for short time just to load or unload vessel for which the item 1, 2 or 3 fee has not been paid,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r>
              <w:rPr>
                <w:bCs/>
              </w:rPr>
              <w:t>143.76</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per day</w:t>
            </w:r>
          </w:p>
        </w:tc>
        <w:tc>
          <w:tcPr>
            <w:tcW w:w="992" w:type="dxa"/>
            <w:tcBorders>
              <w:bottom w:val="single" w:sz="4" w:space="0" w:color="auto"/>
            </w:tcBorders>
          </w:tcPr>
          <w:p>
            <w:pPr>
              <w:pStyle w:val="yTableNAm"/>
              <w:keepNext/>
              <w:tabs>
                <w:tab w:val="clear" w:pos="567"/>
              </w:tabs>
              <w:spacing w:before="0"/>
              <w:jc w:val="right"/>
              <w:rPr>
                <w:bCs/>
              </w:rPr>
            </w:pPr>
            <w:r>
              <w:rPr>
                <w:bCs/>
              </w:rPr>
              <w:t>4.69</w:t>
            </w:r>
          </w:p>
        </w:tc>
      </w:tr>
    </w:tbl>
    <w:p>
      <w:pPr>
        <w:pStyle w:val="yFootnotesection"/>
      </w:pPr>
      <w:r>
        <w:tab/>
        <w:t>[Clause 1 inserted in Gazette 13 Jul 2012 p. 3174</w:t>
      </w:r>
      <w:r>
        <w:noBreakHyphen/>
        <w:t>5.]</w:t>
      </w:r>
    </w:p>
    <w:p>
      <w:pPr>
        <w:pStyle w:val="yHeading5"/>
      </w:pPr>
      <w:bookmarkStart w:id="619" w:name="_Toc355611696"/>
      <w:r>
        <w:rPr>
          <w:rStyle w:val="CharSClsNo"/>
        </w:rPr>
        <w:t>2</w:t>
      </w:r>
      <w:r>
        <w:t>.</w:t>
      </w:r>
      <w:r>
        <w:rPr>
          <w:b w:val="0"/>
        </w:rPr>
        <w:tab/>
      </w:r>
      <w:smartTag w:uri="urn:schemas-microsoft-com:office:smarttags" w:element="City">
        <w:r>
          <w:t>Albany</w:t>
        </w:r>
      </w:smartTag>
      <w:r>
        <w:t xml:space="preserve">,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19"/>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2.1.</w:t>
      </w:r>
    </w:p>
    <w:p>
      <w:pPr>
        <w:pStyle w:val="yTHeadingNAm"/>
      </w:pPr>
      <w:r>
        <w:t>Table 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ind w:left="19"/>
            </w:pPr>
            <w:r>
              <w:t>For pen for commercial vessel 20 m or over,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278.11</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t>27.81</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t>41.71</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ind w:left="19"/>
            </w:pPr>
            <w:r>
              <w:t xml:space="preserve">For pen for commercial vessel not over 20 m, per m of vessel’s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234.40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t>23.43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t>35.16</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ind w:left="19"/>
            </w:pPr>
            <w:r>
              <w:t xml:space="preserve">For pen or berth for recreational vessel, per m of vessel’s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212.50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t>21.24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t>31.88</w:t>
            </w:r>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ind w:left="19"/>
            </w:pPr>
            <w:r>
              <w:t>For pen, or berth at service jetty, per m of vessel’s length per day</w:t>
            </w:r>
          </w:p>
        </w:tc>
        <w:tc>
          <w:tcPr>
            <w:tcW w:w="992" w:type="dxa"/>
          </w:tcPr>
          <w:p>
            <w:pPr>
              <w:pStyle w:val="yTableNAm"/>
              <w:keepNext/>
              <w:tabs>
                <w:tab w:val="clear" w:pos="567"/>
              </w:tabs>
              <w:spacing w:before="0"/>
              <w:jc w:val="right"/>
              <w:rPr>
                <w:bCs/>
              </w:rPr>
            </w:pPr>
            <w:r>
              <w:rPr>
                <w:bCs/>
              </w:rPr>
              <w:br/>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2636"/>
              </w:tabs>
              <w:spacing w:before="0"/>
              <w:ind w:left="368" w:hanging="368"/>
            </w:pPr>
            <w:r>
              <w:t>•</w:t>
            </w:r>
            <w:r>
              <w:tab/>
              <w:t>for commercial vessel</w:t>
            </w:r>
          </w:p>
        </w:tc>
        <w:tc>
          <w:tcPr>
            <w:tcW w:w="992" w:type="dxa"/>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recreational vessel</w:t>
            </w:r>
          </w:p>
        </w:tc>
        <w:tc>
          <w:tcPr>
            <w:tcW w:w="992" w:type="dxa"/>
          </w:tcPr>
          <w:p>
            <w:pPr>
              <w:pStyle w:val="yTableNAm"/>
              <w:keepNext/>
              <w:tabs>
                <w:tab w:val="clear" w:pos="567"/>
              </w:tabs>
              <w:spacing w:before="0"/>
              <w:jc w:val="right"/>
              <w:rPr>
                <w:bCs/>
              </w:rPr>
            </w:pPr>
            <w:r>
              <w:rPr>
                <w:bCs/>
              </w:rPr>
              <w:t>5.03</w:t>
            </w:r>
          </w:p>
        </w:tc>
      </w:tr>
      <w:tr>
        <w:trPr>
          <w:cantSplit/>
        </w:trPr>
        <w:tc>
          <w:tcPr>
            <w:tcW w:w="567" w:type="dxa"/>
          </w:tcPr>
          <w:p>
            <w:pPr>
              <w:pStyle w:val="yTableNAm"/>
              <w:tabs>
                <w:tab w:val="clear" w:pos="567"/>
              </w:tabs>
              <w:spacing w:before="0"/>
            </w:pPr>
            <w:r>
              <w:t>5.</w:t>
            </w:r>
          </w:p>
        </w:tc>
        <w:tc>
          <w:tcPr>
            <w:tcW w:w="4394" w:type="dxa"/>
          </w:tcPr>
          <w:p>
            <w:pPr>
              <w:pStyle w:val="yTableNAm"/>
              <w:tabs>
                <w:tab w:val="clear" w:pos="567"/>
              </w:tabs>
              <w:spacing w:before="0"/>
              <w:ind w:left="19"/>
            </w:pPr>
            <w:r>
              <w:t>For use of service jetty for short time just to load or unload vessel for which the item 1, 2, 3 or 4 fee has not been paid,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r>
              <w:rPr>
                <w:bCs/>
              </w:rPr>
              <w:t>143.76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per day</w:t>
            </w:r>
          </w:p>
        </w:tc>
        <w:tc>
          <w:tcPr>
            <w:tcW w:w="992" w:type="dxa"/>
          </w:tcPr>
          <w:p>
            <w:pPr>
              <w:pStyle w:val="yTableNAm"/>
              <w:keepNext/>
              <w:tabs>
                <w:tab w:val="clear" w:pos="567"/>
              </w:tabs>
              <w:spacing w:before="0"/>
              <w:jc w:val="right"/>
              <w:rPr>
                <w:bCs/>
              </w:rPr>
            </w:pPr>
            <w:r>
              <w:rPr>
                <w:bCs/>
              </w:rPr>
              <w:t>4.69</w:t>
            </w:r>
          </w:p>
        </w:tc>
      </w:tr>
      <w:tr>
        <w:trPr>
          <w:cantSplit/>
        </w:trPr>
        <w:tc>
          <w:tcPr>
            <w:tcW w:w="567" w:type="dxa"/>
          </w:tcPr>
          <w:p>
            <w:pPr>
              <w:pStyle w:val="yTableNAm"/>
              <w:tabs>
                <w:tab w:val="clear" w:pos="567"/>
              </w:tabs>
              <w:spacing w:before="0"/>
            </w:pPr>
            <w:r>
              <w:t>6.</w:t>
            </w:r>
          </w:p>
        </w:tc>
        <w:tc>
          <w:tcPr>
            <w:tcW w:w="4394" w:type="dxa"/>
          </w:tcPr>
          <w:p>
            <w:pPr>
              <w:pStyle w:val="yTableNAm"/>
              <w:tabs>
                <w:tab w:val="clear" w:pos="567"/>
              </w:tabs>
              <w:spacing w:before="0"/>
            </w:pPr>
            <w:r>
              <w:t>For electricity supply, 3</w:t>
            </w:r>
            <w:r>
              <w:noBreakHyphen/>
              <w:t xml:space="preserve">phase per day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ind w:left="285" w:hanging="285"/>
            </w:pPr>
          </w:p>
        </w:tc>
        <w:tc>
          <w:tcPr>
            <w:tcW w:w="4394" w:type="dxa"/>
          </w:tcPr>
          <w:p>
            <w:pPr>
              <w:pStyle w:val="yTableNAm"/>
              <w:tabs>
                <w:tab w:val="clear" w:pos="567"/>
                <w:tab w:val="left" w:pos="285"/>
              </w:tabs>
              <w:spacing w:before="0"/>
              <w:ind w:left="285" w:right="65" w:hanging="285"/>
            </w:pPr>
            <w:r>
              <w:t>•</w:t>
            </w:r>
            <w:r>
              <w:tab/>
              <w:t>if metering indicates usage of more than $35.95 in a day</w:t>
            </w:r>
          </w:p>
        </w:tc>
        <w:tc>
          <w:tcPr>
            <w:tcW w:w="992" w:type="dxa"/>
          </w:tcPr>
          <w:p>
            <w:pPr>
              <w:pStyle w:val="yTableNAm"/>
              <w:keepNext/>
              <w:tabs>
                <w:tab w:val="clear" w:pos="567"/>
              </w:tabs>
              <w:spacing w:before="0"/>
              <w:jc w:val="right"/>
              <w:rPr>
                <w:bCs/>
              </w:rPr>
            </w:pPr>
            <w:r>
              <w:rPr>
                <w:bCs/>
              </w:rPr>
              <w:br/>
              <w:t>cost</w:t>
            </w:r>
          </w:p>
        </w:tc>
      </w:tr>
      <w:tr>
        <w:trPr>
          <w:cantSplit/>
        </w:trPr>
        <w:tc>
          <w:tcPr>
            <w:tcW w:w="567" w:type="dxa"/>
            <w:tcBorders>
              <w:bottom w:val="single" w:sz="4" w:space="0" w:color="auto"/>
            </w:tcBorders>
          </w:tcPr>
          <w:p>
            <w:pPr>
              <w:pStyle w:val="yTableNAm"/>
              <w:tabs>
                <w:tab w:val="clear" w:pos="567"/>
              </w:tabs>
              <w:spacing w:before="0"/>
              <w:ind w:left="285" w:hanging="285"/>
            </w:pPr>
          </w:p>
        </w:tc>
        <w:tc>
          <w:tcPr>
            <w:tcW w:w="4394" w:type="dxa"/>
            <w:tcBorders>
              <w:bottom w:val="single" w:sz="4" w:space="0" w:color="auto"/>
            </w:tcBorders>
          </w:tcPr>
          <w:p>
            <w:pPr>
              <w:pStyle w:val="yTableNAm"/>
              <w:tabs>
                <w:tab w:val="clear" w:pos="567"/>
                <w:tab w:val="left" w:pos="285"/>
              </w:tabs>
              <w:spacing w:before="0"/>
              <w:ind w:left="285" w:right="65" w:hanging="285"/>
            </w:pPr>
            <w:r>
              <w:t>•</w:t>
            </w:r>
            <w:r>
              <w:tab/>
              <w:t>otherwise, per day</w:t>
            </w:r>
          </w:p>
        </w:tc>
        <w:tc>
          <w:tcPr>
            <w:tcW w:w="992" w:type="dxa"/>
            <w:tcBorders>
              <w:bottom w:val="single" w:sz="4" w:space="0" w:color="auto"/>
            </w:tcBorders>
          </w:tcPr>
          <w:p>
            <w:pPr>
              <w:pStyle w:val="yTableNAm"/>
              <w:keepNext/>
              <w:tabs>
                <w:tab w:val="clear" w:pos="567"/>
              </w:tabs>
              <w:spacing w:before="0"/>
              <w:jc w:val="right"/>
              <w:rPr>
                <w:bCs/>
              </w:rPr>
            </w:pPr>
            <w:r>
              <w:rPr>
                <w:bCs/>
              </w:rPr>
              <w:t>35.95</w:t>
            </w:r>
          </w:p>
        </w:tc>
      </w:tr>
    </w:tbl>
    <w:p>
      <w:pPr>
        <w:pStyle w:val="yFootnotesection"/>
      </w:pPr>
      <w:r>
        <w:tab/>
        <w:t>[Clause 2 inserted in Gazette 13 Jul 2012 p. 3175</w:t>
      </w:r>
      <w:r>
        <w:noBreakHyphen/>
        <w:t>6.]</w:t>
      </w:r>
    </w:p>
    <w:p>
      <w:pPr>
        <w:pStyle w:val="yHeading5"/>
      </w:pPr>
      <w:bookmarkStart w:id="620" w:name="_Toc355611697"/>
      <w:r>
        <w:rPr>
          <w:rStyle w:val="CharSClsNo"/>
        </w:rPr>
        <w:t>3</w:t>
      </w:r>
      <w:r>
        <w:t>.</w:t>
      </w:r>
      <w:r>
        <w:rPr>
          <w:b w:val="0"/>
        </w:rPr>
        <w:tab/>
      </w:r>
      <w:smartTag w:uri="urn:schemas-microsoft-com:office:smarttags" w:element="place">
        <w:smartTag w:uri="urn:schemas-microsoft-com:office:smarttags" w:element="City">
          <w:r>
            <w:t>Augusta</w:t>
          </w:r>
        </w:smartTag>
      </w:smartTag>
      <w:bookmarkEnd w:id="620"/>
    </w:p>
    <w:p>
      <w:pPr>
        <w:pStyle w:val="ySubsection"/>
      </w:pPr>
      <w:r>
        <w:tab/>
        <w:t>(1)</w:t>
      </w:r>
      <w:r>
        <w:tab/>
        <w:t xml:space="preserve">This clause applies to </w:t>
      </w:r>
      <w:smartTag w:uri="urn:schemas-microsoft-com:office:smarttags" w:element="place">
        <w:smartTag w:uri="urn:schemas-microsoft-com:office:smarttags" w:element="City">
          <w:r>
            <w:t>Augusta</w:t>
          </w:r>
        </w:smartTag>
      </w:smartTag>
      <w:r>
        <w:t>.</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For shared use of service jetty by vessel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r>
              <w:rPr>
                <w:bCs/>
              </w:rPr>
              <w:t>732.14</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otherwise, per m of vessel’s length per day</w:t>
            </w:r>
          </w:p>
        </w:tc>
        <w:tc>
          <w:tcPr>
            <w:tcW w:w="992" w:type="dxa"/>
            <w:tcBorders>
              <w:bottom w:val="single" w:sz="4" w:space="0" w:color="auto"/>
            </w:tcBorders>
          </w:tcPr>
          <w:p>
            <w:pPr>
              <w:pStyle w:val="yTableNAm"/>
              <w:keepNext/>
              <w:tabs>
                <w:tab w:val="clear" w:pos="567"/>
              </w:tabs>
              <w:spacing w:before="0"/>
              <w:jc w:val="right"/>
              <w:rPr>
                <w:bCs/>
              </w:rPr>
            </w:pPr>
            <w:r>
              <w:rPr>
                <w:bCs/>
              </w:rPr>
              <w:t>4.38</w:t>
            </w:r>
          </w:p>
        </w:tc>
      </w:tr>
    </w:tbl>
    <w:p>
      <w:pPr>
        <w:pStyle w:val="yFootnotesection"/>
      </w:pPr>
      <w:r>
        <w:tab/>
        <w:t>[Clause 3 inserted in Gazette 13 Jul 2012 p. 3177.]</w:t>
      </w:r>
    </w:p>
    <w:p>
      <w:pPr>
        <w:pStyle w:val="yHeading5"/>
      </w:pPr>
      <w:bookmarkStart w:id="621" w:name="_Toc355611698"/>
      <w:r>
        <w:rPr>
          <w:rStyle w:val="CharSClsNo"/>
        </w:rPr>
        <w:t>4</w:t>
      </w:r>
      <w:r>
        <w:t>.</w:t>
      </w:r>
      <w:r>
        <w:rPr>
          <w:b w:val="0"/>
        </w:rPr>
        <w:tab/>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bookmarkEnd w:id="621"/>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charges and dues to be paid under regulation 10A are set out in Table 4.1.</w:t>
      </w:r>
    </w:p>
    <w:p>
      <w:pPr>
        <w:pStyle w:val="yTHeadingNAm"/>
      </w:pPr>
      <w:r>
        <w:t>Table 4.1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 per tonne</w:t>
            </w:r>
          </w:p>
        </w:tc>
      </w:tr>
      <w:tr>
        <w:trPr>
          <w:cantSplit/>
        </w:trPr>
        <w:tc>
          <w:tcPr>
            <w:tcW w:w="567" w:type="dxa"/>
            <w:tcBorders>
              <w:bottom w:val="single" w:sz="4" w:space="0" w:color="auto"/>
            </w:tcBorders>
          </w:tcPr>
          <w:p>
            <w:pPr>
              <w:pStyle w:val="yTableNAm"/>
              <w:tabs>
                <w:tab w:val="clear" w:pos="567"/>
              </w:tabs>
              <w:spacing w:before="0"/>
            </w:pPr>
            <w:r>
              <w:t>1.</w:t>
            </w:r>
          </w:p>
        </w:tc>
        <w:tc>
          <w:tcPr>
            <w:tcW w:w="4394" w:type="dxa"/>
            <w:tcBorders>
              <w:bottom w:val="single" w:sz="4" w:space="0" w:color="auto"/>
            </w:tcBorders>
          </w:tcPr>
          <w:p>
            <w:pPr>
              <w:pStyle w:val="yTableNAm"/>
              <w:tabs>
                <w:tab w:val="clear" w:pos="567"/>
              </w:tabs>
              <w:spacing w:before="0"/>
            </w:pPr>
            <w:r>
              <w:t>General cargo other than fishing products and fishing bait, per t or m</w:t>
            </w:r>
            <w:r>
              <w:rPr>
                <w:vertAlign w:val="superscript"/>
              </w:rPr>
              <w:t>3</w:t>
            </w:r>
          </w:p>
        </w:tc>
        <w:tc>
          <w:tcPr>
            <w:tcW w:w="992" w:type="dxa"/>
            <w:tcBorders>
              <w:bottom w:val="single" w:sz="4" w:space="0" w:color="auto"/>
            </w:tcBorders>
          </w:tcPr>
          <w:p>
            <w:pPr>
              <w:pStyle w:val="yTableNAm"/>
              <w:keepNext/>
              <w:tabs>
                <w:tab w:val="clear" w:pos="567"/>
              </w:tabs>
              <w:spacing w:before="0"/>
              <w:jc w:val="right"/>
              <w:rPr>
                <w:bCs/>
              </w:rPr>
            </w:pPr>
            <w:r>
              <w:rPr>
                <w:bCs/>
              </w:rPr>
              <w:br/>
              <w:t>30.34</w:t>
            </w:r>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For use of service jetty by vessel for which annual fee under </w:t>
            </w:r>
            <w:r>
              <w:rPr>
                <w:i/>
              </w:rPr>
              <w:t>Shipping and Pilotage (Mooring Control Areas) Regulations 1983</w:t>
            </w:r>
            <w:r>
              <w:t xml:space="preserve"> has not been paid, per m of vessel’s length per day</w:t>
            </w:r>
          </w:p>
        </w:tc>
        <w:tc>
          <w:tcPr>
            <w:tcW w:w="992" w:type="dxa"/>
          </w:tcPr>
          <w:p>
            <w:pPr>
              <w:pStyle w:val="yTableNAm"/>
              <w:keepNext/>
              <w:tabs>
                <w:tab w:val="clear" w:pos="567"/>
              </w:tabs>
              <w:spacing w:before="0"/>
              <w:jc w:val="right"/>
              <w:rPr>
                <w:bCs/>
              </w:rPr>
            </w:pPr>
            <w:r>
              <w:rPr>
                <w:bCs/>
              </w:rPr>
              <w:br/>
            </w:r>
            <w:r>
              <w:rPr>
                <w:bCs/>
              </w:rPr>
              <w:br/>
              <w:t>7.57</w:t>
            </w:r>
          </w:p>
        </w:tc>
      </w:tr>
      <w:tr>
        <w:trPr>
          <w:cantSplit/>
        </w:trPr>
        <w:tc>
          <w:tcPr>
            <w:tcW w:w="567" w:type="dxa"/>
            <w:tcBorders>
              <w:bottom w:val="single" w:sz="4" w:space="0" w:color="auto"/>
            </w:tcBorders>
          </w:tcPr>
          <w:p>
            <w:pPr>
              <w:pStyle w:val="yTableNAm"/>
              <w:tabs>
                <w:tab w:val="clear" w:pos="567"/>
              </w:tabs>
              <w:spacing w:before="0"/>
            </w:pPr>
            <w:r>
              <w:t>2.</w:t>
            </w:r>
          </w:p>
        </w:tc>
        <w:tc>
          <w:tcPr>
            <w:tcW w:w="4394" w:type="dxa"/>
            <w:tcBorders>
              <w:bottom w:val="single" w:sz="4" w:space="0" w:color="auto"/>
            </w:tcBorders>
          </w:tcPr>
          <w:p>
            <w:pPr>
              <w:pStyle w:val="yTableNAm"/>
              <w:tabs>
                <w:tab w:val="clear" w:pos="567"/>
              </w:tabs>
              <w:spacing w:before="0"/>
            </w:pPr>
            <w:r>
              <w:t>For water supply at service jetty if metering indicates usage of more than $7.57 in a day</w:t>
            </w:r>
          </w:p>
        </w:tc>
        <w:tc>
          <w:tcPr>
            <w:tcW w:w="992" w:type="dxa"/>
            <w:tcBorders>
              <w:bottom w:val="single" w:sz="4" w:space="0" w:color="auto"/>
            </w:tcBorders>
          </w:tcPr>
          <w:p>
            <w:pPr>
              <w:pStyle w:val="yTableNAm"/>
              <w:keepNext/>
              <w:tabs>
                <w:tab w:val="clear" w:pos="567"/>
              </w:tabs>
              <w:spacing w:before="0"/>
              <w:jc w:val="right"/>
              <w:rPr>
                <w:bCs/>
              </w:rPr>
            </w:pPr>
            <w:r>
              <w:rPr>
                <w:bCs/>
              </w:rPr>
              <w:br/>
              <w:t>cost</w:t>
            </w:r>
          </w:p>
        </w:tc>
      </w:tr>
    </w:tbl>
    <w:p>
      <w:pPr>
        <w:pStyle w:val="yFootnotesection"/>
      </w:pPr>
      <w:r>
        <w:tab/>
        <w:t>[Clause 4 inserted in Gazette 13 Jul 2012 p. 3177.]</w:t>
      </w:r>
    </w:p>
    <w:p>
      <w:pPr>
        <w:pStyle w:val="yHeading5"/>
      </w:pPr>
      <w:bookmarkStart w:id="622" w:name="_Toc355611699"/>
      <w:r>
        <w:rPr>
          <w:rStyle w:val="CharSClsNo"/>
        </w:rPr>
        <w:t>5</w:t>
      </w:r>
      <w:r>
        <w:t>.</w:t>
      </w:r>
      <w:r>
        <w:rPr>
          <w:b w:val="0"/>
        </w:rPr>
        <w:tab/>
      </w:r>
      <w:r>
        <w:t xml:space="preserve">Bunbury,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22"/>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252"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252" w:type="dxa"/>
          </w:tcPr>
          <w:p>
            <w:pPr>
              <w:pStyle w:val="yTableNAm"/>
              <w:tabs>
                <w:tab w:val="clear" w:pos="567"/>
              </w:tabs>
              <w:spacing w:before="0"/>
            </w:pPr>
            <w:r>
              <w:t xml:space="preserve">For pen, per m of the longer of vessel’s length and the chargeable length for the pen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12 months paid in advance</w:t>
            </w:r>
          </w:p>
        </w:tc>
        <w:tc>
          <w:tcPr>
            <w:tcW w:w="1134" w:type="dxa"/>
          </w:tcPr>
          <w:p>
            <w:pPr>
              <w:pStyle w:val="yTableNAm"/>
              <w:keepNext/>
              <w:tabs>
                <w:tab w:val="clear" w:pos="567"/>
              </w:tabs>
              <w:spacing w:before="0"/>
              <w:jc w:val="right"/>
              <w:rPr>
                <w:bCs/>
              </w:rPr>
            </w:pPr>
            <w:r>
              <w:rPr>
                <w:bCs/>
              </w:rPr>
              <w:t>309.28</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3 months or more, per month paid in advance</w:t>
            </w:r>
          </w:p>
        </w:tc>
        <w:tc>
          <w:tcPr>
            <w:tcW w:w="1134" w:type="dxa"/>
          </w:tcPr>
          <w:p>
            <w:pPr>
              <w:pStyle w:val="yTableNAm"/>
              <w:keepNext/>
              <w:tabs>
                <w:tab w:val="clear" w:pos="567"/>
              </w:tabs>
              <w:spacing w:before="0"/>
              <w:jc w:val="right"/>
              <w:rPr>
                <w:bCs/>
              </w:rPr>
            </w:pPr>
            <w:r>
              <w:rPr>
                <w:bCs/>
              </w:rPr>
              <w:br/>
              <w:t>30.92</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one month or more, per month paid in advance</w:t>
            </w:r>
          </w:p>
        </w:tc>
        <w:tc>
          <w:tcPr>
            <w:tcW w:w="1134" w:type="dxa"/>
          </w:tcPr>
          <w:p>
            <w:pPr>
              <w:pStyle w:val="yTableNAm"/>
              <w:keepNext/>
              <w:tabs>
                <w:tab w:val="clear" w:pos="567"/>
              </w:tabs>
              <w:spacing w:before="0"/>
              <w:jc w:val="right"/>
              <w:rPr>
                <w:bCs/>
              </w:rPr>
            </w:pPr>
            <w:r>
              <w:rPr>
                <w:bCs/>
              </w:rPr>
              <w:br/>
              <w:t>46.39</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one week or more, per week paid in advance</w:t>
            </w:r>
          </w:p>
        </w:tc>
        <w:tc>
          <w:tcPr>
            <w:tcW w:w="1134" w:type="dxa"/>
          </w:tcPr>
          <w:p>
            <w:pPr>
              <w:pStyle w:val="yTableNAm"/>
              <w:keepNext/>
              <w:tabs>
                <w:tab w:val="clear" w:pos="567"/>
              </w:tabs>
              <w:spacing w:before="0"/>
              <w:jc w:val="right"/>
              <w:rPr>
                <w:bCs/>
              </w:rPr>
            </w:pPr>
            <w:r>
              <w:rPr>
                <w:bCs/>
              </w:rPr>
              <w:br/>
              <w:t>23.23</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otherwise, per day</w:t>
            </w:r>
          </w:p>
        </w:tc>
        <w:tc>
          <w:tcPr>
            <w:tcW w:w="1134" w:type="dxa"/>
          </w:tcPr>
          <w:p>
            <w:pPr>
              <w:pStyle w:val="yTableNAm"/>
              <w:keepNext/>
              <w:tabs>
                <w:tab w:val="clear" w:pos="567"/>
              </w:tabs>
              <w:spacing w:before="0"/>
              <w:jc w:val="right"/>
              <w:rPr>
                <w:bCs/>
              </w:rPr>
            </w:pPr>
            <w:r>
              <w:rPr>
                <w:bCs/>
              </w:rPr>
              <w:t>4.64</w:t>
            </w:r>
          </w:p>
        </w:tc>
      </w:tr>
      <w:tr>
        <w:trPr>
          <w:cantSplit/>
        </w:trPr>
        <w:tc>
          <w:tcPr>
            <w:tcW w:w="567" w:type="dxa"/>
          </w:tcPr>
          <w:p>
            <w:pPr>
              <w:pStyle w:val="yTableNAm"/>
              <w:tabs>
                <w:tab w:val="clear" w:pos="567"/>
              </w:tabs>
              <w:spacing w:before="0"/>
            </w:pPr>
            <w:r>
              <w:t>2.</w:t>
            </w:r>
          </w:p>
        </w:tc>
        <w:tc>
          <w:tcPr>
            <w:tcW w:w="4252" w:type="dxa"/>
          </w:tcPr>
          <w:p>
            <w:pPr>
              <w:pStyle w:val="yTableNAm"/>
              <w:tabs>
                <w:tab w:val="clear" w:pos="567"/>
              </w:tabs>
              <w:spacing w:before="0"/>
            </w:pPr>
            <w:r>
              <w:t>For berth on jetty, per m of the vessel’s length</w:t>
            </w:r>
          </w:p>
        </w:tc>
        <w:tc>
          <w:tcPr>
            <w:tcW w:w="1134" w:type="dxa"/>
          </w:tcPr>
          <w:p>
            <w:pPr>
              <w:pStyle w:val="yTableNAm"/>
              <w:keepNext/>
              <w:tabs>
                <w:tab w:val="clear" w:pos="567"/>
              </w:tabs>
              <w:spacing w:before="0"/>
              <w:jc w:val="right"/>
              <w:rPr>
                <w:bCs/>
              </w:rPr>
            </w:pPr>
            <w:r>
              <w:rPr>
                <w:bCs/>
              </w:rPr>
              <w:t>Item 1 fee</w:t>
            </w:r>
          </w:p>
        </w:tc>
      </w:tr>
      <w:tr>
        <w:trPr>
          <w:cantSplit/>
        </w:trPr>
        <w:tc>
          <w:tcPr>
            <w:tcW w:w="567" w:type="dxa"/>
            <w:tcBorders>
              <w:bottom w:val="single" w:sz="4" w:space="0" w:color="auto"/>
            </w:tcBorders>
          </w:tcPr>
          <w:p>
            <w:pPr>
              <w:pStyle w:val="yTableNAm"/>
              <w:tabs>
                <w:tab w:val="clear" w:pos="567"/>
              </w:tabs>
              <w:spacing w:before="0"/>
            </w:pPr>
            <w:r>
              <w:t>3.</w:t>
            </w:r>
          </w:p>
        </w:tc>
        <w:tc>
          <w:tcPr>
            <w:tcW w:w="4252" w:type="dxa"/>
            <w:tcBorders>
              <w:bottom w:val="single" w:sz="4" w:space="0" w:color="auto"/>
            </w:tcBorders>
          </w:tcPr>
          <w:p>
            <w:pPr>
              <w:pStyle w:val="yTableNAm"/>
              <w:tabs>
                <w:tab w:val="clear" w:pos="567"/>
              </w:tabs>
              <w:spacing w:before="0"/>
            </w:pPr>
            <w:r>
              <w:t>For living on board a vessel, per vessel per month</w:t>
            </w:r>
          </w:p>
        </w:tc>
        <w:tc>
          <w:tcPr>
            <w:tcW w:w="1134" w:type="dxa"/>
            <w:tcBorders>
              <w:bottom w:val="single" w:sz="4" w:space="0" w:color="auto"/>
            </w:tcBorders>
          </w:tcPr>
          <w:p>
            <w:pPr>
              <w:pStyle w:val="yTableNAm"/>
              <w:keepNext/>
              <w:tabs>
                <w:tab w:val="clear" w:pos="567"/>
              </w:tabs>
              <w:spacing w:before="0"/>
              <w:jc w:val="right"/>
              <w:rPr>
                <w:bCs/>
              </w:rPr>
            </w:pPr>
            <w:r>
              <w:rPr>
                <w:bCs/>
              </w:rPr>
              <w:br/>
              <w:t>41.38</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252"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252" w:type="dxa"/>
          </w:tcPr>
          <w:p>
            <w:pPr>
              <w:pStyle w:val="yTableNAm"/>
              <w:tabs>
                <w:tab w:val="clear" w:pos="567"/>
              </w:tabs>
              <w:spacing w:before="0"/>
            </w:pPr>
            <w:r>
              <w:t xml:space="preserve">For use of slip per day, during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1 April to 31 August</w:t>
            </w:r>
          </w:p>
        </w:tc>
        <w:tc>
          <w:tcPr>
            <w:tcW w:w="1134" w:type="dxa"/>
          </w:tcPr>
          <w:p>
            <w:pPr>
              <w:pStyle w:val="yTableNAm"/>
              <w:keepNext/>
              <w:tabs>
                <w:tab w:val="clear" w:pos="567"/>
              </w:tabs>
              <w:spacing w:before="0"/>
              <w:jc w:val="right"/>
              <w:rPr>
                <w:bCs/>
              </w:rPr>
            </w:pPr>
            <w:r>
              <w:rPr>
                <w:bCs/>
              </w:rPr>
              <w:t>64.94</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1 September to 31 March</w:t>
            </w:r>
          </w:p>
        </w:tc>
        <w:tc>
          <w:tcPr>
            <w:tcW w:w="1134" w:type="dxa"/>
          </w:tcPr>
          <w:p>
            <w:pPr>
              <w:pStyle w:val="yTableNAm"/>
              <w:keepNext/>
              <w:tabs>
                <w:tab w:val="clear" w:pos="567"/>
              </w:tabs>
              <w:spacing w:before="0"/>
              <w:jc w:val="right"/>
              <w:rPr>
                <w:bCs/>
              </w:rPr>
            </w:pPr>
            <w:r>
              <w:rPr>
                <w:bCs/>
              </w:rPr>
              <w:t>129.91</w:t>
            </w:r>
          </w:p>
        </w:tc>
      </w:tr>
      <w:tr>
        <w:trPr>
          <w:cantSplit/>
        </w:trPr>
        <w:tc>
          <w:tcPr>
            <w:tcW w:w="567" w:type="dxa"/>
          </w:tcPr>
          <w:p>
            <w:pPr>
              <w:pStyle w:val="yTableNAm"/>
              <w:tabs>
                <w:tab w:val="clear" w:pos="567"/>
              </w:tabs>
              <w:spacing w:before="0"/>
            </w:pPr>
            <w:r>
              <w:t>2.</w:t>
            </w:r>
          </w:p>
        </w:tc>
        <w:tc>
          <w:tcPr>
            <w:tcW w:w="4252" w:type="dxa"/>
          </w:tcPr>
          <w:p>
            <w:pPr>
              <w:pStyle w:val="yTableNAm"/>
              <w:tabs>
                <w:tab w:val="clear" w:pos="567"/>
              </w:tabs>
              <w:spacing w:before="0"/>
            </w:pPr>
            <w:r>
              <w:t xml:space="preserve">For haulage up and down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 xml:space="preserve">for a vessel for which fees under the </w:t>
            </w:r>
            <w:r>
              <w:rPr>
                <w:i/>
                <w:iCs/>
              </w:rPr>
              <w:t>Shipping and Pilotage (Mooring Control Areas) Regulations 1983</w:t>
            </w:r>
            <w:r>
              <w:t>, or the annual fee in item 1 of Table 5.1, have been paid</w:t>
            </w:r>
          </w:p>
        </w:tc>
        <w:tc>
          <w:tcPr>
            <w:tcW w:w="1134" w:type="dxa"/>
            <w:vAlign w:val="bottom"/>
          </w:tcPr>
          <w:p>
            <w:pPr>
              <w:pStyle w:val="yTableNAm"/>
              <w:keepNext/>
              <w:tabs>
                <w:tab w:val="clear" w:pos="567"/>
              </w:tabs>
              <w:spacing w:before="0"/>
              <w:jc w:val="right"/>
              <w:rPr>
                <w:bCs/>
              </w:rPr>
            </w:pPr>
            <w:r>
              <w:rPr>
                <w:bCs/>
              </w:rPr>
              <w:t>220.91</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for any other vessel</w:t>
            </w:r>
          </w:p>
        </w:tc>
        <w:tc>
          <w:tcPr>
            <w:tcW w:w="1134" w:type="dxa"/>
          </w:tcPr>
          <w:p>
            <w:pPr>
              <w:pStyle w:val="yTableNAm"/>
              <w:keepNext/>
              <w:tabs>
                <w:tab w:val="clear" w:pos="567"/>
              </w:tabs>
              <w:spacing w:before="0"/>
              <w:jc w:val="right"/>
              <w:rPr>
                <w:bCs/>
              </w:rPr>
            </w:pPr>
            <w:r>
              <w:rPr>
                <w:bCs/>
              </w:rPr>
              <w:t>257.74</w:t>
            </w:r>
          </w:p>
        </w:tc>
      </w:tr>
      <w:tr>
        <w:trPr>
          <w:cantSplit/>
        </w:trPr>
        <w:tc>
          <w:tcPr>
            <w:tcW w:w="567" w:type="dxa"/>
          </w:tcPr>
          <w:p>
            <w:pPr>
              <w:pStyle w:val="yTableNAm"/>
              <w:keepNext/>
              <w:tabs>
                <w:tab w:val="clear" w:pos="567"/>
              </w:tabs>
              <w:spacing w:before="0"/>
            </w:pPr>
            <w:r>
              <w:t>3.</w:t>
            </w:r>
          </w:p>
        </w:tc>
        <w:tc>
          <w:tcPr>
            <w:tcW w:w="4252" w:type="dxa"/>
          </w:tcPr>
          <w:p>
            <w:pPr>
              <w:pStyle w:val="yTableNAm"/>
              <w:keepNext/>
              <w:tabs>
                <w:tab w:val="clear" w:pos="567"/>
              </w:tabs>
              <w:spacing w:before="0"/>
            </w:pPr>
            <w:r>
              <w:t xml:space="preserve">For using the Department’s land immediately adjacent to the slip for maintenance or storage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284"/>
            </w:pPr>
            <w:r>
              <w:t>•</w:t>
            </w:r>
            <w:r>
              <w:tab/>
              <w:t>for the first 30 days, per day</w:t>
            </w:r>
          </w:p>
        </w:tc>
        <w:tc>
          <w:tcPr>
            <w:tcW w:w="1134" w:type="dxa"/>
          </w:tcPr>
          <w:p>
            <w:pPr>
              <w:pStyle w:val="yTableNAm"/>
              <w:keepNext/>
              <w:tabs>
                <w:tab w:val="clear" w:pos="567"/>
              </w:tabs>
              <w:spacing w:before="0"/>
              <w:jc w:val="right"/>
              <w:rPr>
                <w:bCs/>
              </w:rPr>
            </w:pPr>
            <w:r>
              <w:rPr>
                <w:bCs/>
              </w:rPr>
              <w:t>9.27</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284"/>
            </w:pPr>
            <w:r>
              <w:t>•</w:t>
            </w:r>
            <w:r>
              <w:tab/>
              <w:t>after the first 30 days, per day</w:t>
            </w:r>
          </w:p>
        </w:tc>
        <w:tc>
          <w:tcPr>
            <w:tcW w:w="1134" w:type="dxa"/>
          </w:tcPr>
          <w:p>
            <w:pPr>
              <w:pStyle w:val="yTableNAm"/>
              <w:keepNext/>
              <w:tabs>
                <w:tab w:val="clear" w:pos="567"/>
              </w:tabs>
              <w:spacing w:before="0"/>
              <w:jc w:val="right"/>
              <w:rPr>
                <w:bCs/>
              </w:rPr>
            </w:pPr>
            <w:r>
              <w:rPr>
                <w:bCs/>
              </w:rPr>
              <w:t>38.65</w:t>
            </w:r>
          </w:p>
        </w:tc>
      </w:tr>
      <w:tr>
        <w:trPr>
          <w:cantSplit/>
        </w:trPr>
        <w:tc>
          <w:tcPr>
            <w:tcW w:w="567" w:type="dxa"/>
          </w:tcPr>
          <w:p>
            <w:pPr>
              <w:pStyle w:val="yTableNAm"/>
              <w:tabs>
                <w:tab w:val="clear" w:pos="567"/>
              </w:tabs>
              <w:spacing w:before="0"/>
            </w:pPr>
            <w:r>
              <w:t>4.</w:t>
            </w:r>
          </w:p>
        </w:tc>
        <w:tc>
          <w:tcPr>
            <w:tcW w:w="4252" w:type="dxa"/>
          </w:tcPr>
          <w:p>
            <w:pPr>
              <w:pStyle w:val="yTableNAm"/>
              <w:tabs>
                <w:tab w:val="clear" w:pos="567"/>
              </w:tabs>
              <w:spacing w:before="0"/>
            </w:pPr>
            <w:r>
              <w:t xml:space="preserve">For using the Department’s land in the harbour not immediately adjacent to the slip for maintenance or storage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for the first 90 days, per day</w:t>
            </w:r>
          </w:p>
        </w:tc>
        <w:tc>
          <w:tcPr>
            <w:tcW w:w="1134" w:type="dxa"/>
          </w:tcPr>
          <w:p>
            <w:pPr>
              <w:pStyle w:val="yTableNAm"/>
              <w:keepNext/>
              <w:tabs>
                <w:tab w:val="clear" w:pos="567"/>
              </w:tabs>
              <w:spacing w:before="0"/>
              <w:jc w:val="right"/>
              <w:rPr>
                <w:bCs/>
              </w:rPr>
            </w:pPr>
            <w:r>
              <w:rPr>
                <w:bCs/>
              </w:rPr>
              <w:t>9.27</w:t>
            </w: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after the first 90 days, per day</w:t>
            </w:r>
          </w:p>
        </w:tc>
        <w:tc>
          <w:tcPr>
            <w:tcW w:w="1134" w:type="dxa"/>
          </w:tcPr>
          <w:p>
            <w:pPr>
              <w:pStyle w:val="yTableNAm"/>
              <w:keepNext/>
              <w:tabs>
                <w:tab w:val="clear" w:pos="567"/>
              </w:tabs>
              <w:spacing w:before="0"/>
              <w:jc w:val="right"/>
              <w:rPr>
                <w:bCs/>
              </w:rPr>
            </w:pPr>
            <w:r>
              <w:rPr>
                <w:bCs/>
              </w:rPr>
              <w:t>38.65</w:t>
            </w:r>
          </w:p>
        </w:tc>
      </w:tr>
      <w:tr>
        <w:trPr>
          <w:cantSplit/>
        </w:trPr>
        <w:tc>
          <w:tcPr>
            <w:tcW w:w="567" w:type="dxa"/>
          </w:tcPr>
          <w:p>
            <w:pPr>
              <w:pStyle w:val="yTableNAm"/>
              <w:tabs>
                <w:tab w:val="clear" w:pos="567"/>
              </w:tabs>
              <w:spacing w:before="0"/>
            </w:pPr>
            <w:r>
              <w:t>5.</w:t>
            </w:r>
          </w:p>
        </w:tc>
        <w:tc>
          <w:tcPr>
            <w:tcW w:w="4252" w:type="dxa"/>
          </w:tcPr>
          <w:p>
            <w:pPr>
              <w:pStyle w:val="yTableNAm"/>
              <w:tabs>
                <w:tab w:val="clear" w:pos="567"/>
              </w:tabs>
              <w:spacing w:before="0"/>
            </w:pPr>
            <w:r>
              <w:t>For water supply, if metered, per day</w:t>
            </w:r>
          </w:p>
        </w:tc>
        <w:tc>
          <w:tcPr>
            <w:tcW w:w="1134" w:type="dxa"/>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r>
              <w:t>6.</w:t>
            </w:r>
          </w:p>
        </w:tc>
        <w:tc>
          <w:tcPr>
            <w:tcW w:w="4252" w:type="dxa"/>
            <w:tcBorders>
              <w:bottom w:val="single" w:sz="4" w:space="0" w:color="auto"/>
            </w:tcBorders>
          </w:tcPr>
          <w:p>
            <w:pPr>
              <w:pStyle w:val="yTableNAm"/>
              <w:tabs>
                <w:tab w:val="clear" w:pos="567"/>
              </w:tabs>
              <w:spacing w:before="0"/>
            </w:pPr>
            <w:r>
              <w:t>For electricity supply, if metered, per day</w:t>
            </w:r>
          </w:p>
        </w:tc>
        <w:tc>
          <w:tcPr>
            <w:tcW w:w="1134" w:type="dxa"/>
            <w:tcBorders>
              <w:bottom w:val="single" w:sz="4" w:space="0" w:color="auto"/>
            </w:tcBorders>
          </w:tcPr>
          <w:p>
            <w:pPr>
              <w:pStyle w:val="yTableNAm"/>
              <w:keepNext/>
              <w:tabs>
                <w:tab w:val="clear" w:pos="567"/>
              </w:tabs>
              <w:spacing w:before="0"/>
              <w:jc w:val="right"/>
              <w:rPr>
                <w:bCs/>
              </w:rPr>
            </w:pPr>
            <w:r>
              <w:rPr>
                <w:bCs/>
              </w:rPr>
              <w:t>cost</w:t>
            </w:r>
          </w:p>
        </w:tc>
      </w:tr>
    </w:tbl>
    <w:p>
      <w:pPr>
        <w:pStyle w:val="yFootnotesection"/>
      </w:pPr>
      <w:r>
        <w:tab/>
        <w:t>[Clause 5 inserted in Gazette 13 Jul 2012 p. 3178</w:t>
      </w:r>
      <w:r>
        <w:noBreakHyphen/>
        <w:t>9.]</w:t>
      </w:r>
    </w:p>
    <w:p>
      <w:pPr>
        <w:pStyle w:val="yHeading5"/>
      </w:pPr>
      <w:bookmarkStart w:id="623" w:name="_Toc355611700"/>
      <w:r>
        <w:rPr>
          <w:rStyle w:val="CharSClsNo"/>
        </w:rPr>
        <w:t>6</w:t>
      </w:r>
      <w:r>
        <w:t>.</w:t>
      </w:r>
      <w:r>
        <w:rPr>
          <w:b w:val="0"/>
        </w:rP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23"/>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THeadingNAm"/>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keepLines/>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91" w:type="dxa"/>
          </w:tcPr>
          <w:p>
            <w:pPr>
              <w:pStyle w:val="yTableNAm"/>
              <w:keepNext/>
              <w:keepLines/>
              <w:tabs>
                <w:tab w:val="clear" w:pos="567"/>
              </w:tabs>
              <w:spacing w:before="0"/>
            </w:pPr>
            <w:r>
              <w:t>For use by vessel of T</w:t>
            </w:r>
            <w:r>
              <w:noBreakHyphen/>
              <w:t>jetty, T</w:t>
            </w:r>
            <w:r>
              <w:noBreakHyphen/>
              <w:t>jetty pen and land</w:t>
            </w:r>
            <w:r>
              <w:noBreakHyphen/>
              <w:t xml:space="preserve">backed wharf, per m of the longer of the vessel’s length and the chargeable length for the pen — </w:t>
            </w:r>
          </w:p>
        </w:tc>
        <w:tc>
          <w:tcPr>
            <w:tcW w:w="995" w:type="dxa"/>
            <w:vAlign w:val="bottom"/>
          </w:tcPr>
          <w:p>
            <w:pPr>
              <w:pStyle w:val="yTableNAm"/>
              <w:keepNext/>
              <w:keepLines/>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12 months paid in advance</w:t>
            </w:r>
          </w:p>
        </w:tc>
        <w:tc>
          <w:tcPr>
            <w:tcW w:w="995" w:type="dxa"/>
            <w:vAlign w:val="bottom"/>
          </w:tcPr>
          <w:p>
            <w:pPr>
              <w:pStyle w:val="yTableNAm"/>
              <w:keepNext/>
              <w:tabs>
                <w:tab w:val="clear" w:pos="567"/>
              </w:tabs>
              <w:spacing w:before="0"/>
              <w:jc w:val="right"/>
              <w:rPr>
                <w:bCs/>
              </w:rPr>
            </w:pPr>
            <w:r>
              <w:t>254.77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3 months or more, per month paid in advance</w:t>
            </w:r>
          </w:p>
        </w:tc>
        <w:tc>
          <w:tcPr>
            <w:tcW w:w="995" w:type="dxa"/>
            <w:vAlign w:val="bottom"/>
          </w:tcPr>
          <w:p>
            <w:pPr>
              <w:pStyle w:val="yTableNAm"/>
              <w:keepNext/>
              <w:tabs>
                <w:tab w:val="clear" w:pos="567"/>
              </w:tabs>
              <w:spacing w:before="0"/>
              <w:jc w:val="right"/>
              <w:rPr>
                <w:bCs/>
              </w:rPr>
            </w:pPr>
            <w:r>
              <w:t>25</w:t>
            </w:r>
            <w:r>
              <w:rPr>
                <w:bCs/>
              </w:rPr>
              <w:t>.48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38.21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38.20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otherwise, per day</w:t>
            </w:r>
          </w:p>
        </w:tc>
        <w:tc>
          <w:tcPr>
            <w:tcW w:w="995" w:type="dxa"/>
            <w:vAlign w:val="bottom"/>
          </w:tcPr>
          <w:p>
            <w:pPr>
              <w:pStyle w:val="yTableNAm"/>
              <w:keepNext/>
              <w:tabs>
                <w:tab w:val="clear" w:pos="567"/>
              </w:tabs>
              <w:spacing w:before="0"/>
              <w:jc w:val="right"/>
              <w:rPr>
                <w:bCs/>
              </w:rPr>
            </w:pPr>
            <w:r>
              <w:rPr>
                <w:bCs/>
              </w:rPr>
              <w:t>7.63</w:t>
            </w:r>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shared use by vessel of snapper jetty, attached partly serviced pen and low level landing, per m of the longer of the vessel’s length and the chargeable length for the pen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12 months paid in advance</w:t>
            </w:r>
          </w:p>
        </w:tc>
        <w:tc>
          <w:tcPr>
            <w:tcW w:w="995" w:type="dxa"/>
            <w:vAlign w:val="bottom"/>
          </w:tcPr>
          <w:p>
            <w:pPr>
              <w:pStyle w:val="yTableNAm"/>
              <w:keepNext/>
              <w:tabs>
                <w:tab w:val="clear" w:pos="567"/>
              </w:tabs>
              <w:spacing w:before="0"/>
              <w:jc w:val="right"/>
              <w:rPr>
                <w:bCs/>
              </w:rPr>
            </w:pPr>
            <w:r>
              <w:rPr>
                <w:bCs/>
              </w:rPr>
              <w:t>197.46</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19.73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29.62</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20.27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otherwise, per day</w:t>
            </w:r>
          </w:p>
        </w:tc>
        <w:tc>
          <w:tcPr>
            <w:tcW w:w="995" w:type="dxa"/>
            <w:vAlign w:val="bottom"/>
          </w:tcPr>
          <w:p>
            <w:pPr>
              <w:pStyle w:val="yTableNAm"/>
              <w:keepNext/>
              <w:tabs>
                <w:tab w:val="clear" w:pos="567"/>
              </w:tabs>
              <w:spacing w:before="0"/>
              <w:jc w:val="right"/>
              <w:rPr>
                <w:bCs/>
              </w:rPr>
            </w:pPr>
            <w:r>
              <w:rPr>
                <w:bCs/>
              </w:rPr>
              <w:t>4.05</w:t>
            </w:r>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For use of pen not described in item 1 or 2 and of fuel berth for fuelling, per m of the longer of the vessel’s length and the chargeable length for the pen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12 months paid in advance</w:t>
            </w:r>
          </w:p>
        </w:tc>
        <w:tc>
          <w:tcPr>
            <w:tcW w:w="995" w:type="dxa"/>
            <w:vAlign w:val="bottom"/>
          </w:tcPr>
          <w:p>
            <w:pPr>
              <w:pStyle w:val="yTableNAm"/>
              <w:keepNext/>
              <w:tabs>
                <w:tab w:val="clear" w:pos="567"/>
              </w:tabs>
              <w:spacing w:before="0"/>
              <w:jc w:val="right"/>
              <w:rPr>
                <w:bCs/>
              </w:rPr>
            </w:pPr>
            <w:r>
              <w:rPr>
                <w:bCs/>
              </w:rPr>
              <w:t>216.48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21.65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32.47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20.27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otherwise, per day</w:t>
            </w:r>
          </w:p>
        </w:tc>
        <w:tc>
          <w:tcPr>
            <w:tcW w:w="995" w:type="dxa"/>
            <w:vAlign w:val="bottom"/>
          </w:tcPr>
          <w:p>
            <w:pPr>
              <w:pStyle w:val="yTableNAm"/>
              <w:keepNext/>
              <w:tabs>
                <w:tab w:val="clear" w:pos="567"/>
              </w:tabs>
              <w:spacing w:before="0"/>
              <w:jc w:val="right"/>
              <w:rPr>
                <w:bCs/>
              </w:rPr>
            </w:pPr>
            <w:r>
              <w:rPr>
                <w:bCs/>
              </w:rPr>
              <w:t>4.05</w:t>
            </w:r>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 xml:space="preserve">For pile mooring, per m of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12 months paid in advance</w:t>
            </w:r>
          </w:p>
        </w:tc>
        <w:tc>
          <w:tcPr>
            <w:tcW w:w="995" w:type="dxa"/>
            <w:vAlign w:val="bottom"/>
          </w:tcPr>
          <w:p>
            <w:pPr>
              <w:pStyle w:val="yTableNAm"/>
              <w:keepNext/>
              <w:tabs>
                <w:tab w:val="clear" w:pos="567"/>
              </w:tabs>
              <w:spacing w:before="0"/>
              <w:jc w:val="right"/>
              <w:rPr>
                <w:bCs/>
              </w:rPr>
            </w:pPr>
            <w:r>
              <w:rPr>
                <w:bCs/>
              </w:rPr>
              <w:t>120.70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12.08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18.11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10.23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otherwise, per day</w:t>
            </w:r>
          </w:p>
        </w:tc>
        <w:tc>
          <w:tcPr>
            <w:tcW w:w="995" w:type="dxa"/>
            <w:vAlign w:val="bottom"/>
          </w:tcPr>
          <w:p>
            <w:pPr>
              <w:pStyle w:val="yTableNAm"/>
              <w:keepNext/>
              <w:tabs>
                <w:tab w:val="clear" w:pos="567"/>
              </w:tabs>
              <w:spacing w:before="0"/>
              <w:jc w:val="right"/>
              <w:rPr>
                <w:bCs/>
              </w:rPr>
            </w:pPr>
            <w:r>
              <w:rPr>
                <w:bCs/>
              </w:rPr>
              <w:t>2.05</w:t>
            </w:r>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living on board a vessel, per vessel per month</w:t>
            </w:r>
          </w:p>
        </w:tc>
        <w:tc>
          <w:tcPr>
            <w:tcW w:w="995" w:type="dxa"/>
            <w:vAlign w:val="bottom"/>
          </w:tcPr>
          <w:p>
            <w:pPr>
              <w:pStyle w:val="yTableNAm"/>
              <w:keepNext/>
              <w:tabs>
                <w:tab w:val="clear" w:pos="567"/>
              </w:tabs>
              <w:spacing w:before="0"/>
              <w:jc w:val="right"/>
              <w:rPr>
                <w:bCs/>
              </w:rPr>
            </w:pPr>
            <w:r>
              <w:rPr>
                <w:bCs/>
              </w:rPr>
              <w:t>38.17</w:t>
            </w:r>
          </w:p>
        </w:tc>
      </w:tr>
      <w:tr>
        <w:trPr>
          <w:cantSplit/>
        </w:trPr>
        <w:tc>
          <w:tcPr>
            <w:tcW w:w="567" w:type="dxa"/>
          </w:tcPr>
          <w:p>
            <w:pPr>
              <w:pStyle w:val="yTableNAm"/>
              <w:tabs>
                <w:tab w:val="clear" w:pos="567"/>
              </w:tabs>
              <w:spacing w:before="0"/>
              <w:ind w:left="303" w:hanging="303"/>
            </w:pPr>
            <w:r>
              <w:t>6.</w:t>
            </w:r>
          </w:p>
        </w:tc>
        <w:tc>
          <w:tcPr>
            <w:tcW w:w="4391" w:type="dxa"/>
          </w:tcPr>
          <w:p>
            <w:pPr>
              <w:pStyle w:val="yTableNAm"/>
              <w:tabs>
                <w:tab w:val="clear" w:pos="567"/>
              </w:tabs>
              <w:spacing w:before="0"/>
            </w:pPr>
            <w:r>
              <w:t>For electricity supply, 3</w:t>
            </w:r>
            <w:r>
              <w:noBreakHyphen/>
              <w:t xml:space="preserve">phase per day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285"/>
              </w:tabs>
              <w:spacing w:before="0"/>
              <w:ind w:left="285" w:hanging="284"/>
            </w:pPr>
            <w:r>
              <w:t>•</w:t>
            </w:r>
            <w:r>
              <w:tab/>
              <w:t>if metering indicates usage of more than $26.90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285"/>
              </w:tabs>
              <w:spacing w:before="0"/>
              <w:ind w:left="285" w:hanging="284"/>
            </w:pPr>
            <w:r>
              <w:t>•</w:t>
            </w:r>
            <w:r>
              <w:tab/>
              <w:t>otherwise, per day</w:t>
            </w:r>
          </w:p>
        </w:tc>
        <w:tc>
          <w:tcPr>
            <w:tcW w:w="995" w:type="dxa"/>
            <w:vAlign w:val="bottom"/>
          </w:tcPr>
          <w:p>
            <w:pPr>
              <w:pStyle w:val="yTableNAm"/>
              <w:keepNext/>
              <w:tabs>
                <w:tab w:val="clear" w:pos="567"/>
              </w:tabs>
              <w:spacing w:before="0"/>
              <w:jc w:val="right"/>
              <w:rPr>
                <w:bCs/>
              </w:rPr>
            </w:pPr>
            <w:r>
              <w:rPr>
                <w:bCs/>
              </w:rPr>
              <w:t>26.90</w:t>
            </w:r>
          </w:p>
        </w:tc>
      </w:tr>
      <w:tr>
        <w:trPr>
          <w:cantSplit/>
        </w:trPr>
        <w:tc>
          <w:tcPr>
            <w:tcW w:w="567" w:type="dxa"/>
          </w:tcPr>
          <w:p>
            <w:pPr>
              <w:pStyle w:val="yTableNAm"/>
              <w:tabs>
                <w:tab w:val="clear" w:pos="567"/>
              </w:tabs>
              <w:spacing w:before="0"/>
            </w:pPr>
            <w:r>
              <w:t>7.</w:t>
            </w:r>
          </w:p>
        </w:tc>
        <w:tc>
          <w:tcPr>
            <w:tcW w:w="4391" w:type="dxa"/>
          </w:tcPr>
          <w:p>
            <w:pPr>
              <w:pStyle w:val="yTableNAm"/>
              <w:tabs>
                <w:tab w:val="clear" w:pos="567"/>
              </w:tabs>
              <w:spacing w:before="0"/>
            </w:pPr>
            <w:r>
              <w:t xml:space="preserve">For rubbish removal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5" w:type="dxa"/>
            <w:vAlign w:val="bottom"/>
          </w:tcPr>
          <w:p>
            <w:pPr>
              <w:pStyle w:val="yTableNAm"/>
              <w:keepNext/>
              <w:tabs>
                <w:tab w:val="clear" w:pos="567"/>
              </w:tabs>
              <w:spacing w:before="0"/>
              <w:jc w:val="right"/>
              <w:rPr>
                <w:bCs/>
              </w:rPr>
            </w:pPr>
            <w:r>
              <w:rPr>
                <w:bCs/>
              </w:rPr>
              <w:b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waste oil from vessels in excess of 150 L</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waste oil drum not removed by owner, per 20 L drum</w:t>
            </w:r>
          </w:p>
        </w:tc>
        <w:tc>
          <w:tcPr>
            <w:tcW w:w="995" w:type="dxa"/>
            <w:vAlign w:val="bottom"/>
          </w:tcPr>
          <w:p>
            <w:pPr>
              <w:pStyle w:val="yTableNAm"/>
              <w:keepNext/>
              <w:tabs>
                <w:tab w:val="clear" w:pos="567"/>
              </w:tabs>
              <w:spacing w:before="0"/>
              <w:jc w:val="right"/>
              <w:rPr>
                <w:bCs/>
              </w:rPr>
            </w:pPr>
            <w:r>
              <w:rPr>
                <w:bCs/>
              </w:rPr>
              <w:br/>
              <w:t>cost</w:t>
            </w:r>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5"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Footnotesection"/>
      </w:pPr>
      <w:r>
        <w:tab/>
        <w:t>[Clause 6 inserted in Gazette 13 Jul 2012 p. 3179</w:t>
      </w:r>
      <w:r>
        <w:noBreakHyphen/>
        <w:t>81.]</w:t>
      </w:r>
    </w:p>
    <w:p>
      <w:pPr>
        <w:pStyle w:val="yHeading5"/>
      </w:pPr>
      <w:bookmarkStart w:id="624" w:name="_Toc355611701"/>
      <w:r>
        <w:rPr>
          <w:rStyle w:val="CharSClsNo"/>
        </w:rPr>
        <w:t>7</w:t>
      </w:r>
      <w:r>
        <w:t>.</w:t>
      </w:r>
      <w:r>
        <w:rPr>
          <w:b w:val="0"/>
        </w:rPr>
        <w:tab/>
      </w:r>
      <w:r>
        <w:t>Cervantes</w:t>
      </w:r>
      <w:bookmarkEnd w:id="624"/>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use of service jetty for short time just to load or unload vessel, per vessel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13"/>
              </w:tabs>
              <w:spacing w:before="0"/>
              <w:ind w:left="313" w:hanging="313"/>
            </w:pPr>
            <w:r>
              <w:t>•</w:t>
            </w:r>
            <w:r>
              <w:tab/>
              <w:t>for 12 months paid in advance</w:t>
            </w:r>
          </w:p>
        </w:tc>
        <w:tc>
          <w:tcPr>
            <w:tcW w:w="992" w:type="dxa"/>
            <w:vAlign w:val="bottom"/>
          </w:tcPr>
          <w:p>
            <w:pPr>
              <w:pStyle w:val="yTableNAm"/>
              <w:keepNext/>
              <w:tabs>
                <w:tab w:val="clear" w:pos="567"/>
              </w:tabs>
              <w:spacing w:before="0"/>
              <w:jc w:val="right"/>
              <w:rPr>
                <w:bCs/>
              </w:rPr>
            </w:pPr>
            <w:r>
              <w:rPr>
                <w:bCs/>
              </w:rPr>
              <w:t>3 007.66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13"/>
              </w:tabs>
              <w:spacing w:before="0"/>
              <w:ind w:left="313" w:hanging="313"/>
            </w:pPr>
            <w:r>
              <w:t>•</w:t>
            </w:r>
            <w:r>
              <w:tab/>
              <w:t>for one month paid in advance</w:t>
            </w:r>
          </w:p>
        </w:tc>
        <w:tc>
          <w:tcPr>
            <w:tcW w:w="992" w:type="dxa"/>
            <w:vAlign w:val="bottom"/>
          </w:tcPr>
          <w:p>
            <w:pPr>
              <w:pStyle w:val="yTableNAm"/>
              <w:keepNext/>
              <w:tabs>
                <w:tab w:val="clear" w:pos="567"/>
              </w:tabs>
              <w:spacing w:before="0"/>
              <w:jc w:val="right"/>
              <w:rPr>
                <w:bCs/>
              </w:rPr>
            </w:pPr>
            <w:r>
              <w:rPr>
                <w:bCs/>
              </w:rPr>
              <w:t>721.84</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use of service jetty by vessel, per vessel per day</w:t>
            </w:r>
          </w:p>
        </w:tc>
        <w:tc>
          <w:tcPr>
            <w:tcW w:w="992" w:type="dxa"/>
            <w:vAlign w:val="bottom"/>
          </w:tcPr>
          <w:p>
            <w:pPr>
              <w:pStyle w:val="yTableNAm"/>
              <w:keepNext/>
              <w:tabs>
                <w:tab w:val="clear" w:pos="567"/>
              </w:tabs>
              <w:spacing w:before="0"/>
              <w:jc w:val="right"/>
              <w:rPr>
                <w:bCs/>
              </w:rPr>
            </w:pPr>
            <w:r>
              <w:rPr>
                <w:bCs/>
              </w:rPr>
              <w:t>108.28</w:t>
            </w:r>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4 210.73</w:t>
            </w:r>
          </w:p>
        </w:tc>
      </w:tr>
    </w:tbl>
    <w:p>
      <w:pPr>
        <w:pStyle w:val="yFootnotesection"/>
      </w:pPr>
      <w:r>
        <w:tab/>
        <w:t>[Clause 7 inserted in Gazette 13 Jul 2012 p. 3181</w:t>
      </w:r>
      <w:r>
        <w:noBreakHyphen/>
        <w:t>2.]</w:t>
      </w:r>
    </w:p>
    <w:p>
      <w:pPr>
        <w:pStyle w:val="yHeading5"/>
      </w:pPr>
      <w:bookmarkStart w:id="625" w:name="_Toc355611702"/>
      <w:r>
        <w:rPr>
          <w:rStyle w:val="CharSClsNo"/>
        </w:rPr>
        <w:t>8</w:t>
      </w:r>
      <w:r>
        <w:t>.</w:t>
      </w:r>
      <w:r>
        <w:tab/>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Maritime Facility</w:t>
      </w:r>
      <w:bookmarkEnd w:id="625"/>
    </w:p>
    <w:p>
      <w:pPr>
        <w:pStyle w:val="ySubsection"/>
      </w:pPr>
      <w:r>
        <w:tab/>
        <w:t>(1)</w:t>
      </w:r>
      <w:r>
        <w:tab/>
        <w:t>This clause applies to the Coral Bay Maritime Facility.</w:t>
      </w:r>
    </w:p>
    <w:p>
      <w:pPr>
        <w:pStyle w:val="ySubsection"/>
      </w:pPr>
      <w:r>
        <w:tab/>
        <w:t>(2)</w:t>
      </w:r>
      <w:r>
        <w:tab/>
        <w:t xml:space="preserve">In this clause a reference to an “E Class operator” or a “T Class operator” refers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pPr>
      <w:r>
        <w:tab/>
        <w:t>(3)</w:t>
      </w:r>
      <w:r>
        <w:tab/>
        <w:t>The fees and charges to be paid under regulations 94A and 94C are set out in Table 8.1.</w:t>
      </w:r>
    </w:p>
    <w:p>
      <w:pPr>
        <w:pStyle w:val="yTHeadingNAm"/>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rPr>
                <w:rStyle w:val="DraftersNotes"/>
              </w:rPr>
            </w:pPr>
            <w:r>
              <w:t>E Class operators — for use of service jetty, low level landing, transfer moorings and tender pontoon for short time to load or unload passengers and equipment from vessel,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12 months paid in advance</w:t>
            </w:r>
          </w:p>
        </w:tc>
        <w:tc>
          <w:tcPr>
            <w:tcW w:w="999" w:type="dxa"/>
          </w:tcPr>
          <w:p>
            <w:pPr>
              <w:pStyle w:val="yTableNAm"/>
              <w:keepNext/>
              <w:tabs>
                <w:tab w:val="clear" w:pos="567"/>
              </w:tabs>
              <w:spacing w:before="0"/>
              <w:jc w:val="right"/>
              <w:rPr>
                <w:bCs/>
              </w:rPr>
            </w:pPr>
            <w:r>
              <w:rPr>
                <w:bCs/>
              </w:rPr>
              <w:t>2 255.75</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one month paid in advance</w:t>
            </w:r>
          </w:p>
        </w:tc>
        <w:tc>
          <w:tcPr>
            <w:tcW w:w="999" w:type="dxa"/>
          </w:tcPr>
          <w:p>
            <w:pPr>
              <w:pStyle w:val="yTableNAm"/>
              <w:keepNext/>
              <w:tabs>
                <w:tab w:val="clear" w:pos="567"/>
              </w:tabs>
              <w:spacing w:before="0"/>
              <w:jc w:val="right"/>
              <w:rPr>
                <w:bCs/>
              </w:rPr>
            </w:pPr>
            <w:r>
              <w:rPr>
                <w:bCs/>
              </w:rPr>
              <w:t>541.38</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otherwise, per day</w:t>
            </w:r>
          </w:p>
        </w:tc>
        <w:tc>
          <w:tcPr>
            <w:tcW w:w="999" w:type="dxa"/>
          </w:tcPr>
          <w:p>
            <w:pPr>
              <w:pStyle w:val="yTableNAm"/>
              <w:keepNext/>
              <w:tabs>
                <w:tab w:val="clear" w:pos="567"/>
              </w:tabs>
              <w:spacing w:before="0"/>
              <w:jc w:val="right"/>
              <w:rPr>
                <w:bCs/>
              </w:rPr>
            </w:pPr>
            <w:r>
              <w:rPr>
                <w:bCs/>
              </w:rPr>
              <w:t>81.21</w:t>
            </w:r>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r>
              <w:t>T Class operators — for use of boat ramp, low level landing and transfer moorings for short time (all subject to availability) to load or unload passengers and equipment from vessel,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12 months paid in advance</w:t>
            </w:r>
          </w:p>
        </w:tc>
        <w:tc>
          <w:tcPr>
            <w:tcW w:w="999" w:type="dxa"/>
          </w:tcPr>
          <w:p>
            <w:pPr>
              <w:pStyle w:val="yTableNAm"/>
              <w:keepNext/>
              <w:tabs>
                <w:tab w:val="clear" w:pos="567"/>
              </w:tabs>
              <w:spacing w:before="0"/>
              <w:jc w:val="right"/>
              <w:rPr>
                <w:bCs/>
              </w:rPr>
            </w:pPr>
            <w:r>
              <w:rPr>
                <w:bCs/>
              </w:rPr>
              <w:t>2 255.75</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one month paid in advance</w:t>
            </w:r>
          </w:p>
        </w:tc>
        <w:tc>
          <w:tcPr>
            <w:tcW w:w="999" w:type="dxa"/>
          </w:tcPr>
          <w:p>
            <w:pPr>
              <w:pStyle w:val="yTableNAm"/>
              <w:keepNext/>
              <w:tabs>
                <w:tab w:val="clear" w:pos="567"/>
              </w:tabs>
              <w:spacing w:before="0"/>
              <w:jc w:val="right"/>
              <w:rPr>
                <w:bCs/>
              </w:rPr>
            </w:pPr>
            <w:r>
              <w:rPr>
                <w:bCs/>
              </w:rPr>
              <w:t>541.38</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otherwise, per day</w:t>
            </w:r>
          </w:p>
        </w:tc>
        <w:tc>
          <w:tcPr>
            <w:tcW w:w="999" w:type="dxa"/>
          </w:tcPr>
          <w:p>
            <w:pPr>
              <w:pStyle w:val="yTableNAm"/>
              <w:keepNext/>
              <w:tabs>
                <w:tab w:val="clear" w:pos="567"/>
              </w:tabs>
              <w:spacing w:before="0"/>
              <w:jc w:val="right"/>
              <w:rPr>
                <w:bCs/>
              </w:rPr>
            </w:pPr>
            <w:r>
              <w:rPr>
                <w:bCs/>
              </w:rPr>
              <w:t>81.21</w:t>
            </w:r>
          </w:p>
        </w:tc>
      </w:tr>
      <w:tr>
        <w:trPr>
          <w:cantSplit/>
        </w:trPr>
        <w:tc>
          <w:tcPr>
            <w:tcW w:w="567" w:type="dxa"/>
          </w:tcPr>
          <w:p>
            <w:pPr>
              <w:pStyle w:val="yTableNAm"/>
              <w:tabs>
                <w:tab w:val="clear" w:pos="567"/>
              </w:tabs>
              <w:spacing w:before="0"/>
            </w:pPr>
            <w:r>
              <w:t>3.</w:t>
            </w:r>
          </w:p>
        </w:tc>
        <w:tc>
          <w:tcPr>
            <w:tcW w:w="4387" w:type="dxa"/>
          </w:tcPr>
          <w:p>
            <w:pPr>
              <w:pStyle w:val="yTableNAm"/>
              <w:tabs>
                <w:tab w:val="clear" w:pos="567"/>
              </w:tabs>
              <w:spacing w:before="0"/>
            </w:pPr>
            <w:r>
              <w:t>Fishing vessels and other vessels — for use of service jetty, transfer moorings and tender moorings for short time (all subject to availability) to load or unload,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12 months paid in advance</w:t>
            </w:r>
          </w:p>
        </w:tc>
        <w:tc>
          <w:tcPr>
            <w:tcW w:w="999" w:type="dxa"/>
          </w:tcPr>
          <w:p>
            <w:pPr>
              <w:pStyle w:val="yTableNAm"/>
              <w:keepNext/>
              <w:tabs>
                <w:tab w:val="clear" w:pos="567"/>
              </w:tabs>
              <w:spacing w:before="0"/>
              <w:jc w:val="right"/>
              <w:rPr>
                <w:bCs/>
              </w:rPr>
            </w:pPr>
            <w:r>
              <w:rPr>
                <w:bCs/>
              </w:rPr>
              <w:t>2 255.75</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one month paid in advance</w:t>
            </w:r>
          </w:p>
        </w:tc>
        <w:tc>
          <w:tcPr>
            <w:tcW w:w="999" w:type="dxa"/>
          </w:tcPr>
          <w:p>
            <w:pPr>
              <w:pStyle w:val="yTableNAm"/>
              <w:keepNext/>
              <w:tabs>
                <w:tab w:val="clear" w:pos="567"/>
              </w:tabs>
              <w:spacing w:before="0"/>
              <w:jc w:val="right"/>
              <w:rPr>
                <w:bCs/>
              </w:rPr>
            </w:pPr>
            <w:r>
              <w:rPr>
                <w:bCs/>
              </w:rPr>
              <w:t>541.38</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otherwise, per day</w:t>
            </w:r>
          </w:p>
        </w:tc>
        <w:tc>
          <w:tcPr>
            <w:tcW w:w="999" w:type="dxa"/>
            <w:tcBorders>
              <w:bottom w:val="single" w:sz="4" w:space="0" w:color="auto"/>
            </w:tcBorders>
          </w:tcPr>
          <w:p>
            <w:pPr>
              <w:pStyle w:val="yTableNAm"/>
              <w:keepNext/>
              <w:tabs>
                <w:tab w:val="clear" w:pos="567"/>
              </w:tabs>
              <w:spacing w:before="0"/>
              <w:jc w:val="right"/>
              <w:rPr>
                <w:bCs/>
              </w:rPr>
            </w:pPr>
            <w:r>
              <w:rPr>
                <w:bCs/>
              </w:rPr>
              <w:t>81.21</w:t>
            </w:r>
          </w:p>
        </w:tc>
      </w:tr>
    </w:tbl>
    <w:p>
      <w:pPr>
        <w:pStyle w:val="yFootnotesection"/>
      </w:pPr>
      <w:r>
        <w:tab/>
        <w:t>[Clause 8 inserted in Gazette 13 Jul 2012 p. 3182</w:t>
      </w:r>
      <w:r>
        <w:noBreakHyphen/>
        <w:t>3.]</w:t>
      </w:r>
    </w:p>
    <w:p>
      <w:pPr>
        <w:pStyle w:val="yHeading5"/>
      </w:pPr>
      <w:bookmarkStart w:id="626" w:name="_Toc355611703"/>
      <w:r>
        <w:rPr>
          <w:rStyle w:val="CharSClsNo"/>
        </w:rPr>
        <w:t>9</w:t>
      </w:r>
      <w:r>
        <w:t>.</w:t>
      </w:r>
      <w:r>
        <w:rPr>
          <w:b w:val="0"/>
        </w:rPr>
        <w:tab/>
      </w:r>
      <w:r>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26"/>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1" w:type="dxa"/>
          </w:tcPr>
          <w:p>
            <w:pPr>
              <w:pStyle w:val="yTableNAm"/>
              <w:tabs>
                <w:tab w:val="clear" w:pos="567"/>
              </w:tabs>
              <w:spacing w:before="0"/>
            </w:pPr>
            <w:r>
              <w:t xml:space="preserve">For pen on east side of harbour,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275.00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27.49</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41.25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pen on west side of harbour for commercial vessel,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220.32</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22.03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33.04</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39.05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7.82</w:t>
            </w:r>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 xml:space="preserve">For pen on west side of harbour for recreational vessel,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192.18</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r>
              <w:rPr>
                <w:bCs/>
              </w:rPr>
              <w:t>19.21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r>
              <w:rPr>
                <w:bCs/>
              </w:rPr>
              <w:t>28.83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pStyle w:val="yTableNAm"/>
              <w:keepNext/>
              <w:tabs>
                <w:tab w:val="clear" w:pos="567"/>
              </w:tabs>
              <w:spacing w:before="0"/>
              <w:jc w:val="right"/>
              <w:rPr>
                <w:bCs/>
              </w:rPr>
            </w:pPr>
            <w:r>
              <w:rPr>
                <w:bCs/>
              </w:rPr>
              <w:t>23.43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4.69</w:t>
            </w:r>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For living on board a vessel, per vessel per month</w:t>
            </w:r>
          </w:p>
        </w:tc>
        <w:tc>
          <w:tcPr>
            <w:tcW w:w="995" w:type="dxa"/>
            <w:vAlign w:val="bottom"/>
          </w:tcPr>
          <w:p>
            <w:pPr>
              <w:pStyle w:val="yTableNAm"/>
              <w:keepNext/>
              <w:tabs>
                <w:tab w:val="clear" w:pos="567"/>
              </w:tabs>
              <w:spacing w:before="0"/>
              <w:jc w:val="right"/>
              <w:rPr>
                <w:bCs/>
              </w:rPr>
            </w:pPr>
            <w:r>
              <w:rPr>
                <w:bCs/>
              </w:rPr>
              <w:t>41.38</w:t>
            </w:r>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use of service jetty or wharf for less than 3 hours by vessel, per m of the vessel’s length</w:t>
            </w:r>
          </w:p>
        </w:tc>
        <w:tc>
          <w:tcPr>
            <w:tcW w:w="995" w:type="dxa"/>
            <w:vAlign w:val="bottom"/>
          </w:tcPr>
          <w:p>
            <w:pPr>
              <w:pStyle w:val="yTableNAm"/>
              <w:keepNext/>
              <w:tabs>
                <w:tab w:val="clear" w:pos="567"/>
              </w:tabs>
              <w:spacing w:before="0"/>
              <w:jc w:val="right"/>
              <w:rPr>
                <w:bCs/>
              </w:rPr>
            </w:pPr>
            <w:r>
              <w:rPr>
                <w:bCs/>
              </w:rPr>
              <w:t>3.92</w:t>
            </w:r>
          </w:p>
        </w:tc>
      </w:tr>
      <w:tr>
        <w:trPr>
          <w:cantSplit/>
        </w:trPr>
        <w:tc>
          <w:tcPr>
            <w:tcW w:w="567" w:type="dxa"/>
          </w:tcPr>
          <w:p>
            <w:pPr>
              <w:pStyle w:val="yTableNAm"/>
              <w:tabs>
                <w:tab w:val="clear" w:pos="567"/>
              </w:tabs>
              <w:spacing w:before="0"/>
            </w:pPr>
            <w:r>
              <w:t>6.</w:t>
            </w:r>
          </w:p>
        </w:tc>
        <w:tc>
          <w:tcPr>
            <w:tcW w:w="4391" w:type="dxa"/>
          </w:tcPr>
          <w:p>
            <w:pPr>
              <w:pStyle w:val="yTableNAm"/>
              <w:tabs>
                <w:tab w:val="clear" w:pos="567"/>
              </w:tabs>
              <w:spacing w:before="0"/>
            </w:pPr>
            <w:r>
              <w:t>For use of boat launching ramp by commercial vessel, per vessel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r>
              <w:rPr>
                <w:bCs/>
              </w:rPr>
              <w:t>781.25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rPr>
                <w:rStyle w:val="DraftersNotes"/>
              </w:rPr>
            </w:pPr>
            <w:r>
              <w:t>•</w:t>
            </w:r>
            <w:r>
              <w:tab/>
              <w:t>for one month paid in advance</w:t>
            </w:r>
          </w:p>
        </w:tc>
        <w:tc>
          <w:tcPr>
            <w:tcW w:w="995" w:type="dxa"/>
            <w:vAlign w:val="bottom"/>
          </w:tcPr>
          <w:p>
            <w:pPr>
              <w:pStyle w:val="yTableNAm"/>
              <w:keepNext/>
              <w:tabs>
                <w:tab w:val="clear" w:pos="567"/>
              </w:tabs>
              <w:spacing w:before="0"/>
              <w:jc w:val="right"/>
              <w:rPr>
                <w:bCs/>
              </w:rPr>
            </w:pPr>
            <w:r>
              <w:rPr>
                <w:bCs/>
              </w:rPr>
              <w:t>156.27</w:t>
            </w:r>
          </w:p>
        </w:tc>
      </w:tr>
      <w:tr>
        <w:trPr>
          <w:cantSplit/>
        </w:trPr>
        <w:tc>
          <w:tcPr>
            <w:tcW w:w="567" w:type="dxa"/>
          </w:tcPr>
          <w:p>
            <w:pPr>
              <w:pStyle w:val="yTableNAm"/>
              <w:tabs>
                <w:tab w:val="clear" w:pos="567"/>
              </w:tabs>
              <w:spacing w:before="0"/>
            </w:pPr>
            <w:r>
              <w:t>7.</w:t>
            </w:r>
          </w:p>
        </w:tc>
        <w:tc>
          <w:tcPr>
            <w:tcW w:w="4391" w:type="dxa"/>
          </w:tcPr>
          <w:p>
            <w:pPr>
              <w:pStyle w:val="yTableNAm"/>
              <w:tabs>
                <w:tab w:val="clear" w:pos="567"/>
              </w:tabs>
              <w:spacing w:before="0"/>
            </w:pPr>
            <w:r>
              <w:t>For use of jetty or hardstand controlled by Department to lift vessel to or from harbour, per lift</w:t>
            </w:r>
          </w:p>
        </w:tc>
        <w:tc>
          <w:tcPr>
            <w:tcW w:w="995" w:type="dxa"/>
            <w:vAlign w:val="bottom"/>
          </w:tcPr>
          <w:p>
            <w:pPr>
              <w:pStyle w:val="yTableNAm"/>
              <w:keepNext/>
              <w:tabs>
                <w:tab w:val="clear" w:pos="567"/>
              </w:tabs>
              <w:spacing w:before="0"/>
              <w:jc w:val="right"/>
              <w:rPr>
                <w:bCs/>
              </w:rPr>
            </w:pPr>
            <w:r>
              <w:rPr>
                <w:bCs/>
              </w:rPr>
              <w:t>234.40</w:t>
            </w:r>
          </w:p>
        </w:tc>
      </w:tr>
      <w:tr>
        <w:trPr>
          <w:cantSplit/>
        </w:trPr>
        <w:tc>
          <w:tcPr>
            <w:tcW w:w="567" w:type="dxa"/>
          </w:tcPr>
          <w:p>
            <w:pPr>
              <w:pStyle w:val="yTableNAm"/>
              <w:tabs>
                <w:tab w:val="clear" w:pos="567"/>
              </w:tabs>
              <w:spacing w:before="0"/>
            </w:pPr>
            <w:r>
              <w:t>8.</w:t>
            </w:r>
          </w:p>
        </w:tc>
        <w:tc>
          <w:tcPr>
            <w:tcW w:w="4391" w:type="dxa"/>
          </w:tcPr>
          <w:p>
            <w:pPr>
              <w:pStyle w:val="yTableNAm"/>
              <w:tabs>
                <w:tab w:val="clear" w:pos="567"/>
              </w:tabs>
              <w:spacing w:before="0"/>
            </w:pPr>
            <w:r>
              <w:t>For electricity supply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if metered</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3</w:t>
            </w:r>
            <w:r>
              <w:noBreakHyphen/>
              <w:t>phase, if metering indicates usage of more than $31.26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day</w:t>
            </w:r>
          </w:p>
        </w:tc>
        <w:tc>
          <w:tcPr>
            <w:tcW w:w="995" w:type="dxa"/>
            <w:tcBorders>
              <w:bottom w:val="single" w:sz="4" w:space="0" w:color="auto"/>
            </w:tcBorders>
            <w:vAlign w:val="bottom"/>
          </w:tcPr>
          <w:p>
            <w:pPr>
              <w:pStyle w:val="yTableNAm"/>
              <w:keepNext/>
              <w:tabs>
                <w:tab w:val="clear" w:pos="567"/>
              </w:tabs>
              <w:spacing w:before="0"/>
              <w:jc w:val="right"/>
              <w:rPr>
                <w:bCs/>
              </w:rPr>
            </w:pPr>
            <w:r>
              <w:rPr>
                <w:bCs/>
              </w:rPr>
              <w:t>31.26</w:t>
            </w:r>
          </w:p>
        </w:tc>
      </w:tr>
    </w:tbl>
    <w:p>
      <w:pPr>
        <w:pStyle w:val="yFootnotesection"/>
      </w:pPr>
      <w:r>
        <w:tab/>
        <w:t>[Clause 9 inserted in Gazette 13 Jul 2012 p. 3183</w:t>
      </w:r>
      <w:r>
        <w:noBreakHyphen/>
        <w:t>5.]</w:t>
      </w:r>
    </w:p>
    <w:p>
      <w:pPr>
        <w:pStyle w:val="yHeading5"/>
      </w:pPr>
      <w:bookmarkStart w:id="627" w:name="_Toc355611704"/>
      <w:r>
        <w:rPr>
          <w:rStyle w:val="CharSClsNo"/>
        </w:rPr>
        <w:t>10</w:t>
      </w:r>
      <w:r>
        <w:t>.</w:t>
      </w:r>
      <w:r>
        <w:rPr>
          <w:b w:val="0"/>
        </w:rPr>
        <w:tab/>
      </w:r>
      <w:r>
        <w:t>Exmouth</w:t>
      </w:r>
      <w:bookmarkEnd w:id="627"/>
    </w:p>
    <w:p>
      <w:pPr>
        <w:pStyle w:val="ySubsection"/>
      </w:pPr>
      <w:r>
        <w:tab/>
        <w:t>(1)</w:t>
      </w:r>
      <w:r>
        <w:tab/>
        <w:t>This clause applies to Exmouth.</w:t>
      </w:r>
    </w:p>
    <w:p>
      <w:pPr>
        <w:pStyle w:val="ySubsection"/>
      </w:pPr>
      <w:r>
        <w:tab/>
        <w:t>(2)</w:t>
      </w:r>
      <w:r>
        <w:tab/>
        <w:t>The charges and dues to be paid under regulation 10A are set out in Table 10.1.</w:t>
      </w:r>
    </w:p>
    <w:p>
      <w:pPr>
        <w:pStyle w:val="yTHeadingNAm"/>
      </w:pPr>
      <w:r>
        <w:t>Table 10.1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 or an appurtenant area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bl>
    <w:p>
      <w:pPr>
        <w:pStyle w:val="ySubsection"/>
      </w:pPr>
      <w:r>
        <w:tab/>
        <w:t>(3)</w:t>
      </w:r>
      <w:r>
        <w:tab/>
        <w:t>The fees and charges to be paid under regulations 6, 94A and 94B are set out in Table 10.2.</w:t>
      </w:r>
    </w:p>
    <w:p>
      <w:pPr>
        <w:pStyle w:val="yTHeadingNAm"/>
      </w:pPr>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Service</w:t>
            </w:r>
          </w:p>
        </w:tc>
        <w:tc>
          <w:tcPr>
            <w:tcW w:w="996" w:type="dxa"/>
            <w:tcBorders>
              <w:top w:val="single" w:sz="4" w:space="0" w:color="auto"/>
              <w:bottom w:val="single" w:sz="4" w:space="0" w:color="auto"/>
            </w:tcBorders>
          </w:tcPr>
          <w:p>
            <w:pPr>
              <w:pStyle w:val="yTableNAm"/>
              <w:jc w:val="center"/>
            </w:pPr>
            <w:r>
              <w:rPr>
                <w:b/>
              </w:rPr>
              <w:t>$</w:t>
            </w:r>
          </w:p>
        </w:tc>
      </w:tr>
      <w:tr>
        <w:trPr>
          <w:cantSplit/>
        </w:trPr>
        <w:tc>
          <w:tcPr>
            <w:tcW w:w="567" w:type="dxa"/>
          </w:tcPr>
          <w:p>
            <w:pPr>
              <w:pStyle w:val="yTableNAm"/>
            </w:pPr>
            <w:r>
              <w:t>1.</w:t>
            </w:r>
          </w:p>
        </w:tc>
        <w:tc>
          <w:tcPr>
            <w:tcW w:w="4390" w:type="dxa"/>
          </w:tcPr>
          <w:p>
            <w:pPr>
              <w:pStyle w:val="yTableNAm"/>
              <w:rPr>
                <w:b/>
              </w:rPr>
            </w:pPr>
            <w:r>
              <w:t>For use, except in Pen System B, of either a non</w:t>
            </w:r>
            <w:r>
              <w:noBreakHyphen/>
              <w:t xml:space="preserve">floating pen with walkway or a floating pen by a recreational vessel, per m of the vessel’s length — </w:t>
            </w:r>
          </w:p>
        </w:tc>
        <w:tc>
          <w:tcPr>
            <w:tcW w:w="996" w:type="dxa"/>
            <w:vAlign w:val="bottom"/>
          </w:tcPr>
          <w:p>
            <w:pPr>
              <w:pStyle w:val="yTableNAm"/>
              <w:jc w:val="center"/>
            </w:pPr>
          </w:p>
        </w:tc>
      </w:tr>
      <w:tr>
        <w:trPr>
          <w:cantSplit/>
        </w:trPr>
        <w:tc>
          <w:tcPr>
            <w:tcW w:w="567" w:type="dxa"/>
          </w:tcPr>
          <w:p>
            <w:pPr>
              <w:pStyle w:val="yTableNAm"/>
            </w:pPr>
          </w:p>
        </w:tc>
        <w:tc>
          <w:tcPr>
            <w:tcW w:w="4390" w:type="dxa"/>
          </w:tcPr>
          <w:p>
            <w:pPr>
              <w:pStyle w:val="NotesPerm"/>
              <w:widowControl w:val="0"/>
              <w:tabs>
                <w:tab w:val="clear" w:pos="879"/>
              </w:tabs>
              <w:ind w:left="652" w:hanging="652"/>
            </w:pPr>
            <w:r>
              <w:t>Note:</w:t>
            </w:r>
            <w:r>
              <w:tab/>
              <w:t>includes short</w:t>
            </w:r>
            <w:r>
              <w:noBreakHyphen/>
              <w:t>term loading/unloading of goods and passengers on service wharf limited to 2 hours per day, otherwise item 16 fees will apply after 2 hours</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12 months, paid in advance</w:t>
            </w:r>
          </w:p>
        </w:tc>
        <w:tc>
          <w:tcPr>
            <w:tcW w:w="996" w:type="dxa"/>
            <w:vAlign w:val="bottom"/>
          </w:tcPr>
          <w:p>
            <w:pPr>
              <w:pStyle w:val="yTableNAm"/>
              <w:jc w:val="center"/>
              <w:rPr>
                <w:rFonts w:ascii="Arial" w:hAnsi="Arial"/>
                <w:b/>
              </w:rPr>
            </w:pPr>
            <w:r>
              <w:t>398.42</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3 months or more, per month paid in advance</w:t>
            </w:r>
          </w:p>
        </w:tc>
        <w:tc>
          <w:tcPr>
            <w:tcW w:w="996" w:type="dxa"/>
            <w:vAlign w:val="bottom"/>
          </w:tcPr>
          <w:p>
            <w:pPr>
              <w:pStyle w:val="yTableNAm"/>
              <w:jc w:val="center"/>
              <w:rPr>
                <w:rFonts w:ascii="Arial" w:hAnsi="Arial"/>
                <w:b/>
              </w:rPr>
            </w:pPr>
            <w:r>
              <w:t>39.85</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month or more, per month paid in advance</w:t>
            </w:r>
          </w:p>
        </w:tc>
        <w:tc>
          <w:tcPr>
            <w:tcW w:w="996" w:type="dxa"/>
            <w:vAlign w:val="bottom"/>
          </w:tcPr>
          <w:p>
            <w:pPr>
              <w:pStyle w:val="yTableNAm"/>
              <w:jc w:val="center"/>
              <w:rPr>
                <w:rFonts w:ascii="Arial" w:hAnsi="Arial"/>
                <w:b/>
              </w:rPr>
            </w:pPr>
            <w:r>
              <w:t>59.76</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shared use for 12 months, paid in advance</w:t>
            </w:r>
          </w:p>
        </w:tc>
        <w:tc>
          <w:tcPr>
            <w:tcW w:w="996" w:type="dxa"/>
            <w:vAlign w:val="bottom"/>
          </w:tcPr>
          <w:p>
            <w:pPr>
              <w:pStyle w:val="yTableNAm"/>
              <w:jc w:val="center"/>
              <w:rPr>
                <w:rFonts w:ascii="Arial" w:hAnsi="Arial"/>
                <w:b/>
              </w:rPr>
            </w:pPr>
            <w:r>
              <w:t>398.42</w:t>
            </w:r>
          </w:p>
        </w:tc>
      </w:tr>
      <w:tr>
        <w:trPr>
          <w:cantSplit/>
        </w:trPr>
        <w:tc>
          <w:tcPr>
            <w:tcW w:w="567" w:type="dxa"/>
          </w:tcPr>
          <w:p>
            <w:pPr>
              <w:pStyle w:val="yTableNAm"/>
            </w:pPr>
            <w:r>
              <w:t>2.</w:t>
            </w:r>
          </w:p>
        </w:tc>
        <w:tc>
          <w:tcPr>
            <w:tcW w:w="4390" w:type="dxa"/>
          </w:tcPr>
          <w:p>
            <w:pPr>
              <w:pStyle w:val="yTableNAm"/>
            </w:pPr>
            <w:r>
              <w:t>For use, except in Pen System B, of either a non</w:t>
            </w:r>
            <w:r>
              <w:noBreakHyphen/>
              <w:t xml:space="preserve">floating pen with walkway or a floating pen by a tourism vessel or fishing vessel, per m of the vessel’s length — </w:t>
            </w:r>
          </w:p>
        </w:tc>
        <w:tc>
          <w:tcPr>
            <w:tcW w:w="996" w:type="dxa"/>
            <w:vAlign w:val="bottom"/>
          </w:tcPr>
          <w:p>
            <w:pPr>
              <w:pStyle w:val="yTableNAm"/>
              <w:jc w:val="center"/>
              <w:rPr>
                <w:rFonts w:ascii="Arial" w:hAnsi="Arial"/>
                <w:b/>
              </w:rPr>
            </w:pPr>
            <w:r>
              <w:br/>
            </w:r>
          </w:p>
        </w:tc>
      </w:tr>
      <w:tr>
        <w:trPr>
          <w:cantSplit/>
        </w:trPr>
        <w:tc>
          <w:tcPr>
            <w:tcW w:w="567" w:type="dxa"/>
          </w:tcPr>
          <w:p>
            <w:pPr>
              <w:pStyle w:val="yTableNAm"/>
            </w:pPr>
          </w:p>
        </w:tc>
        <w:tc>
          <w:tcPr>
            <w:tcW w:w="4390" w:type="dxa"/>
          </w:tcPr>
          <w:p>
            <w:pPr>
              <w:pStyle w:val="NotesPerm"/>
              <w:widowControl w:val="0"/>
              <w:tabs>
                <w:tab w:val="clear" w:pos="879"/>
              </w:tabs>
              <w:ind w:left="652" w:hanging="652"/>
              <w:rPr>
                <w:b/>
              </w:rPr>
            </w:pPr>
            <w:r>
              <w:t>Note:</w:t>
            </w:r>
            <w:r>
              <w:tab/>
              <w:t>includes short</w:t>
            </w:r>
            <w:r>
              <w:noBreakHyphen/>
              <w:t>term loading/unloading of goods and passengers on service wharf limited to 2 hours per day, otherwise item 16 fees will apply after 2 hours</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12 months, paid in advance</w:t>
            </w:r>
          </w:p>
        </w:tc>
        <w:tc>
          <w:tcPr>
            <w:tcW w:w="996" w:type="dxa"/>
            <w:vAlign w:val="bottom"/>
          </w:tcPr>
          <w:p>
            <w:pPr>
              <w:pStyle w:val="yTableNAm"/>
              <w:tabs>
                <w:tab w:val="clear" w:pos="567"/>
              </w:tabs>
              <w:jc w:val="right"/>
              <w:rPr>
                <w:rFonts w:ascii="Arial" w:hAnsi="Arial"/>
                <w:b/>
              </w:rPr>
            </w:pPr>
            <w:r>
              <w:t>459.38</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3 months or more, per month paid in advance</w:t>
            </w:r>
          </w:p>
        </w:tc>
        <w:tc>
          <w:tcPr>
            <w:tcW w:w="996" w:type="dxa"/>
            <w:vAlign w:val="bottom"/>
          </w:tcPr>
          <w:p>
            <w:pPr>
              <w:pStyle w:val="yTableNAm"/>
              <w:tabs>
                <w:tab w:val="clear" w:pos="567"/>
              </w:tabs>
              <w:jc w:val="right"/>
              <w:rPr>
                <w:rFonts w:ascii="Arial" w:hAnsi="Arial"/>
                <w:b/>
              </w:rPr>
            </w:pPr>
            <w:r>
              <w:t>45.94</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month or more, per month paid in advance</w:t>
            </w:r>
          </w:p>
        </w:tc>
        <w:tc>
          <w:tcPr>
            <w:tcW w:w="996" w:type="dxa"/>
            <w:vAlign w:val="bottom"/>
          </w:tcPr>
          <w:p>
            <w:pPr>
              <w:pStyle w:val="yTableNAm"/>
              <w:tabs>
                <w:tab w:val="clear" w:pos="567"/>
              </w:tabs>
              <w:jc w:val="right"/>
              <w:rPr>
                <w:rFonts w:ascii="Arial" w:hAnsi="Arial"/>
                <w:b/>
              </w:rPr>
            </w:pPr>
            <w:r>
              <w:t>68.90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shared use for 12 months, paid in advance</w:t>
            </w:r>
          </w:p>
        </w:tc>
        <w:tc>
          <w:tcPr>
            <w:tcW w:w="996" w:type="dxa"/>
            <w:vAlign w:val="bottom"/>
          </w:tcPr>
          <w:p>
            <w:pPr>
              <w:pStyle w:val="yTableNAm"/>
              <w:tabs>
                <w:tab w:val="clear" w:pos="567"/>
              </w:tabs>
              <w:jc w:val="right"/>
              <w:rPr>
                <w:rFonts w:ascii="Arial" w:hAnsi="Arial"/>
                <w:b/>
              </w:rPr>
            </w:pPr>
            <w:r>
              <w:t>459.38</w:t>
            </w:r>
          </w:p>
        </w:tc>
      </w:tr>
      <w:tr>
        <w:trPr>
          <w:cantSplit/>
        </w:trPr>
        <w:tc>
          <w:tcPr>
            <w:tcW w:w="567" w:type="dxa"/>
          </w:tcPr>
          <w:p>
            <w:pPr>
              <w:pStyle w:val="yTableNAm"/>
            </w:pPr>
            <w:r>
              <w:t>3.</w:t>
            </w:r>
          </w:p>
        </w:tc>
        <w:tc>
          <w:tcPr>
            <w:tcW w:w="4390" w:type="dxa"/>
          </w:tcPr>
          <w:p>
            <w:pPr>
              <w:pStyle w:val="yTableNAm"/>
            </w:pPr>
            <w:r>
              <w:t>For use, except in Pen System B, of either a non</w:t>
            </w:r>
            <w:r>
              <w:noBreakHyphen/>
              <w:t>floating pen with walkway or a floating pen by a vessel servicing the resource industry, per m of the vessel’s length —</w:t>
            </w:r>
          </w:p>
        </w:tc>
        <w:tc>
          <w:tcPr>
            <w:tcW w:w="996" w:type="dxa"/>
            <w:vAlign w:val="bottom"/>
          </w:tcPr>
          <w:p>
            <w:pPr>
              <w:pStyle w:val="yTableNAm"/>
              <w:jc w:val="center"/>
              <w:rPr>
                <w:rFonts w:ascii="Arial" w:hAnsi="Arial"/>
                <w:b/>
              </w:rPr>
            </w:pPr>
            <w:r>
              <w:br/>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12 months, paid in advance</w:t>
            </w:r>
          </w:p>
        </w:tc>
        <w:tc>
          <w:tcPr>
            <w:tcW w:w="996" w:type="dxa"/>
            <w:vAlign w:val="bottom"/>
          </w:tcPr>
          <w:p>
            <w:pPr>
              <w:pStyle w:val="yTableNAm"/>
              <w:jc w:val="right"/>
              <w:rPr>
                <w:rFonts w:ascii="Arial" w:hAnsi="Arial"/>
                <w:b/>
              </w:rPr>
            </w:pPr>
            <w:r>
              <w:t>503.56</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3 months or more, per month paid in advance</w:t>
            </w:r>
          </w:p>
        </w:tc>
        <w:tc>
          <w:tcPr>
            <w:tcW w:w="996" w:type="dxa"/>
            <w:vAlign w:val="bottom"/>
          </w:tcPr>
          <w:p>
            <w:pPr>
              <w:pStyle w:val="yTableNAm"/>
              <w:jc w:val="right"/>
              <w:rPr>
                <w:rFonts w:ascii="Arial" w:hAnsi="Arial"/>
                <w:b/>
              </w:rPr>
            </w:pPr>
            <w:r>
              <w:t>50.35</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month or more, per month paid in advance</w:t>
            </w:r>
          </w:p>
        </w:tc>
        <w:tc>
          <w:tcPr>
            <w:tcW w:w="996" w:type="dxa"/>
            <w:vAlign w:val="bottom"/>
          </w:tcPr>
          <w:p>
            <w:pPr>
              <w:pStyle w:val="yTableNAm"/>
              <w:jc w:val="right"/>
              <w:rPr>
                <w:rFonts w:ascii="Arial" w:hAnsi="Arial"/>
                <w:b/>
              </w:rPr>
            </w:pPr>
            <w:r>
              <w:t>75.54</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shared use for 12 months, paid in advance</w:t>
            </w:r>
          </w:p>
        </w:tc>
        <w:tc>
          <w:tcPr>
            <w:tcW w:w="996" w:type="dxa"/>
            <w:vAlign w:val="bottom"/>
          </w:tcPr>
          <w:p>
            <w:pPr>
              <w:pStyle w:val="yTableNAm"/>
              <w:jc w:val="right"/>
              <w:rPr>
                <w:rFonts w:ascii="Arial" w:hAnsi="Arial"/>
                <w:b/>
              </w:rPr>
            </w:pPr>
            <w:r>
              <w:t>503.56</w:t>
            </w:r>
          </w:p>
        </w:tc>
      </w:tr>
      <w:tr>
        <w:trPr>
          <w:cantSplit/>
        </w:trPr>
        <w:tc>
          <w:tcPr>
            <w:tcW w:w="567" w:type="dxa"/>
          </w:tcPr>
          <w:p>
            <w:pPr>
              <w:pStyle w:val="yTableNAm"/>
            </w:pPr>
            <w:r>
              <w:t>4.</w:t>
            </w:r>
          </w:p>
        </w:tc>
        <w:tc>
          <w:tcPr>
            <w:tcW w:w="4390" w:type="dxa"/>
          </w:tcPr>
          <w:p>
            <w:pPr>
              <w:pStyle w:val="yTableNAm"/>
            </w:pPr>
            <w:r>
              <w:t xml:space="preserve">For use of a pen with pile moorings by a recreational vessel, tourism vessel or fishing vessel, per m of the vessel’s length — </w:t>
            </w:r>
          </w:p>
        </w:tc>
        <w:tc>
          <w:tcPr>
            <w:tcW w:w="996" w:type="dxa"/>
            <w:vAlign w:val="bottom"/>
          </w:tcPr>
          <w:p>
            <w:pPr>
              <w:pStyle w:val="yTableNAm"/>
              <w:jc w:val="center"/>
            </w:pPr>
          </w:p>
        </w:tc>
      </w:tr>
      <w:tr>
        <w:trPr>
          <w:cantSplit/>
        </w:trPr>
        <w:tc>
          <w:tcPr>
            <w:tcW w:w="567" w:type="dxa"/>
          </w:tcPr>
          <w:p>
            <w:pPr>
              <w:pStyle w:val="yTableNAm"/>
            </w:pPr>
          </w:p>
        </w:tc>
        <w:tc>
          <w:tcPr>
            <w:tcW w:w="4390" w:type="dxa"/>
          </w:tcPr>
          <w:p>
            <w:pPr>
              <w:pStyle w:val="NotesPerm"/>
              <w:widowControl w:val="0"/>
              <w:tabs>
                <w:tab w:val="clear" w:pos="879"/>
              </w:tabs>
              <w:ind w:left="652" w:hanging="652"/>
              <w:rPr>
                <w:b/>
              </w:rPr>
            </w:pPr>
            <w:r>
              <w:t>Note:</w:t>
            </w:r>
            <w:r>
              <w:tab/>
              <w:t>includes short</w:t>
            </w:r>
            <w:r>
              <w:noBreakHyphen/>
              <w:t>term loading/unloading of goods and passengers on service wharf limited to 2 hours per day otherwise item 16 fees will apply after 2 hours</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12 months, paid in advance</w:t>
            </w:r>
          </w:p>
        </w:tc>
        <w:tc>
          <w:tcPr>
            <w:tcW w:w="996" w:type="dxa"/>
            <w:vAlign w:val="bottom"/>
          </w:tcPr>
          <w:p>
            <w:pPr>
              <w:pStyle w:val="yTableNAm"/>
              <w:jc w:val="right"/>
              <w:rPr>
                <w:rFonts w:ascii="Arial" w:hAnsi="Arial"/>
                <w:b/>
              </w:rPr>
            </w:pPr>
            <w:r>
              <w:t>320.30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3 months or more, per month paid in advance</w:t>
            </w:r>
          </w:p>
        </w:tc>
        <w:tc>
          <w:tcPr>
            <w:tcW w:w="996" w:type="dxa"/>
            <w:vAlign w:val="bottom"/>
          </w:tcPr>
          <w:p>
            <w:pPr>
              <w:pStyle w:val="yTableNAm"/>
              <w:jc w:val="right"/>
              <w:rPr>
                <w:rFonts w:ascii="Arial" w:hAnsi="Arial"/>
                <w:b/>
              </w:rPr>
            </w:pPr>
            <w:r>
              <w:t>32.03</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month or more, per month paid in advance</w:t>
            </w:r>
          </w:p>
        </w:tc>
        <w:tc>
          <w:tcPr>
            <w:tcW w:w="996" w:type="dxa"/>
            <w:vAlign w:val="bottom"/>
          </w:tcPr>
          <w:p>
            <w:pPr>
              <w:pStyle w:val="yTableNAm"/>
              <w:jc w:val="right"/>
              <w:rPr>
                <w:rFonts w:ascii="Arial" w:hAnsi="Arial"/>
                <w:b/>
              </w:rPr>
            </w:pPr>
            <w:r>
              <w:t>48.05</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week or more, per week paid in advance</w:t>
            </w:r>
          </w:p>
        </w:tc>
        <w:tc>
          <w:tcPr>
            <w:tcW w:w="996" w:type="dxa"/>
            <w:vAlign w:val="bottom"/>
          </w:tcPr>
          <w:p>
            <w:pPr>
              <w:pStyle w:val="yTableNAm"/>
              <w:jc w:val="right"/>
              <w:rPr>
                <w:rFonts w:ascii="Arial" w:hAnsi="Arial"/>
                <w:b/>
              </w:rPr>
            </w:pPr>
            <w:r>
              <w:t>37.88</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otherwise, per day</w:t>
            </w:r>
          </w:p>
        </w:tc>
        <w:tc>
          <w:tcPr>
            <w:tcW w:w="996" w:type="dxa"/>
            <w:vAlign w:val="bottom"/>
          </w:tcPr>
          <w:p>
            <w:pPr>
              <w:pStyle w:val="yTableNAm"/>
              <w:jc w:val="right"/>
              <w:rPr>
                <w:rFonts w:ascii="Arial" w:hAnsi="Arial"/>
                <w:b/>
              </w:rPr>
            </w:pPr>
            <w:r>
              <w:t>7.57</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shared use for 12 months, paid in advance</w:t>
            </w:r>
          </w:p>
        </w:tc>
        <w:tc>
          <w:tcPr>
            <w:tcW w:w="996" w:type="dxa"/>
            <w:vAlign w:val="bottom"/>
          </w:tcPr>
          <w:p>
            <w:pPr>
              <w:pStyle w:val="yTableNAm"/>
              <w:jc w:val="right"/>
              <w:rPr>
                <w:rFonts w:ascii="Arial" w:hAnsi="Arial"/>
                <w:b/>
              </w:rPr>
            </w:pPr>
            <w:r>
              <w:t>320.30</w:t>
            </w:r>
          </w:p>
        </w:tc>
      </w:tr>
      <w:tr>
        <w:trPr>
          <w:cantSplit/>
        </w:trPr>
        <w:tc>
          <w:tcPr>
            <w:tcW w:w="567" w:type="dxa"/>
          </w:tcPr>
          <w:p>
            <w:pPr>
              <w:pStyle w:val="yTableNAm"/>
            </w:pPr>
            <w:r>
              <w:t>5.</w:t>
            </w:r>
          </w:p>
        </w:tc>
        <w:tc>
          <w:tcPr>
            <w:tcW w:w="4390" w:type="dxa"/>
          </w:tcPr>
          <w:p>
            <w:pPr>
              <w:pStyle w:val="yTableNAm"/>
            </w:pPr>
            <w:r>
              <w:t>For use of a pen with pile moorings by a vessel servicing the resource industry, per m of the vessel’s length —</w:t>
            </w:r>
          </w:p>
        </w:tc>
        <w:tc>
          <w:tcPr>
            <w:tcW w:w="996" w:type="dxa"/>
            <w:vAlign w:val="bottom"/>
          </w:tcPr>
          <w:p>
            <w:pPr>
              <w:pStyle w:val="yTableNAm"/>
              <w:jc w:val="right"/>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12 months, paid in advance</w:t>
            </w:r>
          </w:p>
        </w:tc>
        <w:tc>
          <w:tcPr>
            <w:tcW w:w="996" w:type="dxa"/>
            <w:vAlign w:val="bottom"/>
          </w:tcPr>
          <w:p>
            <w:pPr>
              <w:pStyle w:val="yTableNAm"/>
              <w:jc w:val="right"/>
              <w:rPr>
                <w:rFonts w:ascii="Arial" w:hAnsi="Arial"/>
                <w:b/>
              </w:rPr>
            </w:pPr>
            <w:r>
              <w:t>351.10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3 months or more, per month paid in advance</w:t>
            </w:r>
          </w:p>
        </w:tc>
        <w:tc>
          <w:tcPr>
            <w:tcW w:w="996" w:type="dxa"/>
            <w:vAlign w:val="bottom"/>
          </w:tcPr>
          <w:p>
            <w:pPr>
              <w:pStyle w:val="yTableNAm"/>
              <w:jc w:val="right"/>
              <w:rPr>
                <w:rFonts w:ascii="Arial" w:hAnsi="Arial"/>
                <w:b/>
              </w:rPr>
            </w:pPr>
            <w:r>
              <w:t>35.11</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month or more, per month paid in advance</w:t>
            </w:r>
          </w:p>
        </w:tc>
        <w:tc>
          <w:tcPr>
            <w:tcW w:w="996" w:type="dxa"/>
            <w:vAlign w:val="bottom"/>
          </w:tcPr>
          <w:p>
            <w:pPr>
              <w:pStyle w:val="yTableNAm"/>
              <w:jc w:val="right"/>
              <w:rPr>
                <w:rFonts w:ascii="Arial" w:hAnsi="Arial"/>
                <w:b/>
              </w:rPr>
            </w:pPr>
            <w:r>
              <w:t>52.67</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week or more, per week paid in advance</w:t>
            </w:r>
          </w:p>
        </w:tc>
        <w:tc>
          <w:tcPr>
            <w:tcW w:w="996" w:type="dxa"/>
            <w:vAlign w:val="bottom"/>
          </w:tcPr>
          <w:p>
            <w:pPr>
              <w:pStyle w:val="yTableNAm"/>
              <w:jc w:val="right"/>
              <w:rPr>
                <w:rFonts w:ascii="Arial" w:hAnsi="Arial"/>
                <w:b/>
              </w:rPr>
            </w:pPr>
            <w:r>
              <w:t>41.54</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otherwise, per day</w:t>
            </w:r>
          </w:p>
        </w:tc>
        <w:tc>
          <w:tcPr>
            <w:tcW w:w="996" w:type="dxa"/>
            <w:vAlign w:val="bottom"/>
          </w:tcPr>
          <w:p>
            <w:pPr>
              <w:pStyle w:val="yTableNAm"/>
              <w:jc w:val="right"/>
              <w:rPr>
                <w:rFonts w:ascii="Arial" w:hAnsi="Arial"/>
                <w:b/>
              </w:rPr>
            </w:pPr>
            <w:r>
              <w:t>8.30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shared use for 12 months, paid in advance</w:t>
            </w:r>
          </w:p>
        </w:tc>
        <w:tc>
          <w:tcPr>
            <w:tcW w:w="996" w:type="dxa"/>
            <w:vAlign w:val="bottom"/>
          </w:tcPr>
          <w:p>
            <w:pPr>
              <w:pStyle w:val="yTableNAm"/>
              <w:jc w:val="right"/>
              <w:rPr>
                <w:rFonts w:ascii="Arial" w:hAnsi="Arial"/>
                <w:b/>
              </w:rPr>
            </w:pPr>
            <w:r>
              <w:t>351.10</w:t>
            </w:r>
          </w:p>
        </w:tc>
      </w:tr>
      <w:tr>
        <w:trPr>
          <w:cantSplit/>
        </w:trPr>
        <w:tc>
          <w:tcPr>
            <w:tcW w:w="567" w:type="dxa"/>
          </w:tcPr>
          <w:p>
            <w:pPr>
              <w:pStyle w:val="yTableNAm"/>
            </w:pPr>
            <w:r>
              <w:t>6.</w:t>
            </w:r>
          </w:p>
        </w:tc>
        <w:tc>
          <w:tcPr>
            <w:tcW w:w="4390" w:type="dxa"/>
          </w:tcPr>
          <w:p>
            <w:pPr>
              <w:pStyle w:val="yTableNAm"/>
            </w:pPr>
            <w:r>
              <w:t xml:space="preserve">For use, in Pen System B, of a floating pen by a recreational vessel 20 m long or under, per m of the pen’s length — </w:t>
            </w:r>
          </w:p>
        </w:tc>
        <w:tc>
          <w:tcPr>
            <w:tcW w:w="996" w:type="dxa"/>
            <w:vAlign w:val="bottom"/>
          </w:tcPr>
          <w:p>
            <w:pPr>
              <w:pStyle w:val="yTableNAm"/>
              <w:jc w:val="center"/>
            </w:pPr>
          </w:p>
        </w:tc>
      </w:tr>
      <w:tr>
        <w:trPr>
          <w:cantSplit/>
        </w:trPr>
        <w:tc>
          <w:tcPr>
            <w:tcW w:w="567" w:type="dxa"/>
          </w:tcPr>
          <w:p>
            <w:pPr>
              <w:pStyle w:val="yTableNAm"/>
            </w:pPr>
          </w:p>
        </w:tc>
        <w:tc>
          <w:tcPr>
            <w:tcW w:w="4390" w:type="dxa"/>
          </w:tcPr>
          <w:p>
            <w:pPr>
              <w:pStyle w:val="NotesPerm"/>
              <w:widowControl w:val="0"/>
              <w:tabs>
                <w:tab w:val="clear" w:pos="879"/>
              </w:tabs>
              <w:ind w:left="652" w:hanging="652"/>
              <w:rPr>
                <w:b/>
              </w:rPr>
            </w:pPr>
            <w:r>
              <w:t>Note:</w:t>
            </w:r>
            <w:r>
              <w:tab/>
              <w:t>includes short</w:t>
            </w:r>
            <w:r>
              <w:noBreakHyphen/>
              <w:t>term loading/unloading of goods and passengers on service wharf limited to 2 hours per day, otherwise item 16 fees will apply after 2 hours</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12 months, paid in advance</w:t>
            </w:r>
          </w:p>
        </w:tc>
        <w:tc>
          <w:tcPr>
            <w:tcW w:w="996" w:type="dxa"/>
            <w:vAlign w:val="bottom"/>
          </w:tcPr>
          <w:p>
            <w:pPr>
              <w:pStyle w:val="yTableNAm"/>
              <w:jc w:val="right"/>
              <w:rPr>
                <w:rFonts w:ascii="Arial" w:hAnsi="Arial"/>
                <w:b/>
              </w:rPr>
            </w:pPr>
            <w:r>
              <w:t>500.00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3 months or more, per month paid in advance</w:t>
            </w:r>
          </w:p>
        </w:tc>
        <w:tc>
          <w:tcPr>
            <w:tcW w:w="996" w:type="dxa"/>
            <w:vAlign w:val="bottom"/>
          </w:tcPr>
          <w:p>
            <w:pPr>
              <w:pStyle w:val="yTableNAm"/>
              <w:jc w:val="right"/>
              <w:rPr>
                <w:rFonts w:ascii="Arial" w:hAnsi="Arial"/>
                <w:b/>
              </w:rPr>
            </w:pPr>
            <w:r>
              <w:t>50.00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month or more, per month paid in advance</w:t>
            </w:r>
          </w:p>
        </w:tc>
        <w:tc>
          <w:tcPr>
            <w:tcW w:w="996" w:type="dxa"/>
            <w:vAlign w:val="bottom"/>
          </w:tcPr>
          <w:p>
            <w:pPr>
              <w:pStyle w:val="yTableNAm"/>
              <w:jc w:val="right"/>
              <w:rPr>
                <w:rFonts w:ascii="Arial" w:hAnsi="Arial"/>
                <w:b/>
              </w:rPr>
            </w:pPr>
            <w:r>
              <w:t>75.00</w:t>
            </w:r>
          </w:p>
        </w:tc>
      </w:tr>
      <w:tr>
        <w:trPr>
          <w:cantSplit/>
        </w:trPr>
        <w:tc>
          <w:tcPr>
            <w:tcW w:w="567" w:type="dxa"/>
          </w:tcPr>
          <w:p>
            <w:pPr>
              <w:pStyle w:val="yTableNAm"/>
            </w:pPr>
            <w:r>
              <w:t>7.</w:t>
            </w:r>
          </w:p>
        </w:tc>
        <w:tc>
          <w:tcPr>
            <w:tcW w:w="4390" w:type="dxa"/>
          </w:tcPr>
          <w:p>
            <w:pPr>
              <w:pStyle w:val="yTableNAm"/>
            </w:pPr>
            <w:r>
              <w:t xml:space="preserve">For use, in Pen System B, of a floating pen by a tourism vessel or fishing vessel, 20 m long or under, per m of the pen’s length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NotesPerm"/>
              <w:widowControl w:val="0"/>
              <w:tabs>
                <w:tab w:val="clear" w:pos="879"/>
              </w:tabs>
              <w:ind w:left="652" w:hanging="652"/>
              <w:rPr>
                <w:b/>
              </w:rPr>
            </w:pPr>
            <w:r>
              <w:t>Note:</w:t>
            </w:r>
            <w:r>
              <w:tab/>
              <w:t>includes short</w:t>
            </w:r>
            <w:r>
              <w:noBreakHyphen/>
              <w:t>term loading/unloading of goods and passengers on service wharf limited to 2 hours per day, otherwise item 16 fees will apply after 2 hours</w:t>
            </w:r>
          </w:p>
        </w:tc>
        <w:tc>
          <w:tcPr>
            <w:tcW w:w="996" w:type="dxa"/>
            <w:vAlign w:val="bottom"/>
          </w:tcPr>
          <w:p>
            <w:pPr>
              <w:pStyle w:val="yTableNAm"/>
              <w:jc w:val="right"/>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12 months, paid in advance</w:t>
            </w:r>
          </w:p>
        </w:tc>
        <w:tc>
          <w:tcPr>
            <w:tcW w:w="996" w:type="dxa"/>
            <w:vAlign w:val="bottom"/>
          </w:tcPr>
          <w:p>
            <w:pPr>
              <w:pStyle w:val="yTableNAm"/>
              <w:jc w:val="right"/>
              <w:rPr>
                <w:rFonts w:ascii="Arial" w:hAnsi="Arial"/>
                <w:b/>
              </w:rPr>
            </w:pPr>
            <w:r>
              <w:t>650.00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3 months or more, per month paid in advance</w:t>
            </w:r>
          </w:p>
        </w:tc>
        <w:tc>
          <w:tcPr>
            <w:tcW w:w="996" w:type="dxa"/>
            <w:vAlign w:val="bottom"/>
          </w:tcPr>
          <w:p>
            <w:pPr>
              <w:pStyle w:val="yTableNAm"/>
              <w:jc w:val="right"/>
              <w:rPr>
                <w:rFonts w:ascii="Arial" w:hAnsi="Arial"/>
                <w:b/>
              </w:rPr>
            </w:pPr>
            <w:r>
              <w:t>65.00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month or more, per month paid in advance</w:t>
            </w:r>
          </w:p>
        </w:tc>
        <w:tc>
          <w:tcPr>
            <w:tcW w:w="996" w:type="dxa"/>
            <w:vAlign w:val="bottom"/>
          </w:tcPr>
          <w:p>
            <w:pPr>
              <w:pStyle w:val="yTableNAm"/>
              <w:jc w:val="right"/>
              <w:rPr>
                <w:rFonts w:ascii="Arial" w:hAnsi="Arial"/>
                <w:b/>
              </w:rPr>
            </w:pPr>
            <w:r>
              <w:t>97.49</w:t>
            </w:r>
          </w:p>
        </w:tc>
      </w:tr>
      <w:tr>
        <w:trPr>
          <w:cantSplit/>
        </w:trPr>
        <w:tc>
          <w:tcPr>
            <w:tcW w:w="567" w:type="dxa"/>
          </w:tcPr>
          <w:p>
            <w:pPr>
              <w:pStyle w:val="yTableNAm"/>
            </w:pPr>
            <w:r>
              <w:t>8.</w:t>
            </w:r>
          </w:p>
        </w:tc>
        <w:tc>
          <w:tcPr>
            <w:tcW w:w="4390" w:type="dxa"/>
          </w:tcPr>
          <w:p>
            <w:pPr>
              <w:pStyle w:val="yTableNAm"/>
            </w:pPr>
            <w:r>
              <w:t xml:space="preserve">For use, in Pen System B, of a floating pen by a vessel servicing the resource industry, 20 m long or under, per m of the pen’s length — </w:t>
            </w:r>
          </w:p>
        </w:tc>
        <w:tc>
          <w:tcPr>
            <w:tcW w:w="996" w:type="dxa"/>
            <w:vAlign w:val="bottom"/>
          </w:tcPr>
          <w:p>
            <w:pPr>
              <w:pStyle w:val="yTableNAm"/>
              <w:jc w:val="right"/>
              <w:rPr>
                <w:rFonts w:ascii="Arial" w:hAnsi="Arial"/>
                <w:b/>
              </w:rPr>
            </w:pPr>
            <w:r>
              <w:br/>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12 months, paid in advance</w:t>
            </w:r>
          </w:p>
        </w:tc>
        <w:tc>
          <w:tcPr>
            <w:tcW w:w="996" w:type="dxa"/>
            <w:vAlign w:val="bottom"/>
          </w:tcPr>
          <w:p>
            <w:pPr>
              <w:pStyle w:val="yTableNAm"/>
              <w:jc w:val="right"/>
              <w:rPr>
                <w:rFonts w:ascii="Arial" w:hAnsi="Arial"/>
                <w:b/>
              </w:rPr>
            </w:pPr>
            <w:r>
              <w:t>800.00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3 months or more, per month paid in advance</w:t>
            </w:r>
          </w:p>
        </w:tc>
        <w:tc>
          <w:tcPr>
            <w:tcW w:w="996" w:type="dxa"/>
            <w:vAlign w:val="bottom"/>
          </w:tcPr>
          <w:p>
            <w:pPr>
              <w:pStyle w:val="yTableNAm"/>
              <w:jc w:val="right"/>
              <w:rPr>
                <w:rFonts w:ascii="Arial" w:hAnsi="Arial"/>
                <w:b/>
              </w:rPr>
            </w:pPr>
            <w:r>
              <w:t>80.00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month or more, per month paid in advance</w:t>
            </w:r>
          </w:p>
        </w:tc>
        <w:tc>
          <w:tcPr>
            <w:tcW w:w="996" w:type="dxa"/>
            <w:vAlign w:val="bottom"/>
          </w:tcPr>
          <w:p>
            <w:pPr>
              <w:pStyle w:val="yTableNAm"/>
              <w:jc w:val="right"/>
              <w:rPr>
                <w:rFonts w:ascii="Arial" w:hAnsi="Arial"/>
                <w:b/>
              </w:rPr>
            </w:pPr>
            <w:r>
              <w:t>120.00</w:t>
            </w:r>
          </w:p>
        </w:tc>
      </w:tr>
      <w:tr>
        <w:trPr>
          <w:cantSplit/>
        </w:trPr>
        <w:tc>
          <w:tcPr>
            <w:tcW w:w="567" w:type="dxa"/>
          </w:tcPr>
          <w:p>
            <w:pPr>
              <w:pStyle w:val="yTableNAm"/>
            </w:pPr>
            <w:r>
              <w:t>9.</w:t>
            </w:r>
          </w:p>
        </w:tc>
        <w:tc>
          <w:tcPr>
            <w:tcW w:w="4390" w:type="dxa"/>
          </w:tcPr>
          <w:p>
            <w:pPr>
              <w:pStyle w:val="yTableNAm"/>
            </w:pPr>
            <w:r>
              <w:t xml:space="preserve">For use, in Pen System B, of a floating pen by a recreational vessel, tourism vessel, fishing vessel or vessel servicing the resource industry, over 20 m long, per m of the pen’s length — </w:t>
            </w:r>
          </w:p>
        </w:tc>
        <w:tc>
          <w:tcPr>
            <w:tcW w:w="996" w:type="dxa"/>
            <w:vAlign w:val="bottom"/>
          </w:tcPr>
          <w:p>
            <w:pPr>
              <w:pStyle w:val="yTableNAm"/>
              <w:jc w:val="center"/>
            </w:pPr>
          </w:p>
        </w:tc>
      </w:tr>
      <w:tr>
        <w:trPr>
          <w:cantSplit/>
        </w:trPr>
        <w:tc>
          <w:tcPr>
            <w:tcW w:w="567" w:type="dxa"/>
          </w:tcPr>
          <w:p>
            <w:pPr>
              <w:pStyle w:val="yTableNAm"/>
            </w:pPr>
          </w:p>
        </w:tc>
        <w:tc>
          <w:tcPr>
            <w:tcW w:w="4390" w:type="dxa"/>
          </w:tcPr>
          <w:p>
            <w:pPr>
              <w:pStyle w:val="NotesPerm"/>
              <w:widowControl w:val="0"/>
              <w:tabs>
                <w:tab w:val="clear" w:pos="879"/>
              </w:tabs>
              <w:ind w:left="652" w:hanging="652"/>
              <w:rPr>
                <w:b/>
              </w:rPr>
            </w:pPr>
            <w:r>
              <w:t>Note:</w:t>
            </w:r>
            <w:r>
              <w:tab/>
              <w:t>includes (except for a vessel to which item 15 applies) short</w:t>
            </w:r>
            <w:r>
              <w:noBreakHyphen/>
              <w:t>term loading/unloading of goods and passengers on service wharf limited to 2 hours per day, otherwise item 16 fees will apply after 2 hours</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12 months, paid in advance</w:t>
            </w:r>
          </w:p>
        </w:tc>
        <w:tc>
          <w:tcPr>
            <w:tcW w:w="996" w:type="dxa"/>
            <w:vAlign w:val="bottom"/>
          </w:tcPr>
          <w:p>
            <w:pPr>
              <w:pStyle w:val="yTableNAm"/>
              <w:jc w:val="center"/>
              <w:rPr>
                <w:rFonts w:ascii="Arial" w:hAnsi="Arial"/>
                <w:b/>
              </w:rPr>
            </w:pPr>
            <w:r>
              <w:t>1 000.00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3 months or more, per month paid in advance</w:t>
            </w:r>
          </w:p>
        </w:tc>
        <w:tc>
          <w:tcPr>
            <w:tcW w:w="996" w:type="dxa"/>
            <w:vAlign w:val="bottom"/>
          </w:tcPr>
          <w:p>
            <w:pPr>
              <w:pStyle w:val="yTableNAm"/>
              <w:jc w:val="center"/>
              <w:rPr>
                <w:rFonts w:ascii="Arial" w:hAnsi="Arial"/>
                <w:b/>
              </w:rPr>
            </w:pPr>
            <w:r>
              <w:t>100.00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month or more, per month paid in advance</w:t>
            </w:r>
          </w:p>
        </w:tc>
        <w:tc>
          <w:tcPr>
            <w:tcW w:w="996" w:type="dxa"/>
            <w:vAlign w:val="bottom"/>
          </w:tcPr>
          <w:p>
            <w:pPr>
              <w:pStyle w:val="yTableNAm"/>
              <w:jc w:val="center"/>
              <w:rPr>
                <w:rFonts w:ascii="Arial" w:hAnsi="Arial"/>
                <w:b/>
              </w:rPr>
            </w:pPr>
            <w:r>
              <w:t>150.00</w:t>
            </w:r>
          </w:p>
        </w:tc>
      </w:tr>
      <w:tr>
        <w:trPr>
          <w:cantSplit/>
        </w:trPr>
        <w:tc>
          <w:tcPr>
            <w:tcW w:w="567" w:type="dxa"/>
          </w:tcPr>
          <w:p>
            <w:pPr>
              <w:pStyle w:val="yTableNAm"/>
            </w:pPr>
            <w:r>
              <w:t>10.</w:t>
            </w:r>
          </w:p>
        </w:tc>
        <w:tc>
          <w:tcPr>
            <w:tcW w:w="4390" w:type="dxa"/>
          </w:tcPr>
          <w:p>
            <w:pPr>
              <w:pStyle w:val="yTableNAm"/>
            </w:pPr>
            <w:r>
              <w:t>For use of either a non</w:t>
            </w:r>
            <w:r>
              <w:noBreakHyphen/>
              <w:t xml:space="preserve">floating pen with walkway or a floating pen by a recreational vessel, per m of the vessel’s length — </w:t>
            </w:r>
          </w:p>
        </w:tc>
        <w:tc>
          <w:tcPr>
            <w:tcW w:w="996" w:type="dxa"/>
            <w:vAlign w:val="bottom"/>
          </w:tcPr>
          <w:p>
            <w:pPr>
              <w:pStyle w:val="yTableNAm"/>
              <w:jc w:val="center"/>
            </w:pPr>
          </w:p>
        </w:tc>
      </w:tr>
      <w:tr>
        <w:trPr>
          <w:cantSplit/>
        </w:trPr>
        <w:tc>
          <w:tcPr>
            <w:tcW w:w="567" w:type="dxa"/>
          </w:tcPr>
          <w:p>
            <w:pPr>
              <w:pStyle w:val="yTableNAm"/>
            </w:pPr>
          </w:p>
        </w:tc>
        <w:tc>
          <w:tcPr>
            <w:tcW w:w="4390" w:type="dxa"/>
          </w:tcPr>
          <w:p>
            <w:pPr>
              <w:pStyle w:val="NotesPerm"/>
              <w:widowControl w:val="0"/>
              <w:tabs>
                <w:tab w:val="clear" w:pos="879"/>
              </w:tabs>
              <w:ind w:left="652" w:hanging="652"/>
              <w:rPr>
                <w:b/>
              </w:rPr>
            </w:pPr>
            <w:r>
              <w:t>Note:</w:t>
            </w:r>
            <w:r>
              <w:tab/>
              <w:t>includes short</w:t>
            </w:r>
            <w:r>
              <w:noBreakHyphen/>
              <w:t>term loading/unloading of goods and passengers on service wharf limited to 2 hours per day, otherwise item 16 fees will apply after 2 hours</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week or more, per week paid in advance</w:t>
            </w:r>
          </w:p>
        </w:tc>
        <w:tc>
          <w:tcPr>
            <w:tcW w:w="996" w:type="dxa"/>
            <w:vAlign w:val="bottom"/>
          </w:tcPr>
          <w:p>
            <w:pPr>
              <w:pStyle w:val="yTableNAm"/>
              <w:jc w:val="center"/>
              <w:rPr>
                <w:rFonts w:ascii="Arial" w:hAnsi="Arial"/>
                <w:b/>
              </w:rPr>
            </w:pPr>
            <w:r>
              <w:t>22.76</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otherwise, per day</w:t>
            </w:r>
          </w:p>
        </w:tc>
        <w:tc>
          <w:tcPr>
            <w:tcW w:w="996" w:type="dxa"/>
            <w:vAlign w:val="bottom"/>
          </w:tcPr>
          <w:p>
            <w:pPr>
              <w:pStyle w:val="yTableNAm"/>
              <w:jc w:val="center"/>
              <w:rPr>
                <w:rFonts w:ascii="Arial" w:hAnsi="Arial"/>
                <w:b/>
              </w:rPr>
            </w:pPr>
            <w:r>
              <w:t>4.55</w:t>
            </w:r>
          </w:p>
        </w:tc>
      </w:tr>
      <w:tr>
        <w:trPr>
          <w:cantSplit/>
        </w:trPr>
        <w:tc>
          <w:tcPr>
            <w:tcW w:w="567" w:type="dxa"/>
          </w:tcPr>
          <w:p>
            <w:pPr>
              <w:pStyle w:val="yTableNAm"/>
            </w:pPr>
            <w:r>
              <w:t>11.</w:t>
            </w:r>
          </w:p>
        </w:tc>
        <w:tc>
          <w:tcPr>
            <w:tcW w:w="4390" w:type="dxa"/>
          </w:tcPr>
          <w:p>
            <w:pPr>
              <w:pStyle w:val="yTableNAm"/>
            </w:pPr>
            <w:r>
              <w:t>For use of either a non</w:t>
            </w:r>
            <w:r>
              <w:noBreakHyphen/>
              <w:t xml:space="preserve">floating pen with walkway or a floating pen by a tourism vessel or fishing vessel, per m of the vessel’s length — </w:t>
            </w:r>
          </w:p>
        </w:tc>
        <w:tc>
          <w:tcPr>
            <w:tcW w:w="996" w:type="dxa"/>
            <w:vAlign w:val="bottom"/>
          </w:tcPr>
          <w:p>
            <w:pPr>
              <w:pStyle w:val="yTableNAm"/>
              <w:jc w:val="center"/>
            </w:pPr>
          </w:p>
        </w:tc>
      </w:tr>
      <w:tr>
        <w:trPr>
          <w:cantSplit/>
        </w:trPr>
        <w:tc>
          <w:tcPr>
            <w:tcW w:w="567" w:type="dxa"/>
          </w:tcPr>
          <w:p>
            <w:pPr>
              <w:pStyle w:val="yTableNAm"/>
            </w:pPr>
          </w:p>
        </w:tc>
        <w:tc>
          <w:tcPr>
            <w:tcW w:w="4390" w:type="dxa"/>
          </w:tcPr>
          <w:p>
            <w:pPr>
              <w:pStyle w:val="NotesPerm"/>
              <w:widowControl w:val="0"/>
              <w:tabs>
                <w:tab w:val="clear" w:pos="879"/>
                <w:tab w:val="left" w:pos="652"/>
              </w:tabs>
              <w:ind w:left="652" w:hanging="652"/>
              <w:rPr>
                <w:b/>
              </w:rPr>
            </w:pPr>
            <w:r>
              <w:t>Note:</w:t>
            </w:r>
            <w:r>
              <w:tab/>
              <w:t>includes short</w:t>
            </w:r>
            <w:r>
              <w:noBreakHyphen/>
              <w:t>term loading/unloading of goods and passengers on service wharf limited to 2 hours per day, otherwise item 16 fees will apply after 2 hours</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week or more, per week paid in advance</w:t>
            </w:r>
          </w:p>
        </w:tc>
        <w:tc>
          <w:tcPr>
            <w:tcW w:w="996" w:type="dxa"/>
            <w:vAlign w:val="bottom"/>
          </w:tcPr>
          <w:p>
            <w:pPr>
              <w:pStyle w:val="yTableNAm"/>
              <w:jc w:val="center"/>
              <w:rPr>
                <w:rFonts w:ascii="Arial" w:hAnsi="Arial"/>
                <w:b/>
              </w:rPr>
            </w:pPr>
            <w:r>
              <w:t>45.50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otherwise, per day</w:t>
            </w:r>
          </w:p>
        </w:tc>
        <w:tc>
          <w:tcPr>
            <w:tcW w:w="996" w:type="dxa"/>
            <w:vAlign w:val="bottom"/>
          </w:tcPr>
          <w:p>
            <w:pPr>
              <w:pStyle w:val="yTableNAm"/>
              <w:jc w:val="center"/>
              <w:rPr>
                <w:rFonts w:ascii="Arial" w:hAnsi="Arial"/>
                <w:b/>
              </w:rPr>
            </w:pPr>
            <w:r>
              <w:t>9.10</w:t>
            </w:r>
          </w:p>
        </w:tc>
      </w:tr>
      <w:tr>
        <w:trPr>
          <w:cantSplit/>
        </w:trPr>
        <w:tc>
          <w:tcPr>
            <w:tcW w:w="567" w:type="dxa"/>
          </w:tcPr>
          <w:p>
            <w:pPr>
              <w:pStyle w:val="yTableNAm"/>
            </w:pPr>
            <w:r>
              <w:t>12.</w:t>
            </w:r>
          </w:p>
        </w:tc>
        <w:tc>
          <w:tcPr>
            <w:tcW w:w="4390" w:type="dxa"/>
          </w:tcPr>
          <w:p>
            <w:pPr>
              <w:pStyle w:val="yTableNAm"/>
            </w:pPr>
            <w:r>
              <w:t>For use of either a non</w:t>
            </w:r>
            <w:r>
              <w:noBreakHyphen/>
              <w:t xml:space="preserve">floating pen with walkway or a floating pen by a vessel servicing the resource industry, per m of the vessel’s length — </w:t>
            </w:r>
          </w:p>
        </w:tc>
        <w:tc>
          <w:tcPr>
            <w:tcW w:w="996" w:type="dxa"/>
            <w:vAlign w:val="bottom"/>
          </w:tcPr>
          <w:p>
            <w:pPr>
              <w:pStyle w:val="yTableNAm"/>
              <w:jc w:val="center"/>
              <w:rPr>
                <w:rFonts w:ascii="Arial" w:hAnsi="Arial"/>
                <w:b/>
              </w:rPr>
            </w:pPr>
            <w:r>
              <w:br/>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for one week or more, per week paid in advance</w:t>
            </w:r>
          </w:p>
        </w:tc>
        <w:tc>
          <w:tcPr>
            <w:tcW w:w="996" w:type="dxa"/>
            <w:vAlign w:val="bottom"/>
          </w:tcPr>
          <w:p>
            <w:pPr>
              <w:pStyle w:val="yTableNAm"/>
              <w:jc w:val="center"/>
              <w:rPr>
                <w:rFonts w:ascii="Arial" w:hAnsi="Arial"/>
                <w:b/>
              </w:rPr>
            </w:pPr>
            <w:r>
              <w:t>49.87</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vertAlign w:val="superscript"/>
              </w:rPr>
            </w:pPr>
            <w:r>
              <w:t>•</w:t>
            </w:r>
            <w:r>
              <w:tab/>
              <w:t>otherwise, per day</w:t>
            </w:r>
          </w:p>
        </w:tc>
        <w:tc>
          <w:tcPr>
            <w:tcW w:w="996" w:type="dxa"/>
            <w:vAlign w:val="bottom"/>
          </w:tcPr>
          <w:p>
            <w:pPr>
              <w:pStyle w:val="yTableNAm"/>
              <w:jc w:val="center"/>
              <w:rPr>
                <w:rFonts w:ascii="Arial" w:hAnsi="Arial"/>
                <w:b/>
              </w:rPr>
            </w:pPr>
            <w:r>
              <w:t>9.97</w:t>
            </w:r>
          </w:p>
        </w:tc>
      </w:tr>
      <w:tr>
        <w:trPr>
          <w:cantSplit/>
        </w:trPr>
        <w:tc>
          <w:tcPr>
            <w:tcW w:w="567" w:type="dxa"/>
          </w:tcPr>
          <w:p>
            <w:pPr>
              <w:pStyle w:val="yTableNAm"/>
            </w:pPr>
            <w:r>
              <w:t>13.</w:t>
            </w:r>
          </w:p>
        </w:tc>
        <w:tc>
          <w:tcPr>
            <w:tcW w:w="4390" w:type="dxa"/>
          </w:tcPr>
          <w:p>
            <w:pPr>
              <w:pStyle w:val="yTableNAm"/>
            </w:pPr>
            <w:r>
              <w:t>For living on board a vessel, per vessel per month</w:t>
            </w:r>
          </w:p>
        </w:tc>
        <w:tc>
          <w:tcPr>
            <w:tcW w:w="996" w:type="dxa"/>
            <w:vAlign w:val="bottom"/>
          </w:tcPr>
          <w:p>
            <w:pPr>
              <w:pStyle w:val="yTableNAm"/>
              <w:jc w:val="center"/>
              <w:rPr>
                <w:rFonts w:ascii="Arial" w:hAnsi="Arial"/>
                <w:b/>
              </w:rPr>
            </w:pPr>
            <w:r>
              <w:t>41.38</w:t>
            </w:r>
          </w:p>
        </w:tc>
      </w:tr>
      <w:tr>
        <w:trPr>
          <w:cantSplit/>
        </w:trPr>
        <w:tc>
          <w:tcPr>
            <w:tcW w:w="567" w:type="dxa"/>
          </w:tcPr>
          <w:p>
            <w:pPr>
              <w:pStyle w:val="yTableNAm"/>
            </w:pPr>
            <w:r>
              <w:t>14.</w:t>
            </w:r>
          </w:p>
        </w:tc>
        <w:tc>
          <w:tcPr>
            <w:tcW w:w="4390" w:type="dxa"/>
          </w:tcPr>
          <w:p>
            <w:pPr>
              <w:pStyle w:val="yTableNAm"/>
            </w:pPr>
            <w:r>
              <w:t>For use of pen or service wharf by cruise liner transfer vessel to load or unload passengers —</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per m of the vessel’s length, per day</w:t>
            </w:r>
          </w:p>
        </w:tc>
        <w:tc>
          <w:tcPr>
            <w:tcW w:w="996" w:type="dxa"/>
            <w:vAlign w:val="bottom"/>
          </w:tcPr>
          <w:p>
            <w:pPr>
              <w:pStyle w:val="yTableNAm"/>
              <w:jc w:val="center"/>
              <w:rPr>
                <w:rFonts w:ascii="Arial" w:hAnsi="Arial"/>
                <w:b/>
              </w:rPr>
            </w:pPr>
            <w:r>
              <w:t>9.10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plus, per passenger</w:t>
            </w:r>
          </w:p>
        </w:tc>
        <w:tc>
          <w:tcPr>
            <w:tcW w:w="996" w:type="dxa"/>
            <w:vAlign w:val="bottom"/>
          </w:tcPr>
          <w:p>
            <w:pPr>
              <w:pStyle w:val="yTableNAm"/>
              <w:jc w:val="center"/>
              <w:rPr>
                <w:rFonts w:ascii="Arial" w:hAnsi="Arial"/>
                <w:b/>
              </w:rPr>
            </w:pPr>
            <w:r>
              <w:t>3.89</w:t>
            </w:r>
          </w:p>
        </w:tc>
      </w:tr>
      <w:tr>
        <w:trPr>
          <w:cantSplit/>
        </w:trPr>
        <w:tc>
          <w:tcPr>
            <w:tcW w:w="567" w:type="dxa"/>
          </w:tcPr>
          <w:p>
            <w:pPr>
              <w:pStyle w:val="yTableNAm"/>
            </w:pPr>
            <w:r>
              <w:t>15.</w:t>
            </w:r>
          </w:p>
        </w:tc>
        <w:tc>
          <w:tcPr>
            <w:tcW w:w="4390" w:type="dxa"/>
          </w:tcPr>
          <w:p>
            <w:pPr>
              <w:pStyle w:val="yTableNAm"/>
            </w:pPr>
            <w:r>
              <w:t>For short</w:t>
            </w:r>
            <w:r>
              <w:noBreakHyphen/>
              <w:t>term use of service wharf, other than while refuelling, by vessel servicing the resource industry, for up to 12 hours in a 24 hour period —</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Style w:val="DraftersNotes"/>
              </w:rPr>
            </w:pPr>
            <w:r>
              <w:t>•</w:t>
            </w:r>
            <w:r>
              <w:tab/>
              <w:t>per m of the vessel’s length</w:t>
            </w:r>
          </w:p>
        </w:tc>
        <w:tc>
          <w:tcPr>
            <w:tcW w:w="996" w:type="dxa"/>
            <w:vAlign w:val="bottom"/>
          </w:tcPr>
          <w:p>
            <w:pPr>
              <w:pStyle w:val="yTableNAm"/>
              <w:jc w:val="center"/>
              <w:rPr>
                <w:rFonts w:ascii="Arial" w:hAnsi="Arial"/>
                <w:b/>
              </w:rPr>
            </w:pPr>
            <w:r>
              <w:t>15.40</w:t>
            </w:r>
          </w:p>
        </w:tc>
      </w:tr>
      <w:tr>
        <w:trPr>
          <w:cantSplit/>
        </w:trPr>
        <w:tc>
          <w:tcPr>
            <w:tcW w:w="567" w:type="dxa"/>
          </w:tcPr>
          <w:p>
            <w:pPr>
              <w:pStyle w:val="yTableNAm"/>
            </w:pPr>
            <w:r>
              <w:t>16.</w:t>
            </w:r>
          </w:p>
        </w:tc>
        <w:tc>
          <w:tcPr>
            <w:tcW w:w="4390" w:type="dxa"/>
          </w:tcPr>
          <w:p>
            <w:pPr>
              <w:pStyle w:val="yTableNAm"/>
            </w:pPr>
            <w:r>
              <w:t>For short</w:t>
            </w:r>
            <w:r>
              <w:noBreakHyphen/>
              <w:t>term use of service wharf by vessel, except as described in item 14 or by a vessel mentioned in item 15, per m of the vessel’s length, per day</w:t>
            </w:r>
          </w:p>
        </w:tc>
        <w:tc>
          <w:tcPr>
            <w:tcW w:w="996" w:type="dxa"/>
            <w:vAlign w:val="bottom"/>
          </w:tcPr>
          <w:p>
            <w:pPr>
              <w:pStyle w:val="yTableNAm"/>
              <w:jc w:val="center"/>
              <w:rPr>
                <w:rFonts w:ascii="Arial" w:hAnsi="Arial"/>
                <w:b/>
              </w:rPr>
            </w:pPr>
            <w:r>
              <w:t>9.10</w:t>
            </w:r>
          </w:p>
        </w:tc>
      </w:tr>
      <w:tr>
        <w:trPr>
          <w:cantSplit/>
        </w:trPr>
        <w:tc>
          <w:tcPr>
            <w:tcW w:w="567" w:type="dxa"/>
          </w:tcPr>
          <w:p>
            <w:pPr>
              <w:pStyle w:val="yTableNAm"/>
            </w:pPr>
            <w:r>
              <w:t>17.</w:t>
            </w:r>
          </w:p>
        </w:tc>
        <w:tc>
          <w:tcPr>
            <w:tcW w:w="4390" w:type="dxa"/>
          </w:tcPr>
          <w:p>
            <w:pPr>
              <w:pStyle w:val="yTableNAm"/>
            </w:pPr>
            <w:r>
              <w:t>For use of service wharf hardstand or an appurtenant area for storage or maintenance (for short</w:t>
            </w:r>
            <w:r>
              <w:noBreakHyphen/>
              <w:t>term use only), per day —</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per m</w:t>
            </w:r>
            <w:r>
              <w:rPr>
                <w:vertAlign w:val="superscript"/>
              </w:rPr>
              <w:t>2</w:t>
            </w:r>
          </w:p>
        </w:tc>
        <w:tc>
          <w:tcPr>
            <w:tcW w:w="996" w:type="dxa"/>
            <w:vAlign w:val="bottom"/>
          </w:tcPr>
          <w:p>
            <w:pPr>
              <w:pStyle w:val="yTableNAm"/>
              <w:jc w:val="center"/>
              <w:rPr>
                <w:rFonts w:ascii="Arial" w:hAnsi="Arial"/>
                <w:b/>
              </w:rPr>
            </w:pPr>
            <w:r>
              <w:t>1.51</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minimum fee</w:t>
            </w:r>
          </w:p>
        </w:tc>
        <w:tc>
          <w:tcPr>
            <w:tcW w:w="996" w:type="dxa"/>
            <w:vAlign w:val="bottom"/>
          </w:tcPr>
          <w:p>
            <w:pPr>
              <w:pStyle w:val="yTableNAm"/>
              <w:jc w:val="center"/>
              <w:rPr>
                <w:rFonts w:ascii="Arial" w:hAnsi="Arial"/>
                <w:b/>
              </w:rPr>
            </w:pPr>
            <w:r>
              <w:t>27.65</w:t>
            </w:r>
          </w:p>
        </w:tc>
      </w:tr>
      <w:tr>
        <w:trPr>
          <w:cantSplit/>
        </w:trPr>
        <w:tc>
          <w:tcPr>
            <w:tcW w:w="567" w:type="dxa"/>
          </w:tcPr>
          <w:p>
            <w:pPr>
              <w:pStyle w:val="yTableNAm"/>
            </w:pPr>
            <w:r>
              <w:t>18.</w:t>
            </w:r>
          </w:p>
        </w:tc>
        <w:tc>
          <w:tcPr>
            <w:tcW w:w="4390" w:type="dxa"/>
          </w:tcPr>
          <w:p>
            <w:pPr>
              <w:pStyle w:val="yTableNAm"/>
            </w:pPr>
            <w:r>
              <w:t xml:space="preserve">For use of boat ramp by commercial vessel — </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for 12 months paid in advance</w:t>
            </w:r>
          </w:p>
        </w:tc>
        <w:tc>
          <w:tcPr>
            <w:tcW w:w="996" w:type="dxa"/>
            <w:vAlign w:val="bottom"/>
          </w:tcPr>
          <w:p>
            <w:pPr>
              <w:pStyle w:val="yTableNAm"/>
              <w:jc w:val="center"/>
              <w:rPr>
                <w:rFonts w:ascii="Arial" w:hAnsi="Arial"/>
                <w:b/>
              </w:rPr>
            </w:pPr>
            <w:r>
              <w:t>751.20</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for one month</w:t>
            </w:r>
          </w:p>
        </w:tc>
        <w:tc>
          <w:tcPr>
            <w:tcW w:w="996" w:type="dxa"/>
            <w:vAlign w:val="bottom"/>
          </w:tcPr>
          <w:p>
            <w:pPr>
              <w:pStyle w:val="yTableNAm"/>
              <w:jc w:val="center"/>
              <w:rPr>
                <w:rFonts w:ascii="Arial" w:hAnsi="Arial"/>
                <w:b/>
              </w:rPr>
            </w:pPr>
            <w:r>
              <w:t>150.26</w:t>
            </w:r>
          </w:p>
        </w:tc>
      </w:tr>
      <w:tr>
        <w:trPr>
          <w:cantSplit/>
        </w:trPr>
        <w:tc>
          <w:tcPr>
            <w:tcW w:w="567" w:type="dxa"/>
          </w:tcPr>
          <w:p>
            <w:pPr>
              <w:pStyle w:val="yTableNAm"/>
            </w:pPr>
            <w:r>
              <w:t>19.</w:t>
            </w:r>
          </w:p>
        </w:tc>
        <w:tc>
          <w:tcPr>
            <w:tcW w:w="4390" w:type="dxa"/>
          </w:tcPr>
          <w:p>
            <w:pPr>
              <w:pStyle w:val="yTableNAm"/>
            </w:pPr>
            <w:r>
              <w:t>For electricity supply, 3</w:t>
            </w:r>
            <w:r>
              <w:noBreakHyphen/>
              <w:t>phase or single —</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if metered, for units consumed, per unit with a minimum amount as for the consumption of 50 units</w:t>
            </w:r>
          </w:p>
        </w:tc>
        <w:tc>
          <w:tcPr>
            <w:tcW w:w="996" w:type="dxa"/>
            <w:vAlign w:val="bottom"/>
          </w:tcPr>
          <w:p>
            <w:pPr>
              <w:pStyle w:val="yTableNAm"/>
              <w:jc w:val="center"/>
              <w:rPr>
                <w:rFonts w:ascii="Arial" w:hAnsi="Arial"/>
                <w:b/>
              </w:rPr>
            </w:pPr>
            <w:r>
              <w:t>cost</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if metered, for meter reading</w:t>
            </w:r>
          </w:p>
        </w:tc>
        <w:tc>
          <w:tcPr>
            <w:tcW w:w="996" w:type="dxa"/>
            <w:vAlign w:val="bottom"/>
          </w:tcPr>
          <w:p>
            <w:pPr>
              <w:pStyle w:val="yTableNAm"/>
              <w:jc w:val="center"/>
              <w:rPr>
                <w:rFonts w:ascii="Arial" w:hAnsi="Arial"/>
                <w:b/>
              </w:rPr>
            </w:pPr>
            <w:r>
              <w:t>cost</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Style w:val="DraftersNotes"/>
              </w:rPr>
            </w:pPr>
            <w:r>
              <w:t>•</w:t>
            </w:r>
            <w:r>
              <w:tab/>
              <w:t>if not metered, per 12 hours or part thereof</w:t>
            </w:r>
          </w:p>
        </w:tc>
        <w:tc>
          <w:tcPr>
            <w:tcW w:w="996" w:type="dxa"/>
            <w:vAlign w:val="bottom"/>
          </w:tcPr>
          <w:p>
            <w:pPr>
              <w:pStyle w:val="yTableNAm"/>
              <w:jc w:val="center"/>
              <w:rPr>
                <w:rFonts w:ascii="Arial" w:hAnsi="Arial"/>
                <w:b/>
              </w:rPr>
            </w:pPr>
            <w:r>
              <w:t>cost</w:t>
            </w:r>
          </w:p>
        </w:tc>
      </w:tr>
      <w:tr>
        <w:trPr>
          <w:cantSplit/>
        </w:trPr>
        <w:tc>
          <w:tcPr>
            <w:tcW w:w="567" w:type="dxa"/>
          </w:tcPr>
          <w:p>
            <w:pPr>
              <w:pStyle w:val="yTableNAm"/>
            </w:pPr>
            <w:r>
              <w:t>20.</w:t>
            </w:r>
          </w:p>
        </w:tc>
        <w:tc>
          <w:tcPr>
            <w:tcW w:w="4390" w:type="dxa"/>
          </w:tcPr>
          <w:p>
            <w:pPr>
              <w:pStyle w:val="yTableNAm"/>
            </w:pPr>
            <w:r>
              <w:t xml:space="preserve">For water supply — </w:t>
            </w:r>
          </w:p>
        </w:tc>
        <w:tc>
          <w:tcPr>
            <w:tcW w:w="996" w:type="dxa"/>
            <w:vAlign w:val="bottom"/>
          </w:tcPr>
          <w:p>
            <w:pPr>
              <w:pStyle w:val="yTableNAm"/>
              <w:jc w:val="center"/>
            </w:pP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to non</w:t>
            </w:r>
            <w:r>
              <w:noBreakHyphen/>
              <w:t>floating pen with walkway, metered</w:t>
            </w:r>
          </w:p>
        </w:tc>
        <w:tc>
          <w:tcPr>
            <w:tcW w:w="996" w:type="dxa"/>
            <w:vAlign w:val="bottom"/>
          </w:tcPr>
          <w:p>
            <w:pPr>
              <w:pStyle w:val="yTableNAm"/>
              <w:jc w:val="center"/>
              <w:rPr>
                <w:rFonts w:ascii="Arial" w:hAnsi="Arial"/>
                <w:b/>
              </w:rPr>
            </w:pPr>
            <w:r>
              <w:t>cost</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Style w:val="DraftersNotes"/>
              </w:rPr>
            </w:pPr>
            <w:r>
              <w:t>•</w:t>
            </w:r>
            <w:r>
              <w:tab/>
              <w:t>to service wharf or hardstand or elsewhere in large quantity, metered</w:t>
            </w:r>
          </w:p>
        </w:tc>
        <w:tc>
          <w:tcPr>
            <w:tcW w:w="996" w:type="dxa"/>
            <w:vAlign w:val="bottom"/>
          </w:tcPr>
          <w:p>
            <w:pPr>
              <w:pStyle w:val="yTableNAm"/>
              <w:jc w:val="center"/>
              <w:rPr>
                <w:rFonts w:ascii="Arial" w:hAnsi="Arial"/>
                <w:b/>
              </w:rPr>
            </w:pPr>
            <w:r>
              <w:t>cost</w:t>
            </w:r>
          </w:p>
        </w:tc>
      </w:tr>
      <w:tr>
        <w:trPr>
          <w:cantSplit/>
        </w:trPr>
        <w:tc>
          <w:tcPr>
            <w:tcW w:w="567" w:type="dxa"/>
          </w:tcPr>
          <w:p>
            <w:pPr>
              <w:pStyle w:val="yTableNAm"/>
            </w:pPr>
            <w:r>
              <w:t>21.</w:t>
            </w:r>
          </w:p>
        </w:tc>
        <w:tc>
          <w:tcPr>
            <w:tcW w:w="4390" w:type="dxa"/>
          </w:tcPr>
          <w:p>
            <w:pPr>
              <w:pStyle w:val="yTableNAm"/>
            </w:pPr>
            <w:r>
              <w:t xml:space="preserve">For rubbish removal — </w:t>
            </w:r>
          </w:p>
        </w:tc>
        <w:tc>
          <w:tcPr>
            <w:tcW w:w="996" w:type="dxa"/>
            <w:vAlign w:val="bottom"/>
          </w:tcPr>
          <w:p>
            <w:pPr>
              <w:pStyle w:val="yTableNAm"/>
              <w:jc w:val="center"/>
              <w:rPr>
                <w:rFonts w:ascii="Arial" w:hAnsi="Arial"/>
                <w:b/>
              </w:rPr>
            </w:pPr>
            <w:r>
              <w:t>cost</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excess quantity or from vessel not using harbour, minimum per half skip supplied and emptied</w:t>
            </w:r>
          </w:p>
        </w:tc>
        <w:tc>
          <w:tcPr>
            <w:tcW w:w="996" w:type="dxa"/>
            <w:vAlign w:val="bottom"/>
          </w:tcPr>
          <w:p>
            <w:pPr>
              <w:pStyle w:val="yTableNAm"/>
              <w:jc w:val="center"/>
              <w:rPr>
                <w:rFonts w:ascii="Arial" w:hAnsi="Arial"/>
                <w:b/>
              </w:rPr>
            </w:pPr>
            <w:r>
              <w:t>cost</w:t>
            </w:r>
          </w:p>
        </w:tc>
      </w:tr>
      <w:tr>
        <w:trPr>
          <w:cantSplit/>
        </w:trPr>
        <w:tc>
          <w:tcPr>
            <w:tcW w:w="567" w:type="dxa"/>
          </w:tcPr>
          <w:p>
            <w:pPr>
              <w:pStyle w:val="zyTableNAm"/>
              <w:widowControl w:val="0"/>
            </w:pPr>
          </w:p>
        </w:tc>
        <w:tc>
          <w:tcPr>
            <w:tcW w:w="4390" w:type="dxa"/>
          </w:tcPr>
          <w:p>
            <w:pPr>
              <w:pStyle w:val="yTableNAm"/>
              <w:tabs>
                <w:tab w:val="clear" w:pos="567"/>
                <w:tab w:val="left" w:pos="368"/>
              </w:tabs>
              <w:ind w:left="368" w:hanging="368"/>
              <w:rPr>
                <w:rFonts w:ascii="Arial" w:hAnsi="Arial"/>
                <w:b/>
              </w:rPr>
            </w:pPr>
            <w:r>
              <w:t>•</w:t>
            </w:r>
            <w:r>
              <w:tab/>
              <w:t>waste oil drum not removed by owner, per 20 L drum</w:t>
            </w:r>
          </w:p>
        </w:tc>
        <w:tc>
          <w:tcPr>
            <w:tcW w:w="996" w:type="dxa"/>
            <w:vAlign w:val="bottom"/>
          </w:tcPr>
          <w:p>
            <w:pPr>
              <w:pStyle w:val="yTableNAm"/>
              <w:jc w:val="center"/>
              <w:rPr>
                <w:rFonts w:ascii="Arial" w:hAnsi="Arial"/>
                <w:b/>
              </w:rPr>
            </w:pPr>
            <w:r>
              <w:t>cost</w:t>
            </w:r>
          </w:p>
        </w:tc>
      </w:tr>
      <w:tr>
        <w:trPr>
          <w:cantSplit/>
        </w:trPr>
        <w:tc>
          <w:tcPr>
            <w:tcW w:w="567" w:type="dxa"/>
            <w:tcBorders>
              <w:bottom w:val="single" w:sz="4" w:space="0" w:color="auto"/>
            </w:tcBorders>
          </w:tcPr>
          <w:p>
            <w:pPr>
              <w:pStyle w:val="zyTableNAm"/>
              <w:widowControl w:val="0"/>
            </w:pPr>
          </w:p>
        </w:tc>
        <w:tc>
          <w:tcPr>
            <w:tcW w:w="4390" w:type="dxa"/>
            <w:tcBorders>
              <w:bottom w:val="single" w:sz="4" w:space="0" w:color="auto"/>
            </w:tcBorders>
          </w:tcPr>
          <w:p>
            <w:pPr>
              <w:pStyle w:val="yTableNAm"/>
              <w:tabs>
                <w:tab w:val="clear" w:pos="567"/>
                <w:tab w:val="left" w:pos="368"/>
              </w:tabs>
              <w:ind w:left="368" w:hanging="368"/>
              <w:rPr>
                <w:rFonts w:ascii="Arial" w:hAnsi="Arial"/>
                <w:b/>
              </w:rPr>
            </w:pPr>
            <w:r>
              <w:t>•</w:t>
            </w:r>
            <w:r>
              <w:tab/>
              <w:t>rubbish not put in supplied bins</w:t>
            </w:r>
          </w:p>
        </w:tc>
        <w:tc>
          <w:tcPr>
            <w:tcW w:w="996" w:type="dxa"/>
            <w:tcBorders>
              <w:bottom w:val="single" w:sz="4" w:space="0" w:color="auto"/>
            </w:tcBorders>
            <w:vAlign w:val="bottom"/>
          </w:tcPr>
          <w:p>
            <w:pPr>
              <w:pStyle w:val="yTableNAm"/>
              <w:jc w:val="center"/>
              <w:rPr>
                <w:rFonts w:ascii="Arial" w:hAnsi="Arial"/>
                <w:b/>
              </w:rPr>
            </w:pPr>
            <w:r>
              <w:t>cost</w:t>
            </w:r>
          </w:p>
        </w:tc>
      </w:tr>
    </w:tbl>
    <w:p>
      <w:pPr>
        <w:pStyle w:val="yFootnotesection"/>
      </w:pPr>
      <w:r>
        <w:tab/>
        <w:t>[Clause 10 inserted in Gazette 13 Jul 2012 p. 3185</w:t>
      </w:r>
      <w:r>
        <w:noBreakHyphen/>
        <w:t>9; amended in Gazette 7 May 2013 p. 1918-22.]</w:t>
      </w:r>
    </w:p>
    <w:p>
      <w:pPr>
        <w:pStyle w:val="yHeading5"/>
      </w:pPr>
      <w:bookmarkStart w:id="628" w:name="_Toc355611705"/>
      <w:r>
        <w:rPr>
          <w:rStyle w:val="CharSClsNo"/>
        </w:rPr>
        <w:t>11</w:t>
      </w:r>
      <w:r>
        <w:t>.</w:t>
      </w:r>
      <w:r>
        <w:rPr>
          <w:b w:val="0"/>
        </w:rP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28"/>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 94A are set out in Table 11.1.</w:t>
      </w:r>
    </w:p>
    <w:p>
      <w:pPr>
        <w:pStyle w:val="yTHeadingNAm"/>
      </w:pPr>
      <w:r>
        <w:t>Table 11.1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pen for commercial vessel under 20 m long,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281.60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28.16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42.24</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pen for commercial vessel 20 m long or over,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367.84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36.79</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55.18</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 w:val="left" w:pos="0"/>
              </w:tabs>
              <w:spacing w:before="0"/>
              <w:ind w:hanging="57"/>
            </w:pPr>
            <w:r>
              <w:t>For berth at end of floating jetty (Jetty 1) for commercial vessel, per m of the vessel’s length</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80.34</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 w:val="left" w:pos="0"/>
              </w:tabs>
              <w:spacing w:before="0"/>
              <w:ind w:hanging="57"/>
            </w:pPr>
            <w:r>
              <w:t>For berth at end of floating jetty (Jetty 1) for recreational vessel, per m of the vessel’s length</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74.34</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 xml:space="preserve">For pen for recreational vessel,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401.55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40.16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60.24</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For pen for vessel, per m of the vessel’s length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t>40.95</w:t>
            </w:r>
          </w:p>
        </w:tc>
      </w:tr>
      <w:tr>
        <w:trPr>
          <w:cantSplit/>
        </w:trPr>
        <w:tc>
          <w:tcPr>
            <w:tcW w:w="567" w:type="dxa"/>
            <w:tcBorders>
              <w:bottom w:val="single" w:sz="4" w:space="0" w:color="auto"/>
            </w:tcBorders>
          </w:tcPr>
          <w:p>
            <w:pPr>
              <w:pStyle w:val="yTableNAm"/>
              <w:keepNext/>
              <w:tabs>
                <w:tab w:val="clear" w:pos="567"/>
              </w:tabs>
              <w:spacing w:before="0"/>
            </w:pPr>
          </w:p>
        </w:tc>
        <w:tc>
          <w:tcPr>
            <w:tcW w:w="4390" w:type="dxa"/>
            <w:tcBorders>
              <w:bottom w:val="single" w:sz="4" w:space="0" w:color="auto"/>
            </w:tcBorders>
          </w:tcPr>
          <w:p>
            <w:pPr>
              <w:pStyle w:val="yTableNAm"/>
              <w:keepNext/>
              <w:tabs>
                <w:tab w:val="clear" w:pos="567"/>
                <w:tab w:val="left" w:pos="368"/>
              </w:tabs>
              <w:spacing w:before="0"/>
              <w:ind w:left="368" w:hanging="368"/>
            </w:pPr>
            <w:r>
              <w:t>•</w:t>
            </w:r>
            <w:r>
              <w:tab/>
              <w:t>otherwise, per day</w:t>
            </w:r>
          </w:p>
        </w:tc>
        <w:tc>
          <w:tcPr>
            <w:tcW w:w="996" w:type="dxa"/>
            <w:tcBorders>
              <w:bottom w:val="single" w:sz="4" w:space="0" w:color="auto"/>
            </w:tcBorders>
          </w:tcPr>
          <w:p>
            <w:pPr>
              <w:pStyle w:val="yTableNAm"/>
              <w:keepNext/>
              <w:tabs>
                <w:tab w:val="clear" w:pos="567"/>
              </w:tabs>
              <w:spacing w:before="0"/>
              <w:jc w:val="right"/>
              <w:rPr>
                <w:bCs/>
              </w:rPr>
            </w:pPr>
            <w:r>
              <w:rPr>
                <w:bCs/>
              </w:rPr>
              <w:t>8.19</w:t>
            </w:r>
          </w:p>
        </w:tc>
      </w:tr>
    </w:tbl>
    <w:p>
      <w:pPr>
        <w:pStyle w:val="yFootnotesection"/>
      </w:pPr>
      <w:r>
        <w:tab/>
        <w:t>[Clause 11 inserted in Gazette 13 Jul 2012 p. 3189</w:t>
      </w:r>
      <w:r>
        <w:noBreakHyphen/>
        <w:t>90.]</w:t>
      </w:r>
    </w:p>
    <w:p>
      <w:pPr>
        <w:pStyle w:val="yHeading5"/>
      </w:pPr>
      <w:bookmarkStart w:id="629" w:name="_Toc355611706"/>
      <w:r>
        <w:rPr>
          <w:rStyle w:val="CharSClsNo"/>
        </w:rPr>
        <w:t>12</w:t>
      </w:r>
      <w:r>
        <w:t>.</w:t>
      </w:r>
      <w:r>
        <w:rPr>
          <w:b w:val="0"/>
        </w:rPr>
        <w:tab/>
      </w:r>
      <w:r>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29"/>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fees and charges to be paid under regulations 6 and 94A are set out in Table 12.1.</w:t>
      </w:r>
    </w:p>
    <w:p>
      <w:pPr>
        <w:pStyle w:val="ySubsection"/>
      </w:pPr>
      <w:r>
        <w:tab/>
        <w:t>(3)</w:t>
      </w:r>
      <w:r>
        <w:tab/>
        <w:t>In Table 12.1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THeadingNAm"/>
      </w:pPr>
      <w:r>
        <w:tab/>
        <w:t>Table 12.1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pen for commercial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379.21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37.93</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56.88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t>36.12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tcPr>
          <w:p>
            <w:pPr>
              <w:pStyle w:val="yTableNAm"/>
              <w:keepNext/>
              <w:tabs>
                <w:tab w:val="clear" w:pos="567"/>
              </w:tabs>
              <w:spacing w:before="0"/>
              <w:jc w:val="right"/>
              <w:rPr>
                <w:bCs/>
              </w:rPr>
            </w:pPr>
            <w:r>
              <w:rPr>
                <w:bCs/>
              </w:rPr>
              <w:t>14.45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tcPr>
          <w:p>
            <w:pPr>
              <w:pStyle w:val="yTableNAm"/>
              <w:keepNext/>
              <w:tabs>
                <w:tab w:val="clear" w:pos="567"/>
              </w:tabs>
              <w:spacing w:before="0"/>
              <w:jc w:val="right"/>
              <w:rPr>
                <w:bCs/>
              </w:rPr>
            </w:pPr>
            <w:r>
              <w:rPr>
                <w:bCs/>
              </w:rPr>
              <w:t>7.22</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pen for recreational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r>
              <w:rPr>
                <w:bCs/>
              </w:rPr>
              <w:t>379.21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t>37.93</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t>56.88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t>25.28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tcPr>
          <w:p>
            <w:pPr>
              <w:pStyle w:val="yTableNAm"/>
              <w:keepNext/>
              <w:tabs>
                <w:tab w:val="clear" w:pos="567"/>
              </w:tabs>
              <w:spacing w:before="0"/>
              <w:jc w:val="right"/>
              <w:rPr>
                <w:bCs/>
              </w:rPr>
            </w:pPr>
            <w:r>
              <w:rPr>
                <w:bCs/>
              </w:rPr>
              <w:t>10.12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tcPr>
          <w:p>
            <w:pPr>
              <w:pStyle w:val="yTableNAm"/>
              <w:keepNext/>
              <w:tabs>
                <w:tab w:val="clear" w:pos="567"/>
              </w:tabs>
              <w:spacing w:before="0"/>
              <w:jc w:val="right"/>
              <w:rPr>
                <w:bCs/>
              </w:rPr>
            </w:pPr>
            <w:r>
              <w:rPr>
                <w:bCs/>
              </w:rPr>
              <w:t>5.07</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pPr>
            <w:r>
              <w:t>For living on board a vessel, per vessel per month</w:t>
            </w:r>
          </w:p>
        </w:tc>
        <w:tc>
          <w:tcPr>
            <w:tcW w:w="996" w:type="dxa"/>
          </w:tcPr>
          <w:p>
            <w:pPr>
              <w:pStyle w:val="yTableNAm"/>
              <w:keepNext/>
              <w:tabs>
                <w:tab w:val="clear" w:pos="567"/>
              </w:tabs>
              <w:spacing w:before="0"/>
              <w:jc w:val="right"/>
              <w:rPr>
                <w:bCs/>
              </w:rPr>
            </w:pPr>
            <w:r>
              <w:rPr>
                <w:bCs/>
              </w:rPr>
              <w:br/>
              <w:t>117.41</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s>
              <w:spacing w:before="0"/>
            </w:pPr>
            <w:r>
              <w:t>For use of service jetty for short time just to load or unload vessel, unless the item 1 or 2 fee has been paid for the vessel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per vessel paid in advance</w:t>
            </w:r>
          </w:p>
        </w:tc>
        <w:tc>
          <w:tcPr>
            <w:tcW w:w="996" w:type="dxa"/>
          </w:tcPr>
          <w:p>
            <w:pPr>
              <w:pStyle w:val="yTableNAm"/>
              <w:keepNext/>
              <w:tabs>
                <w:tab w:val="clear" w:pos="567"/>
              </w:tabs>
              <w:spacing w:before="0"/>
              <w:jc w:val="right"/>
              <w:rPr>
                <w:bCs/>
              </w:rPr>
            </w:pPr>
            <w:r>
              <w:rPr>
                <w:bCs/>
              </w:rPr>
              <w:t>1 083.85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 per day</w:t>
            </w:r>
          </w:p>
        </w:tc>
        <w:tc>
          <w:tcPr>
            <w:tcW w:w="996" w:type="dxa"/>
          </w:tcPr>
          <w:p>
            <w:pPr>
              <w:pStyle w:val="yTableNAm"/>
              <w:keepNext/>
              <w:tabs>
                <w:tab w:val="clear" w:pos="567"/>
              </w:tabs>
              <w:spacing w:before="0"/>
              <w:jc w:val="right"/>
              <w:rPr>
                <w:bCs/>
              </w:rPr>
            </w:pPr>
            <w:r>
              <w:rPr>
                <w:bCs/>
              </w:rPr>
              <w:t>3.61</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use of pen or service wharf by cruise liner transfer vessel to load or unload passengers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 per day</w:t>
            </w:r>
          </w:p>
        </w:tc>
        <w:tc>
          <w:tcPr>
            <w:tcW w:w="996" w:type="dxa"/>
          </w:tcPr>
          <w:p>
            <w:pPr>
              <w:pStyle w:val="yTableNAm"/>
              <w:keepNext/>
              <w:tabs>
                <w:tab w:val="clear" w:pos="567"/>
              </w:tabs>
              <w:spacing w:before="0"/>
              <w:jc w:val="right"/>
              <w:rPr>
                <w:bCs/>
              </w:rPr>
            </w:pPr>
            <w:r>
              <w:rPr>
                <w:bCs/>
              </w:rPr>
              <w:t>9.10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plus, per passenger</w:t>
            </w:r>
          </w:p>
        </w:tc>
        <w:tc>
          <w:tcPr>
            <w:tcW w:w="996" w:type="dxa"/>
          </w:tcPr>
          <w:p>
            <w:pPr>
              <w:pStyle w:val="yTableNAm"/>
              <w:keepNext/>
              <w:tabs>
                <w:tab w:val="clear" w:pos="567"/>
              </w:tabs>
              <w:spacing w:before="0"/>
              <w:jc w:val="right"/>
              <w:rPr>
                <w:bCs/>
              </w:rPr>
            </w:pPr>
            <w:r>
              <w:rPr>
                <w:bCs/>
              </w:rPr>
              <w:t>3.89</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 w:val="left" w:pos="0"/>
              </w:tabs>
              <w:spacing w:before="0"/>
            </w:pPr>
            <w:r>
              <w:t>For use of pen at Jetty B for commercial or recreational vessel for 12 months, per vessel paid in advance</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12 m pen</w:t>
            </w:r>
          </w:p>
        </w:tc>
        <w:tc>
          <w:tcPr>
            <w:tcW w:w="996" w:type="dxa"/>
          </w:tcPr>
          <w:p>
            <w:pPr>
              <w:pStyle w:val="yTableNAm"/>
              <w:keepNext/>
              <w:tabs>
                <w:tab w:val="clear" w:pos="567"/>
              </w:tabs>
              <w:spacing w:before="0"/>
              <w:jc w:val="right"/>
              <w:rPr>
                <w:bCs/>
              </w:rPr>
            </w:pPr>
            <w:r>
              <w:rPr>
                <w:bCs/>
              </w:rPr>
              <w:t>5 940.00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15 m pen</w:t>
            </w:r>
          </w:p>
        </w:tc>
        <w:tc>
          <w:tcPr>
            <w:tcW w:w="996" w:type="dxa"/>
          </w:tcPr>
          <w:p>
            <w:pPr>
              <w:pStyle w:val="yTableNAm"/>
              <w:keepNext/>
              <w:tabs>
                <w:tab w:val="clear" w:pos="567"/>
              </w:tabs>
              <w:spacing w:before="0"/>
              <w:jc w:val="right"/>
              <w:rPr>
                <w:bCs/>
              </w:rPr>
            </w:pPr>
            <w:r>
              <w:rPr>
                <w:bCs/>
              </w:rPr>
              <w:t>7 425.00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18 m pen</w:t>
            </w:r>
          </w:p>
        </w:tc>
        <w:tc>
          <w:tcPr>
            <w:tcW w:w="996" w:type="dxa"/>
          </w:tcPr>
          <w:p>
            <w:pPr>
              <w:pStyle w:val="yTableNAm"/>
              <w:keepNext/>
              <w:tabs>
                <w:tab w:val="clear" w:pos="567"/>
              </w:tabs>
              <w:spacing w:before="0"/>
              <w:jc w:val="right"/>
              <w:rPr>
                <w:bCs/>
              </w:rPr>
            </w:pPr>
            <w:r>
              <w:rPr>
                <w:bCs/>
              </w:rPr>
              <w:t>8 910.00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20 m pen</w:t>
            </w:r>
          </w:p>
        </w:tc>
        <w:tc>
          <w:tcPr>
            <w:tcW w:w="996" w:type="dxa"/>
          </w:tcPr>
          <w:p>
            <w:pPr>
              <w:pStyle w:val="yTableNAm"/>
              <w:keepNext/>
              <w:tabs>
                <w:tab w:val="clear" w:pos="567"/>
              </w:tabs>
              <w:spacing w:before="0"/>
              <w:jc w:val="right"/>
              <w:rPr>
                <w:bCs/>
              </w:rPr>
            </w:pPr>
            <w:r>
              <w:rPr>
                <w:bCs/>
              </w:rPr>
              <w:t>9 900.00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22 m pen</w:t>
            </w:r>
          </w:p>
        </w:tc>
        <w:tc>
          <w:tcPr>
            <w:tcW w:w="996" w:type="dxa"/>
          </w:tcPr>
          <w:p>
            <w:pPr>
              <w:pStyle w:val="yTableNAm"/>
              <w:keepNext/>
              <w:tabs>
                <w:tab w:val="clear" w:pos="567"/>
              </w:tabs>
              <w:spacing w:before="0"/>
              <w:jc w:val="right"/>
              <w:rPr>
                <w:bCs/>
              </w:rPr>
            </w:pPr>
            <w:r>
              <w:rPr>
                <w:bCs/>
              </w:rPr>
              <w:t>10 890.00</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 w:val="left" w:pos="0"/>
              </w:tabs>
              <w:spacing w:before="0"/>
            </w:pPr>
            <w:r>
              <w:t>For use of pen at Jetty B for commercial or recreational vessel for one month or more, per month, per vessel paid in advance</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12 m pen</w:t>
            </w:r>
          </w:p>
        </w:tc>
        <w:tc>
          <w:tcPr>
            <w:tcW w:w="996" w:type="dxa"/>
          </w:tcPr>
          <w:p>
            <w:pPr>
              <w:pStyle w:val="yTableNAm"/>
              <w:keepNext/>
              <w:tabs>
                <w:tab w:val="clear" w:pos="567"/>
              </w:tabs>
              <w:spacing w:before="0"/>
              <w:jc w:val="right"/>
              <w:rPr>
                <w:bCs/>
              </w:rPr>
            </w:pPr>
            <w:r>
              <w:rPr>
                <w:bCs/>
              </w:rPr>
              <w:t>891.00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15 m pen</w:t>
            </w:r>
          </w:p>
        </w:tc>
        <w:tc>
          <w:tcPr>
            <w:tcW w:w="996" w:type="dxa"/>
          </w:tcPr>
          <w:p>
            <w:pPr>
              <w:pStyle w:val="yTableNAm"/>
              <w:keepNext/>
              <w:tabs>
                <w:tab w:val="clear" w:pos="567"/>
              </w:tabs>
              <w:spacing w:before="0"/>
              <w:jc w:val="right"/>
              <w:rPr>
                <w:bCs/>
              </w:rPr>
            </w:pPr>
            <w:r>
              <w:rPr>
                <w:bCs/>
              </w:rPr>
              <w:t>1 113.75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18 m pen</w:t>
            </w:r>
          </w:p>
        </w:tc>
        <w:tc>
          <w:tcPr>
            <w:tcW w:w="996" w:type="dxa"/>
          </w:tcPr>
          <w:p>
            <w:pPr>
              <w:pStyle w:val="yTableNAm"/>
              <w:keepNext/>
              <w:tabs>
                <w:tab w:val="clear" w:pos="567"/>
              </w:tabs>
              <w:spacing w:before="0"/>
              <w:jc w:val="right"/>
              <w:rPr>
                <w:bCs/>
              </w:rPr>
            </w:pPr>
            <w:r>
              <w:rPr>
                <w:bCs/>
              </w:rPr>
              <w:t>1 336.50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for 20 m pen</w:t>
            </w:r>
          </w:p>
        </w:tc>
        <w:tc>
          <w:tcPr>
            <w:tcW w:w="996" w:type="dxa"/>
          </w:tcPr>
          <w:p>
            <w:pPr>
              <w:pStyle w:val="yTableNAm"/>
              <w:keepNext/>
              <w:tabs>
                <w:tab w:val="clear" w:pos="567"/>
              </w:tabs>
              <w:spacing w:before="0"/>
              <w:jc w:val="right"/>
              <w:rPr>
                <w:bCs/>
              </w:rPr>
            </w:pPr>
            <w:r>
              <w:rPr>
                <w:bCs/>
              </w:rPr>
              <w:t>1 485.00</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9" w:hanging="369"/>
            </w:pPr>
            <w:r>
              <w:t>•</w:t>
            </w:r>
            <w:r>
              <w:tab/>
              <w:t>for 22 m pen</w:t>
            </w:r>
          </w:p>
        </w:tc>
        <w:tc>
          <w:tcPr>
            <w:tcW w:w="996" w:type="dxa"/>
            <w:tcBorders>
              <w:bottom w:val="single" w:sz="4" w:space="0" w:color="auto"/>
            </w:tcBorders>
          </w:tcPr>
          <w:p>
            <w:pPr>
              <w:pStyle w:val="yTableNAm"/>
              <w:keepNext/>
              <w:tabs>
                <w:tab w:val="clear" w:pos="567"/>
              </w:tabs>
              <w:spacing w:before="0"/>
              <w:jc w:val="right"/>
              <w:rPr>
                <w:bCs/>
              </w:rPr>
            </w:pPr>
            <w:r>
              <w:rPr>
                <w:bCs/>
              </w:rPr>
              <w:t>1 633.50</w:t>
            </w:r>
          </w:p>
        </w:tc>
      </w:tr>
    </w:tbl>
    <w:p>
      <w:pPr>
        <w:pStyle w:val="yFootnotesection"/>
      </w:pPr>
      <w:r>
        <w:tab/>
        <w:t>[Clause 12 inserted in Gazette 13 Jul 2012 p. 3190</w:t>
      </w:r>
      <w:r>
        <w:noBreakHyphen/>
        <w:t>2.]</w:t>
      </w:r>
    </w:p>
    <w:p>
      <w:pPr>
        <w:pStyle w:val="yHeading5"/>
      </w:pPr>
      <w:bookmarkStart w:id="630" w:name="_Toc355611707"/>
      <w:r>
        <w:rPr>
          <w:rStyle w:val="CharSClsNo"/>
        </w:rPr>
        <w:t>13</w:t>
      </w:r>
      <w:r>
        <w:t>.</w:t>
      </w:r>
      <w:r>
        <w:rPr>
          <w:b w:val="0"/>
        </w:rPr>
        <w:tab/>
      </w:r>
      <w:r>
        <w:t>Green Head</w:t>
      </w:r>
      <w:bookmarkEnd w:id="630"/>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Borders>
              <w:top w:val="single" w:sz="4" w:space="0" w:color="auto"/>
              <w:bottom w:val="single" w:sz="4" w:space="0" w:color="auto"/>
            </w:tcBorders>
          </w:tcPr>
          <w:p>
            <w:pPr>
              <w:pStyle w:val="yTableNAm"/>
              <w:tabs>
                <w:tab w:val="clear" w:pos="567"/>
              </w:tabs>
              <w:spacing w:before="0"/>
            </w:pPr>
            <w:r>
              <w:t>1.</w:t>
            </w:r>
          </w:p>
        </w:tc>
        <w:tc>
          <w:tcPr>
            <w:tcW w:w="4390" w:type="dxa"/>
            <w:tcBorders>
              <w:top w:val="single" w:sz="4" w:space="0" w:color="auto"/>
              <w:bottom w:val="single" w:sz="4" w:space="0" w:color="auto"/>
            </w:tcBorders>
          </w:tcPr>
          <w:p>
            <w:pPr>
              <w:pStyle w:val="yTableNAm"/>
              <w:tabs>
                <w:tab w:val="clear" w:pos="567"/>
              </w:tabs>
              <w:spacing w:before="0"/>
            </w:pPr>
            <w:r>
              <w:t>For use of service jetty by vessel, per m of the vessel’s length per day</w:t>
            </w:r>
          </w:p>
        </w:tc>
        <w:tc>
          <w:tcPr>
            <w:tcW w:w="996" w:type="dxa"/>
            <w:tcBorders>
              <w:top w:val="single" w:sz="4" w:space="0" w:color="auto"/>
              <w:bottom w:val="single" w:sz="4" w:space="0" w:color="auto"/>
            </w:tcBorders>
          </w:tcPr>
          <w:p>
            <w:pPr>
              <w:pStyle w:val="yTableNAm"/>
              <w:keepNext/>
              <w:tabs>
                <w:tab w:val="clear" w:pos="567"/>
              </w:tabs>
              <w:spacing w:before="0"/>
              <w:jc w:val="right"/>
              <w:rPr>
                <w:bCs/>
              </w:rPr>
            </w:pPr>
            <w:r>
              <w:rPr>
                <w:bCs/>
              </w:rPr>
              <w:br/>
              <w:t>4.60</w:t>
            </w:r>
          </w:p>
        </w:tc>
      </w:tr>
    </w:tbl>
    <w:p>
      <w:pPr>
        <w:pStyle w:val="yFootnotesection"/>
      </w:pPr>
      <w:r>
        <w:tab/>
        <w:t>[Clause 13 inserted in Gazette 13 Jul 2012 p. 3192.]</w:t>
      </w:r>
    </w:p>
    <w:p>
      <w:pPr>
        <w:pStyle w:val="yHeading5"/>
      </w:pPr>
      <w:bookmarkStart w:id="631" w:name="_Toc355611708"/>
      <w:r>
        <w:rPr>
          <w:rStyle w:val="CharSClsNo"/>
        </w:rPr>
        <w:t>14</w:t>
      </w:r>
      <w:r>
        <w:t>.</w:t>
      </w:r>
      <w:r>
        <w:rPr>
          <w:b w:val="0"/>
        </w:rPr>
        <w:tab/>
      </w:r>
      <w:r>
        <w:t>Hopetoun</w:t>
      </w:r>
      <w:bookmarkEnd w:id="631"/>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0" w:type="dxa"/>
          </w:tcPr>
          <w:p>
            <w:pPr>
              <w:pStyle w:val="yTableNAm"/>
              <w:keepNext/>
              <w:tabs>
                <w:tab w:val="clear" w:pos="567"/>
              </w:tabs>
              <w:spacing w:before="0"/>
            </w:pPr>
            <w:r>
              <w:t>For use of service jetty by vessel for short time just to load or unload, per m of the vessel’s length, for 12 months paid in advance</w:t>
            </w:r>
          </w:p>
        </w:tc>
        <w:tc>
          <w:tcPr>
            <w:tcW w:w="996" w:type="dxa"/>
          </w:tcPr>
          <w:p>
            <w:pPr>
              <w:pStyle w:val="yTableNAm"/>
              <w:keepNext/>
              <w:tabs>
                <w:tab w:val="clear" w:pos="567"/>
              </w:tabs>
              <w:spacing w:before="0"/>
              <w:jc w:val="right"/>
              <w:rPr>
                <w:bCs/>
              </w:rPr>
            </w:pPr>
            <w:r>
              <w:rPr>
                <w:bCs/>
              </w:rPr>
              <w:br/>
            </w:r>
            <w:r>
              <w:rPr>
                <w:bCs/>
              </w:rPr>
              <w:br/>
              <w:t>91.03</w:t>
            </w:r>
          </w:p>
        </w:tc>
      </w:tr>
      <w:tr>
        <w:trPr>
          <w:cantSplit/>
        </w:trPr>
        <w:tc>
          <w:tcPr>
            <w:tcW w:w="567" w:type="dxa"/>
            <w:tcBorders>
              <w:bottom w:val="single" w:sz="4" w:space="0" w:color="auto"/>
            </w:tcBorders>
          </w:tcPr>
          <w:p>
            <w:pPr>
              <w:pStyle w:val="yTableNAm"/>
              <w:tabs>
                <w:tab w:val="clear" w:pos="567"/>
              </w:tabs>
              <w:spacing w:before="0"/>
            </w:pPr>
            <w:r>
              <w:t>2.</w:t>
            </w:r>
          </w:p>
        </w:tc>
        <w:tc>
          <w:tcPr>
            <w:tcW w:w="4390" w:type="dxa"/>
            <w:tcBorders>
              <w:bottom w:val="single" w:sz="4" w:space="0" w:color="auto"/>
            </w:tcBorders>
          </w:tcPr>
          <w:p>
            <w:pPr>
              <w:pStyle w:val="yTableNAm"/>
              <w:tabs>
                <w:tab w:val="clear" w:pos="567"/>
              </w:tabs>
              <w:spacing w:before="0"/>
            </w:pPr>
            <w:r>
              <w:t>For other use of service jetty by vessel, per m of the vessel’s length per day</w:t>
            </w:r>
          </w:p>
        </w:tc>
        <w:tc>
          <w:tcPr>
            <w:tcW w:w="996" w:type="dxa"/>
            <w:tcBorders>
              <w:bottom w:val="single" w:sz="4" w:space="0" w:color="auto"/>
            </w:tcBorders>
          </w:tcPr>
          <w:p>
            <w:pPr>
              <w:pStyle w:val="yTableNAm"/>
              <w:keepNext/>
              <w:tabs>
                <w:tab w:val="clear" w:pos="567"/>
              </w:tabs>
              <w:spacing w:before="0"/>
              <w:jc w:val="right"/>
              <w:rPr>
                <w:bCs/>
              </w:rPr>
            </w:pPr>
            <w:r>
              <w:rPr>
                <w:bCs/>
              </w:rPr>
              <w:br/>
              <w:t>4.55</w:t>
            </w:r>
          </w:p>
        </w:tc>
      </w:tr>
    </w:tbl>
    <w:p>
      <w:pPr>
        <w:pStyle w:val="yFootnotesection"/>
      </w:pPr>
      <w:r>
        <w:tab/>
        <w:t>[Clause 14 inserted in Gazette 13 Jul 2012 p. 3193.]</w:t>
      </w:r>
    </w:p>
    <w:p>
      <w:pPr>
        <w:pStyle w:val="yHeading5"/>
      </w:pPr>
      <w:bookmarkStart w:id="632" w:name="_Toc355611709"/>
      <w:r>
        <w:rPr>
          <w:rStyle w:val="CharSClsNo"/>
        </w:rPr>
        <w:t>15</w:t>
      </w:r>
      <w:r>
        <w:t>.</w:t>
      </w:r>
      <w:r>
        <w:rPr>
          <w:b w:val="0"/>
        </w:rPr>
        <w:tab/>
      </w:r>
      <w:r>
        <w:t>Jurien</w:t>
      </w:r>
      <w:bookmarkEnd w:id="632"/>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spacing w:before="0"/>
            </w:pPr>
            <w:r>
              <w:t>1.</w:t>
            </w:r>
          </w:p>
        </w:tc>
        <w:tc>
          <w:tcPr>
            <w:tcW w:w="4390" w:type="dxa"/>
          </w:tcPr>
          <w:p>
            <w:pPr>
              <w:pStyle w:val="yTableNAm"/>
              <w:tabs>
                <w:tab w:val="clear" w:pos="567"/>
              </w:tabs>
              <w:spacing w:before="0"/>
            </w:pPr>
            <w:r>
              <w:t xml:space="preserve">For pen for commercial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382.34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38.25</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57.35</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36.82</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7.37</w:t>
            </w:r>
          </w:p>
        </w:tc>
      </w:tr>
      <w:tr>
        <w:trPr>
          <w:cantSplit/>
        </w:trPr>
        <w:tc>
          <w:tcPr>
            <w:tcW w:w="567" w:type="dxa"/>
          </w:tcPr>
          <w:p>
            <w:pPr>
              <w:pStyle w:val="yTableNAm"/>
              <w:spacing w:before="0"/>
            </w:pPr>
            <w:r>
              <w:t>2.</w:t>
            </w:r>
          </w:p>
        </w:tc>
        <w:tc>
          <w:tcPr>
            <w:tcW w:w="4390" w:type="dxa"/>
          </w:tcPr>
          <w:p>
            <w:pPr>
              <w:pStyle w:val="yTableNAm"/>
              <w:tabs>
                <w:tab w:val="clear" w:pos="567"/>
              </w:tabs>
              <w:spacing w:before="0"/>
            </w:pPr>
            <w:r>
              <w:t xml:space="preserve">For pen for recreational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366.94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36.70</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55.04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24.87</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vAlign w:val="bottom"/>
          </w:tcPr>
          <w:p>
            <w:pPr>
              <w:jc w:val="right"/>
              <w:rPr>
                <w:sz w:val="22"/>
                <w:szCs w:val="22"/>
              </w:rPr>
            </w:pPr>
            <w:r>
              <w:rPr>
                <w:sz w:val="22"/>
                <w:szCs w:val="22"/>
              </w:rPr>
              <w:t>9.94</w:t>
            </w: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4.98</w:t>
            </w:r>
          </w:p>
        </w:tc>
      </w:tr>
      <w:tr>
        <w:trPr>
          <w:cantSplit/>
        </w:trPr>
        <w:tc>
          <w:tcPr>
            <w:tcW w:w="567" w:type="dxa"/>
          </w:tcPr>
          <w:p>
            <w:pPr>
              <w:pStyle w:val="yTableNAm"/>
              <w:spacing w:before="0"/>
            </w:pPr>
            <w:r>
              <w:t>3.</w:t>
            </w:r>
          </w:p>
        </w:tc>
        <w:tc>
          <w:tcPr>
            <w:tcW w:w="4390" w:type="dxa"/>
          </w:tcPr>
          <w:p>
            <w:pPr>
              <w:pStyle w:val="yTableNAm"/>
              <w:tabs>
                <w:tab w:val="clear" w:pos="567"/>
              </w:tabs>
              <w:spacing w:before="0"/>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vAlign w:val="bottom"/>
          </w:tcPr>
          <w:p>
            <w:pPr>
              <w:jc w:val="right"/>
              <w:rPr>
                <w:sz w:val="22"/>
                <w:szCs w:val="22"/>
              </w:rPr>
            </w:pPr>
            <w:r>
              <w:rPr>
                <w:sz w:val="22"/>
                <w:szCs w:val="22"/>
              </w:rPr>
              <w:t>4 536.76</w:t>
            </w:r>
          </w:p>
        </w:tc>
      </w:tr>
      <w:tr>
        <w:trPr>
          <w:cantSplit/>
        </w:trPr>
        <w:tc>
          <w:tcPr>
            <w:tcW w:w="567" w:type="dxa"/>
          </w:tcPr>
          <w:p>
            <w:pPr>
              <w:pStyle w:val="yTableNAm"/>
              <w:spacing w:before="0"/>
            </w:pPr>
            <w:r>
              <w:t>4.</w:t>
            </w:r>
          </w:p>
        </w:tc>
        <w:tc>
          <w:tcPr>
            <w:tcW w:w="4390" w:type="dxa"/>
          </w:tcPr>
          <w:p>
            <w:pPr>
              <w:pStyle w:val="yTableNAm"/>
              <w:tabs>
                <w:tab w:val="clear" w:pos="567"/>
              </w:tabs>
              <w:spacing w:before="0"/>
            </w:pPr>
            <w:r>
              <w:t xml:space="preserve">For use of service jetty by vessel for which the item 1 or 2 fee has not been paid, per m of vessel’s length per day — </w:t>
            </w:r>
          </w:p>
        </w:tc>
        <w:tc>
          <w:tcPr>
            <w:tcW w:w="996" w:type="dxa"/>
            <w:vAlign w:val="bottom"/>
          </w:tcPr>
          <w:p>
            <w:pPr>
              <w:jc w:val="right"/>
              <w:rPr>
                <w:sz w:val="22"/>
                <w:szCs w:val="22"/>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a commercial vessel</w:t>
            </w:r>
          </w:p>
        </w:tc>
        <w:tc>
          <w:tcPr>
            <w:tcW w:w="996" w:type="dxa"/>
            <w:vAlign w:val="bottom"/>
          </w:tcPr>
          <w:p>
            <w:pPr>
              <w:jc w:val="right"/>
              <w:rPr>
                <w:sz w:val="22"/>
                <w:szCs w:val="22"/>
              </w:rPr>
            </w:pPr>
            <w:r>
              <w:rPr>
                <w:sz w:val="22"/>
                <w:szCs w:val="22"/>
              </w:rPr>
              <w:t>3.67</w:t>
            </w:r>
          </w:p>
        </w:tc>
      </w:tr>
      <w:tr>
        <w:trPr>
          <w:cantSplit/>
        </w:trPr>
        <w:tc>
          <w:tcPr>
            <w:tcW w:w="567" w:type="dxa"/>
            <w:tcBorders>
              <w:bottom w:val="single" w:sz="4" w:space="0" w:color="auto"/>
            </w:tcBorders>
          </w:tcPr>
          <w:p>
            <w:pPr>
              <w:pStyle w:val="yTableNAm"/>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for a recreational vessel</w:t>
            </w:r>
          </w:p>
        </w:tc>
        <w:tc>
          <w:tcPr>
            <w:tcW w:w="996" w:type="dxa"/>
            <w:tcBorders>
              <w:bottom w:val="single" w:sz="4" w:space="0" w:color="auto"/>
            </w:tcBorders>
            <w:vAlign w:val="bottom"/>
          </w:tcPr>
          <w:p>
            <w:pPr>
              <w:jc w:val="right"/>
              <w:rPr>
                <w:sz w:val="22"/>
                <w:szCs w:val="22"/>
              </w:rPr>
            </w:pPr>
            <w:r>
              <w:rPr>
                <w:sz w:val="22"/>
                <w:szCs w:val="22"/>
              </w:rPr>
              <w:t>3.53</w:t>
            </w:r>
          </w:p>
        </w:tc>
      </w:tr>
    </w:tbl>
    <w:p>
      <w:pPr>
        <w:pStyle w:val="yFootnotesection"/>
      </w:pPr>
      <w:r>
        <w:tab/>
        <w:t>[Clause 15 inserted in Gazette 13 Jul 2012 p. 3193</w:t>
      </w:r>
      <w:r>
        <w:noBreakHyphen/>
        <w:t>4.]</w:t>
      </w:r>
    </w:p>
    <w:p>
      <w:pPr>
        <w:pStyle w:val="yHeading5"/>
      </w:pPr>
      <w:bookmarkStart w:id="633" w:name="_Toc355611710"/>
      <w:r>
        <w:rPr>
          <w:rStyle w:val="CharSClsNo"/>
        </w:rPr>
        <w:t>16</w:t>
      </w:r>
      <w:r>
        <w:t>.</w:t>
      </w:r>
      <w:r>
        <w:rPr>
          <w:b w:val="0"/>
        </w:rPr>
        <w:tab/>
      </w:r>
      <w:r>
        <w:t>Kalbarri</w:t>
      </w:r>
      <w:bookmarkEnd w:id="633"/>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1" w:type="dxa"/>
          </w:tcPr>
          <w:p>
            <w:pPr>
              <w:pStyle w:val="yTableNAm"/>
              <w:tabs>
                <w:tab w:val="clear" w:pos="567"/>
              </w:tabs>
              <w:spacing w:before="0"/>
            </w:pPr>
            <w:r>
              <w:t>For pen, per m of the longer of the vessel’s length and the chargeable length for the pen —</w:t>
            </w:r>
          </w:p>
        </w:tc>
        <w:tc>
          <w:tcPr>
            <w:tcW w:w="995"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jc w:val="right"/>
              <w:rPr>
                <w:sz w:val="22"/>
                <w:szCs w:val="22"/>
              </w:rPr>
            </w:pPr>
            <w:r>
              <w:rPr>
                <w:sz w:val="22"/>
                <w:szCs w:val="22"/>
              </w:rPr>
              <w:t>250.00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jc w:val="right"/>
              <w:rPr>
                <w:sz w:val="22"/>
                <w:szCs w:val="22"/>
              </w:rPr>
            </w:pPr>
            <w:r>
              <w:rPr>
                <w:sz w:val="22"/>
                <w:szCs w:val="22"/>
              </w:rPr>
              <w:t>24.99</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9" w:hanging="369"/>
            </w:pPr>
            <w:r>
              <w:t>•</w:t>
            </w:r>
            <w:r>
              <w:tab/>
              <w:t>for one month or more, per month paid in advance</w:t>
            </w:r>
          </w:p>
        </w:tc>
        <w:tc>
          <w:tcPr>
            <w:tcW w:w="995" w:type="dxa"/>
            <w:vAlign w:val="bottom"/>
          </w:tcPr>
          <w:p>
            <w:pPr>
              <w:jc w:val="right"/>
              <w:rPr>
                <w:sz w:val="22"/>
                <w:szCs w:val="22"/>
              </w:rPr>
            </w:pPr>
            <w:r>
              <w:rPr>
                <w:sz w:val="22"/>
                <w:szCs w:val="22"/>
              </w:rPr>
              <w:t>37.50</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jc w:val="right"/>
              <w:rPr>
                <w:sz w:val="22"/>
                <w:szCs w:val="22"/>
              </w:rPr>
            </w:pPr>
            <w:r>
              <w:rPr>
                <w:sz w:val="22"/>
                <w:szCs w:val="22"/>
              </w:rPr>
              <w:t>28.26</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jc w:val="right"/>
              <w:rPr>
                <w:sz w:val="22"/>
                <w:szCs w:val="22"/>
              </w:rPr>
            </w:pPr>
            <w:r>
              <w:rPr>
                <w:sz w:val="22"/>
                <w:szCs w:val="22"/>
              </w:rPr>
              <w:t>5.65</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r>
              <w:rPr>
                <w:sz w:val="22"/>
                <w:szCs w:val="22"/>
              </w:rPr>
              <w:t>56.51</w:t>
            </w:r>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use of service jetty by vessel if pen available — </w:t>
            </w:r>
          </w:p>
        </w:tc>
        <w:tc>
          <w:tcPr>
            <w:tcW w:w="995"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per m of vessel’s length per day</w:t>
            </w:r>
          </w:p>
        </w:tc>
        <w:tc>
          <w:tcPr>
            <w:tcW w:w="995" w:type="dxa"/>
            <w:vAlign w:val="bottom"/>
          </w:tcPr>
          <w:p>
            <w:pPr>
              <w:jc w:val="right"/>
              <w:rPr>
                <w:sz w:val="22"/>
                <w:szCs w:val="22"/>
              </w:rPr>
            </w:pPr>
            <w:r>
              <w:rPr>
                <w:sz w:val="22"/>
                <w:szCs w:val="22"/>
              </w:rPr>
              <w:t>7.51</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r>
              <w:rPr>
                <w:sz w:val="22"/>
                <w:szCs w:val="22"/>
              </w:rPr>
              <w:t>75.21</w:t>
            </w:r>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 xml:space="preserve">For use of service jetty by vessel if pen not available — </w:t>
            </w:r>
          </w:p>
        </w:tc>
        <w:tc>
          <w:tcPr>
            <w:tcW w:w="995"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per m of vessel’s length per day</w:t>
            </w:r>
          </w:p>
        </w:tc>
        <w:tc>
          <w:tcPr>
            <w:tcW w:w="995" w:type="dxa"/>
            <w:vAlign w:val="bottom"/>
          </w:tcPr>
          <w:p>
            <w:pPr>
              <w:jc w:val="right"/>
              <w:rPr>
                <w:sz w:val="22"/>
                <w:szCs w:val="22"/>
              </w:rPr>
            </w:pPr>
            <w:r>
              <w:rPr>
                <w:sz w:val="22"/>
                <w:szCs w:val="22"/>
              </w:rPr>
              <w:t>5.03</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r>
              <w:rPr>
                <w:sz w:val="22"/>
                <w:szCs w:val="22"/>
              </w:rPr>
              <w:t>50.15</w:t>
            </w:r>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For use of service jetty by vessel just to load or unload, unless the item 1, 2 or 3 fee has been paid for vessel, per vessel for 12 months paid in advance</w:t>
            </w:r>
          </w:p>
        </w:tc>
        <w:tc>
          <w:tcPr>
            <w:tcW w:w="995" w:type="dxa"/>
            <w:vAlign w:val="bottom"/>
          </w:tcPr>
          <w:p>
            <w:pPr>
              <w:pStyle w:val="yTableNAm"/>
              <w:keepNext/>
              <w:tabs>
                <w:tab w:val="clear" w:pos="567"/>
              </w:tabs>
              <w:spacing w:before="0"/>
              <w:jc w:val="right"/>
              <w:rPr>
                <w:bCs/>
              </w:rPr>
            </w:pPr>
            <w:r>
              <w:rPr>
                <w:bCs/>
              </w:rPr>
              <w:t>700.00</w:t>
            </w:r>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electricity supply except to vessel for which the item 1, 2 or 3 fee has been paid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if metering indicates usage of more than $6.27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otherwise, per day</w:t>
            </w:r>
          </w:p>
        </w:tc>
        <w:tc>
          <w:tcPr>
            <w:tcW w:w="995" w:type="dxa"/>
            <w:vAlign w:val="bottom"/>
          </w:tcPr>
          <w:p>
            <w:pPr>
              <w:pStyle w:val="yTableNAm"/>
              <w:keepNext/>
              <w:tabs>
                <w:tab w:val="clear" w:pos="567"/>
              </w:tabs>
              <w:spacing w:before="0"/>
              <w:jc w:val="right"/>
              <w:rPr>
                <w:bCs/>
              </w:rPr>
            </w:pPr>
            <w:r>
              <w:rPr>
                <w:bCs/>
              </w:rPr>
              <w:t>6.27</w:t>
            </w: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3</w:t>
            </w:r>
            <w:r>
              <w:noBreakHyphen/>
              <w:t>phase, if metering indicates usage of more than $25.08 in a day</w:t>
            </w:r>
          </w:p>
        </w:tc>
        <w:tc>
          <w:tcPr>
            <w:tcW w:w="995"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day</w:t>
            </w:r>
          </w:p>
        </w:tc>
        <w:tc>
          <w:tcPr>
            <w:tcW w:w="995" w:type="dxa"/>
            <w:tcBorders>
              <w:bottom w:val="single" w:sz="4" w:space="0" w:color="auto"/>
            </w:tcBorders>
            <w:vAlign w:val="bottom"/>
          </w:tcPr>
          <w:p>
            <w:pPr>
              <w:pStyle w:val="yTableNAm"/>
              <w:keepNext/>
              <w:tabs>
                <w:tab w:val="clear" w:pos="567"/>
              </w:tabs>
              <w:spacing w:before="0"/>
              <w:jc w:val="right"/>
              <w:rPr>
                <w:bCs/>
              </w:rPr>
            </w:pPr>
            <w:r>
              <w:rPr>
                <w:bCs/>
              </w:rPr>
              <w:t>25.08</w:t>
            </w:r>
          </w:p>
        </w:tc>
      </w:tr>
    </w:tbl>
    <w:p>
      <w:pPr>
        <w:pStyle w:val="yFootnotesection"/>
      </w:pPr>
      <w:r>
        <w:tab/>
        <w:t>[Clause 16 inserted in Gazette 13 Jul 2012 p. 3194</w:t>
      </w:r>
      <w:r>
        <w:noBreakHyphen/>
        <w:t>6.]</w:t>
      </w:r>
    </w:p>
    <w:p>
      <w:pPr>
        <w:pStyle w:val="yHeading5"/>
      </w:pPr>
      <w:bookmarkStart w:id="634" w:name="_Toc355611711"/>
      <w:r>
        <w:rPr>
          <w:rStyle w:val="CharSClsNo"/>
        </w:rPr>
        <w:t>17</w:t>
      </w:r>
      <w:r>
        <w:t>.</w:t>
      </w:r>
      <w:r>
        <w:rPr>
          <w:b w:val="0"/>
        </w:rPr>
        <w:tab/>
      </w:r>
      <w:r>
        <w:t>Lancelin</w:t>
      </w:r>
      <w:bookmarkEnd w:id="634"/>
    </w:p>
    <w:p>
      <w:pPr>
        <w:pStyle w:val="ySubsection"/>
      </w:pPr>
      <w:r>
        <w:tab/>
        <w:t>(1)</w:t>
      </w:r>
      <w:r>
        <w:tab/>
        <w:t xml:space="preserve">This clause applies to the </w:t>
      </w:r>
      <w:smartTag w:uri="urn:schemas-microsoft-com:office:smarttags" w:element="place">
        <w:smartTag w:uri="urn:schemas-microsoft-com:office:smarttags" w:element="PlaceName">
          <w:r>
            <w:t>Lancelin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Borders>
              <w:top w:val="single" w:sz="4" w:space="0" w:color="auto"/>
              <w:bottom w:val="single" w:sz="4" w:space="0" w:color="auto"/>
            </w:tcBorders>
          </w:tcPr>
          <w:p>
            <w:pPr>
              <w:pStyle w:val="yTableNAm"/>
              <w:keepNext/>
              <w:tabs>
                <w:tab w:val="clear" w:pos="567"/>
              </w:tabs>
              <w:spacing w:before="0"/>
            </w:pPr>
            <w:r>
              <w:t>1.</w:t>
            </w:r>
          </w:p>
        </w:tc>
        <w:tc>
          <w:tcPr>
            <w:tcW w:w="4390" w:type="dxa"/>
            <w:tcBorders>
              <w:top w:val="single" w:sz="4" w:space="0" w:color="auto"/>
              <w:bottom w:val="single" w:sz="4" w:space="0" w:color="auto"/>
            </w:tcBorders>
          </w:tcPr>
          <w:p>
            <w:pPr>
              <w:pStyle w:val="yTableNAm"/>
              <w:keepNext/>
              <w:tabs>
                <w:tab w:val="clear" w:pos="567"/>
              </w:tabs>
              <w:spacing w:before="0"/>
            </w:pPr>
            <w:r>
              <w:t>For use of service jetty by vessel, per m of the vessel’s length per day</w:t>
            </w:r>
          </w:p>
        </w:tc>
        <w:tc>
          <w:tcPr>
            <w:tcW w:w="996" w:type="dxa"/>
            <w:tcBorders>
              <w:top w:val="single" w:sz="4" w:space="0" w:color="auto"/>
              <w:bottom w:val="single" w:sz="4" w:space="0" w:color="auto"/>
            </w:tcBorders>
          </w:tcPr>
          <w:p>
            <w:pPr>
              <w:pStyle w:val="yTableNAm"/>
              <w:keepNext/>
              <w:tabs>
                <w:tab w:val="clear" w:pos="567"/>
              </w:tabs>
              <w:spacing w:before="0"/>
              <w:jc w:val="right"/>
              <w:rPr>
                <w:bCs/>
              </w:rPr>
            </w:pPr>
            <w:r>
              <w:rPr>
                <w:bCs/>
              </w:rPr>
              <w:br/>
              <w:t>6.30</w:t>
            </w:r>
          </w:p>
        </w:tc>
      </w:tr>
    </w:tbl>
    <w:p>
      <w:pPr>
        <w:pStyle w:val="yFootnotesection"/>
      </w:pPr>
      <w:r>
        <w:tab/>
        <w:t>[Clause 17 inserted in Gazette 13 Jul 2012 p. 3196.]</w:t>
      </w:r>
    </w:p>
    <w:p>
      <w:pPr>
        <w:pStyle w:val="yHeading5"/>
      </w:pPr>
      <w:bookmarkStart w:id="635" w:name="_Toc355611712"/>
      <w:r>
        <w:rPr>
          <w:rStyle w:val="CharSClsNo"/>
        </w:rPr>
        <w:t>18</w:t>
      </w:r>
      <w:r>
        <w:t>.</w:t>
      </w:r>
      <w:r>
        <w:rPr>
          <w:b w:val="0"/>
        </w:rPr>
        <w:tab/>
      </w:r>
      <w:r>
        <w:t>Leeman</w:t>
      </w:r>
      <w:bookmarkEnd w:id="635"/>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use of service jetty by vessel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vessel’s length per day</w:t>
            </w:r>
          </w:p>
        </w:tc>
        <w:tc>
          <w:tcPr>
            <w:tcW w:w="996" w:type="dxa"/>
          </w:tcPr>
          <w:p>
            <w:pPr>
              <w:pStyle w:val="yTableNAm"/>
              <w:keepNext/>
              <w:tabs>
                <w:tab w:val="clear" w:pos="567"/>
              </w:tabs>
              <w:spacing w:before="0"/>
              <w:jc w:val="right"/>
              <w:rPr>
                <w:bCs/>
              </w:rPr>
            </w:pPr>
            <w:r>
              <w:rPr>
                <w:bCs/>
              </w:rPr>
              <w:t>3.94</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minimum overnight</w:t>
            </w:r>
          </w:p>
        </w:tc>
        <w:tc>
          <w:tcPr>
            <w:tcW w:w="996" w:type="dxa"/>
            <w:tcBorders>
              <w:bottom w:val="single" w:sz="4" w:space="0" w:color="auto"/>
            </w:tcBorders>
          </w:tcPr>
          <w:p>
            <w:pPr>
              <w:pStyle w:val="yTableNAm"/>
              <w:keepNext/>
              <w:tabs>
                <w:tab w:val="clear" w:pos="567"/>
              </w:tabs>
              <w:spacing w:before="0"/>
              <w:jc w:val="right"/>
              <w:rPr>
                <w:bCs/>
              </w:rPr>
            </w:pPr>
            <w:r>
              <w:rPr>
                <w:bCs/>
              </w:rPr>
              <w:t>59.13</w:t>
            </w:r>
          </w:p>
        </w:tc>
      </w:tr>
    </w:tbl>
    <w:p>
      <w:pPr>
        <w:pStyle w:val="yFootnotesection"/>
      </w:pPr>
      <w:r>
        <w:tab/>
        <w:t>[Clause 18 inserted in Gazette 13 Jul 2012 p. 3196.]</w:t>
      </w:r>
    </w:p>
    <w:p>
      <w:pPr>
        <w:pStyle w:val="yHeading5"/>
      </w:pPr>
      <w:bookmarkStart w:id="636" w:name="_Toc355611713"/>
      <w:r>
        <w:rPr>
          <w:rStyle w:val="CharSClsNo"/>
        </w:rPr>
        <w:t>19</w:t>
      </w:r>
      <w:r>
        <w:t>.</w:t>
      </w:r>
      <w:r>
        <w:rPr>
          <w:b w:val="0"/>
        </w:rPr>
        <w:tab/>
      </w:r>
      <w:r>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36"/>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The charges and dues to be paid under regulation 10A are set out in Table 19.1.</w:t>
      </w:r>
    </w:p>
    <w:p>
      <w:pPr>
        <w:pStyle w:val="yTHeadingNAm"/>
      </w:pPr>
      <w:r>
        <w:t>Table 19.1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 or an appurtenant area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bl>
    <w:p>
      <w:pPr>
        <w:pStyle w:val="ySubsection"/>
      </w:pPr>
      <w:r>
        <w:tab/>
        <w:t>(3)</w:t>
      </w:r>
      <w:r>
        <w:tab/>
        <w:t>The fees and charges to be paid under regulations 6, 94A and 94B are set out in Table 19.2.</w:t>
      </w:r>
    </w:p>
    <w:p>
      <w:pPr>
        <w:pStyle w:val="yTHeadingNAm"/>
      </w:pPr>
      <w:r>
        <w:t>Table 19.2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shared berthing on mooring piles or service wharf by recreational vessel, tourism vessel or fishing vessel, per m of the vessel’s length — </w:t>
            </w:r>
          </w:p>
          <w:p>
            <w:pPr>
              <w:pStyle w:val="NotesPerm"/>
              <w:tabs>
                <w:tab w:val="clear" w:pos="879"/>
                <w:tab w:val="left" w:pos="510"/>
              </w:tabs>
              <w:ind w:left="510" w:hanging="510"/>
            </w:pPr>
            <w:r>
              <w:t>Note:</w:t>
            </w:r>
            <w:r>
              <w:tab/>
              <w:t>includes short-term loading/unloading of goods and passengers on service wharf limited to 2 hours per day otherwise item 3 fees will apply after 2 hours</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 paid in advance</w:t>
            </w:r>
          </w:p>
        </w:tc>
        <w:tc>
          <w:tcPr>
            <w:tcW w:w="996" w:type="dxa"/>
            <w:vAlign w:val="bottom"/>
          </w:tcPr>
          <w:p>
            <w:pPr>
              <w:jc w:val="right"/>
              <w:rPr>
                <w:sz w:val="22"/>
                <w:szCs w:val="22"/>
              </w:rPr>
            </w:pPr>
            <w:r>
              <w:rPr>
                <w:sz w:val="22"/>
                <w:szCs w:val="22"/>
              </w:rPr>
              <w:t>306.31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30.64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45.95</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38.26</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otherwise, per day</w:t>
            </w:r>
          </w:p>
        </w:tc>
        <w:tc>
          <w:tcPr>
            <w:tcW w:w="996" w:type="dxa"/>
            <w:vAlign w:val="bottom"/>
          </w:tcPr>
          <w:p>
            <w:pPr>
              <w:jc w:val="right"/>
              <w:rPr>
                <w:sz w:val="22"/>
                <w:szCs w:val="22"/>
              </w:rPr>
            </w:pPr>
            <w:r>
              <w:rPr>
                <w:sz w:val="22"/>
                <w:szCs w:val="22"/>
              </w:rPr>
              <w:t>7.65</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For berthing on mooring piles by a vessel servicing the resource industry, per m of the vessel’s length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rPr>
                <w:snapToGrid w:val="0"/>
              </w:rPr>
              <w:tab/>
            </w:r>
            <w:r>
              <w:t>for 12 months paid in advance</w:t>
            </w:r>
          </w:p>
        </w:tc>
        <w:tc>
          <w:tcPr>
            <w:tcW w:w="996" w:type="dxa"/>
            <w:vAlign w:val="bottom"/>
          </w:tcPr>
          <w:p>
            <w:pPr>
              <w:jc w:val="right"/>
              <w:rPr>
                <w:sz w:val="22"/>
                <w:szCs w:val="22"/>
              </w:rPr>
            </w:pPr>
            <w:r>
              <w:rPr>
                <w:sz w:val="22"/>
                <w:szCs w:val="22"/>
              </w:rPr>
              <w:t>326.72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32.67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49.01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40.80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8.15</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rPr>
                <w:rStyle w:val="DraftersNotes"/>
              </w:rPr>
            </w:pPr>
            <w:r>
              <w:t>For short-term use of service wharf by vessel servicing the resource industry, for up to 6 hours in a 24 hour period, per m of the vessel’s length</w:t>
            </w:r>
          </w:p>
        </w:tc>
        <w:tc>
          <w:tcPr>
            <w:tcW w:w="996" w:type="dxa"/>
            <w:vAlign w:val="bottom"/>
          </w:tcPr>
          <w:p>
            <w:pPr>
              <w:pStyle w:val="yTableNAm"/>
              <w:keepNext/>
              <w:tabs>
                <w:tab w:val="clear" w:pos="567"/>
              </w:tabs>
              <w:spacing w:before="0"/>
              <w:jc w:val="right"/>
              <w:rPr>
                <w:bCs/>
                <w:szCs w:val="22"/>
              </w:rPr>
            </w:pPr>
            <w:r>
              <w:rPr>
                <w:bCs/>
                <w:szCs w:val="22"/>
              </w:rPr>
              <w:t>7.70</w:t>
            </w:r>
          </w:p>
        </w:tc>
      </w:tr>
      <w:tr>
        <w:trPr>
          <w:cantSplit/>
        </w:trPr>
        <w:tc>
          <w:tcPr>
            <w:tcW w:w="567" w:type="dxa"/>
          </w:tcPr>
          <w:p>
            <w:pPr>
              <w:pStyle w:val="yTableNAm"/>
              <w:tabs>
                <w:tab w:val="clear" w:pos="567"/>
              </w:tabs>
              <w:spacing w:before="0"/>
            </w:pPr>
            <w:r>
              <w:t>4.</w:t>
            </w:r>
          </w:p>
        </w:tc>
        <w:tc>
          <w:tcPr>
            <w:tcW w:w="4390" w:type="dxa"/>
          </w:tcPr>
          <w:p>
            <w:pPr>
              <w:pStyle w:val="yTableNAm"/>
              <w:tabs>
                <w:tab w:val="clear" w:pos="567"/>
              </w:tabs>
              <w:spacing w:before="0"/>
            </w:pPr>
            <w:r>
              <w:t>For use of service wharf hardstand or appurtenant area for storage or maintenance (for short-term use only), per day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w:t>
            </w:r>
            <w:r>
              <w:rPr>
                <w:vertAlign w:val="superscript"/>
              </w:rPr>
              <w:t>2</w:t>
            </w:r>
          </w:p>
        </w:tc>
        <w:tc>
          <w:tcPr>
            <w:tcW w:w="996" w:type="dxa"/>
            <w:vAlign w:val="bottom"/>
          </w:tcPr>
          <w:p>
            <w:pPr>
              <w:pStyle w:val="yTableNAm"/>
              <w:keepNext/>
              <w:tabs>
                <w:tab w:val="clear" w:pos="567"/>
              </w:tabs>
              <w:spacing w:before="0"/>
              <w:jc w:val="right"/>
              <w:rPr>
                <w:bCs/>
              </w:rPr>
            </w:pPr>
            <w:r>
              <w:rPr>
                <w:bCs/>
              </w:rPr>
              <w:t>1.51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minimum fee</w:t>
            </w:r>
          </w:p>
        </w:tc>
        <w:tc>
          <w:tcPr>
            <w:tcW w:w="996" w:type="dxa"/>
            <w:vAlign w:val="bottom"/>
          </w:tcPr>
          <w:p>
            <w:pPr>
              <w:pStyle w:val="yTableNAm"/>
              <w:keepNext/>
              <w:tabs>
                <w:tab w:val="clear" w:pos="567"/>
              </w:tabs>
              <w:spacing w:before="0"/>
              <w:jc w:val="right"/>
              <w:rPr>
                <w:bCs/>
              </w:rPr>
            </w:pPr>
            <w:r>
              <w:rPr>
                <w:bCs/>
              </w:rPr>
              <w:t>27.65</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electricity supply, 3</w:t>
            </w:r>
            <w:r>
              <w:noBreakHyphen/>
              <w:t>phase or single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50 units</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meter reading</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 xml:space="preserve">For water supply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2 kl</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s>
              <w:spacing w:before="0"/>
            </w:pPr>
            <w:r>
              <w:t xml:space="preserve">For rubbish removal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6" w:type="dxa"/>
            <w:vAlign w:val="bottom"/>
          </w:tcPr>
          <w:p>
            <w:pPr>
              <w:pStyle w:val="yTableNAm"/>
              <w:keepNext/>
              <w:tabs>
                <w:tab w:val="clear" w:pos="567"/>
              </w:tabs>
              <w:spacing w:before="0"/>
              <w:jc w:val="right"/>
              <w:rPr>
                <w:bCs/>
                <w:szCs w:val="22"/>
              </w:rPr>
            </w:pPr>
            <w:r>
              <w:rPr>
                <w:bCs/>
                <w:szCs w:val="22"/>
              </w:rPr>
              <w:b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from vessels in excess of 150 L</w:t>
            </w:r>
          </w:p>
        </w:tc>
        <w:tc>
          <w:tcPr>
            <w:tcW w:w="996" w:type="dxa"/>
            <w:vAlign w:val="bottom"/>
          </w:tcPr>
          <w:p>
            <w:pPr>
              <w:pStyle w:val="yTableNAm"/>
              <w:keepNext/>
              <w:tabs>
                <w:tab w:val="clear" w:pos="567"/>
              </w:tabs>
              <w:spacing w:before="0"/>
              <w:jc w:val="right"/>
              <w:rPr>
                <w:bCs/>
                <w:szCs w:val="22"/>
              </w:rPr>
            </w:pPr>
            <w:r>
              <w:rPr>
                <w:bCs/>
                <w:szCs w:val="22"/>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drum not removed by owner, per 20 L drum</w:t>
            </w:r>
          </w:p>
        </w:tc>
        <w:tc>
          <w:tcPr>
            <w:tcW w:w="996" w:type="dxa"/>
            <w:vAlign w:val="bottom"/>
          </w:tcPr>
          <w:p>
            <w:pPr>
              <w:pStyle w:val="yTableNAm"/>
              <w:keepNext/>
              <w:tabs>
                <w:tab w:val="clear" w:pos="567"/>
              </w:tabs>
              <w:spacing w:before="0"/>
              <w:jc w:val="right"/>
              <w:rPr>
                <w:bCs/>
                <w:szCs w:val="22"/>
              </w:rPr>
            </w:pPr>
            <w:r>
              <w:rPr>
                <w:bCs/>
                <w:szCs w:val="22"/>
              </w:rPr>
              <w:br/>
              <w:t>cost</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6" w:type="dxa"/>
            <w:tcBorders>
              <w:bottom w:val="single" w:sz="4" w:space="0" w:color="auto"/>
            </w:tcBorders>
            <w:vAlign w:val="bottom"/>
          </w:tcPr>
          <w:p>
            <w:pPr>
              <w:pStyle w:val="yTableNAm"/>
              <w:keepNext/>
              <w:tabs>
                <w:tab w:val="clear" w:pos="567"/>
              </w:tabs>
              <w:spacing w:before="0"/>
              <w:jc w:val="right"/>
              <w:rPr>
                <w:bCs/>
                <w:szCs w:val="22"/>
              </w:rPr>
            </w:pPr>
            <w:r>
              <w:rPr>
                <w:bCs/>
                <w:szCs w:val="22"/>
              </w:rPr>
              <w:t>cost</w:t>
            </w:r>
          </w:p>
        </w:tc>
      </w:tr>
    </w:tbl>
    <w:p>
      <w:pPr>
        <w:pStyle w:val="yFootnotesection"/>
      </w:pPr>
      <w:r>
        <w:tab/>
        <w:t>[Clause 19 inserted in Gazette 13 Jul 2012 p. 3196</w:t>
      </w:r>
      <w:r>
        <w:noBreakHyphen/>
        <w:t>8; amended in Gazette 7 May 2013 p. 1923.]</w:t>
      </w:r>
    </w:p>
    <w:p>
      <w:pPr>
        <w:pStyle w:val="yHeading5"/>
      </w:pPr>
      <w:bookmarkStart w:id="637" w:name="_Toc355611714"/>
      <w:r>
        <w:rPr>
          <w:rStyle w:val="CharSClsNo"/>
        </w:rPr>
        <w:t>20</w:t>
      </w:r>
      <w:r>
        <w:t>.</w:t>
      </w:r>
      <w:r>
        <w:rPr>
          <w:b w:val="0"/>
        </w:rPr>
        <w:tab/>
      </w:r>
      <w:r>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37"/>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The charges and dues to be paid under regulation 10A are set out in Table 20.1.</w:t>
      </w:r>
    </w:p>
    <w:p>
      <w:pPr>
        <w:pStyle w:val="yTHeadingNAm"/>
      </w:pPr>
      <w:r>
        <w:t>Table 20.1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 or an appurtenant area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bl>
    <w:p>
      <w:pPr>
        <w:pStyle w:val="ySubsection"/>
      </w:pPr>
      <w:r>
        <w:tab/>
        <w:t>(3)</w:t>
      </w:r>
      <w:r>
        <w:tab/>
        <w:t>The fees and charges to be paid under regulations 6 and 94A are set out in Table 20.2.</w:t>
      </w:r>
    </w:p>
    <w:p>
      <w:pPr>
        <w:pStyle w:val="yTHeadingNAm"/>
      </w:pPr>
      <w:r>
        <w:t>Table 20.2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0" w:type="dxa"/>
          </w:tcPr>
          <w:p>
            <w:pPr>
              <w:pStyle w:val="yTableNAm"/>
              <w:keepNext/>
              <w:tabs>
                <w:tab w:val="clear" w:pos="567"/>
              </w:tabs>
              <w:spacing w:before="0"/>
            </w:pPr>
            <w:r>
              <w:t>For use of pen or berth at land</w:t>
            </w:r>
            <w:r>
              <w:noBreakHyphen/>
              <w:t xml:space="preserve">backed wharf or service jetty by recreational vessel, tourism vessel or fishing vessel, per m of the vessel’s length — </w:t>
            </w:r>
          </w:p>
          <w:p>
            <w:pPr>
              <w:pStyle w:val="NotesPerm"/>
              <w:tabs>
                <w:tab w:val="clear" w:pos="879"/>
                <w:tab w:val="left" w:pos="652"/>
              </w:tabs>
              <w:ind w:left="652" w:hanging="652"/>
            </w:pPr>
            <w:r>
              <w:t>Note:</w:t>
            </w:r>
            <w:r>
              <w:tab/>
              <w:t>Includes short term loading/unloading of goods and passengers</w:t>
            </w:r>
          </w:p>
          <w:p>
            <w:pPr>
              <w:pStyle w:val="yTableNAm"/>
              <w:keepNext/>
              <w:tabs>
                <w:tab w:val="clear" w:pos="567"/>
              </w:tabs>
              <w:spacing w:before="0"/>
            </w:pP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455.10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45.50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68.27</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45.50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9.10</w:t>
            </w:r>
          </w:p>
        </w:tc>
      </w:tr>
      <w:tr>
        <w:trPr>
          <w:cantSplit/>
        </w:trPr>
        <w:tc>
          <w:tcPr>
            <w:tcW w:w="567" w:type="dxa"/>
          </w:tcPr>
          <w:p>
            <w:pPr>
              <w:pStyle w:val="yTableNAm"/>
              <w:keepNext/>
              <w:tabs>
                <w:tab w:val="clear" w:pos="567"/>
              </w:tabs>
              <w:spacing w:before="0"/>
            </w:pPr>
            <w:r>
              <w:t>2.</w:t>
            </w:r>
          </w:p>
        </w:tc>
        <w:tc>
          <w:tcPr>
            <w:tcW w:w="4390" w:type="dxa"/>
          </w:tcPr>
          <w:p>
            <w:pPr>
              <w:pStyle w:val="yTableNAm"/>
              <w:keepNext/>
              <w:tabs>
                <w:tab w:val="clear" w:pos="567"/>
              </w:tabs>
              <w:spacing w:before="0"/>
            </w:pPr>
            <w:r>
              <w:t>For use of pen or berth at land</w:t>
            </w:r>
            <w:r>
              <w:noBreakHyphen/>
              <w:t xml:space="preserve">backed wharf or service jetty by a vessel servicing the resource industry, per m of the vessel’s length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1 000.00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100.00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150.00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up to 6 hours in a 24 hour period</w:t>
            </w:r>
          </w:p>
        </w:tc>
        <w:tc>
          <w:tcPr>
            <w:tcW w:w="996" w:type="dxa"/>
            <w:vAlign w:val="bottom"/>
          </w:tcPr>
          <w:p>
            <w:pPr>
              <w:pStyle w:val="yTableNAm"/>
              <w:keepNext/>
              <w:tabs>
                <w:tab w:val="clear" w:pos="567"/>
              </w:tabs>
              <w:spacing w:before="0"/>
              <w:jc w:val="right"/>
              <w:rPr>
                <w:bCs/>
                <w:szCs w:val="22"/>
              </w:rPr>
            </w:pPr>
            <w:r>
              <w:rPr>
                <w:bCs/>
                <w:szCs w:val="22"/>
              </w:rPr>
              <w:t>7.70</w:t>
            </w:r>
          </w:p>
        </w:tc>
      </w:tr>
      <w:tr>
        <w:trPr>
          <w:cantSplit/>
        </w:trPr>
        <w:tc>
          <w:tcPr>
            <w:tcW w:w="567" w:type="dxa"/>
          </w:tcPr>
          <w:p>
            <w:pPr>
              <w:pStyle w:val="yTableNAm"/>
              <w:keepNext/>
              <w:tabs>
                <w:tab w:val="clear" w:pos="567"/>
              </w:tabs>
              <w:spacing w:before="0"/>
            </w:pPr>
            <w:r>
              <w:t>3.</w:t>
            </w:r>
          </w:p>
        </w:tc>
        <w:tc>
          <w:tcPr>
            <w:tcW w:w="4390" w:type="dxa"/>
          </w:tcPr>
          <w:p>
            <w:pPr>
              <w:pStyle w:val="yTableNAm"/>
              <w:keepNext/>
              <w:tabs>
                <w:tab w:val="clear" w:pos="567"/>
              </w:tabs>
              <w:spacing w:before="0"/>
              <w:rPr>
                <w:rFonts w:ascii="Arial" w:hAnsi="Arial"/>
                <w:b/>
              </w:rPr>
            </w:pPr>
            <w:r>
              <w:t xml:space="preserve">For use of service jetty and mooring/berth within area adjacent to causeway by recreational vessel, tourism vessel or fishing vessel, per m of the vessel’s length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364.08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36.42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54.61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r>
              <w:rPr>
                <w:sz w:val="22"/>
                <w:szCs w:val="22"/>
              </w:rPr>
              <w:t>37.88</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7.57</w:t>
            </w:r>
          </w:p>
        </w:tc>
      </w:tr>
      <w:tr>
        <w:trPr>
          <w:cantSplit/>
        </w:trPr>
        <w:tc>
          <w:tcPr>
            <w:tcW w:w="567" w:type="dxa"/>
          </w:tcPr>
          <w:p>
            <w:pPr>
              <w:pStyle w:val="yTableNAm"/>
              <w:keepNext/>
              <w:tabs>
                <w:tab w:val="clear" w:pos="567"/>
              </w:tabs>
              <w:spacing w:before="0"/>
            </w:pPr>
            <w:r>
              <w:t>4.</w:t>
            </w:r>
          </w:p>
        </w:tc>
        <w:tc>
          <w:tcPr>
            <w:tcW w:w="4390" w:type="dxa"/>
          </w:tcPr>
          <w:p>
            <w:pPr>
              <w:pStyle w:val="yTableNAm"/>
              <w:keepNext/>
              <w:tabs>
                <w:tab w:val="clear" w:pos="567"/>
              </w:tabs>
              <w:spacing w:before="0"/>
            </w:pPr>
            <w:r>
              <w:t xml:space="preserve">For use of service jetty and mooring/berth within area adjacent to causeway by a vessel servicing the resource industry, per m of the vessel’s length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r>
              <w:rPr>
                <w:sz w:val="22"/>
                <w:szCs w:val="22"/>
              </w:rPr>
              <w:t>799.99</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r>
              <w:rPr>
                <w:sz w:val="22"/>
                <w:szCs w:val="22"/>
              </w:rPr>
              <w:t>80.04</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r>
              <w:rPr>
                <w:sz w:val="22"/>
                <w:szCs w:val="22"/>
              </w:rPr>
              <w:t>120.00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up to 6 hours in a 24 hour period</w:t>
            </w:r>
          </w:p>
        </w:tc>
        <w:tc>
          <w:tcPr>
            <w:tcW w:w="996" w:type="dxa"/>
            <w:vAlign w:val="bottom"/>
          </w:tcPr>
          <w:p>
            <w:pPr>
              <w:pStyle w:val="yTableNAm"/>
              <w:keepNext/>
              <w:tabs>
                <w:tab w:val="clear" w:pos="567"/>
              </w:tabs>
              <w:spacing w:before="0"/>
              <w:jc w:val="right"/>
              <w:rPr>
                <w:bCs/>
              </w:rPr>
            </w:pPr>
            <w:r>
              <w:rPr>
                <w:bCs/>
              </w:rPr>
              <w:t>6.16</w:t>
            </w:r>
          </w:p>
        </w:tc>
      </w:tr>
      <w:tr>
        <w:trPr>
          <w:cantSplit/>
        </w:trPr>
        <w:tc>
          <w:tcPr>
            <w:tcW w:w="567" w:type="dxa"/>
          </w:tcPr>
          <w:p>
            <w:pPr>
              <w:pStyle w:val="yTableNAm"/>
              <w:tabs>
                <w:tab w:val="clear" w:pos="567"/>
              </w:tabs>
              <w:spacing w:before="0"/>
            </w:pPr>
            <w:r>
              <w:t>5.</w:t>
            </w:r>
          </w:p>
        </w:tc>
        <w:tc>
          <w:tcPr>
            <w:tcW w:w="4390" w:type="dxa"/>
          </w:tcPr>
          <w:p>
            <w:pPr>
              <w:pStyle w:val="yTableNAm"/>
              <w:tabs>
                <w:tab w:val="clear" w:pos="567"/>
              </w:tabs>
              <w:spacing w:before="0"/>
            </w:pPr>
            <w:r>
              <w:t>For use of service wharf hardstand or appurtenant area for storage or maintenance (for short-term use only), per day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w:t>
            </w:r>
            <w:r>
              <w:rPr>
                <w:vertAlign w:val="superscript"/>
              </w:rPr>
              <w:t>2</w:t>
            </w:r>
          </w:p>
        </w:tc>
        <w:tc>
          <w:tcPr>
            <w:tcW w:w="996" w:type="dxa"/>
            <w:vAlign w:val="bottom"/>
          </w:tcPr>
          <w:p>
            <w:pPr>
              <w:pStyle w:val="yTableNAm"/>
              <w:keepNext/>
              <w:tabs>
                <w:tab w:val="clear" w:pos="567"/>
              </w:tabs>
              <w:spacing w:before="0"/>
              <w:jc w:val="right"/>
              <w:rPr>
                <w:bCs/>
              </w:rPr>
            </w:pPr>
            <w:r>
              <w:rPr>
                <w:bCs/>
              </w:rPr>
              <w:t>1.51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minimum fee</w:t>
            </w:r>
          </w:p>
        </w:tc>
        <w:tc>
          <w:tcPr>
            <w:tcW w:w="996" w:type="dxa"/>
            <w:vAlign w:val="bottom"/>
          </w:tcPr>
          <w:p>
            <w:pPr>
              <w:pStyle w:val="yTableNAm"/>
              <w:keepNext/>
              <w:tabs>
                <w:tab w:val="clear" w:pos="567"/>
              </w:tabs>
              <w:spacing w:before="0"/>
              <w:jc w:val="right"/>
              <w:rPr>
                <w:bCs/>
              </w:rPr>
            </w:pPr>
            <w:r>
              <w:rPr>
                <w:bCs/>
              </w:rPr>
              <w:t>27.65</w:t>
            </w:r>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For electricity supply, 3</w:t>
            </w:r>
            <w:r>
              <w:noBreakHyphen/>
              <w:t>phase or single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50 units</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meter reading</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7.</w:t>
            </w:r>
          </w:p>
        </w:tc>
        <w:tc>
          <w:tcPr>
            <w:tcW w:w="4390" w:type="dxa"/>
          </w:tcPr>
          <w:p>
            <w:pPr>
              <w:pStyle w:val="yTableNAm"/>
              <w:tabs>
                <w:tab w:val="clear" w:pos="567"/>
              </w:tabs>
              <w:spacing w:before="0"/>
            </w:pPr>
            <w:r>
              <w:t xml:space="preserve">For rubbish removal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excess quantity or from vessel not using harbour, minimum per half skip supplied and emptied</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from vessels in excess of 150 L</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drum not removed by owner, per 20 L drum</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6"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Subsection"/>
      </w:pPr>
      <w:r>
        <w:tab/>
        <w:t>(3)</w:t>
      </w:r>
      <w:r>
        <w:tab/>
        <w:t>The fees and charges to be paid under regulation 96 are set out in Table 20.3.</w:t>
      </w:r>
    </w:p>
    <w:p>
      <w:pPr>
        <w:pStyle w:val="yTHeadingNAm"/>
      </w:pPr>
      <w:r>
        <w:t>Table 20.3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water supply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if metered, for units consumed, per unit with a minimum amount as for the consumption of 2 kl</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if not metered, per 12 hours or part thereof</w:t>
            </w:r>
          </w:p>
        </w:tc>
        <w:tc>
          <w:tcPr>
            <w:tcW w:w="996" w:type="dxa"/>
            <w:vAlign w:val="bottom"/>
          </w:tcPr>
          <w:p>
            <w:pPr>
              <w:pStyle w:val="yTableNAm"/>
              <w:keepNext/>
              <w:tabs>
                <w:tab w:val="clear" w:pos="567"/>
              </w:tabs>
              <w:spacing w:before="0"/>
              <w:jc w:val="right"/>
              <w:rPr>
                <w:bCs/>
              </w:rPr>
            </w:pPr>
            <w:r>
              <w:rPr>
                <w:bCs/>
              </w:rPr>
              <w:t>cost</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Use of slip per day for a vessel for which the annual pen fee in Table 20.2 has been paid that is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not over 15 m long</w:t>
            </w:r>
          </w:p>
        </w:tc>
        <w:tc>
          <w:tcPr>
            <w:tcW w:w="996" w:type="dxa"/>
            <w:vAlign w:val="bottom"/>
          </w:tcPr>
          <w:p>
            <w:pPr>
              <w:jc w:val="right"/>
              <w:rPr>
                <w:sz w:val="22"/>
                <w:szCs w:val="22"/>
              </w:rPr>
            </w:pPr>
            <w:r>
              <w:rPr>
                <w:sz w:val="22"/>
                <w:szCs w:val="22"/>
              </w:rPr>
              <w:t>151.69</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over 15 m long</w:t>
            </w:r>
          </w:p>
        </w:tc>
        <w:tc>
          <w:tcPr>
            <w:tcW w:w="996" w:type="dxa"/>
            <w:vAlign w:val="bottom"/>
          </w:tcPr>
          <w:p>
            <w:pPr>
              <w:jc w:val="right"/>
              <w:rPr>
                <w:sz w:val="22"/>
                <w:szCs w:val="22"/>
              </w:rPr>
            </w:pPr>
            <w:r>
              <w:rPr>
                <w:sz w:val="22"/>
                <w:szCs w:val="22"/>
              </w:rPr>
              <w:t>215.40</w:t>
            </w:r>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s>
              <w:spacing w:before="0"/>
            </w:pPr>
            <w:r>
              <w:t xml:space="preserve">Use of slip per day for any other vessel that is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not over 15 m long</w:t>
            </w:r>
          </w:p>
        </w:tc>
        <w:tc>
          <w:tcPr>
            <w:tcW w:w="996" w:type="dxa"/>
            <w:vAlign w:val="bottom"/>
          </w:tcPr>
          <w:p>
            <w:pPr>
              <w:jc w:val="right"/>
              <w:rPr>
                <w:sz w:val="22"/>
                <w:szCs w:val="22"/>
              </w:rPr>
            </w:pPr>
            <w:r>
              <w:rPr>
                <w:sz w:val="22"/>
                <w:szCs w:val="22"/>
              </w:rPr>
              <w:t>182.03</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over 15 m long</w:t>
            </w:r>
          </w:p>
        </w:tc>
        <w:tc>
          <w:tcPr>
            <w:tcW w:w="996" w:type="dxa"/>
            <w:tcBorders>
              <w:bottom w:val="single" w:sz="4" w:space="0" w:color="auto"/>
            </w:tcBorders>
            <w:vAlign w:val="bottom"/>
          </w:tcPr>
          <w:p>
            <w:pPr>
              <w:jc w:val="right"/>
              <w:rPr>
                <w:sz w:val="22"/>
                <w:szCs w:val="22"/>
              </w:rPr>
            </w:pPr>
            <w:r>
              <w:rPr>
                <w:sz w:val="22"/>
                <w:szCs w:val="22"/>
              </w:rPr>
              <w:t>265.46</w:t>
            </w:r>
          </w:p>
        </w:tc>
      </w:tr>
    </w:tbl>
    <w:p>
      <w:pPr>
        <w:pStyle w:val="yFootnotesection"/>
      </w:pPr>
      <w:r>
        <w:tab/>
        <w:t>[Clause 20 inserted in Gazette 13 Jul 2012 p. 3199</w:t>
      </w:r>
      <w:r>
        <w:noBreakHyphen/>
        <w:t>202; amended in Gazette 7 May 2013 p. 1923.]</w:t>
      </w:r>
    </w:p>
    <w:p>
      <w:pPr>
        <w:pStyle w:val="yHeading5"/>
      </w:pPr>
      <w:bookmarkStart w:id="638" w:name="_Toc355611715"/>
      <w:r>
        <w:rPr>
          <w:rStyle w:val="CharSClsNo"/>
        </w:rPr>
        <w:t>21</w:t>
      </w:r>
      <w:r>
        <w:t>.</w:t>
      </w:r>
      <w:r>
        <w:tab/>
        <w:t xml:space="preserve">Port </w:t>
      </w:r>
      <w:smartTag w:uri="urn:schemas-microsoft-com:office:smarttags" w:element="place">
        <w:smartTag w:uri="urn:schemas-microsoft-com:office:smarttags" w:element="City">
          <w:r>
            <w:t>Denison</w:t>
          </w:r>
        </w:smartTag>
      </w:smartTag>
      <w:bookmarkEnd w:id="638"/>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 m long is 16 m.</w:t>
      </w:r>
    </w:p>
    <w:p>
      <w:pPr>
        <w:pStyle w:val="yTHeadingNAm"/>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spacing w:before="0"/>
              <w:rPr>
                <w:b/>
                <w:bCs/>
              </w:rPr>
            </w:pPr>
            <w:r>
              <w:rPr>
                <w:b/>
                <w:bCs/>
              </w:rPr>
              <w:t>Item</w:t>
            </w:r>
          </w:p>
        </w:tc>
        <w:tc>
          <w:tcPr>
            <w:tcW w:w="4248" w:type="dxa"/>
            <w:tcBorders>
              <w:top w:val="single" w:sz="4" w:space="0" w:color="auto"/>
              <w:bottom w:val="single" w:sz="4" w:space="0" w:color="auto"/>
            </w:tcBorders>
          </w:tcPr>
          <w:p>
            <w:pPr>
              <w:pStyle w:val="yTableNAm"/>
              <w:spacing w:before="0"/>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spacing w:before="0"/>
              <w:rPr>
                <w:b/>
                <w:bCs/>
              </w:rPr>
            </w:pPr>
            <w:r>
              <w:rPr>
                <w:b/>
                <w:bCs/>
              </w:rPr>
              <w:tab/>
              <w:t>$</w:t>
            </w:r>
          </w:p>
        </w:tc>
      </w:tr>
      <w:tr>
        <w:trPr>
          <w:cantSplit/>
        </w:trPr>
        <w:tc>
          <w:tcPr>
            <w:tcW w:w="709" w:type="dxa"/>
          </w:tcPr>
          <w:p>
            <w:pPr>
              <w:pStyle w:val="yTableNAm"/>
              <w:spacing w:before="0"/>
            </w:pPr>
            <w:r>
              <w:t>1.</w:t>
            </w:r>
          </w:p>
        </w:tc>
        <w:tc>
          <w:tcPr>
            <w:tcW w:w="4248" w:type="dxa"/>
          </w:tcPr>
          <w:p>
            <w:pPr>
              <w:pStyle w:val="yTableNAm"/>
              <w:spacing w:before="0"/>
            </w:pPr>
            <w:r>
              <w:t xml:space="preserve">For pen for commercial or recreational vessel — </w:t>
            </w:r>
          </w:p>
        </w:tc>
        <w:tc>
          <w:tcPr>
            <w:tcW w:w="996" w:type="dxa"/>
          </w:tcPr>
          <w:p>
            <w:pPr>
              <w:pStyle w:val="yTableNAm"/>
              <w:tabs>
                <w:tab w:val="clear" w:pos="567"/>
              </w:tabs>
              <w:spacing w:before="0"/>
              <w:ind w:right="27"/>
              <w:jc w:val="right"/>
            </w:pPr>
          </w:p>
        </w:tc>
      </w:tr>
      <w:tr>
        <w:trPr>
          <w:cantSplit/>
        </w:trPr>
        <w:tc>
          <w:tcPr>
            <w:tcW w:w="709" w:type="dxa"/>
          </w:tcPr>
          <w:p>
            <w:pPr>
              <w:pStyle w:val="yTableNAm"/>
              <w:spacing w:before="0"/>
            </w:pPr>
          </w:p>
        </w:tc>
        <w:tc>
          <w:tcPr>
            <w:tcW w:w="4248" w:type="dxa"/>
          </w:tcPr>
          <w:p>
            <w:pPr>
              <w:pStyle w:val="yTableNAm"/>
              <w:tabs>
                <w:tab w:val="clear" w:pos="567"/>
                <w:tab w:val="left" w:pos="423"/>
              </w:tabs>
              <w:spacing w:before="0"/>
              <w:ind w:left="423" w:hanging="423"/>
            </w:pPr>
            <w:r>
              <w:t>•</w:t>
            </w:r>
            <w:r>
              <w:tab/>
              <w:t>for 12 months paid in advance</w:t>
            </w:r>
          </w:p>
        </w:tc>
        <w:tc>
          <w:tcPr>
            <w:tcW w:w="996" w:type="dxa"/>
          </w:tcPr>
          <w:p>
            <w:pPr>
              <w:pStyle w:val="yTableNAm"/>
              <w:tabs>
                <w:tab w:val="clear" w:pos="567"/>
              </w:tabs>
              <w:spacing w:before="0"/>
              <w:ind w:right="27"/>
              <w:jc w:val="right"/>
            </w:pPr>
            <w:r>
              <w:t>951.50</w:t>
            </w:r>
          </w:p>
        </w:tc>
      </w:tr>
      <w:tr>
        <w:trPr>
          <w:cantSplit/>
        </w:trPr>
        <w:tc>
          <w:tcPr>
            <w:tcW w:w="709" w:type="dxa"/>
          </w:tcPr>
          <w:p>
            <w:pPr>
              <w:pStyle w:val="yTableNAm"/>
              <w:spacing w:before="0"/>
            </w:pPr>
          </w:p>
        </w:tc>
        <w:tc>
          <w:tcPr>
            <w:tcW w:w="4248" w:type="dxa"/>
          </w:tcPr>
          <w:p>
            <w:pPr>
              <w:pStyle w:val="yTableNAm"/>
              <w:tabs>
                <w:tab w:val="clear" w:pos="567"/>
                <w:tab w:val="left" w:pos="423"/>
              </w:tabs>
              <w:spacing w:before="0"/>
              <w:ind w:left="423" w:hanging="423"/>
            </w:pPr>
            <w:r>
              <w:t>•</w:t>
            </w:r>
            <w:r>
              <w:tab/>
              <w:t>plus per vessel, per m of the longer of the vessel’s length and the chargeable length (if any) for the pen</w:t>
            </w:r>
          </w:p>
        </w:tc>
        <w:tc>
          <w:tcPr>
            <w:tcW w:w="996" w:type="dxa"/>
          </w:tcPr>
          <w:p>
            <w:pPr>
              <w:pStyle w:val="yTableNAm"/>
              <w:tabs>
                <w:tab w:val="clear" w:pos="567"/>
              </w:tabs>
              <w:spacing w:before="0"/>
              <w:ind w:right="27"/>
              <w:jc w:val="right"/>
            </w:pPr>
            <w:r>
              <w:br/>
            </w:r>
            <w:r>
              <w:br/>
              <w:t>77.00</w:t>
            </w:r>
          </w:p>
        </w:tc>
      </w:tr>
      <w:tr>
        <w:trPr>
          <w:cantSplit/>
        </w:trPr>
        <w:tc>
          <w:tcPr>
            <w:tcW w:w="709" w:type="dxa"/>
          </w:tcPr>
          <w:p>
            <w:pPr>
              <w:pStyle w:val="yTableNAm"/>
              <w:spacing w:before="0"/>
            </w:pPr>
            <w:r>
              <w:t>2.</w:t>
            </w:r>
          </w:p>
        </w:tc>
        <w:tc>
          <w:tcPr>
            <w:tcW w:w="4248" w:type="dxa"/>
          </w:tcPr>
          <w:p>
            <w:pPr>
              <w:pStyle w:val="yTableNAm"/>
              <w:tabs>
                <w:tab w:val="clear" w:pos="567"/>
                <w:tab w:val="left" w:pos="0"/>
              </w:tabs>
              <w:spacing w:before="0"/>
            </w:pPr>
            <w:r>
              <w:t>For dinghy pen for 12 months paid in advance</w:t>
            </w:r>
          </w:p>
        </w:tc>
        <w:tc>
          <w:tcPr>
            <w:tcW w:w="996" w:type="dxa"/>
          </w:tcPr>
          <w:p>
            <w:pPr>
              <w:pStyle w:val="yTableNAm"/>
              <w:tabs>
                <w:tab w:val="clear" w:pos="567"/>
              </w:tabs>
              <w:spacing w:before="0"/>
              <w:ind w:right="27"/>
              <w:jc w:val="right"/>
            </w:pPr>
            <w:r>
              <w:t>250.00</w:t>
            </w:r>
          </w:p>
        </w:tc>
      </w:tr>
      <w:tr>
        <w:trPr>
          <w:cantSplit/>
        </w:trPr>
        <w:tc>
          <w:tcPr>
            <w:tcW w:w="709" w:type="dxa"/>
          </w:tcPr>
          <w:p>
            <w:pPr>
              <w:pStyle w:val="yTableNAm"/>
              <w:spacing w:before="0"/>
            </w:pPr>
            <w:r>
              <w:t>3.</w:t>
            </w:r>
          </w:p>
        </w:tc>
        <w:tc>
          <w:tcPr>
            <w:tcW w:w="4248" w:type="dxa"/>
          </w:tcPr>
          <w:p>
            <w:pPr>
              <w:pStyle w:val="yTableNAm"/>
              <w:spacing w:before="0"/>
            </w:pPr>
            <w:r>
              <w:t>For use of service jetty other than for short time to load or unload vessel for which an annual fee for the use of a pen or a swing mooring has been paid, per vessel per day</w:t>
            </w:r>
          </w:p>
        </w:tc>
        <w:tc>
          <w:tcPr>
            <w:tcW w:w="996" w:type="dxa"/>
          </w:tcPr>
          <w:p>
            <w:pPr>
              <w:pStyle w:val="yTableNAm"/>
              <w:tabs>
                <w:tab w:val="clear" w:pos="567"/>
              </w:tabs>
              <w:spacing w:before="0"/>
              <w:ind w:right="27"/>
              <w:jc w:val="right"/>
            </w:pPr>
            <w:r>
              <w:br/>
            </w:r>
            <w:r>
              <w:br/>
            </w:r>
            <w:r>
              <w:br/>
              <w:t>44.00</w:t>
            </w:r>
          </w:p>
        </w:tc>
      </w:tr>
      <w:tr>
        <w:trPr>
          <w:cantSplit/>
        </w:trPr>
        <w:tc>
          <w:tcPr>
            <w:tcW w:w="709" w:type="dxa"/>
          </w:tcPr>
          <w:p>
            <w:pPr>
              <w:pStyle w:val="yTableNAm"/>
              <w:spacing w:before="0"/>
            </w:pPr>
            <w:r>
              <w:t>4.</w:t>
            </w:r>
          </w:p>
        </w:tc>
        <w:tc>
          <w:tcPr>
            <w:tcW w:w="4248" w:type="dxa"/>
          </w:tcPr>
          <w:p>
            <w:pPr>
              <w:pStyle w:val="yTableNAm"/>
              <w:spacing w:before="0"/>
              <w:rPr>
                <w:rStyle w:val="DraftersNotes"/>
              </w:rPr>
            </w:pPr>
            <w:r>
              <w:t>For use of service jetty for short time just to load or unload vessel for which no annual fee for the use of a pen or a swing mooring has been paid, per vessel for 12 months paid in advance</w:t>
            </w:r>
          </w:p>
        </w:tc>
        <w:tc>
          <w:tcPr>
            <w:tcW w:w="996" w:type="dxa"/>
          </w:tcPr>
          <w:p>
            <w:pPr>
              <w:pStyle w:val="yTableNAm"/>
              <w:tabs>
                <w:tab w:val="clear" w:pos="567"/>
              </w:tabs>
              <w:spacing w:before="0"/>
              <w:ind w:right="27"/>
              <w:jc w:val="right"/>
            </w:pPr>
            <w:r>
              <w:br/>
            </w:r>
            <w:r>
              <w:br/>
            </w:r>
            <w:r>
              <w:br/>
            </w:r>
            <w:r>
              <w:br/>
              <w:t>275.00</w:t>
            </w:r>
          </w:p>
        </w:tc>
      </w:tr>
      <w:tr>
        <w:trPr>
          <w:cantSplit/>
        </w:trPr>
        <w:tc>
          <w:tcPr>
            <w:tcW w:w="709" w:type="dxa"/>
            <w:tcBorders>
              <w:bottom w:val="single" w:sz="4" w:space="0" w:color="auto"/>
            </w:tcBorders>
          </w:tcPr>
          <w:p>
            <w:pPr>
              <w:pStyle w:val="yTableNAm"/>
              <w:spacing w:before="0"/>
            </w:pPr>
            <w:r>
              <w:t>5.</w:t>
            </w:r>
          </w:p>
        </w:tc>
        <w:tc>
          <w:tcPr>
            <w:tcW w:w="4248" w:type="dxa"/>
            <w:tcBorders>
              <w:bottom w:val="single" w:sz="4" w:space="0" w:color="auto"/>
            </w:tcBorders>
          </w:tcPr>
          <w:p>
            <w:pPr>
              <w:pStyle w:val="yTableNAm"/>
              <w:spacing w:before="0"/>
            </w:pPr>
            <w:r>
              <w:t>For other use of service jetty by vessel, per m of the vessel’s length per day</w:t>
            </w:r>
          </w:p>
        </w:tc>
        <w:tc>
          <w:tcPr>
            <w:tcW w:w="996" w:type="dxa"/>
            <w:tcBorders>
              <w:bottom w:val="single" w:sz="4" w:space="0" w:color="auto"/>
            </w:tcBorders>
          </w:tcPr>
          <w:p>
            <w:pPr>
              <w:pStyle w:val="yTableNAm"/>
              <w:tabs>
                <w:tab w:val="clear" w:pos="567"/>
              </w:tabs>
              <w:spacing w:before="0"/>
              <w:ind w:right="27"/>
              <w:jc w:val="right"/>
            </w:pPr>
            <w:r>
              <w:br/>
              <w:t>5.50</w:t>
            </w:r>
          </w:p>
        </w:tc>
      </w:tr>
    </w:tbl>
    <w:p>
      <w:pPr>
        <w:pStyle w:val="ySubsection"/>
      </w:pPr>
      <w:r>
        <w:tab/>
        <w:t>(4)</w:t>
      </w:r>
      <w:r>
        <w:tab/>
        <w:t>The fees and charges to be paid under regulation 10A are set out in Table 21.2.</w:t>
      </w:r>
    </w:p>
    <w:p>
      <w:pPr>
        <w:pStyle w:val="yTHeadingNAm"/>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495"/>
              </w:tabs>
              <w:rPr>
                <w:b/>
                <w:bCs/>
              </w:rPr>
            </w:pPr>
            <w:r>
              <w:rPr>
                <w:b/>
                <w:bCs/>
              </w:rPr>
              <w:tab/>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tabs>
                <w:tab w:val="clear" w:pos="567"/>
              </w:tabs>
              <w:ind w:right="27"/>
              <w:jc w:val="right"/>
            </w:pPr>
            <w:r>
              <w:br/>
            </w:r>
            <w:r>
              <w:br/>
            </w:r>
            <w:r>
              <w:br/>
              <w:t>550.00</w:t>
            </w:r>
          </w:p>
        </w:tc>
      </w:tr>
    </w:tbl>
    <w:p>
      <w:pPr>
        <w:pStyle w:val="yFootnotesection"/>
      </w:pPr>
      <w:bookmarkStart w:id="639" w:name="_Toc236796670"/>
      <w:r>
        <w:tab/>
        <w:t>[Clause 21 inserted in Gazette 13 Jul 2012 p. 3202</w:t>
      </w:r>
      <w:r>
        <w:noBreakHyphen/>
        <w:t>3.]</w:t>
      </w:r>
    </w:p>
    <w:p>
      <w:pPr>
        <w:pStyle w:val="yHeading5"/>
      </w:pPr>
      <w:bookmarkStart w:id="640" w:name="_Toc355611716"/>
      <w:r>
        <w:rPr>
          <w:rStyle w:val="CharSClsNo"/>
        </w:rPr>
        <w:t>22</w:t>
      </w:r>
      <w:r>
        <w:t>.</w:t>
      </w:r>
      <w:r>
        <w:rPr>
          <w:b w:val="0"/>
        </w:rPr>
        <w:tab/>
      </w:r>
      <w:r>
        <w:t>Port Gregory</w:t>
      </w:r>
      <w:bookmarkEnd w:id="640"/>
    </w:p>
    <w:p>
      <w:pPr>
        <w:pStyle w:val="ySubsection"/>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bookmarkEnd w:id="639"/>
          <w:p>
            <w:pPr>
              <w:pStyle w:val="yTableNAm"/>
              <w:keepNext/>
              <w:keepLines/>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90" w:type="dxa"/>
          </w:tcPr>
          <w:p>
            <w:pPr>
              <w:pStyle w:val="yTableNAm"/>
              <w:keepNext/>
              <w:keepLines/>
              <w:tabs>
                <w:tab w:val="clear" w:pos="567"/>
              </w:tabs>
              <w:spacing w:before="0"/>
            </w:pPr>
            <w:r>
              <w:t>For use of service jetty by vessel just to load or unload, for 12 months, per vessel paid in advance</w:t>
            </w:r>
          </w:p>
        </w:tc>
        <w:tc>
          <w:tcPr>
            <w:tcW w:w="996" w:type="dxa"/>
            <w:vAlign w:val="bottom"/>
          </w:tcPr>
          <w:p>
            <w:pPr>
              <w:pStyle w:val="yTableNAm"/>
              <w:keepNext/>
              <w:keepLines/>
              <w:tabs>
                <w:tab w:val="clear" w:pos="567"/>
              </w:tabs>
              <w:ind w:right="27"/>
              <w:jc w:val="right"/>
            </w:pPr>
            <w:r>
              <w:t>276.60</w:t>
            </w:r>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other use of service jetty by vessel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per m of length of vessel per day</w:t>
            </w:r>
          </w:p>
        </w:tc>
        <w:tc>
          <w:tcPr>
            <w:tcW w:w="996" w:type="dxa"/>
            <w:vAlign w:val="bottom"/>
          </w:tcPr>
          <w:p>
            <w:pPr>
              <w:pStyle w:val="yTableNAm"/>
              <w:tabs>
                <w:tab w:val="clear" w:pos="567"/>
              </w:tabs>
              <w:spacing w:before="0"/>
              <w:ind w:right="28"/>
              <w:jc w:val="right"/>
            </w:pPr>
            <w:r>
              <w:t>4.83</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minimum overnight</w:t>
            </w:r>
          </w:p>
        </w:tc>
        <w:tc>
          <w:tcPr>
            <w:tcW w:w="996" w:type="dxa"/>
            <w:tcBorders>
              <w:bottom w:val="single" w:sz="4" w:space="0" w:color="auto"/>
            </w:tcBorders>
            <w:vAlign w:val="bottom"/>
          </w:tcPr>
          <w:p>
            <w:pPr>
              <w:pStyle w:val="yTableNAm"/>
              <w:tabs>
                <w:tab w:val="clear" w:pos="567"/>
              </w:tabs>
              <w:spacing w:before="0"/>
              <w:ind w:right="28"/>
              <w:jc w:val="right"/>
            </w:pPr>
            <w:r>
              <w:t>53.75</w:t>
            </w:r>
          </w:p>
        </w:tc>
      </w:tr>
    </w:tbl>
    <w:p>
      <w:pPr>
        <w:pStyle w:val="yFootnotesection"/>
      </w:pPr>
      <w:r>
        <w:tab/>
        <w:t>[Clause 22 inserted in Gazette 13 Jul 2012 p. 3203.]</w:t>
      </w:r>
    </w:p>
    <w:p>
      <w:pPr>
        <w:pStyle w:val="yHeading5"/>
      </w:pPr>
      <w:bookmarkStart w:id="641" w:name="_Toc355611717"/>
      <w:r>
        <w:rPr>
          <w:rStyle w:val="CharSClsNo"/>
        </w:rPr>
        <w:t>23</w:t>
      </w:r>
      <w:r>
        <w:t>.</w:t>
      </w:r>
      <w:r>
        <w:rPr>
          <w:b w:val="0"/>
        </w:rPr>
        <w:tab/>
      </w:r>
      <w:r>
        <w:t>Wyndham</w:t>
      </w:r>
      <w:bookmarkEnd w:id="641"/>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1947"/>
        <w:gridCol w:w="2305"/>
        <w:gridCol w:w="1134"/>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1947" w:type="dxa"/>
            <w:tcBorders>
              <w:top w:val="single" w:sz="4" w:space="0" w:color="auto"/>
              <w:bottom w:val="single" w:sz="4" w:space="0" w:color="auto"/>
            </w:tcBorders>
          </w:tcPr>
          <w:p>
            <w:pPr>
              <w:pStyle w:val="yTableNAm"/>
              <w:keepNext/>
              <w:tabs>
                <w:tab w:val="clear" w:pos="567"/>
              </w:tabs>
              <w:spacing w:before="0"/>
              <w:rPr>
                <w:b/>
                <w:bCs/>
              </w:rPr>
            </w:pPr>
            <w:r>
              <w:rPr>
                <w:b/>
                <w:bCs/>
              </w:rPr>
              <w:t>Vessel or cargo</w:t>
            </w:r>
          </w:p>
        </w:tc>
        <w:tc>
          <w:tcPr>
            <w:tcW w:w="2305" w:type="dxa"/>
            <w:tcBorders>
              <w:top w:val="single" w:sz="4" w:space="0" w:color="auto"/>
              <w:bottom w:val="single" w:sz="4" w:space="0" w:color="auto"/>
            </w:tcBorders>
          </w:tcPr>
          <w:p>
            <w:pPr>
              <w:pStyle w:val="yTableNAm"/>
              <w:keepNext/>
              <w:tabs>
                <w:tab w:val="clear" w:pos="567"/>
              </w:tabs>
              <w:spacing w:before="0"/>
              <w:rPr>
                <w:b/>
                <w:bCs/>
              </w:rPr>
            </w:pPr>
            <w:r>
              <w:rPr>
                <w:b/>
                <w:bCs/>
              </w:rPr>
              <w:t>Dues</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Minimum per day ($)</w:t>
            </w:r>
          </w:p>
        </w:tc>
      </w:tr>
      <w:tr>
        <w:trPr>
          <w:cantSplit/>
        </w:trPr>
        <w:tc>
          <w:tcPr>
            <w:tcW w:w="567" w:type="dxa"/>
          </w:tcPr>
          <w:p>
            <w:pPr>
              <w:pStyle w:val="yTableNAm"/>
              <w:tabs>
                <w:tab w:val="clear" w:pos="567"/>
              </w:tabs>
              <w:spacing w:before="0"/>
            </w:pPr>
            <w:r>
              <w:t>1.</w:t>
            </w:r>
          </w:p>
        </w:tc>
        <w:tc>
          <w:tcPr>
            <w:tcW w:w="1947" w:type="dxa"/>
          </w:tcPr>
          <w:p>
            <w:pPr>
              <w:pStyle w:val="yTableNAm"/>
              <w:tabs>
                <w:tab w:val="clear" w:pos="567"/>
              </w:tabs>
              <w:spacing w:before="0"/>
            </w:pPr>
            <w:r>
              <w:t>Vessel of 300 gross registered tonnes or over</w:t>
            </w:r>
          </w:p>
        </w:tc>
        <w:tc>
          <w:tcPr>
            <w:tcW w:w="2305" w:type="dxa"/>
          </w:tcPr>
          <w:p>
            <w:pPr>
              <w:pStyle w:val="yTableNAm"/>
              <w:tabs>
                <w:tab w:val="clear" w:pos="567"/>
              </w:tabs>
              <w:spacing w:before="0"/>
            </w:pPr>
            <w:r>
              <w:t>$1.09 per t, per m</w:t>
            </w:r>
            <w:r>
              <w:rPr>
                <w:vertAlign w:val="superscript"/>
              </w:rPr>
              <w:t>3</w:t>
            </w:r>
            <w:r>
              <w:t>, or per kL, at option of officer in charge, on all cargo landed or shipped</w:t>
            </w:r>
          </w:p>
        </w:tc>
        <w:tc>
          <w:tcPr>
            <w:tcW w:w="1134" w:type="dxa"/>
            <w:vAlign w:val="bottom"/>
          </w:tcPr>
          <w:p>
            <w:pPr>
              <w:pStyle w:val="yTableNAm"/>
              <w:keepNext/>
              <w:tabs>
                <w:tab w:val="clear" w:pos="567"/>
              </w:tabs>
              <w:spacing w:before="0"/>
              <w:jc w:val="right"/>
              <w:rPr>
                <w:bCs/>
              </w:rPr>
            </w:pPr>
            <w:r>
              <w:rPr>
                <w:bCs/>
              </w:rPr>
              <w:t>163.12</w:t>
            </w:r>
          </w:p>
        </w:tc>
      </w:tr>
      <w:tr>
        <w:trPr>
          <w:cantSplit/>
        </w:trPr>
        <w:tc>
          <w:tcPr>
            <w:tcW w:w="567" w:type="dxa"/>
          </w:tcPr>
          <w:p>
            <w:pPr>
              <w:pStyle w:val="yTableNAm"/>
              <w:tabs>
                <w:tab w:val="clear" w:pos="567"/>
              </w:tabs>
              <w:spacing w:before="0"/>
            </w:pPr>
            <w:r>
              <w:t>2.</w:t>
            </w:r>
          </w:p>
        </w:tc>
        <w:tc>
          <w:tcPr>
            <w:tcW w:w="1947" w:type="dxa"/>
          </w:tcPr>
          <w:p>
            <w:pPr>
              <w:pStyle w:val="yTableNAm"/>
              <w:tabs>
                <w:tab w:val="clear" w:pos="567"/>
              </w:tabs>
              <w:spacing w:before="0"/>
            </w:pPr>
            <w:r>
              <w:t>Vessel under 300 gross registered tonnes</w:t>
            </w:r>
          </w:p>
        </w:tc>
        <w:tc>
          <w:tcPr>
            <w:tcW w:w="2305" w:type="dxa"/>
          </w:tcPr>
          <w:p>
            <w:pPr>
              <w:pStyle w:val="yTableNAm"/>
              <w:tabs>
                <w:tab w:val="clear" w:pos="567"/>
              </w:tabs>
              <w:spacing w:before="0"/>
            </w:pPr>
            <w:r>
              <w:t>$5.90 per m of vessel’s length per day</w:t>
            </w:r>
          </w:p>
        </w:tc>
        <w:tc>
          <w:tcPr>
            <w:tcW w:w="1134" w:type="dxa"/>
            <w:vAlign w:val="bottom"/>
          </w:tcPr>
          <w:p>
            <w:pPr>
              <w:pStyle w:val="yTableNAm"/>
              <w:keepNext/>
              <w:tabs>
                <w:tab w:val="clear" w:pos="567"/>
              </w:tabs>
              <w:spacing w:before="0"/>
              <w:jc w:val="right"/>
              <w:rPr>
                <w:bCs/>
              </w:rPr>
            </w:pPr>
            <w:r>
              <w:rPr>
                <w:bCs/>
              </w:rPr>
              <w:t>108.70</w:t>
            </w:r>
          </w:p>
        </w:tc>
      </w:tr>
      <w:tr>
        <w:trPr>
          <w:cantSplit/>
        </w:trPr>
        <w:tc>
          <w:tcPr>
            <w:tcW w:w="567" w:type="dxa"/>
          </w:tcPr>
          <w:p>
            <w:pPr>
              <w:pStyle w:val="yTableNAm"/>
              <w:tabs>
                <w:tab w:val="clear" w:pos="567"/>
              </w:tabs>
              <w:spacing w:before="0"/>
            </w:pPr>
            <w:r>
              <w:t>3.</w:t>
            </w:r>
          </w:p>
        </w:tc>
        <w:tc>
          <w:tcPr>
            <w:tcW w:w="1947" w:type="dxa"/>
          </w:tcPr>
          <w:p>
            <w:pPr>
              <w:pStyle w:val="yTableNAm"/>
              <w:tabs>
                <w:tab w:val="clear" w:pos="567"/>
              </w:tabs>
              <w:spacing w:before="0"/>
            </w:pPr>
            <w:r>
              <w:t>Vessel using berth for purposes other than handling cargo</w:t>
            </w:r>
          </w:p>
        </w:tc>
        <w:tc>
          <w:tcPr>
            <w:tcW w:w="2305" w:type="dxa"/>
          </w:tcPr>
          <w:p>
            <w:pPr>
              <w:pStyle w:val="yTableNAm"/>
              <w:tabs>
                <w:tab w:val="clear" w:pos="567"/>
              </w:tabs>
              <w:spacing w:before="0"/>
            </w:pPr>
            <w:r>
              <w:t>$5.90 per m of vessel’s length per day</w:t>
            </w:r>
          </w:p>
        </w:tc>
        <w:tc>
          <w:tcPr>
            <w:tcW w:w="1134" w:type="dxa"/>
            <w:vAlign w:val="bottom"/>
          </w:tcPr>
          <w:p>
            <w:pPr>
              <w:pStyle w:val="yTableNAm"/>
              <w:keepNext/>
              <w:tabs>
                <w:tab w:val="clear" w:pos="567"/>
              </w:tabs>
              <w:spacing w:before="0"/>
              <w:jc w:val="right"/>
              <w:rPr>
                <w:bCs/>
              </w:rPr>
            </w:pPr>
            <w:r>
              <w:rPr>
                <w:bCs/>
              </w:rPr>
              <w:t>108.70</w:t>
            </w:r>
          </w:p>
        </w:tc>
      </w:tr>
      <w:tr>
        <w:trPr>
          <w:cantSplit/>
        </w:trPr>
        <w:tc>
          <w:tcPr>
            <w:tcW w:w="567" w:type="dxa"/>
          </w:tcPr>
          <w:p>
            <w:pPr>
              <w:pStyle w:val="yTableNAm"/>
              <w:tabs>
                <w:tab w:val="clear" w:pos="567"/>
              </w:tabs>
              <w:spacing w:before="0"/>
            </w:pPr>
            <w:r>
              <w:t>4.</w:t>
            </w:r>
          </w:p>
        </w:tc>
        <w:tc>
          <w:tcPr>
            <w:tcW w:w="1947" w:type="dxa"/>
          </w:tcPr>
          <w:p>
            <w:pPr>
              <w:pStyle w:val="yTableNAm"/>
              <w:tabs>
                <w:tab w:val="clear" w:pos="567"/>
              </w:tabs>
              <w:spacing w:before="0"/>
            </w:pPr>
            <w:r>
              <w:t>Container, empty</w:t>
            </w:r>
          </w:p>
        </w:tc>
        <w:tc>
          <w:tcPr>
            <w:tcW w:w="2305" w:type="dxa"/>
          </w:tcPr>
          <w:p>
            <w:pPr>
              <w:pStyle w:val="yTableNAm"/>
              <w:tabs>
                <w:tab w:val="clear" w:pos="567"/>
              </w:tabs>
              <w:spacing w:before="0"/>
            </w:pPr>
            <w:r>
              <w:t>$8.47 per container</w:t>
            </w:r>
          </w:p>
        </w:tc>
        <w:tc>
          <w:tcPr>
            <w:tcW w:w="1134" w:type="dxa"/>
          </w:tcPr>
          <w:p>
            <w:pPr>
              <w:pStyle w:val="yTableNAm"/>
              <w:keepNext/>
              <w:tabs>
                <w:tab w:val="clear" w:pos="567"/>
              </w:tabs>
              <w:spacing w:before="0"/>
              <w:jc w:val="right"/>
              <w:rPr>
                <w:bCs/>
              </w:rPr>
            </w:pPr>
          </w:p>
        </w:tc>
      </w:tr>
      <w:tr>
        <w:trPr>
          <w:cantSplit/>
        </w:trPr>
        <w:tc>
          <w:tcPr>
            <w:tcW w:w="567" w:type="dxa"/>
            <w:tcBorders>
              <w:bottom w:val="single" w:sz="4" w:space="0" w:color="auto"/>
            </w:tcBorders>
          </w:tcPr>
          <w:p>
            <w:pPr>
              <w:pStyle w:val="yTableNAm"/>
              <w:tabs>
                <w:tab w:val="clear" w:pos="567"/>
              </w:tabs>
              <w:spacing w:before="0"/>
            </w:pPr>
            <w:r>
              <w:t>5.</w:t>
            </w:r>
          </w:p>
        </w:tc>
        <w:tc>
          <w:tcPr>
            <w:tcW w:w="1947" w:type="dxa"/>
            <w:tcBorders>
              <w:bottom w:val="single" w:sz="4" w:space="0" w:color="auto"/>
            </w:tcBorders>
          </w:tcPr>
          <w:p>
            <w:pPr>
              <w:pStyle w:val="yTableNAm"/>
              <w:tabs>
                <w:tab w:val="clear" w:pos="567"/>
              </w:tabs>
              <w:spacing w:before="0"/>
            </w:pPr>
            <w:r>
              <w:t>Container, loaded</w:t>
            </w:r>
          </w:p>
        </w:tc>
        <w:tc>
          <w:tcPr>
            <w:tcW w:w="2305" w:type="dxa"/>
            <w:tcBorders>
              <w:bottom w:val="single" w:sz="4" w:space="0" w:color="auto"/>
            </w:tcBorders>
          </w:tcPr>
          <w:p>
            <w:pPr>
              <w:pStyle w:val="yTableNAm"/>
              <w:tabs>
                <w:tab w:val="clear" w:pos="567"/>
              </w:tabs>
              <w:spacing w:before="0"/>
            </w:pPr>
            <w:r>
              <w:t>$27.24 per container</w:t>
            </w:r>
          </w:p>
        </w:tc>
        <w:tc>
          <w:tcPr>
            <w:tcW w:w="1134" w:type="dxa"/>
            <w:tcBorders>
              <w:bottom w:val="single" w:sz="4" w:space="0" w:color="auto"/>
            </w:tcBorders>
          </w:tcPr>
          <w:p>
            <w:pPr>
              <w:pStyle w:val="yTableNAm"/>
              <w:keepNext/>
              <w:tabs>
                <w:tab w:val="clear" w:pos="567"/>
              </w:tabs>
              <w:spacing w:before="0"/>
              <w:jc w:val="right"/>
              <w:rPr>
                <w:bCs/>
              </w:rPr>
            </w:pPr>
          </w:p>
        </w:tc>
      </w:tr>
    </w:tbl>
    <w:p>
      <w:pPr>
        <w:pStyle w:val="ySubsection"/>
      </w:pPr>
      <w:r>
        <w:tab/>
        <w:t>(3)</w:t>
      </w:r>
      <w:r>
        <w:tab/>
        <w:t>The charges and dues to be paid under regulation 10A are set out in Table 23.2.</w:t>
      </w:r>
    </w:p>
    <w:p>
      <w:pPr>
        <w:pStyle w:val="yTHeadingNAm"/>
      </w:pPr>
      <w:r>
        <w:t>Table 23.2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Cargo in 20 feet equivalent unit (TEU) containers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fertiliser, per TEU</w:t>
            </w:r>
          </w:p>
        </w:tc>
        <w:tc>
          <w:tcPr>
            <w:tcW w:w="992" w:type="dxa"/>
            <w:vAlign w:val="bottom"/>
          </w:tcPr>
          <w:p>
            <w:pPr>
              <w:pStyle w:val="yTableNAm"/>
              <w:keepNext/>
              <w:tabs>
                <w:tab w:val="clear" w:pos="567"/>
              </w:tabs>
              <w:spacing w:before="0"/>
              <w:jc w:val="right"/>
              <w:rPr>
                <w:bCs/>
              </w:rPr>
            </w:pPr>
            <w:r>
              <w:rPr>
                <w:bCs/>
              </w:rPr>
              <w:t>94.56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explosives, per TEU</w:t>
            </w:r>
          </w:p>
        </w:tc>
        <w:tc>
          <w:tcPr>
            <w:tcW w:w="992" w:type="dxa"/>
            <w:vAlign w:val="bottom"/>
          </w:tcPr>
          <w:p>
            <w:pPr>
              <w:pStyle w:val="yTableNAm"/>
              <w:keepNext/>
              <w:tabs>
                <w:tab w:val="clear" w:pos="567"/>
              </w:tabs>
              <w:spacing w:before="0"/>
              <w:jc w:val="right"/>
              <w:rPr>
                <w:bCs/>
              </w:rPr>
            </w:pPr>
            <w:r>
              <w:rPr>
                <w:bCs/>
              </w:rPr>
              <w:t>116.99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products of the soil (not otherwise specified), per TEU</w:t>
            </w:r>
          </w:p>
        </w:tc>
        <w:tc>
          <w:tcPr>
            <w:tcW w:w="992" w:type="dxa"/>
            <w:vAlign w:val="bottom"/>
          </w:tcPr>
          <w:p>
            <w:pPr>
              <w:pStyle w:val="yTableNAm"/>
              <w:keepNext/>
              <w:tabs>
                <w:tab w:val="clear" w:pos="567"/>
              </w:tabs>
              <w:spacing w:before="0"/>
              <w:jc w:val="right"/>
              <w:rPr>
                <w:bCs/>
              </w:rPr>
            </w:pPr>
            <w:r>
              <w:rPr>
                <w:bCs/>
              </w:rPr>
              <w:t>59.36</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not otherwise specified in this item, per TEU</w:t>
            </w:r>
          </w:p>
        </w:tc>
        <w:tc>
          <w:tcPr>
            <w:tcW w:w="992" w:type="dxa"/>
            <w:vAlign w:val="bottom"/>
          </w:tcPr>
          <w:p>
            <w:pPr>
              <w:pStyle w:val="yTableNAm"/>
              <w:keepNext/>
              <w:tabs>
                <w:tab w:val="clear" w:pos="567"/>
              </w:tabs>
              <w:spacing w:before="0"/>
              <w:jc w:val="right"/>
              <w:rPr>
                <w:bCs/>
              </w:rPr>
            </w:pPr>
            <w:r>
              <w:rPr>
                <w:bCs/>
              </w:rPr>
              <w:t>187.50</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Empty TEU containers, per TEU</w:t>
            </w:r>
          </w:p>
        </w:tc>
        <w:tc>
          <w:tcPr>
            <w:tcW w:w="992" w:type="dxa"/>
            <w:vAlign w:val="bottom"/>
          </w:tcPr>
          <w:p>
            <w:pPr>
              <w:pStyle w:val="yTableNAm"/>
              <w:keepNext/>
              <w:tabs>
                <w:tab w:val="clear" w:pos="567"/>
              </w:tabs>
              <w:spacing w:before="0"/>
              <w:jc w:val="right"/>
              <w:rPr>
                <w:bCs/>
              </w:rPr>
            </w:pPr>
            <w:r>
              <w:rPr>
                <w:bCs/>
              </w:rPr>
              <w:t>54.49</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Cargo, whether in containers (not TEU containers) or otherwise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animals, live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cattle (bullocks, cows, etc.), per head</w:t>
            </w:r>
          </w:p>
        </w:tc>
        <w:tc>
          <w:tcPr>
            <w:tcW w:w="992" w:type="dxa"/>
            <w:vAlign w:val="bottom"/>
          </w:tcPr>
          <w:p>
            <w:pPr>
              <w:pStyle w:val="yTableNAm"/>
              <w:keepNext/>
              <w:tabs>
                <w:tab w:val="clear" w:pos="567"/>
              </w:tabs>
              <w:spacing w:before="0"/>
              <w:jc w:val="right"/>
              <w:rPr>
                <w:bCs/>
              </w:rPr>
            </w:pPr>
            <w:r>
              <w:rPr>
                <w:bCs/>
              </w:rPr>
              <w:t>2.33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dogs, goats, pigs, sheep, per head</w:t>
            </w:r>
          </w:p>
        </w:tc>
        <w:tc>
          <w:tcPr>
            <w:tcW w:w="992" w:type="dxa"/>
            <w:vAlign w:val="bottom"/>
          </w:tcPr>
          <w:p>
            <w:pPr>
              <w:pStyle w:val="yTableNAm"/>
              <w:keepNext/>
              <w:tabs>
                <w:tab w:val="clear" w:pos="567"/>
              </w:tabs>
              <w:spacing w:before="0"/>
              <w:jc w:val="right"/>
              <w:rPr>
                <w:bCs/>
              </w:rPr>
            </w:pPr>
            <w:r>
              <w:rPr>
                <w:bCs/>
              </w:rPr>
              <w:t>0.48</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w:t>
            </w:r>
            <w:r>
              <w:tab/>
              <w:t>bulk, by pipeline, per kL</w:t>
            </w:r>
          </w:p>
        </w:tc>
        <w:tc>
          <w:tcPr>
            <w:tcW w:w="992" w:type="dxa"/>
            <w:vAlign w:val="bottom"/>
          </w:tcPr>
          <w:p>
            <w:pPr>
              <w:pStyle w:val="yTableNAm"/>
              <w:keepNext/>
              <w:tabs>
                <w:tab w:val="clear" w:pos="567"/>
              </w:tabs>
              <w:spacing w:before="0"/>
              <w:jc w:val="right"/>
              <w:rPr>
                <w:bCs/>
              </w:rPr>
            </w:pPr>
            <w:r>
              <w:rPr>
                <w:bCs/>
              </w:rPr>
              <w:t>9.92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bulk, by pipeline using road tanker on jetty, per kL</w:t>
            </w:r>
          </w:p>
        </w:tc>
        <w:tc>
          <w:tcPr>
            <w:tcW w:w="992" w:type="dxa"/>
            <w:vAlign w:val="bottom"/>
          </w:tcPr>
          <w:p>
            <w:pPr>
              <w:pStyle w:val="yTableNAm"/>
              <w:keepNext/>
              <w:tabs>
                <w:tab w:val="clear" w:pos="567"/>
              </w:tabs>
              <w:spacing w:before="0"/>
              <w:jc w:val="right"/>
              <w:rPr>
                <w:bCs/>
              </w:rPr>
            </w:pPr>
            <w:r>
              <w:rPr>
                <w:bCs/>
              </w:rPr>
              <w:t>10.33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containers (not TEU containers), empty, per t or m</w:t>
            </w:r>
            <w:r>
              <w:rPr>
                <w:vertAlign w:val="superscript"/>
              </w:rPr>
              <w:t>3</w:t>
            </w:r>
          </w:p>
        </w:tc>
        <w:tc>
          <w:tcPr>
            <w:tcW w:w="992" w:type="dxa"/>
            <w:vAlign w:val="bottom"/>
          </w:tcPr>
          <w:p>
            <w:pPr>
              <w:pStyle w:val="yTableNAm"/>
              <w:keepNext/>
              <w:tabs>
                <w:tab w:val="clear" w:pos="567"/>
              </w:tabs>
              <w:spacing w:before="0"/>
              <w:jc w:val="right"/>
              <w:rPr>
                <w:bCs/>
              </w:rPr>
            </w:pPr>
            <w:r>
              <w:rPr>
                <w:bCs/>
              </w:rPr>
              <w:t>2.33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explosives, per t or m</w:t>
            </w:r>
            <w:r>
              <w:rPr>
                <w:vertAlign w:val="superscript"/>
              </w:rPr>
              <w:t>3</w:t>
            </w:r>
          </w:p>
        </w:tc>
        <w:tc>
          <w:tcPr>
            <w:tcW w:w="992" w:type="dxa"/>
            <w:vAlign w:val="bottom"/>
          </w:tcPr>
          <w:p>
            <w:pPr>
              <w:pStyle w:val="yTableNAm"/>
              <w:keepNext/>
              <w:tabs>
                <w:tab w:val="clear" w:pos="567"/>
              </w:tabs>
              <w:spacing w:before="0"/>
              <w:jc w:val="right"/>
              <w:rPr>
                <w:bCs/>
              </w:rPr>
            </w:pPr>
            <w:r>
              <w:rPr>
                <w:bCs/>
              </w:rPr>
              <w:t>4.02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fertiliser, per t or m</w:t>
            </w:r>
            <w:r>
              <w:rPr>
                <w:vertAlign w:val="superscript"/>
              </w:rPr>
              <w:t>3</w:t>
            </w:r>
          </w:p>
        </w:tc>
        <w:tc>
          <w:tcPr>
            <w:tcW w:w="992" w:type="dxa"/>
            <w:vAlign w:val="bottom"/>
          </w:tcPr>
          <w:p>
            <w:pPr>
              <w:pStyle w:val="yTableNAm"/>
              <w:keepNext/>
              <w:tabs>
                <w:tab w:val="clear" w:pos="567"/>
              </w:tabs>
              <w:spacing w:before="0"/>
              <w:jc w:val="right"/>
              <w:rPr>
                <w:bCs/>
              </w:rPr>
            </w:pPr>
            <w:r>
              <w:rPr>
                <w:bCs/>
              </w:rPr>
              <w:t>3.27</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meat, chilled or frozen, per t or m</w:t>
            </w:r>
            <w:r>
              <w:rPr>
                <w:vertAlign w:val="superscript"/>
              </w:rPr>
              <w:t>3</w:t>
            </w:r>
          </w:p>
        </w:tc>
        <w:tc>
          <w:tcPr>
            <w:tcW w:w="992" w:type="dxa"/>
            <w:vAlign w:val="bottom"/>
          </w:tcPr>
          <w:p>
            <w:pPr>
              <w:pStyle w:val="yTableNAm"/>
              <w:keepNext/>
              <w:tabs>
                <w:tab w:val="clear" w:pos="567"/>
              </w:tabs>
              <w:spacing w:before="0"/>
              <w:jc w:val="right"/>
              <w:rPr>
                <w:bCs/>
              </w:rPr>
            </w:pPr>
            <w:r>
              <w:rPr>
                <w:bCs/>
              </w:rPr>
              <w:t>3.85</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ore, per t</w:t>
            </w:r>
          </w:p>
        </w:tc>
        <w:tc>
          <w:tcPr>
            <w:tcW w:w="992" w:type="dxa"/>
            <w:vAlign w:val="bottom"/>
          </w:tcPr>
          <w:p>
            <w:pPr>
              <w:pStyle w:val="yTableNAm"/>
              <w:keepNext/>
              <w:tabs>
                <w:tab w:val="clear" w:pos="567"/>
              </w:tabs>
              <w:spacing w:before="0"/>
              <w:jc w:val="right"/>
              <w:rPr>
                <w:bCs/>
              </w:rPr>
            </w:pPr>
            <w:r>
              <w:rPr>
                <w:bCs/>
              </w:rPr>
              <w:t>3.19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products of the soil (not otherwise specified), per t or m</w:t>
            </w:r>
            <w:r>
              <w:rPr>
                <w:vertAlign w:val="superscript"/>
              </w:rPr>
              <w:t>3</w:t>
            </w:r>
          </w:p>
        </w:tc>
        <w:tc>
          <w:tcPr>
            <w:tcW w:w="992" w:type="dxa"/>
            <w:vAlign w:val="bottom"/>
          </w:tcPr>
          <w:p>
            <w:pPr>
              <w:pStyle w:val="yTableNAm"/>
              <w:keepNext/>
              <w:tabs>
                <w:tab w:val="clear" w:pos="567"/>
              </w:tabs>
              <w:spacing w:before="0"/>
              <w:jc w:val="right"/>
              <w:rPr>
                <w:bCs/>
              </w:rPr>
            </w:pPr>
            <w:r>
              <w:rPr>
                <w:bCs/>
              </w:rPr>
              <w:t>2.19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vehicles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commercial vehicles on own wheels, per t or m</w:t>
            </w:r>
            <w:r>
              <w:rPr>
                <w:vertAlign w:val="superscript"/>
              </w:rPr>
              <w:t>3</w:t>
            </w:r>
          </w:p>
        </w:tc>
        <w:tc>
          <w:tcPr>
            <w:tcW w:w="992" w:type="dxa"/>
            <w:vAlign w:val="bottom"/>
          </w:tcPr>
          <w:p>
            <w:pPr>
              <w:pStyle w:val="yTableNAm"/>
              <w:keepNext/>
              <w:tabs>
                <w:tab w:val="clear" w:pos="567"/>
              </w:tabs>
              <w:spacing w:before="0"/>
              <w:jc w:val="right"/>
              <w:rPr>
                <w:bCs/>
              </w:rPr>
            </w:pPr>
            <w:r>
              <w:rPr>
                <w:bCs/>
              </w:rPr>
              <w:t>3.84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other vehicles on own wheels, per t or m</w:t>
            </w:r>
            <w:r>
              <w:rPr>
                <w:vertAlign w:val="superscript"/>
              </w:rPr>
              <w:t>3</w:t>
            </w:r>
          </w:p>
        </w:tc>
        <w:tc>
          <w:tcPr>
            <w:tcW w:w="992" w:type="dxa"/>
            <w:vAlign w:val="bottom"/>
          </w:tcPr>
          <w:p>
            <w:pPr>
              <w:pStyle w:val="yTableNAm"/>
              <w:keepNext/>
              <w:tabs>
                <w:tab w:val="clear" w:pos="567"/>
              </w:tabs>
              <w:spacing w:before="0"/>
              <w:jc w:val="right"/>
              <w:rPr>
                <w:bCs/>
              </w:rPr>
            </w:pPr>
            <w:r>
              <w:rPr>
                <w:bCs/>
              </w:rPr>
              <w:t>3.67</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recreational vessel, per m of vessel’s length</w:t>
            </w:r>
          </w:p>
        </w:tc>
        <w:tc>
          <w:tcPr>
            <w:tcW w:w="992" w:type="dxa"/>
            <w:vAlign w:val="bottom"/>
          </w:tcPr>
          <w:p>
            <w:pPr>
              <w:pStyle w:val="yTableNAm"/>
              <w:keepNext/>
              <w:tabs>
                <w:tab w:val="clear" w:pos="567"/>
              </w:tabs>
              <w:spacing w:before="0"/>
              <w:jc w:val="right"/>
              <w:rPr>
                <w:bCs/>
              </w:rPr>
            </w:pPr>
            <w:r>
              <w:rPr>
                <w:bCs/>
              </w:rPr>
              <w:t>14.51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not otherwise specified in this item, per t or m</w:t>
            </w:r>
            <w:r>
              <w:rPr>
                <w:vertAlign w:val="superscript"/>
              </w:rPr>
              <w:t>3</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6.33</w:t>
            </w:r>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3685"/>
        <w:gridCol w:w="1701"/>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3685"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1701" w:type="dxa"/>
            <w:tcBorders>
              <w:top w:val="single" w:sz="4" w:space="0" w:color="auto"/>
              <w:bottom w:val="single" w:sz="4" w:space="0" w:color="auto"/>
            </w:tcBorders>
          </w:tcPr>
          <w:p>
            <w:pPr>
              <w:pStyle w:val="yTableNAm"/>
              <w:spacing w:before="0"/>
              <w:jc w:val="center"/>
              <w:rPr>
                <w:b/>
                <w:bCs/>
              </w:rPr>
            </w:pPr>
            <w:r>
              <w:rPr>
                <w:b/>
                <w:bCs/>
              </w:rPr>
              <w:t>Dues</w:t>
            </w:r>
          </w:p>
        </w:tc>
      </w:tr>
      <w:tr>
        <w:trPr>
          <w:cantSplit/>
        </w:trPr>
        <w:tc>
          <w:tcPr>
            <w:tcW w:w="567" w:type="dxa"/>
          </w:tcPr>
          <w:p>
            <w:pPr>
              <w:pStyle w:val="yTableNAm"/>
              <w:tabs>
                <w:tab w:val="clear" w:pos="567"/>
              </w:tabs>
              <w:spacing w:before="0"/>
            </w:pPr>
            <w:r>
              <w:t>1.</w:t>
            </w:r>
          </w:p>
        </w:tc>
        <w:tc>
          <w:tcPr>
            <w:tcW w:w="3685" w:type="dxa"/>
          </w:tcPr>
          <w:p>
            <w:pPr>
              <w:pStyle w:val="yTableNAm"/>
              <w:tabs>
                <w:tab w:val="clear" w:pos="567"/>
              </w:tabs>
              <w:spacing w:before="0"/>
            </w:pPr>
            <w:r>
              <w:t xml:space="preserve">For cargo — </w:t>
            </w:r>
          </w:p>
        </w:tc>
        <w:tc>
          <w:tcPr>
            <w:tcW w:w="1701" w:type="dxa"/>
          </w:tcPr>
          <w:p>
            <w:pPr>
              <w:pStyle w:val="yTableNAm"/>
              <w:spacing w:before="0"/>
            </w:pPr>
          </w:p>
        </w:tc>
      </w:tr>
      <w:tr>
        <w:trPr>
          <w:cantSplit/>
        </w:trPr>
        <w:tc>
          <w:tcPr>
            <w:tcW w:w="567" w:type="dxa"/>
          </w:tcPr>
          <w:p>
            <w:pPr>
              <w:pStyle w:val="yTableNAm"/>
              <w:tabs>
                <w:tab w:val="clear" w:pos="567"/>
              </w:tabs>
              <w:spacing w:before="0"/>
            </w:pPr>
          </w:p>
        </w:tc>
        <w:tc>
          <w:tcPr>
            <w:tcW w:w="3685" w:type="dxa"/>
          </w:tcPr>
          <w:p>
            <w:pPr>
              <w:pStyle w:val="yTableNAm"/>
              <w:tabs>
                <w:tab w:val="clear" w:pos="567"/>
                <w:tab w:val="left" w:pos="368"/>
              </w:tabs>
              <w:spacing w:before="0"/>
              <w:ind w:left="368" w:hanging="368"/>
            </w:pPr>
            <w:r>
              <w:t>•</w:t>
            </w:r>
            <w:r>
              <w:tab/>
              <w:t>loaded over the side of a vessel to another vessel</w:t>
            </w:r>
          </w:p>
        </w:tc>
        <w:tc>
          <w:tcPr>
            <w:tcW w:w="1701" w:type="dxa"/>
          </w:tcPr>
          <w:p>
            <w:pPr>
              <w:pStyle w:val="yTableNAm"/>
              <w:spacing w:before="0"/>
            </w:pPr>
            <w:r>
              <w:t>50% of wharfage for the cargo</w:t>
            </w:r>
          </w:p>
        </w:tc>
      </w:tr>
      <w:tr>
        <w:trPr>
          <w:cantSplit/>
        </w:trPr>
        <w:tc>
          <w:tcPr>
            <w:tcW w:w="567" w:type="dxa"/>
            <w:tcBorders>
              <w:bottom w:val="single" w:sz="4" w:space="0" w:color="auto"/>
            </w:tcBorders>
          </w:tcPr>
          <w:p>
            <w:pPr>
              <w:pStyle w:val="yTableNAm"/>
              <w:tabs>
                <w:tab w:val="clear" w:pos="567"/>
              </w:tabs>
              <w:spacing w:before="0"/>
            </w:pPr>
          </w:p>
        </w:tc>
        <w:tc>
          <w:tcPr>
            <w:tcW w:w="3685" w:type="dxa"/>
            <w:tcBorders>
              <w:bottom w:val="single" w:sz="4" w:space="0" w:color="auto"/>
            </w:tcBorders>
          </w:tcPr>
          <w:p>
            <w:pPr>
              <w:pStyle w:val="yTableNAm"/>
              <w:tabs>
                <w:tab w:val="clear" w:pos="567"/>
                <w:tab w:val="left" w:pos="368"/>
              </w:tabs>
              <w:spacing w:before="0"/>
              <w:ind w:left="368" w:hanging="368"/>
            </w:pPr>
            <w:r>
              <w:t>•</w:t>
            </w:r>
            <w:r>
              <w:tab/>
              <w:t>landed on jetty</w:t>
            </w:r>
          </w:p>
        </w:tc>
        <w:tc>
          <w:tcPr>
            <w:tcW w:w="1701" w:type="dxa"/>
            <w:tcBorders>
              <w:bottom w:val="single" w:sz="4" w:space="0" w:color="auto"/>
            </w:tcBorders>
          </w:tcPr>
          <w:p>
            <w:pPr>
              <w:pStyle w:val="yTableNAm"/>
              <w:spacing w:before="0"/>
            </w:pPr>
            <w:r>
              <w:t>100% of wharfage for the cargo</w:t>
            </w:r>
          </w:p>
        </w:tc>
      </w:tr>
    </w:tbl>
    <w:p>
      <w:pPr>
        <w:pStyle w:val="ySubsection"/>
      </w:pPr>
      <w:r>
        <w:tab/>
        <w:t>(5)</w:t>
      </w:r>
      <w:r>
        <w:tab/>
        <w:t>The charges to be paid under regulation 25 for storage are set out in Table 23.4.</w:t>
      </w:r>
    </w:p>
    <w:p>
      <w:pPr>
        <w:pStyle w:val="yTHeadingNAm"/>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4" w:type="dxa"/>
          </w:tcPr>
          <w:p>
            <w:pPr>
              <w:pStyle w:val="yTableNAm"/>
              <w:keepNext/>
              <w:tabs>
                <w:tab w:val="clear" w:pos="567"/>
              </w:tabs>
              <w:spacing w:before="0"/>
            </w:pPr>
            <w:r>
              <w:t>Goods in transit not removed from goods shed within 3 days after being received, per t per day</w:t>
            </w:r>
          </w:p>
        </w:tc>
        <w:tc>
          <w:tcPr>
            <w:tcW w:w="992" w:type="dxa"/>
            <w:vAlign w:val="bottom"/>
          </w:tcPr>
          <w:p>
            <w:pPr>
              <w:pStyle w:val="yTableNAm"/>
              <w:keepNext/>
              <w:tabs>
                <w:tab w:val="clear" w:pos="567"/>
              </w:tabs>
              <w:spacing w:before="0"/>
              <w:jc w:val="right"/>
              <w:rPr>
                <w:bCs/>
              </w:rPr>
            </w:pPr>
            <w:r>
              <w:t>0.64</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Goods being transhipped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first 2 weeks, per t or m</w:t>
            </w:r>
            <w:r>
              <w:rPr>
                <w:vertAlign w:val="superscript"/>
              </w:rPr>
              <w:t xml:space="preserve">3 </w:t>
            </w:r>
            <w:r>
              <w:t>per week</w:t>
            </w:r>
          </w:p>
        </w:tc>
        <w:tc>
          <w:tcPr>
            <w:tcW w:w="992" w:type="dxa"/>
            <w:vAlign w:val="bottom"/>
          </w:tcPr>
          <w:p>
            <w:pPr>
              <w:pStyle w:val="yTableNAm"/>
              <w:keepNext/>
              <w:tabs>
                <w:tab w:val="clear" w:pos="567"/>
              </w:tabs>
              <w:spacing w:before="0"/>
              <w:jc w:val="right"/>
              <w:rPr>
                <w:bCs/>
              </w:rPr>
            </w:pPr>
            <w:r>
              <w:rPr>
                <w:bCs/>
              </w:rPr>
              <w:t>0.64</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after the first 2 weeks, per t or m</w:t>
            </w:r>
            <w:r>
              <w:rPr>
                <w:vertAlign w:val="superscript"/>
              </w:rPr>
              <w:t xml:space="preserve">3 </w:t>
            </w:r>
            <w:r>
              <w:t>per day</w:t>
            </w:r>
          </w:p>
        </w:tc>
        <w:tc>
          <w:tcPr>
            <w:tcW w:w="992" w:type="dxa"/>
            <w:vAlign w:val="bottom"/>
          </w:tcPr>
          <w:p>
            <w:pPr>
              <w:pStyle w:val="yTableNAm"/>
              <w:keepNext/>
              <w:tabs>
                <w:tab w:val="clear" w:pos="567"/>
              </w:tabs>
              <w:spacing w:before="0"/>
              <w:jc w:val="right"/>
              <w:rPr>
                <w:bCs/>
              </w:rPr>
            </w:pPr>
            <w:r>
              <w:rPr>
                <w:bCs/>
              </w:rPr>
              <w:t>0.64</w:t>
            </w:r>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Goods at container park, Wyndham, per loaded container</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34.73</w:t>
            </w:r>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Use of slip per day for a vessel that is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not over 15 m long</w:t>
            </w:r>
          </w:p>
        </w:tc>
        <w:tc>
          <w:tcPr>
            <w:tcW w:w="992" w:type="dxa"/>
            <w:vAlign w:val="bottom"/>
          </w:tcPr>
          <w:p>
            <w:pPr>
              <w:jc w:val="right"/>
              <w:rPr>
                <w:sz w:val="22"/>
                <w:szCs w:val="22"/>
              </w:rPr>
            </w:pPr>
            <w:r>
              <w:rPr>
                <w:sz w:val="22"/>
                <w:szCs w:val="22"/>
              </w:rPr>
              <w:t>133.73</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over 15 m long</w:t>
            </w:r>
          </w:p>
        </w:tc>
        <w:tc>
          <w:tcPr>
            <w:tcW w:w="992" w:type="dxa"/>
            <w:vAlign w:val="bottom"/>
          </w:tcPr>
          <w:p>
            <w:pPr>
              <w:jc w:val="right"/>
              <w:rPr>
                <w:sz w:val="22"/>
                <w:szCs w:val="22"/>
              </w:rPr>
            </w:pPr>
            <w:r>
              <w:rPr>
                <w:sz w:val="22"/>
                <w:szCs w:val="22"/>
              </w:rPr>
              <w:t>194.80</w:t>
            </w:r>
          </w:p>
        </w:tc>
      </w:tr>
      <w:tr>
        <w:trPr>
          <w:cantSplit/>
        </w:trPr>
        <w:tc>
          <w:tcPr>
            <w:tcW w:w="567" w:type="dxa"/>
            <w:tcBorders>
              <w:bottom w:val="single" w:sz="4" w:space="0" w:color="auto"/>
            </w:tcBorders>
          </w:tcPr>
          <w:p>
            <w:pPr>
              <w:pStyle w:val="yTableNAm"/>
              <w:tabs>
                <w:tab w:val="clear" w:pos="567"/>
              </w:tabs>
              <w:spacing w:before="0"/>
            </w:pPr>
            <w:r>
              <w:t>2.</w:t>
            </w:r>
          </w:p>
        </w:tc>
        <w:tc>
          <w:tcPr>
            <w:tcW w:w="4394" w:type="dxa"/>
            <w:tcBorders>
              <w:bottom w:val="single" w:sz="4" w:space="0" w:color="auto"/>
            </w:tcBorders>
          </w:tcPr>
          <w:p>
            <w:pPr>
              <w:pStyle w:val="yTableNAm"/>
              <w:tabs>
                <w:tab w:val="clear" w:pos="567"/>
              </w:tabs>
              <w:spacing w:before="0"/>
            </w:pPr>
            <w:r>
              <w:t>Haulage, for each haul up or down</w:t>
            </w:r>
          </w:p>
        </w:tc>
        <w:tc>
          <w:tcPr>
            <w:tcW w:w="992" w:type="dxa"/>
            <w:tcBorders>
              <w:bottom w:val="single" w:sz="4" w:space="0" w:color="auto"/>
            </w:tcBorders>
            <w:vAlign w:val="bottom"/>
          </w:tcPr>
          <w:p>
            <w:pPr>
              <w:jc w:val="right"/>
              <w:rPr>
                <w:sz w:val="22"/>
                <w:szCs w:val="22"/>
              </w:rPr>
            </w:pPr>
            <w:r>
              <w:rPr>
                <w:sz w:val="22"/>
                <w:szCs w:val="22"/>
              </w:rPr>
              <w:t>163.42</w:t>
            </w:r>
          </w:p>
        </w:tc>
      </w:tr>
    </w:tbl>
    <w:p>
      <w:pPr>
        <w:pStyle w:val="ySubsection"/>
      </w:pPr>
      <w:r>
        <w:tab/>
        <w:t>(7)</w:t>
      </w:r>
      <w:r>
        <w:tab/>
        <w:t>The fees to be paid under regulation 105I are set out in Table 23.6.</w:t>
      </w:r>
    </w:p>
    <w:p>
      <w:pPr>
        <w:pStyle w:val="yTHeadingNAm"/>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4" w:type="dxa"/>
          </w:tcPr>
          <w:p>
            <w:pPr>
              <w:pStyle w:val="yTableNAm"/>
              <w:keepNext/>
              <w:tabs>
                <w:tab w:val="clear" w:pos="567"/>
              </w:tabs>
              <w:spacing w:before="0"/>
            </w:pPr>
            <w:r>
              <w:t xml:space="preserve">Use of weighbridge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not over 10 t</w:t>
            </w:r>
          </w:p>
        </w:tc>
        <w:tc>
          <w:tcPr>
            <w:tcW w:w="992" w:type="dxa"/>
            <w:vAlign w:val="bottom"/>
          </w:tcPr>
          <w:p>
            <w:pPr>
              <w:jc w:val="right"/>
              <w:rPr>
                <w:sz w:val="22"/>
                <w:szCs w:val="22"/>
              </w:rPr>
            </w:pPr>
            <w:r>
              <w:rPr>
                <w:sz w:val="22"/>
                <w:szCs w:val="22"/>
              </w:rPr>
              <w:t>12.45</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over 10 t but not over 30 t</w:t>
            </w:r>
          </w:p>
        </w:tc>
        <w:tc>
          <w:tcPr>
            <w:tcW w:w="992" w:type="dxa"/>
            <w:vAlign w:val="bottom"/>
          </w:tcPr>
          <w:p>
            <w:pPr>
              <w:jc w:val="right"/>
              <w:rPr>
                <w:sz w:val="22"/>
                <w:szCs w:val="22"/>
              </w:rPr>
            </w:pPr>
            <w:r>
              <w:rPr>
                <w:sz w:val="22"/>
                <w:szCs w:val="22"/>
              </w:rPr>
              <w:t>14.17</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for over 30 t</w:t>
            </w:r>
          </w:p>
        </w:tc>
        <w:tc>
          <w:tcPr>
            <w:tcW w:w="992" w:type="dxa"/>
            <w:tcBorders>
              <w:bottom w:val="single" w:sz="4" w:space="0" w:color="auto"/>
            </w:tcBorders>
            <w:vAlign w:val="bottom"/>
          </w:tcPr>
          <w:p>
            <w:pPr>
              <w:jc w:val="right"/>
              <w:rPr>
                <w:sz w:val="22"/>
                <w:szCs w:val="22"/>
              </w:rPr>
            </w:pPr>
            <w:r>
              <w:rPr>
                <w:sz w:val="22"/>
                <w:szCs w:val="22"/>
              </w:rPr>
              <w:t>17.69</w:t>
            </w:r>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23.7.</w:t>
      </w:r>
    </w:p>
    <w:p>
      <w:pPr>
        <w:pStyle w:val="yTHeadingNAm"/>
      </w:pPr>
      <w:r>
        <w:t>Table 23.7 (Lighting)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jetty, shed and yard</w:t>
            </w:r>
          </w:p>
        </w:tc>
        <w:tc>
          <w:tcPr>
            <w:tcW w:w="992" w:type="dxa"/>
            <w:vAlign w:val="bottom"/>
          </w:tcPr>
          <w:p>
            <w:pPr>
              <w:jc w:val="right"/>
              <w:rPr>
                <w:sz w:val="22"/>
                <w:szCs w:val="22"/>
              </w:rPr>
            </w:pPr>
            <w:r>
              <w:rPr>
                <w:sz w:val="22"/>
                <w:szCs w:val="22"/>
              </w:rPr>
              <w:t>30.03</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jetty only</w:t>
            </w:r>
          </w:p>
        </w:tc>
        <w:tc>
          <w:tcPr>
            <w:tcW w:w="992" w:type="dxa"/>
            <w:vAlign w:val="bottom"/>
          </w:tcPr>
          <w:p>
            <w:pPr>
              <w:jc w:val="right"/>
              <w:rPr>
                <w:sz w:val="22"/>
                <w:szCs w:val="22"/>
              </w:rPr>
            </w:pPr>
            <w:r>
              <w:rPr>
                <w:sz w:val="22"/>
                <w:szCs w:val="22"/>
              </w:rPr>
              <w:t>9.64</w:t>
            </w:r>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For reduced lighting</w:t>
            </w:r>
          </w:p>
        </w:tc>
        <w:tc>
          <w:tcPr>
            <w:tcW w:w="992" w:type="dxa"/>
            <w:tcBorders>
              <w:bottom w:val="single" w:sz="4" w:space="0" w:color="auto"/>
            </w:tcBorders>
            <w:vAlign w:val="bottom"/>
          </w:tcPr>
          <w:p>
            <w:pPr>
              <w:jc w:val="right"/>
              <w:rPr>
                <w:sz w:val="22"/>
                <w:szCs w:val="22"/>
              </w:rPr>
            </w:pPr>
            <w:r>
              <w:rPr>
                <w:sz w:val="22"/>
                <w:szCs w:val="22"/>
              </w:rPr>
              <w:t>3.19</w:t>
            </w:r>
          </w:p>
        </w:tc>
      </w:tr>
    </w:tbl>
    <w:p>
      <w:pPr>
        <w:pStyle w:val="yFootnotesection"/>
      </w:pPr>
      <w:bookmarkStart w:id="642" w:name="_Toc329788535"/>
      <w:bookmarkStart w:id="643" w:name="_Toc190232163"/>
      <w:bookmarkStart w:id="644" w:name="_Toc202676873"/>
      <w:bookmarkStart w:id="645" w:name="_Toc202691647"/>
      <w:bookmarkStart w:id="646" w:name="_Toc219773505"/>
      <w:bookmarkStart w:id="647" w:name="_Toc219773760"/>
      <w:bookmarkStart w:id="648" w:name="_Toc221592694"/>
      <w:bookmarkStart w:id="649" w:name="_Toc221609380"/>
      <w:bookmarkStart w:id="650" w:name="_Toc221609562"/>
      <w:bookmarkStart w:id="651" w:name="_Toc223835883"/>
      <w:bookmarkStart w:id="652" w:name="_Toc233539573"/>
      <w:bookmarkStart w:id="653" w:name="_Toc236796672"/>
      <w:r>
        <w:tab/>
        <w:t>[Clause 23 inserted in Gazette 13 Jul 2012 p. 3203</w:t>
      </w:r>
      <w:r>
        <w:noBreakHyphen/>
        <w:t>7.]</w:t>
      </w:r>
    </w:p>
    <w:p>
      <w:pPr>
        <w:pStyle w:val="yHeading3"/>
        <w:rPr>
          <w:rStyle w:val="CharSDivNo"/>
        </w:rPr>
        <w:sectPr>
          <w:headerReference w:type="even" r:id="rId25"/>
          <w:headerReference w:type="default" r:id="rId26"/>
          <w:headerReference w:type="first" r:id="rId27"/>
          <w:pgSz w:w="11906" w:h="16838" w:code="9"/>
          <w:pgMar w:top="2376" w:right="2404" w:bottom="3544" w:left="2404" w:header="709" w:footer="3379" w:gutter="0"/>
          <w:cols w:space="720"/>
          <w:noEndnote/>
          <w:docGrid w:linePitch="326"/>
        </w:sectPr>
      </w:pPr>
      <w:bookmarkStart w:id="654" w:name="_Toc329850847"/>
      <w:bookmarkStart w:id="655" w:name="_Toc329851047"/>
    </w:p>
    <w:p>
      <w:pPr>
        <w:pStyle w:val="yHeading3"/>
      </w:pPr>
      <w:bookmarkStart w:id="656" w:name="_Toc329863326"/>
      <w:bookmarkStart w:id="657" w:name="_Toc329864664"/>
      <w:bookmarkStart w:id="658" w:name="_Toc346791095"/>
      <w:bookmarkStart w:id="659" w:name="_Toc355611718"/>
      <w:r>
        <w:rPr>
          <w:rStyle w:val="CharSDivNo"/>
        </w:rPr>
        <w:t>Division 2</w:t>
      </w:r>
      <w:r>
        <w:rPr>
          <w:b w:val="0"/>
        </w:rPr>
        <w:t> — </w:t>
      </w:r>
      <w:r>
        <w:rPr>
          <w:rStyle w:val="CharSDivText"/>
        </w:rPr>
        <w:t>Charges, dues and fees not specified in Division 1</w:t>
      </w:r>
      <w:bookmarkEnd w:id="642"/>
      <w:bookmarkEnd w:id="654"/>
      <w:bookmarkEnd w:id="655"/>
      <w:bookmarkEnd w:id="656"/>
      <w:bookmarkEnd w:id="657"/>
      <w:bookmarkEnd w:id="658"/>
      <w:bookmarkEnd w:id="659"/>
    </w:p>
    <w:p>
      <w:pPr>
        <w:pStyle w:val="yFootnoteheading"/>
      </w:pPr>
      <w:r>
        <w:tab/>
        <w:t>[Heading inserted in Gazette 13 Jul 2012 p. 3207.]</w:t>
      </w:r>
    </w:p>
    <w:p>
      <w:pPr>
        <w:pStyle w:val="yHeading5"/>
      </w:pPr>
      <w:bookmarkStart w:id="660" w:name="_Toc355611719"/>
      <w:r>
        <w:rPr>
          <w:rStyle w:val="CharSClsNo"/>
        </w:rPr>
        <w:t>24</w:t>
      </w:r>
      <w:r>
        <w:t>.</w:t>
      </w:r>
      <w:r>
        <w:rPr>
          <w:b w:val="0"/>
        </w:rPr>
        <w:tab/>
      </w:r>
      <w:r>
        <w:t>Wharfage (r. 10A)</w:t>
      </w:r>
      <w:bookmarkEnd w:id="660"/>
    </w:p>
    <w:p>
      <w:pPr>
        <w:pStyle w:val="ySubsection"/>
      </w:pPr>
      <w:r>
        <w:tab/>
      </w:r>
      <w:r>
        <w:tab/>
        <w:t>The dues and charges to be paid under regulation 10A at a place for which no such dues or charges are prescribed in Division 1 are set out in Table 24.1.</w:t>
      </w:r>
    </w:p>
    <w:p>
      <w:pPr>
        <w:pStyle w:val="yTHeadingNAm"/>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bookmarkEnd w:id="643"/>
          <w:bookmarkEnd w:id="644"/>
          <w:bookmarkEnd w:id="645"/>
          <w:bookmarkEnd w:id="646"/>
          <w:bookmarkEnd w:id="647"/>
          <w:bookmarkEnd w:id="648"/>
          <w:bookmarkEnd w:id="649"/>
          <w:bookmarkEnd w:id="650"/>
          <w:bookmarkEnd w:id="651"/>
          <w:bookmarkEnd w:id="652"/>
          <w:bookmarkEnd w:id="653"/>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Wharfage for general cargo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rPr>
                <w:vertAlign w:val="superscript"/>
              </w:rPr>
            </w:pPr>
            <w:r>
              <w:t>•</w:t>
            </w:r>
            <w:r>
              <w:tab/>
              <w:t>if loaded from or into vessel, per t or m</w:t>
            </w:r>
            <w:r>
              <w:rPr>
                <w:vertAlign w:val="superscript"/>
              </w:rPr>
              <w:t>3</w:t>
            </w:r>
          </w:p>
        </w:tc>
        <w:tc>
          <w:tcPr>
            <w:tcW w:w="999" w:type="dxa"/>
            <w:vAlign w:val="bottom"/>
          </w:tcPr>
          <w:p>
            <w:pPr>
              <w:jc w:val="right"/>
              <w:rPr>
                <w:sz w:val="22"/>
                <w:szCs w:val="22"/>
              </w:rPr>
            </w:pPr>
            <w:r>
              <w:rPr>
                <w:sz w:val="22"/>
                <w:szCs w:val="22"/>
              </w:rPr>
              <w:t>6.06</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9" w:type="dxa"/>
            <w:tcBorders>
              <w:bottom w:val="single" w:sz="4" w:space="0" w:color="auto"/>
            </w:tcBorders>
            <w:vAlign w:val="bottom"/>
          </w:tcPr>
          <w:p>
            <w:pPr>
              <w:jc w:val="right"/>
              <w:rPr>
                <w:sz w:val="22"/>
                <w:szCs w:val="22"/>
              </w:rPr>
            </w:pPr>
            <w:r>
              <w:rPr>
                <w:sz w:val="22"/>
                <w:szCs w:val="22"/>
              </w:rPr>
              <w:t>13.65</w:t>
            </w:r>
          </w:p>
        </w:tc>
      </w:tr>
    </w:tbl>
    <w:p>
      <w:pPr>
        <w:pStyle w:val="yFootnotesection"/>
      </w:pPr>
      <w:r>
        <w:tab/>
        <w:t>[Clause 24 inserted in Gazette 13 Jul 2012 p. 3207.]</w:t>
      </w:r>
    </w:p>
    <w:p>
      <w:pPr>
        <w:pStyle w:val="yHeading5"/>
      </w:pPr>
      <w:bookmarkStart w:id="661" w:name="_Toc355611720"/>
      <w:r>
        <w:rPr>
          <w:rStyle w:val="CharSClsNo"/>
        </w:rPr>
        <w:t>25</w:t>
      </w:r>
      <w:r>
        <w:t>.</w:t>
      </w:r>
      <w:r>
        <w:rPr>
          <w:b w:val="0"/>
        </w:rPr>
        <w:tab/>
      </w:r>
      <w:r>
        <w:t>Rubbish removal (r. 53A)</w:t>
      </w:r>
      <w:bookmarkEnd w:id="661"/>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 xml:space="preserve">Rubbish removal —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excess quantities, or if not from vessel using wharf or public jetty, per service</w:t>
            </w:r>
          </w:p>
        </w:tc>
        <w:tc>
          <w:tcPr>
            <w:tcW w:w="999" w:type="dxa"/>
            <w:vAlign w:val="bottom"/>
          </w:tcPr>
          <w:p>
            <w:pPr>
              <w:pStyle w:val="yTableNAm"/>
              <w:keepNext/>
              <w:tabs>
                <w:tab w:val="clear" w:pos="567"/>
              </w:tabs>
              <w:spacing w:before="0"/>
              <w:jc w:val="right"/>
              <w:rPr>
                <w:bCs/>
              </w:rPr>
            </w:pPr>
            <w:r>
              <w:rPr>
                <w:bCs/>
              </w:rPr>
              <w:t>75.85</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to clean up rubbish not placed in bins</w:t>
            </w:r>
          </w:p>
        </w:tc>
        <w:tc>
          <w:tcPr>
            <w:tcW w:w="999" w:type="dxa"/>
            <w:tcBorders>
              <w:bottom w:val="single" w:sz="4" w:space="0" w:color="auto"/>
            </w:tcBorders>
            <w:vAlign w:val="bottom"/>
          </w:tcPr>
          <w:p>
            <w:pPr>
              <w:pStyle w:val="yTableNAm"/>
              <w:keepNext/>
              <w:tabs>
                <w:tab w:val="clear" w:pos="567"/>
              </w:tabs>
              <w:spacing w:before="0"/>
              <w:jc w:val="right"/>
              <w:rPr>
                <w:bCs/>
              </w:rPr>
            </w:pPr>
            <w:r>
              <w:rPr>
                <w:bCs/>
              </w:rPr>
              <w:t>cost</w:t>
            </w:r>
          </w:p>
        </w:tc>
      </w:tr>
    </w:tbl>
    <w:p>
      <w:pPr>
        <w:pStyle w:val="yFootnotesection"/>
      </w:pPr>
      <w:r>
        <w:tab/>
        <w:t>[Clause 25 inserted in Gazette 13 Jul 2012 p. 3207.]</w:t>
      </w:r>
    </w:p>
    <w:p>
      <w:pPr>
        <w:pStyle w:val="yHeading5"/>
      </w:pPr>
      <w:bookmarkStart w:id="662" w:name="_Toc355611721"/>
      <w:r>
        <w:rPr>
          <w:rStyle w:val="CharSClsNo"/>
        </w:rPr>
        <w:t>26</w:t>
      </w:r>
      <w:r>
        <w:t>.</w:t>
      </w:r>
      <w:r>
        <w:rPr>
          <w:b w:val="0"/>
        </w:rPr>
        <w:tab/>
      </w:r>
      <w:r>
        <w:t>Pile mooring (r. 94B)</w:t>
      </w:r>
      <w:bookmarkEnd w:id="662"/>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998"/>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88"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8"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88" w:type="dxa"/>
          </w:tcPr>
          <w:p>
            <w:pPr>
              <w:pStyle w:val="yTableNAm"/>
              <w:keepNext/>
              <w:tabs>
                <w:tab w:val="clear" w:pos="567"/>
              </w:tabs>
              <w:spacing w:before="0"/>
            </w:pPr>
            <w:r>
              <w:t xml:space="preserve">For pile mooring, per m of vessel’s length — </w:t>
            </w:r>
          </w:p>
        </w:tc>
        <w:tc>
          <w:tcPr>
            <w:tcW w:w="998"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8" w:type="dxa"/>
          </w:tcPr>
          <w:p>
            <w:pPr>
              <w:pStyle w:val="yTableNAm"/>
              <w:tabs>
                <w:tab w:val="clear" w:pos="567"/>
                <w:tab w:val="left" w:pos="368"/>
              </w:tabs>
              <w:spacing w:before="0"/>
              <w:ind w:left="368" w:hanging="368"/>
            </w:pPr>
            <w:r>
              <w:t>•</w:t>
            </w:r>
            <w:r>
              <w:tab/>
              <w:t>for 12 months paid in advance</w:t>
            </w:r>
          </w:p>
        </w:tc>
        <w:tc>
          <w:tcPr>
            <w:tcW w:w="998" w:type="dxa"/>
            <w:vAlign w:val="bottom"/>
          </w:tcPr>
          <w:p>
            <w:pPr>
              <w:jc w:val="right"/>
              <w:rPr>
                <w:sz w:val="22"/>
                <w:szCs w:val="22"/>
              </w:rPr>
            </w:pPr>
            <w:r>
              <w:rPr>
                <w:sz w:val="22"/>
                <w:szCs w:val="22"/>
              </w:rPr>
              <w:t>151.69</w:t>
            </w:r>
          </w:p>
        </w:tc>
      </w:tr>
      <w:tr>
        <w:trPr>
          <w:cantSplit/>
        </w:trPr>
        <w:tc>
          <w:tcPr>
            <w:tcW w:w="567" w:type="dxa"/>
          </w:tcPr>
          <w:p>
            <w:pPr>
              <w:pStyle w:val="yTableNAm"/>
              <w:tabs>
                <w:tab w:val="clear" w:pos="567"/>
              </w:tabs>
              <w:spacing w:before="0"/>
            </w:pPr>
          </w:p>
        </w:tc>
        <w:tc>
          <w:tcPr>
            <w:tcW w:w="4388" w:type="dxa"/>
          </w:tcPr>
          <w:p>
            <w:pPr>
              <w:pStyle w:val="yTableNAm"/>
              <w:tabs>
                <w:tab w:val="clear" w:pos="567"/>
                <w:tab w:val="left" w:pos="368"/>
              </w:tabs>
              <w:spacing w:before="0"/>
              <w:ind w:left="368" w:hanging="368"/>
            </w:pPr>
            <w:r>
              <w:t>•</w:t>
            </w:r>
            <w:r>
              <w:tab/>
              <w:t>for one month paid in advance</w:t>
            </w:r>
          </w:p>
        </w:tc>
        <w:tc>
          <w:tcPr>
            <w:tcW w:w="998" w:type="dxa"/>
            <w:vAlign w:val="bottom"/>
          </w:tcPr>
          <w:p>
            <w:pPr>
              <w:jc w:val="right"/>
              <w:rPr>
                <w:sz w:val="22"/>
                <w:szCs w:val="22"/>
              </w:rPr>
            </w:pPr>
            <w:r>
              <w:rPr>
                <w:sz w:val="22"/>
                <w:szCs w:val="22"/>
              </w:rPr>
              <w:t>22.76</w:t>
            </w:r>
          </w:p>
        </w:tc>
      </w:tr>
      <w:tr>
        <w:trPr>
          <w:cantSplit/>
        </w:trPr>
        <w:tc>
          <w:tcPr>
            <w:tcW w:w="567" w:type="dxa"/>
            <w:tcBorders>
              <w:bottom w:val="single" w:sz="4" w:space="0" w:color="auto"/>
            </w:tcBorders>
          </w:tcPr>
          <w:p>
            <w:pPr>
              <w:pStyle w:val="yTableNAm"/>
              <w:tabs>
                <w:tab w:val="clear" w:pos="567"/>
              </w:tabs>
              <w:spacing w:before="0"/>
            </w:pPr>
          </w:p>
        </w:tc>
        <w:tc>
          <w:tcPr>
            <w:tcW w:w="4388" w:type="dxa"/>
            <w:tcBorders>
              <w:bottom w:val="single" w:sz="4" w:space="0" w:color="auto"/>
            </w:tcBorders>
          </w:tcPr>
          <w:p>
            <w:pPr>
              <w:pStyle w:val="yTableNAm"/>
              <w:tabs>
                <w:tab w:val="clear" w:pos="567"/>
                <w:tab w:val="left" w:pos="368"/>
              </w:tabs>
              <w:spacing w:before="0"/>
              <w:ind w:left="368" w:hanging="368"/>
            </w:pPr>
            <w:r>
              <w:t>•</w:t>
            </w:r>
            <w:r>
              <w:tab/>
              <w:t>otherwise, per day</w:t>
            </w:r>
          </w:p>
        </w:tc>
        <w:tc>
          <w:tcPr>
            <w:tcW w:w="998" w:type="dxa"/>
            <w:tcBorders>
              <w:bottom w:val="single" w:sz="4" w:space="0" w:color="auto"/>
            </w:tcBorders>
            <w:vAlign w:val="bottom"/>
          </w:tcPr>
          <w:p>
            <w:pPr>
              <w:jc w:val="right"/>
              <w:rPr>
                <w:sz w:val="22"/>
                <w:szCs w:val="22"/>
              </w:rPr>
            </w:pPr>
            <w:r>
              <w:rPr>
                <w:sz w:val="22"/>
                <w:szCs w:val="22"/>
              </w:rPr>
              <w:t>3.05</w:t>
            </w:r>
          </w:p>
        </w:tc>
      </w:tr>
    </w:tbl>
    <w:p>
      <w:pPr>
        <w:pStyle w:val="yFootnotesection"/>
      </w:pPr>
      <w:r>
        <w:tab/>
        <w:t>[Clause 26 inserted in Gazette 13 Jul 2012 p. 3208.]</w:t>
      </w:r>
    </w:p>
    <w:p>
      <w:pPr>
        <w:pStyle w:val="yHeading5"/>
      </w:pPr>
      <w:bookmarkStart w:id="663" w:name="_Toc355611722"/>
      <w:r>
        <w:rPr>
          <w:rStyle w:val="CharSClsNo"/>
        </w:rPr>
        <w:t>27</w:t>
      </w:r>
      <w:r>
        <w:t>.</w:t>
      </w:r>
      <w:r>
        <w:rPr>
          <w:b w:val="0"/>
        </w:rPr>
        <w:tab/>
      </w:r>
      <w:r>
        <w:t>Berthing and mooring (r. 94C)</w:t>
      </w:r>
      <w:bookmarkEnd w:id="663"/>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keepNext/>
              <w:keepLines/>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87" w:type="dxa"/>
          </w:tcPr>
          <w:p>
            <w:pPr>
              <w:pStyle w:val="yTableNAm"/>
              <w:keepNext/>
              <w:keepLines/>
              <w:tabs>
                <w:tab w:val="clear" w:pos="567"/>
              </w:tabs>
              <w:spacing w:before="0"/>
            </w:pPr>
            <w:r>
              <w:t xml:space="preserve">Berthing or mooring — </w:t>
            </w:r>
          </w:p>
        </w:tc>
        <w:tc>
          <w:tcPr>
            <w:tcW w:w="999" w:type="dxa"/>
          </w:tcPr>
          <w:p>
            <w:pPr>
              <w:pStyle w:val="yTableNAm"/>
              <w:keepNext/>
              <w:keepLines/>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12 months paid in advance</w:t>
            </w:r>
          </w:p>
        </w:tc>
        <w:tc>
          <w:tcPr>
            <w:tcW w:w="999" w:type="dxa"/>
            <w:vAlign w:val="bottom"/>
          </w:tcPr>
          <w:p>
            <w:pPr>
              <w:jc w:val="right"/>
              <w:rPr>
                <w:sz w:val="22"/>
                <w:szCs w:val="22"/>
              </w:rPr>
            </w:pPr>
            <w:r>
              <w:rPr>
                <w:sz w:val="22"/>
                <w:szCs w:val="22"/>
              </w:rPr>
              <w:t>229.42</w:t>
            </w: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per day, per m of vessel’s length</w:t>
            </w:r>
          </w:p>
        </w:tc>
        <w:tc>
          <w:tcPr>
            <w:tcW w:w="999" w:type="dxa"/>
            <w:vAlign w:val="bottom"/>
          </w:tcPr>
          <w:p>
            <w:pPr>
              <w:jc w:val="right"/>
              <w:rPr>
                <w:sz w:val="22"/>
                <w:szCs w:val="22"/>
              </w:rPr>
            </w:pPr>
            <w:r>
              <w:rPr>
                <w:sz w:val="22"/>
                <w:szCs w:val="22"/>
              </w:rPr>
              <w:t>4.55</w:t>
            </w:r>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r>
              <w:t xml:space="preserve">Electricity supply — </w:t>
            </w:r>
          </w:p>
        </w:tc>
        <w:tc>
          <w:tcPr>
            <w:tcW w:w="999"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3</w:t>
            </w:r>
            <w:r>
              <w:noBreakHyphen/>
              <w:t>phase, if metering shows usage of more than $30.34 in a 12 hour period</w:t>
            </w:r>
          </w:p>
        </w:tc>
        <w:tc>
          <w:tcPr>
            <w:tcW w:w="999" w:type="dxa"/>
            <w:vAlign w:val="bottom"/>
          </w:tcPr>
          <w:p>
            <w:pPr>
              <w:pStyle w:val="yTableNAm"/>
              <w:keepNext/>
              <w:tabs>
                <w:tab w:val="clear" w:pos="567"/>
              </w:tabs>
              <w:spacing w:before="0"/>
              <w:jc w:val="right"/>
              <w:rPr>
                <w:bCs/>
                <w:szCs w:val="22"/>
              </w:rPr>
            </w:pPr>
            <w:r>
              <w:rPr>
                <w:bCs/>
                <w:szCs w:val="22"/>
              </w:rPr>
              <w:t>cost</w:t>
            </w: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12 hour period or part thereof</w:t>
            </w:r>
          </w:p>
        </w:tc>
        <w:tc>
          <w:tcPr>
            <w:tcW w:w="999" w:type="dxa"/>
            <w:tcBorders>
              <w:bottom w:val="single" w:sz="4" w:space="0" w:color="auto"/>
            </w:tcBorders>
            <w:vAlign w:val="bottom"/>
          </w:tcPr>
          <w:p>
            <w:pPr>
              <w:pStyle w:val="yTableNAm"/>
              <w:keepNext/>
              <w:tabs>
                <w:tab w:val="clear" w:pos="567"/>
              </w:tabs>
              <w:spacing w:before="0"/>
              <w:jc w:val="right"/>
              <w:rPr>
                <w:bCs/>
                <w:szCs w:val="22"/>
              </w:rPr>
            </w:pPr>
            <w:r>
              <w:rPr>
                <w:szCs w:val="22"/>
              </w:rPr>
              <w:t>30.34</w:t>
            </w:r>
          </w:p>
        </w:tc>
      </w:tr>
    </w:tbl>
    <w:p>
      <w:pPr>
        <w:pStyle w:val="yFootnotesection"/>
      </w:pPr>
      <w:r>
        <w:tab/>
        <w:t>[Clause 27 inserted in Gazette 13 Jul 2012 p. 3208.]</w:t>
      </w:r>
    </w:p>
    <w:p>
      <w:pPr>
        <w:pStyle w:val="yHeading5"/>
      </w:pPr>
      <w:bookmarkStart w:id="664" w:name="_Toc355611723"/>
      <w:r>
        <w:rPr>
          <w:rStyle w:val="CharSClsNo"/>
        </w:rPr>
        <w:t>28</w:t>
      </w:r>
      <w:r>
        <w:t>.</w:t>
      </w:r>
      <w:r>
        <w:rPr>
          <w:b w:val="0"/>
        </w:rPr>
        <w:tab/>
      </w:r>
      <w:r>
        <w:t>Slip services (r. 96)</w:t>
      </w:r>
      <w:bookmarkEnd w:id="664"/>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6"/>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8"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8" w:type="dxa"/>
            <w:gridSpan w:val="2"/>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gridSpan w:val="2"/>
          </w:tcPr>
          <w:p>
            <w:pPr>
              <w:pStyle w:val="yTableNAm"/>
              <w:tabs>
                <w:tab w:val="clear" w:pos="567"/>
              </w:tabs>
              <w:spacing w:before="0"/>
            </w:pPr>
            <w:r>
              <w:t xml:space="preserve">Water supply, per day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if metering indicates usage of more than $4.55 in a day</w:t>
            </w:r>
          </w:p>
        </w:tc>
        <w:tc>
          <w:tcPr>
            <w:tcW w:w="992" w:type="dxa"/>
            <w:vAlign w:val="bottom"/>
          </w:tcPr>
          <w:p>
            <w:pPr>
              <w:pStyle w:val="yTableNAm"/>
              <w:keepNext/>
              <w:tabs>
                <w:tab w:val="clear" w:pos="567"/>
              </w:tabs>
              <w:spacing w:before="0"/>
              <w:jc w:val="right"/>
              <w:rPr>
                <w:bCs/>
              </w:rPr>
            </w:pPr>
            <w:r>
              <w:rPr>
                <w:bCs/>
              </w:rPr>
              <w:br/>
              <w:t>cost</w:t>
            </w: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otherwise, per day</w:t>
            </w:r>
          </w:p>
        </w:tc>
        <w:tc>
          <w:tcPr>
            <w:tcW w:w="992" w:type="dxa"/>
            <w:vAlign w:val="bottom"/>
          </w:tcPr>
          <w:p>
            <w:pPr>
              <w:pStyle w:val="yTableNAm"/>
              <w:keepNext/>
              <w:tabs>
                <w:tab w:val="clear" w:pos="567"/>
              </w:tabs>
              <w:spacing w:before="0"/>
              <w:jc w:val="right"/>
              <w:rPr>
                <w:bCs/>
              </w:rPr>
            </w:pPr>
            <w:r>
              <w:rPr>
                <w:bCs/>
              </w:rPr>
              <w:t>4.55</w:t>
            </w:r>
          </w:p>
        </w:tc>
      </w:tr>
      <w:tr>
        <w:trPr>
          <w:cantSplit/>
        </w:trPr>
        <w:tc>
          <w:tcPr>
            <w:tcW w:w="567" w:type="dxa"/>
          </w:tcPr>
          <w:p>
            <w:pPr>
              <w:pStyle w:val="yTableNAm"/>
              <w:tabs>
                <w:tab w:val="clear" w:pos="567"/>
              </w:tabs>
              <w:spacing w:before="0"/>
            </w:pPr>
            <w:r>
              <w:t>2.</w:t>
            </w:r>
          </w:p>
        </w:tc>
        <w:tc>
          <w:tcPr>
            <w:tcW w:w="4394" w:type="dxa"/>
            <w:gridSpan w:val="2"/>
          </w:tcPr>
          <w:p>
            <w:pPr>
              <w:pStyle w:val="yTableNAm"/>
              <w:tabs>
                <w:tab w:val="clear" w:pos="567"/>
              </w:tabs>
              <w:spacing w:before="0"/>
            </w:pPr>
            <w:r>
              <w:t xml:space="preserve">Electricity supply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if metering indicates usage of more than $7.57 in a day</w:t>
            </w:r>
          </w:p>
        </w:tc>
        <w:tc>
          <w:tcPr>
            <w:tcW w:w="992" w:type="dxa"/>
            <w:vAlign w:val="bottom"/>
          </w:tcPr>
          <w:p>
            <w:pPr>
              <w:pStyle w:val="yTableNAm"/>
              <w:keepNext/>
              <w:tabs>
                <w:tab w:val="clear" w:pos="567"/>
              </w:tabs>
              <w:spacing w:before="0"/>
              <w:jc w:val="right"/>
              <w:rPr>
                <w:bCs/>
              </w:rPr>
            </w:pPr>
            <w:r>
              <w:rPr>
                <w:bCs/>
              </w:rPr>
              <w:br/>
              <w:t>cost</w:t>
            </w:r>
          </w:p>
        </w:tc>
      </w:tr>
      <w:tr>
        <w:trPr>
          <w:cantSplit/>
        </w:trPr>
        <w:tc>
          <w:tcPr>
            <w:tcW w:w="567" w:type="dxa"/>
            <w:tcBorders>
              <w:bottom w:val="single" w:sz="4" w:space="0" w:color="auto"/>
            </w:tcBorders>
          </w:tcPr>
          <w:p>
            <w:pPr>
              <w:pStyle w:val="yTableNAm"/>
              <w:tabs>
                <w:tab w:val="clear" w:pos="567"/>
              </w:tabs>
              <w:spacing w:before="0"/>
            </w:pPr>
          </w:p>
        </w:tc>
        <w:tc>
          <w:tcPr>
            <w:tcW w:w="4394" w:type="dxa"/>
            <w:gridSpan w:val="2"/>
            <w:tcBorders>
              <w:bottom w:val="single" w:sz="4" w:space="0" w:color="auto"/>
            </w:tcBorders>
          </w:tcPr>
          <w:p>
            <w:pPr>
              <w:pStyle w:val="yTableNAm"/>
              <w:tabs>
                <w:tab w:val="clear" w:pos="567"/>
                <w:tab w:val="left" w:pos="368"/>
              </w:tabs>
              <w:spacing w:before="0"/>
              <w:ind w:left="368" w:hanging="368"/>
            </w:pPr>
            <w:r>
              <w:t>•</w:t>
            </w:r>
            <w:r>
              <w:tab/>
              <w:t>otherwise, per day</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7.57</w:t>
            </w:r>
          </w:p>
        </w:tc>
      </w:tr>
    </w:tbl>
    <w:p>
      <w:pPr>
        <w:pStyle w:val="yFootnotesection"/>
      </w:pPr>
      <w:bookmarkStart w:id="665" w:name="_Toc329788541"/>
      <w:r>
        <w:tab/>
        <w:t>[Clause 28 inserted in Gazette 13 Jul 2012 p. 3208</w:t>
      </w:r>
      <w:r>
        <w:noBreakHyphen/>
        <w:t>9.]</w:t>
      </w:r>
    </w:p>
    <w:p>
      <w:pPr>
        <w:pStyle w:val="yScheduleHeading"/>
      </w:pPr>
      <w:bookmarkStart w:id="666" w:name="_Toc329850853"/>
      <w:bookmarkStart w:id="667" w:name="_Toc329851053"/>
      <w:bookmarkStart w:id="668" w:name="_Toc329863332"/>
      <w:bookmarkStart w:id="669" w:name="_Toc329864670"/>
      <w:bookmarkStart w:id="670" w:name="_Toc346791101"/>
      <w:bookmarkStart w:id="671" w:name="_Toc355611724"/>
      <w:bookmarkStart w:id="672" w:name="_Toc266960941"/>
      <w:bookmarkStart w:id="673" w:name="_Toc297293843"/>
      <w:bookmarkStart w:id="674" w:name="_Toc329788572"/>
      <w:bookmarkEnd w:id="603"/>
      <w:bookmarkEnd w:id="604"/>
      <w:bookmarkEnd w:id="605"/>
      <w:bookmarkEnd w:id="606"/>
      <w:bookmarkEnd w:id="607"/>
      <w:bookmarkEnd w:id="608"/>
      <w:bookmarkEnd w:id="609"/>
      <w:bookmarkEnd w:id="610"/>
      <w:bookmarkEnd w:id="611"/>
      <w:bookmarkEnd w:id="612"/>
      <w:bookmarkEnd w:id="613"/>
      <w:bookmarkEnd w:id="614"/>
      <w:bookmarkEnd w:id="615"/>
      <w:bookmarkEnd w:id="665"/>
      <w:r>
        <w:rPr>
          <w:rStyle w:val="CharSchNo"/>
        </w:rPr>
        <w:t>Schedule 1A</w:t>
      </w:r>
      <w:r>
        <w:rPr>
          <w:rStyle w:val="CharSDivNo"/>
        </w:rPr>
        <w:t> </w:t>
      </w:r>
      <w:r>
        <w:t>—</w:t>
      </w:r>
      <w:r>
        <w:rPr>
          <w:rStyle w:val="CharSDivText"/>
        </w:rPr>
        <w:t> </w:t>
      </w:r>
      <w:r>
        <w:rPr>
          <w:rStyle w:val="CharSchText"/>
        </w:rPr>
        <w:t>Fuel oil wharfage</w:t>
      </w:r>
      <w:bookmarkEnd w:id="666"/>
      <w:bookmarkEnd w:id="667"/>
      <w:bookmarkEnd w:id="668"/>
      <w:bookmarkEnd w:id="669"/>
      <w:bookmarkEnd w:id="670"/>
      <w:bookmarkEnd w:id="671"/>
    </w:p>
    <w:p>
      <w:pPr>
        <w:pStyle w:val="yShoulderClause"/>
      </w:pPr>
      <w:r>
        <w:t>[r. 11B(2)]</w:t>
      </w:r>
    </w:p>
    <w:p>
      <w:pPr>
        <w:pStyle w:val="yFootnoteheading"/>
        <w:spacing w:after="60"/>
      </w:pPr>
      <w:r>
        <w:tab/>
        <w:t>[Heading inserted in Gazette 13 Jul 2012 p. 3209.]</w:t>
      </w:r>
    </w:p>
    <w:p>
      <w:pPr>
        <w:pStyle w:val="yHeading5"/>
      </w:pPr>
      <w:bookmarkStart w:id="675" w:name="_Toc355611725"/>
      <w:r>
        <w:rPr>
          <w:rStyle w:val="CharSClsNo"/>
        </w:rPr>
        <w:t>1</w:t>
      </w:r>
      <w:r>
        <w:t>.</w:t>
      </w:r>
      <w:r>
        <w:rPr>
          <w:b w:val="0"/>
        </w:rPr>
        <w:tab/>
      </w:r>
      <w:r>
        <w:t>Wharfage for fuel (r. 11B(2))</w:t>
      </w:r>
      <w:bookmarkEnd w:id="675"/>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tabs>
                <w:tab w:val="clear" w:pos="567"/>
              </w:tabs>
              <w:spacing w:before="0"/>
              <w:rPr>
                <w:b/>
                <w:bCs/>
              </w:rPr>
            </w:pPr>
            <w:r>
              <w:rPr>
                <w:b/>
                <w:bCs/>
              </w:rPr>
              <w:t>$/L</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smartTag w:uri="urn:schemas-microsoft-com:office:smarttags" w:element="City">
              <w:r>
                <w:t>Albany</w:t>
              </w:r>
            </w:smartTag>
            <w:r>
              <w:t xml:space="preserve">, at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p>
        </w:tc>
        <w:tc>
          <w:tcPr>
            <w:tcW w:w="999" w:type="dxa"/>
          </w:tcPr>
          <w:p>
            <w:pPr>
              <w:pStyle w:val="yTableNAm"/>
              <w:tabs>
                <w:tab w:val="clear" w:pos="567"/>
              </w:tabs>
              <w:spacing w:before="0"/>
            </w:pPr>
            <w:r>
              <w:t>0.054</w:t>
            </w:r>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smartTag w:uri="urn:schemas-microsoft-com:office:smarttags" w:element="City">
              <w:r>
                <w:t>Albany</w:t>
              </w:r>
            </w:smartTag>
            <w:r>
              <w:t xml:space="preserve">, at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0.054</w:t>
            </w:r>
          </w:p>
        </w:tc>
      </w:tr>
      <w:tr>
        <w:trPr>
          <w:cantSplit/>
        </w:trPr>
        <w:tc>
          <w:tcPr>
            <w:tcW w:w="567" w:type="dxa"/>
          </w:tcPr>
          <w:p>
            <w:pPr>
              <w:pStyle w:val="yTableNAm"/>
              <w:tabs>
                <w:tab w:val="clear" w:pos="567"/>
              </w:tabs>
              <w:spacing w:before="0"/>
            </w:pPr>
            <w:r>
              <w:t>3.</w:t>
            </w:r>
          </w:p>
        </w:tc>
        <w:tc>
          <w:tcPr>
            <w:tcW w:w="4387" w:type="dxa"/>
          </w:tcPr>
          <w:p>
            <w:pPr>
              <w:pStyle w:val="yTableNAm"/>
              <w:tabs>
                <w:tab w:val="clear" w:pos="567"/>
              </w:tabs>
              <w:spacing w:before="0"/>
            </w:pPr>
            <w:smartTag w:uri="urn:schemas-microsoft-com:office:smarttags" w:element="place">
              <w:smartTag w:uri="urn:schemas-microsoft-com:office:smarttags" w:element="City">
                <w:r>
                  <w:t>Augusta</w:t>
                </w:r>
              </w:smartTag>
            </w:smartTag>
          </w:p>
        </w:tc>
        <w:tc>
          <w:tcPr>
            <w:tcW w:w="999" w:type="dxa"/>
          </w:tcPr>
          <w:p>
            <w:pPr>
              <w:pStyle w:val="yTableNAm"/>
              <w:tabs>
                <w:tab w:val="clear" w:pos="567"/>
              </w:tabs>
              <w:spacing w:before="0"/>
            </w:pPr>
            <w:r>
              <w:t>0.027</w:t>
            </w:r>
          </w:p>
        </w:tc>
      </w:tr>
      <w:tr>
        <w:trPr>
          <w:cantSplit/>
        </w:trPr>
        <w:tc>
          <w:tcPr>
            <w:tcW w:w="567" w:type="dxa"/>
          </w:tcPr>
          <w:p>
            <w:pPr>
              <w:pStyle w:val="yTableNAm"/>
              <w:tabs>
                <w:tab w:val="clear" w:pos="567"/>
              </w:tabs>
              <w:spacing w:before="0"/>
            </w:pPr>
            <w:r>
              <w:t>4.</w:t>
            </w:r>
          </w:p>
        </w:tc>
        <w:tc>
          <w:tcPr>
            <w:tcW w:w="4387" w:type="dxa"/>
          </w:tcPr>
          <w:p>
            <w:pPr>
              <w:pStyle w:val="yTableNAm"/>
              <w:tabs>
                <w:tab w:val="clear" w:pos="567"/>
              </w:tabs>
              <w:spacing w:before="0"/>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p>
        </w:tc>
        <w:tc>
          <w:tcPr>
            <w:tcW w:w="999" w:type="dxa"/>
          </w:tcPr>
          <w:p>
            <w:pPr>
              <w:pStyle w:val="yTableNAm"/>
              <w:tabs>
                <w:tab w:val="clear" w:pos="567"/>
              </w:tabs>
              <w:spacing w:before="0"/>
            </w:pPr>
            <w:r>
              <w:t>0.041</w:t>
            </w:r>
          </w:p>
        </w:tc>
      </w:tr>
      <w:tr>
        <w:trPr>
          <w:cantSplit/>
        </w:trPr>
        <w:tc>
          <w:tcPr>
            <w:tcW w:w="567" w:type="dxa"/>
          </w:tcPr>
          <w:p>
            <w:pPr>
              <w:pStyle w:val="yTableNAm"/>
              <w:tabs>
                <w:tab w:val="clear" w:pos="567"/>
              </w:tabs>
              <w:spacing w:before="0"/>
            </w:pPr>
            <w:r>
              <w:t>5.</w:t>
            </w:r>
          </w:p>
        </w:tc>
        <w:tc>
          <w:tcPr>
            <w:tcW w:w="4387" w:type="dxa"/>
          </w:tcPr>
          <w:p>
            <w:pPr>
              <w:pStyle w:val="yTableNAm"/>
              <w:tabs>
                <w:tab w:val="clear" w:pos="567"/>
              </w:tabs>
              <w:spacing w:before="0"/>
            </w:pPr>
            <w:r>
              <w:t xml:space="preserve">Bunbury, at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0.041</w:t>
            </w:r>
          </w:p>
        </w:tc>
      </w:tr>
      <w:tr>
        <w:trPr>
          <w:cantSplit/>
        </w:trPr>
        <w:tc>
          <w:tcPr>
            <w:tcW w:w="567" w:type="dxa"/>
          </w:tcPr>
          <w:p>
            <w:pPr>
              <w:pStyle w:val="yTableNAm"/>
              <w:tabs>
                <w:tab w:val="clear" w:pos="567"/>
              </w:tabs>
              <w:spacing w:before="0"/>
            </w:pPr>
            <w:r>
              <w:t>6.</w:t>
            </w:r>
          </w:p>
        </w:tc>
        <w:tc>
          <w:tcPr>
            <w:tcW w:w="4387" w:type="dxa"/>
          </w:tcPr>
          <w:p>
            <w:pPr>
              <w:pStyle w:val="yTableNAm"/>
              <w:tabs>
                <w:tab w:val="clear" w:pos="567"/>
              </w:tabs>
              <w:spacing w:before="0"/>
            </w:pPr>
            <w:r>
              <w:t>Carnarvon</w:t>
            </w:r>
          </w:p>
        </w:tc>
        <w:tc>
          <w:tcPr>
            <w:tcW w:w="999" w:type="dxa"/>
          </w:tcPr>
          <w:p>
            <w:pPr>
              <w:pStyle w:val="yTableNAm"/>
              <w:tabs>
                <w:tab w:val="clear" w:pos="567"/>
              </w:tabs>
              <w:spacing w:before="0"/>
            </w:pPr>
            <w:r>
              <w:t>0.059</w:t>
            </w:r>
          </w:p>
        </w:tc>
      </w:tr>
      <w:tr>
        <w:trPr>
          <w:cantSplit/>
        </w:trPr>
        <w:tc>
          <w:tcPr>
            <w:tcW w:w="567" w:type="dxa"/>
          </w:tcPr>
          <w:p>
            <w:pPr>
              <w:pStyle w:val="yTableNAm"/>
              <w:tabs>
                <w:tab w:val="clear" w:pos="567"/>
              </w:tabs>
              <w:spacing w:before="0"/>
            </w:pPr>
            <w:r>
              <w:t>7.</w:t>
            </w:r>
          </w:p>
        </w:tc>
        <w:tc>
          <w:tcPr>
            <w:tcW w:w="4387" w:type="dxa"/>
          </w:tcPr>
          <w:p>
            <w:pPr>
              <w:pStyle w:val="yTableNAm"/>
              <w:tabs>
                <w:tab w:val="clear" w:pos="567"/>
              </w:tabs>
              <w:spacing w:before="0"/>
            </w:pPr>
            <w:r>
              <w:t>Exmouth</w:t>
            </w:r>
          </w:p>
        </w:tc>
        <w:tc>
          <w:tcPr>
            <w:tcW w:w="999" w:type="dxa"/>
          </w:tcPr>
          <w:p>
            <w:pPr>
              <w:pStyle w:val="yTableNAm"/>
              <w:tabs>
                <w:tab w:val="clear" w:pos="567"/>
              </w:tabs>
              <w:spacing w:before="0"/>
            </w:pPr>
            <w:r>
              <w:t>0.051</w:t>
            </w:r>
          </w:p>
        </w:tc>
      </w:tr>
      <w:tr>
        <w:trPr>
          <w:cantSplit/>
        </w:trPr>
        <w:tc>
          <w:tcPr>
            <w:tcW w:w="567" w:type="dxa"/>
          </w:tcPr>
          <w:p>
            <w:pPr>
              <w:pStyle w:val="yTableNAm"/>
              <w:tabs>
                <w:tab w:val="clear" w:pos="567"/>
              </w:tabs>
              <w:spacing w:before="0"/>
            </w:pPr>
            <w:r>
              <w:t>8.</w:t>
            </w:r>
          </w:p>
        </w:tc>
        <w:tc>
          <w:tcPr>
            <w:tcW w:w="4387" w:type="dxa"/>
          </w:tcPr>
          <w:p>
            <w:pPr>
              <w:pStyle w:val="yTableNAm"/>
              <w:tabs>
                <w:tab w:val="clear" w:pos="567"/>
              </w:tabs>
              <w:spacing w:before="0"/>
            </w:pPr>
            <w:r>
              <w:t xml:space="preserve">Fremantle, at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0.017</w:t>
            </w:r>
          </w:p>
        </w:tc>
      </w:tr>
      <w:tr>
        <w:trPr>
          <w:cantSplit/>
        </w:trPr>
        <w:tc>
          <w:tcPr>
            <w:tcW w:w="567" w:type="dxa"/>
          </w:tcPr>
          <w:p>
            <w:pPr>
              <w:pStyle w:val="yTableNAm"/>
              <w:tabs>
                <w:tab w:val="clear" w:pos="567"/>
              </w:tabs>
              <w:spacing w:before="0"/>
            </w:pPr>
            <w:r>
              <w:t>9.</w:t>
            </w:r>
          </w:p>
        </w:tc>
        <w:tc>
          <w:tcPr>
            <w:tcW w:w="4387" w:type="dxa"/>
          </w:tcPr>
          <w:p>
            <w:pPr>
              <w:pStyle w:val="yTableNAm"/>
              <w:tabs>
                <w:tab w:val="clear" w:pos="567"/>
              </w:tabs>
              <w:spacing w:before="0"/>
            </w:pPr>
            <w:r>
              <w:t>Green Head</w:t>
            </w:r>
          </w:p>
        </w:tc>
        <w:tc>
          <w:tcPr>
            <w:tcW w:w="999" w:type="dxa"/>
          </w:tcPr>
          <w:p>
            <w:pPr>
              <w:pStyle w:val="yTableNAm"/>
              <w:tabs>
                <w:tab w:val="clear" w:pos="567"/>
              </w:tabs>
              <w:spacing w:before="0"/>
            </w:pPr>
            <w:r>
              <w:t>0.078</w:t>
            </w:r>
          </w:p>
        </w:tc>
      </w:tr>
      <w:tr>
        <w:trPr>
          <w:cantSplit/>
        </w:trPr>
        <w:tc>
          <w:tcPr>
            <w:tcW w:w="567" w:type="dxa"/>
          </w:tcPr>
          <w:p>
            <w:pPr>
              <w:pStyle w:val="yTableNAm"/>
              <w:tabs>
                <w:tab w:val="clear" w:pos="567"/>
              </w:tabs>
              <w:spacing w:before="0"/>
            </w:pPr>
            <w:r>
              <w:t>10.</w:t>
            </w:r>
          </w:p>
        </w:tc>
        <w:tc>
          <w:tcPr>
            <w:tcW w:w="4387" w:type="dxa"/>
          </w:tcPr>
          <w:p>
            <w:pPr>
              <w:pStyle w:val="yTableNAm"/>
              <w:tabs>
                <w:tab w:val="clear" w:pos="567"/>
              </w:tabs>
              <w:spacing w:before="0"/>
            </w:pPr>
            <w:r>
              <w:t>Hopetoun</w:t>
            </w:r>
          </w:p>
        </w:tc>
        <w:tc>
          <w:tcPr>
            <w:tcW w:w="999" w:type="dxa"/>
          </w:tcPr>
          <w:p>
            <w:pPr>
              <w:pStyle w:val="yTableNAm"/>
              <w:tabs>
                <w:tab w:val="clear" w:pos="567"/>
              </w:tabs>
              <w:spacing w:before="0"/>
            </w:pPr>
            <w:r>
              <w:t>0.047</w:t>
            </w:r>
          </w:p>
        </w:tc>
      </w:tr>
      <w:tr>
        <w:trPr>
          <w:cantSplit/>
        </w:trPr>
        <w:tc>
          <w:tcPr>
            <w:tcW w:w="567" w:type="dxa"/>
          </w:tcPr>
          <w:p>
            <w:pPr>
              <w:pStyle w:val="yTableNAm"/>
              <w:tabs>
                <w:tab w:val="clear" w:pos="567"/>
              </w:tabs>
              <w:spacing w:before="0"/>
            </w:pPr>
            <w:r>
              <w:t>11.</w:t>
            </w:r>
          </w:p>
        </w:tc>
        <w:tc>
          <w:tcPr>
            <w:tcW w:w="4387" w:type="dxa"/>
          </w:tcPr>
          <w:p>
            <w:pPr>
              <w:pStyle w:val="yTableNAm"/>
              <w:tabs>
                <w:tab w:val="clear" w:pos="567"/>
              </w:tabs>
              <w:spacing w:before="0"/>
            </w:pPr>
            <w:r>
              <w:t>Kalbarri</w:t>
            </w:r>
          </w:p>
        </w:tc>
        <w:tc>
          <w:tcPr>
            <w:tcW w:w="999" w:type="dxa"/>
          </w:tcPr>
          <w:p>
            <w:pPr>
              <w:pStyle w:val="yTableNAm"/>
              <w:tabs>
                <w:tab w:val="clear" w:pos="567"/>
              </w:tabs>
              <w:spacing w:before="0"/>
            </w:pPr>
            <w:r>
              <w:t>0.051</w:t>
            </w:r>
          </w:p>
        </w:tc>
      </w:tr>
      <w:tr>
        <w:trPr>
          <w:cantSplit/>
        </w:trPr>
        <w:tc>
          <w:tcPr>
            <w:tcW w:w="567" w:type="dxa"/>
          </w:tcPr>
          <w:p>
            <w:pPr>
              <w:pStyle w:val="yTableNAm"/>
              <w:tabs>
                <w:tab w:val="clear" w:pos="567"/>
              </w:tabs>
              <w:spacing w:before="0"/>
            </w:pPr>
            <w:r>
              <w:t>12.</w:t>
            </w:r>
          </w:p>
        </w:tc>
        <w:tc>
          <w:tcPr>
            <w:tcW w:w="4387" w:type="dxa"/>
          </w:tcPr>
          <w:p>
            <w:pPr>
              <w:pStyle w:val="yTableNAm"/>
              <w:tabs>
                <w:tab w:val="clear" w:pos="567"/>
              </w:tabs>
              <w:spacing w:before="0"/>
            </w:pPr>
            <w:r>
              <w:t>Lancelin</w:t>
            </w:r>
          </w:p>
        </w:tc>
        <w:tc>
          <w:tcPr>
            <w:tcW w:w="999" w:type="dxa"/>
          </w:tcPr>
          <w:p>
            <w:pPr>
              <w:pStyle w:val="yTableNAm"/>
              <w:tabs>
                <w:tab w:val="clear" w:pos="567"/>
              </w:tabs>
              <w:spacing w:before="0"/>
            </w:pPr>
            <w:r>
              <w:t>0.031</w:t>
            </w:r>
          </w:p>
        </w:tc>
      </w:tr>
      <w:tr>
        <w:trPr>
          <w:cantSplit/>
        </w:trPr>
        <w:tc>
          <w:tcPr>
            <w:tcW w:w="567" w:type="dxa"/>
          </w:tcPr>
          <w:p>
            <w:pPr>
              <w:pStyle w:val="yTableNAm"/>
              <w:tabs>
                <w:tab w:val="clear" w:pos="567"/>
              </w:tabs>
              <w:spacing w:before="0"/>
            </w:pPr>
            <w:r>
              <w:t>13.</w:t>
            </w:r>
          </w:p>
        </w:tc>
        <w:tc>
          <w:tcPr>
            <w:tcW w:w="4387" w:type="dxa"/>
          </w:tcPr>
          <w:p>
            <w:pPr>
              <w:pStyle w:val="yTableNAm"/>
              <w:tabs>
                <w:tab w:val="clear" w:pos="567"/>
              </w:tabs>
              <w:spacing w:before="0"/>
            </w:pPr>
            <w:r>
              <w:t>Leeman</w:t>
            </w:r>
          </w:p>
        </w:tc>
        <w:tc>
          <w:tcPr>
            <w:tcW w:w="999" w:type="dxa"/>
          </w:tcPr>
          <w:p>
            <w:pPr>
              <w:pStyle w:val="yTableNAm"/>
              <w:tabs>
                <w:tab w:val="clear" w:pos="567"/>
              </w:tabs>
              <w:spacing w:before="0"/>
            </w:pPr>
            <w:r>
              <w:t>0.048</w:t>
            </w:r>
          </w:p>
        </w:tc>
      </w:tr>
      <w:tr>
        <w:trPr>
          <w:cantSplit/>
        </w:trPr>
        <w:tc>
          <w:tcPr>
            <w:tcW w:w="567" w:type="dxa"/>
          </w:tcPr>
          <w:p>
            <w:pPr>
              <w:pStyle w:val="yTableNAm"/>
              <w:tabs>
                <w:tab w:val="clear" w:pos="567"/>
              </w:tabs>
              <w:spacing w:before="0"/>
            </w:pPr>
            <w:r>
              <w:t>14.</w:t>
            </w:r>
          </w:p>
        </w:tc>
        <w:tc>
          <w:tcPr>
            <w:tcW w:w="4387" w:type="dxa"/>
          </w:tcPr>
          <w:p>
            <w:pPr>
              <w:pStyle w:val="yTableNAm"/>
              <w:tabs>
                <w:tab w:val="clear" w:pos="567"/>
              </w:tabs>
              <w:spacing w:before="0"/>
            </w:pPr>
            <w:r>
              <w:t xml:space="preserve">Onslow, at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0.051</w:t>
            </w:r>
          </w:p>
        </w:tc>
      </w:tr>
      <w:tr>
        <w:trPr>
          <w:cantSplit/>
        </w:trPr>
        <w:tc>
          <w:tcPr>
            <w:tcW w:w="567" w:type="dxa"/>
          </w:tcPr>
          <w:p>
            <w:pPr>
              <w:pStyle w:val="yTableNAm"/>
              <w:tabs>
                <w:tab w:val="clear" w:pos="567"/>
              </w:tabs>
              <w:spacing w:before="0"/>
            </w:pPr>
            <w:r>
              <w:t>15.</w:t>
            </w:r>
          </w:p>
        </w:tc>
        <w:tc>
          <w:tcPr>
            <w:tcW w:w="4387" w:type="dxa"/>
          </w:tcPr>
          <w:p>
            <w:pPr>
              <w:pStyle w:val="yTableNAm"/>
              <w:tabs>
                <w:tab w:val="clear" w:pos="567"/>
              </w:tabs>
              <w:spacing w:before="0"/>
            </w:pPr>
            <w:r>
              <w:t xml:space="preserve">Point Samson, at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0.051</w:t>
            </w:r>
          </w:p>
        </w:tc>
      </w:tr>
      <w:tr>
        <w:trPr>
          <w:cantSplit/>
        </w:trPr>
        <w:tc>
          <w:tcPr>
            <w:tcW w:w="567" w:type="dxa"/>
          </w:tcPr>
          <w:p>
            <w:pPr>
              <w:pStyle w:val="yTableNAm"/>
              <w:keepNext/>
              <w:tabs>
                <w:tab w:val="clear" w:pos="567"/>
              </w:tabs>
              <w:spacing w:before="0"/>
            </w:pPr>
            <w:r>
              <w:t>16.</w:t>
            </w:r>
          </w:p>
        </w:tc>
        <w:tc>
          <w:tcPr>
            <w:tcW w:w="4387" w:type="dxa"/>
          </w:tcPr>
          <w:p>
            <w:pPr>
              <w:pStyle w:val="yTableNAm"/>
              <w:keepNext/>
              <w:tabs>
                <w:tab w:val="clear" w:pos="567"/>
              </w:tabs>
              <w:spacing w:before="0"/>
            </w:pPr>
            <w:r>
              <w:t>Port Gregory</w:t>
            </w:r>
          </w:p>
        </w:tc>
        <w:tc>
          <w:tcPr>
            <w:tcW w:w="999" w:type="dxa"/>
          </w:tcPr>
          <w:p>
            <w:pPr>
              <w:pStyle w:val="yTableNAm"/>
              <w:keepNext/>
              <w:tabs>
                <w:tab w:val="clear" w:pos="567"/>
              </w:tabs>
              <w:spacing w:before="0"/>
            </w:pPr>
            <w:r>
              <w:t>0.067</w:t>
            </w:r>
          </w:p>
        </w:tc>
      </w:tr>
      <w:tr>
        <w:trPr>
          <w:cantSplit/>
        </w:trPr>
        <w:tc>
          <w:tcPr>
            <w:tcW w:w="567" w:type="dxa"/>
            <w:tcBorders>
              <w:bottom w:val="single" w:sz="4" w:space="0" w:color="auto"/>
            </w:tcBorders>
          </w:tcPr>
          <w:p>
            <w:pPr>
              <w:pStyle w:val="yTableNAm"/>
              <w:keepNext/>
              <w:tabs>
                <w:tab w:val="clear" w:pos="567"/>
              </w:tabs>
              <w:spacing w:before="0"/>
            </w:pPr>
            <w:r>
              <w:t>17.</w:t>
            </w:r>
          </w:p>
        </w:tc>
        <w:tc>
          <w:tcPr>
            <w:tcW w:w="4387" w:type="dxa"/>
            <w:tcBorders>
              <w:bottom w:val="single" w:sz="4" w:space="0" w:color="auto"/>
            </w:tcBorders>
          </w:tcPr>
          <w:p>
            <w:pPr>
              <w:pStyle w:val="yTableNAm"/>
              <w:keepNext/>
              <w:tabs>
                <w:tab w:val="clear" w:pos="567"/>
              </w:tabs>
              <w:spacing w:before="0"/>
            </w:pPr>
            <w:r>
              <w:t>Wyndham</w:t>
            </w:r>
          </w:p>
        </w:tc>
        <w:tc>
          <w:tcPr>
            <w:tcW w:w="999" w:type="dxa"/>
            <w:tcBorders>
              <w:bottom w:val="single" w:sz="4" w:space="0" w:color="auto"/>
            </w:tcBorders>
          </w:tcPr>
          <w:p>
            <w:pPr>
              <w:pStyle w:val="yTableNAm"/>
              <w:keepNext/>
              <w:tabs>
                <w:tab w:val="clear" w:pos="567"/>
              </w:tabs>
              <w:spacing w:before="0"/>
            </w:pPr>
            <w:r>
              <w:t>0.00992</w:t>
            </w:r>
          </w:p>
        </w:tc>
      </w:tr>
    </w:tbl>
    <w:p>
      <w:pPr>
        <w:pStyle w:val="yFootnotesection"/>
      </w:pPr>
      <w:r>
        <w:tab/>
        <w:t>[Clause 1 inserted in Gazette 13 Jul 2012 p. 3209</w:t>
      </w:r>
      <w:r>
        <w:noBreakHyphen/>
        <w:t>10.]</w:t>
      </w:r>
    </w:p>
    <w:p>
      <w:pPr>
        <w:pStyle w:val="yScheduleHeading"/>
      </w:pPr>
      <w:bookmarkStart w:id="676" w:name="_Toc329850855"/>
      <w:bookmarkStart w:id="677" w:name="_Toc329851055"/>
      <w:bookmarkStart w:id="678" w:name="_Toc329863334"/>
      <w:bookmarkStart w:id="679" w:name="_Toc329864672"/>
      <w:bookmarkStart w:id="680" w:name="_Toc346791103"/>
      <w:bookmarkStart w:id="681" w:name="_Toc355611726"/>
      <w:bookmarkStart w:id="682" w:name="_Toc297293845"/>
      <w:bookmarkStart w:id="683" w:name="_Toc329788574"/>
      <w:bookmarkEnd w:id="672"/>
      <w:bookmarkEnd w:id="673"/>
      <w:bookmarkEnd w:id="674"/>
      <w:r>
        <w:rPr>
          <w:rStyle w:val="CharSchNo"/>
        </w:rPr>
        <w:t>Schedule 2</w:t>
      </w:r>
      <w:r>
        <w:t> — </w:t>
      </w:r>
      <w:smartTag w:uri="urn:schemas-microsoft-com:office:smarttags" w:element="place">
        <w:smartTag w:uri="urn:schemas-microsoft-com:office:smarttags" w:element="PlaceType">
          <w:r>
            <w:rPr>
              <w:rStyle w:val="CharSchText"/>
            </w:rPr>
            <w:t>Port</w:t>
          </w:r>
        </w:smartTag>
        <w:r>
          <w:rPr>
            <w:rStyle w:val="CharSchText"/>
          </w:rPr>
          <w:t xml:space="preserve"> of </w:t>
        </w:r>
        <w:smartTag w:uri="urn:schemas-microsoft-com:office:smarttags" w:element="PlaceName">
          <w:r>
            <w:rPr>
              <w:rStyle w:val="CharSchText"/>
            </w:rPr>
            <w:t>Perth</w:t>
          </w:r>
        </w:smartTag>
      </w:smartTag>
      <w:r>
        <w:rPr>
          <w:rStyle w:val="CharSchText"/>
        </w:rPr>
        <w:t xml:space="preserve"> fees</w:t>
      </w:r>
      <w:bookmarkEnd w:id="676"/>
      <w:bookmarkEnd w:id="677"/>
      <w:bookmarkEnd w:id="678"/>
      <w:bookmarkEnd w:id="679"/>
      <w:bookmarkEnd w:id="680"/>
      <w:bookmarkEnd w:id="681"/>
    </w:p>
    <w:p>
      <w:pPr>
        <w:pStyle w:val="yShoulderClause"/>
      </w:pPr>
      <w:r>
        <w:t>[r. 72]</w:t>
      </w:r>
    </w:p>
    <w:p>
      <w:pPr>
        <w:pStyle w:val="yFootnoteheading"/>
        <w:spacing w:after="60"/>
      </w:pPr>
      <w:r>
        <w:tab/>
        <w:t>[Heading inserted in Gazette 13 Jul 2012 p. 3210.]</w:t>
      </w:r>
    </w:p>
    <w:p>
      <w:pPr>
        <w:pStyle w:val="yHeading3"/>
      </w:pPr>
      <w:bookmarkStart w:id="684" w:name="_Toc329850856"/>
      <w:bookmarkStart w:id="685" w:name="_Toc329851056"/>
      <w:bookmarkStart w:id="686" w:name="_Toc329863335"/>
      <w:bookmarkStart w:id="687" w:name="_Toc329864673"/>
      <w:bookmarkStart w:id="688" w:name="_Toc346791104"/>
      <w:bookmarkStart w:id="689" w:name="_Toc355611727"/>
      <w:r>
        <w:rPr>
          <w:rStyle w:val="CharSDivNo"/>
        </w:rPr>
        <w:t>Division 1</w:t>
      </w:r>
      <w:r>
        <w:rPr>
          <w:bCs/>
        </w:rPr>
        <w:t> — </w:t>
      </w:r>
      <w:r>
        <w:rPr>
          <w:rStyle w:val="CharSDivText"/>
        </w:rPr>
        <w:t>Fees for jetties</w:t>
      </w:r>
      <w:bookmarkEnd w:id="684"/>
      <w:bookmarkEnd w:id="685"/>
      <w:bookmarkEnd w:id="686"/>
      <w:bookmarkEnd w:id="687"/>
      <w:bookmarkEnd w:id="688"/>
      <w:bookmarkEnd w:id="689"/>
    </w:p>
    <w:p>
      <w:pPr>
        <w:pStyle w:val="yFootnoteheading"/>
        <w:spacing w:after="60"/>
      </w:pPr>
      <w:r>
        <w:tab/>
        <w:t>[Heading inserted in Gazette 13 Jul 2012 p. 3210.]</w:t>
      </w:r>
    </w:p>
    <w:p>
      <w:pPr>
        <w:pStyle w:val="yHeading5"/>
      </w:pPr>
      <w:bookmarkStart w:id="690" w:name="_Toc355611728"/>
      <w:smartTag w:uri="urn:schemas-microsoft-com:office:smarttags" w:element="Street">
        <w:smartTag w:uri="urn:schemas-microsoft-com:office:smarttags" w:element="address">
          <w:r>
            <w:rPr>
              <w:rStyle w:val="CharSClsNo"/>
            </w:rPr>
            <w:t>1</w:t>
          </w:r>
          <w:r>
            <w:t>.</w:t>
          </w:r>
          <w:r>
            <w:rPr>
              <w:b w:val="0"/>
            </w:rPr>
            <w:tab/>
          </w:r>
          <w:r>
            <w:t>Barrack Street</w:t>
          </w:r>
        </w:smartTag>
      </w:smartTag>
      <w:r>
        <w:t xml:space="preserve"> and </w:t>
      </w:r>
      <w:smartTag w:uri="urn:schemas-microsoft-com:office:smarttags" w:element="Street">
        <w:smartTag w:uri="urn:schemas-microsoft-com:office:smarttags" w:element="address">
          <w:r>
            <w:t>Mends Street</w:t>
          </w:r>
        </w:smartTag>
      </w:smartTag>
      <w:r>
        <w:t xml:space="preserve"> jetties</w:t>
      </w:r>
      <w:bookmarkEnd w:id="690"/>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538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5386" w:type="dxa"/>
            <w:tcBorders>
              <w:top w:val="single" w:sz="4" w:space="0" w:color="auto"/>
              <w:bottom w:val="single" w:sz="4" w:space="0" w:color="auto"/>
            </w:tcBorders>
          </w:tcPr>
          <w:p>
            <w:pPr>
              <w:pStyle w:val="yTableNAm"/>
              <w:tabs>
                <w:tab w:val="clear" w:pos="567"/>
              </w:tabs>
              <w:spacing w:before="0"/>
              <w:rPr>
                <w:b/>
                <w:bCs/>
              </w:rPr>
            </w:pPr>
            <w:r>
              <w:rPr>
                <w:b/>
                <w:bCs/>
              </w:rPr>
              <w:t>Service and fee</w:t>
            </w:r>
          </w:p>
        </w:tc>
      </w:tr>
      <w:tr>
        <w:trPr>
          <w:cantSplit/>
        </w:trPr>
        <w:tc>
          <w:tcPr>
            <w:tcW w:w="567" w:type="dxa"/>
          </w:tcPr>
          <w:p>
            <w:pPr>
              <w:pStyle w:val="yTableNAm"/>
              <w:tabs>
                <w:tab w:val="clear" w:pos="567"/>
              </w:tabs>
              <w:spacing w:before="0"/>
            </w:pPr>
            <w:r>
              <w:t>1.</w:t>
            </w:r>
          </w:p>
        </w:tc>
        <w:tc>
          <w:tcPr>
            <w:tcW w:w="5386" w:type="dxa"/>
          </w:tcPr>
          <w:p>
            <w:pPr>
              <w:pStyle w:val="yTableNAm"/>
              <w:tabs>
                <w:tab w:val="clear" w:pos="567"/>
              </w:tabs>
              <w:spacing w:before="0"/>
            </w:pPr>
            <w:r>
              <w:t>For vessel for 12 months — the higher of $4 321.67 and the result of the following calculation —</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s>
              <w:spacing w:before="0"/>
              <w:ind w:left="369" w:hanging="369"/>
            </w:pPr>
            <w:r>
              <w:t>•</w:t>
            </w:r>
            <w:r>
              <w:tab/>
              <w:t>$60.50 per passenger calculated on the vessel’s passenger carrying capacity under its highest class of survey</w:t>
            </w:r>
          </w:p>
        </w:tc>
      </w:tr>
      <w:tr>
        <w:trPr>
          <w:cantSplit/>
        </w:trPr>
        <w:tc>
          <w:tcPr>
            <w:tcW w:w="567" w:type="dxa"/>
          </w:tcPr>
          <w:p>
            <w:pPr>
              <w:pStyle w:val="yTableNAm"/>
              <w:keepNext/>
              <w:tabs>
                <w:tab w:val="clear" w:pos="567"/>
              </w:tabs>
              <w:spacing w:before="0"/>
            </w:pPr>
          </w:p>
        </w:tc>
        <w:tc>
          <w:tcPr>
            <w:tcW w:w="5386" w:type="dxa"/>
          </w:tcPr>
          <w:p>
            <w:pPr>
              <w:pStyle w:val="yTableNAm"/>
              <w:keepNext/>
              <w:tabs>
                <w:tab w:val="clear" w:pos="567"/>
                <w:tab w:val="left" w:pos="368"/>
              </w:tabs>
              <w:spacing w:before="0"/>
              <w:ind w:left="368" w:hanging="368"/>
            </w:pPr>
            <w:r>
              <w:t>•</w:t>
            </w:r>
            <w:r>
              <w:tab/>
              <w:t>plus —</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 w:val="left" w:pos="793"/>
              </w:tabs>
              <w:spacing w:before="0"/>
              <w:ind w:left="793" w:hanging="793"/>
            </w:pPr>
            <w:r>
              <w:tab/>
              <w:t>•</w:t>
            </w:r>
            <w:r>
              <w:tab/>
              <w:t>for vessel up to 35 m long, higher of $7 778.98 or $432.17 per m of vessel’s length; or</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 w:val="left" w:pos="793"/>
              </w:tabs>
              <w:spacing w:before="0"/>
              <w:ind w:left="793" w:hanging="793"/>
            </w:pPr>
            <w:r>
              <w:tab/>
              <w:t>•</w:t>
            </w:r>
            <w:r>
              <w:tab/>
              <w:t>for vessel 35 m long or over, $691.47 per m of vessel’s length</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s>
              <w:spacing w:before="0"/>
              <w:ind w:left="368" w:hanging="368"/>
            </w:pPr>
            <w:r>
              <w:t>•</w:t>
            </w:r>
            <w:r>
              <w:tab/>
              <w:t>minus — $6 050.35</w:t>
            </w:r>
          </w:p>
        </w:tc>
      </w:tr>
      <w:tr>
        <w:trPr>
          <w:cantSplit/>
        </w:trPr>
        <w:tc>
          <w:tcPr>
            <w:tcW w:w="567" w:type="dxa"/>
            <w:tcBorders>
              <w:bottom w:val="single" w:sz="4" w:space="0" w:color="auto"/>
            </w:tcBorders>
          </w:tcPr>
          <w:p>
            <w:pPr>
              <w:pStyle w:val="yTableNAm"/>
              <w:tabs>
                <w:tab w:val="clear" w:pos="567"/>
              </w:tabs>
              <w:spacing w:before="0"/>
            </w:pPr>
            <w:r>
              <w:t>2.</w:t>
            </w:r>
          </w:p>
        </w:tc>
        <w:tc>
          <w:tcPr>
            <w:tcW w:w="5386" w:type="dxa"/>
            <w:tcBorders>
              <w:bottom w:val="single" w:sz="4" w:space="0" w:color="auto"/>
            </w:tcBorders>
          </w:tcPr>
          <w:p>
            <w:pPr>
              <w:pStyle w:val="yTableNAm"/>
              <w:tabs>
                <w:tab w:val="clear" w:pos="567"/>
              </w:tabs>
              <w:spacing w:before="0"/>
            </w:pPr>
            <w:r>
              <w:t>Sullage fee for vessel for which the item 1 fee has not been paid, per pump out — $86.44</w:t>
            </w:r>
          </w:p>
        </w:tc>
      </w:tr>
    </w:tbl>
    <w:p>
      <w:pPr>
        <w:pStyle w:val="yFootnotesection"/>
      </w:pPr>
      <w:r>
        <w:tab/>
        <w:t>[Clause 1 inserted in Gazette 13 Jul 2012 p. 3210</w:t>
      </w:r>
      <w:r>
        <w:noBreakHyphen/>
        <w:t>11.]</w:t>
      </w:r>
    </w:p>
    <w:p>
      <w:pPr>
        <w:pStyle w:val="yHeading5"/>
      </w:pPr>
      <w:bookmarkStart w:id="691" w:name="_Toc355611729"/>
      <w:r>
        <w:rPr>
          <w:rStyle w:val="CharSClsNo"/>
        </w:rPr>
        <w:t>2</w:t>
      </w:r>
      <w:r>
        <w:t>.</w:t>
      </w:r>
      <w:r>
        <w:rPr>
          <w:b w:val="0"/>
        </w:rPr>
        <w:tab/>
      </w:r>
      <w:r>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691"/>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For commercial or charter vessel —</w:t>
            </w:r>
          </w:p>
        </w:tc>
        <w:tc>
          <w:tcPr>
            <w:tcW w:w="999" w:type="dxa"/>
          </w:tcPr>
          <w:p>
            <w:pPr>
              <w:pStyle w:val="yTableNAm"/>
              <w:keepNext/>
              <w:tabs>
                <w:tab w:val="clear" w:pos="567"/>
              </w:tabs>
              <w:spacing w:before="0"/>
              <w:jc w:val="right"/>
              <w:rPr>
                <w:bCs/>
              </w:rPr>
            </w:pPr>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for 12 months, per m of vessel’s length</w:t>
            </w:r>
          </w:p>
        </w:tc>
        <w:tc>
          <w:tcPr>
            <w:tcW w:w="999" w:type="dxa"/>
            <w:tcBorders>
              <w:bottom w:val="single" w:sz="4" w:space="0" w:color="auto"/>
            </w:tcBorders>
            <w:vAlign w:val="bottom"/>
          </w:tcPr>
          <w:p>
            <w:pPr>
              <w:pStyle w:val="yTableNAm"/>
              <w:keepNext/>
              <w:tabs>
                <w:tab w:val="clear" w:pos="567"/>
              </w:tabs>
              <w:spacing w:before="0"/>
              <w:jc w:val="right"/>
              <w:rPr>
                <w:bCs/>
              </w:rPr>
            </w:pPr>
            <w:r>
              <w:rPr>
                <w:bCs/>
              </w:rPr>
              <w:t>77.48</w:t>
            </w:r>
          </w:p>
        </w:tc>
      </w:tr>
    </w:tbl>
    <w:p>
      <w:pPr>
        <w:pStyle w:val="yFootnotesection"/>
      </w:pPr>
      <w:r>
        <w:tab/>
        <w:t>[Clause 2 inserted in Gazette 13 Jul 2012 p. 3211.]</w:t>
      </w:r>
    </w:p>
    <w:p>
      <w:pPr>
        <w:pStyle w:val="yHeading3"/>
      </w:pPr>
      <w:bookmarkStart w:id="692" w:name="_Toc329850859"/>
      <w:bookmarkStart w:id="693" w:name="_Toc329851059"/>
      <w:bookmarkStart w:id="694" w:name="_Toc329863338"/>
      <w:bookmarkStart w:id="695" w:name="_Toc329864676"/>
      <w:bookmarkStart w:id="696" w:name="_Toc346791107"/>
      <w:bookmarkStart w:id="697" w:name="_Toc355611730"/>
      <w:r>
        <w:rPr>
          <w:rStyle w:val="CharSDivNo"/>
        </w:rPr>
        <w:t>Division 2</w:t>
      </w:r>
      <w:r>
        <w:rPr>
          <w:bCs/>
        </w:rPr>
        <w:t> — </w:t>
      </w:r>
      <w:r>
        <w:rPr>
          <w:rStyle w:val="CharSDivText"/>
        </w:rPr>
        <w:t>Fees for boat pens</w:t>
      </w:r>
      <w:bookmarkEnd w:id="692"/>
      <w:bookmarkEnd w:id="693"/>
      <w:bookmarkEnd w:id="694"/>
      <w:bookmarkEnd w:id="695"/>
      <w:bookmarkEnd w:id="696"/>
      <w:bookmarkEnd w:id="697"/>
    </w:p>
    <w:p>
      <w:pPr>
        <w:pStyle w:val="yFootnoteheading"/>
        <w:spacing w:after="60"/>
      </w:pPr>
      <w:r>
        <w:tab/>
        <w:t>[Heading inserted in Gazette 13 Jul 2012 p. 3211.]</w:t>
      </w:r>
    </w:p>
    <w:p>
      <w:pPr>
        <w:pStyle w:val="yHeading5"/>
      </w:pPr>
      <w:bookmarkStart w:id="698" w:name="_Toc355611731"/>
      <w:r>
        <w:rPr>
          <w:rStyle w:val="CharSClsNo"/>
        </w:rPr>
        <w:t>3</w:t>
      </w:r>
      <w:r>
        <w:t>.</w:t>
      </w:r>
      <w:r>
        <w:rPr>
          <w:b w:val="0"/>
        </w:rPr>
        <w:tab/>
      </w:r>
      <w:r>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98"/>
    </w:p>
    <w:p>
      <w:pPr>
        <w:pStyle w:val="ySubsection"/>
      </w:pPr>
      <w:r>
        <w:tab/>
        <w:t>(1)</w:t>
      </w:r>
      <w:r>
        <w:tab/>
        <w:t xml:space="preserve">This clause applies to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catamaran pen with walkways, per m of the longer of vessel’s length and the pen’s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r>
              <w:rPr>
                <w:sz w:val="22"/>
                <w:szCs w:val="22"/>
              </w:rPr>
              <w:t>737.40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r>
              <w:rPr>
                <w:sz w:val="22"/>
                <w:szCs w:val="22"/>
              </w:rPr>
              <w:t>73.77</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r>
              <w:rPr>
                <w:sz w:val="22"/>
                <w:szCs w:val="22"/>
              </w:rPr>
              <w:t>110.61</w:t>
            </w:r>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other pen with walkways, per m of the longer of vessel’s length and the pen’s length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r>
              <w:rPr>
                <w:sz w:val="22"/>
                <w:szCs w:val="22"/>
              </w:rPr>
              <w:t>508.09</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r>
              <w:rPr>
                <w:sz w:val="22"/>
                <w:szCs w:val="22"/>
              </w:rPr>
              <w:t>50.81</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r>
              <w:rPr>
                <w:sz w:val="22"/>
                <w:szCs w:val="22"/>
              </w:rPr>
              <w:t>76.21</w:t>
            </w:r>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For pen without walkways, per m of the longer of vessel’s length and the pen’s length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r>
              <w:rPr>
                <w:sz w:val="22"/>
                <w:szCs w:val="22"/>
              </w:rPr>
              <w:t>458.92</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r>
              <w:rPr>
                <w:sz w:val="22"/>
                <w:szCs w:val="22"/>
              </w:rPr>
              <w:t>45.90</w:t>
            </w: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r>
              <w:rPr>
                <w:sz w:val="22"/>
                <w:szCs w:val="22"/>
              </w:rPr>
              <w:t>68.84</w:t>
            </w:r>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pPr>
            <w:r>
              <w:t>For casual use of pen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vAlign w:val="bottom"/>
          </w:tcPr>
          <w:p>
            <w:pPr>
              <w:jc w:val="right"/>
              <w:rPr>
                <w:sz w:val="22"/>
                <w:szCs w:val="22"/>
              </w:rPr>
            </w:pPr>
            <w:r>
              <w:rPr>
                <w:sz w:val="22"/>
                <w:szCs w:val="22"/>
              </w:rPr>
              <w:t>204.88</w:t>
            </w:r>
          </w:p>
        </w:tc>
      </w:tr>
      <w:t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otherwise, per day</w:t>
            </w:r>
          </w:p>
        </w:tc>
        <w:tc>
          <w:tcPr>
            <w:tcW w:w="992" w:type="dxa"/>
            <w:vAlign w:val="bottom"/>
          </w:tcPr>
          <w:p>
            <w:pPr>
              <w:jc w:val="right"/>
              <w:rPr>
                <w:sz w:val="22"/>
                <w:szCs w:val="22"/>
              </w:rPr>
            </w:pPr>
            <w:r>
              <w:rPr>
                <w:sz w:val="22"/>
                <w:szCs w:val="22"/>
              </w:rPr>
              <w:t>40.97</w:t>
            </w:r>
          </w:p>
        </w:tc>
      </w:tr>
      <w:tr>
        <w:tc>
          <w:tcPr>
            <w:tcW w:w="567" w:type="dxa"/>
            <w:tcBorders>
              <w:bottom w:val="single" w:sz="4" w:space="0" w:color="auto"/>
            </w:tcBorders>
          </w:tcPr>
          <w:p>
            <w:pPr>
              <w:pStyle w:val="yTableNAm"/>
              <w:keepNext/>
              <w:tabs>
                <w:tab w:val="clear" w:pos="567"/>
              </w:tabs>
              <w:spacing w:before="0"/>
            </w:pPr>
            <w:r>
              <w:t>5.</w:t>
            </w:r>
          </w:p>
        </w:tc>
        <w:tc>
          <w:tcPr>
            <w:tcW w:w="4394" w:type="dxa"/>
            <w:tcBorders>
              <w:bottom w:val="single" w:sz="4" w:space="0" w:color="auto"/>
            </w:tcBorders>
          </w:tcPr>
          <w:p>
            <w:pPr>
              <w:pStyle w:val="yTableNAm"/>
              <w:tabs>
                <w:tab w:val="clear" w:pos="567"/>
              </w:tabs>
              <w:spacing w:before="0"/>
            </w:pPr>
            <w:r>
              <w:t>For living on board a vessel, per vessel per month</w:t>
            </w:r>
          </w:p>
        </w:tc>
        <w:tc>
          <w:tcPr>
            <w:tcW w:w="992" w:type="dxa"/>
            <w:tcBorders>
              <w:bottom w:val="single" w:sz="4" w:space="0" w:color="auto"/>
            </w:tcBorders>
            <w:vAlign w:val="bottom"/>
          </w:tcPr>
          <w:p>
            <w:pPr>
              <w:pStyle w:val="yTableNAm"/>
              <w:keepNext/>
              <w:tabs>
                <w:tab w:val="clear" w:pos="567"/>
              </w:tabs>
              <w:spacing w:before="0"/>
              <w:jc w:val="right"/>
              <w:rPr>
                <w:bCs/>
                <w:szCs w:val="22"/>
              </w:rPr>
            </w:pPr>
            <w:r>
              <w:rPr>
                <w:bCs/>
                <w:szCs w:val="22"/>
              </w:rPr>
              <w:t>125.75</w:t>
            </w:r>
          </w:p>
        </w:tc>
      </w:tr>
    </w:tbl>
    <w:p>
      <w:pPr>
        <w:pStyle w:val="yFootnotesection"/>
      </w:pPr>
      <w:r>
        <w:tab/>
        <w:t>[Clause 3 inserted in Gazette 13 Jul 2012 p. 3211</w:t>
      </w:r>
      <w:r>
        <w:noBreakHyphen/>
        <w:t>12.]</w:t>
      </w:r>
    </w:p>
    <w:p>
      <w:pPr>
        <w:pStyle w:val="yHeading5"/>
      </w:pPr>
      <w:bookmarkStart w:id="699" w:name="_Toc355611732"/>
      <w:r>
        <w:rPr>
          <w:rStyle w:val="CharSClsNo"/>
        </w:rPr>
        <w:t>4</w:t>
      </w:r>
      <w:r>
        <w:t>.</w:t>
      </w:r>
      <w:r>
        <w:rPr>
          <w:b w:val="0"/>
        </w:rP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99"/>
    </w:p>
    <w:p>
      <w:pPr>
        <w:pStyle w:val="ySubsection"/>
      </w:pPr>
      <w:r>
        <w:tab/>
        <w:t>(1)</w:t>
      </w:r>
      <w:r>
        <w:tab/>
        <w:t xml:space="preserve">This clause applies to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72 for a permit to use a jetty or boat pen are set out in Table 4.1.</w:t>
      </w:r>
    </w:p>
    <w:p>
      <w:pPr>
        <w:pStyle w:val="ySubsection"/>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c>
          <w:tcPr>
            <w:tcW w:w="567" w:type="dxa"/>
            <w:tcBorders>
              <w:top w:val="single" w:sz="4" w:space="0" w:color="auto"/>
            </w:tcBorders>
          </w:tcPr>
          <w:p>
            <w:pPr>
              <w:pStyle w:val="yTableNAm"/>
              <w:tabs>
                <w:tab w:val="clear" w:pos="567"/>
              </w:tabs>
              <w:spacing w:before="0"/>
            </w:pPr>
            <w:r>
              <w:t>1.</w:t>
            </w:r>
          </w:p>
        </w:tc>
        <w:tc>
          <w:tcPr>
            <w:tcW w:w="4394" w:type="dxa"/>
            <w:tcBorders>
              <w:top w:val="single" w:sz="4" w:space="0" w:color="auto"/>
            </w:tcBorders>
          </w:tcPr>
          <w:p>
            <w:pPr>
              <w:pStyle w:val="yTableNAm"/>
              <w:tabs>
                <w:tab w:val="clear" w:pos="567"/>
              </w:tabs>
              <w:spacing w:before="0"/>
            </w:pPr>
            <w:r>
              <w:t xml:space="preserve">For fixed pen in pen sets A to L2 for commercial vessel, per m of the longer of the vessel’s length and the chargeable length of the pen — </w:t>
            </w:r>
          </w:p>
        </w:tc>
        <w:tc>
          <w:tcPr>
            <w:tcW w:w="992" w:type="dxa"/>
            <w:tcBorders>
              <w:top w:val="single" w:sz="4" w:space="0" w:color="auto"/>
            </w:tcBorders>
          </w:tcPr>
          <w:p>
            <w:pPr>
              <w:pStyle w:val="yTableNAm"/>
              <w:keepNext/>
              <w:tabs>
                <w:tab w:val="clear" w:pos="567"/>
              </w:tabs>
              <w:spacing w:before="0"/>
              <w:jc w:val="right"/>
              <w:rPr>
                <w:bCs/>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502.61</w:t>
            </w:r>
          </w:p>
        </w:tc>
      </w:tr>
      <w:tr>
        <w:tc>
          <w:tcPr>
            <w:tcW w:w="567" w:type="dxa"/>
          </w:tcPr>
          <w:p>
            <w:pPr>
              <w:pStyle w:val="yTableNAm"/>
              <w:keepNext/>
              <w:tabs>
                <w:tab w:val="clear" w:pos="567"/>
              </w:tabs>
              <w:spacing w:before="0"/>
            </w:pPr>
          </w:p>
        </w:tc>
        <w:tc>
          <w:tcPr>
            <w:tcW w:w="4394" w:type="dxa"/>
          </w:tcPr>
          <w:p>
            <w:pPr>
              <w:pStyle w:val="yTableNAm"/>
              <w:keepNext/>
              <w:tabs>
                <w:tab w:val="clear" w:pos="567"/>
                <w:tab w:val="left" w:pos="317"/>
              </w:tabs>
              <w:spacing w:before="0"/>
              <w:ind w:left="317" w:hanging="317"/>
            </w:pPr>
            <w:r>
              <w:t>•</w:t>
            </w:r>
            <w:r>
              <w:tab/>
              <w:t>for 3 months or more, per month paid in advance</w:t>
            </w:r>
          </w:p>
        </w:tc>
        <w:tc>
          <w:tcPr>
            <w:tcW w:w="992" w:type="dxa"/>
            <w:vAlign w:val="bottom"/>
          </w:tcPr>
          <w:p>
            <w:pPr>
              <w:keepNext/>
              <w:jc w:val="right"/>
              <w:rPr>
                <w:sz w:val="22"/>
                <w:szCs w:val="22"/>
              </w:rPr>
            </w:pPr>
            <w:r>
              <w:rPr>
                <w:sz w:val="22"/>
                <w:szCs w:val="22"/>
              </w:rPr>
              <w:t>50.28</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75.39</w:t>
            </w:r>
          </w:p>
        </w:tc>
      </w:tr>
      <w:tr>
        <w:tc>
          <w:tcPr>
            <w:tcW w:w="567" w:type="dxa"/>
          </w:tcPr>
          <w:p>
            <w:pPr>
              <w:pStyle w:val="yTableNAm"/>
              <w:tabs>
                <w:tab w:val="clear" w:pos="567"/>
              </w:tabs>
              <w:spacing w:before="0"/>
            </w:pPr>
            <w:r>
              <w:t>2.</w:t>
            </w:r>
          </w:p>
        </w:tc>
        <w:tc>
          <w:tcPr>
            <w:tcW w:w="4394" w:type="dxa"/>
          </w:tcPr>
          <w:p>
            <w:pPr>
              <w:pStyle w:val="yTableNAm"/>
              <w:tabs>
                <w:tab w:val="clear" w:pos="567"/>
              </w:tabs>
              <w:spacing w:before="0"/>
            </w:pPr>
            <w:r>
              <w:t xml:space="preserve">For floating pen in pen sets A to L2 for commercial vessel, per m of the longer of the vessel’s length and the chargeable length of the pen —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535.63</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r>
              <w:rPr>
                <w:sz w:val="22"/>
                <w:szCs w:val="22"/>
              </w:rPr>
              <w:t>53.56</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80.34</w:t>
            </w:r>
          </w:p>
        </w:tc>
      </w:tr>
      <w:tr>
        <w:tc>
          <w:tcPr>
            <w:tcW w:w="567" w:type="dxa"/>
          </w:tcPr>
          <w:p>
            <w:pPr>
              <w:pStyle w:val="yTableNAm"/>
              <w:tabs>
                <w:tab w:val="clear" w:pos="567"/>
              </w:tabs>
              <w:spacing w:before="0"/>
            </w:pPr>
            <w:r>
              <w:t>3.</w:t>
            </w:r>
          </w:p>
        </w:tc>
        <w:tc>
          <w:tcPr>
            <w:tcW w:w="4394" w:type="dxa"/>
          </w:tcPr>
          <w:p>
            <w:pPr>
              <w:pStyle w:val="yTableNAm"/>
              <w:tabs>
                <w:tab w:val="clear" w:pos="567"/>
              </w:tabs>
              <w:spacing w:before="0"/>
            </w:pPr>
            <w:r>
              <w:t>For fixed pen in pen sets A to L2 for recreational vessel, per m of the longer of the vessel’s length and the chargeable length of the pen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462.51</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r>
              <w:rPr>
                <w:sz w:val="22"/>
                <w:szCs w:val="22"/>
              </w:rPr>
              <w:t>46.23</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69.38</w:t>
            </w:r>
          </w:p>
        </w:tc>
      </w:tr>
      <w:tr>
        <w:tc>
          <w:tcPr>
            <w:tcW w:w="567" w:type="dxa"/>
          </w:tcPr>
          <w:p>
            <w:pPr>
              <w:pStyle w:val="yTableNAm"/>
              <w:tabs>
                <w:tab w:val="clear" w:pos="567"/>
              </w:tabs>
              <w:spacing w:before="0"/>
            </w:pPr>
            <w:r>
              <w:t>4.</w:t>
            </w:r>
          </w:p>
        </w:tc>
        <w:tc>
          <w:tcPr>
            <w:tcW w:w="4394" w:type="dxa"/>
          </w:tcPr>
          <w:p>
            <w:pPr>
              <w:pStyle w:val="yTableNAm"/>
              <w:tabs>
                <w:tab w:val="clear" w:pos="567"/>
              </w:tabs>
              <w:spacing w:before="0"/>
            </w:pPr>
            <w:r>
              <w:t xml:space="preserve">For floating pen in pen sets A to L2 for recreational vessel —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r>
              <w:rPr>
                <w:sz w:val="22"/>
                <w:szCs w:val="22"/>
              </w:rPr>
              <w:t>495.56</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r>
              <w:rPr>
                <w:sz w:val="22"/>
                <w:szCs w:val="22"/>
              </w:rPr>
              <w:t>49.57</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r>
              <w:rPr>
                <w:sz w:val="22"/>
                <w:szCs w:val="22"/>
              </w:rPr>
              <w:t>74.34</w:t>
            </w:r>
          </w:p>
        </w:tc>
      </w:tr>
      <w:tr>
        <w:tc>
          <w:tcPr>
            <w:tcW w:w="567" w:type="dxa"/>
          </w:tcPr>
          <w:p>
            <w:pPr>
              <w:pStyle w:val="yTableNAm"/>
              <w:tabs>
                <w:tab w:val="clear" w:pos="567"/>
              </w:tabs>
              <w:spacing w:before="0"/>
            </w:pPr>
            <w:r>
              <w:t>5.</w:t>
            </w:r>
          </w:p>
        </w:tc>
        <w:tc>
          <w:tcPr>
            <w:tcW w:w="4394" w:type="dxa"/>
          </w:tcPr>
          <w:p>
            <w:pPr>
              <w:pStyle w:val="yTableNAm"/>
              <w:tabs>
                <w:tab w:val="clear" w:pos="567"/>
              </w:tabs>
              <w:spacing w:before="0"/>
            </w:pPr>
            <w:r>
              <w:t>For pen for one week or more, per week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commercial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 xml:space="preserve">minimum fee </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26.77</w:t>
            </w:r>
          </w:p>
          <w:p>
            <w:pPr>
              <w:pStyle w:val="yTableNAm"/>
              <w:keepNext/>
              <w:tabs>
                <w:tab w:val="clear" w:pos="567"/>
              </w:tabs>
              <w:spacing w:before="0"/>
              <w:jc w:val="right"/>
              <w:rPr>
                <w:bCs/>
                <w:szCs w:val="22"/>
              </w:rPr>
            </w:pPr>
            <w:r>
              <w:rPr>
                <w:bCs/>
                <w:szCs w:val="22"/>
              </w:rPr>
              <w:t>218.13</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recreational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 xml:space="preserve">minimum fee </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24.78</w:t>
            </w:r>
          </w:p>
          <w:p>
            <w:pPr>
              <w:pStyle w:val="yTableNAm"/>
              <w:keepNext/>
              <w:tabs>
                <w:tab w:val="clear" w:pos="567"/>
              </w:tabs>
              <w:spacing w:before="0"/>
              <w:jc w:val="right"/>
              <w:rPr>
                <w:bCs/>
                <w:szCs w:val="22"/>
              </w:rPr>
            </w:pPr>
            <w:r>
              <w:rPr>
                <w:bCs/>
                <w:szCs w:val="22"/>
              </w:rPr>
              <w:t>218.13</w:t>
            </w:r>
          </w:p>
        </w:tc>
      </w:tr>
      <w:tr>
        <w:tc>
          <w:tcPr>
            <w:tcW w:w="567" w:type="dxa"/>
          </w:tcPr>
          <w:p>
            <w:pPr>
              <w:pStyle w:val="yTableNAm"/>
              <w:tabs>
                <w:tab w:val="clear" w:pos="567"/>
              </w:tabs>
              <w:spacing w:before="0"/>
            </w:pPr>
            <w:r>
              <w:t>6.</w:t>
            </w:r>
          </w:p>
        </w:tc>
        <w:tc>
          <w:tcPr>
            <w:tcW w:w="4394" w:type="dxa"/>
          </w:tcPr>
          <w:p>
            <w:pPr>
              <w:pStyle w:val="yTableNAm"/>
              <w:tabs>
                <w:tab w:val="clear" w:pos="567"/>
              </w:tabs>
              <w:spacing w:before="0"/>
            </w:pPr>
            <w:r>
              <w:t xml:space="preserve">For pen, per day —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commercial vessel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minimum fee for overnight use</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5.36</w:t>
            </w:r>
          </w:p>
          <w:p>
            <w:pPr>
              <w:pStyle w:val="yTableNAm"/>
              <w:keepNext/>
              <w:tabs>
                <w:tab w:val="clear" w:pos="567"/>
              </w:tabs>
              <w:spacing w:before="0"/>
              <w:jc w:val="right"/>
              <w:rPr>
                <w:bCs/>
                <w:szCs w:val="22"/>
              </w:rPr>
            </w:pPr>
            <w:r>
              <w:rPr>
                <w:bCs/>
                <w:szCs w:val="22"/>
              </w:rPr>
              <w:t>43.60</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recreational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minimum fee for overnight use</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4.95</w:t>
            </w:r>
          </w:p>
          <w:p>
            <w:pPr>
              <w:pStyle w:val="yTableNAm"/>
              <w:keepNext/>
              <w:tabs>
                <w:tab w:val="clear" w:pos="567"/>
              </w:tabs>
              <w:spacing w:before="0"/>
              <w:jc w:val="right"/>
              <w:rPr>
                <w:bCs/>
                <w:szCs w:val="22"/>
              </w:rPr>
            </w:pPr>
            <w:r>
              <w:rPr>
                <w:bCs/>
                <w:szCs w:val="22"/>
              </w:rPr>
              <w:t>43.60</w:t>
            </w:r>
          </w:p>
        </w:tc>
      </w:tr>
      <w:tr>
        <w:tc>
          <w:tcPr>
            <w:tcW w:w="567" w:type="dxa"/>
          </w:tcPr>
          <w:p>
            <w:pPr>
              <w:pStyle w:val="yTableNAm"/>
              <w:tabs>
                <w:tab w:val="clear" w:pos="567"/>
              </w:tabs>
              <w:spacing w:before="0"/>
            </w:pPr>
            <w:r>
              <w:t>7.</w:t>
            </w:r>
          </w:p>
        </w:tc>
        <w:tc>
          <w:tcPr>
            <w:tcW w:w="4394" w:type="dxa"/>
          </w:tcPr>
          <w:p>
            <w:pPr>
              <w:pStyle w:val="yTableNAm"/>
              <w:tabs>
                <w:tab w:val="clear" w:pos="567"/>
              </w:tabs>
              <w:spacing w:before="0"/>
            </w:pPr>
            <w:r>
              <w:t xml:space="preserve">For use of service jetty, per m of vessel’s length —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commercial vessel</w:t>
            </w:r>
          </w:p>
        </w:tc>
        <w:tc>
          <w:tcPr>
            <w:tcW w:w="992" w:type="dxa"/>
            <w:vAlign w:val="bottom"/>
          </w:tcPr>
          <w:p>
            <w:pPr>
              <w:pStyle w:val="yTableNAm"/>
              <w:keepNext/>
              <w:tabs>
                <w:tab w:val="clear" w:pos="567"/>
              </w:tabs>
              <w:spacing w:before="0"/>
              <w:jc w:val="right"/>
              <w:rPr>
                <w:bCs/>
                <w:szCs w:val="22"/>
              </w:rPr>
            </w:pPr>
            <w:r>
              <w:rPr>
                <w:bCs/>
                <w:szCs w:val="22"/>
              </w:rPr>
              <w:t>5.36</w:t>
            </w: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recreational vessel</w:t>
            </w:r>
          </w:p>
        </w:tc>
        <w:tc>
          <w:tcPr>
            <w:tcW w:w="992" w:type="dxa"/>
            <w:vAlign w:val="bottom"/>
          </w:tcPr>
          <w:p>
            <w:pPr>
              <w:pStyle w:val="yTableNAm"/>
              <w:keepNext/>
              <w:tabs>
                <w:tab w:val="clear" w:pos="567"/>
              </w:tabs>
              <w:spacing w:before="0"/>
              <w:jc w:val="right"/>
              <w:rPr>
                <w:bCs/>
                <w:szCs w:val="22"/>
              </w:rPr>
            </w:pPr>
            <w:r>
              <w:rPr>
                <w:bCs/>
                <w:szCs w:val="22"/>
              </w:rPr>
              <w:t>4.95</w:t>
            </w:r>
          </w:p>
        </w:tc>
      </w:tr>
      <w:tr>
        <w:tc>
          <w:tcPr>
            <w:tcW w:w="567" w:type="dxa"/>
          </w:tcPr>
          <w:p>
            <w:pPr>
              <w:pStyle w:val="yTableNAm"/>
              <w:tabs>
                <w:tab w:val="clear" w:pos="567"/>
              </w:tabs>
              <w:spacing w:before="0"/>
            </w:pPr>
            <w:r>
              <w:t>8.</w:t>
            </w:r>
          </w:p>
        </w:tc>
        <w:tc>
          <w:tcPr>
            <w:tcW w:w="4394" w:type="dxa"/>
          </w:tcPr>
          <w:p>
            <w:pPr>
              <w:pStyle w:val="yTableNAm"/>
              <w:tabs>
                <w:tab w:val="clear" w:pos="567"/>
              </w:tabs>
              <w:spacing w:before="0"/>
            </w:pPr>
            <w:r>
              <w:t>For use of service jetty for up to 3 hours by recreational vessel, per vessel</w:t>
            </w:r>
          </w:p>
        </w:tc>
        <w:tc>
          <w:tcPr>
            <w:tcW w:w="992" w:type="dxa"/>
            <w:vAlign w:val="bottom"/>
          </w:tcPr>
          <w:p>
            <w:pPr>
              <w:pStyle w:val="yTableNAm"/>
              <w:keepNext/>
              <w:tabs>
                <w:tab w:val="clear" w:pos="567"/>
              </w:tabs>
              <w:spacing w:before="0"/>
              <w:jc w:val="right"/>
              <w:rPr>
                <w:bCs/>
                <w:szCs w:val="22"/>
              </w:rPr>
            </w:pPr>
            <w:r>
              <w:rPr>
                <w:bCs/>
                <w:szCs w:val="22"/>
              </w:rPr>
              <w:t>32.07</w:t>
            </w:r>
          </w:p>
        </w:tc>
      </w:tr>
      <w:tr>
        <w:tc>
          <w:tcPr>
            <w:tcW w:w="567" w:type="dxa"/>
            <w:tcBorders>
              <w:bottom w:val="single" w:sz="4" w:space="0" w:color="auto"/>
            </w:tcBorders>
          </w:tcPr>
          <w:p>
            <w:pPr>
              <w:pStyle w:val="yTableNAm"/>
              <w:tabs>
                <w:tab w:val="clear" w:pos="567"/>
              </w:tabs>
              <w:spacing w:before="0"/>
            </w:pPr>
            <w:r>
              <w:t>9.</w:t>
            </w:r>
          </w:p>
        </w:tc>
        <w:tc>
          <w:tcPr>
            <w:tcW w:w="4394" w:type="dxa"/>
            <w:tcBorders>
              <w:bottom w:val="single" w:sz="4" w:space="0" w:color="auto"/>
            </w:tcBorders>
          </w:tcPr>
          <w:p>
            <w:pPr>
              <w:pStyle w:val="yTableNAm"/>
              <w:tabs>
                <w:tab w:val="clear" w:pos="567"/>
              </w:tabs>
              <w:spacing w:before="0"/>
            </w:pPr>
            <w:r>
              <w:t>For living on board a vessel, per vessel per month</w:t>
            </w:r>
          </w:p>
        </w:tc>
        <w:tc>
          <w:tcPr>
            <w:tcW w:w="992" w:type="dxa"/>
            <w:tcBorders>
              <w:bottom w:val="single" w:sz="4" w:space="0" w:color="auto"/>
            </w:tcBorders>
            <w:vAlign w:val="bottom"/>
          </w:tcPr>
          <w:p>
            <w:pPr>
              <w:pStyle w:val="yTableNAm"/>
              <w:keepNext/>
              <w:tabs>
                <w:tab w:val="clear" w:pos="567"/>
              </w:tabs>
              <w:spacing w:before="0"/>
              <w:jc w:val="right"/>
              <w:rPr>
                <w:bCs/>
                <w:szCs w:val="22"/>
              </w:rPr>
            </w:pPr>
            <w:r>
              <w:rPr>
                <w:bCs/>
                <w:szCs w:val="22"/>
              </w:rPr>
              <w:t>125.78</w:t>
            </w:r>
          </w:p>
        </w:tc>
      </w:tr>
    </w:tbl>
    <w:p>
      <w:pPr>
        <w:pStyle w:val="yFootnotesection"/>
      </w:pPr>
      <w:r>
        <w:tab/>
        <w:t>[Clause 4 inserted in Gazette 13 Jul 2012 p. 3212</w:t>
      </w:r>
      <w:r>
        <w:noBreakHyphen/>
        <w:t>14.]</w:t>
      </w:r>
    </w:p>
    <w:bookmarkEnd w:id="682"/>
    <w:bookmarkEnd w:id="683"/>
    <w:p>
      <w:pPr>
        <w:tabs>
          <w:tab w:val="left" w:pos="423"/>
        </w:tabs>
        <w:ind w:left="423" w:hanging="423"/>
        <w:sectPr>
          <w:headerReference w:type="even" r:id="rId28"/>
          <w:headerReference w:type="default" r:id="rId29"/>
          <w:pgSz w:w="11906" w:h="16838" w:code="9"/>
          <w:pgMar w:top="2376" w:right="2404" w:bottom="3544" w:left="2404" w:header="709" w:footer="3379" w:gutter="0"/>
          <w:cols w:space="720"/>
          <w:noEndnote/>
          <w:docGrid w:linePitch="326"/>
        </w:sectPr>
      </w:pPr>
    </w:p>
    <w:p>
      <w:pPr>
        <w:pStyle w:val="yScheduleHeading"/>
        <w:outlineLvl w:val="0"/>
      </w:pPr>
      <w:bookmarkStart w:id="700" w:name="_Toc190232178"/>
      <w:bookmarkStart w:id="701" w:name="_Toc202676888"/>
      <w:bookmarkStart w:id="702" w:name="_Toc202691662"/>
      <w:bookmarkStart w:id="703" w:name="_Toc219773520"/>
      <w:bookmarkStart w:id="704" w:name="_Toc219773775"/>
      <w:bookmarkStart w:id="705" w:name="_Toc221592709"/>
      <w:bookmarkStart w:id="706" w:name="_Toc221609395"/>
      <w:bookmarkStart w:id="707" w:name="_Toc221609577"/>
      <w:bookmarkStart w:id="708" w:name="_Toc223835898"/>
      <w:bookmarkStart w:id="709" w:name="_Toc233539588"/>
      <w:bookmarkStart w:id="710" w:name="_Toc236796687"/>
      <w:bookmarkStart w:id="711" w:name="_Toc266960948"/>
      <w:bookmarkStart w:id="712" w:name="_Toc297293852"/>
      <w:bookmarkStart w:id="713" w:name="_Toc329788581"/>
      <w:bookmarkStart w:id="714" w:name="_Toc329850862"/>
      <w:bookmarkStart w:id="715" w:name="_Toc329851062"/>
      <w:bookmarkStart w:id="716" w:name="_Toc329863341"/>
      <w:bookmarkStart w:id="717" w:name="_Toc329864679"/>
      <w:bookmarkStart w:id="718" w:name="_Toc346791110"/>
      <w:bookmarkStart w:id="719" w:name="_Toc355611733"/>
      <w:r>
        <w:rPr>
          <w:rStyle w:val="CharSchNo"/>
        </w:rPr>
        <w:t>Schedule 3</w:t>
      </w:r>
      <w:r>
        <w:rPr>
          <w:rStyle w:val="CharSDivNo"/>
        </w:rPr>
        <w:t> </w:t>
      </w:r>
      <w:r>
        <w:t>—</w:t>
      </w:r>
      <w:r>
        <w:rPr>
          <w:rStyle w:val="CharSDivText"/>
        </w:rPr>
        <w:t> </w:t>
      </w:r>
      <w:r>
        <w:rPr>
          <w:rStyle w:val="CharSchText"/>
        </w:rPr>
        <w:t>Forms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outlineLvl w:val="9"/>
      </w:pPr>
      <w:r>
        <w:t>[Schedule 4 deleted in Gazette 22 Jun 2007 p. 2940.]</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720" w:name="_Toc190232179"/>
      <w:bookmarkStart w:id="721" w:name="_Toc202676889"/>
      <w:bookmarkStart w:id="722" w:name="_Toc202691663"/>
      <w:bookmarkStart w:id="723" w:name="_Toc219773521"/>
      <w:bookmarkStart w:id="724" w:name="_Toc219773776"/>
      <w:bookmarkStart w:id="725" w:name="_Toc221592710"/>
      <w:bookmarkStart w:id="726" w:name="_Toc221609396"/>
      <w:bookmarkStart w:id="727" w:name="_Toc221609578"/>
      <w:bookmarkStart w:id="728" w:name="_Toc223835899"/>
      <w:bookmarkStart w:id="729" w:name="_Toc233539589"/>
      <w:bookmarkStart w:id="730" w:name="_Toc236796688"/>
      <w:bookmarkStart w:id="731" w:name="_Toc266960949"/>
      <w:bookmarkStart w:id="732" w:name="_Toc297293853"/>
      <w:bookmarkStart w:id="733" w:name="_Toc329788582"/>
      <w:bookmarkStart w:id="734" w:name="_Toc329850863"/>
      <w:bookmarkStart w:id="735" w:name="_Toc329851063"/>
      <w:bookmarkStart w:id="736" w:name="_Toc329863342"/>
      <w:bookmarkStart w:id="737" w:name="_Toc329864680"/>
      <w:bookmarkStart w:id="738" w:name="_Toc346791111"/>
      <w:bookmarkStart w:id="739" w:name="_Toc355611734"/>
      <w:r>
        <w:t>Notes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740" w:name="_Toc355611735"/>
      <w:r>
        <w:t>Compilation table</w:t>
      </w:r>
      <w:bookmarkEnd w:id="7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trPr>
        <w:tc>
          <w:tcPr>
            <w:tcW w:w="3118" w:type="dxa"/>
          </w:tcPr>
          <w:p>
            <w:pPr>
              <w:pStyle w:val="nTable"/>
              <w:spacing w:after="40"/>
              <w:rPr>
                <w:bCs/>
                <w:i/>
                <w:iCs/>
                <w:sz w:val="19"/>
              </w:rPr>
            </w:pPr>
            <w:r>
              <w:rPr>
                <w:bCs/>
                <w:i/>
                <w:iCs/>
                <w:sz w:val="19"/>
              </w:rPr>
              <w:t>Jetties Amendment Regulations 2011</w:t>
            </w:r>
          </w:p>
        </w:tc>
        <w:tc>
          <w:tcPr>
            <w:tcW w:w="1276" w:type="dxa"/>
          </w:tcPr>
          <w:p>
            <w:pPr>
              <w:pStyle w:val="nTable"/>
              <w:spacing w:after="40"/>
              <w:rPr>
                <w:bCs/>
                <w:sz w:val="19"/>
              </w:rPr>
            </w:pPr>
            <w:r>
              <w:rPr>
                <w:bCs/>
                <w:sz w:val="19"/>
              </w:rPr>
              <w:t>21 Jun 2011 p. 2265</w:t>
            </w:r>
            <w:r>
              <w:rPr>
                <w:bCs/>
                <w:sz w:val="19"/>
              </w:rPr>
              <w:noBreakHyphen/>
              <w:t>2303</w:t>
            </w:r>
          </w:p>
        </w:tc>
        <w:tc>
          <w:tcPr>
            <w:tcW w:w="2693" w:type="dxa"/>
          </w:tcPr>
          <w:p>
            <w:pPr>
              <w:pStyle w:val="nTable"/>
              <w:spacing w:after="40"/>
              <w:rPr>
                <w:bCs/>
                <w:sz w:val="19"/>
              </w:rPr>
            </w:pPr>
            <w:r>
              <w:rPr>
                <w:bCs/>
                <w:sz w:val="19"/>
              </w:rPr>
              <w:t>r. 1 and 2: 21 Jun 2011 (see r. 2(a));</w:t>
            </w:r>
            <w:r>
              <w:rPr>
                <w:bCs/>
                <w:sz w:val="19"/>
              </w:rPr>
              <w:br/>
              <w:t>Regulations other than r. 1 and 2: 1 Jul 2011 (see r. 2(b))</w:t>
            </w:r>
          </w:p>
        </w:tc>
      </w:tr>
      <w:tr>
        <w:trPr>
          <w:cantSplit/>
        </w:trPr>
        <w:tc>
          <w:tcPr>
            <w:tcW w:w="3118" w:type="dxa"/>
          </w:tcPr>
          <w:p>
            <w:pPr>
              <w:pStyle w:val="nTable"/>
              <w:spacing w:after="40"/>
              <w:rPr>
                <w:bCs/>
                <w:i/>
                <w:iCs/>
                <w:sz w:val="19"/>
              </w:rPr>
            </w:pPr>
            <w:r>
              <w:rPr>
                <w:bCs/>
                <w:i/>
                <w:iCs/>
                <w:sz w:val="19"/>
              </w:rPr>
              <w:t>Jetties Amendment Regulations 2012</w:t>
            </w:r>
          </w:p>
        </w:tc>
        <w:tc>
          <w:tcPr>
            <w:tcW w:w="1276" w:type="dxa"/>
          </w:tcPr>
          <w:p>
            <w:pPr>
              <w:pStyle w:val="nTable"/>
              <w:spacing w:after="40"/>
              <w:rPr>
                <w:bCs/>
                <w:sz w:val="19"/>
              </w:rPr>
            </w:pPr>
            <w:r>
              <w:rPr>
                <w:bCs/>
                <w:sz w:val="19"/>
              </w:rPr>
              <w:t>13 Jul 2012 p. 3173</w:t>
            </w:r>
            <w:r>
              <w:rPr>
                <w:bCs/>
                <w:sz w:val="19"/>
              </w:rPr>
              <w:noBreakHyphen/>
              <w:t>214</w:t>
            </w:r>
          </w:p>
        </w:tc>
        <w:tc>
          <w:tcPr>
            <w:tcW w:w="2693" w:type="dxa"/>
          </w:tcPr>
          <w:p>
            <w:pPr>
              <w:pStyle w:val="nTable"/>
              <w:spacing w:after="40"/>
              <w:rPr>
                <w:bCs/>
                <w:sz w:val="19"/>
              </w:rPr>
            </w:pPr>
            <w:r>
              <w:rPr>
                <w:bCs/>
                <w:sz w:val="19"/>
              </w:rPr>
              <w:t>r. 1 and 2: 13 Jul 2012 (see r. 2(a));</w:t>
            </w:r>
            <w:r>
              <w:rPr>
                <w:bCs/>
                <w:sz w:val="19"/>
              </w:rPr>
              <w:br/>
              <w:t>Regulations other than r. 1 and 2: 14 Jul 2012 (see r. 2(b))</w:t>
            </w:r>
          </w:p>
        </w:tc>
      </w:tr>
      <w:tr>
        <w:trPr>
          <w:cantSplit/>
        </w:trPr>
        <w:tc>
          <w:tcPr>
            <w:tcW w:w="3118" w:type="dxa"/>
          </w:tcPr>
          <w:p>
            <w:pPr>
              <w:pStyle w:val="nTable"/>
              <w:spacing w:after="40"/>
              <w:rPr>
                <w:bCs/>
                <w:i/>
                <w:iCs/>
                <w:sz w:val="19"/>
              </w:rPr>
            </w:pPr>
            <w:r>
              <w:rPr>
                <w:bCs/>
                <w:i/>
                <w:iCs/>
                <w:sz w:val="19"/>
              </w:rPr>
              <w:t>Jetties Amendment Regulations (No. 2) 2012</w:t>
            </w:r>
          </w:p>
        </w:tc>
        <w:tc>
          <w:tcPr>
            <w:tcW w:w="1276" w:type="dxa"/>
          </w:tcPr>
          <w:p>
            <w:pPr>
              <w:pStyle w:val="nTable"/>
              <w:spacing w:after="40"/>
              <w:rPr>
                <w:bCs/>
                <w:sz w:val="19"/>
              </w:rPr>
            </w:pPr>
            <w:r>
              <w:rPr>
                <w:bCs/>
                <w:sz w:val="19"/>
              </w:rPr>
              <w:t>23 Oct 2012 p. 5057</w:t>
            </w:r>
          </w:p>
        </w:tc>
        <w:tc>
          <w:tcPr>
            <w:tcW w:w="2693" w:type="dxa"/>
          </w:tcPr>
          <w:p>
            <w:pPr>
              <w:pStyle w:val="nTable"/>
              <w:spacing w:after="40"/>
              <w:rPr>
                <w:bCs/>
                <w:sz w:val="19"/>
              </w:rPr>
            </w:pPr>
            <w:r>
              <w:rPr>
                <w:bCs/>
                <w:snapToGrid w:val="0"/>
                <w:spacing w:val="-2"/>
                <w:sz w:val="19"/>
                <w:lang w:val="en-US"/>
              </w:rPr>
              <w:t>r. 1 and 2: 23 Oct 2012 (see r. 2(a));</w:t>
            </w:r>
            <w:r>
              <w:rPr>
                <w:bCs/>
                <w:snapToGrid w:val="0"/>
                <w:spacing w:val="-2"/>
                <w:sz w:val="19"/>
                <w:lang w:val="en-US"/>
              </w:rPr>
              <w:br/>
              <w:t>Regulations other than r. 1 and 2: 24 Oct 2012 (see r. 2(b))</w:t>
            </w:r>
          </w:p>
        </w:tc>
      </w:tr>
      <w:tr>
        <w:trPr>
          <w:cantSplit/>
        </w:trPr>
        <w:tc>
          <w:tcPr>
            <w:tcW w:w="3118" w:type="dxa"/>
            <w:tcBorders>
              <w:bottom w:val="single" w:sz="4" w:space="0" w:color="auto"/>
            </w:tcBorders>
          </w:tcPr>
          <w:p>
            <w:pPr>
              <w:pStyle w:val="nTable"/>
              <w:spacing w:after="40"/>
              <w:rPr>
                <w:bCs/>
                <w:i/>
                <w:iCs/>
                <w:sz w:val="19"/>
              </w:rPr>
            </w:pPr>
            <w:r>
              <w:rPr>
                <w:bCs/>
                <w:i/>
                <w:iCs/>
                <w:sz w:val="19"/>
              </w:rPr>
              <w:t>Jetties Amendment Regulations 2013</w:t>
            </w:r>
          </w:p>
        </w:tc>
        <w:tc>
          <w:tcPr>
            <w:tcW w:w="1276" w:type="dxa"/>
            <w:tcBorders>
              <w:bottom w:val="single" w:sz="4" w:space="0" w:color="auto"/>
            </w:tcBorders>
          </w:tcPr>
          <w:p>
            <w:pPr>
              <w:pStyle w:val="nTable"/>
              <w:spacing w:after="40"/>
              <w:rPr>
                <w:bCs/>
                <w:sz w:val="19"/>
              </w:rPr>
            </w:pPr>
            <w:r>
              <w:rPr>
                <w:bCs/>
                <w:sz w:val="19"/>
              </w:rPr>
              <w:t>7 May 2013 p. 1918-23</w:t>
            </w:r>
          </w:p>
        </w:tc>
        <w:tc>
          <w:tcPr>
            <w:tcW w:w="2693" w:type="dxa"/>
            <w:tcBorders>
              <w:bottom w:val="single" w:sz="4" w:space="0" w:color="auto"/>
            </w:tcBorders>
          </w:tcPr>
          <w:p>
            <w:pPr>
              <w:pStyle w:val="nTable"/>
              <w:spacing w:after="40"/>
              <w:rPr>
                <w:rFonts w:ascii="Arial" w:hAnsi="Arial"/>
                <w:b/>
                <w:bCs/>
                <w:snapToGrid w:val="0"/>
                <w:spacing w:val="-2"/>
                <w:sz w:val="19"/>
                <w:lang w:val="en-US"/>
              </w:rPr>
            </w:pPr>
            <w:r>
              <w:rPr>
                <w:bCs/>
                <w:snapToGrid w:val="0"/>
                <w:spacing w:val="-2"/>
                <w:sz w:val="19"/>
                <w:lang w:val="en-US"/>
              </w:rPr>
              <w:t>r. 1 and 2: 7 May 2013 (see r. 2(a));</w:t>
            </w:r>
            <w:r>
              <w:rPr>
                <w:bCs/>
                <w:snapToGrid w:val="0"/>
                <w:spacing w:val="-2"/>
                <w:sz w:val="19"/>
                <w:lang w:val="en-US"/>
              </w:rPr>
              <w:br/>
              <w:t>Regulations other than r. 1 and 2: 8 May 2013 (see r. 2(b))</w:t>
            </w:r>
          </w:p>
        </w:tc>
      </w:tr>
    </w:tbl>
    <w:p>
      <w:pPr>
        <w:pStyle w:val="nSubsection"/>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741" w:name="_Toc219773778"/>
      <w:bookmarkStart w:id="742" w:name="_Toc221592712"/>
      <w:bookmarkStart w:id="743" w:name="_Toc221609398"/>
      <w:bookmarkStart w:id="744" w:name="_Toc221609580"/>
      <w:bookmarkStart w:id="745" w:name="_Toc223835901"/>
      <w:bookmarkStart w:id="746" w:name="_Toc233539591"/>
      <w:bookmarkStart w:id="747" w:name="_Toc236796690"/>
      <w:bookmarkStart w:id="748" w:name="_Toc266960951"/>
      <w:bookmarkStart w:id="749" w:name="_Toc297293855"/>
      <w:bookmarkStart w:id="750" w:name="_Toc329788584"/>
      <w:bookmarkStart w:id="751" w:name="_Toc329850865"/>
      <w:bookmarkStart w:id="752" w:name="_Toc329851065"/>
      <w:bookmarkStart w:id="753" w:name="_Toc329863344"/>
      <w:bookmarkStart w:id="754" w:name="_Toc329864682"/>
      <w:bookmarkStart w:id="755" w:name="_Toc346791113"/>
      <w:bookmarkStart w:id="756" w:name="_Toc355611736"/>
      <w:r>
        <w:rPr>
          <w:sz w:val="28"/>
        </w:rPr>
        <w:t>Defined Terms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7" w:name="DefinedTerms"/>
      <w:bookmarkEnd w:id="757"/>
      <w:r>
        <w:t>commercial vessel</w:t>
      </w:r>
      <w:r>
        <w:tab/>
        <w:t>3(1)</w:t>
      </w:r>
    </w:p>
    <w:p>
      <w:pPr>
        <w:pStyle w:val="DefinedTerms"/>
      </w:pPr>
      <w:r>
        <w:t>day</w:t>
      </w:r>
      <w:r>
        <w:tab/>
        <w:t>3(2)</w:t>
      </w:r>
    </w:p>
    <w:p>
      <w:pPr>
        <w:pStyle w:val="DefinedTerms"/>
      </w:pPr>
      <w:r>
        <w:t>Department</w:t>
      </w:r>
      <w:r>
        <w:tab/>
        <w:t>3(1)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pleasure vessel</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tourism vessel</w:t>
      </w:r>
      <w:r>
        <w:tab/>
        <w:t>3(1)</w:t>
      </w:r>
    </w:p>
    <w:p>
      <w:pPr>
        <w:pStyle w:val="DefinedTerms"/>
      </w:pPr>
      <w:r>
        <w:t>vessel</w:t>
      </w:r>
      <w:r>
        <w:tab/>
        <w:t>3(1)</w:t>
      </w:r>
    </w:p>
    <w:p>
      <w:pPr>
        <w:pStyle w:val="DefinedTerms"/>
      </w:pPr>
      <w:r>
        <w:t>week</w:t>
      </w:r>
      <w:r>
        <w:tab/>
        <w:t>3(2)</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dues and fees at places outside the Port of Perth</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23</w:instrText>
            </w:r>
          </w:fldSimple>
          <w:r>
            <w:instrText>" "</w:instrText>
          </w:r>
          <w:fldSimple w:instr=" STYLEREF CharSClsNo \n ">
            <w:r>
              <w:rPr>
                <w:noProof/>
              </w:rPr>
              <w:instrText>0</w:instrText>
            </w:r>
          </w:fldSimple>
          <w:r>
            <w:instrText>"</w:instrText>
          </w:r>
          <w:r>
            <w:fldChar w:fldCharType="separate"/>
          </w:r>
          <w:r>
            <w:rPr>
              <w:noProof/>
            </w:rPr>
            <w:t>23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Charges, dues and fees at places outside the Port of Perth</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23</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23</w:t>
          </w:r>
          <w:r>
            <w:rPr>
              <w:bCs/>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6"/>
  </w:num>
  <w:num w:numId="14">
    <w:abstractNumId w:val="16"/>
  </w:num>
  <w:num w:numId="15">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customStyle="1" w:styleId="Clear">
    <w:name w:val="Clear"/>
    <w:basedOn w:val="yHeading3"/>
    <w:link w:val="ClearCha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character" w:customStyle="1" w:styleId="ClearChar">
    <w:name w:val="Clear Char"/>
    <w:basedOn w:val="yHeading3Char"/>
    <w:link w:val="Clear"/>
    <w:rPr>
      <w:b/>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customStyle="1" w:styleId="Clear">
    <w:name w:val="Clear"/>
    <w:basedOn w:val="yHeading3"/>
    <w:link w:val="ClearCha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character" w:customStyle="1" w:styleId="ClearChar">
    <w:name w:val="Clear Char"/>
    <w:basedOn w:val="yHeading3Char"/>
    <w:link w:val="Clear"/>
    <w:rPr>
      <w:b/>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27455</Words>
  <Characters>125744</Characters>
  <Application>Microsoft Office Word</Application>
  <DocSecurity>0</DocSecurity>
  <Lines>5239</Lines>
  <Paragraphs>3330</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149869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1940 - 07-h0-01</dc:title>
  <dc:subject/>
  <dc:creator/>
  <cp:keywords/>
  <dc:description/>
  <cp:lastModifiedBy>svcMRProcess</cp:lastModifiedBy>
  <cp:revision>4</cp:revision>
  <cp:lastPrinted>2009-03-03T01:31:00Z</cp:lastPrinted>
  <dcterms:created xsi:type="dcterms:W3CDTF">2019-05-31T08:34:00Z</dcterms:created>
  <dcterms:modified xsi:type="dcterms:W3CDTF">2019-05-31T08:34:00Z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20130508</vt:lpwstr>
  </property>
  <property fmtid="{D5CDD505-2E9C-101B-9397-08002B2CF9AE}" pid="4" name="DocumentType">
    <vt:lpwstr>Reg</vt:lpwstr>
  </property>
  <property fmtid="{D5CDD505-2E9C-101B-9397-08002B2CF9AE}" pid="5" name="OwlsUID">
    <vt:i4>8924</vt:i4>
  </property>
  <property fmtid="{D5CDD505-2E9C-101B-9397-08002B2CF9AE}" pid="6" name="AsAtDate">
    <vt:lpwstr>08 May 2013</vt:lpwstr>
  </property>
  <property fmtid="{D5CDD505-2E9C-101B-9397-08002B2CF9AE}" pid="7" name="Suffix">
    <vt:lpwstr>07-h0-01</vt:lpwstr>
  </property>
  <property fmtid="{D5CDD505-2E9C-101B-9397-08002B2CF9AE}" pid="8" name="ReprintNo">
    <vt:lpwstr>7</vt:lpwstr>
  </property>
</Properties>
</file>