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CE3" w:rsidRDefault="00670A1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1F442833" wp14:editId="14C6DFC8">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901CE3">
            <w:t>Western Australia</w:t>
          </w:r>
        </w:smartTag>
      </w:smartTag>
    </w:p>
    <w:p w:rsidR="00901CE3" w:rsidRDefault="00901CE3">
      <w:pPr>
        <w:pStyle w:val="PrincipalActReg"/>
        <w:spacing w:before="2600" w:after="0"/>
      </w:pPr>
      <w:r>
        <w:t>First Home Owner Grant Act 2000</w:t>
      </w:r>
    </w:p>
    <w:p w:rsidR="00901CE3" w:rsidRDefault="00901CE3">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1349F8">
        <w:rPr>
          <w:noProof/>
          <w:sz w:val="48"/>
        </w:rPr>
        <w:t>First Home Owner Grant Regulations 2000</w:t>
      </w:r>
      <w:r>
        <w:rPr>
          <w:sz w:val="48"/>
        </w:rPr>
        <w:fldChar w:fldCharType="end"/>
      </w:r>
    </w:p>
    <w:p w:rsidR="00901CE3" w:rsidRDefault="00901CE3">
      <w:pPr>
        <w:jc w:val="center"/>
        <w:rPr>
          <w:b/>
        </w:rPr>
        <w:sectPr w:rsidR="00901CE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01CE3" w:rsidRDefault="00901CE3">
      <w:pPr>
        <w:pStyle w:val="WA"/>
        <w:spacing w:before="120"/>
      </w:pPr>
      <w:smartTag w:uri="urn:schemas-microsoft-com:office:smarttags" w:element="place">
        <w:smartTag w:uri="urn:schemas-microsoft-com:office:smarttags" w:element="State">
          <w:r>
            <w:lastRenderedPageBreak/>
            <w:t>Western Australia</w:t>
          </w:r>
        </w:smartTag>
      </w:smartTag>
    </w:p>
    <w:p w:rsidR="00901CE3" w:rsidRDefault="00901CE3">
      <w:pPr>
        <w:pStyle w:val="NameofActRegPage1"/>
      </w:pPr>
      <w:r>
        <w:fldChar w:fldCharType="begin"/>
      </w:r>
      <w:r>
        <w:instrText xml:space="preserve"> STYLEREF "Name Of Act/Reg"</w:instrText>
      </w:r>
      <w:r>
        <w:fldChar w:fldCharType="separate"/>
      </w:r>
      <w:r w:rsidR="001349F8">
        <w:rPr>
          <w:noProof/>
        </w:rPr>
        <w:t>First Home Owner Grant Regulations 2000</w:t>
      </w:r>
      <w:r>
        <w:fldChar w:fldCharType="end"/>
      </w:r>
    </w:p>
    <w:p w:rsidR="00901CE3" w:rsidRDefault="00901CE3">
      <w:pPr>
        <w:pStyle w:val="Arrangement"/>
      </w:pPr>
      <w:r>
        <w:t>CONTENTS</w:t>
      </w:r>
    </w:p>
    <w:p w:rsidR="00A3497F" w:rsidRDefault="00901CE3">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3497F">
        <w:t>1.</w:t>
      </w:r>
      <w:r w:rsidR="00A3497F">
        <w:tab/>
        <w:t>Citation</w:t>
      </w:r>
      <w:r w:rsidR="00A3497F">
        <w:tab/>
      </w:r>
      <w:r w:rsidR="00A3497F">
        <w:fldChar w:fldCharType="begin"/>
      </w:r>
      <w:r w:rsidR="00A3497F">
        <w:instrText xml:space="preserve"> PAGEREF _Toc356480392 \h </w:instrText>
      </w:r>
      <w:r w:rsidR="00A3497F">
        <w:fldChar w:fldCharType="separate"/>
      </w:r>
      <w:r w:rsidR="001349F8">
        <w:t>1</w:t>
      </w:r>
      <w:r w:rsidR="00A3497F">
        <w:fldChar w:fldCharType="end"/>
      </w:r>
    </w:p>
    <w:p w:rsidR="00A3497F" w:rsidRDefault="00A3497F">
      <w:pPr>
        <w:pStyle w:val="TOC8"/>
        <w:rPr>
          <w:rFonts w:asciiTheme="minorHAnsi" w:eastAsiaTheme="minorEastAsia" w:hAnsiTheme="minorHAnsi" w:cstheme="minorBidi"/>
          <w:szCs w:val="22"/>
          <w:lang w:eastAsia="en-AU"/>
        </w:rPr>
      </w:pPr>
      <w:r>
        <w:t>2</w:t>
      </w:r>
      <w:r w:rsidRPr="004F346D">
        <w:rPr>
          <w:spacing w:val="-2"/>
        </w:rPr>
        <w:t>.</w:t>
      </w:r>
      <w:r w:rsidRPr="004F346D">
        <w:rPr>
          <w:spacing w:val="-2"/>
        </w:rPr>
        <w:tab/>
        <w:t>Commencement</w:t>
      </w:r>
      <w:r>
        <w:tab/>
      </w:r>
      <w:r>
        <w:fldChar w:fldCharType="begin"/>
      </w:r>
      <w:r>
        <w:instrText xml:space="preserve"> PAGEREF _Toc356480393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3.</w:t>
      </w:r>
      <w:r>
        <w:tab/>
        <w:t>Term used: interested person</w:t>
      </w:r>
      <w:r>
        <w:tab/>
      </w:r>
      <w:r>
        <w:fldChar w:fldCharType="begin"/>
      </w:r>
      <w:r>
        <w:instrText xml:space="preserve"> PAGEREF _Toc356480394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4.</w:t>
      </w:r>
      <w:r>
        <w:tab/>
        <w:t>Interest of disabled person in home prescribed to be relevant interest (s. 6(1)(h))</w:t>
      </w:r>
      <w:r>
        <w:tab/>
      </w:r>
      <w:r>
        <w:fldChar w:fldCharType="begin"/>
      </w:r>
      <w:r>
        <w:instrText xml:space="preserve"> PAGEREF _Toc356480395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5.</w:t>
      </w:r>
      <w:r>
        <w:tab/>
        <w:t>Interest of occupier of home on primary production land prescribed to be relevant interest (s. 6(1)(h))</w:t>
      </w:r>
      <w:r>
        <w:tab/>
      </w:r>
      <w:r>
        <w:fldChar w:fldCharType="begin"/>
      </w:r>
      <w:r>
        <w:instrText xml:space="preserve"> PAGEREF _Toc356480396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6.</w:t>
      </w:r>
      <w:r>
        <w:tab/>
        <w:t>Prescribed qualification to completion of eligible transaction (s. 14(6))</w:t>
      </w:r>
      <w:r>
        <w:tab/>
      </w:r>
      <w:r>
        <w:fldChar w:fldCharType="begin"/>
      </w:r>
      <w:r>
        <w:instrText xml:space="preserve"> PAGEREF _Toc356480397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7.</w:t>
      </w:r>
      <w:r>
        <w:tab/>
        <w:t>Certain owners of land excluded from the operation of s. 16(1)</w:t>
      </w:r>
      <w:r>
        <w:tab/>
      </w:r>
      <w:r>
        <w:fldChar w:fldCharType="begin"/>
      </w:r>
      <w:r>
        <w:instrText xml:space="preserve"> PAGEREF _Toc356480398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8.</w:t>
      </w:r>
      <w:r>
        <w:tab/>
        <w:t>Prescribed rates of interest (s. 30(3), 32(4) and 52(3) and (7))</w:t>
      </w:r>
      <w:r>
        <w:tab/>
      </w:r>
      <w:r>
        <w:fldChar w:fldCharType="begin"/>
      </w:r>
      <w:r>
        <w:instrText xml:space="preserve"> PAGEREF _Toc356480399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9.</w:t>
      </w:r>
      <w:r>
        <w:tab/>
        <w:t>Conditions to be included in administration agreements (s. 37(2))</w:t>
      </w:r>
      <w:r>
        <w:tab/>
      </w:r>
      <w:r>
        <w:fldChar w:fldCharType="begin"/>
      </w:r>
      <w:r>
        <w:instrText xml:space="preserve"> PAGEREF _Toc356480400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10.</w:t>
      </w:r>
      <w:r>
        <w:tab/>
        <w:t>Witness fees and expenses (s. 41(7))</w:t>
      </w:r>
      <w:r>
        <w:tab/>
      </w:r>
      <w:r>
        <w:fldChar w:fldCharType="begin"/>
      </w:r>
      <w:r>
        <w:instrText xml:space="preserve"> PAGEREF _Toc356480401 \h </w:instrText>
      </w:r>
      <w:r>
        <w:fldChar w:fldCharType="separate"/>
      </w:r>
      <w:r w:rsidR="001349F8">
        <w:t>1</w:t>
      </w:r>
      <w:r>
        <w:fldChar w:fldCharType="end"/>
      </w:r>
    </w:p>
    <w:p w:rsidR="00A3497F" w:rsidRDefault="00A3497F">
      <w:pPr>
        <w:pStyle w:val="TOC8"/>
        <w:rPr>
          <w:rFonts w:asciiTheme="minorHAnsi" w:eastAsiaTheme="minorEastAsia" w:hAnsiTheme="minorHAnsi" w:cstheme="minorBidi"/>
          <w:szCs w:val="22"/>
          <w:lang w:eastAsia="en-AU"/>
        </w:rPr>
      </w:pPr>
      <w:r>
        <w:t>11.</w:t>
      </w:r>
      <w:r>
        <w:tab/>
        <w:t>Authorised receipt and permitted disclosure of confidential information (s. 65(3))</w:t>
      </w:r>
      <w:r>
        <w:tab/>
      </w:r>
      <w:r>
        <w:fldChar w:fldCharType="begin"/>
      </w:r>
      <w:r>
        <w:instrText xml:space="preserve"> PAGEREF _Toc356480402 \h </w:instrText>
      </w:r>
      <w:r>
        <w:fldChar w:fldCharType="separate"/>
      </w:r>
      <w:r w:rsidR="001349F8">
        <w:t>1</w:t>
      </w:r>
      <w:r>
        <w:fldChar w:fldCharType="end"/>
      </w:r>
    </w:p>
    <w:p w:rsidR="00A3497F" w:rsidRDefault="00A3497F">
      <w:pPr>
        <w:pStyle w:val="TOC2"/>
        <w:tabs>
          <w:tab w:val="right" w:leader="dot" w:pos="7086"/>
        </w:tabs>
        <w:rPr>
          <w:rFonts w:asciiTheme="minorHAnsi" w:eastAsiaTheme="minorEastAsia" w:hAnsiTheme="minorHAnsi" w:cstheme="minorBidi"/>
          <w:b w:val="0"/>
          <w:sz w:val="22"/>
          <w:szCs w:val="22"/>
          <w:lang w:eastAsia="en-AU"/>
        </w:rPr>
      </w:pPr>
      <w:r>
        <w:t>Notes</w:t>
      </w:r>
    </w:p>
    <w:p w:rsidR="00A3497F" w:rsidRDefault="00A3497F" w:rsidP="00A3497F">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_Toc356480404 \h </w:instrText>
      </w:r>
      <w:r>
        <w:fldChar w:fldCharType="separate"/>
      </w:r>
      <w:r w:rsidR="001349F8">
        <w:t>1</w:t>
      </w:r>
      <w:r>
        <w:fldChar w:fldCharType="end"/>
      </w:r>
    </w:p>
    <w:p w:rsidR="00A3497F" w:rsidRDefault="00A3497F">
      <w:pPr>
        <w:pStyle w:val="TOC2"/>
        <w:tabs>
          <w:tab w:val="right" w:leader="dot" w:pos="7086"/>
        </w:tabs>
        <w:rPr>
          <w:rFonts w:asciiTheme="minorHAnsi" w:eastAsiaTheme="minorEastAsia" w:hAnsiTheme="minorHAnsi" w:cstheme="minorBidi"/>
          <w:b w:val="0"/>
          <w:sz w:val="22"/>
          <w:szCs w:val="22"/>
          <w:lang w:eastAsia="en-AU"/>
        </w:rPr>
      </w:pPr>
      <w:r>
        <w:t>Defined Terms</w:t>
      </w:r>
    </w:p>
    <w:p w:rsidR="00901CE3" w:rsidRDefault="00901CE3">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01CE3" w:rsidRDefault="00901CE3">
      <w:pPr>
        <w:pStyle w:val="NoteHeading"/>
        <w:sectPr w:rsidR="00901CE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901CE3" w:rsidRDefault="00901CE3">
      <w:pPr>
        <w:pStyle w:val="WA"/>
        <w:spacing w:before="120"/>
      </w:pPr>
      <w:smartTag w:uri="urn:schemas-microsoft-com:office:smarttags" w:element="place">
        <w:smartTag w:uri="urn:schemas-microsoft-com:office:smarttags" w:element="State">
          <w:r>
            <w:lastRenderedPageBreak/>
            <w:t>Western Australia</w:t>
          </w:r>
        </w:smartTag>
      </w:smartTag>
    </w:p>
    <w:p w:rsidR="00901CE3" w:rsidRDefault="00901CE3">
      <w:pPr>
        <w:pStyle w:val="PrincipalActReg"/>
      </w:pPr>
      <w:r>
        <w:t>First Home Owner Grant Act 2000</w:t>
      </w:r>
    </w:p>
    <w:p w:rsidR="00901CE3" w:rsidRDefault="00901CE3">
      <w:pPr>
        <w:pStyle w:val="NameofActReg"/>
      </w:pPr>
      <w:r>
        <w:t>First Home Owner Grant Regulations 2000</w:t>
      </w:r>
    </w:p>
    <w:p w:rsidR="00901CE3" w:rsidRDefault="00901CE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22965620"/>
      <w:bookmarkStart w:id="8" w:name="_Toc22965685"/>
      <w:bookmarkStart w:id="9" w:name="_Toc162152947"/>
      <w:bookmarkStart w:id="10" w:name="_Toc193181329"/>
      <w:bookmarkStart w:id="11" w:name="_Toc356480392"/>
      <w:r>
        <w:rPr>
          <w:rStyle w:val="CharSectno"/>
        </w:rPr>
        <w:t>1</w:t>
      </w:r>
      <w:r>
        <w:t>.</w:t>
      </w:r>
      <w:r>
        <w:tab/>
        <w:t>Citation</w:t>
      </w:r>
      <w:bookmarkEnd w:id="1"/>
      <w:bookmarkEnd w:id="2"/>
      <w:bookmarkEnd w:id="3"/>
      <w:bookmarkEnd w:id="4"/>
      <w:bookmarkEnd w:id="5"/>
      <w:bookmarkEnd w:id="6"/>
      <w:bookmarkEnd w:id="7"/>
      <w:bookmarkEnd w:id="8"/>
      <w:bookmarkEnd w:id="9"/>
      <w:bookmarkEnd w:id="10"/>
      <w:bookmarkEnd w:id="11"/>
    </w:p>
    <w:p w:rsidR="00901CE3" w:rsidRDefault="00901CE3">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rsidR="00901CE3" w:rsidRDefault="00901CE3">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22965621"/>
      <w:bookmarkStart w:id="19" w:name="_Toc22965686"/>
      <w:bookmarkStart w:id="20" w:name="_Toc162152948"/>
      <w:bookmarkStart w:id="21" w:name="_Toc193181330"/>
      <w:bookmarkStart w:id="22" w:name="_Toc35648039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rsidR="00901CE3" w:rsidRDefault="00901CE3">
      <w:pPr>
        <w:pStyle w:val="Subsection"/>
      </w:pPr>
      <w:r>
        <w:rPr>
          <w:spacing w:val="-2"/>
        </w:rPr>
        <w:tab/>
      </w:r>
      <w:r>
        <w:rPr>
          <w:spacing w:val="-2"/>
        </w:rPr>
        <w:tab/>
        <w:t>These regulations come into operation on 1 July 2000</w:t>
      </w:r>
      <w:r>
        <w:t>.</w:t>
      </w:r>
    </w:p>
    <w:p w:rsidR="00901CE3" w:rsidRDefault="00901CE3">
      <w:pPr>
        <w:pStyle w:val="Heading5"/>
      </w:pPr>
      <w:bookmarkStart w:id="23" w:name="_Toc22965622"/>
      <w:bookmarkStart w:id="24" w:name="_Toc22965687"/>
      <w:bookmarkStart w:id="25" w:name="_Toc162152949"/>
      <w:bookmarkStart w:id="26" w:name="_Toc193181331"/>
      <w:bookmarkStart w:id="27" w:name="_Toc356480394"/>
      <w:r>
        <w:rPr>
          <w:rStyle w:val="CharSectno"/>
        </w:rPr>
        <w:t>3</w:t>
      </w:r>
      <w:r>
        <w:t>.</w:t>
      </w:r>
      <w:r>
        <w:tab/>
      </w:r>
      <w:bookmarkEnd w:id="23"/>
      <w:bookmarkEnd w:id="24"/>
      <w:bookmarkEnd w:id="25"/>
      <w:bookmarkEnd w:id="26"/>
      <w:r>
        <w:t>Term used: interested person</w:t>
      </w:r>
      <w:bookmarkEnd w:id="27"/>
    </w:p>
    <w:p w:rsidR="00901CE3" w:rsidRDefault="00901CE3">
      <w:pPr>
        <w:pStyle w:val="Subsection"/>
      </w:pPr>
      <w:r>
        <w:tab/>
      </w:r>
      <w:r>
        <w:tab/>
        <w:t xml:space="preserve">In these regulations — </w:t>
      </w:r>
    </w:p>
    <w:p w:rsidR="00901CE3" w:rsidRDefault="00901CE3">
      <w:pPr>
        <w:pStyle w:val="Defstart"/>
      </w:pPr>
      <w:r>
        <w:tab/>
      </w:r>
      <w:r>
        <w:rPr>
          <w:rStyle w:val="CharDefText"/>
        </w:rPr>
        <w:t>interested person</w:t>
      </w:r>
      <w:r>
        <w:t xml:space="preserve"> has the same meaning as it has in section 16 of the Act.</w:t>
      </w:r>
    </w:p>
    <w:p w:rsidR="00901CE3" w:rsidRDefault="00901CE3">
      <w:pPr>
        <w:pStyle w:val="Heading5"/>
      </w:pPr>
      <w:bookmarkStart w:id="28" w:name="_Toc22965623"/>
      <w:bookmarkStart w:id="29" w:name="_Toc22965688"/>
      <w:bookmarkStart w:id="30" w:name="_Toc162152950"/>
      <w:bookmarkStart w:id="31" w:name="_Toc193181332"/>
      <w:bookmarkStart w:id="32" w:name="_Toc356480395"/>
      <w:r>
        <w:rPr>
          <w:rStyle w:val="CharSectno"/>
        </w:rPr>
        <w:t>4</w:t>
      </w:r>
      <w:r>
        <w:t>.</w:t>
      </w:r>
      <w:r>
        <w:tab/>
        <w:t>Interest of disabled person in home prescribed to be relevant interest (s. 6(1)(h))</w:t>
      </w:r>
      <w:bookmarkEnd w:id="28"/>
      <w:bookmarkEnd w:id="29"/>
      <w:bookmarkEnd w:id="30"/>
      <w:bookmarkEnd w:id="31"/>
      <w:bookmarkEnd w:id="32"/>
    </w:p>
    <w:p w:rsidR="00901CE3" w:rsidRDefault="00901CE3">
      <w:pPr>
        <w:pStyle w:val="Subsection"/>
      </w:pPr>
      <w:r>
        <w:tab/>
        <w:t>(1)</w:t>
      </w:r>
      <w:r>
        <w:tab/>
        <w:t xml:space="preserve">If — </w:t>
      </w:r>
    </w:p>
    <w:p w:rsidR="00901CE3" w:rsidRDefault="00901CE3">
      <w:pPr>
        <w:pStyle w:val="Indenta"/>
      </w:pPr>
      <w:r>
        <w:tab/>
        <w:t>(a)</w:t>
      </w:r>
      <w:r>
        <w:tab/>
        <w:t xml:space="preserve">a person — </w:t>
      </w:r>
    </w:p>
    <w:p w:rsidR="00901CE3" w:rsidRDefault="00901CE3">
      <w:pPr>
        <w:pStyle w:val="Indenti"/>
      </w:pPr>
      <w:r>
        <w:tab/>
        <w:t>(i)</w:t>
      </w:r>
      <w:r>
        <w:tab/>
        <w:t>enters into a comprehensive home building contract to have a home built; or</w:t>
      </w:r>
    </w:p>
    <w:p w:rsidR="00901CE3" w:rsidRDefault="00901CE3">
      <w:pPr>
        <w:pStyle w:val="Indenti"/>
      </w:pPr>
      <w:r>
        <w:tab/>
        <w:t>(ii)</w:t>
      </w:r>
      <w:r>
        <w:tab/>
        <w:t>as an owner builder, begins the building of a home,</w:t>
      </w:r>
    </w:p>
    <w:p w:rsidR="00901CE3" w:rsidRDefault="00901CE3">
      <w:pPr>
        <w:pStyle w:val="Indenta"/>
      </w:pPr>
      <w:r>
        <w:tab/>
      </w:r>
      <w:r>
        <w:tab/>
        <w:t>on land in the State that is not owned by the person; and</w:t>
      </w:r>
    </w:p>
    <w:p w:rsidR="00901CE3" w:rsidRDefault="00901CE3">
      <w:pPr>
        <w:pStyle w:val="Indenta"/>
      </w:pPr>
      <w:r>
        <w:tab/>
        <w:t>(b)</w:t>
      </w:r>
      <w:r>
        <w:tab/>
        <w:t xml:space="preserve">the Commissioner is satisfied that — </w:t>
      </w:r>
    </w:p>
    <w:p w:rsidR="00901CE3" w:rsidRDefault="00901CE3">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rsidR="00901CE3" w:rsidRDefault="00901CE3">
      <w:pPr>
        <w:pStyle w:val="Indenti"/>
      </w:pPr>
      <w:r>
        <w:tab/>
        <w:t>(ii)</w:t>
      </w:r>
      <w:r>
        <w:tab/>
        <w:t>the person has been given written permission by the owner of the land to occupy the home when it is completed,</w:t>
      </w:r>
    </w:p>
    <w:p w:rsidR="00901CE3" w:rsidRDefault="00901CE3">
      <w:pPr>
        <w:pStyle w:val="Subsection"/>
      </w:pPr>
      <w:r>
        <w:tab/>
      </w:r>
      <w:r>
        <w:tab/>
        <w:t>then, for the purposes of section 6(1)(h) of the Act, the interest that the person has in the home is a relevant interest in the land on which the home is built.</w:t>
      </w:r>
    </w:p>
    <w:p w:rsidR="00901CE3" w:rsidRDefault="00901CE3">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rsidR="00901CE3" w:rsidRDefault="00901CE3">
      <w:pPr>
        <w:pStyle w:val="Heading5"/>
      </w:pPr>
      <w:bookmarkStart w:id="33" w:name="_Toc22965624"/>
      <w:bookmarkStart w:id="34" w:name="_Toc22965689"/>
      <w:bookmarkStart w:id="35" w:name="_Toc162152951"/>
      <w:bookmarkStart w:id="36" w:name="_Toc193181333"/>
      <w:bookmarkStart w:id="37" w:name="_Toc356480396"/>
      <w:r>
        <w:rPr>
          <w:rStyle w:val="CharSectno"/>
        </w:rPr>
        <w:t>5</w:t>
      </w:r>
      <w:r>
        <w:t>.</w:t>
      </w:r>
      <w:r>
        <w:tab/>
        <w:t>Interest of occupier of home on primary production land prescribed to be relevant interest (s. 6(1)(h))</w:t>
      </w:r>
      <w:bookmarkEnd w:id="33"/>
      <w:bookmarkEnd w:id="34"/>
      <w:bookmarkEnd w:id="35"/>
      <w:bookmarkEnd w:id="36"/>
      <w:bookmarkEnd w:id="37"/>
    </w:p>
    <w:p w:rsidR="00901CE3" w:rsidRDefault="00901CE3">
      <w:pPr>
        <w:pStyle w:val="Subsection"/>
      </w:pPr>
      <w:r>
        <w:tab/>
        <w:t>(1)</w:t>
      </w:r>
      <w:r>
        <w:tab/>
        <w:t xml:space="preserve">If — </w:t>
      </w:r>
    </w:p>
    <w:p w:rsidR="00901CE3" w:rsidRDefault="00901CE3">
      <w:pPr>
        <w:pStyle w:val="Indenta"/>
      </w:pPr>
      <w:r>
        <w:tab/>
        <w:t>(a)</w:t>
      </w:r>
      <w:r>
        <w:tab/>
        <w:t xml:space="preserve">a person — </w:t>
      </w:r>
    </w:p>
    <w:p w:rsidR="00901CE3" w:rsidRDefault="00901CE3">
      <w:pPr>
        <w:pStyle w:val="Indenti"/>
      </w:pPr>
      <w:r>
        <w:tab/>
        <w:t>(i)</w:t>
      </w:r>
      <w:r>
        <w:tab/>
        <w:t>enters into a comprehensive home building contract to have a home built; or</w:t>
      </w:r>
    </w:p>
    <w:p w:rsidR="00901CE3" w:rsidRDefault="00901CE3">
      <w:pPr>
        <w:pStyle w:val="Indenti"/>
      </w:pPr>
      <w:r>
        <w:tab/>
        <w:t>(ii)</w:t>
      </w:r>
      <w:r>
        <w:tab/>
        <w:t>as an owner builder, begins the building of a home,</w:t>
      </w:r>
    </w:p>
    <w:p w:rsidR="00901CE3" w:rsidRDefault="00901CE3">
      <w:pPr>
        <w:pStyle w:val="Indenta"/>
      </w:pPr>
      <w:r>
        <w:tab/>
      </w:r>
      <w:r>
        <w:tab/>
        <w:t>on land in the State that is not owned by the person; and</w:t>
      </w:r>
    </w:p>
    <w:p w:rsidR="00901CE3" w:rsidRDefault="00901CE3">
      <w:pPr>
        <w:pStyle w:val="Indenta"/>
        <w:keepNext/>
      </w:pPr>
      <w:r>
        <w:tab/>
        <w:t>(b)</w:t>
      </w:r>
      <w:r>
        <w:tab/>
        <w:t xml:space="preserve">the Commissioner is satisfied that — </w:t>
      </w:r>
    </w:p>
    <w:p w:rsidR="00901CE3" w:rsidRDefault="00901CE3">
      <w:pPr>
        <w:pStyle w:val="Indenti"/>
      </w:pPr>
      <w:r>
        <w:tab/>
        <w:t>(i)</w:t>
      </w:r>
      <w:r>
        <w:tab/>
        <w:t>the land is used solely or principally for a primary production business; and</w:t>
      </w:r>
    </w:p>
    <w:p w:rsidR="00901CE3" w:rsidRDefault="00901CE3">
      <w:pPr>
        <w:pStyle w:val="Indenti"/>
      </w:pPr>
      <w:r>
        <w:tab/>
        <w:t>(ii)</w:t>
      </w:r>
      <w:r>
        <w:tab/>
        <w:t>the person has been given written permission by the owner of the land to occupy the home when it is completed,</w:t>
      </w:r>
    </w:p>
    <w:p w:rsidR="00901CE3" w:rsidRDefault="00901CE3">
      <w:pPr>
        <w:pStyle w:val="Subsection"/>
      </w:pPr>
      <w:r>
        <w:tab/>
      </w:r>
      <w:r>
        <w:tab/>
        <w:t>then, for the purposes of section 6(1)(h) of the Act, the interest that the person has in the home is a relevant interest in the land on which the home is built.</w:t>
      </w:r>
    </w:p>
    <w:p w:rsidR="00901CE3" w:rsidRDefault="00901CE3">
      <w:pPr>
        <w:pStyle w:val="Subsection"/>
      </w:pPr>
      <w:r>
        <w:tab/>
        <w:t>(2)</w:t>
      </w:r>
      <w:r>
        <w:tab/>
        <w:t xml:space="preserve">In subregulation (1) — </w:t>
      </w:r>
    </w:p>
    <w:p w:rsidR="00901CE3" w:rsidRDefault="00901CE3">
      <w:pPr>
        <w:pStyle w:val="Defstart"/>
      </w:pPr>
      <w:r>
        <w:tab/>
      </w:r>
      <w:r>
        <w:rPr>
          <w:rStyle w:val="CharDefText"/>
        </w:rPr>
        <w:t>primary production business</w:t>
      </w:r>
      <w:r>
        <w:t xml:space="preserve"> means — </w:t>
      </w:r>
    </w:p>
    <w:p w:rsidR="00901CE3" w:rsidRDefault="00901CE3">
      <w:pPr>
        <w:pStyle w:val="Defpara"/>
      </w:pPr>
      <w:r>
        <w:tab/>
        <w:t>(a)</w:t>
      </w:r>
      <w:r>
        <w:tab/>
        <w:t>an agricultural, silvicultural or reafforestation business; or</w:t>
      </w:r>
    </w:p>
    <w:p w:rsidR="00901CE3" w:rsidRDefault="00901CE3">
      <w:pPr>
        <w:pStyle w:val="Defpara"/>
      </w:pPr>
      <w:r>
        <w:tab/>
        <w:t>(b)</w:t>
      </w:r>
      <w:r>
        <w:tab/>
        <w:t>a grazing, horse</w:t>
      </w:r>
      <w:r>
        <w:noBreakHyphen/>
        <w:t>breeding, horticultural, viticultural, apicultural, pig</w:t>
      </w:r>
      <w:r>
        <w:noBreakHyphen/>
        <w:t>raising or poultry</w:t>
      </w:r>
      <w:r>
        <w:noBreakHyphen/>
        <w:t>farming business.</w:t>
      </w:r>
    </w:p>
    <w:p w:rsidR="00901CE3" w:rsidRDefault="00901CE3">
      <w:pPr>
        <w:pStyle w:val="Heading5"/>
      </w:pPr>
      <w:bookmarkStart w:id="38" w:name="_Toc22965625"/>
      <w:bookmarkStart w:id="39" w:name="_Toc22965690"/>
      <w:bookmarkStart w:id="40" w:name="_Toc162152952"/>
      <w:bookmarkStart w:id="41" w:name="_Toc193181334"/>
      <w:bookmarkStart w:id="42" w:name="_Toc356480397"/>
      <w:r>
        <w:rPr>
          <w:rStyle w:val="CharSectno"/>
        </w:rPr>
        <w:t>6</w:t>
      </w:r>
      <w:r>
        <w:t>.</w:t>
      </w:r>
      <w:r>
        <w:tab/>
        <w:t>Prescribed qualification to completion of eligible transaction (s. 14(6))</w:t>
      </w:r>
      <w:bookmarkEnd w:id="38"/>
      <w:bookmarkEnd w:id="39"/>
      <w:bookmarkEnd w:id="40"/>
      <w:bookmarkEnd w:id="41"/>
      <w:bookmarkEnd w:id="42"/>
    </w:p>
    <w:p w:rsidR="00901CE3" w:rsidRDefault="00901CE3">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rsidR="00901CE3" w:rsidRDefault="00901CE3">
      <w:pPr>
        <w:pStyle w:val="Heading5"/>
      </w:pPr>
      <w:bookmarkStart w:id="43" w:name="_Toc22965626"/>
      <w:bookmarkStart w:id="44" w:name="_Toc22965691"/>
      <w:bookmarkStart w:id="45" w:name="_Toc162152953"/>
      <w:bookmarkStart w:id="46" w:name="_Toc193181335"/>
      <w:bookmarkStart w:id="47" w:name="_Toc356480398"/>
      <w:r>
        <w:rPr>
          <w:rStyle w:val="CharSectno"/>
        </w:rPr>
        <w:t>7</w:t>
      </w:r>
      <w:r>
        <w:t>.</w:t>
      </w:r>
      <w:r>
        <w:tab/>
        <w:t>Certain owners of land excluded from the operation of s. 16(1)</w:t>
      </w:r>
      <w:bookmarkEnd w:id="43"/>
      <w:bookmarkEnd w:id="44"/>
      <w:bookmarkEnd w:id="45"/>
      <w:bookmarkEnd w:id="46"/>
      <w:bookmarkEnd w:id="47"/>
    </w:p>
    <w:p w:rsidR="00901CE3" w:rsidRDefault="00901CE3">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rsidR="00901CE3" w:rsidRDefault="00901CE3">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rsidR="00901CE3" w:rsidRDefault="00901CE3">
      <w:pPr>
        <w:pStyle w:val="Indenta"/>
      </w:pPr>
      <w:r>
        <w:tab/>
        <w:t>(a)</w:t>
      </w:r>
      <w:r>
        <w:tab/>
        <w:t>the home in relation to which the relevant application for a first home owner grant is made is on that land; and</w:t>
      </w:r>
    </w:p>
    <w:p w:rsidR="00901CE3" w:rsidRDefault="00901CE3">
      <w:pPr>
        <w:pStyle w:val="Indenta"/>
      </w:pPr>
      <w:r>
        <w:tab/>
        <w:t>(b)</w:t>
      </w:r>
      <w:r>
        <w:tab/>
        <w:t>the person does not have, and will not acquire on the completion of the eligible transaction to which the application relates, the right to occupy that home.</w:t>
      </w:r>
    </w:p>
    <w:p w:rsidR="00901CE3" w:rsidRDefault="00901CE3">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rsidR="00901CE3" w:rsidRDefault="00901CE3">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rsidR="00901CE3" w:rsidRDefault="00901CE3">
      <w:pPr>
        <w:pStyle w:val="Indenta"/>
      </w:pPr>
      <w:r>
        <w:tab/>
        <w:t>(b)</w:t>
      </w:r>
      <w:r>
        <w:tab/>
        <w:t>the strata plan or survey</w:t>
      </w:r>
      <w:r>
        <w:noBreakHyphen/>
        <w:t>strata plan is, or will be, registered as soon as practicable after the eligible transaction is completed; and</w:t>
      </w:r>
    </w:p>
    <w:p w:rsidR="00901CE3" w:rsidRDefault="00901CE3">
      <w:pPr>
        <w:pStyle w:val="Indenta"/>
      </w:pPr>
      <w:r>
        <w:tab/>
        <w:t>(c)</w:t>
      </w:r>
      <w:r>
        <w:tab/>
        <w:t>the person is not, or will not become, as a result of the registration of the strata plan or survey</w:t>
      </w:r>
      <w:r>
        <w:noBreakHyphen/>
        <w:t>strata plan, an owner of the home.</w:t>
      </w:r>
    </w:p>
    <w:p w:rsidR="00901CE3" w:rsidRDefault="00901CE3">
      <w:pPr>
        <w:pStyle w:val="Subsection"/>
      </w:pPr>
      <w:r>
        <w:tab/>
        <w:t>(2b)</w:t>
      </w:r>
      <w:r>
        <w:tab/>
        <w:t xml:space="preserve">In subregulation (2a) — </w:t>
      </w:r>
    </w:p>
    <w:p w:rsidR="00901CE3" w:rsidRDefault="00901CE3">
      <w:pPr>
        <w:pStyle w:val="Defstart"/>
      </w:pPr>
      <w:r>
        <w:rPr>
          <w:b/>
        </w:rPr>
        <w:tab/>
      </w:r>
      <w:r>
        <w:rPr>
          <w:rStyle w:val="CharDefText"/>
        </w:rPr>
        <w:t>new home</w:t>
      </w:r>
      <w:r>
        <w:t xml:space="preserve"> means a home that is built — </w:t>
      </w:r>
    </w:p>
    <w:p w:rsidR="00901CE3" w:rsidRDefault="00901CE3">
      <w:pPr>
        <w:pStyle w:val="Defpara"/>
      </w:pPr>
      <w:r>
        <w:tab/>
        <w:t>(a)</w:t>
      </w:r>
      <w:r>
        <w:tab/>
        <w:t>under a comprehensive home building contract; or</w:t>
      </w:r>
    </w:p>
    <w:p w:rsidR="00901CE3" w:rsidRDefault="00901CE3">
      <w:pPr>
        <w:pStyle w:val="Defpara"/>
      </w:pPr>
      <w:r>
        <w:tab/>
        <w:t>(b)</w:t>
      </w:r>
      <w:r>
        <w:tab/>
        <w:t>by an owner builder.</w:t>
      </w:r>
    </w:p>
    <w:p w:rsidR="00901CE3" w:rsidRDefault="00901CE3">
      <w:pPr>
        <w:pStyle w:val="Subsection"/>
      </w:pPr>
      <w:r>
        <w:tab/>
        <w:t>(3)</w:t>
      </w:r>
      <w:r>
        <w:tab/>
        <w:t>If the State Housing Commission is an interested person, that Commission is excluded from the operation of section 16(1) of the Act.</w:t>
      </w:r>
    </w:p>
    <w:p w:rsidR="00901CE3" w:rsidRDefault="00901CE3">
      <w:pPr>
        <w:pStyle w:val="Subsection"/>
      </w:pPr>
      <w:r>
        <w:tab/>
        <w:t>(4)</w:t>
      </w:r>
      <w:r>
        <w:tab/>
        <w:t xml:space="preserve">In this regulation — </w:t>
      </w:r>
    </w:p>
    <w:p w:rsidR="00901CE3" w:rsidRDefault="00901CE3">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rsidR="00901CE3" w:rsidRDefault="00901CE3">
      <w:pPr>
        <w:pStyle w:val="Defstart"/>
      </w:pPr>
      <w:r>
        <w:tab/>
      </w:r>
      <w:r>
        <w:rPr>
          <w:rStyle w:val="CharDefText"/>
        </w:rPr>
        <w:t>State Housing Commission</w:t>
      </w:r>
      <w:r>
        <w:t xml:space="preserve"> means the body corporate preserved and continued under section 6 of the </w:t>
      </w:r>
      <w:r>
        <w:rPr>
          <w:i/>
        </w:rPr>
        <w:t>Housing Act 1980</w:t>
      </w:r>
      <w:r>
        <w:t>.</w:t>
      </w:r>
    </w:p>
    <w:p w:rsidR="00901CE3" w:rsidRDefault="00901CE3">
      <w:pPr>
        <w:pStyle w:val="Footnotesection"/>
      </w:pPr>
      <w:r>
        <w:tab/>
        <w:t>[Regulation 7 amended in Gazette 22 Oct 2002 p. 5255-6.]</w:t>
      </w:r>
    </w:p>
    <w:p w:rsidR="00901CE3" w:rsidRDefault="00901CE3">
      <w:pPr>
        <w:pStyle w:val="Heading5"/>
      </w:pPr>
      <w:bookmarkStart w:id="48" w:name="_Toc22965627"/>
      <w:bookmarkStart w:id="49" w:name="_Toc22965692"/>
      <w:bookmarkStart w:id="50" w:name="_Toc162152954"/>
      <w:bookmarkStart w:id="51" w:name="_Toc193181336"/>
      <w:bookmarkStart w:id="52" w:name="_Toc356480399"/>
      <w:r>
        <w:rPr>
          <w:rStyle w:val="CharSectno"/>
        </w:rPr>
        <w:t>8</w:t>
      </w:r>
      <w:r>
        <w:t>.</w:t>
      </w:r>
      <w:r>
        <w:tab/>
        <w:t>Prescribed rates of interest (s. 30(3), 32(4) and 52(3) and (7))</w:t>
      </w:r>
      <w:bookmarkEnd w:id="48"/>
      <w:bookmarkEnd w:id="49"/>
      <w:bookmarkEnd w:id="50"/>
      <w:bookmarkEnd w:id="51"/>
      <w:bookmarkEnd w:id="52"/>
    </w:p>
    <w:p w:rsidR="00901CE3" w:rsidRDefault="00901CE3">
      <w:pPr>
        <w:pStyle w:val="Subsection"/>
      </w:pPr>
      <w:r>
        <w:tab/>
        <w:t>(1)</w:t>
      </w:r>
      <w:r>
        <w:tab/>
        <w:t xml:space="preserve">The rate of interest for the purposes of section 30(3) of the Act is </w:t>
      </w:r>
      <w:r w:rsidR="000E72E9">
        <w:t>3.5% per annum.</w:t>
      </w:r>
    </w:p>
    <w:p w:rsidR="00901CE3" w:rsidRDefault="00901CE3">
      <w:pPr>
        <w:pStyle w:val="Subsection"/>
      </w:pPr>
      <w:r>
        <w:tab/>
        <w:t>(2)</w:t>
      </w:r>
      <w:r>
        <w:tab/>
        <w:t xml:space="preserve">The rate of interest for the purposes of section 32(4) of the Act is </w:t>
      </w:r>
      <w:r w:rsidR="000E72E9">
        <w:t>3.5% per annum.</w:t>
      </w:r>
    </w:p>
    <w:p w:rsidR="00901CE3" w:rsidRDefault="00901CE3">
      <w:pPr>
        <w:pStyle w:val="Subsection"/>
      </w:pPr>
      <w:r>
        <w:tab/>
        <w:t>(3)</w:t>
      </w:r>
      <w:r>
        <w:tab/>
        <w:t xml:space="preserve">The rate of interest for the purposes of section 52(3) and (7) of the Act is </w:t>
      </w:r>
      <w:r w:rsidR="000E72E9">
        <w:t>11.5% per annum.</w:t>
      </w:r>
    </w:p>
    <w:p w:rsidR="00901CE3" w:rsidRDefault="00901CE3">
      <w:pPr>
        <w:pStyle w:val="Footnotesection"/>
      </w:pPr>
      <w:r>
        <w:tab/>
        <w:t>[Regulation 8 amended in Gazette 13 Aug 2004 p. 3252; 20 Mar 2007 p. 1048; 14 Mar 2008 p. 837</w:t>
      </w:r>
      <w:r w:rsidR="000E72E9">
        <w:t>; 17 May 2013 p. 1986</w:t>
      </w:r>
      <w:r>
        <w:t>.]</w:t>
      </w:r>
    </w:p>
    <w:p w:rsidR="00901CE3" w:rsidRDefault="00901CE3">
      <w:pPr>
        <w:pStyle w:val="Heading5"/>
      </w:pPr>
      <w:bookmarkStart w:id="53" w:name="_Toc22965628"/>
      <w:bookmarkStart w:id="54" w:name="_Toc22965693"/>
      <w:bookmarkStart w:id="55" w:name="_Toc162152955"/>
      <w:bookmarkStart w:id="56" w:name="_Toc193181337"/>
      <w:bookmarkStart w:id="57" w:name="_Toc356480400"/>
      <w:r>
        <w:rPr>
          <w:rStyle w:val="CharSectno"/>
        </w:rPr>
        <w:t>9</w:t>
      </w:r>
      <w:r>
        <w:t>.</w:t>
      </w:r>
      <w:r>
        <w:tab/>
        <w:t>Conditions to be included in administration agreements (s. 37(2))</w:t>
      </w:r>
      <w:bookmarkEnd w:id="53"/>
      <w:bookmarkEnd w:id="54"/>
      <w:bookmarkEnd w:id="55"/>
      <w:bookmarkEnd w:id="56"/>
      <w:bookmarkEnd w:id="57"/>
    </w:p>
    <w:p w:rsidR="00901CE3" w:rsidRDefault="00901CE3">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rsidR="00901CE3" w:rsidRDefault="00901CE3">
      <w:pPr>
        <w:pStyle w:val="Subsection"/>
      </w:pPr>
      <w:r>
        <w:tab/>
        <w:t>(2)</w:t>
      </w:r>
      <w:r>
        <w:tab/>
        <w:t xml:space="preserve">This subregulation applies to the conditions that a delegate is to — </w:t>
      </w:r>
    </w:p>
    <w:p w:rsidR="00901CE3" w:rsidRDefault="00901CE3">
      <w:pPr>
        <w:pStyle w:val="Indenta"/>
      </w:pPr>
      <w:r>
        <w:tab/>
        <w:t>(a)</w:t>
      </w:r>
      <w:r>
        <w:tab/>
        <w:t>maintain the records in relation to an application for a first home owner grant administered by the delegate;</w:t>
      </w:r>
    </w:p>
    <w:p w:rsidR="00901CE3" w:rsidRDefault="00901CE3">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rsidR="00901CE3" w:rsidRDefault="00901CE3">
      <w:pPr>
        <w:pStyle w:val="Indenta"/>
      </w:pPr>
      <w:r>
        <w:tab/>
        <w:t>(c)</w:t>
      </w:r>
      <w:r>
        <w:tab/>
        <w:t>retain the records for a period of 5 years after the payment of the first home owner grant to which the application relates.</w:t>
      </w:r>
    </w:p>
    <w:p w:rsidR="00901CE3" w:rsidRDefault="00901CE3">
      <w:pPr>
        <w:pStyle w:val="Subsection"/>
      </w:pPr>
      <w:r>
        <w:tab/>
        <w:t>(3)</w:t>
      </w:r>
      <w:r>
        <w:tab/>
        <w:t xml:space="preserve">This subregulation applies to the condition that a delegate is entitled to retain any interest that accrues on amounts — </w:t>
      </w:r>
    </w:p>
    <w:p w:rsidR="00901CE3" w:rsidRDefault="00901CE3">
      <w:pPr>
        <w:pStyle w:val="Indenta"/>
      </w:pPr>
      <w:r>
        <w:tab/>
        <w:t>(a)</w:t>
      </w:r>
      <w:r>
        <w:tab/>
        <w:t>received by the delegate from the Commissioner for the payment of first home owner grants by the delegate on behalf of the Commissioner; and</w:t>
      </w:r>
    </w:p>
    <w:p w:rsidR="00901CE3" w:rsidRDefault="00901CE3">
      <w:pPr>
        <w:pStyle w:val="Indenta"/>
      </w:pPr>
      <w:r>
        <w:tab/>
        <w:t>(b)</w:t>
      </w:r>
      <w:r>
        <w:tab/>
        <w:t>held in an account used by the delegate solely for the purpose of receiving those amounts and any other amounts approved by the Commissioner.</w:t>
      </w:r>
    </w:p>
    <w:p w:rsidR="00901CE3" w:rsidRDefault="00901CE3">
      <w:pPr>
        <w:pStyle w:val="Subsection"/>
      </w:pPr>
      <w:r>
        <w:tab/>
        <w:t>(4)</w:t>
      </w:r>
      <w:r>
        <w:tab/>
        <w:t xml:space="preserve">In subregulation (2) — </w:t>
      </w:r>
    </w:p>
    <w:p w:rsidR="00901CE3" w:rsidRDefault="00901CE3">
      <w:pPr>
        <w:pStyle w:val="Defstart"/>
      </w:pPr>
      <w:r>
        <w:tab/>
      </w:r>
      <w:r>
        <w:rPr>
          <w:rStyle w:val="CharDefText"/>
        </w:rPr>
        <w:t>the records</w:t>
      </w:r>
      <w:r>
        <w:t xml:space="preserve">, in relation to an application for a first home owner grant administered by a delegate, means — </w:t>
      </w:r>
    </w:p>
    <w:p w:rsidR="00901CE3" w:rsidRDefault="00901CE3">
      <w:pPr>
        <w:pStyle w:val="Defpara"/>
      </w:pPr>
      <w:r>
        <w:tab/>
        <w:t>(a)</w:t>
      </w:r>
      <w:r>
        <w:tab/>
        <w:t>the original application form;</w:t>
      </w:r>
    </w:p>
    <w:p w:rsidR="00901CE3" w:rsidRDefault="00901CE3">
      <w:pPr>
        <w:pStyle w:val="Defpara"/>
      </w:pPr>
      <w:r>
        <w:tab/>
        <w:t>(b)</w:t>
      </w:r>
      <w:r>
        <w:tab/>
        <w:t>any document that the Commissioner notifies the delegate in writing is a record for the purposes of this paragraph; and</w:t>
      </w:r>
    </w:p>
    <w:p w:rsidR="00901CE3" w:rsidRDefault="00901CE3">
      <w:pPr>
        <w:pStyle w:val="Defpara"/>
      </w:pPr>
      <w:r>
        <w:tab/>
        <w:t>(c)</w:t>
      </w:r>
      <w:r>
        <w:tab/>
        <w:t>any other document given to or created by the delegate that relates to the application.</w:t>
      </w:r>
    </w:p>
    <w:p w:rsidR="00901CE3" w:rsidRDefault="00901CE3">
      <w:pPr>
        <w:pStyle w:val="Heading5"/>
      </w:pPr>
      <w:bookmarkStart w:id="58" w:name="_Toc22965629"/>
      <w:bookmarkStart w:id="59" w:name="_Toc22965694"/>
      <w:bookmarkStart w:id="60" w:name="_Toc162152956"/>
      <w:bookmarkStart w:id="61" w:name="_Toc193181338"/>
      <w:bookmarkStart w:id="62" w:name="_Toc356480401"/>
      <w:r>
        <w:rPr>
          <w:rStyle w:val="CharSectno"/>
        </w:rPr>
        <w:t>10</w:t>
      </w:r>
      <w:r>
        <w:t>.</w:t>
      </w:r>
      <w:r>
        <w:tab/>
        <w:t>Witness fees and expenses (s. 41(7))</w:t>
      </w:r>
      <w:bookmarkEnd w:id="58"/>
      <w:bookmarkEnd w:id="59"/>
      <w:bookmarkEnd w:id="60"/>
      <w:bookmarkEnd w:id="61"/>
      <w:bookmarkEnd w:id="62"/>
    </w:p>
    <w:p w:rsidR="00901CE3" w:rsidRDefault="00901CE3">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rsidR="00901CE3" w:rsidRDefault="00901CE3">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rsidR="00901CE3" w:rsidRDefault="00901CE3">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rsidR="00901CE3" w:rsidRDefault="00901CE3">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rsidR="00901CE3" w:rsidRDefault="00901CE3">
      <w:pPr>
        <w:pStyle w:val="Subsection"/>
      </w:pPr>
      <w:r>
        <w:tab/>
        <w:t>(3)</w:t>
      </w:r>
      <w:r>
        <w:tab/>
        <w:t xml:space="preserve">In subregulation (1) — </w:t>
      </w:r>
    </w:p>
    <w:p w:rsidR="00901CE3" w:rsidRDefault="00901CE3">
      <w:pPr>
        <w:pStyle w:val="Defstart"/>
      </w:pPr>
      <w:r>
        <w:tab/>
      </w:r>
      <w:r>
        <w:rPr>
          <w:rStyle w:val="CharDefText"/>
        </w:rPr>
        <w:t>appropriate publication</w:t>
      </w:r>
      <w:r>
        <w:t xml:space="preserve"> includes material published by the Australian Bureau of Statistics.</w:t>
      </w:r>
    </w:p>
    <w:p w:rsidR="00901CE3" w:rsidRDefault="00901CE3">
      <w:pPr>
        <w:pStyle w:val="Footnotesection"/>
      </w:pPr>
      <w:r>
        <w:tab/>
        <w:t>[Regulation 10 amended in Gazette 30 Jun 2003 p. 2602.]</w:t>
      </w:r>
    </w:p>
    <w:p w:rsidR="00901CE3" w:rsidRDefault="00901CE3">
      <w:pPr>
        <w:pStyle w:val="Heading5"/>
      </w:pPr>
      <w:bookmarkStart w:id="63" w:name="_Toc22965630"/>
      <w:bookmarkStart w:id="64" w:name="_Toc22965695"/>
      <w:bookmarkStart w:id="65" w:name="_Toc162152957"/>
      <w:bookmarkStart w:id="66" w:name="_Toc193181339"/>
      <w:bookmarkStart w:id="67" w:name="_Toc356480402"/>
      <w:r>
        <w:rPr>
          <w:rStyle w:val="CharSectno"/>
        </w:rPr>
        <w:t>11</w:t>
      </w:r>
      <w:r>
        <w:t>.</w:t>
      </w:r>
      <w:r>
        <w:tab/>
        <w:t>Authorised receipt and permitted disclosure of confidential information (s. 65(3))</w:t>
      </w:r>
      <w:bookmarkEnd w:id="63"/>
      <w:bookmarkEnd w:id="64"/>
      <w:bookmarkEnd w:id="65"/>
      <w:bookmarkEnd w:id="66"/>
      <w:bookmarkEnd w:id="67"/>
    </w:p>
    <w:p w:rsidR="00901CE3" w:rsidRDefault="00901CE3">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rsidR="00901CE3" w:rsidRDefault="00901CE3">
      <w:pPr>
        <w:pStyle w:val="Subsection"/>
      </w:pPr>
      <w:r>
        <w:tab/>
        <w:t>(2)</w:t>
      </w:r>
      <w:r>
        <w:tab/>
        <w:t>The disclosure of confidential information is permitted under section 65(3)(c) of the Act to the following —</w:t>
      </w:r>
    </w:p>
    <w:p w:rsidR="00901CE3" w:rsidRDefault="00901CE3">
      <w:pPr>
        <w:pStyle w:val="Indenta"/>
      </w:pPr>
      <w:r>
        <w:tab/>
        <w:t>(a)</w:t>
      </w:r>
      <w:r>
        <w:tab/>
        <w:t>the Minister, if the disclosure is made for the purposes of the administration of the first home owner grant scheme;</w:t>
      </w:r>
    </w:p>
    <w:p w:rsidR="00901CE3" w:rsidRDefault="00901CE3" w:rsidP="00901CE3">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rsidR="00901CE3" w:rsidRDefault="00901CE3">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rsidR="00901CE3" w:rsidRDefault="00901CE3">
      <w:pPr>
        <w:pStyle w:val="Indenta"/>
      </w:pPr>
      <w:r>
        <w:tab/>
        <w:t>(d)</w:t>
      </w:r>
      <w:r>
        <w:tab/>
        <w:t>the Minister responsible for the administration of a scheme referred to in paragraph (c), if the disclosure is made for the purposes of that administration or the formulation of policy in relation to the scheme;</w:t>
      </w:r>
    </w:p>
    <w:p w:rsidR="00901CE3" w:rsidRDefault="00901CE3">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rsidR="00901CE3" w:rsidRDefault="00901CE3">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rsidR="00901CE3" w:rsidRDefault="00901CE3">
      <w:pPr>
        <w:pStyle w:val="Indenta"/>
      </w:pPr>
      <w:r>
        <w:tab/>
        <w:t>(g)</w:t>
      </w:r>
      <w:r>
        <w:tab/>
        <w:t xml:space="preserve">an applicant’s agent, if — </w:t>
      </w:r>
    </w:p>
    <w:p w:rsidR="00901CE3" w:rsidRDefault="00901CE3">
      <w:pPr>
        <w:pStyle w:val="Indenti"/>
      </w:pPr>
      <w:r>
        <w:tab/>
        <w:t>(i)</w:t>
      </w:r>
      <w:r>
        <w:tab/>
        <w:t>the agent has apparent authority to act for the applicant in respect of the application or the home the subject of the application; and</w:t>
      </w:r>
    </w:p>
    <w:p w:rsidR="00901CE3" w:rsidRDefault="00901CE3">
      <w:pPr>
        <w:pStyle w:val="Indenti"/>
      </w:pPr>
      <w:r>
        <w:tab/>
        <w:t>(ii)</w:t>
      </w:r>
      <w:r>
        <w:tab/>
        <w:t>the disclosure is made in respect of the application;</w:t>
      </w:r>
    </w:p>
    <w:p w:rsidR="00901CE3" w:rsidRDefault="00901CE3">
      <w:pPr>
        <w:pStyle w:val="Indenta"/>
      </w:pPr>
      <w:r>
        <w:tab/>
        <w:t>(h)</w:t>
      </w:r>
      <w:r>
        <w:tab/>
        <w:t>a person who accesses the information through a protected web site.</w:t>
      </w:r>
    </w:p>
    <w:p w:rsidR="00901CE3" w:rsidRDefault="00901CE3" w:rsidP="00901CE3">
      <w:pPr>
        <w:pStyle w:val="Subsection"/>
      </w:pPr>
      <w:r>
        <w:tab/>
        <w:t>(3A)</w:t>
      </w:r>
      <w:r>
        <w:tab/>
        <w:t>Subregulation (2)(b) does not limit the operation of subregulation (2)(a).</w:t>
      </w:r>
    </w:p>
    <w:p w:rsidR="00901CE3" w:rsidRDefault="00901CE3">
      <w:pPr>
        <w:pStyle w:val="Subsection"/>
      </w:pPr>
      <w:r>
        <w:tab/>
        <w:t>(3)</w:t>
      </w:r>
      <w:r>
        <w:tab/>
        <w:t xml:space="preserve">In this regulation — </w:t>
      </w:r>
    </w:p>
    <w:p w:rsidR="00901CE3" w:rsidRPr="003549AB" w:rsidRDefault="00901CE3" w:rsidP="00901CE3">
      <w:pPr>
        <w:pStyle w:val="Defstart"/>
      </w:pPr>
      <w:r>
        <w:tab/>
      </w:r>
      <w:r w:rsidRPr="003549AB">
        <w:rPr>
          <w:rStyle w:val="CharDefText"/>
        </w:rPr>
        <w:t>affairs</w:t>
      </w:r>
      <w:r>
        <w:t>, in relation to a person, means any matter or thing arising under or in relation to the Act that relates to the person;</w:t>
      </w:r>
    </w:p>
    <w:p w:rsidR="00901CE3" w:rsidRDefault="00901CE3">
      <w:pPr>
        <w:pStyle w:val="Defstart"/>
      </w:pPr>
      <w:r>
        <w:tab/>
      </w:r>
      <w:r>
        <w:rPr>
          <w:rStyle w:val="CharDefText"/>
        </w:rPr>
        <w:t>confidential information</w:t>
      </w:r>
      <w:r>
        <w:t xml:space="preserve"> has the meaning given in section 65(7) of the Act;</w:t>
      </w:r>
    </w:p>
    <w:p w:rsidR="00901CE3" w:rsidRDefault="00901CE3">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rsidR="00901CE3" w:rsidRDefault="00901CE3">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w:t>
      </w:r>
    </w:p>
    <w:p w:rsidR="00901CE3" w:rsidRDefault="00901CE3">
      <w:pPr>
        <w:sectPr w:rsidR="00901CE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01CE3" w:rsidRDefault="00901CE3">
      <w:pPr>
        <w:pStyle w:val="nHeading2"/>
      </w:pPr>
      <w:bookmarkStart w:id="68" w:name="_Toc81882556"/>
      <w:bookmarkStart w:id="69" w:name="_Toc90720131"/>
      <w:bookmarkStart w:id="70" w:name="_Toc92182245"/>
      <w:bookmarkStart w:id="71" w:name="_Toc92182533"/>
      <w:bookmarkStart w:id="72" w:name="_Toc92182570"/>
      <w:bookmarkStart w:id="73" w:name="_Toc92186212"/>
      <w:bookmarkStart w:id="74" w:name="_Toc93130916"/>
      <w:bookmarkStart w:id="75" w:name="_Toc96319707"/>
      <w:bookmarkStart w:id="76" w:name="_Toc162152958"/>
      <w:bookmarkStart w:id="77" w:name="_Toc193175654"/>
      <w:bookmarkStart w:id="78" w:name="_Toc193175961"/>
      <w:bookmarkStart w:id="79" w:name="_Toc193176056"/>
      <w:bookmarkStart w:id="80" w:name="_Toc193181340"/>
      <w:bookmarkStart w:id="81" w:name="_Toc217710425"/>
      <w:bookmarkStart w:id="82" w:name="_Toc217710438"/>
      <w:bookmarkStart w:id="83" w:name="_Toc217710485"/>
      <w:bookmarkStart w:id="84" w:name="_Toc237077549"/>
      <w:bookmarkStart w:id="85" w:name="_Toc237077713"/>
      <w:bookmarkStart w:id="86" w:name="_Toc237077762"/>
      <w:bookmarkStart w:id="87" w:name="_Toc238530091"/>
      <w:bookmarkStart w:id="88" w:name="_Toc241643896"/>
      <w:bookmarkStart w:id="89" w:name="_Toc241645461"/>
      <w:bookmarkStart w:id="90" w:name="_Toc244054935"/>
      <w:bookmarkStart w:id="91" w:name="_Toc245614694"/>
      <w:bookmarkStart w:id="92" w:name="_Toc303249099"/>
      <w:bookmarkStart w:id="93" w:name="_Toc303256953"/>
      <w:bookmarkStart w:id="94" w:name="_Toc356480403"/>
      <w:r>
        <w:t>Notes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901CE3" w:rsidRDefault="00901CE3">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rsidR="00901CE3" w:rsidRDefault="00901CE3">
      <w:pPr>
        <w:pStyle w:val="nHeading3"/>
        <w:spacing w:before="120" w:after="60"/>
      </w:pPr>
      <w:bookmarkStart w:id="95" w:name="_Toc356480404"/>
      <w: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01CE3">
        <w:trPr>
          <w:tblHeader/>
        </w:trPr>
        <w:tc>
          <w:tcPr>
            <w:tcW w:w="3119" w:type="dxa"/>
            <w:tcBorders>
              <w:top w:val="single" w:sz="8" w:space="0" w:color="auto"/>
              <w:bottom w:val="single" w:sz="8" w:space="0" w:color="auto"/>
            </w:tcBorders>
          </w:tcPr>
          <w:p w:rsidR="00901CE3" w:rsidRDefault="00901CE3">
            <w:pPr>
              <w:pStyle w:val="nTable"/>
              <w:spacing w:after="40"/>
              <w:rPr>
                <w:b/>
                <w:sz w:val="19"/>
              </w:rPr>
            </w:pPr>
            <w:r>
              <w:rPr>
                <w:b/>
                <w:sz w:val="19"/>
              </w:rPr>
              <w:t>Citation</w:t>
            </w:r>
          </w:p>
        </w:tc>
        <w:tc>
          <w:tcPr>
            <w:tcW w:w="1276" w:type="dxa"/>
            <w:tcBorders>
              <w:top w:val="single" w:sz="8" w:space="0" w:color="auto"/>
              <w:bottom w:val="single" w:sz="8" w:space="0" w:color="auto"/>
            </w:tcBorders>
          </w:tcPr>
          <w:p w:rsidR="00901CE3" w:rsidRDefault="00901CE3">
            <w:pPr>
              <w:pStyle w:val="nTable"/>
              <w:spacing w:after="40"/>
              <w:rPr>
                <w:b/>
                <w:sz w:val="19"/>
              </w:rPr>
            </w:pPr>
            <w:r>
              <w:rPr>
                <w:b/>
                <w:sz w:val="19"/>
              </w:rPr>
              <w:t>Gazettal</w:t>
            </w:r>
          </w:p>
        </w:tc>
        <w:tc>
          <w:tcPr>
            <w:tcW w:w="2693" w:type="dxa"/>
            <w:tcBorders>
              <w:top w:val="single" w:sz="8" w:space="0" w:color="auto"/>
              <w:bottom w:val="single" w:sz="8" w:space="0" w:color="auto"/>
            </w:tcBorders>
          </w:tcPr>
          <w:p w:rsidR="00901CE3" w:rsidRDefault="00901CE3">
            <w:pPr>
              <w:pStyle w:val="nTable"/>
              <w:spacing w:after="40"/>
              <w:rPr>
                <w:b/>
                <w:sz w:val="19"/>
              </w:rPr>
            </w:pPr>
            <w:r>
              <w:rPr>
                <w:b/>
                <w:sz w:val="19"/>
              </w:rPr>
              <w:t>Commencement</w:t>
            </w:r>
          </w:p>
        </w:tc>
      </w:tr>
      <w:tr w:rsidR="00901CE3">
        <w:tc>
          <w:tcPr>
            <w:tcW w:w="3119" w:type="dxa"/>
            <w:tcBorders>
              <w:top w:val="single" w:sz="8" w:space="0" w:color="auto"/>
            </w:tcBorders>
          </w:tcPr>
          <w:p w:rsidR="00901CE3" w:rsidRDefault="00901CE3">
            <w:pPr>
              <w:pStyle w:val="nTable"/>
              <w:spacing w:after="40"/>
              <w:rPr>
                <w:sz w:val="19"/>
              </w:rPr>
            </w:pPr>
            <w:r>
              <w:rPr>
                <w:i/>
                <w:sz w:val="19"/>
              </w:rPr>
              <w:t>First Home Owner Grant Regulations 2000</w:t>
            </w:r>
          </w:p>
        </w:tc>
        <w:tc>
          <w:tcPr>
            <w:tcW w:w="1276" w:type="dxa"/>
            <w:tcBorders>
              <w:top w:val="single" w:sz="8" w:space="0" w:color="auto"/>
            </w:tcBorders>
          </w:tcPr>
          <w:p w:rsidR="00901CE3" w:rsidRDefault="00901CE3">
            <w:pPr>
              <w:pStyle w:val="nTable"/>
              <w:spacing w:after="40"/>
              <w:rPr>
                <w:sz w:val="19"/>
              </w:rPr>
            </w:pPr>
            <w:r>
              <w:rPr>
                <w:sz w:val="19"/>
              </w:rPr>
              <w:t>30 Jun 2000 p. 3433-7</w:t>
            </w:r>
          </w:p>
        </w:tc>
        <w:tc>
          <w:tcPr>
            <w:tcW w:w="2693" w:type="dxa"/>
            <w:tcBorders>
              <w:top w:val="single" w:sz="8" w:space="0" w:color="auto"/>
            </w:tcBorders>
          </w:tcPr>
          <w:p w:rsidR="00901CE3" w:rsidRDefault="00901CE3">
            <w:pPr>
              <w:pStyle w:val="nTable"/>
              <w:spacing w:after="40"/>
              <w:rPr>
                <w:sz w:val="19"/>
              </w:rPr>
            </w:pPr>
            <w:r>
              <w:rPr>
                <w:sz w:val="19"/>
              </w:rPr>
              <w:t>1 Jul 2000 (see r. 2)</w:t>
            </w:r>
          </w:p>
        </w:tc>
      </w:tr>
      <w:tr w:rsidR="00901CE3">
        <w:tc>
          <w:tcPr>
            <w:tcW w:w="3119" w:type="dxa"/>
          </w:tcPr>
          <w:p w:rsidR="00901CE3" w:rsidRDefault="00901CE3">
            <w:pPr>
              <w:pStyle w:val="nTable"/>
              <w:spacing w:after="40"/>
              <w:rPr>
                <w:i/>
                <w:sz w:val="19"/>
              </w:rPr>
            </w:pPr>
            <w:r>
              <w:rPr>
                <w:i/>
                <w:sz w:val="19"/>
              </w:rPr>
              <w:t>First Home Owner Grant Amendment Regulations 2001</w:t>
            </w:r>
          </w:p>
        </w:tc>
        <w:tc>
          <w:tcPr>
            <w:tcW w:w="1276" w:type="dxa"/>
          </w:tcPr>
          <w:p w:rsidR="00901CE3" w:rsidRDefault="00901CE3">
            <w:pPr>
              <w:pStyle w:val="nTable"/>
              <w:spacing w:after="40"/>
              <w:rPr>
                <w:sz w:val="19"/>
              </w:rPr>
            </w:pPr>
            <w:r>
              <w:rPr>
                <w:sz w:val="19"/>
              </w:rPr>
              <w:t>24 Jul 2001 p. 3732</w:t>
            </w:r>
          </w:p>
        </w:tc>
        <w:tc>
          <w:tcPr>
            <w:tcW w:w="2693" w:type="dxa"/>
          </w:tcPr>
          <w:p w:rsidR="00901CE3" w:rsidRDefault="00901CE3">
            <w:pPr>
              <w:pStyle w:val="nTable"/>
              <w:spacing w:after="40"/>
              <w:rPr>
                <w:sz w:val="19"/>
              </w:rPr>
            </w:pPr>
            <w:r>
              <w:rPr>
                <w:sz w:val="19"/>
              </w:rPr>
              <w:t>24 Jul 2001</w:t>
            </w:r>
          </w:p>
        </w:tc>
      </w:tr>
      <w:tr w:rsidR="00901CE3">
        <w:tc>
          <w:tcPr>
            <w:tcW w:w="3119" w:type="dxa"/>
          </w:tcPr>
          <w:p w:rsidR="00901CE3" w:rsidRDefault="00901CE3">
            <w:pPr>
              <w:pStyle w:val="nTable"/>
              <w:spacing w:after="40"/>
              <w:rPr>
                <w:i/>
                <w:sz w:val="19"/>
              </w:rPr>
            </w:pPr>
            <w:r>
              <w:rPr>
                <w:i/>
                <w:sz w:val="19"/>
              </w:rPr>
              <w:t>First Home Owner Grant Amendment Regulations 2002</w:t>
            </w:r>
          </w:p>
        </w:tc>
        <w:tc>
          <w:tcPr>
            <w:tcW w:w="1276" w:type="dxa"/>
          </w:tcPr>
          <w:p w:rsidR="00901CE3" w:rsidRDefault="00901CE3">
            <w:pPr>
              <w:pStyle w:val="nTable"/>
              <w:spacing w:after="40"/>
              <w:rPr>
                <w:sz w:val="19"/>
              </w:rPr>
            </w:pPr>
            <w:r>
              <w:rPr>
                <w:sz w:val="19"/>
              </w:rPr>
              <w:t>22 Oct 2002 p. 5255-6</w:t>
            </w:r>
          </w:p>
        </w:tc>
        <w:tc>
          <w:tcPr>
            <w:tcW w:w="2693" w:type="dxa"/>
          </w:tcPr>
          <w:p w:rsidR="00901CE3" w:rsidRDefault="00901CE3">
            <w:pPr>
              <w:pStyle w:val="nTable"/>
              <w:spacing w:after="40"/>
              <w:rPr>
                <w:sz w:val="19"/>
              </w:rPr>
            </w:pPr>
            <w:r>
              <w:rPr>
                <w:sz w:val="19"/>
              </w:rPr>
              <w:t>22 Oct 2002</w:t>
            </w:r>
          </w:p>
        </w:tc>
      </w:tr>
      <w:tr w:rsidR="00901CE3">
        <w:tc>
          <w:tcPr>
            <w:tcW w:w="3119" w:type="dxa"/>
          </w:tcPr>
          <w:p w:rsidR="00901CE3" w:rsidRDefault="00901CE3">
            <w:pPr>
              <w:pStyle w:val="nTable"/>
              <w:spacing w:after="40"/>
              <w:rPr>
                <w:i/>
                <w:sz w:val="19"/>
              </w:rPr>
            </w:pPr>
            <w:r>
              <w:rPr>
                <w:i/>
                <w:sz w:val="19"/>
              </w:rPr>
              <w:t>Equality of Status Subsidiary Legislation Amendment Regulations 2003</w:t>
            </w:r>
            <w:r>
              <w:rPr>
                <w:sz w:val="19"/>
              </w:rPr>
              <w:t xml:space="preserve"> Pt. 12</w:t>
            </w:r>
          </w:p>
        </w:tc>
        <w:tc>
          <w:tcPr>
            <w:tcW w:w="1276" w:type="dxa"/>
          </w:tcPr>
          <w:p w:rsidR="00901CE3" w:rsidRDefault="00901CE3">
            <w:pPr>
              <w:pStyle w:val="nTable"/>
              <w:spacing w:after="40"/>
              <w:rPr>
                <w:sz w:val="19"/>
              </w:rPr>
            </w:pPr>
            <w:r>
              <w:rPr>
                <w:sz w:val="19"/>
              </w:rPr>
              <w:t>30 Jun 2003 p. 2581-638</w:t>
            </w:r>
          </w:p>
        </w:tc>
        <w:tc>
          <w:tcPr>
            <w:tcW w:w="2693" w:type="dxa"/>
          </w:tcPr>
          <w:p w:rsidR="00901CE3" w:rsidRDefault="00901CE3">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rsidR="00901CE3">
        <w:tc>
          <w:tcPr>
            <w:tcW w:w="3119" w:type="dxa"/>
          </w:tcPr>
          <w:p w:rsidR="00901CE3" w:rsidRDefault="00901CE3">
            <w:pPr>
              <w:pStyle w:val="nTable"/>
              <w:spacing w:after="40"/>
              <w:rPr>
                <w:i/>
                <w:sz w:val="19"/>
              </w:rPr>
            </w:pPr>
            <w:r>
              <w:rPr>
                <w:i/>
                <w:sz w:val="19"/>
              </w:rPr>
              <w:t>First Home Owner Grant Amendment Regulations 2004</w:t>
            </w:r>
          </w:p>
        </w:tc>
        <w:tc>
          <w:tcPr>
            <w:tcW w:w="1276" w:type="dxa"/>
          </w:tcPr>
          <w:p w:rsidR="00901CE3" w:rsidRDefault="00901CE3">
            <w:pPr>
              <w:pStyle w:val="nTable"/>
              <w:spacing w:after="40"/>
              <w:rPr>
                <w:sz w:val="19"/>
              </w:rPr>
            </w:pPr>
            <w:r>
              <w:rPr>
                <w:sz w:val="19"/>
              </w:rPr>
              <w:t>13 Aug 2004 p. 3251-2</w:t>
            </w:r>
          </w:p>
        </w:tc>
        <w:tc>
          <w:tcPr>
            <w:tcW w:w="2693" w:type="dxa"/>
          </w:tcPr>
          <w:p w:rsidR="00901CE3" w:rsidRDefault="00901CE3">
            <w:pPr>
              <w:pStyle w:val="nTable"/>
              <w:spacing w:after="40"/>
              <w:rPr>
                <w:sz w:val="19"/>
              </w:rPr>
            </w:pPr>
            <w:r>
              <w:rPr>
                <w:sz w:val="19"/>
              </w:rPr>
              <w:t>1 Sep 2004 (see r. 2)</w:t>
            </w:r>
          </w:p>
        </w:tc>
      </w:tr>
      <w:tr w:rsidR="00901CE3">
        <w:trPr>
          <w:cantSplit/>
        </w:trPr>
        <w:tc>
          <w:tcPr>
            <w:tcW w:w="4395" w:type="dxa"/>
            <w:gridSpan w:val="2"/>
          </w:tcPr>
          <w:p w:rsidR="00901CE3" w:rsidRDefault="00901CE3">
            <w:pPr>
              <w:pStyle w:val="nTable"/>
              <w:spacing w:after="40"/>
              <w:rPr>
                <w:sz w:val="19"/>
              </w:rPr>
            </w:pPr>
            <w:r>
              <w:rPr>
                <w:i/>
                <w:sz w:val="19"/>
              </w:rPr>
              <w:t>Australian Crime Commission (</w:t>
            </w:r>
            <w:smartTag w:uri="urn:schemas-microsoft-com:office:smarttags" w:element="State">
              <w:smartTag w:uri="urn:schemas-microsoft-com:office:smarttags" w:element="place">
                <w:r>
                  <w:rPr>
                    <w:i/>
                    <w:sz w:val="19"/>
                  </w:rPr>
                  <w:t>Western Australia</w:t>
                </w:r>
              </w:smartTag>
            </w:smartTag>
            <w:r>
              <w:rPr>
                <w:i/>
                <w:sz w:val="19"/>
              </w:rPr>
              <w:t>) Act 2004</w:t>
            </w:r>
            <w:r>
              <w:rPr>
                <w:iCs/>
                <w:sz w:val="19"/>
              </w:rPr>
              <w:t xml:space="preserve"> s. 70 assented to 8 Dec 2004</w:t>
            </w:r>
          </w:p>
        </w:tc>
        <w:tc>
          <w:tcPr>
            <w:tcW w:w="2693" w:type="dxa"/>
          </w:tcPr>
          <w:p w:rsidR="00901CE3" w:rsidRDefault="00901CE3">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rsidR="00901CE3">
        <w:trPr>
          <w:cantSplit/>
        </w:trPr>
        <w:tc>
          <w:tcPr>
            <w:tcW w:w="7088" w:type="dxa"/>
            <w:gridSpan w:val="3"/>
          </w:tcPr>
          <w:p w:rsidR="00901CE3" w:rsidRDefault="00901CE3">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rsidR="00901CE3">
        <w:tc>
          <w:tcPr>
            <w:tcW w:w="3119" w:type="dxa"/>
          </w:tcPr>
          <w:p w:rsidR="00901CE3" w:rsidRDefault="00901CE3">
            <w:pPr>
              <w:pStyle w:val="nTable"/>
              <w:spacing w:after="40"/>
              <w:rPr>
                <w:i/>
                <w:sz w:val="19"/>
              </w:rPr>
            </w:pPr>
            <w:r>
              <w:rPr>
                <w:i/>
                <w:sz w:val="19"/>
              </w:rPr>
              <w:t>First Home Owner Grant Amendment Regulations 2007</w:t>
            </w:r>
          </w:p>
        </w:tc>
        <w:tc>
          <w:tcPr>
            <w:tcW w:w="1276" w:type="dxa"/>
          </w:tcPr>
          <w:p w:rsidR="00901CE3" w:rsidRDefault="00901CE3">
            <w:pPr>
              <w:pStyle w:val="nTable"/>
              <w:spacing w:after="40"/>
              <w:rPr>
                <w:sz w:val="19"/>
              </w:rPr>
            </w:pPr>
            <w:r>
              <w:rPr>
                <w:sz w:val="19"/>
              </w:rPr>
              <w:t>20 Mar 2007 p. 1048</w:t>
            </w:r>
          </w:p>
        </w:tc>
        <w:tc>
          <w:tcPr>
            <w:tcW w:w="2693" w:type="dxa"/>
          </w:tcPr>
          <w:p w:rsidR="00901CE3" w:rsidRDefault="00901CE3">
            <w:pPr>
              <w:pStyle w:val="nTable"/>
              <w:spacing w:after="40"/>
              <w:rPr>
                <w:sz w:val="19"/>
              </w:rPr>
            </w:pPr>
            <w:r>
              <w:rPr>
                <w:sz w:val="19"/>
              </w:rPr>
              <w:t>20 Mar 2007</w:t>
            </w:r>
          </w:p>
        </w:tc>
      </w:tr>
      <w:tr w:rsidR="00901CE3">
        <w:tc>
          <w:tcPr>
            <w:tcW w:w="3119" w:type="dxa"/>
          </w:tcPr>
          <w:p w:rsidR="00901CE3" w:rsidRDefault="00901CE3">
            <w:pPr>
              <w:pStyle w:val="nTable"/>
              <w:spacing w:after="40"/>
              <w:rPr>
                <w:i/>
                <w:sz w:val="19"/>
              </w:rPr>
            </w:pPr>
            <w:r>
              <w:rPr>
                <w:i/>
                <w:sz w:val="19"/>
              </w:rPr>
              <w:t>First Home Owner Grant Amendment Regulations 2008</w:t>
            </w:r>
          </w:p>
        </w:tc>
        <w:tc>
          <w:tcPr>
            <w:tcW w:w="1276" w:type="dxa"/>
          </w:tcPr>
          <w:p w:rsidR="00901CE3" w:rsidRDefault="00901CE3">
            <w:pPr>
              <w:pStyle w:val="nTable"/>
              <w:spacing w:after="40"/>
              <w:rPr>
                <w:sz w:val="19"/>
              </w:rPr>
            </w:pPr>
            <w:r>
              <w:rPr>
                <w:sz w:val="19"/>
              </w:rPr>
              <w:t>14 Mar 2008 p. 836-7</w:t>
            </w:r>
          </w:p>
        </w:tc>
        <w:tc>
          <w:tcPr>
            <w:tcW w:w="2693" w:type="dxa"/>
          </w:tcPr>
          <w:p w:rsidR="00901CE3" w:rsidRDefault="00901CE3">
            <w:pPr>
              <w:pStyle w:val="nTable"/>
              <w:spacing w:after="40"/>
              <w:rPr>
                <w:sz w:val="19"/>
              </w:rPr>
            </w:pPr>
            <w:r>
              <w:rPr>
                <w:sz w:val="19"/>
              </w:rPr>
              <w:t>r. 1 and 2: 14 Mar 2008 (see r. 2(a));</w:t>
            </w:r>
            <w:r>
              <w:rPr>
                <w:sz w:val="19"/>
              </w:rPr>
              <w:br/>
              <w:t>Regulations other than r. 1 and 2: 15 Mar 2008 (see r. 2(b))</w:t>
            </w:r>
          </w:p>
        </w:tc>
      </w:tr>
      <w:tr w:rsidR="00901CE3">
        <w:tc>
          <w:tcPr>
            <w:tcW w:w="3119" w:type="dxa"/>
          </w:tcPr>
          <w:p w:rsidR="00901CE3" w:rsidRDefault="00901CE3">
            <w:pPr>
              <w:pStyle w:val="nTable"/>
              <w:spacing w:after="40"/>
              <w:rPr>
                <w:i/>
                <w:sz w:val="19"/>
              </w:rPr>
            </w:pPr>
            <w:r>
              <w:rPr>
                <w:i/>
                <w:sz w:val="19"/>
              </w:rPr>
              <w:t>First Home Owner Grant Amendment Regulations (No. 3) 2008</w:t>
            </w:r>
          </w:p>
        </w:tc>
        <w:tc>
          <w:tcPr>
            <w:tcW w:w="1276" w:type="dxa"/>
          </w:tcPr>
          <w:p w:rsidR="00901CE3" w:rsidRDefault="00901CE3">
            <w:pPr>
              <w:pStyle w:val="nTable"/>
              <w:spacing w:after="40"/>
              <w:rPr>
                <w:sz w:val="19"/>
              </w:rPr>
            </w:pPr>
            <w:r>
              <w:rPr>
                <w:sz w:val="19"/>
              </w:rPr>
              <w:t>23 Dec 2008 p. 5480</w:t>
            </w:r>
            <w:r>
              <w:rPr>
                <w:sz w:val="19"/>
              </w:rPr>
              <w:noBreakHyphen/>
              <w:t>1</w:t>
            </w:r>
          </w:p>
        </w:tc>
        <w:tc>
          <w:tcPr>
            <w:tcW w:w="2693" w:type="dxa"/>
          </w:tcPr>
          <w:p w:rsidR="00901CE3" w:rsidRDefault="00901CE3">
            <w:pPr>
              <w:pStyle w:val="nTable"/>
              <w:spacing w:after="40"/>
              <w:rPr>
                <w:sz w:val="19"/>
              </w:rPr>
            </w:pPr>
            <w:r>
              <w:rPr>
                <w:sz w:val="19"/>
              </w:rPr>
              <w:t>r. 1 and 2: 23 Dec 2008 (see r. 2(a));</w:t>
            </w:r>
            <w:r>
              <w:rPr>
                <w:sz w:val="19"/>
              </w:rPr>
              <w:br/>
              <w:t>Regulations other than r. 1 and 2: 24 Dec 2008 (see r. 2(b))</w:t>
            </w:r>
          </w:p>
        </w:tc>
      </w:tr>
      <w:tr w:rsidR="00901CE3">
        <w:tc>
          <w:tcPr>
            <w:tcW w:w="3119" w:type="dxa"/>
          </w:tcPr>
          <w:p w:rsidR="00901CE3" w:rsidRDefault="00901CE3">
            <w:pPr>
              <w:pStyle w:val="nTable"/>
              <w:spacing w:after="40"/>
              <w:rPr>
                <w:i/>
                <w:sz w:val="19"/>
              </w:rPr>
            </w:pPr>
            <w:r>
              <w:rPr>
                <w:i/>
                <w:sz w:val="19"/>
              </w:rPr>
              <w:t>First Home Owner Grant Amendment Regulations 2009</w:t>
            </w:r>
          </w:p>
        </w:tc>
        <w:tc>
          <w:tcPr>
            <w:tcW w:w="1276" w:type="dxa"/>
          </w:tcPr>
          <w:p w:rsidR="00901CE3" w:rsidRDefault="00901CE3">
            <w:pPr>
              <w:pStyle w:val="nTable"/>
              <w:spacing w:after="40"/>
              <w:rPr>
                <w:sz w:val="19"/>
              </w:rPr>
            </w:pPr>
            <w:r>
              <w:rPr>
                <w:sz w:val="19"/>
              </w:rPr>
              <w:t>4 Aug 2009 p. 3104-5</w:t>
            </w:r>
          </w:p>
        </w:tc>
        <w:tc>
          <w:tcPr>
            <w:tcW w:w="2693" w:type="dxa"/>
          </w:tcPr>
          <w:p w:rsidR="00901CE3" w:rsidRDefault="00901CE3">
            <w:pPr>
              <w:pStyle w:val="nTable"/>
              <w:spacing w:after="40"/>
              <w:rPr>
                <w:sz w:val="19"/>
              </w:rPr>
            </w:pPr>
            <w:r>
              <w:rPr>
                <w:sz w:val="19"/>
              </w:rPr>
              <w:t>r. 1 and 2: 4 Aug 2009 (see r. 2(a));</w:t>
            </w:r>
            <w:r>
              <w:rPr>
                <w:sz w:val="19"/>
              </w:rPr>
              <w:br/>
              <w:t>Regulations other than r. 1 and 2: 5 Aug 2009 (see r. 2(b))</w:t>
            </w:r>
          </w:p>
        </w:tc>
      </w:tr>
      <w:tr w:rsidR="00901CE3" w:rsidTr="00571768">
        <w:trPr>
          <w:cantSplit/>
        </w:trPr>
        <w:tc>
          <w:tcPr>
            <w:tcW w:w="7088" w:type="dxa"/>
            <w:gridSpan w:val="3"/>
          </w:tcPr>
          <w:p w:rsidR="00901CE3" w:rsidRDefault="00901CE3">
            <w:pPr>
              <w:pStyle w:val="nTable"/>
              <w:spacing w:after="40"/>
              <w:rPr>
                <w:sz w:val="19"/>
              </w:rPr>
            </w:pPr>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p>
        </w:tc>
      </w:tr>
      <w:tr w:rsidR="00901CE3" w:rsidTr="00A3497F">
        <w:tc>
          <w:tcPr>
            <w:tcW w:w="3119" w:type="dxa"/>
          </w:tcPr>
          <w:p w:rsidR="00901CE3" w:rsidRDefault="00901CE3" w:rsidP="00A3497F">
            <w:pPr>
              <w:pStyle w:val="nTable"/>
              <w:keepNext/>
              <w:spacing w:after="40"/>
              <w:rPr>
                <w:i/>
                <w:sz w:val="19"/>
              </w:rPr>
            </w:pPr>
            <w:r>
              <w:rPr>
                <w:i/>
                <w:sz w:val="19"/>
              </w:rPr>
              <w:t>First Home Owner Grant Amendment Regulations 2011</w:t>
            </w:r>
          </w:p>
        </w:tc>
        <w:tc>
          <w:tcPr>
            <w:tcW w:w="1276" w:type="dxa"/>
          </w:tcPr>
          <w:p w:rsidR="00901CE3" w:rsidRDefault="00901CE3" w:rsidP="00A3497F">
            <w:pPr>
              <w:pStyle w:val="nTable"/>
              <w:keepNext/>
              <w:spacing w:after="40"/>
              <w:rPr>
                <w:sz w:val="19"/>
              </w:rPr>
            </w:pPr>
            <w:r>
              <w:rPr>
                <w:sz w:val="19"/>
              </w:rPr>
              <w:t>9 Sep 2011 p. 3684</w:t>
            </w:r>
            <w:r>
              <w:rPr>
                <w:sz w:val="19"/>
              </w:rPr>
              <w:noBreakHyphen/>
              <w:t>5</w:t>
            </w:r>
          </w:p>
        </w:tc>
        <w:tc>
          <w:tcPr>
            <w:tcW w:w="2693" w:type="dxa"/>
          </w:tcPr>
          <w:p w:rsidR="00901CE3" w:rsidRDefault="00901CE3" w:rsidP="00A3497F">
            <w:pPr>
              <w:pStyle w:val="nTable"/>
              <w:keepNext/>
              <w:spacing w:after="40"/>
              <w:rPr>
                <w:sz w:val="19"/>
              </w:rPr>
            </w:pPr>
            <w:r>
              <w:rPr>
                <w:sz w:val="19"/>
              </w:rPr>
              <w:t>r. 1 and 2: 9 Sep 2011 (see r. 2(a));</w:t>
            </w:r>
            <w:r>
              <w:rPr>
                <w:sz w:val="19"/>
              </w:rPr>
              <w:br/>
              <w:t>Regulations other than r. 1 and 2: 10 Sep 2011 (see r. 2(b))</w:t>
            </w:r>
          </w:p>
        </w:tc>
      </w:tr>
      <w:tr w:rsidR="000E72E9" w:rsidTr="00571768">
        <w:tc>
          <w:tcPr>
            <w:tcW w:w="3119" w:type="dxa"/>
            <w:tcBorders>
              <w:bottom w:val="single" w:sz="4" w:space="0" w:color="auto"/>
            </w:tcBorders>
          </w:tcPr>
          <w:p w:rsidR="000E72E9" w:rsidRDefault="000E72E9" w:rsidP="000E72E9">
            <w:pPr>
              <w:pStyle w:val="nTable"/>
              <w:keepNext/>
              <w:spacing w:after="40"/>
              <w:rPr>
                <w:i/>
                <w:sz w:val="19"/>
              </w:rPr>
            </w:pPr>
            <w:r>
              <w:rPr>
                <w:i/>
              </w:rPr>
              <w:t>First Home Owner Grant Amendment Regulations 2013</w:t>
            </w:r>
          </w:p>
        </w:tc>
        <w:tc>
          <w:tcPr>
            <w:tcW w:w="1276" w:type="dxa"/>
            <w:tcBorders>
              <w:bottom w:val="single" w:sz="4" w:space="0" w:color="auto"/>
            </w:tcBorders>
          </w:tcPr>
          <w:p w:rsidR="000E72E9" w:rsidRDefault="000E72E9" w:rsidP="000E72E9">
            <w:pPr>
              <w:pStyle w:val="nTable"/>
              <w:keepNext/>
              <w:spacing w:after="40"/>
              <w:rPr>
                <w:sz w:val="19"/>
              </w:rPr>
            </w:pPr>
            <w:r w:rsidRPr="000E72E9">
              <w:rPr>
                <w:sz w:val="19"/>
              </w:rPr>
              <w:t>17 May 2013 p. 198</w:t>
            </w:r>
            <w:r>
              <w:rPr>
                <w:sz w:val="19"/>
              </w:rPr>
              <w:t>6</w:t>
            </w:r>
          </w:p>
        </w:tc>
        <w:tc>
          <w:tcPr>
            <w:tcW w:w="2693" w:type="dxa"/>
            <w:tcBorders>
              <w:bottom w:val="single" w:sz="4" w:space="0" w:color="auto"/>
            </w:tcBorders>
          </w:tcPr>
          <w:p w:rsidR="000E72E9" w:rsidRDefault="000E72E9" w:rsidP="000E72E9">
            <w:pPr>
              <w:pStyle w:val="nTable"/>
              <w:keepNext/>
              <w:spacing w:after="40"/>
              <w:rPr>
                <w:sz w:val="19"/>
              </w:rPr>
            </w:pPr>
            <w:r w:rsidRPr="000E72E9">
              <w:rPr>
                <w:snapToGrid w:val="0"/>
                <w:spacing w:val="-2"/>
                <w:sz w:val="19"/>
                <w:lang w:val="en-US"/>
              </w:rPr>
              <w:t>r. 1 and 2: 17 May 2013 (see r. 2(a));</w:t>
            </w:r>
            <w:r w:rsidRPr="000E72E9">
              <w:rPr>
                <w:snapToGrid w:val="0"/>
                <w:spacing w:val="-2"/>
                <w:sz w:val="19"/>
                <w:lang w:val="en-US"/>
              </w:rPr>
              <w:br/>
              <w:t>Regulations other than r. 1 and 2: 18 May 2013 (see r. 2(b))</w:t>
            </w:r>
          </w:p>
        </w:tc>
      </w:tr>
    </w:tbl>
    <w:p w:rsidR="00901CE3" w:rsidRDefault="00901CE3">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rsidR="00901CE3" w:rsidRDefault="00901CE3"/>
    <w:p w:rsidR="00571768" w:rsidRDefault="00571768">
      <w:pPr>
        <w:sectPr w:rsidR="0057176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01CE3" w:rsidRDefault="00901CE3">
      <w:pPr>
        <w:pStyle w:val="nHeading2"/>
        <w:rPr>
          <w:sz w:val="28"/>
        </w:rPr>
      </w:pPr>
      <w:bookmarkStart w:id="96" w:name="_Toc241645463"/>
      <w:bookmarkStart w:id="97" w:name="_Toc244054937"/>
      <w:bookmarkStart w:id="98" w:name="_Toc245614696"/>
      <w:bookmarkStart w:id="99" w:name="_Toc303249101"/>
      <w:bookmarkStart w:id="100" w:name="_Toc303256955"/>
      <w:bookmarkStart w:id="101" w:name="_Toc356480405"/>
      <w:r>
        <w:rPr>
          <w:sz w:val="28"/>
        </w:rPr>
        <w:t>Defined Terms</w:t>
      </w:r>
      <w:bookmarkEnd w:id="96"/>
      <w:bookmarkEnd w:id="97"/>
      <w:bookmarkEnd w:id="98"/>
      <w:bookmarkEnd w:id="99"/>
      <w:bookmarkEnd w:id="100"/>
      <w:bookmarkEnd w:id="101"/>
    </w:p>
    <w:p w:rsidR="00901CE3" w:rsidRDefault="00901CE3">
      <w:pPr>
        <w:ind w:left="850" w:right="850"/>
        <w:jc w:val="center"/>
        <w:rPr>
          <w:i/>
          <w:sz w:val="18"/>
        </w:rPr>
      </w:pPr>
    </w:p>
    <w:p w:rsidR="00901CE3" w:rsidRDefault="00901CE3">
      <w:pPr>
        <w:ind w:left="850" w:right="850"/>
        <w:jc w:val="center"/>
        <w:rPr>
          <w:i/>
          <w:sz w:val="18"/>
        </w:rPr>
      </w:pPr>
      <w:r>
        <w:rPr>
          <w:i/>
          <w:sz w:val="18"/>
        </w:rPr>
        <w:t>[This is a list of terms defined and the provisions where they are defined.  The list is not part of the law.]</w:t>
      </w:r>
    </w:p>
    <w:p w:rsidR="00901CE3" w:rsidRDefault="00901CE3">
      <w:pPr>
        <w:pBdr>
          <w:bottom w:val="single" w:sz="4" w:space="1" w:color="auto"/>
        </w:pBdr>
        <w:tabs>
          <w:tab w:val="right" w:pos="7070"/>
        </w:tabs>
        <w:ind w:left="578"/>
        <w:rPr>
          <w:b/>
          <w:sz w:val="20"/>
        </w:rPr>
      </w:pPr>
      <w:r>
        <w:rPr>
          <w:b/>
          <w:sz w:val="20"/>
        </w:rPr>
        <w:t>Defined Term</w:t>
      </w:r>
      <w:r>
        <w:rPr>
          <w:b/>
          <w:sz w:val="20"/>
        </w:rPr>
        <w:tab/>
        <w:t>Provision(s)</w:t>
      </w:r>
    </w:p>
    <w:p w:rsidR="00901CE3" w:rsidRDefault="00901CE3">
      <w:pPr>
        <w:pStyle w:val="DefinedTerms"/>
      </w:pPr>
      <w:bookmarkStart w:id="102" w:name="DefinedTerms"/>
      <w:bookmarkEnd w:id="102"/>
      <w:r>
        <w:t>affairs</w:t>
      </w:r>
      <w:r>
        <w:tab/>
        <w:t>11(3)</w:t>
      </w:r>
    </w:p>
    <w:p w:rsidR="00901CE3" w:rsidRDefault="00901CE3">
      <w:pPr>
        <w:pStyle w:val="DefinedTerms"/>
      </w:pPr>
      <w:r>
        <w:t>appropriate publication</w:t>
      </w:r>
      <w:r>
        <w:tab/>
        <w:t>10(3)</w:t>
      </w:r>
    </w:p>
    <w:p w:rsidR="00901CE3" w:rsidRDefault="00901CE3">
      <w:pPr>
        <w:pStyle w:val="DefinedTerms"/>
      </w:pPr>
      <w:r>
        <w:t>confidential information</w:t>
      </w:r>
      <w:r>
        <w:tab/>
        <w:t>11(3)</w:t>
      </w:r>
    </w:p>
    <w:p w:rsidR="00901CE3" w:rsidRDefault="00901CE3">
      <w:pPr>
        <w:pStyle w:val="DefinedTerms"/>
      </w:pPr>
      <w:r>
        <w:t>delegate</w:t>
      </w:r>
      <w:r>
        <w:tab/>
        <w:t>9(1)</w:t>
      </w:r>
    </w:p>
    <w:p w:rsidR="00901CE3" w:rsidRDefault="00901CE3">
      <w:pPr>
        <w:pStyle w:val="DefinedTerms"/>
      </w:pPr>
      <w:r>
        <w:t>interested person</w:t>
      </w:r>
      <w:r>
        <w:tab/>
        <w:t>3</w:t>
      </w:r>
    </w:p>
    <w:p w:rsidR="00901CE3" w:rsidRDefault="00901CE3">
      <w:pPr>
        <w:pStyle w:val="DefinedTerms"/>
      </w:pPr>
      <w:r>
        <w:t>new home</w:t>
      </w:r>
      <w:r>
        <w:tab/>
        <w:t>7(2b)</w:t>
      </w:r>
    </w:p>
    <w:p w:rsidR="00901CE3" w:rsidRDefault="00901CE3">
      <w:pPr>
        <w:pStyle w:val="DefinedTerms"/>
      </w:pPr>
      <w:r>
        <w:t>primary production business</w:t>
      </w:r>
      <w:r>
        <w:tab/>
        <w:t>5(2)</w:t>
      </w:r>
    </w:p>
    <w:p w:rsidR="00901CE3" w:rsidRDefault="00901CE3">
      <w:pPr>
        <w:pStyle w:val="DefinedTerms"/>
      </w:pPr>
      <w:r>
        <w:t>protected web site</w:t>
      </w:r>
      <w:r>
        <w:tab/>
        <w:t>11(3)</w:t>
      </w:r>
    </w:p>
    <w:p w:rsidR="00901CE3" w:rsidRDefault="00901CE3">
      <w:pPr>
        <w:pStyle w:val="DefinedTerms"/>
      </w:pPr>
      <w:r>
        <w:t>relevant owner of land</w:t>
      </w:r>
      <w:r>
        <w:tab/>
        <w:t>7(4)</w:t>
      </w:r>
    </w:p>
    <w:p w:rsidR="00901CE3" w:rsidRDefault="00901CE3">
      <w:pPr>
        <w:pStyle w:val="DefinedTerms"/>
      </w:pPr>
      <w:r>
        <w:t>State Housing Commission</w:t>
      </w:r>
      <w:r>
        <w:tab/>
        <w:t>7(4)</w:t>
      </w:r>
    </w:p>
    <w:p w:rsidR="00901CE3" w:rsidRDefault="00901CE3">
      <w:pPr>
        <w:pStyle w:val="DefinedTerms"/>
      </w:pPr>
      <w:r>
        <w:t>the records</w:t>
      </w:r>
      <w:r>
        <w:tab/>
        <w:t>9(4)</w:t>
      </w:r>
    </w:p>
    <w:p w:rsidR="00901CE3" w:rsidRDefault="00901CE3">
      <w:pPr>
        <w:pStyle w:val="DefinedTerms"/>
      </w:pPr>
      <w:r>
        <w:t>witness</w:t>
      </w:r>
      <w:r>
        <w:tab/>
        <w:t>10(1)</w:t>
      </w:r>
    </w:p>
    <w:p w:rsidR="00901CE3" w:rsidRDefault="00901CE3">
      <w:pPr>
        <w:pStyle w:val="DefinedTerms"/>
      </w:pPr>
    </w:p>
    <w:p w:rsidR="00901CE3" w:rsidRDefault="00901CE3"/>
    <w:p w:rsidR="00901CE3" w:rsidRDefault="00901CE3">
      <w:pPr>
        <w:sectPr w:rsidR="00901CE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01CE3" w:rsidRDefault="00901CE3"/>
    <w:sectPr w:rsidR="00901CE3">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768" w:rsidRDefault="00571768">
      <w:r>
        <w:separator/>
      </w:r>
    </w:p>
  </w:endnote>
  <w:endnote w:type="continuationSeparator" w:id="0">
    <w:p w:rsidR="00571768" w:rsidRDefault="00571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p>
  <w:p w:rsidR="00571768" w:rsidRDefault="005717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rsidR="00571768" w:rsidRDefault="005717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rsidR="00571768" w:rsidRDefault="005717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C8A">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p>
  <w:p w:rsidR="00571768" w:rsidRDefault="005717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C8A">
      <w:rPr>
        <w:rStyle w:val="PageNumber"/>
        <w:rFonts w:ascii="Arial" w:hAnsi="Arial" w:cs="Arial"/>
        <w:noProof/>
      </w:rPr>
      <w:t>i</w:t>
    </w:r>
    <w:r>
      <w:rPr>
        <w:rStyle w:val="PageNumber"/>
        <w:rFonts w:ascii="Arial" w:hAnsi="Arial" w:cs="Arial"/>
      </w:rPr>
      <w:fldChar w:fldCharType="end"/>
    </w:r>
  </w:p>
  <w:p w:rsidR="00571768" w:rsidRDefault="005717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49F8">
      <w:rPr>
        <w:rStyle w:val="PageNumber"/>
        <w:rFonts w:ascii="Arial" w:hAnsi="Arial" w:cs="Arial"/>
        <w:noProof/>
      </w:rPr>
      <w:t>i</w:t>
    </w:r>
    <w:r>
      <w:rPr>
        <w:rStyle w:val="PageNumber"/>
        <w:rFonts w:ascii="Arial" w:hAnsi="Arial" w:cs="Arial"/>
      </w:rPr>
      <w:fldChar w:fldCharType="end"/>
    </w:r>
  </w:p>
  <w:p w:rsidR="00571768" w:rsidRDefault="0057176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49F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 xml:space="preserve"> </w:t>
    </w:r>
  </w:p>
  <w:p w:rsidR="00571768" w:rsidRDefault="005717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49F8">
      <w:rPr>
        <w:rStyle w:val="CharPageNo"/>
        <w:rFonts w:ascii="Arial" w:hAnsi="Arial"/>
        <w:noProof/>
      </w:rPr>
      <w:t>11</w:t>
    </w:r>
    <w:r>
      <w:rPr>
        <w:rStyle w:val="CharPageNo"/>
        <w:rFonts w:ascii="Arial" w:hAnsi="Arial"/>
      </w:rPr>
      <w:fldChar w:fldCharType="end"/>
    </w:r>
  </w:p>
  <w:p w:rsidR="00571768" w:rsidRDefault="0057176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49F8">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49F8">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49F8">
      <w:rPr>
        <w:rStyle w:val="CharPageNo"/>
        <w:rFonts w:ascii="Arial" w:hAnsi="Arial"/>
        <w:noProof/>
      </w:rPr>
      <w:t>1</w:t>
    </w:r>
    <w:r>
      <w:rPr>
        <w:rStyle w:val="CharPageNo"/>
        <w:rFonts w:ascii="Arial" w:hAnsi="Arial"/>
      </w:rPr>
      <w:fldChar w:fldCharType="end"/>
    </w:r>
  </w:p>
  <w:p w:rsidR="00571768" w:rsidRDefault="0057176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768" w:rsidRDefault="00571768">
      <w:r>
        <w:separator/>
      </w:r>
    </w:p>
  </w:footnote>
  <w:footnote w:type="continuationSeparator" w:id="0">
    <w:p w:rsidR="00571768" w:rsidRDefault="005717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9F8" w:rsidRDefault="001349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9F8" w:rsidRDefault="001349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9F8" w:rsidRDefault="001349F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1349F8">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rPr>
        <w:cantSplit/>
      </w:trPr>
      <w:tc>
        <w:tcPr>
          <w:tcW w:w="7258" w:type="dxa"/>
          <w:gridSpan w:val="2"/>
        </w:tcPr>
        <w:p w:rsidR="00571768" w:rsidRDefault="00571768">
          <w:pPr>
            <w:pStyle w:val="HeaderSectionLeft"/>
            <w:rPr>
              <w:b w:val="0"/>
            </w:rPr>
          </w:pPr>
          <w:r>
            <w:rPr>
              <w:b w:val="0"/>
            </w:rPr>
            <w:t>Contents</w:t>
          </w:r>
        </w:p>
      </w:tc>
    </w:tr>
  </w:tbl>
  <w:p w:rsidR="00571768" w:rsidRDefault="0057176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1349F8">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rPr>
              <w:b w:val="0"/>
            </w:rPr>
          </w:pPr>
          <w:r>
            <w:rPr>
              <w:b w:val="0"/>
            </w:rPr>
            <w:t>Contents</w:t>
          </w:r>
        </w:p>
      </w:tc>
    </w:tr>
  </w:tbl>
  <w:p w:rsidR="00571768" w:rsidRDefault="0057176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1349F8">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r>
            <w:fldChar w:fldCharType="begin"/>
          </w:r>
          <w:r>
            <w:instrText xml:space="preserve"> styleref CharPartNo </w:instrText>
          </w:r>
          <w:r>
            <w:fldChar w:fldCharType="end"/>
          </w:r>
        </w:p>
      </w:tc>
      <w:tc>
        <w:tcPr>
          <w:tcW w:w="5715" w:type="dxa"/>
        </w:tcPr>
        <w:p w:rsidR="00571768" w:rsidRDefault="00571768">
          <w:pPr>
            <w:pStyle w:val="HeaderTextLeft"/>
          </w:pPr>
          <w:r>
            <w:fldChar w:fldCharType="begin"/>
          </w:r>
          <w:r>
            <w:instrText xml:space="preserve"> styleref CharPartText </w:instrText>
          </w:r>
          <w:r>
            <w:fldChar w:fldCharType="end"/>
          </w:r>
        </w:p>
      </w:tc>
    </w:tr>
    <w:tr w:rsidR="00571768">
      <w:tc>
        <w:tcPr>
          <w:tcW w:w="1548" w:type="dxa"/>
        </w:tcPr>
        <w:p w:rsidR="00571768" w:rsidRDefault="00571768">
          <w:pPr>
            <w:pStyle w:val="HeaderNumberLeft"/>
          </w:pPr>
          <w:r>
            <w:fldChar w:fldCharType="begin"/>
          </w:r>
          <w:r>
            <w:instrText xml:space="preserve"> styleref CharDivNo </w:instrText>
          </w:r>
          <w:r>
            <w:fldChar w:fldCharType="end"/>
          </w:r>
        </w:p>
      </w:tc>
      <w:tc>
        <w:tcPr>
          <w:tcW w:w="5715" w:type="dxa"/>
        </w:tcPr>
        <w:p w:rsidR="00571768" w:rsidRDefault="00571768">
          <w:pPr>
            <w:pStyle w:val="HeaderTextLeft"/>
          </w:pPr>
          <w:r>
            <w:fldChar w:fldCharType="begin"/>
          </w:r>
          <w:r>
            <w:instrText xml:space="preserve"> styleref CharDivText </w:instrText>
          </w:r>
          <w:r>
            <w:fldChar w:fldCharType="end"/>
          </w:r>
        </w:p>
      </w:tc>
    </w:tr>
    <w:tr w:rsidR="00571768">
      <w:trPr>
        <w:cantSplit/>
      </w:trPr>
      <w:tc>
        <w:tcPr>
          <w:tcW w:w="7258" w:type="dxa"/>
          <w:gridSpan w:val="2"/>
        </w:tcPr>
        <w:p w:rsidR="00571768" w:rsidRDefault="00571768">
          <w:pPr>
            <w:pStyle w:val="HeaderSectionLeft"/>
          </w:pPr>
          <w:r>
            <w:t xml:space="preserve">r. </w:t>
          </w:r>
          <w:r w:rsidR="001349F8">
            <w:fldChar w:fldCharType="begin"/>
          </w:r>
          <w:r w:rsidR="001349F8">
            <w:instrText xml:space="preserve"> styleref CharSectno </w:instrText>
          </w:r>
          <w:r w:rsidR="001349F8">
            <w:fldChar w:fldCharType="separate"/>
          </w:r>
          <w:r w:rsidR="001349F8">
            <w:rPr>
              <w:noProof/>
            </w:rPr>
            <w:t>1</w:t>
          </w:r>
          <w:r w:rsidR="001349F8">
            <w:rPr>
              <w:noProof/>
            </w:rPr>
            <w:fldChar w:fldCharType="end"/>
          </w:r>
        </w:p>
      </w:tc>
    </w:tr>
  </w:tbl>
  <w:p w:rsidR="00571768" w:rsidRDefault="0057176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1349F8">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r>
            <w:fldChar w:fldCharType="begin"/>
          </w:r>
          <w:r>
            <w:instrText xml:space="preserve"> styleref CharPartText </w:instrText>
          </w:r>
          <w:r>
            <w:fldChar w:fldCharType="end"/>
          </w:r>
        </w:p>
      </w:tc>
      <w:tc>
        <w:tcPr>
          <w:tcW w:w="1548" w:type="dxa"/>
        </w:tcPr>
        <w:p w:rsidR="00571768" w:rsidRDefault="00571768">
          <w:pPr>
            <w:pStyle w:val="HeaderNumberRight"/>
            <w:ind w:right="17"/>
          </w:pPr>
          <w:r>
            <w:fldChar w:fldCharType="begin"/>
          </w:r>
          <w:r>
            <w:instrText xml:space="preserve"> styleref CharPartNo </w:instrText>
          </w:r>
          <w:r>
            <w:fldChar w:fldCharType="end"/>
          </w:r>
        </w:p>
      </w:tc>
    </w:tr>
    <w:tr w:rsidR="00571768">
      <w:tc>
        <w:tcPr>
          <w:tcW w:w="5715" w:type="dxa"/>
        </w:tcPr>
        <w:p w:rsidR="00571768" w:rsidRDefault="00571768">
          <w:pPr>
            <w:pStyle w:val="HeaderTextRight"/>
          </w:pPr>
          <w:r>
            <w:fldChar w:fldCharType="begin"/>
          </w:r>
          <w:r>
            <w:instrText xml:space="preserve"> styleref CharDivText </w:instrText>
          </w:r>
          <w:r>
            <w:fldChar w:fldCharType="end"/>
          </w:r>
        </w:p>
      </w:tc>
      <w:tc>
        <w:tcPr>
          <w:tcW w:w="1548" w:type="dxa"/>
        </w:tcPr>
        <w:p w:rsidR="00571768" w:rsidRDefault="00571768">
          <w:pPr>
            <w:pStyle w:val="HeaderNumberRight"/>
            <w:ind w:right="17"/>
          </w:pPr>
          <w:r>
            <w:fldChar w:fldCharType="begin"/>
          </w:r>
          <w:r>
            <w:instrText xml:space="preserve"> styleref CharDivNo </w:instrText>
          </w:r>
          <w:r>
            <w:fldChar w:fldCharType="end"/>
          </w:r>
        </w:p>
      </w:tc>
    </w:tr>
    <w:tr w:rsidR="00571768">
      <w:trPr>
        <w:cantSplit/>
      </w:trPr>
      <w:tc>
        <w:tcPr>
          <w:tcW w:w="7258" w:type="dxa"/>
          <w:gridSpan w:val="2"/>
        </w:tcPr>
        <w:p w:rsidR="00571768" w:rsidRDefault="00571768">
          <w:pPr>
            <w:pStyle w:val="HeaderSectionRight"/>
            <w:ind w:right="17"/>
          </w:pPr>
          <w:r>
            <w:t xml:space="preserve">r. </w:t>
          </w:r>
          <w:r w:rsidR="001349F8">
            <w:fldChar w:fldCharType="begin"/>
          </w:r>
          <w:r w:rsidR="001349F8">
            <w:instrText xml:space="preserve"> styleref CharSectno </w:instrText>
          </w:r>
          <w:r w:rsidR="001349F8">
            <w:fldChar w:fldCharType="separate"/>
          </w:r>
          <w:r w:rsidR="001349F8">
            <w:rPr>
              <w:noProof/>
            </w:rPr>
            <w:t>1</w:t>
          </w:r>
          <w:r w:rsidR="001349F8">
            <w:rPr>
              <w:noProof/>
            </w:rPr>
            <w:fldChar w:fldCharType="end"/>
          </w:r>
        </w:p>
      </w:tc>
    </w:tr>
  </w:tbl>
  <w:p w:rsidR="00571768" w:rsidRDefault="005717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1349F8">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rPr>
        <w:cantSplit/>
      </w:trPr>
      <w:tc>
        <w:tcPr>
          <w:tcW w:w="7258" w:type="dxa"/>
          <w:gridSpan w:val="2"/>
        </w:tcPr>
        <w:p w:rsidR="00571768" w:rsidRDefault="00571768">
          <w:pPr>
            <w:pStyle w:val="HeaderSectionRight"/>
            <w:ind w:right="17"/>
            <w:jc w:val="left"/>
          </w:pPr>
        </w:p>
      </w:tc>
    </w:tr>
  </w:tbl>
  <w:p w:rsidR="00571768" w:rsidRDefault="0057176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1349F8">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pPr>
        </w:p>
      </w:tc>
    </w:tr>
  </w:tbl>
  <w:p w:rsidR="00571768" w:rsidRDefault="005717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1349F8">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rPr>
        <w:cantSplit/>
      </w:trPr>
      <w:tc>
        <w:tcPr>
          <w:tcW w:w="7258" w:type="dxa"/>
          <w:gridSpan w:val="2"/>
        </w:tcPr>
        <w:p w:rsidR="00571768" w:rsidRDefault="00571768">
          <w:pPr>
            <w:pStyle w:val="HeaderSectionRight"/>
            <w:ind w:right="17"/>
            <w:jc w:val="left"/>
          </w:pPr>
          <w:r>
            <w:t>Defined Terms</w:t>
          </w:r>
        </w:p>
      </w:tc>
    </w:tr>
  </w:tbl>
  <w:p w:rsidR="00571768" w:rsidRDefault="0057176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1349F8">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pPr>
          <w:r>
            <w:t>Defined Terms</w:t>
          </w:r>
        </w:p>
      </w:tc>
    </w:tr>
  </w:tbl>
  <w:p w:rsidR="00571768" w:rsidRDefault="005717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1768">
      <w:trPr>
        <w:cantSplit/>
      </w:trPr>
      <w:tc>
        <w:tcPr>
          <w:tcW w:w="7312" w:type="dxa"/>
          <w:gridSpan w:val="2"/>
        </w:tcPr>
        <w:p w:rsidR="00571768" w:rsidRDefault="001349F8">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64" w:type="dxa"/>
        </w:tcPr>
        <w:p w:rsidR="00571768" w:rsidRDefault="00571768">
          <w:pPr>
            <w:pStyle w:val="HeaderTextLeft"/>
          </w:pPr>
        </w:p>
      </w:tc>
    </w:tr>
    <w:tr w:rsidR="00571768">
      <w:tc>
        <w:tcPr>
          <w:tcW w:w="1548" w:type="dxa"/>
        </w:tcPr>
        <w:p w:rsidR="00571768" w:rsidRDefault="00571768">
          <w:pPr>
            <w:pStyle w:val="HeaderNumberLeft"/>
          </w:pPr>
        </w:p>
      </w:tc>
      <w:tc>
        <w:tcPr>
          <w:tcW w:w="5764" w:type="dxa"/>
        </w:tcPr>
        <w:p w:rsidR="00571768" w:rsidRDefault="00571768">
          <w:pPr>
            <w:pStyle w:val="HeaderTextLeft"/>
          </w:pPr>
        </w:p>
      </w:tc>
    </w:tr>
    <w:tr w:rsidR="00571768">
      <w:trPr>
        <w:cantSplit/>
      </w:trPr>
      <w:tc>
        <w:tcPr>
          <w:tcW w:w="7312" w:type="dxa"/>
          <w:gridSpan w:val="2"/>
        </w:tcPr>
        <w:p w:rsidR="00571768" w:rsidRDefault="00571768">
          <w:pPr>
            <w:pStyle w:val="HeaderSectionLeft"/>
          </w:pPr>
          <w:r>
            <w:t>Defined Terms</w:t>
          </w:r>
        </w:p>
      </w:tc>
    </w:tr>
  </w:tbl>
  <w:p w:rsidR="00571768" w:rsidRDefault="0057176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1349F8">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pPr>
          <w:r>
            <w:t>Defined Terms</w:t>
          </w:r>
        </w:p>
      </w:tc>
    </w:tr>
  </w:tbl>
  <w:p w:rsidR="00571768" w:rsidRDefault="0057176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CE3"/>
    <w:rsid w:val="000E72E9"/>
    <w:rsid w:val="001349F8"/>
    <w:rsid w:val="003B55CD"/>
    <w:rsid w:val="00571768"/>
    <w:rsid w:val="005A3736"/>
    <w:rsid w:val="00670A14"/>
    <w:rsid w:val="00901CE3"/>
    <w:rsid w:val="00A3497F"/>
    <w:rsid w:val="00AB0D92"/>
    <w:rsid w:val="00B900E0"/>
    <w:rsid w:val="00BB2C8A"/>
    <w:rsid w:val="00DA0A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2676</Words>
  <Characters>12797</Characters>
  <Application>Microsoft Office Word</Application>
  <DocSecurity>0</DocSecurity>
  <Lines>412</Lines>
  <Paragraphs>230</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15243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2000 - 02-c0-00</dc:title>
  <dc:subject>Subsidiary Legislation</dc:subject>
  <dc:creator>svcMRProcess</dc:creator>
  <cp:keywords/>
  <dc:description/>
  <cp:lastModifiedBy>svcMRProcess</cp:lastModifiedBy>
  <cp:revision>4</cp:revision>
  <cp:lastPrinted>2009-10-23T02:12:00Z</cp:lastPrinted>
  <dcterms:created xsi:type="dcterms:W3CDTF">2013-05-16T07:39:00Z</dcterms:created>
  <dcterms:modified xsi:type="dcterms:W3CDTF">2013-05-16T07:39:00Z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20130518</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AsAtDate">
    <vt:lpwstr>18 May 2013</vt:lpwstr>
  </property>
  <property fmtid="{D5CDD505-2E9C-101B-9397-08002B2CF9AE}" pid="8" name="Suffix">
    <vt:lpwstr>02-c0-00</vt:lpwstr>
  </property>
</Properties>
</file>