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Control (Bayulu Restricted Area) Regulations 2010</w:t>
      </w:r>
      <w:r>
        <w:fldChar w:fldCharType="end"/>
      </w:r>
    </w:p>
    <w:p>
      <w:pPr>
        <w:pStyle w:val="Subsection"/>
      </w:pPr>
      <w:r>
        <w:tab/>
      </w:r>
      <w:r>
        <w:tab/>
      </w:r>
      <w:r>
        <w:rPr>
          <w:color w:val="000000"/>
          <w:sz w:val="22"/>
          <w:szCs w:val="22"/>
        </w:rPr>
        <w:t>These regulations expired 9 Jun 2013 (see r. 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(Bayulu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_Toc20131399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_Toc20131400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Bayulu Aboriginal Community</w:t>
      </w:r>
      <w:r>
        <w:tab/>
      </w:r>
      <w:r>
        <w:fldChar w:fldCharType="begin"/>
      </w:r>
      <w:r>
        <w:instrText xml:space="preserve"> PAGEREF _Toc20131401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_Toc20131402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_Toc20131403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_Toc20131404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Bayulu Aboriginal Community</w:t>
      </w:r>
      <w:r>
        <w:tab/>
      </w:r>
      <w:r>
        <w:fldChar w:fldCharType="begin"/>
      </w:r>
      <w:r>
        <w:instrText xml:space="preserve"> PAGEREF _Toc20131405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_Toc20131406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_Toc20131407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_Toc20131409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Liquor Control Act 1988</w:t>
      </w:r>
    </w:p>
    <w:p>
      <w:pPr>
        <w:pStyle w:val="NameofActReg"/>
      </w:pPr>
      <w:r>
        <w:t>Liquor Control (Bayulu Restricted Area) Regulations 2010</w:t>
      </w:r>
    </w:p>
    <w:p>
      <w:pPr>
        <w:pStyle w:val="Heading5"/>
      </w:pPr>
      <w:bookmarkStart w:id="3" w:name="_Toc377388831"/>
      <w:bookmarkStart w:id="4" w:name="_Toc2013139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(Bayulu Restricted Area) Regulations 2010</w:t>
      </w:r>
      <w:r>
        <w:t>.</w:t>
      </w:r>
    </w:p>
    <w:p>
      <w:pPr>
        <w:pStyle w:val="Heading5"/>
        <w:rPr>
          <w:spacing w:val="-2"/>
        </w:rPr>
      </w:pPr>
      <w:bookmarkStart w:id="6" w:name="_Toc377388832"/>
      <w:bookmarkStart w:id="7" w:name="_Toc2013140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77388833"/>
      <w:bookmarkStart w:id="9" w:name="_Toc20131401"/>
      <w:r>
        <w:rPr>
          <w:rStyle w:val="CharSectno"/>
        </w:rPr>
        <w:t>3</w:t>
      </w:r>
      <w:r>
        <w:t>.</w:t>
      </w:r>
      <w:r>
        <w:tab/>
        <w:t>Term used: Bayulu Aboriginal Community</w:t>
      </w:r>
      <w:bookmarkEnd w:id="8"/>
      <w:bookmarkEnd w:id="9"/>
    </w:p>
    <w:p>
      <w:pPr>
        <w:pStyle w:val="Subsection"/>
      </w:pPr>
      <w:r>
        <w:tab/>
      </w:r>
      <w:r>
        <w:tab/>
        <w:t xml:space="preserve">In these regulations — </w:t>
      </w:r>
    </w:p>
    <w:p>
      <w:pPr>
        <w:pStyle w:val="Defstart"/>
      </w:pPr>
      <w:r>
        <w:tab/>
      </w:r>
      <w:r>
        <w:rPr>
          <w:rStyle w:val="CharDefText"/>
        </w:rPr>
        <w:t>Bayulu Aboriginal Community</w:t>
      </w:r>
      <w:r>
        <w:t xml:space="preserve"> means the area of land described as —</w:t>
      </w:r>
    </w:p>
    <w:p>
      <w:pPr>
        <w:pStyle w:val="Defpara"/>
      </w:pPr>
      <w:r>
        <w:tab/>
        <w:t>(a)</w:t>
      </w:r>
      <w:r>
        <w:tab/>
        <w:t>Lot 12 on Deposited Plan 182544 being the whole of the land in Record of Qualified Certificate of Crown Land Title Volume LR3123 Folio 495; and</w:t>
      </w:r>
    </w:p>
    <w:p>
      <w:pPr>
        <w:pStyle w:val="Defpara"/>
      </w:pPr>
      <w:r>
        <w:tab/>
        <w:t>(b)</w:t>
      </w:r>
      <w:r>
        <w:tab/>
        <w:t>Lot 14 on Deposited Plan 183081 being the whole of the land in Record of Qualified Certificate of Crown Land Title Volume LR3123 Folio 496.</w:t>
      </w:r>
    </w:p>
    <w:p>
      <w:pPr>
        <w:pStyle w:val="Heading5"/>
      </w:pPr>
      <w:bookmarkStart w:id="10" w:name="_Toc377388834"/>
      <w:bookmarkStart w:id="11" w:name="_Toc20131402"/>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77388835"/>
      <w:bookmarkStart w:id="13" w:name="_Toc20131403"/>
      <w:r>
        <w:rPr>
          <w:rStyle w:val="CharSectno"/>
        </w:rPr>
        <w:t>5</w:t>
      </w:r>
      <w:r>
        <w:t>.</w:t>
      </w:r>
      <w:r>
        <w:tab/>
        <w:t>Declaration of restricted area</w:t>
      </w:r>
      <w:bookmarkEnd w:id="12"/>
      <w:bookmarkEnd w:id="13"/>
    </w:p>
    <w:p>
      <w:pPr>
        <w:pStyle w:val="Subsection"/>
      </w:pPr>
      <w:r>
        <w:tab/>
      </w:r>
      <w:r>
        <w:tab/>
        <w:t>The Bayulu Aboriginal Community is declared to be a restricted area for the purposes of section 175(1a) of the Act.</w:t>
      </w:r>
    </w:p>
    <w:p>
      <w:pPr>
        <w:pStyle w:val="Heading5"/>
      </w:pPr>
      <w:bookmarkStart w:id="14" w:name="_Toc377388836"/>
      <w:bookmarkStart w:id="15" w:name="_Toc20131404"/>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Bayulu Aboriginal Community continues to be a restricted area by operation of regulation 5 to be kept posted, at each place where a customary access route enters the Bayulu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77388837"/>
      <w:bookmarkStart w:id="17" w:name="_Toc20131405"/>
      <w:r>
        <w:rPr>
          <w:rStyle w:val="CharSectno"/>
        </w:rPr>
        <w:t>7</w:t>
      </w:r>
      <w:r>
        <w:t>.</w:t>
      </w:r>
      <w:r>
        <w:tab/>
        <w:t>Prohibitions as to liquor in the Bayulu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Bayulu Aboriginal Community; or</w:t>
      </w:r>
    </w:p>
    <w:p>
      <w:pPr>
        <w:pStyle w:val="Indenta"/>
      </w:pPr>
      <w:r>
        <w:tab/>
        <w:t>(b)</w:t>
      </w:r>
      <w:r>
        <w:tab/>
        <w:t>has liquor in his or her possession in the Bayulu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77388838"/>
      <w:bookmarkStart w:id="19" w:name="_Toc20131406"/>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77388839"/>
      <w:bookmarkStart w:id="21" w:name="_Toc20131407"/>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on the day 3 years after the day referred to in regulation 2(b).</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77388840"/>
      <w:bookmarkStart w:id="23" w:name="_Toc426727203"/>
      <w:bookmarkStart w:id="24" w:name="_Toc426727373"/>
      <w:bookmarkStart w:id="25" w:name="_Toc20131408"/>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(Bayulu Restricted Area) Regulations 2010</w:t>
      </w:r>
      <w:r>
        <w:rPr>
          <w:snapToGrid w:val="0"/>
        </w:rPr>
        <w:t xml:space="preserve">.  The following table contains information about those regulations. </w:t>
      </w:r>
    </w:p>
    <w:p>
      <w:pPr>
        <w:pStyle w:val="nHeading3"/>
        <w:rPr>
          <w:snapToGrid w:val="0"/>
        </w:rPr>
      </w:pPr>
      <w:bookmarkStart w:id="26" w:name="_Toc377388841"/>
      <w:bookmarkStart w:id="27" w:name="_Toc20131409"/>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iCs/>
              </w:rPr>
            </w:pPr>
            <w:r>
              <w:rPr>
                <w:i/>
              </w:rPr>
              <w:t>Liquor Control (Bayulu Restricted Area) Regulations 2010</w:t>
            </w:r>
          </w:p>
        </w:tc>
        <w:tc>
          <w:tcPr>
            <w:tcW w:w="1276" w:type="dxa"/>
            <w:tcBorders>
              <w:top w:val="single" w:sz="8" w:space="0" w:color="auto"/>
            </w:tcBorders>
          </w:tcPr>
          <w:p>
            <w:pPr>
              <w:pStyle w:val="nTable"/>
              <w:spacing w:after="40"/>
            </w:pPr>
            <w:r>
              <w:t>8 Jun 2010 p. 2617-18</w:t>
            </w:r>
          </w:p>
        </w:tc>
        <w:tc>
          <w:tcPr>
            <w:tcW w:w="2693" w:type="dxa"/>
            <w:tcBorders>
              <w:top w:val="single" w:sz="8" w:space="0" w:color="auto"/>
            </w:tcBorders>
          </w:tcPr>
          <w:p>
            <w:pPr>
              <w:pStyle w:val="nTable"/>
              <w:spacing w:after="40"/>
            </w:pPr>
            <w:r>
              <w:rPr>
                <w:snapToGrid w:val="0"/>
              </w:rPr>
              <w:t>r. 1 and 2: 8 Jun 2010 (see r. 2(a));</w:t>
            </w:r>
            <w:r>
              <w:rPr>
                <w:snapToGrid w:val="0"/>
              </w:rPr>
              <w:br/>
              <w:t>Regulations other than r. 1 and 2: 9 Jun 2010 (see r. 2(b))</w:t>
            </w:r>
          </w:p>
        </w:tc>
      </w:tr>
      <w:tr>
        <w:trPr>
          <w:cantSplit/>
        </w:trPr>
        <w:tc>
          <w:tcPr>
            <w:tcW w:w="7088" w:type="dxa"/>
            <w:gridSpan w:val="3"/>
            <w:tcBorders>
              <w:bottom w:val="single" w:sz="4" w:space="0" w:color="auto"/>
            </w:tcBorders>
          </w:tcPr>
          <w:p>
            <w:pPr>
              <w:pStyle w:val="nTable"/>
              <w:spacing w:after="40"/>
              <w:rPr>
                <w:b/>
                <w:snapToGrid w:val="0"/>
              </w:rPr>
            </w:pPr>
            <w:r>
              <w:rPr>
                <w:b/>
                <w:color w:val="FF0000"/>
              </w:rPr>
              <w:t>These regulations expired 9 Jun 2013 (see r. 9)</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20131410"/>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Bayulu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(Bayulu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(Bayulu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(Bayulu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(Bayulu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A82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E43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32B3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D26D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6AA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7C8D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B36AB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B068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742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E35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4C70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1104"/>
    <w:docVar w:name="WAFER_20140113142352" w:val="RemoveTocBookmarks,RemoveUnusedBookmarks,RemoveLanguageTags,UsedStyles,ResetPageSize,UpdateArrangement"/>
    <w:docVar w:name="WAFER_20140113142352_GUID" w:val="518b1866-280e-4440-933a-c0c942869971"/>
    <w:docVar w:name="WAFER_20140113142358" w:val="RemoveTocBookmarks,RunningHeaders"/>
    <w:docVar w:name="WAFER_20140113142358_GUID" w:val="953ff43f-cb89-4737-867e-1852749e18fb"/>
    <w:docVar w:name="WAFER_20150807161025" w:val="ResetPageSize,UpdateArrangement,UpdateNTable"/>
    <w:docVar w:name="WAFER_20150807161025_GUID" w:val="9590128e-8574-4a70-9ea0-eae2a64bd1ec"/>
    <w:docVar w:name="WAFER_20151109155942" w:val="UpdateStyles"/>
    <w:docVar w:name="WAFER_20151109155942_GUID" w:val="9499b975-a127-4494-bed1-d47325fa39a2"/>
    <w:docVar w:name="WAFER_20151126110524" w:val="UpdateStyles"/>
    <w:docVar w:name="WAFER_20151126110524_GUID" w:val="19b883f8-05fe-4e4f-8ea2-7d74b4c11a1a"/>
    <w:docVar w:name="WAFER_20151126111104" w:val="UsedStyles"/>
    <w:docVar w:name="WAFER_20151126111104_GUID" w:val="f141f8bb-f91b-4275-825f-2590a16f48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812</Words>
  <Characters>4045</Characters>
  <Application>Microsoft Office Word</Application>
  <DocSecurity>0</DocSecurity>
  <Lines>144</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(Bayulu Restricted Area) Regulations 2010 - 00-b0-06</dc:title>
  <dc:subject/>
  <dc:creator/>
  <cp:keywords/>
  <dc:description/>
  <cp:lastModifiedBy>svcMRProcess</cp:lastModifiedBy>
  <cp:revision>4</cp:revision>
  <cp:lastPrinted>2010-04-23T06:14:00Z</cp:lastPrinted>
  <dcterms:created xsi:type="dcterms:W3CDTF">2019-09-24T01:42:00Z</dcterms:created>
  <dcterms:modified xsi:type="dcterms:W3CDTF">2019-09-24T01:42:00Z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Jun 2010 p 2617-18</vt:lpwstr>
  </property>
  <property fmtid="{D5CDD505-2E9C-101B-9397-08002B2CF9AE}" pid="3" name="CommencementDate">
    <vt:lpwstr>20130609</vt:lpwstr>
  </property>
  <property fmtid="{D5CDD505-2E9C-101B-9397-08002B2CF9AE}" pid="4" name="DocumentType">
    <vt:lpwstr>Reg</vt:lpwstr>
  </property>
  <property fmtid="{D5CDD505-2E9C-101B-9397-08002B2CF9AE}" pid="5" name="OwlsUID">
    <vt:i4>42636</vt:i4>
  </property>
  <property fmtid="{D5CDD505-2E9C-101B-9397-08002B2CF9AE}" pid="6" name="AsAtDate">
    <vt:lpwstr>09 Jun 2013</vt:lpwstr>
  </property>
  <property fmtid="{D5CDD505-2E9C-101B-9397-08002B2CF9AE}" pid="7" name="Suffix">
    <vt:lpwstr>00-b0-06</vt:lpwstr>
  </property>
  <property fmtid="{D5CDD505-2E9C-101B-9397-08002B2CF9AE}" pid="8" name="Status">
    <vt:lpwstr>NIF</vt:lpwstr>
  </property>
</Properties>
</file>